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8A25FA" w14:textId="77777777" w:rsidR="00991C79" w:rsidRDefault="00991C79" w:rsidP="00957BEB">
      <w:pPr>
        <w:spacing w:after="120" w:line="276" w:lineRule="auto"/>
        <w:jc w:val="center"/>
        <w:rPr>
          <w:rFonts w:ascii="Times New Roman" w:hAnsi="Times New Roman" w:cs="Times New Roman"/>
          <w:b/>
          <w:sz w:val="24"/>
          <w:szCs w:val="24"/>
        </w:rPr>
      </w:pPr>
      <w:bookmarkStart w:id="0" w:name="_Hlk195694024"/>
      <w:r w:rsidRPr="00991C79">
        <w:rPr>
          <w:rFonts w:ascii="Times New Roman" w:hAnsi="Times New Roman" w:cs="Times New Roman"/>
          <w:b/>
          <w:sz w:val="24"/>
          <w:szCs w:val="24"/>
        </w:rPr>
        <w:t>Original Research Article</w:t>
      </w:r>
    </w:p>
    <w:p w14:paraId="47B63AD3" w14:textId="77777777" w:rsidR="00991C79" w:rsidRDefault="00991C79" w:rsidP="00957BEB">
      <w:pPr>
        <w:spacing w:after="120" w:line="276" w:lineRule="auto"/>
        <w:jc w:val="center"/>
        <w:rPr>
          <w:rFonts w:ascii="Times New Roman" w:hAnsi="Times New Roman" w:cs="Times New Roman"/>
          <w:b/>
          <w:sz w:val="24"/>
          <w:szCs w:val="24"/>
        </w:rPr>
      </w:pPr>
    </w:p>
    <w:p w14:paraId="5A47058E" w14:textId="74DFC5DA" w:rsidR="00B04715" w:rsidRPr="00957BEB" w:rsidRDefault="00C5345E" w:rsidP="00957BEB">
      <w:pPr>
        <w:spacing w:after="120" w:line="276" w:lineRule="auto"/>
        <w:jc w:val="center"/>
        <w:rPr>
          <w:rFonts w:ascii="Times New Roman" w:hAnsi="Times New Roman" w:cs="Times New Roman"/>
          <w:b/>
          <w:sz w:val="24"/>
          <w:szCs w:val="24"/>
        </w:rPr>
      </w:pPr>
      <w:r w:rsidRPr="00957BEB">
        <w:rPr>
          <w:rFonts w:ascii="Times New Roman" w:hAnsi="Times New Roman" w:cs="Times New Roman"/>
          <w:b/>
          <w:sz w:val="24"/>
          <w:szCs w:val="24"/>
        </w:rPr>
        <w:t xml:space="preserve">Financial Risk Management and Corporate Performance of Selected </w:t>
      </w:r>
      <w:r w:rsidR="004A6EE2" w:rsidRPr="00957BEB">
        <w:rPr>
          <w:rFonts w:ascii="Times New Roman" w:hAnsi="Times New Roman" w:cs="Times New Roman"/>
          <w:b/>
          <w:sz w:val="24"/>
          <w:szCs w:val="24"/>
        </w:rPr>
        <w:t>Small</w:t>
      </w:r>
      <w:r w:rsidR="004A6EE2">
        <w:rPr>
          <w:rFonts w:ascii="Times New Roman" w:hAnsi="Times New Roman" w:cs="Times New Roman"/>
          <w:b/>
          <w:sz w:val="24"/>
          <w:szCs w:val="24"/>
        </w:rPr>
        <w:t>-Scale</w:t>
      </w:r>
      <w:r w:rsidRPr="00957BEB">
        <w:rPr>
          <w:rFonts w:ascii="Times New Roman" w:hAnsi="Times New Roman" w:cs="Times New Roman"/>
          <w:b/>
          <w:sz w:val="24"/>
          <w:szCs w:val="24"/>
        </w:rPr>
        <w:t xml:space="preserve"> Firms</w:t>
      </w:r>
      <w:r w:rsidR="008265E0" w:rsidRPr="00957BEB">
        <w:rPr>
          <w:rFonts w:ascii="Times New Roman" w:hAnsi="Times New Roman" w:cs="Times New Roman"/>
          <w:b/>
          <w:sz w:val="24"/>
          <w:szCs w:val="24"/>
        </w:rPr>
        <w:t xml:space="preserve"> in Nigeria</w:t>
      </w:r>
      <w:r w:rsidR="00B04715" w:rsidRPr="00957BEB">
        <w:rPr>
          <w:rFonts w:ascii="Times New Roman" w:hAnsi="Times New Roman" w:cs="Times New Roman"/>
          <w:b/>
          <w:sz w:val="24"/>
          <w:szCs w:val="24"/>
        </w:rPr>
        <w:t xml:space="preserve"> </w:t>
      </w:r>
    </w:p>
    <w:bookmarkEnd w:id="0"/>
    <w:p w14:paraId="5A470592" w14:textId="77777777" w:rsidR="00B04715" w:rsidRPr="00957BEB" w:rsidRDefault="00B04715" w:rsidP="00957BEB">
      <w:pPr>
        <w:spacing w:after="120" w:line="276" w:lineRule="auto"/>
        <w:rPr>
          <w:rFonts w:ascii="Times New Roman" w:hAnsi="Times New Roman" w:cs="Times New Roman"/>
          <w:b/>
          <w:sz w:val="24"/>
          <w:szCs w:val="24"/>
        </w:rPr>
      </w:pPr>
    </w:p>
    <w:p w14:paraId="5A470593" w14:textId="77777777" w:rsidR="00B04715" w:rsidRPr="00957BEB" w:rsidRDefault="00B04715" w:rsidP="00807544">
      <w:pPr>
        <w:pStyle w:val="Heading1"/>
        <w:spacing w:before="0" w:after="120" w:line="276" w:lineRule="auto"/>
        <w:jc w:val="center"/>
        <w:rPr>
          <w:rFonts w:cs="Times New Roman"/>
          <w:szCs w:val="24"/>
        </w:rPr>
      </w:pPr>
      <w:r w:rsidRPr="00957BEB">
        <w:rPr>
          <w:rFonts w:cs="Times New Roman"/>
          <w:szCs w:val="24"/>
        </w:rPr>
        <w:t>Abstract</w:t>
      </w:r>
    </w:p>
    <w:p w14:paraId="5A470594" w14:textId="49B85F46" w:rsidR="00B04715" w:rsidRPr="000E527D" w:rsidRDefault="000E527D" w:rsidP="00957BEB">
      <w:pPr>
        <w:spacing w:after="120" w:line="276" w:lineRule="auto"/>
        <w:jc w:val="both"/>
        <w:rPr>
          <w:rFonts w:ascii="Times New Roman" w:hAnsi="Times New Roman" w:cs="Times New Roman"/>
          <w:bCs/>
          <w:iCs/>
          <w:sz w:val="24"/>
          <w:szCs w:val="24"/>
        </w:rPr>
      </w:pPr>
      <w:r w:rsidRPr="000E527D">
        <w:rPr>
          <w:rFonts w:ascii="Times New Roman" w:hAnsi="Times New Roman" w:cs="Times New Roman"/>
          <w:bCs/>
          <w:iCs/>
          <w:sz w:val="24"/>
          <w:szCs w:val="24"/>
        </w:rPr>
        <w:t xml:space="preserve">The study examined the influence of financial risk management on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The specific objective was to determine the extent to which operational risks and liquidity risks influence the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This study adopted a survey research design. The target population for this study consists of managers of small-scale firms in Nigeria. Using snowballing sampling technique, 35 managers of small-scale firms were selected from each of the six geopolitical zones of Nigeria, resulting in a total sample size of 210 respondents. Primary data for this study were collected using a structured questionnaire. The reliability of the instrument was tested using Cronbach’s Alpha, which measures internal consistency. The data collected were first analyzed using frequency analysis to show the distribution of the responses to the research questions. For the inferential aspect, multiple regression analysis was used to test the two hypotheses developed in line with the study’s objectives. It was found that: operational risks have a significant negative influence on the corporate performance of selected </w:t>
      </w:r>
      <w:r w:rsidR="004A6EE2" w:rsidRPr="000E527D">
        <w:rPr>
          <w:rFonts w:ascii="Times New Roman" w:hAnsi="Times New Roman" w:cs="Times New Roman"/>
          <w:bCs/>
          <w:iCs/>
          <w:sz w:val="24"/>
          <w:szCs w:val="24"/>
        </w:rPr>
        <w:t>small-scale</w:t>
      </w:r>
      <w:r w:rsidRPr="000E527D">
        <w:rPr>
          <w:rFonts w:ascii="Times New Roman" w:hAnsi="Times New Roman" w:cs="Times New Roman"/>
          <w:bCs/>
          <w:iCs/>
          <w:sz w:val="24"/>
          <w:szCs w:val="24"/>
        </w:rPr>
        <w:t xml:space="preserve"> firms in Nigeria (β = -0.272, p = 0.002); liquidity risks have a significant negative influence on the corporate performance of selected small</w:t>
      </w:r>
      <w:r w:rsidR="004A6EE2">
        <w:rPr>
          <w:rFonts w:ascii="Times New Roman" w:hAnsi="Times New Roman" w:cs="Times New Roman"/>
          <w:bCs/>
          <w:iCs/>
          <w:sz w:val="24"/>
          <w:szCs w:val="24"/>
        </w:rPr>
        <w:t>-</w:t>
      </w:r>
      <w:r w:rsidRPr="000E527D">
        <w:rPr>
          <w:rFonts w:ascii="Times New Roman" w:hAnsi="Times New Roman" w:cs="Times New Roman"/>
          <w:bCs/>
          <w:iCs/>
          <w:sz w:val="24"/>
          <w:szCs w:val="24"/>
        </w:rPr>
        <w:t xml:space="preserve">scale firms in Nigeria (β = -0.225, p = 0.026). In conclusion, financial risk, when left unmitigated, can undermine the core functional and financial structures of small enterprises, leading to inefficiencies, reduced profitability, and in severe cases, business failure. </w:t>
      </w:r>
      <w:r w:rsidR="00975BE0" w:rsidRPr="00975BE0">
        <w:rPr>
          <w:rFonts w:ascii="Times New Roman" w:hAnsi="Times New Roman" w:cs="Times New Roman"/>
          <w:bCs/>
          <w:iCs/>
          <w:sz w:val="24"/>
          <w:szCs w:val="24"/>
          <w:highlight w:val="yellow"/>
        </w:rPr>
        <w:t xml:space="preserve">By implication, </w:t>
      </w:r>
      <w:r w:rsidR="00975BE0" w:rsidRPr="00975BE0">
        <w:rPr>
          <w:rFonts w:ascii="Times New Roman" w:eastAsia="Calibri" w:hAnsi="Times New Roman" w:cs="Times New Roman"/>
          <w:sz w:val="24"/>
          <w:szCs w:val="24"/>
          <w:highlight w:val="yellow"/>
        </w:rPr>
        <w:t>these outcomes emphasize the importance of structured, proactive financial risk management practices in helping small businesses withstand economic pressures and uncertain market dynamics.</w:t>
      </w:r>
      <w:r w:rsidR="00975BE0" w:rsidRPr="00975BE0">
        <w:rPr>
          <w:rFonts w:ascii="Times New Roman" w:eastAsia="Calibri" w:hAnsi="Times New Roman" w:cs="Times New Roman"/>
          <w:sz w:val="24"/>
          <w:szCs w:val="24"/>
          <w:highlight w:val="yellow"/>
        </w:rPr>
        <w:t xml:space="preserve"> </w:t>
      </w:r>
      <w:r w:rsidRPr="00975BE0">
        <w:rPr>
          <w:rFonts w:ascii="Times New Roman" w:hAnsi="Times New Roman" w:cs="Times New Roman"/>
          <w:bCs/>
          <w:iCs/>
          <w:sz w:val="24"/>
          <w:szCs w:val="24"/>
          <w:highlight w:val="yellow"/>
        </w:rPr>
        <w:t>The study recommends that small-scale firm owners and managers should invest in enhancing their internal risk management frameworks, including the adoption of regular operational audits and process optimization strategies to identify and mitigate operational inefficiencies.</w:t>
      </w:r>
      <w:r w:rsidR="00975BE0">
        <w:rPr>
          <w:rFonts w:ascii="Times New Roman" w:hAnsi="Times New Roman" w:cs="Times New Roman"/>
          <w:bCs/>
          <w:iCs/>
          <w:sz w:val="24"/>
          <w:szCs w:val="24"/>
        </w:rPr>
        <w:t xml:space="preserve"> </w:t>
      </w:r>
    </w:p>
    <w:p w14:paraId="5A470595" w14:textId="77777777" w:rsidR="00B04715" w:rsidRPr="00957BEB" w:rsidRDefault="00B04715" w:rsidP="00957BEB">
      <w:pPr>
        <w:spacing w:after="120" w:line="276" w:lineRule="auto"/>
        <w:jc w:val="both"/>
        <w:rPr>
          <w:rFonts w:ascii="Times New Roman" w:hAnsi="Times New Roman" w:cs="Times New Roman"/>
          <w:bCs/>
          <w:i/>
          <w:iCs/>
          <w:sz w:val="24"/>
          <w:szCs w:val="24"/>
        </w:rPr>
      </w:pPr>
    </w:p>
    <w:p w14:paraId="5A470596" w14:textId="77777777" w:rsidR="00B04715" w:rsidRPr="00957BEB" w:rsidRDefault="00B04715" w:rsidP="00957BEB">
      <w:pPr>
        <w:spacing w:after="120" w:line="276" w:lineRule="auto"/>
        <w:jc w:val="both"/>
        <w:rPr>
          <w:rFonts w:ascii="Times New Roman" w:hAnsi="Times New Roman" w:cs="Times New Roman"/>
          <w:bCs/>
          <w:iCs/>
          <w:sz w:val="24"/>
          <w:szCs w:val="24"/>
        </w:rPr>
      </w:pPr>
      <w:r w:rsidRPr="00957BEB">
        <w:rPr>
          <w:rFonts w:ascii="Times New Roman" w:hAnsi="Times New Roman" w:cs="Times New Roman"/>
          <w:bCs/>
          <w:i/>
          <w:iCs/>
          <w:sz w:val="24"/>
          <w:szCs w:val="24"/>
        </w:rPr>
        <w:t xml:space="preserve">Key words: </w:t>
      </w:r>
      <w:r w:rsidR="000C54A9">
        <w:rPr>
          <w:rFonts w:ascii="Times New Roman" w:hAnsi="Times New Roman" w:cs="Times New Roman"/>
          <w:bCs/>
          <w:iCs/>
          <w:sz w:val="24"/>
          <w:szCs w:val="24"/>
        </w:rPr>
        <w:t>Financial Risk Management, Corporate Performance, Operational Risks, Liquidity Risks</w:t>
      </w:r>
    </w:p>
    <w:p w14:paraId="5A470597" w14:textId="77777777" w:rsidR="00B04715" w:rsidRPr="00957BEB" w:rsidRDefault="00B04715" w:rsidP="00957BEB">
      <w:pPr>
        <w:spacing w:after="120" w:line="276" w:lineRule="auto"/>
        <w:jc w:val="both"/>
        <w:rPr>
          <w:rFonts w:ascii="Times New Roman" w:hAnsi="Times New Roman" w:cs="Times New Roman"/>
          <w:bCs/>
          <w:iCs/>
          <w:sz w:val="24"/>
          <w:szCs w:val="24"/>
        </w:rPr>
      </w:pPr>
    </w:p>
    <w:p w14:paraId="5A470598" w14:textId="77777777" w:rsidR="00B04715" w:rsidRPr="00957BEB" w:rsidRDefault="00077164" w:rsidP="00957BEB">
      <w:pPr>
        <w:pStyle w:val="Heading1"/>
        <w:spacing w:before="0" w:after="120" w:line="276" w:lineRule="auto"/>
        <w:rPr>
          <w:rFonts w:cs="Times New Roman"/>
          <w:szCs w:val="24"/>
        </w:rPr>
      </w:pPr>
      <w:r w:rsidRPr="00957BEB">
        <w:rPr>
          <w:rFonts w:cs="Times New Roman"/>
          <w:szCs w:val="24"/>
        </w:rPr>
        <w:t>1.0 Introduction</w:t>
      </w:r>
    </w:p>
    <w:p w14:paraId="5A470599" w14:textId="77777777" w:rsidR="00A4659F" w:rsidRPr="00957BEB" w:rsidRDefault="003C6FD9"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Small-scale firms </w:t>
      </w:r>
      <w:r w:rsidR="00A4659F" w:rsidRPr="00957BEB">
        <w:rPr>
          <w:rFonts w:ascii="Times New Roman" w:eastAsia="Times New Roman" w:hAnsi="Times New Roman" w:cs="Times New Roman"/>
          <w:sz w:val="24"/>
          <w:szCs w:val="24"/>
        </w:rPr>
        <w:t xml:space="preserve">are pivotal to the economic development of nations worldwide. In Nigeria, these enterprises constitute a significant portion of the business </w:t>
      </w:r>
      <w:r w:rsidR="005848C0">
        <w:rPr>
          <w:rFonts w:ascii="Times New Roman" w:eastAsia="Times New Roman" w:hAnsi="Times New Roman" w:cs="Times New Roman"/>
          <w:sz w:val="24"/>
          <w:szCs w:val="24"/>
        </w:rPr>
        <w:t>domain</w:t>
      </w:r>
      <w:r w:rsidR="00A4659F" w:rsidRPr="00957BEB">
        <w:rPr>
          <w:rFonts w:ascii="Times New Roman" w:eastAsia="Times New Roman" w:hAnsi="Times New Roman" w:cs="Times New Roman"/>
          <w:sz w:val="24"/>
          <w:szCs w:val="24"/>
        </w:rPr>
        <w:t>, contributing substantially to employment generation, poverty alleviation, and the Gross Domestic Product (GDP)</w:t>
      </w:r>
      <w:r w:rsidR="005848C0">
        <w:rPr>
          <w:rFonts w:ascii="Times New Roman" w:eastAsia="Times New Roman" w:hAnsi="Times New Roman" w:cs="Times New Roman"/>
          <w:sz w:val="24"/>
          <w:szCs w:val="24"/>
        </w:rPr>
        <w:t xml:space="preserve"> (</w:t>
      </w:r>
      <w:proofErr w:type="spellStart"/>
      <w:r w:rsidR="005848C0">
        <w:rPr>
          <w:rFonts w:ascii="Times New Roman" w:hAnsi="Times New Roman" w:cs="Times New Roman"/>
          <w:sz w:val="24"/>
          <w:szCs w:val="24"/>
        </w:rPr>
        <w:t>Nwagbala</w:t>
      </w:r>
      <w:proofErr w:type="spellEnd"/>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Harrieta</w:t>
      </w:r>
      <w:proofErr w:type="spellEnd"/>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Obijiaku</w:t>
      </w:r>
      <w:proofErr w:type="spellEnd"/>
      <w:r w:rsidR="005848C0" w:rsidRPr="00C42352">
        <w:rPr>
          <w:rFonts w:ascii="Times New Roman" w:hAnsi="Times New Roman" w:cs="Times New Roman"/>
          <w:sz w:val="24"/>
          <w:szCs w:val="24"/>
        </w:rPr>
        <w:t xml:space="preserve"> &amp; </w:t>
      </w:r>
      <w:proofErr w:type="spellStart"/>
      <w:r w:rsidR="005848C0">
        <w:rPr>
          <w:rFonts w:ascii="Times New Roman" w:hAnsi="Times New Roman" w:cs="Times New Roman"/>
          <w:sz w:val="24"/>
          <w:szCs w:val="24"/>
        </w:rPr>
        <w:t>Ejiogu</w:t>
      </w:r>
      <w:proofErr w:type="spellEnd"/>
      <w:r w:rsidR="005848C0">
        <w:rPr>
          <w:rFonts w:ascii="Times New Roman" w:hAnsi="Times New Roman" w:cs="Times New Roman"/>
          <w:sz w:val="24"/>
          <w:szCs w:val="24"/>
        </w:rPr>
        <w:t xml:space="preserve">, </w:t>
      </w:r>
      <w:r w:rsidR="005848C0" w:rsidRPr="00C42352">
        <w:rPr>
          <w:rFonts w:ascii="Times New Roman" w:hAnsi="Times New Roman" w:cs="Times New Roman"/>
          <w:sz w:val="24"/>
          <w:szCs w:val="24"/>
        </w:rPr>
        <w:t>2024</w:t>
      </w:r>
      <w:r w:rsidR="005848C0">
        <w:rPr>
          <w:rFonts w:ascii="Times New Roman" w:hAnsi="Times New Roman" w:cs="Times New Roman"/>
          <w:sz w:val="24"/>
          <w:szCs w:val="24"/>
        </w:rPr>
        <w:t xml:space="preserve">; </w:t>
      </w:r>
      <w:proofErr w:type="spellStart"/>
      <w:r w:rsidR="005848C0">
        <w:rPr>
          <w:rFonts w:ascii="Times New Roman" w:hAnsi="Times New Roman" w:cs="Times New Roman"/>
          <w:sz w:val="24"/>
          <w:szCs w:val="24"/>
        </w:rPr>
        <w:t>Ibitomi</w:t>
      </w:r>
      <w:proofErr w:type="spellEnd"/>
      <w:r w:rsidR="005848C0">
        <w:rPr>
          <w:rFonts w:ascii="Times New Roman" w:hAnsi="Times New Roman" w:cs="Times New Roman"/>
          <w:sz w:val="24"/>
          <w:szCs w:val="24"/>
        </w:rPr>
        <w:t xml:space="preserve">, Dada, </w:t>
      </w:r>
      <w:proofErr w:type="spellStart"/>
      <w:r w:rsidR="005848C0" w:rsidRPr="00C42352">
        <w:rPr>
          <w:rFonts w:ascii="Times New Roman" w:hAnsi="Times New Roman" w:cs="Times New Roman"/>
          <w:sz w:val="24"/>
          <w:szCs w:val="24"/>
        </w:rPr>
        <w:t>Ayedogbon</w:t>
      </w:r>
      <w:proofErr w:type="spellEnd"/>
      <w:r w:rsidR="005848C0" w:rsidRPr="00C42352">
        <w:rPr>
          <w:rFonts w:ascii="Times New Roman" w:hAnsi="Times New Roman" w:cs="Times New Roman"/>
          <w:sz w:val="24"/>
          <w:szCs w:val="24"/>
        </w:rPr>
        <w:t xml:space="preserve">, </w:t>
      </w:r>
      <w:r w:rsidR="005848C0">
        <w:rPr>
          <w:rFonts w:ascii="Times New Roman" w:hAnsi="Times New Roman" w:cs="Times New Roman"/>
          <w:sz w:val="24"/>
          <w:szCs w:val="24"/>
        </w:rPr>
        <w:t xml:space="preserve">Micah &amp; Aderotimi, </w:t>
      </w:r>
      <w:r w:rsidR="005848C0" w:rsidRPr="00C42352">
        <w:rPr>
          <w:rFonts w:ascii="Times New Roman" w:hAnsi="Times New Roman" w:cs="Times New Roman"/>
          <w:sz w:val="24"/>
          <w:szCs w:val="24"/>
        </w:rPr>
        <w:t>2024)</w:t>
      </w:r>
      <w:r w:rsidR="00A4659F" w:rsidRPr="00957BEB">
        <w:rPr>
          <w:rFonts w:ascii="Times New Roman" w:eastAsia="Times New Roman" w:hAnsi="Times New Roman" w:cs="Times New Roman"/>
          <w:sz w:val="24"/>
          <w:szCs w:val="24"/>
        </w:rPr>
        <w:t xml:space="preserve">. Despite their importance, small-scale firms in Nigeria face numerous challenges that hinder their growth and sustainability. Among these challenges, financial risks </w:t>
      </w:r>
      <w:r w:rsidR="00A4659F" w:rsidRPr="00957BEB">
        <w:rPr>
          <w:rFonts w:ascii="Times New Roman" w:eastAsia="Times New Roman" w:hAnsi="Times New Roman" w:cs="Times New Roman"/>
          <w:sz w:val="24"/>
          <w:szCs w:val="24"/>
        </w:rPr>
        <w:lastRenderedPageBreak/>
        <w:t xml:space="preserve">stand out as a critical concern. </w:t>
      </w:r>
      <w:r w:rsidR="00777D51">
        <w:rPr>
          <w:rFonts w:ascii="Times New Roman" w:eastAsia="Times New Roman" w:hAnsi="Times New Roman" w:cs="Times New Roman"/>
          <w:sz w:val="24"/>
          <w:szCs w:val="24"/>
        </w:rPr>
        <w:t xml:space="preserve">According to </w:t>
      </w:r>
      <w:proofErr w:type="spellStart"/>
      <w:r w:rsidR="00777D51" w:rsidRPr="00AE301C">
        <w:rPr>
          <w:rFonts w:ascii="Times New Roman" w:hAnsi="Times New Roman" w:cs="Times New Roman"/>
          <w:sz w:val="24"/>
          <w:szCs w:val="24"/>
        </w:rPr>
        <w:t>Newstyle</w:t>
      </w:r>
      <w:proofErr w:type="spellEnd"/>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Isele</w:t>
      </w:r>
      <w:proofErr w:type="spellEnd"/>
      <w:r w:rsidR="00777D51" w:rsidRPr="00AE301C">
        <w:rPr>
          <w:rFonts w:ascii="Times New Roman" w:hAnsi="Times New Roman" w:cs="Times New Roman"/>
          <w:sz w:val="24"/>
          <w:szCs w:val="24"/>
        </w:rPr>
        <w:t xml:space="preserve">, and </w:t>
      </w:r>
      <w:proofErr w:type="spellStart"/>
      <w:r w:rsidR="00777D51" w:rsidRPr="00AE301C">
        <w:rPr>
          <w:rFonts w:ascii="Times New Roman" w:hAnsi="Times New Roman" w:cs="Times New Roman"/>
          <w:sz w:val="24"/>
          <w:szCs w:val="24"/>
        </w:rPr>
        <w:t>Tekerebo</w:t>
      </w:r>
      <w:proofErr w:type="spellEnd"/>
      <w:r w:rsidR="00777D51" w:rsidRPr="00AE301C">
        <w:rPr>
          <w:rFonts w:ascii="Times New Roman" w:hAnsi="Times New Roman" w:cs="Times New Roman"/>
          <w:sz w:val="24"/>
          <w:szCs w:val="24"/>
        </w:rPr>
        <w:t xml:space="preserve"> (2024)</w:t>
      </w:r>
      <w:r w:rsidR="00262D81">
        <w:rPr>
          <w:rFonts w:ascii="Times New Roman" w:hAnsi="Times New Roman" w:cs="Times New Roman"/>
          <w:sz w:val="24"/>
          <w:szCs w:val="24"/>
        </w:rPr>
        <w:t xml:space="preserve"> and Nwafor and Nworie </w:t>
      </w:r>
      <w:r w:rsidR="00262D81" w:rsidRPr="00EA1C50">
        <w:rPr>
          <w:rFonts w:ascii="Times New Roman" w:hAnsi="Times New Roman" w:cs="Times New Roman"/>
          <w:sz w:val="24"/>
          <w:szCs w:val="24"/>
        </w:rPr>
        <w:t>(2025)</w:t>
      </w:r>
      <w:r w:rsidR="00777D51">
        <w:rPr>
          <w:rFonts w:ascii="Times New Roman" w:hAnsi="Times New Roman" w:cs="Times New Roman"/>
          <w:sz w:val="24"/>
          <w:szCs w:val="24"/>
        </w:rPr>
        <w:t>, f</w:t>
      </w:r>
      <w:r w:rsidR="00A4659F" w:rsidRPr="00957BEB">
        <w:rPr>
          <w:rFonts w:ascii="Times New Roman" w:eastAsia="Times New Roman" w:hAnsi="Times New Roman" w:cs="Times New Roman"/>
          <w:sz w:val="24"/>
          <w:szCs w:val="24"/>
        </w:rPr>
        <w:t>inancial risks encompass various uncertainties that can adversely affect a firm's financial health, including credit risk, liquidity risk, interest rate fluctuations, and foreign exchange volatility. The dynamic and often volatile economic environment in Nigeria exacerbates these risks, making it imperative for small-scale firms to adopt effective financial risk management practices to ensure their survival and competitiveness</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00A4659F" w:rsidRPr="00957BEB">
        <w:rPr>
          <w:rFonts w:ascii="Times New Roman" w:eastAsia="Times New Roman" w:hAnsi="Times New Roman" w:cs="Times New Roman"/>
          <w:sz w:val="24"/>
          <w:szCs w:val="24"/>
        </w:rPr>
        <w:t>.</w:t>
      </w:r>
    </w:p>
    <w:p w14:paraId="5A47059A" w14:textId="77777777" w:rsidR="00A4659F" w:rsidRPr="00957BEB" w:rsidRDefault="00A4659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In the contemporary business milieu, characterized by rapid technological advancements, globalization, and economic uncertainties</w:t>
      </w:r>
      <w:r w:rsidR="00B570E4">
        <w:rPr>
          <w:rFonts w:ascii="Times New Roman" w:eastAsia="Times New Roman" w:hAnsi="Times New Roman" w:cs="Times New Roman"/>
          <w:sz w:val="24"/>
          <w:szCs w:val="24"/>
        </w:rPr>
        <w:t xml:space="preserve"> (</w:t>
      </w:r>
      <w:r w:rsidR="00B570E4">
        <w:rPr>
          <w:rFonts w:ascii="Times New Roman" w:hAnsi="Times New Roman" w:cs="Times New Roman"/>
          <w:sz w:val="24"/>
          <w:szCs w:val="24"/>
        </w:rPr>
        <w:t xml:space="preserve">Nworie, Odah &amp; Nworie, </w:t>
      </w:r>
      <w:r w:rsidR="00B570E4" w:rsidRPr="00CD57C7">
        <w:rPr>
          <w:rFonts w:ascii="Times New Roman" w:hAnsi="Times New Roman" w:cs="Times New Roman"/>
          <w:sz w:val="24"/>
          <w:szCs w:val="24"/>
        </w:rPr>
        <w:t>2024</w:t>
      </w:r>
      <w:r w:rsidR="00B570E4">
        <w:rPr>
          <w:rFonts w:ascii="Times New Roman" w:hAnsi="Times New Roman" w:cs="Times New Roman"/>
          <w:sz w:val="24"/>
          <w:szCs w:val="24"/>
        </w:rPr>
        <w:t xml:space="preserve">; </w:t>
      </w:r>
      <w:proofErr w:type="spellStart"/>
      <w:r w:rsidR="00B570E4" w:rsidRPr="003156CB">
        <w:rPr>
          <w:rFonts w:ascii="Times New Roman" w:hAnsi="Times New Roman" w:cs="Times New Roman"/>
          <w:sz w:val="24"/>
          <w:szCs w:val="24"/>
        </w:rPr>
        <w:t>Mm</w:t>
      </w:r>
      <w:r w:rsidR="00B570E4">
        <w:rPr>
          <w:rFonts w:ascii="Times New Roman" w:hAnsi="Times New Roman" w:cs="Times New Roman"/>
          <w:sz w:val="24"/>
          <w:szCs w:val="24"/>
        </w:rPr>
        <w:t>adubuobi</w:t>
      </w:r>
      <w:proofErr w:type="spellEnd"/>
      <w:r w:rsidR="00B570E4">
        <w:rPr>
          <w:rFonts w:ascii="Times New Roman" w:hAnsi="Times New Roman" w:cs="Times New Roman"/>
          <w:sz w:val="24"/>
          <w:szCs w:val="24"/>
        </w:rPr>
        <w:t>, Nworie</w:t>
      </w:r>
      <w:r w:rsidR="00B570E4" w:rsidRPr="003156CB">
        <w:rPr>
          <w:rFonts w:ascii="Times New Roman" w:hAnsi="Times New Roman" w:cs="Times New Roman"/>
          <w:sz w:val="24"/>
          <w:szCs w:val="24"/>
        </w:rPr>
        <w:t xml:space="preserve"> &amp;</w:t>
      </w:r>
      <w:r w:rsidR="00B570E4">
        <w:rPr>
          <w:rFonts w:ascii="Times New Roman" w:hAnsi="Times New Roman" w:cs="Times New Roman"/>
          <w:sz w:val="24"/>
          <w:szCs w:val="24"/>
        </w:rPr>
        <w:t xml:space="preserve"> </w:t>
      </w:r>
      <w:proofErr w:type="spellStart"/>
      <w:r w:rsidR="00B570E4">
        <w:rPr>
          <w:rFonts w:ascii="Times New Roman" w:hAnsi="Times New Roman" w:cs="Times New Roman"/>
          <w:sz w:val="24"/>
          <w:szCs w:val="24"/>
        </w:rPr>
        <w:t>Aziekwe</w:t>
      </w:r>
      <w:proofErr w:type="spellEnd"/>
      <w:r w:rsidR="00B570E4">
        <w:rPr>
          <w:rFonts w:ascii="Times New Roman" w:hAnsi="Times New Roman" w:cs="Times New Roman"/>
          <w:sz w:val="24"/>
          <w:szCs w:val="24"/>
        </w:rPr>
        <w:t>, 2024</w:t>
      </w:r>
      <w:r w:rsidR="00B570E4" w:rsidRPr="00CD57C7">
        <w:rPr>
          <w:rFonts w:ascii="Times New Roman" w:hAnsi="Times New Roman" w:cs="Times New Roman"/>
          <w:sz w:val="24"/>
          <w:szCs w:val="24"/>
        </w:rPr>
        <w:t>)</w:t>
      </w:r>
      <w:r w:rsidRPr="00957BEB">
        <w:rPr>
          <w:rFonts w:ascii="Times New Roman" w:eastAsia="Times New Roman" w:hAnsi="Times New Roman" w:cs="Times New Roman"/>
          <w:sz w:val="24"/>
          <w:szCs w:val="24"/>
        </w:rPr>
        <w:t xml:space="preserve">, effective financial risk management has become indispensable. For small-scale firms operating in Nigeria's complex economic landscape, the ability to identify, assess, and mitigate financial risks is crucial for maintaining financial stability and achieving long-term objectives. </w:t>
      </w:r>
      <w:proofErr w:type="spellStart"/>
      <w:r w:rsidR="00BE432D" w:rsidRPr="00AE301C">
        <w:rPr>
          <w:rFonts w:ascii="Times New Roman" w:hAnsi="Times New Roman" w:cs="Times New Roman"/>
          <w:sz w:val="24"/>
          <w:szCs w:val="24"/>
        </w:rPr>
        <w:t>Odukomaiya</w:t>
      </w:r>
      <w:proofErr w:type="spellEnd"/>
      <w:r w:rsidR="00BE432D" w:rsidRPr="00AE301C">
        <w:rPr>
          <w:rFonts w:ascii="Times New Roman" w:hAnsi="Times New Roman" w:cs="Times New Roman"/>
          <w:sz w:val="24"/>
          <w:szCs w:val="24"/>
        </w:rPr>
        <w:t xml:space="preserve"> (2023)</w:t>
      </w:r>
      <w:r w:rsidR="00BE432D">
        <w:rPr>
          <w:rFonts w:ascii="Times New Roman" w:hAnsi="Times New Roman" w:cs="Times New Roman"/>
          <w:sz w:val="24"/>
          <w:szCs w:val="24"/>
        </w:rPr>
        <w:t xml:space="preserve"> submitted that e</w:t>
      </w:r>
      <w:r w:rsidRPr="00957BEB">
        <w:rPr>
          <w:rFonts w:ascii="Times New Roman" w:eastAsia="Times New Roman" w:hAnsi="Times New Roman" w:cs="Times New Roman"/>
          <w:sz w:val="24"/>
          <w:szCs w:val="24"/>
        </w:rPr>
        <w:t>ffective financial risk management enables firms to anticipate potential financial disruptions, allocate resources efficiently, and make informed strategic decisions. It also enhances a firm's credibility with investors, creditors, and other stakeholders by demonstrating a proactive approach to managing financial uncertainties. Moreover, in an era where financial markets are increasingly interconnected, the ripple effects of financial shocks can be profound, underscoring the need for robust risk management frameworks that can withstand external pressures and safeguard a firm's financial integrity.</w:t>
      </w:r>
    </w:p>
    <w:p w14:paraId="5A47059B" w14:textId="55E710ED" w:rsidR="00A4659F" w:rsidRPr="00957BEB" w:rsidRDefault="00A4659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implementation of sound financial risk management practices has a direct and significant impact on the corporate performance of small-scale firms. By systematically identifying and mitigating financial risks, firms can protect their assets, ensure steady cash flows, and maintain profitability</w:t>
      </w:r>
      <w:r w:rsidR="00BE432D">
        <w:rPr>
          <w:rFonts w:ascii="Times New Roman" w:eastAsia="Times New Roman" w:hAnsi="Times New Roman" w:cs="Times New Roman"/>
          <w:sz w:val="24"/>
          <w:szCs w:val="24"/>
        </w:rPr>
        <w:t xml:space="preserve"> (</w:t>
      </w:r>
      <w:proofErr w:type="spellStart"/>
      <w:r w:rsidR="00BE432D">
        <w:rPr>
          <w:rFonts w:ascii="Times New Roman" w:hAnsi="Times New Roman" w:cs="Times New Roman"/>
          <w:sz w:val="24"/>
          <w:szCs w:val="24"/>
        </w:rPr>
        <w:t>Rabiu</w:t>
      </w:r>
      <w:proofErr w:type="spellEnd"/>
      <w:r w:rsidR="00BE432D">
        <w:rPr>
          <w:rFonts w:ascii="Times New Roman" w:hAnsi="Times New Roman" w:cs="Times New Roman"/>
          <w:sz w:val="24"/>
          <w:szCs w:val="24"/>
        </w:rPr>
        <w:t xml:space="preserve">, </w:t>
      </w:r>
      <w:r w:rsidR="00BE432D" w:rsidRPr="00AE301C">
        <w:rPr>
          <w:rFonts w:ascii="Times New Roman" w:hAnsi="Times New Roman" w:cs="Times New Roman"/>
          <w:sz w:val="24"/>
          <w:szCs w:val="24"/>
        </w:rPr>
        <w:t>2023</w:t>
      </w:r>
      <w:r w:rsidR="00D76C1E">
        <w:rPr>
          <w:rFonts w:ascii="Times New Roman" w:hAnsi="Times New Roman" w:cs="Times New Roman"/>
          <w:sz w:val="24"/>
          <w:szCs w:val="24"/>
        </w:rPr>
        <w:t xml:space="preserve">; </w:t>
      </w:r>
      <w:proofErr w:type="spellStart"/>
      <w:r w:rsidR="00D76C1E">
        <w:rPr>
          <w:rFonts w:ascii="Times New Roman" w:hAnsi="Times New Roman" w:cs="Times New Roman"/>
          <w:color w:val="222222"/>
          <w:sz w:val="24"/>
          <w:szCs w:val="24"/>
          <w:shd w:val="clear" w:color="auto" w:fill="FFFFFF"/>
        </w:rPr>
        <w:t>Karami</w:t>
      </w:r>
      <w:proofErr w:type="spellEnd"/>
      <w:r w:rsidR="00D76C1E">
        <w:rPr>
          <w:rFonts w:ascii="Times New Roman" w:hAnsi="Times New Roman" w:cs="Times New Roman"/>
          <w:color w:val="222222"/>
          <w:sz w:val="24"/>
          <w:szCs w:val="24"/>
          <w:shd w:val="clear" w:color="auto" w:fill="FFFFFF"/>
        </w:rPr>
        <w:t xml:space="preserve">, </w:t>
      </w:r>
      <w:proofErr w:type="spellStart"/>
      <w:r w:rsidR="00D76C1E">
        <w:rPr>
          <w:rFonts w:ascii="Times New Roman" w:hAnsi="Times New Roman" w:cs="Times New Roman"/>
          <w:color w:val="222222"/>
          <w:sz w:val="24"/>
          <w:szCs w:val="24"/>
          <w:shd w:val="clear" w:color="auto" w:fill="FFFFFF"/>
        </w:rPr>
        <w:t>Samimi</w:t>
      </w:r>
      <w:proofErr w:type="spellEnd"/>
      <w:r w:rsidR="00D76C1E">
        <w:rPr>
          <w:rFonts w:ascii="Times New Roman" w:hAnsi="Times New Roman" w:cs="Times New Roman"/>
          <w:color w:val="222222"/>
          <w:sz w:val="24"/>
          <w:szCs w:val="24"/>
          <w:shd w:val="clear" w:color="auto" w:fill="FFFFFF"/>
        </w:rPr>
        <w:t xml:space="preserve"> &amp; </w:t>
      </w:r>
      <w:proofErr w:type="spellStart"/>
      <w:r w:rsidR="00D76C1E">
        <w:rPr>
          <w:rFonts w:ascii="Times New Roman" w:hAnsi="Times New Roman" w:cs="Times New Roman"/>
          <w:color w:val="222222"/>
          <w:sz w:val="24"/>
          <w:szCs w:val="24"/>
          <w:shd w:val="clear" w:color="auto" w:fill="FFFFFF"/>
        </w:rPr>
        <w:t>Ja'fari</w:t>
      </w:r>
      <w:proofErr w:type="spellEnd"/>
      <w:r w:rsidR="00D76C1E">
        <w:rPr>
          <w:rFonts w:ascii="Times New Roman" w:hAnsi="Times New Roman" w:cs="Times New Roman"/>
          <w:color w:val="222222"/>
          <w:sz w:val="24"/>
          <w:szCs w:val="24"/>
          <w:shd w:val="clear" w:color="auto" w:fill="FFFFFF"/>
        </w:rPr>
        <w:t xml:space="preserve">, </w:t>
      </w:r>
      <w:r w:rsidR="00D76C1E" w:rsidRPr="0031183C">
        <w:rPr>
          <w:rFonts w:ascii="Times New Roman" w:hAnsi="Times New Roman" w:cs="Times New Roman"/>
          <w:color w:val="222222"/>
          <w:sz w:val="24"/>
          <w:szCs w:val="24"/>
          <w:shd w:val="clear" w:color="auto" w:fill="FFFFFF"/>
        </w:rPr>
        <w:t>2020</w:t>
      </w:r>
      <w:r w:rsidR="00D76C1E">
        <w:rPr>
          <w:rFonts w:ascii="Times New Roman" w:hAnsi="Times New Roman" w:cs="Times New Roman"/>
          <w:color w:val="222222"/>
          <w:sz w:val="24"/>
          <w:szCs w:val="24"/>
          <w:shd w:val="clear" w:color="auto" w:fill="FFFFFF"/>
        </w:rPr>
        <w:t xml:space="preserve">; </w:t>
      </w:r>
      <w:proofErr w:type="spellStart"/>
      <w:r w:rsidR="00D76C1E">
        <w:rPr>
          <w:rFonts w:ascii="Times New Roman" w:hAnsi="Times New Roman" w:cs="Times New Roman"/>
          <w:color w:val="222222"/>
          <w:sz w:val="24"/>
          <w:szCs w:val="24"/>
          <w:shd w:val="clear" w:color="auto" w:fill="FFFFFF"/>
        </w:rPr>
        <w:t>Stulz</w:t>
      </w:r>
      <w:proofErr w:type="spellEnd"/>
      <w:r w:rsidR="00D76C1E">
        <w:rPr>
          <w:rFonts w:ascii="Times New Roman" w:hAnsi="Times New Roman" w:cs="Times New Roman"/>
          <w:color w:val="222222"/>
          <w:sz w:val="24"/>
          <w:szCs w:val="24"/>
          <w:shd w:val="clear" w:color="auto" w:fill="FFFFFF"/>
        </w:rPr>
        <w:t>, 2024</w:t>
      </w:r>
      <w:r w:rsidR="00BE432D" w:rsidRPr="00AE301C">
        <w:rPr>
          <w:rFonts w:ascii="Times New Roman" w:hAnsi="Times New Roman" w:cs="Times New Roman"/>
          <w:sz w:val="24"/>
          <w:szCs w:val="24"/>
        </w:rPr>
        <w:t>)</w:t>
      </w:r>
      <w:r w:rsidRPr="00957BEB">
        <w:rPr>
          <w:rFonts w:ascii="Times New Roman" w:eastAsia="Times New Roman" w:hAnsi="Times New Roman" w:cs="Times New Roman"/>
          <w:sz w:val="24"/>
          <w:szCs w:val="24"/>
        </w:rPr>
        <w:t>. Effective risk management contributes to operational efficiency by minimizing unexpected financial losses and enabling firms to capitalize on growth opportunities with greater confidence. It also fosters a culture of accountability and strategic foresight, which are essential for sustainable performance. Empirical studies have shown that firms with robust financial risk management frameworks tend to exhibit higher levels of financial performance, as they are better equipped to navigate economic downturns and capitalize on favorable market conditions</w:t>
      </w:r>
      <w:r w:rsidR="00BE432D">
        <w:rPr>
          <w:rFonts w:ascii="Times New Roman" w:eastAsia="Times New Roman" w:hAnsi="Times New Roman" w:cs="Times New Roman"/>
          <w:sz w:val="24"/>
          <w:szCs w:val="24"/>
        </w:rPr>
        <w:t xml:space="preserve"> (</w:t>
      </w:r>
      <w:proofErr w:type="spellStart"/>
      <w:r w:rsidR="00BE432D">
        <w:rPr>
          <w:rFonts w:ascii="Times New Roman" w:hAnsi="Times New Roman" w:cs="Times New Roman"/>
          <w:sz w:val="24"/>
          <w:szCs w:val="24"/>
        </w:rPr>
        <w:t>Isamade</w:t>
      </w:r>
      <w:proofErr w:type="spellEnd"/>
      <w:r w:rsidR="00BE432D">
        <w:rPr>
          <w:rFonts w:ascii="Times New Roman" w:hAnsi="Times New Roman" w:cs="Times New Roman"/>
          <w:sz w:val="24"/>
          <w:szCs w:val="24"/>
        </w:rPr>
        <w:t xml:space="preserve">, </w:t>
      </w:r>
      <w:proofErr w:type="spellStart"/>
      <w:r w:rsidR="00BE432D">
        <w:rPr>
          <w:rFonts w:ascii="Times New Roman" w:hAnsi="Times New Roman" w:cs="Times New Roman"/>
          <w:sz w:val="24"/>
          <w:szCs w:val="24"/>
        </w:rPr>
        <w:t>Udeh</w:t>
      </w:r>
      <w:proofErr w:type="spellEnd"/>
      <w:r w:rsidR="00BE432D">
        <w:rPr>
          <w:rFonts w:ascii="Times New Roman" w:hAnsi="Times New Roman" w:cs="Times New Roman"/>
          <w:sz w:val="24"/>
          <w:szCs w:val="24"/>
        </w:rPr>
        <w:t xml:space="preserve"> &amp; </w:t>
      </w:r>
      <w:proofErr w:type="spellStart"/>
      <w:r w:rsidR="00BE432D">
        <w:rPr>
          <w:rFonts w:ascii="Times New Roman" w:hAnsi="Times New Roman" w:cs="Times New Roman"/>
          <w:sz w:val="24"/>
          <w:szCs w:val="24"/>
        </w:rPr>
        <w:t>Odo</w:t>
      </w:r>
      <w:proofErr w:type="spellEnd"/>
      <w:r w:rsidR="00BE432D">
        <w:rPr>
          <w:rFonts w:ascii="Times New Roman" w:hAnsi="Times New Roman" w:cs="Times New Roman"/>
          <w:sz w:val="24"/>
          <w:szCs w:val="24"/>
        </w:rPr>
        <w:t xml:space="preserve">, 2022; </w:t>
      </w:r>
      <w:proofErr w:type="spellStart"/>
      <w:r w:rsidR="00BE432D">
        <w:rPr>
          <w:rFonts w:ascii="Times New Roman" w:hAnsi="Times New Roman" w:cs="Times New Roman"/>
          <w:sz w:val="24"/>
          <w:szCs w:val="24"/>
        </w:rPr>
        <w:t>Ojubanire</w:t>
      </w:r>
      <w:proofErr w:type="spellEnd"/>
      <w:r w:rsidR="00BE432D">
        <w:rPr>
          <w:rFonts w:ascii="Times New Roman" w:hAnsi="Times New Roman" w:cs="Times New Roman"/>
          <w:sz w:val="24"/>
          <w:szCs w:val="24"/>
        </w:rPr>
        <w:t xml:space="preserve"> &amp; </w:t>
      </w:r>
      <w:proofErr w:type="spellStart"/>
      <w:r w:rsidR="00BE432D">
        <w:rPr>
          <w:rFonts w:ascii="Times New Roman" w:hAnsi="Times New Roman" w:cs="Times New Roman"/>
          <w:sz w:val="24"/>
          <w:szCs w:val="24"/>
        </w:rPr>
        <w:t>Dawodu</w:t>
      </w:r>
      <w:proofErr w:type="spellEnd"/>
      <w:r w:rsidR="00BE432D">
        <w:rPr>
          <w:rFonts w:ascii="Times New Roman" w:hAnsi="Times New Roman" w:cs="Times New Roman"/>
          <w:sz w:val="24"/>
          <w:szCs w:val="24"/>
        </w:rPr>
        <w:t xml:space="preserve">, </w:t>
      </w:r>
      <w:r w:rsidR="00BE432D" w:rsidRPr="00AE301C">
        <w:rPr>
          <w:rFonts w:ascii="Times New Roman" w:hAnsi="Times New Roman" w:cs="Times New Roman"/>
          <w:sz w:val="24"/>
          <w:szCs w:val="24"/>
        </w:rPr>
        <w:t>2021)</w:t>
      </w:r>
      <w:r w:rsidRPr="00957BEB">
        <w:rPr>
          <w:rFonts w:ascii="Times New Roman" w:eastAsia="Times New Roman" w:hAnsi="Times New Roman" w:cs="Times New Roman"/>
          <w:sz w:val="24"/>
          <w:szCs w:val="24"/>
        </w:rPr>
        <w:t>. In the context of Nigerian small-scale firms, where financial volatility is a persistent challenge, the adoption of comprehensive risk management strategies is not merely a defensive measure but a strategic imperative that can drive corporate success and resilience.</w:t>
      </w:r>
    </w:p>
    <w:p w14:paraId="5A47059C" w14:textId="77777777" w:rsidR="009B6AB5" w:rsidRPr="00957BEB" w:rsidRDefault="00BA64D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In an ideal business environment, small-scale firms should be able to thrive and grow by leveraging sound financial strategies, including effective financial risk management practices. These practices are expected to help firms anticipate, manage, and mitigate various forms of financial risks such as credit defaults, liquidity shortages, market fluctuations, and operational uncertainties</w:t>
      </w:r>
      <w:r w:rsidR="00BE432D">
        <w:rPr>
          <w:rFonts w:ascii="Times New Roman" w:eastAsia="Times New Roman" w:hAnsi="Times New Roman" w:cs="Times New Roman"/>
          <w:sz w:val="24"/>
          <w:szCs w:val="24"/>
        </w:rPr>
        <w:t xml:space="preserve"> (</w:t>
      </w:r>
      <w:r w:rsidR="00BE432D">
        <w:rPr>
          <w:rFonts w:ascii="Times New Roman" w:hAnsi="Times New Roman" w:cs="Times New Roman"/>
          <w:sz w:val="24"/>
          <w:szCs w:val="24"/>
        </w:rPr>
        <w:t xml:space="preserve">Rabiu, </w:t>
      </w:r>
      <w:r w:rsidR="00BE432D"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xml:space="preserve">. When properly implemented, financial risk management ensures financial stability, enhances decision-making, improves operational efficiency, and supports the achievement of long-term strategic goals. Ideally, small-scale firms should be equipped with the necessary tools, knowledge, and systems to manage financial risks effectively and </w:t>
      </w:r>
      <w:r w:rsidRPr="00957BEB">
        <w:rPr>
          <w:rFonts w:ascii="Times New Roman" w:eastAsia="Times New Roman" w:hAnsi="Times New Roman" w:cs="Times New Roman"/>
          <w:sz w:val="24"/>
          <w:szCs w:val="24"/>
        </w:rPr>
        <w:lastRenderedPageBreak/>
        <w:t xml:space="preserve">thereby improve their overall corporate performance. However, </w:t>
      </w:r>
      <w:proofErr w:type="spellStart"/>
      <w:r w:rsidR="00BE432D" w:rsidRPr="00AE301C">
        <w:rPr>
          <w:rFonts w:ascii="Times New Roman" w:hAnsi="Times New Roman" w:cs="Times New Roman"/>
          <w:sz w:val="24"/>
          <w:szCs w:val="24"/>
        </w:rPr>
        <w:t>Odukomaiya</w:t>
      </w:r>
      <w:proofErr w:type="spellEnd"/>
      <w:r w:rsidR="00BE432D" w:rsidRPr="00AE301C">
        <w:rPr>
          <w:rFonts w:ascii="Times New Roman" w:hAnsi="Times New Roman" w:cs="Times New Roman"/>
          <w:sz w:val="24"/>
          <w:szCs w:val="24"/>
        </w:rPr>
        <w:t xml:space="preserve"> (2023)</w:t>
      </w:r>
      <w:r w:rsidR="00BE432D">
        <w:rPr>
          <w:rFonts w:ascii="Times New Roman" w:hAnsi="Times New Roman" w:cs="Times New Roman"/>
          <w:sz w:val="24"/>
          <w:szCs w:val="24"/>
        </w:rPr>
        <w:t xml:space="preserve"> argued that </w:t>
      </w:r>
      <w:r w:rsidRPr="00957BEB">
        <w:rPr>
          <w:rFonts w:ascii="Times New Roman" w:eastAsia="Times New Roman" w:hAnsi="Times New Roman" w:cs="Times New Roman"/>
          <w:sz w:val="24"/>
          <w:szCs w:val="24"/>
        </w:rPr>
        <w:t xml:space="preserve">many small-scale firms operate without structured or formal financial risk management systems. These firms often lack access to accurate financial data, professional risk assessment tools, and trained financial experts who can help identify and mitigate financial threats. A significant number of small-scale businesses make decisions based on intuition rather than strategic financial planning, which increases their vulnerability to unexpected economic shocks, market volatility, and financial losses. </w:t>
      </w:r>
    </w:p>
    <w:p w14:paraId="5A47059D" w14:textId="77777777" w:rsidR="00BA64D9" w:rsidRPr="00957BEB" w:rsidRDefault="00BA64D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As a result, their ability to operate efficiently and achieve sustainable performance is severely compromised.</w:t>
      </w:r>
      <w:r w:rsidR="009B6AB5" w:rsidRPr="00957BEB">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The consequence of this reality is that many small-scale firms in Nigeria experience frequent financial instability, stunted growth, and, in many cases, business failure. Poor financial risk management leads to misallocation of resources, high operational costs, and increased exposure to financial fraud and insolvency</w:t>
      </w:r>
      <w:r w:rsidR="00BE432D">
        <w:rPr>
          <w:rFonts w:ascii="Times New Roman" w:eastAsia="Times New Roman" w:hAnsi="Times New Roman" w:cs="Times New Roman"/>
          <w:sz w:val="24"/>
          <w:szCs w:val="24"/>
        </w:rPr>
        <w:t xml:space="preserve"> (</w:t>
      </w:r>
      <w:proofErr w:type="spellStart"/>
      <w:r w:rsidR="00BE432D">
        <w:rPr>
          <w:rFonts w:ascii="Times New Roman" w:hAnsi="Times New Roman" w:cs="Times New Roman"/>
          <w:sz w:val="24"/>
          <w:szCs w:val="24"/>
        </w:rPr>
        <w:t>Odukomaiya</w:t>
      </w:r>
      <w:proofErr w:type="spellEnd"/>
      <w:r w:rsidR="00BE432D">
        <w:rPr>
          <w:rFonts w:ascii="Times New Roman" w:hAnsi="Times New Roman" w:cs="Times New Roman"/>
          <w:sz w:val="24"/>
          <w:szCs w:val="24"/>
        </w:rPr>
        <w:t xml:space="preserve">, </w:t>
      </w:r>
      <w:r w:rsidR="00BE432D"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These outcomes not only undermine the performance and survival of individual firms but also weaken the overall contribution of the SME sector to national economic development. If these financial vulnerabilities remain unaddressed, small-scale firms will continue to struggle with performance issues, and their potential to drive job creation, innovation, and economic transformation in Nigeria will remain largely untapped.</w:t>
      </w:r>
    </w:p>
    <w:p w14:paraId="5A47059E" w14:textId="77777777" w:rsidR="00B04715" w:rsidRPr="00957BEB" w:rsidRDefault="00B04715" w:rsidP="00957BEB">
      <w:pPr>
        <w:pStyle w:val="Heading1"/>
        <w:spacing w:before="0" w:after="120" w:line="276" w:lineRule="auto"/>
        <w:rPr>
          <w:rFonts w:cs="Times New Roman"/>
          <w:szCs w:val="24"/>
        </w:rPr>
      </w:pPr>
      <w:r w:rsidRPr="00957BEB">
        <w:rPr>
          <w:rFonts w:cs="Times New Roman"/>
          <w:szCs w:val="24"/>
        </w:rPr>
        <w:t>1.1 Objectives of the Study</w:t>
      </w:r>
    </w:p>
    <w:p w14:paraId="5A47059F" w14:textId="309404CB" w:rsidR="00B04715" w:rsidRPr="00957BEB" w:rsidRDefault="00691C2F"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main aim of the study is to examine the influence of financial risk management on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 The specific objectives are as follows:</w:t>
      </w:r>
    </w:p>
    <w:p w14:paraId="5A4705A0" w14:textId="48AFB5EE" w:rsidR="00691C2F" w:rsidRPr="00957BEB" w:rsidRDefault="0081316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1. </w:t>
      </w:r>
      <w:r w:rsidR="00691C2F" w:rsidRPr="00957BEB">
        <w:rPr>
          <w:rFonts w:ascii="Times New Roman" w:eastAsia="Times New Roman" w:hAnsi="Times New Roman" w:cs="Times New Roman"/>
          <w:sz w:val="24"/>
          <w:szCs w:val="24"/>
        </w:rPr>
        <w:t xml:space="preserve">To determine the extent </w:t>
      </w:r>
      <w:r w:rsidR="00456F59" w:rsidRPr="00957BEB">
        <w:rPr>
          <w:rFonts w:ascii="Times New Roman" w:eastAsia="Times New Roman" w:hAnsi="Times New Roman" w:cs="Times New Roman"/>
          <w:sz w:val="24"/>
          <w:szCs w:val="24"/>
        </w:rPr>
        <w:t>to which operational risks influence</w:t>
      </w:r>
      <w:r w:rsidR="00691C2F"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00691C2F" w:rsidRPr="00957BEB">
        <w:rPr>
          <w:rFonts w:ascii="Times New Roman" w:eastAsia="Times New Roman" w:hAnsi="Times New Roman" w:cs="Times New Roman"/>
          <w:sz w:val="24"/>
          <w:szCs w:val="24"/>
        </w:rPr>
        <w:t xml:space="preserve"> firms in Nigeria.</w:t>
      </w:r>
    </w:p>
    <w:p w14:paraId="5A4705A1" w14:textId="03D838CE" w:rsidR="00691C2F" w:rsidRPr="00957BEB" w:rsidRDefault="0081316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2. </w:t>
      </w:r>
      <w:r w:rsidR="00691C2F" w:rsidRPr="00957BEB">
        <w:rPr>
          <w:rFonts w:ascii="Times New Roman" w:eastAsia="Times New Roman" w:hAnsi="Times New Roman" w:cs="Times New Roman"/>
          <w:sz w:val="24"/>
          <w:szCs w:val="24"/>
        </w:rPr>
        <w:t xml:space="preserve">To determine the degree to which liquidity risks </w:t>
      </w:r>
      <w:r w:rsidR="00456F59" w:rsidRPr="00957BEB">
        <w:rPr>
          <w:rFonts w:ascii="Times New Roman" w:eastAsia="Times New Roman" w:hAnsi="Times New Roman" w:cs="Times New Roman"/>
          <w:sz w:val="24"/>
          <w:szCs w:val="24"/>
        </w:rPr>
        <w:t>influence</w:t>
      </w:r>
      <w:r w:rsidR="00691C2F"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00691C2F" w:rsidRPr="00957BEB">
        <w:rPr>
          <w:rFonts w:ascii="Times New Roman" w:eastAsia="Times New Roman" w:hAnsi="Times New Roman" w:cs="Times New Roman"/>
          <w:sz w:val="24"/>
          <w:szCs w:val="24"/>
        </w:rPr>
        <w:t xml:space="preserve"> firms in Nigeria. </w:t>
      </w:r>
    </w:p>
    <w:p w14:paraId="5A4705A2" w14:textId="77777777" w:rsidR="00B04715" w:rsidRPr="00957BEB" w:rsidRDefault="00077164" w:rsidP="00957BEB">
      <w:pPr>
        <w:pStyle w:val="Heading1"/>
        <w:spacing w:before="0" w:after="120" w:line="276" w:lineRule="auto"/>
        <w:rPr>
          <w:rFonts w:cs="Times New Roman"/>
          <w:szCs w:val="24"/>
        </w:rPr>
      </w:pPr>
      <w:r w:rsidRPr="00957BEB">
        <w:rPr>
          <w:rFonts w:cs="Times New Roman"/>
          <w:szCs w:val="24"/>
        </w:rPr>
        <w:t>1.2 Hypothesi</w:t>
      </w:r>
      <w:r w:rsidR="00B04715" w:rsidRPr="00957BEB">
        <w:rPr>
          <w:rFonts w:cs="Times New Roman"/>
          <w:szCs w:val="24"/>
        </w:rPr>
        <w:t>s</w:t>
      </w:r>
    </w:p>
    <w:p w14:paraId="5A4705A3" w14:textId="60334B0B" w:rsidR="00456F59" w:rsidRPr="00957BEB" w:rsidRDefault="00456F5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H01. Operational risks do not significantly influence the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w:t>
      </w:r>
    </w:p>
    <w:p w14:paraId="5A4705A4" w14:textId="73711815" w:rsidR="00B04715" w:rsidRDefault="00456F59"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H02. </w:t>
      </w:r>
      <w:r w:rsidR="00BA78E1" w:rsidRPr="00957BEB">
        <w:rPr>
          <w:rFonts w:ascii="Times New Roman" w:eastAsia="Times New Roman" w:hAnsi="Times New Roman" w:cs="Times New Roman"/>
          <w:sz w:val="24"/>
          <w:szCs w:val="24"/>
        </w:rPr>
        <w:t>L</w:t>
      </w:r>
      <w:r w:rsidRPr="00957BEB">
        <w:rPr>
          <w:rFonts w:ascii="Times New Roman" w:eastAsia="Times New Roman" w:hAnsi="Times New Roman" w:cs="Times New Roman"/>
          <w:sz w:val="24"/>
          <w:szCs w:val="24"/>
        </w:rPr>
        <w:t xml:space="preserve">iquidity risks </w:t>
      </w:r>
      <w:r w:rsidR="00BA78E1" w:rsidRPr="00957BEB">
        <w:rPr>
          <w:rFonts w:ascii="Times New Roman" w:eastAsia="Times New Roman" w:hAnsi="Times New Roman" w:cs="Times New Roman"/>
          <w:sz w:val="24"/>
          <w:szCs w:val="24"/>
        </w:rPr>
        <w:t>do not significantly influence</w:t>
      </w:r>
      <w:r w:rsidRPr="00957BEB">
        <w:rPr>
          <w:rFonts w:ascii="Times New Roman" w:eastAsia="Times New Roman" w:hAnsi="Times New Roman" w:cs="Times New Roman"/>
          <w:sz w:val="24"/>
          <w:szCs w:val="24"/>
        </w:rPr>
        <w:t xml:space="preserve"> the corporate performance of selected </w:t>
      </w:r>
      <w:r w:rsidR="00370F23" w:rsidRPr="00957BEB">
        <w:rPr>
          <w:rFonts w:ascii="Times New Roman" w:eastAsia="Times New Roman" w:hAnsi="Times New Roman" w:cs="Times New Roman"/>
          <w:sz w:val="24"/>
          <w:szCs w:val="24"/>
        </w:rPr>
        <w:t>small-scale</w:t>
      </w:r>
      <w:r w:rsidRPr="00957BEB">
        <w:rPr>
          <w:rFonts w:ascii="Times New Roman" w:eastAsia="Times New Roman" w:hAnsi="Times New Roman" w:cs="Times New Roman"/>
          <w:sz w:val="24"/>
          <w:szCs w:val="24"/>
        </w:rPr>
        <w:t xml:space="preserve"> firms in Nigeria.</w:t>
      </w:r>
    </w:p>
    <w:p w14:paraId="5FF858AD" w14:textId="752357E9" w:rsidR="007A15C2" w:rsidRPr="007A15C2" w:rsidRDefault="007A15C2" w:rsidP="007A15C2">
      <w:pPr>
        <w:pStyle w:val="Heading1"/>
        <w:rPr>
          <w:rFonts w:eastAsia="Times New Roman"/>
          <w:highlight w:val="yellow"/>
        </w:rPr>
      </w:pPr>
      <w:r w:rsidRPr="007A15C2">
        <w:rPr>
          <w:rFonts w:eastAsia="Times New Roman"/>
          <w:highlight w:val="yellow"/>
        </w:rPr>
        <w:t>1.3 Organisation of Research Paper</w:t>
      </w:r>
    </w:p>
    <w:p w14:paraId="556ECFEB" w14:textId="5694087E" w:rsidR="007A15C2" w:rsidRPr="00957BEB" w:rsidRDefault="007A15C2" w:rsidP="00957BEB">
      <w:pPr>
        <w:spacing w:after="120" w:line="276" w:lineRule="auto"/>
        <w:jc w:val="both"/>
        <w:rPr>
          <w:rFonts w:ascii="Times New Roman" w:eastAsia="Times New Roman" w:hAnsi="Times New Roman" w:cs="Times New Roman"/>
          <w:sz w:val="24"/>
          <w:szCs w:val="24"/>
        </w:rPr>
      </w:pPr>
      <w:r w:rsidRPr="007A15C2">
        <w:rPr>
          <w:rFonts w:ascii="Times New Roman" w:eastAsia="Times New Roman" w:hAnsi="Times New Roman" w:cs="Times New Roman"/>
          <w:sz w:val="24"/>
          <w:szCs w:val="24"/>
          <w:highlight w:val="yellow"/>
        </w:rPr>
        <w:t>The second section reviews relevant literature</w:t>
      </w:r>
      <w:r>
        <w:rPr>
          <w:rFonts w:ascii="Times New Roman" w:eastAsia="Times New Roman" w:hAnsi="Times New Roman" w:cs="Times New Roman"/>
          <w:sz w:val="24"/>
          <w:szCs w:val="24"/>
          <w:highlight w:val="yellow"/>
        </w:rPr>
        <w:t xml:space="preserve">. The </w:t>
      </w:r>
      <w:r w:rsidRPr="007A15C2">
        <w:rPr>
          <w:rFonts w:ascii="Times New Roman" w:eastAsia="Times New Roman" w:hAnsi="Times New Roman" w:cs="Times New Roman"/>
          <w:sz w:val="24"/>
          <w:szCs w:val="24"/>
          <w:highlight w:val="yellow"/>
        </w:rPr>
        <w:t>th</w:t>
      </w:r>
      <w:r>
        <w:rPr>
          <w:rFonts w:ascii="Times New Roman" w:eastAsia="Times New Roman" w:hAnsi="Times New Roman" w:cs="Times New Roman"/>
          <w:sz w:val="24"/>
          <w:szCs w:val="24"/>
          <w:highlight w:val="yellow"/>
        </w:rPr>
        <w:t>ird</w:t>
      </w:r>
      <w:r w:rsidRPr="007A15C2">
        <w:rPr>
          <w:rFonts w:ascii="Times New Roman" w:eastAsia="Times New Roman" w:hAnsi="Times New Roman" w:cs="Times New Roman"/>
          <w:sz w:val="24"/>
          <w:szCs w:val="24"/>
          <w:highlight w:val="yellow"/>
        </w:rPr>
        <w:t xml:space="preserve"> section details the methodology adopted for the study, while the f</w:t>
      </w:r>
      <w:r>
        <w:rPr>
          <w:rFonts w:ascii="Times New Roman" w:eastAsia="Times New Roman" w:hAnsi="Times New Roman" w:cs="Times New Roman"/>
          <w:sz w:val="24"/>
          <w:szCs w:val="24"/>
          <w:highlight w:val="yellow"/>
        </w:rPr>
        <w:t xml:space="preserve">ourth </w:t>
      </w:r>
      <w:r w:rsidRPr="007A15C2">
        <w:rPr>
          <w:rFonts w:ascii="Times New Roman" w:eastAsia="Times New Roman" w:hAnsi="Times New Roman" w:cs="Times New Roman"/>
          <w:sz w:val="24"/>
          <w:szCs w:val="24"/>
          <w:highlight w:val="yellow"/>
        </w:rPr>
        <w:t>presents and interprets the findings. The final section concludes the study a</w:t>
      </w:r>
      <w:bookmarkStart w:id="1" w:name="_GoBack"/>
      <w:bookmarkEnd w:id="1"/>
      <w:r w:rsidRPr="007A15C2">
        <w:rPr>
          <w:rFonts w:ascii="Times New Roman" w:eastAsia="Times New Roman" w:hAnsi="Times New Roman" w:cs="Times New Roman"/>
          <w:sz w:val="24"/>
          <w:szCs w:val="24"/>
          <w:highlight w:val="yellow"/>
        </w:rPr>
        <w:t>nd offers suggestions for future research.</w:t>
      </w:r>
    </w:p>
    <w:p w14:paraId="5A4705A5" w14:textId="77777777" w:rsidR="00B04715" w:rsidRPr="00957BEB" w:rsidRDefault="00B04715" w:rsidP="00957BEB">
      <w:pPr>
        <w:pStyle w:val="Heading1"/>
        <w:spacing w:before="0" w:after="120" w:line="276" w:lineRule="auto"/>
        <w:rPr>
          <w:rFonts w:cs="Times New Roman"/>
          <w:szCs w:val="24"/>
        </w:rPr>
      </w:pPr>
      <w:r w:rsidRPr="00957BEB">
        <w:rPr>
          <w:rFonts w:cs="Times New Roman"/>
          <w:szCs w:val="24"/>
        </w:rPr>
        <w:lastRenderedPageBreak/>
        <w:t xml:space="preserve">2.0 </w:t>
      </w:r>
      <w:r w:rsidR="000D2CFA" w:rsidRPr="00957BEB">
        <w:rPr>
          <w:rFonts w:cs="Times New Roman"/>
          <w:szCs w:val="24"/>
        </w:rPr>
        <w:t>Literature Review</w:t>
      </w:r>
    </w:p>
    <w:p w14:paraId="5A4705A6"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2.1 Conceptual Review</w:t>
      </w:r>
    </w:p>
    <w:p w14:paraId="5A4705A7"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2.1.1 Financial Risk Management</w:t>
      </w:r>
    </w:p>
    <w:p w14:paraId="5A4705A8"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Financial risk management refers to the process by which a business identifies, evaluates, and takes proactive steps to mitigate potential financial losses that may arise from various uncertainties in the economic environment</w:t>
      </w:r>
      <w:r w:rsidR="00363F25">
        <w:rPr>
          <w:rFonts w:ascii="Times New Roman" w:eastAsia="Times New Roman" w:hAnsi="Times New Roman" w:cs="Times New Roman"/>
          <w:sz w:val="24"/>
          <w:szCs w:val="24"/>
        </w:rPr>
        <w:t xml:space="preserve"> (</w:t>
      </w:r>
      <w:proofErr w:type="spellStart"/>
      <w:r w:rsidR="00363F25">
        <w:rPr>
          <w:rFonts w:ascii="Times New Roman" w:hAnsi="Times New Roman" w:cs="Times New Roman"/>
          <w:sz w:val="24"/>
          <w:szCs w:val="24"/>
        </w:rPr>
        <w:t>Newstyle</w:t>
      </w:r>
      <w:proofErr w:type="spellEnd"/>
      <w:r w:rsidR="00363F25">
        <w:rPr>
          <w:rFonts w:ascii="Times New Roman" w:hAnsi="Times New Roman" w:cs="Times New Roman"/>
          <w:sz w:val="24"/>
          <w:szCs w:val="24"/>
        </w:rPr>
        <w:t xml:space="preserve">, </w:t>
      </w:r>
      <w:proofErr w:type="spellStart"/>
      <w:r w:rsidR="00363F25">
        <w:rPr>
          <w:rFonts w:ascii="Times New Roman" w:hAnsi="Times New Roman" w:cs="Times New Roman"/>
          <w:sz w:val="24"/>
          <w:szCs w:val="24"/>
        </w:rPr>
        <w:t>Isele</w:t>
      </w:r>
      <w:proofErr w:type="spellEnd"/>
      <w:r w:rsidR="00363F25">
        <w:rPr>
          <w:rFonts w:ascii="Times New Roman" w:hAnsi="Times New Roman" w:cs="Times New Roman"/>
          <w:sz w:val="24"/>
          <w:szCs w:val="24"/>
        </w:rPr>
        <w:t xml:space="preserve"> &amp; </w:t>
      </w:r>
      <w:proofErr w:type="spellStart"/>
      <w:r w:rsidR="00363F25">
        <w:rPr>
          <w:rFonts w:ascii="Times New Roman" w:hAnsi="Times New Roman" w:cs="Times New Roman"/>
          <w:sz w:val="24"/>
          <w:szCs w:val="24"/>
        </w:rPr>
        <w:t>Tekerebo</w:t>
      </w:r>
      <w:proofErr w:type="spellEnd"/>
      <w:r w:rsidR="00363F25">
        <w:rPr>
          <w:rFonts w:ascii="Times New Roman" w:hAnsi="Times New Roman" w:cs="Times New Roman"/>
          <w:sz w:val="24"/>
          <w:szCs w:val="24"/>
        </w:rPr>
        <w:t xml:space="preserve">, </w:t>
      </w:r>
      <w:r w:rsidR="00363F25"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It is a strategic discipline that enables firms to manage exposure to risks such as credit defaults, interest rate fluctuations, exchange rate volatility, and investment losses. The primary objective of financial risk management is to protect the financial integrity and long-term viability of a business by minimizing the adverse effects of unforeseen financial events</w:t>
      </w:r>
      <w:r w:rsidR="00363F25">
        <w:rPr>
          <w:rFonts w:ascii="Times New Roman" w:eastAsia="Times New Roman" w:hAnsi="Times New Roman" w:cs="Times New Roman"/>
          <w:sz w:val="24"/>
          <w:szCs w:val="24"/>
        </w:rPr>
        <w:t xml:space="preserve"> (</w:t>
      </w:r>
      <w:proofErr w:type="spellStart"/>
      <w:r w:rsidR="00363F25">
        <w:rPr>
          <w:rFonts w:ascii="Times New Roman" w:hAnsi="Times New Roman" w:cs="Times New Roman"/>
          <w:sz w:val="24"/>
          <w:szCs w:val="24"/>
        </w:rPr>
        <w:t>Odukomaiya</w:t>
      </w:r>
      <w:proofErr w:type="spellEnd"/>
      <w:r w:rsidR="00363F25">
        <w:rPr>
          <w:rFonts w:ascii="Times New Roman" w:hAnsi="Times New Roman" w:cs="Times New Roman"/>
          <w:sz w:val="24"/>
          <w:szCs w:val="24"/>
        </w:rPr>
        <w:t xml:space="preserve">, </w:t>
      </w:r>
      <w:r w:rsidR="00363F25"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w:t>
      </w:r>
    </w:p>
    <w:p w14:paraId="5A4705A9" w14:textId="0860C2E0" w:rsidR="002C08B5" w:rsidRPr="00957BEB" w:rsidRDefault="00363F25"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002C08B5" w:rsidRPr="00957BEB">
        <w:rPr>
          <w:rFonts w:ascii="Times New Roman" w:eastAsia="Times New Roman" w:hAnsi="Times New Roman" w:cs="Times New Roman"/>
          <w:sz w:val="24"/>
          <w:szCs w:val="24"/>
        </w:rPr>
        <w:t>inancial risk management is about understanding the financial exposures a firm faces and implementing strategies to control or eliminate these risks. It is not just about avoiding risk but about managing it in a way that supports business objectives</w:t>
      </w:r>
      <w:r>
        <w:rPr>
          <w:rFonts w:ascii="Times New Roman" w:eastAsia="Times New Roman" w:hAnsi="Times New Roman" w:cs="Times New Roman"/>
          <w:sz w:val="24"/>
          <w:szCs w:val="24"/>
        </w:rPr>
        <w:t xml:space="preserve"> (</w:t>
      </w:r>
      <w:r>
        <w:rPr>
          <w:rFonts w:ascii="Times New Roman" w:hAnsi="Times New Roman" w:cs="Times New Roman"/>
          <w:sz w:val="24"/>
          <w:szCs w:val="24"/>
        </w:rPr>
        <w:t xml:space="preserve">Rabiu, </w:t>
      </w:r>
      <w:r w:rsidRPr="00AE301C">
        <w:rPr>
          <w:rFonts w:ascii="Times New Roman" w:hAnsi="Times New Roman" w:cs="Times New Roman"/>
          <w:sz w:val="24"/>
          <w:szCs w:val="24"/>
        </w:rPr>
        <w:t>2023)</w:t>
      </w:r>
      <w:r w:rsidR="002C08B5" w:rsidRPr="00957BEB">
        <w:rPr>
          <w:rFonts w:ascii="Times New Roman" w:eastAsia="Times New Roman" w:hAnsi="Times New Roman" w:cs="Times New Roman"/>
          <w:sz w:val="24"/>
          <w:szCs w:val="24"/>
        </w:rPr>
        <w:t>. For example, while all investments carry some degree of risk, financial risk management allows a company to determine acceptable risk levels and put measures in place to remain within those thresholds. This may involve techniques such as hedging, diversification, insurance, and the use of financial instruments to offset potential losses</w:t>
      </w:r>
      <w:r w:rsidR="00D76C1E">
        <w:rPr>
          <w:rFonts w:ascii="Times New Roman" w:eastAsia="Times New Roman" w:hAnsi="Times New Roman" w:cs="Times New Roman"/>
          <w:sz w:val="24"/>
          <w:szCs w:val="24"/>
        </w:rPr>
        <w:t xml:space="preserve"> (</w:t>
      </w:r>
      <w:proofErr w:type="spellStart"/>
      <w:r w:rsidR="00D76C1E" w:rsidRPr="0031183C">
        <w:rPr>
          <w:rFonts w:ascii="Times New Roman" w:hAnsi="Times New Roman" w:cs="Times New Roman"/>
          <w:color w:val="222222"/>
          <w:sz w:val="24"/>
          <w:szCs w:val="24"/>
          <w:shd w:val="clear" w:color="auto" w:fill="FFFFFF"/>
        </w:rPr>
        <w:t>Sunaryo</w:t>
      </w:r>
      <w:proofErr w:type="spellEnd"/>
      <w:r w:rsidR="00D76C1E">
        <w:rPr>
          <w:rFonts w:ascii="Times New Roman" w:hAnsi="Times New Roman" w:cs="Times New Roman"/>
          <w:color w:val="222222"/>
          <w:sz w:val="24"/>
          <w:szCs w:val="24"/>
          <w:shd w:val="clear" w:color="auto" w:fill="FFFFFF"/>
        </w:rPr>
        <w:t xml:space="preserve">, </w:t>
      </w:r>
      <w:proofErr w:type="spellStart"/>
      <w:r w:rsidR="00D76C1E">
        <w:rPr>
          <w:rFonts w:ascii="Times New Roman" w:hAnsi="Times New Roman" w:cs="Times New Roman"/>
          <w:color w:val="222222"/>
          <w:sz w:val="24"/>
          <w:szCs w:val="24"/>
          <w:shd w:val="clear" w:color="auto" w:fill="FFFFFF"/>
        </w:rPr>
        <w:t>Adiyanto</w:t>
      </w:r>
      <w:proofErr w:type="spellEnd"/>
      <w:r w:rsidR="00D76C1E">
        <w:rPr>
          <w:rFonts w:ascii="Times New Roman" w:hAnsi="Times New Roman" w:cs="Times New Roman"/>
          <w:color w:val="222222"/>
          <w:sz w:val="24"/>
          <w:szCs w:val="24"/>
          <w:shd w:val="clear" w:color="auto" w:fill="FFFFFF"/>
        </w:rPr>
        <w:t xml:space="preserve">, </w:t>
      </w:r>
      <w:proofErr w:type="spellStart"/>
      <w:r w:rsidR="00D76C1E" w:rsidRPr="0031183C">
        <w:rPr>
          <w:rFonts w:ascii="Times New Roman" w:hAnsi="Times New Roman" w:cs="Times New Roman"/>
          <w:color w:val="222222"/>
          <w:sz w:val="24"/>
          <w:szCs w:val="24"/>
          <w:shd w:val="clear" w:color="auto" w:fill="FFFFFF"/>
        </w:rPr>
        <w:t>Violita</w:t>
      </w:r>
      <w:proofErr w:type="spellEnd"/>
      <w:r w:rsidR="00D76C1E" w:rsidRPr="0031183C">
        <w:rPr>
          <w:rFonts w:ascii="Times New Roman" w:hAnsi="Times New Roman" w:cs="Times New Roman"/>
          <w:color w:val="222222"/>
          <w:sz w:val="24"/>
          <w:szCs w:val="24"/>
          <w:shd w:val="clear" w:color="auto" w:fill="FFFFFF"/>
        </w:rPr>
        <w:t xml:space="preserve">, </w:t>
      </w:r>
      <w:r w:rsidR="00D76C1E">
        <w:rPr>
          <w:rFonts w:ascii="Times New Roman" w:hAnsi="Times New Roman" w:cs="Times New Roman"/>
          <w:color w:val="222222"/>
          <w:sz w:val="24"/>
          <w:szCs w:val="24"/>
          <w:shd w:val="clear" w:color="auto" w:fill="FFFFFF"/>
        </w:rPr>
        <w:t xml:space="preserve">Nabila &amp; </w:t>
      </w:r>
      <w:proofErr w:type="spellStart"/>
      <w:r w:rsidR="00D76C1E">
        <w:rPr>
          <w:rFonts w:ascii="Times New Roman" w:hAnsi="Times New Roman" w:cs="Times New Roman"/>
          <w:color w:val="222222"/>
          <w:sz w:val="24"/>
          <w:szCs w:val="24"/>
          <w:shd w:val="clear" w:color="auto" w:fill="FFFFFF"/>
        </w:rPr>
        <w:t>Killah</w:t>
      </w:r>
      <w:proofErr w:type="spellEnd"/>
      <w:r w:rsidR="00D76C1E">
        <w:rPr>
          <w:rFonts w:ascii="Times New Roman" w:hAnsi="Times New Roman" w:cs="Times New Roman"/>
          <w:color w:val="222222"/>
          <w:sz w:val="24"/>
          <w:szCs w:val="24"/>
          <w:shd w:val="clear" w:color="auto" w:fill="FFFFFF"/>
        </w:rPr>
        <w:t xml:space="preserve">, </w:t>
      </w:r>
      <w:r w:rsidR="00D76C1E" w:rsidRPr="0031183C">
        <w:rPr>
          <w:rFonts w:ascii="Times New Roman" w:hAnsi="Times New Roman" w:cs="Times New Roman"/>
          <w:color w:val="222222"/>
          <w:sz w:val="24"/>
          <w:szCs w:val="24"/>
          <w:shd w:val="clear" w:color="auto" w:fill="FFFFFF"/>
        </w:rPr>
        <w:t>2025)</w:t>
      </w:r>
      <w:r w:rsidR="002C08B5" w:rsidRPr="00957BEB">
        <w:rPr>
          <w:rFonts w:ascii="Times New Roman" w:eastAsia="Times New Roman" w:hAnsi="Times New Roman" w:cs="Times New Roman"/>
          <w:sz w:val="24"/>
          <w:szCs w:val="24"/>
        </w:rPr>
        <w:t>.</w:t>
      </w:r>
    </w:p>
    <w:p w14:paraId="5A4705AA" w14:textId="6942ADE4"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Financial risk management is vital across all sectors, particularly in environments characterized by high market volatility</w:t>
      </w:r>
      <w:r w:rsidR="00363F25">
        <w:rPr>
          <w:rFonts w:ascii="Times New Roman" w:eastAsia="Times New Roman" w:hAnsi="Times New Roman" w:cs="Times New Roman"/>
          <w:sz w:val="24"/>
          <w:szCs w:val="24"/>
        </w:rPr>
        <w:t xml:space="preserve"> (</w:t>
      </w:r>
      <w:r w:rsidR="00363F25">
        <w:rPr>
          <w:rFonts w:ascii="Times New Roman" w:hAnsi="Times New Roman" w:cs="Times New Roman"/>
          <w:sz w:val="24"/>
          <w:szCs w:val="24"/>
        </w:rPr>
        <w:t>Obi</w:t>
      </w:r>
      <w:r w:rsidR="00363F25" w:rsidRPr="003156CB">
        <w:rPr>
          <w:rFonts w:ascii="Times New Roman" w:hAnsi="Times New Roman" w:cs="Times New Roman"/>
          <w:sz w:val="24"/>
          <w:szCs w:val="24"/>
        </w:rPr>
        <w:t xml:space="preserve"> &amp; Nworie, 2024)</w:t>
      </w:r>
      <w:r w:rsidRPr="00957BEB">
        <w:rPr>
          <w:rFonts w:ascii="Times New Roman" w:eastAsia="Times New Roman" w:hAnsi="Times New Roman" w:cs="Times New Roman"/>
          <w:sz w:val="24"/>
          <w:szCs w:val="24"/>
        </w:rPr>
        <w:t xml:space="preserve">, economic instability, or regulatory uncertainty. For small-scale firms, in particular, </w:t>
      </w:r>
      <w:r w:rsidR="000324F1" w:rsidRPr="00957BEB">
        <w:rPr>
          <w:rFonts w:ascii="Times New Roman" w:eastAsia="Times New Roman" w:hAnsi="Times New Roman" w:cs="Times New Roman"/>
          <w:sz w:val="24"/>
          <w:szCs w:val="24"/>
        </w:rPr>
        <w:t>discipline</w:t>
      </w:r>
      <w:r w:rsidRPr="00957BEB">
        <w:rPr>
          <w:rFonts w:ascii="Times New Roman" w:eastAsia="Times New Roman" w:hAnsi="Times New Roman" w:cs="Times New Roman"/>
          <w:sz w:val="24"/>
          <w:szCs w:val="24"/>
        </w:rPr>
        <w:t xml:space="preserve"> is crucial because these businesses often lack </w:t>
      </w:r>
      <w:r w:rsidR="00BE261E" w:rsidRPr="00957BEB">
        <w:rPr>
          <w:rFonts w:ascii="Times New Roman" w:eastAsia="Times New Roman" w:hAnsi="Times New Roman" w:cs="Times New Roman"/>
          <w:sz w:val="24"/>
          <w:szCs w:val="24"/>
        </w:rPr>
        <w:t>capital</w:t>
      </w:r>
      <w:r w:rsidRPr="00957BEB">
        <w:rPr>
          <w:rFonts w:ascii="Times New Roman" w:eastAsia="Times New Roman" w:hAnsi="Times New Roman" w:cs="Times New Roman"/>
          <w:sz w:val="24"/>
          <w:szCs w:val="24"/>
        </w:rPr>
        <w:t xml:space="preserve"> buffers or access to credit that larger corporations might have. Thus, any unexpected financial shock can significantly disrupt operations. By incorporating risk management into financial planning, budgeting, and forecasting, firms can make more informed decisions, secure investor confidence, and achieve better financial outcomes</w:t>
      </w:r>
      <w:r w:rsidR="00B314C9">
        <w:rPr>
          <w:rFonts w:ascii="Times New Roman" w:eastAsia="Times New Roman" w:hAnsi="Times New Roman" w:cs="Times New Roman"/>
          <w:sz w:val="24"/>
          <w:szCs w:val="24"/>
        </w:rPr>
        <w:t xml:space="preserve"> (</w:t>
      </w:r>
      <w:proofErr w:type="spellStart"/>
      <w:r w:rsidR="00FD1B33" w:rsidRPr="00AE301C">
        <w:rPr>
          <w:rFonts w:ascii="Times New Roman" w:hAnsi="Times New Roman" w:cs="Times New Roman"/>
          <w:sz w:val="24"/>
          <w:szCs w:val="24"/>
        </w:rPr>
        <w:t>Apaloo</w:t>
      </w:r>
      <w:proofErr w:type="spellEnd"/>
      <w:r w:rsidR="00FD1B33" w:rsidRPr="00AE301C">
        <w:rPr>
          <w:rFonts w:ascii="Times New Roman" w:hAnsi="Times New Roman" w:cs="Times New Roman"/>
          <w:sz w:val="24"/>
          <w:szCs w:val="24"/>
        </w:rPr>
        <w:t xml:space="preserve"> </w:t>
      </w:r>
      <w:r w:rsidR="00FD1B33">
        <w:rPr>
          <w:rFonts w:ascii="Times New Roman" w:hAnsi="Times New Roman" w:cs="Times New Roman"/>
          <w:sz w:val="24"/>
          <w:szCs w:val="24"/>
        </w:rPr>
        <w:t xml:space="preserve">&amp; Bright, </w:t>
      </w:r>
      <w:r w:rsidR="00FD1B33"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Ultimately, financial risk management is not a one-time activity but an ongoing, adaptive process that is essential to the stability and growth of any business enterprise.</w:t>
      </w:r>
    </w:p>
    <w:p w14:paraId="5A4705AB" w14:textId="1FB56178" w:rsidR="00882513" w:rsidRPr="00957BEB" w:rsidRDefault="00882513" w:rsidP="00957BEB">
      <w:pPr>
        <w:pStyle w:val="Heading1"/>
        <w:spacing w:before="0" w:after="120" w:line="276" w:lineRule="auto"/>
        <w:rPr>
          <w:rFonts w:eastAsia="Times New Roman" w:cs="Times New Roman"/>
          <w:szCs w:val="24"/>
        </w:rPr>
      </w:pPr>
      <w:r w:rsidRPr="00957BEB">
        <w:rPr>
          <w:rFonts w:eastAsia="Times New Roman" w:cs="Times New Roman"/>
          <w:szCs w:val="24"/>
        </w:rPr>
        <w:t>2.1.1.1</w:t>
      </w:r>
      <w:r w:rsidR="000324F1" w:rsidRPr="00957BEB">
        <w:rPr>
          <w:rFonts w:eastAsia="Times New Roman" w:cs="Times New Roman"/>
          <w:szCs w:val="24"/>
        </w:rPr>
        <w:t xml:space="preserve"> Financial</w:t>
      </w:r>
      <w:r w:rsidRPr="00957BEB">
        <w:rPr>
          <w:rFonts w:eastAsia="Times New Roman" w:cs="Times New Roman"/>
          <w:szCs w:val="24"/>
        </w:rPr>
        <w:t xml:space="preserve"> Risk Management Model for Small Scale Firms</w:t>
      </w:r>
    </w:p>
    <w:p w14:paraId="5A4705AC"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Financial Risk Management (FRM) model for small-scale firms is a systematic approach designed to identify, assess, and manage financial risks to improve corporate performance</w:t>
      </w:r>
      <w:r w:rsidR="000F1AE9">
        <w:rPr>
          <w:rFonts w:ascii="Times New Roman" w:eastAsia="Times New Roman" w:hAnsi="Times New Roman" w:cs="Times New Roman"/>
          <w:sz w:val="24"/>
          <w:szCs w:val="24"/>
        </w:rPr>
        <w:t xml:space="preserve"> (</w:t>
      </w:r>
      <w:proofErr w:type="spellStart"/>
      <w:r w:rsidR="000F1AE9">
        <w:rPr>
          <w:rFonts w:ascii="Times New Roman" w:hAnsi="Times New Roman" w:cs="Times New Roman"/>
          <w:sz w:val="24"/>
          <w:szCs w:val="24"/>
        </w:rPr>
        <w:t>Apaloo</w:t>
      </w:r>
      <w:proofErr w:type="spellEnd"/>
      <w:r w:rsidR="000F1AE9">
        <w:rPr>
          <w:rFonts w:ascii="Times New Roman" w:hAnsi="Times New Roman" w:cs="Times New Roman"/>
          <w:sz w:val="24"/>
          <w:szCs w:val="24"/>
        </w:rPr>
        <w:t xml:space="preserve"> &amp; Bright, </w:t>
      </w:r>
      <w:r w:rsidR="000F1AE9"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It is crucial for small businesses in Nigeria, where resource constraints and market volatility often make financial risk management an afterthought. This model can be divided into several key components: risk identification, risk assessment, risk control, and monitoring and review.</w:t>
      </w:r>
    </w:p>
    <w:p w14:paraId="5A4705AD"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first step in the model is </w:t>
      </w:r>
      <w:r w:rsidRPr="00957BEB">
        <w:rPr>
          <w:rFonts w:ascii="Times New Roman" w:eastAsia="Times New Roman" w:hAnsi="Times New Roman" w:cs="Times New Roman"/>
          <w:bCs/>
          <w:sz w:val="24"/>
          <w:szCs w:val="24"/>
        </w:rPr>
        <w:t>Risk Identification</w:t>
      </w:r>
      <w:r w:rsidRPr="00957BEB">
        <w:rPr>
          <w:rFonts w:ascii="Times New Roman" w:eastAsia="Times New Roman" w:hAnsi="Times New Roman" w:cs="Times New Roman"/>
          <w:sz w:val="24"/>
          <w:szCs w:val="24"/>
        </w:rPr>
        <w:t>. Small-scale firms should proactively identify potential financial risks that could threaten their operations</w:t>
      </w:r>
      <w:r w:rsidR="000F1AE9">
        <w:rPr>
          <w:rFonts w:ascii="Times New Roman" w:eastAsia="Times New Roman" w:hAnsi="Times New Roman" w:cs="Times New Roman"/>
          <w:sz w:val="24"/>
          <w:szCs w:val="24"/>
        </w:rPr>
        <w:t xml:space="preserve"> (</w:t>
      </w:r>
      <w:proofErr w:type="spellStart"/>
      <w:r w:rsidR="000F1AE9">
        <w:rPr>
          <w:rFonts w:ascii="Times New Roman" w:hAnsi="Times New Roman" w:cs="Times New Roman"/>
          <w:sz w:val="24"/>
          <w:szCs w:val="24"/>
        </w:rPr>
        <w:t>Tchankova</w:t>
      </w:r>
      <w:proofErr w:type="spellEnd"/>
      <w:r w:rsidR="000F1AE9">
        <w:rPr>
          <w:rFonts w:ascii="Times New Roman" w:hAnsi="Times New Roman" w:cs="Times New Roman"/>
          <w:sz w:val="24"/>
          <w:szCs w:val="24"/>
        </w:rPr>
        <w:t xml:space="preserve">, </w:t>
      </w:r>
      <w:r w:rsidR="000F1AE9" w:rsidRPr="001F416C">
        <w:rPr>
          <w:rFonts w:ascii="Times New Roman" w:hAnsi="Times New Roman" w:cs="Times New Roman"/>
          <w:sz w:val="24"/>
          <w:szCs w:val="24"/>
        </w:rPr>
        <w:t>2002)</w:t>
      </w:r>
      <w:r w:rsidRPr="00957BEB">
        <w:rPr>
          <w:rFonts w:ascii="Times New Roman" w:eastAsia="Times New Roman" w:hAnsi="Times New Roman" w:cs="Times New Roman"/>
          <w:sz w:val="24"/>
          <w:szCs w:val="24"/>
        </w:rPr>
        <w:t>. These risks may include operational risks, liquidity risks, credit risks, market risks, and foreign exchange risks. A comprehensive risk identification process involves analyzing internal financial data, industry trends, market conditions, and historical performance.</w:t>
      </w:r>
    </w:p>
    <w:p w14:paraId="5A4705AE"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lastRenderedPageBreak/>
        <w:t xml:space="preserve">Once risks are identified, the next step is </w:t>
      </w:r>
      <w:r w:rsidRPr="00957BEB">
        <w:rPr>
          <w:rFonts w:ascii="Times New Roman" w:eastAsia="Times New Roman" w:hAnsi="Times New Roman" w:cs="Times New Roman"/>
          <w:bCs/>
          <w:sz w:val="24"/>
          <w:szCs w:val="24"/>
        </w:rPr>
        <w:t>Risk Assessment</w:t>
      </w:r>
      <w:r w:rsidRPr="00957BEB">
        <w:rPr>
          <w:rFonts w:ascii="Times New Roman" w:eastAsia="Times New Roman" w:hAnsi="Times New Roman" w:cs="Times New Roman"/>
          <w:sz w:val="24"/>
          <w:szCs w:val="24"/>
        </w:rPr>
        <w:t>. In this phase, firms should assess the probability and potential impact of each risk identified</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Pr="00957BEB">
        <w:rPr>
          <w:rFonts w:ascii="Times New Roman" w:eastAsia="Times New Roman" w:hAnsi="Times New Roman" w:cs="Times New Roman"/>
          <w:sz w:val="24"/>
          <w:szCs w:val="24"/>
        </w:rPr>
        <w:t>. This could involve using quantitative methods such as financial ratios, liquidity assessments, and sensitivity analyses to measure the potential impact of different risks on the firm’s financial performance</w:t>
      </w:r>
      <w:r w:rsidR="00777D51">
        <w:rPr>
          <w:rFonts w:ascii="Times New Roman" w:eastAsia="Times New Roman" w:hAnsi="Times New Roman" w:cs="Times New Roman"/>
          <w:sz w:val="24"/>
          <w:szCs w:val="24"/>
        </w:rPr>
        <w:t xml:space="preserve"> (</w:t>
      </w:r>
      <w:proofErr w:type="spellStart"/>
      <w:r w:rsidR="00777D51">
        <w:rPr>
          <w:rFonts w:ascii="Times New Roman" w:hAnsi="Times New Roman" w:cs="Times New Roman"/>
          <w:sz w:val="24"/>
          <w:szCs w:val="24"/>
        </w:rPr>
        <w:t>Onoh</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Adonye</w:t>
      </w:r>
      <w:proofErr w:type="spellEnd"/>
      <w:r w:rsidR="00777D51">
        <w:rPr>
          <w:rFonts w:ascii="Times New Roman" w:hAnsi="Times New Roman" w:cs="Times New Roman"/>
          <w:sz w:val="24"/>
          <w:szCs w:val="24"/>
        </w:rPr>
        <w:t xml:space="preserve">, </w:t>
      </w:r>
      <w:proofErr w:type="spellStart"/>
      <w:r w:rsidR="00777D51">
        <w:rPr>
          <w:rFonts w:ascii="Times New Roman" w:hAnsi="Times New Roman" w:cs="Times New Roman"/>
          <w:sz w:val="24"/>
          <w:szCs w:val="24"/>
        </w:rPr>
        <w:t>Enang</w:t>
      </w:r>
      <w:proofErr w:type="spellEnd"/>
      <w:r w:rsidR="00777D51">
        <w:rPr>
          <w:rFonts w:ascii="Times New Roman" w:hAnsi="Times New Roman" w:cs="Times New Roman"/>
          <w:sz w:val="24"/>
          <w:szCs w:val="24"/>
        </w:rPr>
        <w:t xml:space="preserve"> &amp;</w:t>
      </w:r>
      <w:r w:rsidR="00777D51" w:rsidRPr="00AE301C">
        <w:rPr>
          <w:rFonts w:ascii="Times New Roman" w:hAnsi="Times New Roman" w:cs="Times New Roman"/>
          <w:sz w:val="24"/>
          <w:szCs w:val="24"/>
        </w:rPr>
        <w:t xml:space="preserve"> </w:t>
      </w:r>
      <w:proofErr w:type="spellStart"/>
      <w:r w:rsidR="00777D51" w:rsidRPr="00AE301C">
        <w:rPr>
          <w:rFonts w:ascii="Times New Roman" w:hAnsi="Times New Roman" w:cs="Times New Roman"/>
          <w:sz w:val="24"/>
          <w:szCs w:val="24"/>
        </w:rPr>
        <w:t>Efanga</w:t>
      </w:r>
      <w:proofErr w:type="spellEnd"/>
      <w:r w:rsidR="00777D51">
        <w:rPr>
          <w:rFonts w:ascii="Times New Roman" w:hAnsi="Times New Roman" w:cs="Times New Roman"/>
          <w:sz w:val="24"/>
          <w:szCs w:val="24"/>
        </w:rPr>
        <w:t xml:space="preserve">, </w:t>
      </w:r>
      <w:r w:rsidR="00777D51" w:rsidRPr="00AE301C">
        <w:rPr>
          <w:rFonts w:ascii="Times New Roman" w:hAnsi="Times New Roman" w:cs="Times New Roman"/>
          <w:sz w:val="24"/>
          <w:szCs w:val="24"/>
        </w:rPr>
        <w:t>2025)</w:t>
      </w:r>
      <w:r w:rsidRPr="00957BEB">
        <w:rPr>
          <w:rFonts w:ascii="Times New Roman" w:eastAsia="Times New Roman" w:hAnsi="Times New Roman" w:cs="Times New Roman"/>
          <w:sz w:val="24"/>
          <w:szCs w:val="24"/>
        </w:rPr>
        <w:t>. For example, liquidity risk could be assessed by calculating the current ratio or quick ratio, while operational risks may be analyzed through an audit of business processes.</w:t>
      </w:r>
    </w:p>
    <w:p w14:paraId="5A4705AF"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third component is </w:t>
      </w:r>
      <w:r w:rsidRPr="00957BEB">
        <w:rPr>
          <w:rFonts w:ascii="Times New Roman" w:eastAsia="Times New Roman" w:hAnsi="Times New Roman" w:cs="Times New Roman"/>
          <w:bCs/>
          <w:sz w:val="24"/>
          <w:szCs w:val="24"/>
        </w:rPr>
        <w:t>Risk Control</w:t>
      </w:r>
      <w:r w:rsidRPr="00957BEB">
        <w:rPr>
          <w:rFonts w:ascii="Times New Roman" w:eastAsia="Times New Roman" w:hAnsi="Times New Roman" w:cs="Times New Roman"/>
          <w:sz w:val="24"/>
          <w:szCs w:val="24"/>
        </w:rPr>
        <w:t>, where the firm develops strategies to mitigate or avoid the identified risks. For operational risks, small firms might focus on improving operational efficiency, investing in employee training, or adopting technology to automate processes</w:t>
      </w:r>
      <w:r w:rsidR="00FD1B33">
        <w:rPr>
          <w:rFonts w:ascii="Times New Roman" w:eastAsia="Times New Roman" w:hAnsi="Times New Roman" w:cs="Times New Roman"/>
          <w:sz w:val="24"/>
          <w:szCs w:val="24"/>
        </w:rPr>
        <w:t xml:space="preserve"> (</w:t>
      </w:r>
      <w:proofErr w:type="spellStart"/>
      <w:r w:rsidR="00FD1B33">
        <w:rPr>
          <w:rFonts w:ascii="Times New Roman" w:hAnsi="Times New Roman" w:cs="Times New Roman"/>
          <w:sz w:val="24"/>
          <w:szCs w:val="24"/>
        </w:rPr>
        <w:t>Aduloju</w:t>
      </w:r>
      <w:proofErr w:type="spellEnd"/>
      <w:r w:rsidR="00FD1B33">
        <w:rPr>
          <w:rFonts w:ascii="Times New Roman" w:hAnsi="Times New Roman" w:cs="Times New Roman"/>
          <w:sz w:val="24"/>
          <w:szCs w:val="24"/>
        </w:rPr>
        <w:t xml:space="preserve"> &amp; </w:t>
      </w:r>
      <w:proofErr w:type="spellStart"/>
      <w:r w:rsidR="00FD1B33">
        <w:rPr>
          <w:rFonts w:ascii="Times New Roman" w:hAnsi="Times New Roman" w:cs="Times New Roman"/>
          <w:sz w:val="24"/>
          <w:szCs w:val="24"/>
        </w:rPr>
        <w:t>Akindipe</w:t>
      </w:r>
      <w:proofErr w:type="spellEnd"/>
      <w:r w:rsidR="00FD1B33">
        <w:rPr>
          <w:rFonts w:ascii="Times New Roman" w:hAnsi="Times New Roman" w:cs="Times New Roman"/>
          <w:sz w:val="24"/>
          <w:szCs w:val="24"/>
        </w:rPr>
        <w:t xml:space="preserve">, </w:t>
      </w:r>
      <w:r w:rsidR="00FD1B33"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For liquidity risks, firms could maintain sufficient working capital and develop effective cash flow forecasting to avoid financial crises. Furthermore, firms can reduce credit risk by performing due diligence on customers and tightening credit policies.</w:t>
      </w:r>
    </w:p>
    <w:p w14:paraId="5A4705B0" w14:textId="77777777" w:rsidR="00331D9B" w:rsidRPr="00957BEB" w:rsidRDefault="00331D9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Lastly, </w:t>
      </w:r>
      <w:r w:rsidRPr="00957BEB">
        <w:rPr>
          <w:rFonts w:ascii="Times New Roman" w:eastAsia="Times New Roman" w:hAnsi="Times New Roman" w:cs="Times New Roman"/>
          <w:bCs/>
          <w:sz w:val="24"/>
          <w:szCs w:val="24"/>
        </w:rPr>
        <w:t>Monitoring and Review</w:t>
      </w:r>
      <w:r w:rsidRPr="00957BEB">
        <w:rPr>
          <w:rFonts w:ascii="Times New Roman" w:eastAsia="Times New Roman" w:hAnsi="Times New Roman" w:cs="Times New Roman"/>
          <w:sz w:val="24"/>
          <w:szCs w:val="24"/>
        </w:rPr>
        <w:t xml:space="preserve"> involves continuously tracking the identified risks and the effectiveness of the mitigation strategies</w:t>
      </w:r>
      <w:r w:rsidR="005D2D8D">
        <w:rPr>
          <w:rFonts w:ascii="Times New Roman" w:eastAsia="Times New Roman" w:hAnsi="Times New Roman" w:cs="Times New Roman"/>
          <w:sz w:val="24"/>
          <w:szCs w:val="24"/>
        </w:rPr>
        <w:t xml:space="preserve"> (</w:t>
      </w:r>
      <w:r w:rsidR="005D2D8D">
        <w:rPr>
          <w:rFonts w:ascii="Times New Roman" w:hAnsi="Times New Roman" w:cs="Times New Roman"/>
          <w:sz w:val="24"/>
          <w:szCs w:val="24"/>
        </w:rPr>
        <w:t xml:space="preserve">Kaur &amp; Singh, </w:t>
      </w:r>
      <w:r w:rsidR="005D2D8D" w:rsidRPr="001F416C">
        <w:rPr>
          <w:rFonts w:ascii="Times New Roman" w:hAnsi="Times New Roman" w:cs="Times New Roman"/>
          <w:sz w:val="24"/>
          <w:szCs w:val="24"/>
        </w:rPr>
        <w:t>2018)</w:t>
      </w:r>
      <w:r w:rsidRPr="00957BEB">
        <w:rPr>
          <w:rFonts w:ascii="Times New Roman" w:eastAsia="Times New Roman" w:hAnsi="Times New Roman" w:cs="Times New Roman"/>
          <w:sz w:val="24"/>
          <w:szCs w:val="24"/>
        </w:rPr>
        <w:t>. Firms should regularly review their financial statements and adjust their risk management strategies as necessary. This dynamic and ongoing process ensures that financial risks are consistently managed, thus enhancing the firm’s financial performance and long-term sustainability.</w:t>
      </w:r>
    </w:p>
    <w:p w14:paraId="5A4705B1"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2.1.2 Operational Risks</w:t>
      </w:r>
    </w:p>
    <w:p w14:paraId="5A4705B2"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Operational risks refer to the potential for loss or damage resulting from inadequate or failed internal processes, people, systems, or from external events</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Newstyle</w:t>
      </w:r>
      <w:proofErr w:type="spellEnd"/>
      <w:r w:rsidR="005F50F4">
        <w:rPr>
          <w:rFonts w:ascii="Times New Roman" w:hAnsi="Times New Roman" w:cs="Times New Roman"/>
          <w:sz w:val="24"/>
          <w:szCs w:val="24"/>
        </w:rPr>
        <w:t xml:space="preserve">, </w:t>
      </w:r>
      <w:proofErr w:type="spellStart"/>
      <w:r w:rsidR="005F50F4">
        <w:rPr>
          <w:rFonts w:ascii="Times New Roman" w:hAnsi="Times New Roman" w:cs="Times New Roman"/>
          <w:sz w:val="24"/>
          <w:szCs w:val="24"/>
        </w:rPr>
        <w:t>Isele</w:t>
      </w:r>
      <w:proofErr w:type="spellEnd"/>
      <w:r w:rsidR="005F50F4">
        <w:rPr>
          <w:rFonts w:ascii="Times New Roman" w:hAnsi="Times New Roman" w:cs="Times New Roman"/>
          <w:sz w:val="24"/>
          <w:szCs w:val="24"/>
        </w:rPr>
        <w:t xml:space="preserve"> &amp; </w:t>
      </w:r>
      <w:proofErr w:type="spellStart"/>
      <w:r w:rsidR="005F50F4">
        <w:rPr>
          <w:rFonts w:ascii="Times New Roman" w:hAnsi="Times New Roman" w:cs="Times New Roman"/>
          <w:sz w:val="24"/>
          <w:szCs w:val="24"/>
        </w:rPr>
        <w:t>Tekerebo</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xml:space="preserve">. Unlike financial or market risks, which are often driven by external economic factors, operational risks stem primarily from the internal workings of an organization. These can include human errors, system failures, fraud, theft, natural disasters, or disruptions caused by external </w:t>
      </w:r>
      <w:proofErr w:type="spellStart"/>
      <w:r w:rsidRPr="00957BEB">
        <w:rPr>
          <w:rFonts w:ascii="Times New Roman" w:eastAsia="Times New Roman" w:hAnsi="Times New Roman" w:cs="Times New Roman"/>
          <w:sz w:val="24"/>
          <w:szCs w:val="24"/>
        </w:rPr>
        <w:t>actors</w:t>
      </w:r>
      <w:proofErr w:type="spellEnd"/>
      <w:r w:rsidRPr="00957BEB">
        <w:rPr>
          <w:rFonts w:ascii="Times New Roman" w:eastAsia="Times New Roman" w:hAnsi="Times New Roman" w:cs="Times New Roman"/>
          <w:sz w:val="24"/>
          <w:szCs w:val="24"/>
        </w:rPr>
        <w:t xml:space="preserve"> such as cyberattacks. Operational risk is present in all aspects of a business’s operations and, if unmanaged, can lead to significant financial loss and reputational damage</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Borokini</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w:t>
      </w:r>
    </w:p>
    <w:p w14:paraId="5A4705B3"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scope of operational risks is broad and often unpredictable, making it one of the most complex risk categories to manage</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Isamade</w:t>
      </w:r>
      <w:proofErr w:type="spellEnd"/>
      <w:r w:rsidR="005F50F4">
        <w:rPr>
          <w:rFonts w:ascii="Times New Roman" w:hAnsi="Times New Roman" w:cs="Times New Roman"/>
          <w:sz w:val="24"/>
          <w:szCs w:val="24"/>
        </w:rPr>
        <w:t xml:space="preserve">, </w:t>
      </w:r>
      <w:proofErr w:type="spellStart"/>
      <w:r w:rsidR="005F50F4">
        <w:rPr>
          <w:rFonts w:ascii="Times New Roman" w:hAnsi="Times New Roman" w:cs="Times New Roman"/>
          <w:sz w:val="24"/>
          <w:szCs w:val="24"/>
        </w:rPr>
        <w:t>Udeh</w:t>
      </w:r>
      <w:proofErr w:type="spellEnd"/>
      <w:r w:rsidR="005F50F4">
        <w:rPr>
          <w:rFonts w:ascii="Times New Roman" w:hAnsi="Times New Roman" w:cs="Times New Roman"/>
          <w:sz w:val="24"/>
          <w:szCs w:val="24"/>
        </w:rPr>
        <w:t xml:space="preserve"> &amp; </w:t>
      </w:r>
      <w:proofErr w:type="spellStart"/>
      <w:r w:rsidR="005F50F4">
        <w:rPr>
          <w:rFonts w:ascii="Times New Roman" w:hAnsi="Times New Roman" w:cs="Times New Roman"/>
          <w:sz w:val="24"/>
          <w:szCs w:val="24"/>
        </w:rPr>
        <w:t>Odo</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These risks are inherent in daily business activities—ranging from the handling of transactions, record keeping, and customer interactions, to the implementation of information technology and employee conduct. For instance, a breakdown in a company's supply chain management system, or the failure of a crucial software program, can significantly disrupt operations and erode customer trust. Similarly, a lapse in internal controls can expose the company to fraud, compliance failures, or legal penalties.</w:t>
      </w:r>
    </w:p>
    <w:p w14:paraId="5A4705B4"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Effective management of operational risks requires a deep understanding of the firm’s processes and the environment in which it operates</w:t>
      </w:r>
      <w:r w:rsidR="005F50F4">
        <w:rPr>
          <w:rFonts w:ascii="Times New Roman" w:eastAsia="Times New Roman" w:hAnsi="Times New Roman" w:cs="Times New Roman"/>
          <w:sz w:val="24"/>
          <w:szCs w:val="24"/>
        </w:rPr>
        <w:t xml:space="preserve"> (</w:t>
      </w:r>
      <w:proofErr w:type="spellStart"/>
      <w:r w:rsidR="005F50F4">
        <w:rPr>
          <w:rFonts w:ascii="Times New Roman" w:hAnsi="Times New Roman" w:cs="Times New Roman"/>
          <w:sz w:val="24"/>
          <w:szCs w:val="24"/>
        </w:rPr>
        <w:t>Borokini</w:t>
      </w:r>
      <w:proofErr w:type="spellEnd"/>
      <w:r w:rsidR="005F50F4">
        <w:rPr>
          <w:rFonts w:ascii="Times New Roman" w:hAnsi="Times New Roman" w:cs="Times New Roman"/>
          <w:sz w:val="24"/>
          <w:szCs w:val="24"/>
        </w:rPr>
        <w:t xml:space="preserve">, </w:t>
      </w:r>
      <w:r w:rsidR="005F50F4"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xml:space="preserve">. This involves regular assessments of potential vulnerabilities, implementation of control measures, and creating contingency plans for unexpected disruptions. For small-scale firms, which may not have dedicated risk management departments, operational risks can be even more challenging to identify and control. Nonetheless, acknowledging the existence of these risks and developing </w:t>
      </w:r>
      <w:r w:rsidRPr="00957BEB">
        <w:rPr>
          <w:rFonts w:ascii="Times New Roman" w:eastAsia="Times New Roman" w:hAnsi="Times New Roman" w:cs="Times New Roman"/>
          <w:sz w:val="24"/>
          <w:szCs w:val="24"/>
        </w:rPr>
        <w:lastRenderedPageBreak/>
        <w:t>basic mitigation strategies—such as employee training, regular audits, and IT safeguards—can substantially reduce exposure. As operations form the backbone of every organization, managing operational risk is essential to maintaining business continuity and ensuring long-term success.</w:t>
      </w:r>
    </w:p>
    <w:p w14:paraId="5A4705B5"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2.1.3 Liquidity Risks</w:t>
      </w:r>
    </w:p>
    <w:p w14:paraId="5A4705B6"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Liquidity risk is the potential that a business will not be able to meet its short-term financial obligations due to the inability to convert assets into cash or obtain sufficient funding without incurring substantial losses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Newstyle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Isele</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Tekerebo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2024)</w:t>
      </w:r>
      <w:r w:rsidRPr="00957BEB">
        <w:rPr>
          <w:rFonts w:ascii="Times New Roman" w:eastAsia="Times New Roman" w:hAnsi="Times New Roman" w:cs="Times New Roman"/>
          <w:sz w:val="24"/>
          <w:szCs w:val="24"/>
        </w:rPr>
        <w:t>. It arises when a firm cannot quickly generate enough cash flow to cover its liabilities as they come due. This type of risk is particularly critical because, even if a company is profitable on paper, a lack of liquidity can lead to insolvency</w:t>
      </w:r>
      <w:r w:rsidR="00802778">
        <w:rPr>
          <w:rFonts w:ascii="Times New Roman" w:eastAsia="Times New Roman" w:hAnsi="Times New Roman" w:cs="Times New Roman"/>
          <w:sz w:val="24"/>
          <w:szCs w:val="24"/>
        </w:rPr>
        <w:t xml:space="preserve"> (</w:t>
      </w:r>
      <w:r w:rsidR="00802778">
        <w:rPr>
          <w:rFonts w:ascii="Times New Roman" w:hAnsi="Times New Roman" w:cs="Times New Roman"/>
          <w:sz w:val="24"/>
          <w:szCs w:val="24"/>
        </w:rPr>
        <w:t xml:space="preserve">Rabiu, </w:t>
      </w:r>
      <w:r w:rsidR="00802778" w:rsidRPr="00AE301C">
        <w:rPr>
          <w:rFonts w:ascii="Times New Roman" w:hAnsi="Times New Roman" w:cs="Times New Roman"/>
          <w:sz w:val="24"/>
          <w:szCs w:val="24"/>
        </w:rPr>
        <w:t>2023)</w:t>
      </w:r>
      <w:r w:rsidRPr="00957BEB">
        <w:rPr>
          <w:rFonts w:ascii="Times New Roman" w:eastAsia="Times New Roman" w:hAnsi="Times New Roman" w:cs="Times New Roman"/>
          <w:sz w:val="24"/>
          <w:szCs w:val="24"/>
        </w:rPr>
        <w:t>, operational disruption, or forced asset sales under unfavorable conditions.</w:t>
      </w:r>
    </w:p>
    <w:p w14:paraId="5A4705B7" w14:textId="77777777" w:rsidR="00802778"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Liquidity risk can manifest in two main ways: funding liquidity risk and market liquidity risk</w:t>
      </w:r>
      <w:r w:rsidR="00887B12">
        <w:rPr>
          <w:rFonts w:ascii="Times New Roman" w:eastAsia="Times New Roman" w:hAnsi="Times New Roman" w:cs="Times New Roman"/>
          <w:sz w:val="24"/>
          <w:szCs w:val="24"/>
        </w:rPr>
        <w:t xml:space="preserve"> (</w:t>
      </w:r>
      <w:r w:rsidR="00887B12">
        <w:rPr>
          <w:rFonts w:ascii="Times New Roman" w:hAnsi="Times New Roman" w:cs="Times New Roman"/>
          <w:sz w:val="24"/>
          <w:szCs w:val="24"/>
        </w:rPr>
        <w:t xml:space="preserve">Nikolaou, </w:t>
      </w:r>
      <w:r w:rsidR="00887B12" w:rsidRPr="001F416C">
        <w:rPr>
          <w:rFonts w:ascii="Times New Roman" w:hAnsi="Times New Roman" w:cs="Times New Roman"/>
          <w:sz w:val="24"/>
          <w:szCs w:val="24"/>
        </w:rPr>
        <w:t>2009)</w:t>
      </w:r>
      <w:r w:rsidRPr="00957BEB">
        <w:rPr>
          <w:rFonts w:ascii="Times New Roman" w:eastAsia="Times New Roman" w:hAnsi="Times New Roman" w:cs="Times New Roman"/>
          <w:sz w:val="24"/>
          <w:szCs w:val="24"/>
        </w:rPr>
        <w:t>. Funding liquidity risk occurs when a firm does not have enough liquid assets or access to external financing to meet its immediate cash needs</w:t>
      </w:r>
      <w:r w:rsidR="00EE5D80">
        <w:rPr>
          <w:rFonts w:ascii="Times New Roman" w:eastAsia="Times New Roman" w:hAnsi="Times New Roman" w:cs="Times New Roman"/>
          <w:sz w:val="24"/>
          <w:szCs w:val="24"/>
        </w:rPr>
        <w:t xml:space="preserve"> (</w:t>
      </w:r>
      <w:proofErr w:type="spellStart"/>
      <w:r w:rsidR="00EE5D80">
        <w:rPr>
          <w:rFonts w:ascii="Times New Roman" w:hAnsi="Times New Roman" w:cs="Times New Roman"/>
          <w:sz w:val="24"/>
          <w:szCs w:val="24"/>
        </w:rPr>
        <w:t>Drehmann</w:t>
      </w:r>
      <w:proofErr w:type="spellEnd"/>
      <w:r w:rsidR="00EE5D80">
        <w:rPr>
          <w:rFonts w:ascii="Times New Roman" w:hAnsi="Times New Roman" w:cs="Times New Roman"/>
          <w:sz w:val="24"/>
          <w:szCs w:val="24"/>
        </w:rPr>
        <w:t xml:space="preserve"> &amp; Nikolaou, </w:t>
      </w:r>
      <w:r w:rsidR="00EE5D80" w:rsidRPr="001F416C">
        <w:rPr>
          <w:rFonts w:ascii="Times New Roman" w:hAnsi="Times New Roman" w:cs="Times New Roman"/>
          <w:sz w:val="24"/>
          <w:szCs w:val="24"/>
        </w:rPr>
        <w:t>2013)</w:t>
      </w:r>
      <w:r w:rsidRPr="00957BEB">
        <w:rPr>
          <w:rFonts w:ascii="Times New Roman" w:eastAsia="Times New Roman" w:hAnsi="Times New Roman" w:cs="Times New Roman"/>
          <w:sz w:val="24"/>
          <w:szCs w:val="24"/>
        </w:rPr>
        <w:t>. Market liquidity risk, on the other hand, arises when a company cannot sell assets quickly enough at a reasonable price to generate cash. Both forms of liquidity risk can compromise the financial health of an organization, especially during periods of economic uncertainty or market stress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Isamade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Udeh</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Odo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w:t>
      </w:r>
      <w:r w:rsidR="00802778">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 xml:space="preserve">For small-scale businesses, liquidity risk is often a pressing concern due to limited access to credit facilities, inconsistent revenue streams, and a smaller asset base. These firms may struggle to secure loans or emergency funding, particularly in times of financial crisis. Poor cash flow management, delayed customer payments, or unexpected expenses can exacerbate the problem, leaving the business unable to pay suppliers, workers, or utility bills. </w:t>
      </w:r>
    </w:p>
    <w:p w14:paraId="5A4705B8"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Therefore, maintaining adequate liquidity is not just about having cash on hand—it also involves effective planning, budgeting, and maintaining strong banking relationships.</w:t>
      </w:r>
      <w:r w:rsidR="00802778">
        <w:rPr>
          <w:rFonts w:ascii="Times New Roman" w:eastAsia="Times New Roman" w:hAnsi="Times New Roman" w:cs="Times New Roman"/>
          <w:sz w:val="24"/>
          <w:szCs w:val="24"/>
        </w:rPr>
        <w:t xml:space="preserve"> </w:t>
      </w:r>
      <w:r w:rsidRPr="00957BEB">
        <w:rPr>
          <w:rFonts w:ascii="Times New Roman" w:eastAsia="Times New Roman" w:hAnsi="Times New Roman" w:cs="Times New Roman"/>
          <w:sz w:val="24"/>
          <w:szCs w:val="24"/>
        </w:rPr>
        <w:t>In essence, liquidity risk reflects a company’s ability to remain operational and solvent in the face of short-term financial pressures</w:t>
      </w:r>
      <w:r w:rsidR="00802778">
        <w:rPr>
          <w:rFonts w:ascii="Times New Roman" w:eastAsia="Times New Roman" w:hAnsi="Times New Roman" w:cs="Times New Roman"/>
          <w:sz w:val="24"/>
          <w:szCs w:val="24"/>
        </w:rPr>
        <w:t xml:space="preserve"> (</w:t>
      </w:r>
      <w:proofErr w:type="spellStart"/>
      <w:r w:rsidR="00802778">
        <w:rPr>
          <w:rFonts w:ascii="Times New Roman" w:hAnsi="Times New Roman" w:cs="Times New Roman"/>
          <w:sz w:val="24"/>
          <w:szCs w:val="24"/>
        </w:rPr>
        <w:t>Isamade</w:t>
      </w:r>
      <w:proofErr w:type="spellEnd"/>
      <w:r w:rsidR="00802778">
        <w:rPr>
          <w:rFonts w:ascii="Times New Roman" w:hAnsi="Times New Roman" w:cs="Times New Roman"/>
          <w:sz w:val="24"/>
          <w:szCs w:val="24"/>
        </w:rPr>
        <w:t xml:space="preserve">, </w:t>
      </w:r>
      <w:proofErr w:type="spellStart"/>
      <w:r w:rsidR="00802778">
        <w:rPr>
          <w:rFonts w:ascii="Times New Roman" w:hAnsi="Times New Roman" w:cs="Times New Roman"/>
          <w:sz w:val="24"/>
          <w:szCs w:val="24"/>
        </w:rPr>
        <w:t>Udeh</w:t>
      </w:r>
      <w:proofErr w:type="spellEnd"/>
      <w:r w:rsidR="00802778">
        <w:rPr>
          <w:rFonts w:ascii="Times New Roman" w:hAnsi="Times New Roman" w:cs="Times New Roman"/>
          <w:sz w:val="24"/>
          <w:szCs w:val="24"/>
        </w:rPr>
        <w:t xml:space="preserve"> &amp; </w:t>
      </w:r>
      <w:proofErr w:type="spellStart"/>
      <w:r w:rsidR="00802778">
        <w:rPr>
          <w:rFonts w:ascii="Times New Roman" w:hAnsi="Times New Roman" w:cs="Times New Roman"/>
          <w:sz w:val="24"/>
          <w:szCs w:val="24"/>
        </w:rPr>
        <w:t>Odo</w:t>
      </w:r>
      <w:proofErr w:type="spellEnd"/>
      <w:r w:rsidR="00802778">
        <w:rPr>
          <w:rFonts w:ascii="Times New Roman" w:hAnsi="Times New Roman" w:cs="Times New Roman"/>
          <w:sz w:val="24"/>
          <w:szCs w:val="24"/>
        </w:rPr>
        <w:t xml:space="preserve">, </w:t>
      </w:r>
      <w:r w:rsidR="00802778" w:rsidRPr="00AE301C">
        <w:rPr>
          <w:rFonts w:ascii="Times New Roman" w:hAnsi="Times New Roman" w:cs="Times New Roman"/>
          <w:sz w:val="24"/>
          <w:szCs w:val="24"/>
        </w:rPr>
        <w:t>2022)</w:t>
      </w:r>
      <w:r w:rsidRPr="00957BEB">
        <w:rPr>
          <w:rFonts w:ascii="Times New Roman" w:eastAsia="Times New Roman" w:hAnsi="Times New Roman" w:cs="Times New Roman"/>
          <w:sz w:val="24"/>
          <w:szCs w:val="24"/>
        </w:rPr>
        <w:t>. Managing this risk requires continuous monitoring of cash inflows and outflows, as well as contingency planning to address potential liquidity crunches. Addressing liquidity risk is essential for business survival and long-term performance.</w:t>
      </w:r>
    </w:p>
    <w:p w14:paraId="5A4705B9" w14:textId="77777777" w:rsidR="002C08B5" w:rsidRPr="00957BEB" w:rsidRDefault="002C08B5" w:rsidP="00957BEB">
      <w:pPr>
        <w:pStyle w:val="Heading1"/>
        <w:spacing w:before="0" w:after="120" w:line="276" w:lineRule="auto"/>
        <w:rPr>
          <w:rFonts w:eastAsia="Times New Roman" w:cs="Times New Roman"/>
          <w:szCs w:val="24"/>
        </w:rPr>
      </w:pPr>
      <w:r w:rsidRPr="00957BEB">
        <w:rPr>
          <w:rFonts w:eastAsia="Times New Roman" w:cs="Times New Roman"/>
          <w:szCs w:val="24"/>
        </w:rPr>
        <w:t>2.1.4 Corporate Performance</w:t>
      </w:r>
    </w:p>
    <w:p w14:paraId="5A4705BA" w14:textId="1ED6D3EA"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Corporate performance refers to the overall effectiveness with which a company achieves its financial, operational, and strategic objectives</w:t>
      </w:r>
      <w:r w:rsidR="0077704E">
        <w:rPr>
          <w:rFonts w:ascii="Times New Roman" w:eastAsia="Times New Roman" w:hAnsi="Times New Roman" w:cs="Times New Roman"/>
          <w:sz w:val="24"/>
          <w:szCs w:val="24"/>
        </w:rPr>
        <w:t xml:space="preserve"> (</w:t>
      </w:r>
      <w:proofErr w:type="spellStart"/>
      <w:r w:rsidR="0077704E">
        <w:rPr>
          <w:rFonts w:ascii="Times New Roman" w:hAnsi="Times New Roman" w:cs="Times New Roman"/>
          <w:sz w:val="24"/>
          <w:szCs w:val="24"/>
        </w:rPr>
        <w:t>Koralun-Bereźnicka</w:t>
      </w:r>
      <w:proofErr w:type="spellEnd"/>
      <w:r w:rsidR="0077704E">
        <w:rPr>
          <w:rFonts w:ascii="Times New Roman" w:hAnsi="Times New Roman" w:cs="Times New Roman"/>
          <w:sz w:val="24"/>
          <w:szCs w:val="24"/>
        </w:rPr>
        <w:t xml:space="preserve">, </w:t>
      </w:r>
      <w:r w:rsidR="0077704E" w:rsidRPr="001F416C">
        <w:rPr>
          <w:rFonts w:ascii="Times New Roman" w:hAnsi="Times New Roman" w:cs="Times New Roman"/>
          <w:sz w:val="24"/>
          <w:szCs w:val="24"/>
        </w:rPr>
        <w:t>2013)</w:t>
      </w:r>
      <w:r w:rsidRPr="00957BEB">
        <w:rPr>
          <w:rFonts w:ascii="Times New Roman" w:eastAsia="Times New Roman" w:hAnsi="Times New Roman" w:cs="Times New Roman"/>
          <w:sz w:val="24"/>
          <w:szCs w:val="24"/>
        </w:rPr>
        <w:t>. It encompasses a range of metrics that evaluate how well a business is performing in terms of profitability, growth, productivity, competitiveness, and stakeholder satisfaction. Corporate performance is a multidimensional concept that reflects the organization’s ability to use its resources efficiently, respond to external challenges, and sustain long-term value creation</w:t>
      </w:r>
      <w:r w:rsidR="0077704E">
        <w:rPr>
          <w:rFonts w:ascii="Times New Roman" w:eastAsia="Times New Roman" w:hAnsi="Times New Roman" w:cs="Times New Roman"/>
          <w:sz w:val="24"/>
          <w:szCs w:val="24"/>
        </w:rPr>
        <w:t xml:space="preserve"> (</w:t>
      </w:r>
      <w:r w:rsidR="0077704E">
        <w:rPr>
          <w:rFonts w:ascii="Times New Roman" w:hAnsi="Times New Roman" w:cs="Times New Roman"/>
          <w:sz w:val="24"/>
          <w:szCs w:val="24"/>
        </w:rPr>
        <w:t xml:space="preserve">Combs, Russell &amp; Shook, </w:t>
      </w:r>
      <w:r w:rsidR="0077704E" w:rsidRPr="001F416C">
        <w:rPr>
          <w:rFonts w:ascii="Times New Roman" w:hAnsi="Times New Roman" w:cs="Times New Roman"/>
          <w:sz w:val="24"/>
          <w:szCs w:val="24"/>
        </w:rPr>
        <w:t>2005</w:t>
      </w:r>
      <w:r w:rsidR="00065A8E">
        <w:rPr>
          <w:rFonts w:ascii="Times New Roman" w:hAnsi="Times New Roman" w:cs="Times New Roman"/>
          <w:sz w:val="24"/>
          <w:szCs w:val="24"/>
        </w:rPr>
        <w:t xml:space="preserve">; </w:t>
      </w:r>
      <w:proofErr w:type="spellStart"/>
      <w:r w:rsidR="00065A8E">
        <w:rPr>
          <w:rFonts w:ascii="Times New Roman" w:hAnsi="Times New Roman" w:cs="Times New Roman"/>
          <w:color w:val="auto"/>
          <w:sz w:val="24"/>
          <w:szCs w:val="24"/>
        </w:rPr>
        <w:t>Omoregie</w:t>
      </w:r>
      <w:proofErr w:type="spellEnd"/>
      <w:r w:rsidR="00065A8E">
        <w:rPr>
          <w:rFonts w:ascii="Times New Roman" w:hAnsi="Times New Roman" w:cs="Times New Roman"/>
          <w:color w:val="auto"/>
          <w:sz w:val="24"/>
          <w:szCs w:val="24"/>
        </w:rPr>
        <w:t xml:space="preserve"> &amp; </w:t>
      </w:r>
      <w:proofErr w:type="spellStart"/>
      <w:r w:rsidR="00065A8E">
        <w:rPr>
          <w:rFonts w:ascii="Times New Roman" w:hAnsi="Times New Roman" w:cs="Times New Roman"/>
          <w:color w:val="auto"/>
          <w:sz w:val="24"/>
          <w:szCs w:val="24"/>
        </w:rPr>
        <w:t>Olofin</w:t>
      </w:r>
      <w:proofErr w:type="spellEnd"/>
      <w:r w:rsidR="00065A8E">
        <w:rPr>
          <w:rFonts w:ascii="Times New Roman" w:hAnsi="Times New Roman" w:cs="Times New Roman"/>
          <w:color w:val="auto"/>
          <w:sz w:val="24"/>
          <w:szCs w:val="24"/>
        </w:rPr>
        <w:t>, 2020</w:t>
      </w:r>
      <w:r w:rsidR="0077704E" w:rsidRPr="001F416C">
        <w:rPr>
          <w:rFonts w:ascii="Times New Roman" w:hAnsi="Times New Roman" w:cs="Times New Roman"/>
          <w:sz w:val="24"/>
          <w:szCs w:val="24"/>
        </w:rPr>
        <w:t>)</w:t>
      </w:r>
      <w:r w:rsidRPr="00957BEB">
        <w:rPr>
          <w:rFonts w:ascii="Times New Roman" w:eastAsia="Times New Roman" w:hAnsi="Times New Roman" w:cs="Times New Roman"/>
          <w:sz w:val="24"/>
          <w:szCs w:val="24"/>
        </w:rPr>
        <w:t>.</w:t>
      </w:r>
    </w:p>
    <w:p w14:paraId="5A4705BB" w14:textId="77777777"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Traditionally, corporate performance is measured using financial indicators. However, modern perspectives recognize that non-financial elements such as customer satisfaction, employee </w:t>
      </w:r>
      <w:r w:rsidRPr="00957BEB">
        <w:rPr>
          <w:rFonts w:ascii="Times New Roman" w:eastAsia="Times New Roman" w:hAnsi="Times New Roman" w:cs="Times New Roman"/>
          <w:sz w:val="24"/>
          <w:szCs w:val="24"/>
        </w:rPr>
        <w:lastRenderedPageBreak/>
        <w:t>engagement, innovation capacity, and social responsibility also play a critical role in defining performance</w:t>
      </w:r>
      <w:r w:rsidR="007741EA">
        <w:rPr>
          <w:rFonts w:ascii="Times New Roman" w:eastAsia="Times New Roman" w:hAnsi="Times New Roman" w:cs="Times New Roman"/>
          <w:sz w:val="24"/>
          <w:szCs w:val="24"/>
        </w:rPr>
        <w:t xml:space="preserve"> (</w:t>
      </w:r>
      <w:r w:rsidR="007741EA" w:rsidRPr="001F416C">
        <w:rPr>
          <w:rFonts w:ascii="Times New Roman" w:hAnsi="Times New Roman" w:cs="Times New Roman"/>
          <w:sz w:val="24"/>
          <w:szCs w:val="24"/>
        </w:rPr>
        <w:t xml:space="preserve">El </w:t>
      </w:r>
      <w:proofErr w:type="spellStart"/>
      <w:r w:rsidR="007741EA" w:rsidRPr="001F416C">
        <w:rPr>
          <w:rFonts w:ascii="Times New Roman" w:hAnsi="Times New Roman" w:cs="Times New Roman"/>
          <w:sz w:val="24"/>
          <w:szCs w:val="24"/>
        </w:rPr>
        <w:t>Fallahi</w:t>
      </w:r>
      <w:proofErr w:type="spellEnd"/>
      <w:r w:rsidR="007741EA" w:rsidRPr="001F416C">
        <w:rPr>
          <w:rFonts w:ascii="Times New Roman" w:hAnsi="Times New Roman" w:cs="Times New Roman"/>
          <w:sz w:val="24"/>
          <w:szCs w:val="24"/>
        </w:rPr>
        <w:t xml:space="preserve">, </w:t>
      </w:r>
      <w:proofErr w:type="spellStart"/>
      <w:r w:rsidR="007741EA">
        <w:rPr>
          <w:rFonts w:ascii="Times New Roman" w:hAnsi="Times New Roman" w:cs="Times New Roman"/>
          <w:sz w:val="24"/>
          <w:szCs w:val="24"/>
        </w:rPr>
        <w:t>Ibenrissoul</w:t>
      </w:r>
      <w:proofErr w:type="spellEnd"/>
      <w:r w:rsidR="007741EA">
        <w:rPr>
          <w:rFonts w:ascii="Times New Roman" w:hAnsi="Times New Roman" w:cs="Times New Roman"/>
          <w:sz w:val="24"/>
          <w:szCs w:val="24"/>
        </w:rPr>
        <w:t xml:space="preserve"> &amp; El </w:t>
      </w:r>
      <w:proofErr w:type="spellStart"/>
      <w:r w:rsidR="007741EA">
        <w:rPr>
          <w:rFonts w:ascii="Times New Roman" w:hAnsi="Times New Roman" w:cs="Times New Roman"/>
          <w:sz w:val="24"/>
          <w:szCs w:val="24"/>
        </w:rPr>
        <w:t>Amri</w:t>
      </w:r>
      <w:proofErr w:type="spellEnd"/>
      <w:r w:rsidR="007741EA">
        <w:rPr>
          <w:rFonts w:ascii="Times New Roman" w:hAnsi="Times New Roman" w:cs="Times New Roman"/>
          <w:sz w:val="24"/>
          <w:szCs w:val="24"/>
        </w:rPr>
        <w:t xml:space="preserve">, </w:t>
      </w:r>
      <w:r w:rsidR="007741EA" w:rsidRPr="001F416C">
        <w:rPr>
          <w:rFonts w:ascii="Times New Roman" w:hAnsi="Times New Roman" w:cs="Times New Roman"/>
          <w:sz w:val="24"/>
          <w:szCs w:val="24"/>
        </w:rPr>
        <w:t>2023)</w:t>
      </w:r>
      <w:r w:rsidRPr="00957BEB">
        <w:rPr>
          <w:rFonts w:ascii="Times New Roman" w:eastAsia="Times New Roman" w:hAnsi="Times New Roman" w:cs="Times New Roman"/>
          <w:sz w:val="24"/>
          <w:szCs w:val="24"/>
        </w:rPr>
        <w:t>. As such, corporate performance is often viewed through both quantitative and qualitative lenses, providing a more holistic picture of an organization’s health and trajectory.</w:t>
      </w:r>
    </w:p>
    <w:p w14:paraId="5A4705BC" w14:textId="1400077A" w:rsidR="002C08B5" w:rsidRPr="00957BEB" w:rsidRDefault="002C08B5"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For small-scale firms in Nigeria, corporate performance is not only a measure of profitability but also of survival and resilience in a challenging business environment</w:t>
      </w:r>
      <w:r w:rsidR="001D49A8">
        <w:rPr>
          <w:rFonts w:ascii="Times New Roman" w:eastAsia="Times New Roman" w:hAnsi="Times New Roman" w:cs="Times New Roman"/>
          <w:sz w:val="24"/>
          <w:szCs w:val="24"/>
        </w:rPr>
        <w:t xml:space="preserve"> (</w:t>
      </w:r>
      <w:r w:rsidR="001D49A8" w:rsidRPr="00CB3E22">
        <w:rPr>
          <w:rFonts w:ascii="Times New Roman" w:hAnsi="Times New Roman" w:cs="Times New Roman"/>
          <w:sz w:val="24"/>
          <w:szCs w:val="24"/>
        </w:rPr>
        <w:t>Sawalha, 2013)</w:t>
      </w:r>
      <w:r w:rsidRPr="00957BEB">
        <w:rPr>
          <w:rFonts w:ascii="Times New Roman" w:eastAsia="Times New Roman" w:hAnsi="Times New Roman" w:cs="Times New Roman"/>
          <w:sz w:val="24"/>
          <w:szCs w:val="24"/>
        </w:rPr>
        <w:t xml:space="preserve">. These businesses operate in dynamic </w:t>
      </w:r>
      <w:r w:rsidR="0022595F" w:rsidRPr="00957BEB">
        <w:rPr>
          <w:rFonts w:ascii="Times New Roman" w:eastAsia="Times New Roman" w:hAnsi="Times New Roman" w:cs="Times New Roman"/>
          <w:sz w:val="24"/>
          <w:szCs w:val="24"/>
        </w:rPr>
        <w:t>markets,</w:t>
      </w:r>
      <w:r w:rsidRPr="00957BEB">
        <w:rPr>
          <w:rFonts w:ascii="Times New Roman" w:eastAsia="Times New Roman" w:hAnsi="Times New Roman" w:cs="Times New Roman"/>
          <w:sz w:val="24"/>
          <w:szCs w:val="24"/>
        </w:rPr>
        <w:t xml:space="preserve"> often characterized by regulatory hurdles, infrastructure deficiencies, limited access to funding, and economic volatility. As such, strong corporate performance indicates that a firm is not just financially stable but also adaptive, strategic, and competitive within its industry. It reflects the company’s ability to manage risks, satisfy customers, and retain a motivated workforce. Ultimately, corporate performance serves as a benchmark for strategic decision-making, resource allocation, and investment planning. It helps managers, investors, and other stakeholders assess the value and sustainability of a business. High corporate performance is associated with strong leadership, sound financial management, and efficient </w:t>
      </w:r>
      <w:r w:rsidR="0022595F" w:rsidRPr="00957BEB">
        <w:rPr>
          <w:rFonts w:ascii="Times New Roman" w:eastAsia="Times New Roman" w:hAnsi="Times New Roman" w:cs="Times New Roman"/>
          <w:sz w:val="24"/>
          <w:szCs w:val="24"/>
        </w:rPr>
        <w:t xml:space="preserve">operation, </w:t>
      </w:r>
      <w:r w:rsidRPr="00957BEB">
        <w:rPr>
          <w:rFonts w:ascii="Times New Roman" w:eastAsia="Times New Roman" w:hAnsi="Times New Roman" w:cs="Times New Roman"/>
          <w:sz w:val="24"/>
          <w:szCs w:val="24"/>
        </w:rPr>
        <w:t>all of which are vital for long-term success in today’s competitive market.</w:t>
      </w:r>
    </w:p>
    <w:p w14:paraId="5A4705BD"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2.2 Theoretical Framework</w:t>
      </w:r>
    </w:p>
    <w:p w14:paraId="5A4705BE"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Resource-Based Theory (RBT)</w:t>
      </w:r>
      <w:r w:rsidRPr="00957BEB">
        <w:rPr>
          <w:rFonts w:ascii="Times New Roman" w:eastAsia="Times New Roman" w:hAnsi="Times New Roman" w:cs="Times New Roman"/>
          <w:sz w:val="24"/>
          <w:szCs w:val="24"/>
        </w:rPr>
        <w:t xml:space="preserve"> originated from the work of Edith Penrose in her 1959 seminal book </w:t>
      </w:r>
      <w:r w:rsidRPr="00957BEB">
        <w:rPr>
          <w:rFonts w:ascii="Times New Roman" w:eastAsia="Times New Roman" w:hAnsi="Times New Roman" w:cs="Times New Roman"/>
          <w:i/>
          <w:iCs/>
          <w:sz w:val="24"/>
          <w:szCs w:val="24"/>
        </w:rPr>
        <w:t>"The Theory of the Growth of the Firm"</w:t>
      </w:r>
      <w:r w:rsidR="004966CB">
        <w:rPr>
          <w:rFonts w:ascii="Times New Roman" w:eastAsia="Times New Roman" w:hAnsi="Times New Roman" w:cs="Times New Roman"/>
          <w:i/>
          <w:iCs/>
          <w:sz w:val="24"/>
          <w:szCs w:val="24"/>
        </w:rPr>
        <w:t xml:space="preserve"> </w:t>
      </w:r>
      <w:r w:rsidR="004966CB" w:rsidRPr="004966CB">
        <w:rPr>
          <w:rFonts w:ascii="Times New Roman" w:eastAsia="Times New Roman" w:hAnsi="Times New Roman" w:cs="Times New Roman"/>
          <w:iCs/>
          <w:sz w:val="24"/>
          <w:szCs w:val="24"/>
        </w:rPr>
        <w:t>(</w:t>
      </w:r>
      <w:r w:rsidR="004966CB">
        <w:rPr>
          <w:rFonts w:ascii="Times New Roman" w:hAnsi="Times New Roman" w:cs="Times New Roman"/>
          <w:sz w:val="24"/>
          <w:szCs w:val="24"/>
        </w:rPr>
        <w:t xml:space="preserve">Nworie &amp; Nwoye, </w:t>
      </w:r>
      <w:r w:rsidR="004966CB" w:rsidRPr="00CB3E22">
        <w:rPr>
          <w:rFonts w:ascii="Times New Roman" w:hAnsi="Times New Roman" w:cs="Times New Roman"/>
          <w:sz w:val="24"/>
          <w:szCs w:val="24"/>
        </w:rPr>
        <w:t>2023)</w:t>
      </w:r>
      <w:r w:rsidRPr="00957BEB">
        <w:rPr>
          <w:rFonts w:ascii="Times New Roman" w:eastAsia="Times New Roman" w:hAnsi="Times New Roman" w:cs="Times New Roman"/>
          <w:sz w:val="24"/>
          <w:szCs w:val="24"/>
        </w:rPr>
        <w:t xml:space="preserve">. However, it gained major theoretical recognition and development through the contributions of scholars such as Jay Barney in 1991, who refined and formalized it into a strategic management theory. Barney’s work titled </w:t>
      </w:r>
      <w:r w:rsidRPr="00957BEB">
        <w:rPr>
          <w:rFonts w:ascii="Times New Roman" w:eastAsia="Times New Roman" w:hAnsi="Times New Roman" w:cs="Times New Roman"/>
          <w:i/>
          <w:iCs/>
          <w:sz w:val="24"/>
          <w:szCs w:val="24"/>
        </w:rPr>
        <w:t>“Firm Resources and Sustained Competitive Advantage”</w:t>
      </w:r>
      <w:r w:rsidRPr="00957BEB">
        <w:rPr>
          <w:rFonts w:ascii="Times New Roman" w:eastAsia="Times New Roman" w:hAnsi="Times New Roman" w:cs="Times New Roman"/>
          <w:sz w:val="24"/>
          <w:szCs w:val="24"/>
        </w:rPr>
        <w:t xml:space="preserve"> became a foundational piece in the development of RBT, presenting it as a key lens through which firms can gain and sustain competitive advantage</w:t>
      </w:r>
      <w:r w:rsidR="00262D81">
        <w:rPr>
          <w:rFonts w:ascii="Times New Roman" w:eastAsia="Times New Roman" w:hAnsi="Times New Roman" w:cs="Times New Roman"/>
          <w:sz w:val="24"/>
          <w:szCs w:val="24"/>
        </w:rPr>
        <w:t xml:space="preserve"> (</w:t>
      </w:r>
      <w:r w:rsidR="00262D81">
        <w:rPr>
          <w:rFonts w:ascii="Times New Roman" w:hAnsi="Times New Roman" w:cs="Times New Roman"/>
          <w:sz w:val="24"/>
          <w:szCs w:val="24"/>
        </w:rPr>
        <w:t xml:space="preserve">Barney &amp; Clark, </w:t>
      </w:r>
      <w:r w:rsidR="00262D81" w:rsidRPr="00CB3E22">
        <w:rPr>
          <w:rFonts w:ascii="Times New Roman" w:hAnsi="Times New Roman" w:cs="Times New Roman"/>
          <w:sz w:val="24"/>
          <w:szCs w:val="24"/>
        </w:rPr>
        <w:t>2007)</w:t>
      </w:r>
      <w:r w:rsidRPr="00957BEB">
        <w:rPr>
          <w:rFonts w:ascii="Times New Roman" w:eastAsia="Times New Roman" w:hAnsi="Times New Roman" w:cs="Times New Roman"/>
          <w:sz w:val="24"/>
          <w:szCs w:val="24"/>
        </w:rPr>
        <w:t>. Over time, this theory has evolved into a central concept in understanding how internal firm resources—both tangible and intangible—can be strategically deployed to improve performance and secure long-term growth.</w:t>
      </w:r>
    </w:p>
    <w:p w14:paraId="5A4705BF"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The Resource-Based Theory postulates that firms possess resources, capabilities, and competencies that, if valuable, rare, inimitable, and non-substitutable (VRIN), can lead to a sustainable competitive advantage</w:t>
      </w:r>
      <w:r w:rsidR="006039D2">
        <w:rPr>
          <w:rFonts w:ascii="Times New Roman" w:eastAsia="Times New Roman" w:hAnsi="Times New Roman" w:cs="Times New Roman"/>
          <w:sz w:val="24"/>
          <w:szCs w:val="24"/>
        </w:rPr>
        <w:t xml:space="preserve"> (</w:t>
      </w:r>
      <w:proofErr w:type="spellStart"/>
      <w:r w:rsidR="006039D2">
        <w:rPr>
          <w:rFonts w:ascii="Times New Roman" w:hAnsi="Times New Roman" w:cs="Times New Roman"/>
          <w:sz w:val="24"/>
          <w:szCs w:val="24"/>
        </w:rPr>
        <w:t>Esteve</w:t>
      </w:r>
      <w:proofErr w:type="spellEnd"/>
      <w:r w:rsidR="006039D2">
        <w:rPr>
          <w:rFonts w:ascii="Times New Roman" w:hAnsi="Times New Roman" w:cs="Times New Roman"/>
          <w:sz w:val="24"/>
          <w:szCs w:val="24"/>
        </w:rPr>
        <w:t xml:space="preserve">-Pérez &amp; </w:t>
      </w:r>
      <w:proofErr w:type="spellStart"/>
      <w:r w:rsidR="006039D2">
        <w:rPr>
          <w:rFonts w:ascii="Times New Roman" w:hAnsi="Times New Roman" w:cs="Times New Roman"/>
          <w:sz w:val="24"/>
          <w:szCs w:val="24"/>
        </w:rPr>
        <w:t>Mañez-Castillejo</w:t>
      </w:r>
      <w:proofErr w:type="spellEnd"/>
      <w:r w:rsidR="006039D2">
        <w:rPr>
          <w:rFonts w:ascii="Times New Roman" w:hAnsi="Times New Roman" w:cs="Times New Roman"/>
          <w:sz w:val="24"/>
          <w:szCs w:val="24"/>
        </w:rPr>
        <w:t xml:space="preserve">, </w:t>
      </w:r>
      <w:r w:rsidR="006039D2" w:rsidRPr="00CB3E22">
        <w:rPr>
          <w:rFonts w:ascii="Times New Roman" w:hAnsi="Times New Roman" w:cs="Times New Roman"/>
          <w:sz w:val="24"/>
          <w:szCs w:val="24"/>
        </w:rPr>
        <w:t>2008)</w:t>
      </w:r>
      <w:r w:rsidRPr="00957BEB">
        <w:rPr>
          <w:rFonts w:ascii="Times New Roman" w:eastAsia="Times New Roman" w:hAnsi="Times New Roman" w:cs="Times New Roman"/>
          <w:sz w:val="24"/>
          <w:szCs w:val="24"/>
        </w:rPr>
        <w:t>. These resources must be strategically managed and leveraged to generate superior outcomes in the firm’s operations and market performance. RBT emphasizes that it is not just access to resources that matters, but the effective deployment, management, and coordination of those resources within the unique context of each firm. The theory distinguishes between different types of resources—physical capital, human capital, organizational capabilities—and asserts that their strategic use is what leads to enhanced firm performance over time</w:t>
      </w:r>
      <w:r w:rsidR="00F53C31">
        <w:rPr>
          <w:rFonts w:ascii="Times New Roman" w:eastAsia="Times New Roman" w:hAnsi="Times New Roman" w:cs="Times New Roman"/>
          <w:sz w:val="24"/>
          <w:szCs w:val="24"/>
        </w:rPr>
        <w:t xml:space="preserve"> (</w:t>
      </w:r>
      <w:proofErr w:type="spellStart"/>
      <w:r w:rsidR="00F53C31" w:rsidRPr="00CB3E22">
        <w:rPr>
          <w:rFonts w:ascii="Times New Roman" w:hAnsi="Times New Roman" w:cs="Times New Roman"/>
          <w:sz w:val="24"/>
          <w:szCs w:val="24"/>
        </w:rPr>
        <w:t>Ployhart</w:t>
      </w:r>
      <w:proofErr w:type="spellEnd"/>
      <w:r w:rsidR="00F53C31" w:rsidRPr="00CB3E22">
        <w:rPr>
          <w:rFonts w:ascii="Times New Roman" w:hAnsi="Times New Roman" w:cs="Times New Roman"/>
          <w:sz w:val="24"/>
          <w:szCs w:val="24"/>
        </w:rPr>
        <w:t>, 2021)</w:t>
      </w:r>
      <w:r w:rsidRPr="00957BEB">
        <w:rPr>
          <w:rFonts w:ascii="Times New Roman" w:eastAsia="Times New Roman" w:hAnsi="Times New Roman" w:cs="Times New Roman"/>
          <w:sz w:val="24"/>
          <w:szCs w:val="24"/>
        </w:rPr>
        <w:t>.</w:t>
      </w:r>
    </w:p>
    <w:p w14:paraId="5A4705C0" w14:textId="77777777" w:rsidR="00B414E8" w:rsidRPr="00957BEB" w:rsidRDefault="00B414E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Resource-Based Theory (RBT)</w:t>
      </w:r>
      <w:r w:rsidRPr="00957BEB">
        <w:rPr>
          <w:rFonts w:ascii="Times New Roman" w:eastAsia="Times New Roman" w:hAnsi="Times New Roman" w:cs="Times New Roman"/>
          <w:sz w:val="24"/>
          <w:szCs w:val="24"/>
        </w:rPr>
        <w:t xml:space="preserve"> aligns closely with the subject matter of the study titled </w:t>
      </w:r>
      <w:r w:rsidRPr="00957BEB">
        <w:rPr>
          <w:rFonts w:ascii="Times New Roman" w:eastAsia="Times New Roman" w:hAnsi="Times New Roman" w:cs="Times New Roman"/>
          <w:i/>
          <w:iCs/>
          <w:sz w:val="24"/>
          <w:szCs w:val="24"/>
        </w:rPr>
        <w:t>“Influence of Financial Risk Management on Corporate Performance of Selected Small-Scale Firms in Nigeria.”</w:t>
      </w:r>
      <w:r w:rsidRPr="00957BEB">
        <w:rPr>
          <w:rFonts w:ascii="Times New Roman" w:eastAsia="Times New Roman" w:hAnsi="Times New Roman" w:cs="Times New Roman"/>
          <w:sz w:val="24"/>
          <w:szCs w:val="24"/>
        </w:rPr>
        <w:t xml:space="preserve"> Within this framework, financial risk management is perceived as an essential internal strength—a form of strategic asset—that empowers businesses to handle uncertainties, prevent financial setbacks, and make sound fiscal choices. For small-scale enterprises, which often face unstable market conditions and limited financial and </w:t>
      </w:r>
      <w:r w:rsidRPr="00957BEB">
        <w:rPr>
          <w:rFonts w:ascii="Times New Roman" w:eastAsia="Times New Roman" w:hAnsi="Times New Roman" w:cs="Times New Roman"/>
          <w:sz w:val="24"/>
          <w:szCs w:val="24"/>
        </w:rPr>
        <w:lastRenderedPageBreak/>
        <w:t>infrastructural support, robust risk management capabilities represent a distinctive and valuable competency. RBT posits that such internally cultivated strengths can serve as a source of lasting competitive edge, ultimately leading to enhanced business performance, operational resilience, and sustained growth. As such</w:t>
      </w:r>
      <w:r w:rsidR="00EA1C07">
        <w:rPr>
          <w:rFonts w:ascii="Times New Roman" w:eastAsia="Times New Roman" w:hAnsi="Times New Roman" w:cs="Times New Roman"/>
          <w:sz w:val="24"/>
          <w:szCs w:val="24"/>
        </w:rPr>
        <w:t>, the theory offers a suitable framework</w:t>
      </w:r>
      <w:r w:rsidRPr="00957BEB">
        <w:rPr>
          <w:rFonts w:ascii="Times New Roman" w:eastAsia="Times New Roman" w:hAnsi="Times New Roman" w:cs="Times New Roman"/>
          <w:sz w:val="24"/>
          <w:szCs w:val="24"/>
        </w:rPr>
        <w:t xml:space="preserve"> through which to investigate how effective in-house financial risk strategies affect outcomes in the context of small business operations.</w:t>
      </w:r>
    </w:p>
    <w:p w14:paraId="5A4705C1"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2.3 Empirical Review</w:t>
      </w:r>
    </w:p>
    <w:p w14:paraId="5A4705C2"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Onoh</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Adonye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Enang</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Efanga</w:t>
      </w:r>
      <w:proofErr w:type="spellEnd"/>
      <w:r w:rsidRPr="00957BEB">
        <w:rPr>
          <w:rFonts w:ascii="Times New Roman" w:eastAsia="Times New Roman" w:hAnsi="Times New Roman" w:cs="Times New Roman"/>
          <w:sz w:val="24"/>
          <w:szCs w:val="24"/>
        </w:rPr>
        <w:t xml:space="preserve"> (2025) investigated the impact of risk assessment on the performance of manufacturing firms in the North-Central region of Nigeria. In the study, risk review served as the independent variable, while organizational performance represented the dependent variable. A survey design was employed, and the analysis involved correlation and ANOVA techniques to determine the strength and significance of the relationship between the two variables. The findings indicated a statistically significant and positive relationship between risk review and firm performance. This suggests that enhanced risk assessment practices contribute to improved organizational outcomes. Based on this, the researchers advised manufacturing firms in the region to invest more in identifying and evaluating current and potential risks.</w:t>
      </w:r>
    </w:p>
    <w:p w14:paraId="5A4705C3"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Newstyle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Isele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Tekerebo</w:t>
      </w:r>
      <w:proofErr w:type="spellEnd"/>
      <w:r w:rsidRPr="00957BEB">
        <w:rPr>
          <w:rFonts w:ascii="Times New Roman" w:eastAsia="Times New Roman" w:hAnsi="Times New Roman" w:cs="Times New Roman"/>
          <w:sz w:val="24"/>
          <w:szCs w:val="24"/>
        </w:rPr>
        <w:t xml:space="preserve"> (2024) analyzed the influence of financial risk management on the financial performance of listed deposit money banks in Nigeria. Employing an ex-post facto research approach, the study targeted fourteen banks listed on the Nigerian Exchange Group, from which nine were selected using purposive sampling. Data for the study were drawn from the annual financial statements of these institutions between 2013 and 2022. The analysis incorporated descriptive statistics, unit root testing, diagnostic evaluation, Hausman testing, and multiple regression via panel least squares. Tools such as EViews 10 and SPSS version 20 were utilized for Moderated Multiple Regression analysis. The results showed that market and liquidity risk management had no significant influence on return on average assets. In contrast, credit and operational risk management showed significant effects. Firm size did not have a significant moderating effect on the relationship between total risk management and performance.</w:t>
      </w:r>
    </w:p>
    <w:p w14:paraId="5A4705C4" w14:textId="45D9FD73"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Borokini</w:t>
      </w:r>
      <w:proofErr w:type="spellEnd"/>
      <w:r w:rsidRPr="00957BEB">
        <w:rPr>
          <w:rFonts w:ascii="Times New Roman" w:eastAsia="Times New Roman" w:hAnsi="Times New Roman" w:cs="Times New Roman"/>
          <w:sz w:val="24"/>
          <w:szCs w:val="24"/>
        </w:rPr>
        <w:t xml:space="preserve"> (2024) explored the impact of financial risks on the financial performance of banks listed in Nigeria and evaluated the relative importance of different risk types. The study examined six out of the fourteen deposit money banks listed on the Nigerian Exchange using purposive sampling, with data spanning from 2018 to 2022. Information was collected from the</w:t>
      </w:r>
      <w:r w:rsidR="000E6DB8">
        <w:rPr>
          <w:rFonts w:ascii="Times New Roman" w:eastAsia="Times New Roman" w:hAnsi="Times New Roman" w:cs="Times New Roman"/>
          <w:sz w:val="24"/>
          <w:szCs w:val="24"/>
        </w:rPr>
        <w:t>se</w:t>
      </w:r>
      <w:r w:rsidRPr="00957BEB">
        <w:rPr>
          <w:rFonts w:ascii="Times New Roman" w:eastAsia="Times New Roman" w:hAnsi="Times New Roman" w:cs="Times New Roman"/>
          <w:sz w:val="24"/>
          <w:szCs w:val="24"/>
        </w:rPr>
        <w:t xml:space="preserve"> banks’ annual reports. Return on Assets (ROA) was adopted as the proxy for performance. The study assessed four key financial risks: liquidity, operational, exchange rate, and capital risks. Regression analysis revealed that operational and exchange rate risks were positively but not significantly related to ROA. In contrast, both liquidity and capital risks exhibited negative associations with ROA, though only the former showed a statistically significant effect.</w:t>
      </w:r>
    </w:p>
    <w:p w14:paraId="5A4705C5" w14:textId="7256550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Odukomaiya</w:t>
      </w:r>
      <w:proofErr w:type="spellEnd"/>
      <w:r w:rsidRPr="00957BEB">
        <w:rPr>
          <w:rFonts w:ascii="Times New Roman" w:eastAsia="Times New Roman" w:hAnsi="Times New Roman" w:cs="Times New Roman"/>
          <w:sz w:val="24"/>
          <w:szCs w:val="24"/>
        </w:rPr>
        <w:t xml:space="preserve"> (2023) explored how small and medium-sized enterprises (SMEs) in Nigeria understand and apply risk management, as well as the extent to which they link their business success to such practices. The study adopted a qualitative, exploratory multiple-case study </w:t>
      </w:r>
      <w:r w:rsidRPr="00957BEB">
        <w:rPr>
          <w:rFonts w:ascii="Times New Roman" w:eastAsia="Times New Roman" w:hAnsi="Times New Roman" w:cs="Times New Roman"/>
          <w:sz w:val="24"/>
          <w:szCs w:val="24"/>
        </w:rPr>
        <w:lastRenderedPageBreak/>
        <w:t xml:space="preserve">design involving eleven SMEs based in Lagos. Data </w:t>
      </w:r>
      <w:r w:rsidR="00277641" w:rsidRPr="00957BEB">
        <w:rPr>
          <w:rFonts w:ascii="Times New Roman" w:eastAsia="Times New Roman" w:hAnsi="Times New Roman" w:cs="Times New Roman"/>
          <w:sz w:val="24"/>
          <w:szCs w:val="24"/>
        </w:rPr>
        <w:t>was</w:t>
      </w:r>
      <w:r w:rsidRPr="00957BEB">
        <w:rPr>
          <w:rFonts w:ascii="Times New Roman" w:eastAsia="Times New Roman" w:hAnsi="Times New Roman" w:cs="Times New Roman"/>
          <w:sz w:val="24"/>
          <w:szCs w:val="24"/>
        </w:rPr>
        <w:t xml:space="preserve"> collected via semi-structured interviews with 23 SME owners and managers drawn from five industries: Education, Manufacturing, Wholesale/Retail Trade, Human Health and Social Work, and Accommodation and Food Services. These businesses had been in operation for a period ranging from seven to twenty-nine years. Document analysis was also conducted to complement the interviews. Using thematic and cross-case synthesis, the study found that while SMEs are aware of the risks they face, they do not always label their responses as formal risk management. Common strategies included monitoring and supervision, awareness creation, planning, stakeholder and supplier management, collaboration, insurance, and networking. Many participants attributed their sustainability, growth, reduction in losses, and improved access to financing to these practices. The study further identified several motivators encouraging SMEs to strengthen their risk management efforts.</w:t>
      </w:r>
    </w:p>
    <w:p w14:paraId="5A4705C6"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Rabiu (2023) analyzed the relationship between financial risk management and the financial performance of microfinance banks in Nigeria. The study focused on how variables such as capital adequacy, risk asset quality, loan loss provisions, loan-to-deposit ratio, and liquidity strength influenced performance indicators. Secondary data covering a thirty-year period (1993–2022) were sourced from the Central Bank of Nigeria’s statistical bulletins and microfinance banks' financial reports. The analysis was conducted using the autoregressive distributed lag (ARDL) model. The findings revealed that risk asset quality had a significant negative effect on both return on assets and return on equity in both the short and long run. On the other hand, liquidity strength had a positive and significant effect on both performance metrics over the same time horizons.</w:t>
      </w:r>
    </w:p>
    <w:p w14:paraId="5A4705C7"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Akowe</w:t>
      </w:r>
      <w:proofErr w:type="spellEnd"/>
      <w:r w:rsidRPr="00957BEB">
        <w:rPr>
          <w:rFonts w:ascii="Times New Roman" w:eastAsia="Times New Roman" w:hAnsi="Times New Roman" w:cs="Times New Roman"/>
          <w:sz w:val="24"/>
          <w:szCs w:val="24"/>
        </w:rPr>
        <w:t xml:space="preserve"> (2023) investigated risk management and its impact on the financial performance of firms in Nigeria, with a focus on using firm size as a moderator, covering the period from 2012 to 2019. The population for the study consisted of all quoted financial firms in Nigeria, and a filtering technique was used to arrive at a sample of forty-four financial firms. The researcher employed a robust random effect regression model for hypothesis testing, after performing several diagnostic tests. The results showed that interest rate risk has a significant positive effect on the return on assets of quoted financial firms in Nigeria. Additionally, it was found that financial leverage risk, when moderated by firm size, had an insignificant statistical effect on return on assets. The study further indicated that interest rate risk without moderation was significant at a 1% level, while the indirect effect of interest rate risk, moderated by firm size, showed a positive and significant impact on return on assets. The study recommends that financial firm managers in Nigeria adopt a leverage ratio of 60:40 to boost profitability, as highly leveraged firms may help resolve agency problems, leading to improved profitability. Furthermore, it is recommended that the management of financial firms continue to manage interest rate risks by aligning interest rates with prevailing inflation rates to enhance profitability.</w:t>
      </w:r>
    </w:p>
    <w:p w14:paraId="5A4705C8"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Aduloju</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Akindipe</w:t>
      </w:r>
      <w:proofErr w:type="spellEnd"/>
      <w:r w:rsidRPr="00957BEB">
        <w:rPr>
          <w:rFonts w:ascii="Times New Roman" w:eastAsia="Times New Roman" w:hAnsi="Times New Roman" w:cs="Times New Roman"/>
          <w:sz w:val="24"/>
          <w:szCs w:val="24"/>
        </w:rPr>
        <w:t xml:space="preserve"> (2022) assessed the effect of risk control techniques on the performance of selected SMEs in Lagos State, Nigeria. The study focused on two key types of risk control techniques: physical and financial. Physical risk control techniques included risk elimination and risk reduction, while financial risk control techniques encompassed risk retention and risk </w:t>
      </w:r>
      <w:r w:rsidRPr="00957BEB">
        <w:rPr>
          <w:rFonts w:ascii="Times New Roman" w:eastAsia="Times New Roman" w:hAnsi="Times New Roman" w:cs="Times New Roman"/>
          <w:sz w:val="24"/>
          <w:szCs w:val="24"/>
        </w:rPr>
        <w:lastRenderedPageBreak/>
        <w:t>transfer. The study covered 10 major clustered markets in Lagos State, where various SMEs operate, including those in the oil and gas, manufacturing, service, and general merchandise sectors. A survey research design was used, employing a convenience sampling method. A survey tool was used to administer questionnaires, and the data were analyzed using regression analysis in SPSS. The results indicated a positive and significant correlation between both physical and financial risk control techniques and the organizational performance of SMEs. The study concluded that SMEs should adopt efficient and cost-effective methods to address potential risks that could threaten their operations. It recommended that SMEs increase their risk appetite to improve business management efficiency.</w:t>
      </w:r>
    </w:p>
    <w:p w14:paraId="5A4705C9"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Apaloo</w:t>
      </w:r>
      <w:proofErr w:type="spellEnd"/>
      <w:r w:rsidRPr="00957BEB">
        <w:rPr>
          <w:rFonts w:ascii="Times New Roman" w:eastAsia="Times New Roman" w:hAnsi="Times New Roman" w:cs="Times New Roman"/>
          <w:sz w:val="24"/>
          <w:szCs w:val="24"/>
        </w:rPr>
        <w:t xml:space="preserve"> and Bright (2022) explored the impact of risk management practices on the performance of SMEs. The study utilized a convenience sampling method, collecting data from 285 small and medium-scale enterprises. Primary data was gathered through questionnaires, which were analyzed using SPSS 25 and Microsoft Excel 2019. Both descriptive and inferential statistical methods were employed. The findings revealed that risk management is not widely practiced in SMEs due to the low educational levels of many business owners, which hinders their ability to identify, assess, treat, and monitor key operational risks. The study highlighted a positive relationship between risk management practices and performance, indicating that when SME managers or owners improve their risk management practices, business performance also improves.</w:t>
      </w:r>
    </w:p>
    <w:p w14:paraId="5A4705CA"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Isamade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Udeh</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Odo</w:t>
      </w:r>
      <w:proofErr w:type="spellEnd"/>
      <w:r w:rsidRPr="00957BEB">
        <w:rPr>
          <w:rFonts w:ascii="Times New Roman" w:eastAsia="Times New Roman" w:hAnsi="Times New Roman" w:cs="Times New Roman"/>
          <w:sz w:val="24"/>
          <w:szCs w:val="24"/>
        </w:rPr>
        <w:t xml:space="preserve"> (2022) investigated the impact of financial risks on the performance of selected manufacturing firms in Nigeria. Specifically, the study focused on the effects of operational risk, credit risk, and liquidity risk on the annual profit of manufacturing firms. The research used an ex-post facto design, with a population consisting of 17 listed food and beverage companies in Nigeria. A sample of five companies was selected, using a judgmental sampling technique. Panel regression, based on a random effect model, was used to analyze the data, and unit root tests and descriptive statistics were conducted as preliminary tests. The study found that operational risk, credit risk, and liquidity risk had a significant positive effect on the profit for the year in the selected manufacturing firms.</w:t>
      </w:r>
    </w:p>
    <w:p w14:paraId="5A4705CB" w14:textId="77777777" w:rsidR="00551D24" w:rsidRPr="00957BEB" w:rsidRDefault="00551D24" w:rsidP="00957BEB">
      <w:pPr>
        <w:spacing w:after="120" w:line="276" w:lineRule="auto"/>
        <w:jc w:val="both"/>
        <w:rPr>
          <w:rFonts w:ascii="Times New Roman" w:eastAsia="Times New Roman" w:hAnsi="Times New Roman" w:cs="Times New Roman"/>
          <w:sz w:val="24"/>
          <w:szCs w:val="24"/>
        </w:rPr>
      </w:pPr>
      <w:proofErr w:type="spellStart"/>
      <w:r w:rsidRPr="00957BEB">
        <w:rPr>
          <w:rFonts w:ascii="Times New Roman" w:eastAsia="Times New Roman" w:hAnsi="Times New Roman" w:cs="Times New Roman"/>
          <w:sz w:val="24"/>
          <w:szCs w:val="24"/>
        </w:rPr>
        <w:t>Ojubanire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Dawodu</w:t>
      </w:r>
      <w:proofErr w:type="spellEnd"/>
      <w:r w:rsidRPr="00957BEB">
        <w:rPr>
          <w:rFonts w:ascii="Times New Roman" w:eastAsia="Times New Roman" w:hAnsi="Times New Roman" w:cs="Times New Roman"/>
          <w:sz w:val="24"/>
          <w:szCs w:val="24"/>
        </w:rPr>
        <w:t xml:space="preserve"> (2021) examined the effect of enterprise risk management (ERM) on the financial performance of micro, small, and medium-scale enterprises in Osun State, Nigeria. The study used primary data collected through a structured questionnaire from 273 respondents, including owners and managers of small and medium businesses. Descriptive analysis and inferential statistics were used to analyze the data and test the hypotheses. The correlation analysis revealed no significant relationship between the scale of the business and the adoption of risk management practices. Regression analysis showed that risk identification and control activities were the only ERM variables that significantly affected financial performance.</w:t>
      </w:r>
    </w:p>
    <w:p w14:paraId="5A4705CC" w14:textId="77777777" w:rsidR="00516378" w:rsidRPr="00957BEB" w:rsidRDefault="00516378" w:rsidP="00957BEB">
      <w:pPr>
        <w:pStyle w:val="Heading1"/>
        <w:spacing w:before="0" w:after="120" w:line="276" w:lineRule="auto"/>
        <w:rPr>
          <w:rFonts w:eastAsia="Times New Roman" w:cs="Times New Roman"/>
          <w:szCs w:val="24"/>
        </w:rPr>
      </w:pPr>
      <w:r w:rsidRPr="00957BEB">
        <w:rPr>
          <w:rFonts w:eastAsia="Times New Roman" w:cs="Times New Roman"/>
          <w:szCs w:val="24"/>
        </w:rPr>
        <w:t>2.4 Gap in Literature</w:t>
      </w:r>
    </w:p>
    <w:p w14:paraId="5A4705CD" w14:textId="77777777" w:rsidR="00516378" w:rsidRPr="00957BEB" w:rsidRDefault="00516378"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Although numerous studies have examined the relationship between financial risk management and firm performance across various sectors, a critical review of existing literature reveals a contextual and methodological gap, particularly with respect to small-scale firms in Nigeria. For instance, </w:t>
      </w:r>
      <w:proofErr w:type="spellStart"/>
      <w:r w:rsidRPr="00957BEB">
        <w:rPr>
          <w:rFonts w:ascii="Times New Roman" w:eastAsia="Times New Roman" w:hAnsi="Times New Roman" w:cs="Times New Roman"/>
          <w:sz w:val="24"/>
          <w:szCs w:val="24"/>
        </w:rPr>
        <w:t>Onoh</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Adonye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Enang</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Efanga</w:t>
      </w:r>
      <w:proofErr w:type="spellEnd"/>
      <w:r w:rsidRPr="00957BEB">
        <w:rPr>
          <w:rFonts w:ascii="Times New Roman" w:eastAsia="Times New Roman" w:hAnsi="Times New Roman" w:cs="Times New Roman"/>
          <w:sz w:val="24"/>
          <w:szCs w:val="24"/>
        </w:rPr>
        <w:t xml:space="preserve"> (2025) focused on manufacturing firms in the </w:t>
      </w:r>
      <w:r w:rsidRPr="00957BEB">
        <w:rPr>
          <w:rFonts w:ascii="Times New Roman" w:eastAsia="Times New Roman" w:hAnsi="Times New Roman" w:cs="Times New Roman"/>
          <w:sz w:val="24"/>
          <w:szCs w:val="24"/>
        </w:rPr>
        <w:lastRenderedPageBreak/>
        <w:t xml:space="preserve">North-Central region, while </w:t>
      </w:r>
      <w:proofErr w:type="spellStart"/>
      <w:r w:rsidRPr="00957BEB">
        <w:rPr>
          <w:rFonts w:ascii="Times New Roman" w:eastAsia="Times New Roman" w:hAnsi="Times New Roman" w:cs="Times New Roman"/>
          <w:sz w:val="24"/>
          <w:szCs w:val="24"/>
        </w:rPr>
        <w:t>Newstyle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Isele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Tekerebo</w:t>
      </w:r>
      <w:proofErr w:type="spellEnd"/>
      <w:r w:rsidRPr="00957BEB">
        <w:rPr>
          <w:rFonts w:ascii="Times New Roman" w:eastAsia="Times New Roman" w:hAnsi="Times New Roman" w:cs="Times New Roman"/>
          <w:sz w:val="24"/>
          <w:szCs w:val="24"/>
        </w:rPr>
        <w:t xml:space="preserve"> (2024) concentrated on listed deposit money banks, using sophisticated econometric techniques on secondary financial data. Similarly, </w:t>
      </w:r>
      <w:proofErr w:type="spellStart"/>
      <w:r w:rsidRPr="00957BEB">
        <w:rPr>
          <w:rFonts w:ascii="Times New Roman" w:eastAsia="Times New Roman" w:hAnsi="Times New Roman" w:cs="Times New Roman"/>
          <w:sz w:val="24"/>
          <w:szCs w:val="24"/>
        </w:rPr>
        <w:t>Borokini</w:t>
      </w:r>
      <w:proofErr w:type="spellEnd"/>
      <w:r w:rsidRPr="00957BEB">
        <w:rPr>
          <w:rFonts w:ascii="Times New Roman" w:eastAsia="Times New Roman" w:hAnsi="Times New Roman" w:cs="Times New Roman"/>
          <w:sz w:val="24"/>
          <w:szCs w:val="24"/>
        </w:rPr>
        <w:t xml:space="preserve"> (2024) and </w:t>
      </w:r>
      <w:proofErr w:type="spellStart"/>
      <w:r w:rsidRPr="00957BEB">
        <w:rPr>
          <w:rFonts w:ascii="Times New Roman" w:eastAsia="Times New Roman" w:hAnsi="Times New Roman" w:cs="Times New Roman"/>
          <w:sz w:val="24"/>
          <w:szCs w:val="24"/>
        </w:rPr>
        <w:t>Rabiu</w:t>
      </w:r>
      <w:proofErr w:type="spellEnd"/>
      <w:r w:rsidRPr="00957BEB">
        <w:rPr>
          <w:rFonts w:ascii="Times New Roman" w:eastAsia="Times New Roman" w:hAnsi="Times New Roman" w:cs="Times New Roman"/>
          <w:sz w:val="24"/>
          <w:szCs w:val="24"/>
        </w:rPr>
        <w:t xml:space="preserve"> (2023) investigated financial risks in banking institutions, emphasizing liquidity, operational, and capital risks, yet their studies excluded micro and small businesses which face distinct financial risk challenges due to their scale and capital constraints. </w:t>
      </w:r>
      <w:proofErr w:type="spellStart"/>
      <w:r w:rsidRPr="00957BEB">
        <w:rPr>
          <w:rFonts w:ascii="Times New Roman" w:eastAsia="Times New Roman" w:hAnsi="Times New Roman" w:cs="Times New Roman"/>
          <w:sz w:val="24"/>
          <w:szCs w:val="24"/>
        </w:rPr>
        <w:t>Odukomaiya</w:t>
      </w:r>
      <w:proofErr w:type="spellEnd"/>
      <w:r w:rsidRPr="00957BEB">
        <w:rPr>
          <w:rFonts w:ascii="Times New Roman" w:eastAsia="Times New Roman" w:hAnsi="Times New Roman" w:cs="Times New Roman"/>
          <w:sz w:val="24"/>
          <w:szCs w:val="24"/>
        </w:rPr>
        <w:t xml:space="preserve"> (2023) qualitatively explored SMEs' risk awareness and informal mitigation strategies but did not quantitatively assess how specific types of risks—such as operational or liquidity risks—affect performance. Furthermore, although studies by </w:t>
      </w:r>
      <w:proofErr w:type="spellStart"/>
      <w:r w:rsidRPr="00957BEB">
        <w:rPr>
          <w:rFonts w:ascii="Times New Roman" w:eastAsia="Times New Roman" w:hAnsi="Times New Roman" w:cs="Times New Roman"/>
          <w:sz w:val="24"/>
          <w:szCs w:val="24"/>
        </w:rPr>
        <w:t>Akowe</w:t>
      </w:r>
      <w:proofErr w:type="spellEnd"/>
      <w:r w:rsidRPr="00957BEB">
        <w:rPr>
          <w:rFonts w:ascii="Times New Roman" w:eastAsia="Times New Roman" w:hAnsi="Times New Roman" w:cs="Times New Roman"/>
          <w:sz w:val="24"/>
          <w:szCs w:val="24"/>
        </w:rPr>
        <w:t xml:space="preserve"> (2023), </w:t>
      </w:r>
      <w:proofErr w:type="spellStart"/>
      <w:r w:rsidRPr="00957BEB">
        <w:rPr>
          <w:rFonts w:ascii="Times New Roman" w:eastAsia="Times New Roman" w:hAnsi="Times New Roman" w:cs="Times New Roman"/>
          <w:sz w:val="24"/>
          <w:szCs w:val="24"/>
        </w:rPr>
        <w:t>Aduloju</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Akindipe</w:t>
      </w:r>
      <w:proofErr w:type="spellEnd"/>
      <w:r w:rsidRPr="00957BEB">
        <w:rPr>
          <w:rFonts w:ascii="Times New Roman" w:eastAsia="Times New Roman" w:hAnsi="Times New Roman" w:cs="Times New Roman"/>
          <w:sz w:val="24"/>
          <w:szCs w:val="24"/>
        </w:rPr>
        <w:t xml:space="preserve"> (2022), and </w:t>
      </w:r>
      <w:proofErr w:type="spellStart"/>
      <w:r w:rsidRPr="00957BEB">
        <w:rPr>
          <w:rFonts w:ascii="Times New Roman" w:eastAsia="Times New Roman" w:hAnsi="Times New Roman" w:cs="Times New Roman"/>
          <w:sz w:val="24"/>
          <w:szCs w:val="24"/>
        </w:rPr>
        <w:t>Apaloo</w:t>
      </w:r>
      <w:proofErr w:type="spellEnd"/>
      <w:r w:rsidRPr="00957BEB">
        <w:rPr>
          <w:rFonts w:ascii="Times New Roman" w:eastAsia="Times New Roman" w:hAnsi="Times New Roman" w:cs="Times New Roman"/>
          <w:sz w:val="24"/>
          <w:szCs w:val="24"/>
        </w:rPr>
        <w:t xml:space="preserve"> and Bright (2022) highlighted the importance of risk control techniques and interest rate risks, they either aggregated risk types or failed to isolate liquidity and operational risks as standalone variables in small-scale firm contexts. Additionally, </w:t>
      </w:r>
      <w:proofErr w:type="spellStart"/>
      <w:r w:rsidRPr="00957BEB">
        <w:rPr>
          <w:rFonts w:ascii="Times New Roman" w:eastAsia="Times New Roman" w:hAnsi="Times New Roman" w:cs="Times New Roman"/>
          <w:sz w:val="24"/>
          <w:szCs w:val="24"/>
        </w:rPr>
        <w:t>Isamade</w:t>
      </w:r>
      <w:proofErr w:type="spellEnd"/>
      <w:r w:rsidRPr="00957BEB">
        <w:rPr>
          <w:rFonts w:ascii="Times New Roman" w:eastAsia="Times New Roman" w:hAnsi="Times New Roman" w:cs="Times New Roman"/>
          <w:sz w:val="24"/>
          <w:szCs w:val="24"/>
        </w:rPr>
        <w:t xml:space="preserve">, </w:t>
      </w:r>
      <w:proofErr w:type="spellStart"/>
      <w:r w:rsidRPr="00957BEB">
        <w:rPr>
          <w:rFonts w:ascii="Times New Roman" w:eastAsia="Times New Roman" w:hAnsi="Times New Roman" w:cs="Times New Roman"/>
          <w:sz w:val="24"/>
          <w:szCs w:val="24"/>
        </w:rPr>
        <w:t>Udeh</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Odo</w:t>
      </w:r>
      <w:proofErr w:type="spellEnd"/>
      <w:r w:rsidRPr="00957BEB">
        <w:rPr>
          <w:rFonts w:ascii="Times New Roman" w:eastAsia="Times New Roman" w:hAnsi="Times New Roman" w:cs="Times New Roman"/>
          <w:sz w:val="24"/>
          <w:szCs w:val="24"/>
        </w:rPr>
        <w:t xml:space="preserve"> (2022) focused on manufacturing firms and their profitability metrics, while </w:t>
      </w:r>
      <w:proofErr w:type="spellStart"/>
      <w:r w:rsidRPr="00957BEB">
        <w:rPr>
          <w:rFonts w:ascii="Times New Roman" w:eastAsia="Times New Roman" w:hAnsi="Times New Roman" w:cs="Times New Roman"/>
          <w:sz w:val="24"/>
          <w:szCs w:val="24"/>
        </w:rPr>
        <w:t>Ojubanire</w:t>
      </w:r>
      <w:proofErr w:type="spellEnd"/>
      <w:r w:rsidRPr="00957BEB">
        <w:rPr>
          <w:rFonts w:ascii="Times New Roman" w:eastAsia="Times New Roman" w:hAnsi="Times New Roman" w:cs="Times New Roman"/>
          <w:sz w:val="24"/>
          <w:szCs w:val="24"/>
        </w:rPr>
        <w:t xml:space="preserve"> and </w:t>
      </w:r>
      <w:proofErr w:type="spellStart"/>
      <w:r w:rsidRPr="00957BEB">
        <w:rPr>
          <w:rFonts w:ascii="Times New Roman" w:eastAsia="Times New Roman" w:hAnsi="Times New Roman" w:cs="Times New Roman"/>
          <w:sz w:val="24"/>
          <w:szCs w:val="24"/>
        </w:rPr>
        <w:t>Dawodu</w:t>
      </w:r>
      <w:proofErr w:type="spellEnd"/>
      <w:r w:rsidRPr="00957BEB">
        <w:rPr>
          <w:rFonts w:ascii="Times New Roman" w:eastAsia="Times New Roman" w:hAnsi="Times New Roman" w:cs="Times New Roman"/>
          <w:sz w:val="24"/>
          <w:szCs w:val="24"/>
        </w:rPr>
        <w:t xml:space="preserve"> (2021) investigated ERM practices without examining the extent to which specific financial risk components influence corporate performance in small-scale businesses. Therefore, there is a noticeable gap in the literature regarding empirical studies that explicitly investigate </w:t>
      </w:r>
      <w:r w:rsidRPr="00957BEB">
        <w:rPr>
          <w:rFonts w:ascii="Times New Roman" w:eastAsia="Times New Roman" w:hAnsi="Times New Roman" w:cs="Times New Roman"/>
          <w:bCs/>
          <w:sz w:val="24"/>
          <w:szCs w:val="24"/>
        </w:rPr>
        <w:t>how liquidity and operational risks individually influence the corporate performance of small-scale firms in Nigeria</w:t>
      </w:r>
      <w:r w:rsidRPr="00957BEB">
        <w:rPr>
          <w:rFonts w:ascii="Times New Roman" w:eastAsia="Times New Roman" w:hAnsi="Times New Roman" w:cs="Times New Roman"/>
          <w:sz w:val="24"/>
          <w:szCs w:val="24"/>
        </w:rPr>
        <w:t>, thus justifying the relevance and necessity of the present study.</w:t>
      </w:r>
    </w:p>
    <w:p w14:paraId="5A4705CE" w14:textId="77777777" w:rsidR="00B04715" w:rsidRPr="00957BEB" w:rsidRDefault="00B04715" w:rsidP="00957BEB">
      <w:pPr>
        <w:pStyle w:val="Heading1"/>
        <w:spacing w:before="0" w:after="120" w:line="276" w:lineRule="auto"/>
        <w:rPr>
          <w:rFonts w:eastAsia="Times New Roman" w:cs="Times New Roman"/>
          <w:szCs w:val="24"/>
        </w:rPr>
      </w:pPr>
      <w:r w:rsidRPr="00957BEB">
        <w:rPr>
          <w:rFonts w:eastAsia="Times New Roman" w:cs="Times New Roman"/>
          <w:szCs w:val="24"/>
        </w:rPr>
        <w:t xml:space="preserve">3.0 </w:t>
      </w:r>
      <w:r w:rsidR="00077164" w:rsidRPr="00957BEB">
        <w:rPr>
          <w:rFonts w:eastAsia="Times New Roman" w:cs="Times New Roman"/>
          <w:szCs w:val="24"/>
        </w:rPr>
        <w:t>Methodology</w:t>
      </w:r>
    </w:p>
    <w:p w14:paraId="5A4705CF" w14:textId="77777777" w:rsidR="00957BEB" w:rsidRPr="00957BEB" w:rsidRDefault="00957BEB" w:rsidP="00957BEB">
      <w:pPr>
        <w:spacing w:after="120" w:line="276" w:lineRule="auto"/>
        <w:jc w:val="both"/>
        <w:rPr>
          <w:rFonts w:ascii="Times New Roman" w:eastAsia="Times New Roman" w:hAnsi="Times New Roman" w:cs="Times New Roman"/>
          <w:bCs/>
          <w:sz w:val="24"/>
          <w:szCs w:val="24"/>
        </w:rPr>
      </w:pPr>
      <w:r w:rsidRPr="002F37C4">
        <w:rPr>
          <w:rFonts w:ascii="Times New Roman" w:eastAsia="Times New Roman" w:hAnsi="Times New Roman" w:cs="Times New Roman"/>
          <w:sz w:val="24"/>
          <w:szCs w:val="24"/>
        </w:rPr>
        <w:t xml:space="preserve">This study adopts a </w:t>
      </w:r>
      <w:r w:rsidRPr="00957BEB">
        <w:rPr>
          <w:rFonts w:ascii="Times New Roman" w:eastAsia="Times New Roman" w:hAnsi="Times New Roman" w:cs="Times New Roman"/>
          <w:bCs/>
          <w:sz w:val="24"/>
          <w:szCs w:val="24"/>
        </w:rPr>
        <w:t>survey research design</w:t>
      </w:r>
      <w:r w:rsidRPr="002F37C4">
        <w:rPr>
          <w:rFonts w:ascii="Times New Roman" w:eastAsia="Times New Roman" w:hAnsi="Times New Roman" w:cs="Times New Roman"/>
          <w:sz w:val="24"/>
          <w:szCs w:val="24"/>
        </w:rPr>
        <w:t xml:space="preserve"> to examine the influence of financial risk management on the corporate performance of selected small-scale firms in Nigeria. Survey research design is suitable for collecting data on the perceptions, opinions, and experiences of respondents us</w:t>
      </w:r>
      <w:r w:rsidRPr="00957BEB">
        <w:rPr>
          <w:rFonts w:ascii="Times New Roman" w:eastAsia="Times New Roman" w:hAnsi="Times New Roman" w:cs="Times New Roman"/>
          <w:sz w:val="24"/>
          <w:szCs w:val="24"/>
        </w:rPr>
        <w:t>ing standardized questionnaires.</w:t>
      </w:r>
    </w:p>
    <w:p w14:paraId="5A4705D0"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target population</w:t>
      </w:r>
      <w:r w:rsidRPr="002F37C4">
        <w:rPr>
          <w:rFonts w:ascii="Times New Roman" w:eastAsia="Times New Roman" w:hAnsi="Times New Roman" w:cs="Times New Roman"/>
          <w:sz w:val="24"/>
          <w:szCs w:val="24"/>
        </w:rPr>
        <w:t xml:space="preserve"> for this study consists of </w:t>
      </w:r>
      <w:r w:rsidRPr="00957BEB">
        <w:rPr>
          <w:rFonts w:ascii="Times New Roman" w:eastAsia="Times New Roman" w:hAnsi="Times New Roman" w:cs="Times New Roman"/>
          <w:bCs/>
          <w:sz w:val="24"/>
          <w:szCs w:val="24"/>
        </w:rPr>
        <w:t>managers of small-scale firms in Nigeria</w:t>
      </w:r>
      <w:r w:rsidRPr="002F37C4">
        <w:rPr>
          <w:rFonts w:ascii="Times New Roman" w:eastAsia="Times New Roman" w:hAnsi="Times New Roman" w:cs="Times New Roman"/>
          <w:sz w:val="24"/>
          <w:szCs w:val="24"/>
        </w:rPr>
        <w:t>. These individuals are considered appropriate respondents due to their active role in managing financial risks and overseeing corporate performance. Managers are also more likely to possess comprehensive knowledge of the firm’s operations and financial practices, making them suitable informants for this study.</w:t>
      </w:r>
      <w:r w:rsidRPr="00957BEB">
        <w:rPr>
          <w:rFonts w:ascii="Times New Roman" w:eastAsia="Times New Roman" w:hAnsi="Times New Roman" w:cs="Times New Roman"/>
          <w:sz w:val="24"/>
          <w:szCs w:val="24"/>
        </w:rPr>
        <w:t xml:space="preserve"> </w:t>
      </w: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sampling technique</w:t>
      </w:r>
      <w:r w:rsidRPr="002F37C4">
        <w:rPr>
          <w:rFonts w:ascii="Times New Roman" w:eastAsia="Times New Roman" w:hAnsi="Times New Roman" w:cs="Times New Roman"/>
          <w:sz w:val="24"/>
          <w:szCs w:val="24"/>
        </w:rPr>
        <w:t xml:space="preserve"> used in this study is the </w:t>
      </w:r>
      <w:r w:rsidRPr="00957BEB">
        <w:rPr>
          <w:rFonts w:ascii="Times New Roman" w:eastAsia="Times New Roman" w:hAnsi="Times New Roman" w:cs="Times New Roman"/>
          <w:bCs/>
          <w:sz w:val="24"/>
          <w:szCs w:val="24"/>
        </w:rPr>
        <w:t>snowballing method</w:t>
      </w:r>
      <w:r w:rsidRPr="002F37C4">
        <w:rPr>
          <w:rFonts w:ascii="Times New Roman" w:eastAsia="Times New Roman" w:hAnsi="Times New Roman" w:cs="Times New Roman"/>
          <w:sz w:val="24"/>
          <w:szCs w:val="24"/>
        </w:rPr>
        <w:t xml:space="preserve">, a non-probability sampling technique suitable when the population is difficult to identify or access comprehensively. Using this technique, </w:t>
      </w:r>
      <w:r w:rsidRPr="00957BEB">
        <w:rPr>
          <w:rFonts w:ascii="Times New Roman" w:eastAsia="Times New Roman" w:hAnsi="Times New Roman" w:cs="Times New Roman"/>
          <w:bCs/>
          <w:sz w:val="24"/>
          <w:szCs w:val="24"/>
        </w:rPr>
        <w:t>35 managers of small-scale firms</w:t>
      </w:r>
      <w:r w:rsidRPr="002F37C4">
        <w:rPr>
          <w:rFonts w:ascii="Times New Roman" w:eastAsia="Times New Roman" w:hAnsi="Times New Roman" w:cs="Times New Roman"/>
          <w:sz w:val="24"/>
          <w:szCs w:val="24"/>
        </w:rPr>
        <w:t xml:space="preserve"> were selected from </w:t>
      </w:r>
      <w:r w:rsidRPr="00957BEB">
        <w:rPr>
          <w:rFonts w:ascii="Times New Roman" w:eastAsia="Times New Roman" w:hAnsi="Times New Roman" w:cs="Times New Roman"/>
          <w:bCs/>
          <w:sz w:val="24"/>
          <w:szCs w:val="24"/>
        </w:rPr>
        <w:t>each of the six geopolitical zones of Nigeria</w:t>
      </w:r>
      <w:r w:rsidRPr="002F37C4">
        <w:rPr>
          <w:rFonts w:ascii="Times New Roman" w:eastAsia="Times New Roman" w:hAnsi="Times New Roman" w:cs="Times New Roman"/>
          <w:sz w:val="24"/>
          <w:szCs w:val="24"/>
        </w:rPr>
        <w:t xml:space="preserve">, resulting in a total sample size of </w:t>
      </w:r>
      <w:r w:rsidRPr="00957BEB">
        <w:rPr>
          <w:rFonts w:ascii="Times New Roman" w:eastAsia="Times New Roman" w:hAnsi="Times New Roman" w:cs="Times New Roman"/>
          <w:bCs/>
          <w:sz w:val="24"/>
          <w:szCs w:val="24"/>
        </w:rPr>
        <w:t>210 respondents</w:t>
      </w:r>
      <w:r w:rsidRPr="002F37C4">
        <w:rPr>
          <w:rFonts w:ascii="Times New Roman" w:eastAsia="Times New Roman" w:hAnsi="Times New Roman" w:cs="Times New Roman"/>
          <w:sz w:val="24"/>
          <w:szCs w:val="24"/>
        </w:rPr>
        <w:t xml:space="preserve"> (35 × 6 = 210). The snowballing approach was instrumental in reaching experienced managers through referrals, enhancing the relevance and quality of the responses.</w:t>
      </w:r>
    </w:p>
    <w:p w14:paraId="5A4705D1"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Data for this study were collected using a </w:t>
      </w:r>
      <w:r w:rsidRPr="00957BEB">
        <w:rPr>
          <w:rFonts w:ascii="Times New Roman" w:eastAsia="Times New Roman" w:hAnsi="Times New Roman" w:cs="Times New Roman"/>
          <w:bCs/>
          <w:sz w:val="24"/>
          <w:szCs w:val="24"/>
        </w:rPr>
        <w:t>structured questionnaire</w:t>
      </w:r>
      <w:r w:rsidRPr="002F37C4">
        <w:rPr>
          <w:rFonts w:ascii="Times New Roman" w:eastAsia="Times New Roman" w:hAnsi="Times New Roman" w:cs="Times New Roman"/>
          <w:sz w:val="24"/>
          <w:szCs w:val="24"/>
        </w:rPr>
        <w:t xml:space="preserve">. The instrument focused on the key study variables: </w:t>
      </w:r>
      <w:r w:rsidRPr="00957BEB">
        <w:rPr>
          <w:rFonts w:ascii="Times New Roman" w:eastAsia="Times New Roman" w:hAnsi="Times New Roman" w:cs="Times New Roman"/>
          <w:bCs/>
          <w:sz w:val="24"/>
          <w:szCs w:val="24"/>
        </w:rPr>
        <w:t>Operational Risk</w:t>
      </w:r>
      <w:r w:rsidRPr="002F37C4">
        <w:rPr>
          <w:rFonts w:ascii="Times New Roman" w:eastAsia="Times New Roman" w:hAnsi="Times New Roman" w:cs="Times New Roman"/>
          <w:sz w:val="24"/>
          <w:szCs w:val="24"/>
        </w:rPr>
        <w:t xml:space="preserve">, </w:t>
      </w:r>
      <w:r w:rsidRPr="00957BEB">
        <w:rPr>
          <w:rFonts w:ascii="Times New Roman" w:eastAsia="Times New Roman" w:hAnsi="Times New Roman" w:cs="Times New Roman"/>
          <w:bCs/>
          <w:sz w:val="24"/>
          <w:szCs w:val="24"/>
        </w:rPr>
        <w:t>Liquidity Risk</w:t>
      </w:r>
      <w:r w:rsidRPr="002F37C4">
        <w:rPr>
          <w:rFonts w:ascii="Times New Roman" w:eastAsia="Times New Roman" w:hAnsi="Times New Roman" w:cs="Times New Roman"/>
          <w:sz w:val="24"/>
          <w:szCs w:val="24"/>
        </w:rPr>
        <w:t xml:space="preserve">, and </w:t>
      </w:r>
      <w:r w:rsidRPr="00957BEB">
        <w:rPr>
          <w:rFonts w:ascii="Times New Roman" w:eastAsia="Times New Roman" w:hAnsi="Times New Roman" w:cs="Times New Roman"/>
          <w:bCs/>
          <w:sz w:val="24"/>
          <w:szCs w:val="24"/>
        </w:rPr>
        <w:t>Corporate Performance</w:t>
      </w:r>
      <w:r w:rsidRPr="002F37C4">
        <w:rPr>
          <w:rFonts w:ascii="Times New Roman" w:eastAsia="Times New Roman" w:hAnsi="Times New Roman" w:cs="Times New Roman"/>
          <w:sz w:val="24"/>
          <w:szCs w:val="24"/>
        </w:rPr>
        <w:t xml:space="preserve">. Questions in this </w:t>
      </w:r>
      <w:r w:rsidRPr="00957BEB">
        <w:rPr>
          <w:rFonts w:ascii="Times New Roman" w:eastAsia="Times New Roman" w:hAnsi="Times New Roman" w:cs="Times New Roman"/>
          <w:sz w:val="24"/>
          <w:szCs w:val="24"/>
        </w:rPr>
        <w:t>instrument</w:t>
      </w:r>
      <w:r w:rsidRPr="002F37C4">
        <w:rPr>
          <w:rFonts w:ascii="Times New Roman" w:eastAsia="Times New Roman" w:hAnsi="Times New Roman" w:cs="Times New Roman"/>
          <w:sz w:val="24"/>
          <w:szCs w:val="24"/>
        </w:rPr>
        <w:t xml:space="preserve"> were developed in alignment with the specific objectives and measured using a </w:t>
      </w:r>
      <w:r w:rsidRPr="00957BEB">
        <w:rPr>
          <w:rFonts w:ascii="Times New Roman" w:eastAsia="Times New Roman" w:hAnsi="Times New Roman" w:cs="Times New Roman"/>
          <w:bCs/>
          <w:sz w:val="24"/>
          <w:szCs w:val="24"/>
        </w:rPr>
        <w:t>5-point Likert scale</w:t>
      </w:r>
      <w:r w:rsidRPr="002F37C4">
        <w:rPr>
          <w:rFonts w:ascii="Times New Roman" w:eastAsia="Times New Roman" w:hAnsi="Times New Roman" w:cs="Times New Roman"/>
          <w:sz w:val="24"/>
          <w:szCs w:val="24"/>
        </w:rPr>
        <w:t xml:space="preserve"> ranging from:</w:t>
      </w:r>
    </w:p>
    <w:p w14:paraId="5A4705D2"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Strongly Disagree (1)</w:t>
      </w:r>
    </w:p>
    <w:p w14:paraId="5A4705D3"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Disagree (2)</w:t>
      </w:r>
    </w:p>
    <w:p w14:paraId="5A4705D4"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Neutral (3)</w:t>
      </w:r>
    </w:p>
    <w:p w14:paraId="5A4705D5"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Agree (4)</w:t>
      </w:r>
    </w:p>
    <w:p w14:paraId="5A4705D6" w14:textId="77777777" w:rsidR="00957BEB" w:rsidRPr="002F37C4" w:rsidRDefault="00957BEB" w:rsidP="00957BEB">
      <w:pPr>
        <w:numPr>
          <w:ilvl w:val="1"/>
          <w:numId w:val="1"/>
        </w:num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lastRenderedPageBreak/>
        <w:t>Strongly Agree (5)</w:t>
      </w:r>
    </w:p>
    <w:p w14:paraId="5A4705D7" w14:textId="77777777" w:rsidR="00957BEB" w:rsidRPr="00957BEB"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w:t>
      </w:r>
      <w:r w:rsidRPr="00957BEB">
        <w:rPr>
          <w:rFonts w:ascii="Times New Roman" w:eastAsia="Times New Roman" w:hAnsi="Times New Roman" w:cs="Times New Roman"/>
          <w:bCs/>
          <w:sz w:val="24"/>
          <w:szCs w:val="24"/>
        </w:rPr>
        <w:t>reliability</w:t>
      </w:r>
      <w:r w:rsidRPr="002F37C4">
        <w:rPr>
          <w:rFonts w:ascii="Times New Roman" w:eastAsia="Times New Roman" w:hAnsi="Times New Roman" w:cs="Times New Roman"/>
          <w:sz w:val="24"/>
          <w:szCs w:val="24"/>
        </w:rPr>
        <w:t xml:space="preserve"> of the instrument was tested using </w:t>
      </w:r>
      <w:r w:rsidRPr="00957BEB">
        <w:rPr>
          <w:rFonts w:ascii="Times New Roman" w:eastAsia="Times New Roman" w:hAnsi="Times New Roman" w:cs="Times New Roman"/>
          <w:bCs/>
          <w:sz w:val="24"/>
          <w:szCs w:val="24"/>
        </w:rPr>
        <w:t>Cronbach’s Alpha</w:t>
      </w:r>
      <w:r w:rsidRPr="002F37C4">
        <w:rPr>
          <w:rFonts w:ascii="Times New Roman" w:eastAsia="Times New Roman" w:hAnsi="Times New Roman" w:cs="Times New Roman"/>
          <w:sz w:val="24"/>
          <w:szCs w:val="24"/>
        </w:rPr>
        <w:t>, which measures internal consistency. The reliability coefficients for each construct are presented below:</w:t>
      </w:r>
    </w:p>
    <w:p w14:paraId="5A4705D8" w14:textId="02B746E3" w:rsidR="00957BEB" w:rsidRPr="002F37C4" w:rsidRDefault="00957BEB" w:rsidP="00957BEB">
      <w:pPr>
        <w:spacing w:after="120" w:line="276" w:lineRule="auto"/>
        <w:jc w:val="both"/>
        <w:rPr>
          <w:rFonts w:ascii="Times New Roman" w:eastAsia="Times New Roman" w:hAnsi="Times New Roman" w:cs="Times New Roman"/>
          <w:b/>
          <w:sz w:val="24"/>
          <w:szCs w:val="24"/>
        </w:rPr>
      </w:pPr>
      <w:r w:rsidRPr="00957BEB">
        <w:rPr>
          <w:rFonts w:ascii="Times New Roman" w:eastAsia="Times New Roman" w:hAnsi="Times New Roman" w:cs="Times New Roman"/>
          <w:b/>
          <w:sz w:val="24"/>
          <w:szCs w:val="24"/>
        </w:rPr>
        <w:t>Table 1 Reliability Test</w:t>
      </w:r>
    </w:p>
    <w:tbl>
      <w:tblPr>
        <w:tblStyle w:val="TableGrid"/>
        <w:tblW w:w="5000" w:type="pct"/>
        <w:tblLook w:val="04A0" w:firstRow="1" w:lastRow="0" w:firstColumn="1" w:lastColumn="0" w:noHBand="0" w:noVBand="1"/>
      </w:tblPr>
      <w:tblGrid>
        <w:gridCol w:w="4384"/>
        <w:gridCol w:w="4633"/>
      </w:tblGrid>
      <w:tr w:rsidR="00957BEB" w:rsidRPr="002F37C4" w14:paraId="5A4705DB" w14:textId="77777777" w:rsidTr="00957BEB">
        <w:tc>
          <w:tcPr>
            <w:tcW w:w="2431" w:type="pct"/>
            <w:hideMark/>
          </w:tcPr>
          <w:p w14:paraId="5A4705D9" w14:textId="77777777" w:rsidR="00957BEB" w:rsidRPr="002F37C4" w:rsidRDefault="00957BEB" w:rsidP="00957BEB">
            <w:pPr>
              <w:spacing w:after="120" w:line="276" w:lineRule="auto"/>
              <w:jc w:val="both"/>
              <w:rPr>
                <w:rFonts w:ascii="Times New Roman" w:eastAsia="Times New Roman" w:hAnsi="Times New Roman" w:cs="Times New Roman"/>
                <w:bCs/>
                <w:sz w:val="24"/>
                <w:szCs w:val="24"/>
              </w:rPr>
            </w:pPr>
            <w:r w:rsidRPr="00957BEB">
              <w:rPr>
                <w:rFonts w:ascii="Times New Roman" w:eastAsia="Times New Roman" w:hAnsi="Times New Roman" w:cs="Times New Roman"/>
                <w:bCs/>
                <w:sz w:val="24"/>
                <w:szCs w:val="24"/>
              </w:rPr>
              <w:t>Variable</w:t>
            </w:r>
          </w:p>
        </w:tc>
        <w:tc>
          <w:tcPr>
            <w:tcW w:w="2569" w:type="pct"/>
            <w:hideMark/>
          </w:tcPr>
          <w:p w14:paraId="5A4705DA" w14:textId="77777777" w:rsidR="00957BEB" w:rsidRPr="002F37C4" w:rsidRDefault="00957BEB" w:rsidP="00957BEB">
            <w:pPr>
              <w:spacing w:after="120" w:line="276" w:lineRule="auto"/>
              <w:jc w:val="both"/>
              <w:rPr>
                <w:rFonts w:ascii="Times New Roman" w:eastAsia="Times New Roman" w:hAnsi="Times New Roman" w:cs="Times New Roman"/>
                <w:bCs/>
                <w:sz w:val="24"/>
                <w:szCs w:val="24"/>
              </w:rPr>
            </w:pPr>
            <w:r w:rsidRPr="00957BEB">
              <w:rPr>
                <w:rFonts w:ascii="Times New Roman" w:eastAsia="Times New Roman" w:hAnsi="Times New Roman" w:cs="Times New Roman"/>
                <w:bCs/>
                <w:sz w:val="24"/>
                <w:szCs w:val="24"/>
              </w:rPr>
              <w:t>Cronbach’s Alpha Value</w:t>
            </w:r>
          </w:p>
        </w:tc>
      </w:tr>
      <w:tr w:rsidR="00957BEB" w:rsidRPr="002F37C4" w14:paraId="5A4705DE" w14:textId="77777777" w:rsidTr="00957BEB">
        <w:tc>
          <w:tcPr>
            <w:tcW w:w="2431" w:type="pct"/>
            <w:hideMark/>
          </w:tcPr>
          <w:p w14:paraId="5A4705DC"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Operational Risk</w:t>
            </w:r>
          </w:p>
        </w:tc>
        <w:tc>
          <w:tcPr>
            <w:tcW w:w="2569" w:type="pct"/>
            <w:hideMark/>
          </w:tcPr>
          <w:p w14:paraId="5A4705DD"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0.78</w:t>
            </w:r>
            <w:r w:rsidRPr="002F37C4">
              <w:rPr>
                <w:rFonts w:ascii="Times New Roman" w:eastAsia="Times New Roman" w:hAnsi="Times New Roman" w:cs="Times New Roman"/>
                <w:sz w:val="24"/>
                <w:szCs w:val="24"/>
              </w:rPr>
              <w:t>3</w:t>
            </w:r>
          </w:p>
        </w:tc>
      </w:tr>
      <w:tr w:rsidR="00957BEB" w:rsidRPr="002F37C4" w14:paraId="5A4705E1" w14:textId="77777777" w:rsidTr="00957BEB">
        <w:tc>
          <w:tcPr>
            <w:tcW w:w="2431" w:type="pct"/>
            <w:hideMark/>
          </w:tcPr>
          <w:p w14:paraId="5A4705DF"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Liquidity Risk</w:t>
            </w:r>
          </w:p>
        </w:tc>
        <w:tc>
          <w:tcPr>
            <w:tcW w:w="2569" w:type="pct"/>
            <w:hideMark/>
          </w:tcPr>
          <w:p w14:paraId="5A4705E0"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0.95</w:t>
            </w:r>
            <w:r w:rsidRPr="002F37C4">
              <w:rPr>
                <w:rFonts w:ascii="Times New Roman" w:eastAsia="Times New Roman" w:hAnsi="Times New Roman" w:cs="Times New Roman"/>
                <w:sz w:val="24"/>
                <w:szCs w:val="24"/>
              </w:rPr>
              <w:t>8</w:t>
            </w:r>
          </w:p>
        </w:tc>
      </w:tr>
      <w:tr w:rsidR="00957BEB" w:rsidRPr="002F37C4" w14:paraId="5A4705E4" w14:textId="77777777" w:rsidTr="00957BEB">
        <w:tc>
          <w:tcPr>
            <w:tcW w:w="2431" w:type="pct"/>
            <w:hideMark/>
          </w:tcPr>
          <w:p w14:paraId="5A4705E2"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Corporate Performance</w:t>
            </w:r>
          </w:p>
        </w:tc>
        <w:tc>
          <w:tcPr>
            <w:tcW w:w="2569" w:type="pct"/>
            <w:hideMark/>
          </w:tcPr>
          <w:p w14:paraId="5A4705E3"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0.719</w:t>
            </w:r>
          </w:p>
        </w:tc>
      </w:tr>
    </w:tbl>
    <w:p w14:paraId="5A4705E5"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Source: Author’s Calculation Using SPSS v.26 (2025)</w:t>
      </w:r>
    </w:p>
    <w:p w14:paraId="5A4705E6"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All values are above the 0.7 threshold, indicating a high level of internal consistency and reliability of the instrument.</w:t>
      </w:r>
    </w:p>
    <w:p w14:paraId="5A4705E7"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data collected were </w:t>
      </w:r>
      <w:r w:rsidRPr="00957BEB">
        <w:rPr>
          <w:rFonts w:ascii="Times New Roman" w:eastAsia="Times New Roman" w:hAnsi="Times New Roman" w:cs="Times New Roman"/>
          <w:sz w:val="24"/>
          <w:szCs w:val="24"/>
        </w:rPr>
        <w:t xml:space="preserve">first </w:t>
      </w:r>
      <w:r w:rsidRPr="002F37C4">
        <w:rPr>
          <w:rFonts w:ascii="Times New Roman" w:eastAsia="Times New Roman" w:hAnsi="Times New Roman" w:cs="Times New Roman"/>
          <w:sz w:val="24"/>
          <w:szCs w:val="24"/>
        </w:rPr>
        <w:t xml:space="preserve">analyzed using </w:t>
      </w:r>
      <w:r w:rsidRPr="00957BEB">
        <w:rPr>
          <w:rFonts w:ascii="Times New Roman" w:eastAsia="Times New Roman" w:hAnsi="Times New Roman" w:cs="Times New Roman"/>
          <w:sz w:val="24"/>
          <w:szCs w:val="24"/>
        </w:rPr>
        <w:t xml:space="preserve">frequency analysis to show the distribution of the responses to the research questions. </w:t>
      </w:r>
      <w:r w:rsidRPr="002F37C4">
        <w:rPr>
          <w:rFonts w:ascii="Times New Roman" w:eastAsia="Times New Roman" w:hAnsi="Times New Roman" w:cs="Times New Roman"/>
          <w:sz w:val="24"/>
          <w:szCs w:val="24"/>
        </w:rPr>
        <w:t xml:space="preserve">For the inferential aspect, </w:t>
      </w:r>
      <w:r w:rsidRPr="00957BEB">
        <w:rPr>
          <w:rFonts w:ascii="Times New Roman" w:eastAsia="Times New Roman" w:hAnsi="Times New Roman" w:cs="Times New Roman"/>
          <w:bCs/>
          <w:sz w:val="24"/>
          <w:szCs w:val="24"/>
        </w:rPr>
        <w:t>multiple regression analysis</w:t>
      </w:r>
      <w:r w:rsidRPr="002F37C4">
        <w:rPr>
          <w:rFonts w:ascii="Times New Roman" w:eastAsia="Times New Roman" w:hAnsi="Times New Roman" w:cs="Times New Roman"/>
          <w:sz w:val="24"/>
          <w:szCs w:val="24"/>
        </w:rPr>
        <w:t xml:space="preserve"> was used to test the two hypotheses developed in line with the study’s objectives. The regression model is specified as follows:</w:t>
      </w:r>
    </w:p>
    <w:p w14:paraId="5A4705E8"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bCs/>
          <w:sz w:val="24"/>
          <w:szCs w:val="24"/>
        </w:rPr>
        <w:t>COP = β</w:t>
      </w:r>
      <w:r w:rsidRPr="00957BEB">
        <w:rPr>
          <w:rFonts w:ascii="Cambria Math" w:eastAsia="Times New Roman" w:hAnsi="Cambria Math" w:cs="Cambria Math"/>
          <w:bCs/>
          <w:sz w:val="24"/>
          <w:szCs w:val="24"/>
        </w:rPr>
        <w:t>₀</w:t>
      </w:r>
      <w:r w:rsidRPr="00957BEB">
        <w:rPr>
          <w:rFonts w:ascii="Times New Roman" w:eastAsia="Times New Roman" w:hAnsi="Times New Roman" w:cs="Times New Roman"/>
          <w:bCs/>
          <w:sz w:val="24"/>
          <w:szCs w:val="24"/>
        </w:rPr>
        <w:t xml:space="preserve"> + β</w:t>
      </w:r>
      <w:r w:rsidRPr="00957BEB">
        <w:rPr>
          <w:rFonts w:ascii="Cambria Math" w:eastAsia="Times New Roman" w:hAnsi="Cambria Math" w:cs="Cambria Math"/>
          <w:bCs/>
          <w:sz w:val="24"/>
          <w:szCs w:val="24"/>
        </w:rPr>
        <w:t>₁</w:t>
      </w:r>
      <w:r w:rsidRPr="00957BEB">
        <w:rPr>
          <w:rFonts w:ascii="Times New Roman" w:eastAsia="Times New Roman" w:hAnsi="Times New Roman" w:cs="Times New Roman"/>
          <w:bCs/>
          <w:sz w:val="24"/>
          <w:szCs w:val="24"/>
        </w:rPr>
        <w:t>OPR + β</w:t>
      </w:r>
      <w:r w:rsidRPr="00957BEB">
        <w:rPr>
          <w:rFonts w:ascii="Cambria Math" w:eastAsia="Times New Roman" w:hAnsi="Cambria Math" w:cs="Cambria Math"/>
          <w:bCs/>
          <w:sz w:val="24"/>
          <w:szCs w:val="24"/>
        </w:rPr>
        <w:t>₂</w:t>
      </w:r>
      <w:r w:rsidRPr="00957BEB">
        <w:rPr>
          <w:rFonts w:ascii="Times New Roman" w:eastAsia="Times New Roman" w:hAnsi="Times New Roman" w:cs="Times New Roman"/>
          <w:bCs/>
          <w:sz w:val="24"/>
          <w:szCs w:val="24"/>
        </w:rPr>
        <w:t>LQR + ε_____________________________</w:t>
      </w:r>
      <w:proofErr w:type="spellStart"/>
      <w:r w:rsidRPr="00957BEB">
        <w:rPr>
          <w:rFonts w:ascii="Times New Roman" w:eastAsia="Times New Roman" w:hAnsi="Times New Roman" w:cs="Times New Roman"/>
          <w:bCs/>
          <w:sz w:val="24"/>
          <w:szCs w:val="24"/>
        </w:rPr>
        <w:t>eqi</w:t>
      </w:r>
      <w:proofErr w:type="spellEnd"/>
    </w:p>
    <w:p w14:paraId="5A4705E9" w14:textId="77777777" w:rsidR="00957BEB" w:rsidRPr="002F37C4"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Where:</w:t>
      </w:r>
    </w:p>
    <w:p w14:paraId="5A4705EA"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C</w:t>
      </w:r>
      <w:r w:rsidRPr="00957BEB">
        <w:rPr>
          <w:rFonts w:ascii="Times New Roman" w:eastAsia="Times New Roman" w:hAnsi="Times New Roman" w:cs="Times New Roman"/>
          <w:sz w:val="24"/>
          <w:szCs w:val="24"/>
        </w:rPr>
        <w:t>O</w:t>
      </w:r>
      <w:r w:rsidRPr="002F37C4">
        <w:rPr>
          <w:rFonts w:ascii="Times New Roman" w:eastAsia="Times New Roman" w:hAnsi="Times New Roman" w:cs="Times New Roman"/>
          <w:sz w:val="24"/>
          <w:szCs w:val="24"/>
        </w:rPr>
        <w:t>P = Corporate Performance</w:t>
      </w:r>
    </w:p>
    <w:p w14:paraId="5A4705EB"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OPR = Operational Risk</w:t>
      </w:r>
    </w:p>
    <w:p w14:paraId="5A4705EC"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LQR = Liquidity Risk</w:t>
      </w:r>
    </w:p>
    <w:p w14:paraId="5A4705ED"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β</w:t>
      </w:r>
      <w:r w:rsidRPr="002F37C4">
        <w:rPr>
          <w:rFonts w:ascii="Cambria Math" w:eastAsia="Times New Roman" w:hAnsi="Cambria Math" w:cs="Cambria Math"/>
          <w:sz w:val="24"/>
          <w:szCs w:val="24"/>
        </w:rPr>
        <w:t>₀</w:t>
      </w:r>
      <w:r w:rsidRPr="002F37C4">
        <w:rPr>
          <w:rFonts w:ascii="Times New Roman" w:eastAsia="Times New Roman" w:hAnsi="Times New Roman" w:cs="Times New Roman"/>
          <w:sz w:val="24"/>
          <w:szCs w:val="24"/>
        </w:rPr>
        <w:t xml:space="preserve"> = Intercept</w:t>
      </w:r>
    </w:p>
    <w:p w14:paraId="5A4705EE"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β</w:t>
      </w:r>
      <w:r w:rsidRPr="002F37C4">
        <w:rPr>
          <w:rFonts w:ascii="Cambria Math" w:eastAsia="Times New Roman" w:hAnsi="Cambria Math" w:cs="Cambria Math"/>
          <w:sz w:val="24"/>
          <w:szCs w:val="24"/>
        </w:rPr>
        <w:t>₁</w:t>
      </w:r>
      <w:r w:rsidRPr="002F37C4">
        <w:rPr>
          <w:rFonts w:ascii="Times New Roman" w:eastAsia="Times New Roman" w:hAnsi="Times New Roman" w:cs="Times New Roman"/>
          <w:sz w:val="24"/>
          <w:szCs w:val="24"/>
        </w:rPr>
        <w:t xml:space="preserve"> – β</w:t>
      </w:r>
      <w:r w:rsidRPr="002F37C4">
        <w:rPr>
          <w:rFonts w:ascii="Cambria Math" w:eastAsia="Times New Roman" w:hAnsi="Cambria Math" w:cs="Cambria Math"/>
          <w:sz w:val="24"/>
          <w:szCs w:val="24"/>
        </w:rPr>
        <w:t>₂</w:t>
      </w:r>
      <w:r w:rsidRPr="002F37C4">
        <w:rPr>
          <w:rFonts w:ascii="Times New Roman" w:eastAsia="Times New Roman" w:hAnsi="Times New Roman" w:cs="Times New Roman"/>
          <w:sz w:val="24"/>
          <w:szCs w:val="24"/>
        </w:rPr>
        <w:t xml:space="preserve"> = Coefficients of the independent variables</w:t>
      </w:r>
    </w:p>
    <w:p w14:paraId="5A4705EF" w14:textId="77777777" w:rsidR="00957BEB" w:rsidRPr="002F37C4" w:rsidRDefault="00957BEB" w:rsidP="00957BEB">
      <w:pPr>
        <w:spacing w:after="120" w:line="276" w:lineRule="auto"/>
        <w:ind w:left="720"/>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ε = Error term</w:t>
      </w:r>
    </w:p>
    <w:p w14:paraId="5A4705F0" w14:textId="77777777" w:rsidR="00957BEB" w:rsidRPr="00957BEB" w:rsidRDefault="00957BEB" w:rsidP="00957BEB">
      <w:pPr>
        <w:spacing w:after="120" w:line="276" w:lineRule="auto"/>
        <w:jc w:val="both"/>
        <w:rPr>
          <w:rFonts w:ascii="Times New Roman" w:eastAsia="Times New Roman" w:hAnsi="Times New Roman" w:cs="Times New Roman"/>
          <w:sz w:val="24"/>
          <w:szCs w:val="24"/>
        </w:rPr>
      </w:pPr>
      <w:r w:rsidRPr="002F37C4">
        <w:rPr>
          <w:rFonts w:ascii="Times New Roman" w:eastAsia="Times New Roman" w:hAnsi="Times New Roman" w:cs="Times New Roman"/>
          <w:sz w:val="24"/>
          <w:szCs w:val="24"/>
        </w:rPr>
        <w:t xml:space="preserve">The decision rule is based on a </w:t>
      </w:r>
      <w:r w:rsidRPr="00957BEB">
        <w:rPr>
          <w:rFonts w:ascii="Times New Roman" w:eastAsia="Times New Roman" w:hAnsi="Times New Roman" w:cs="Times New Roman"/>
          <w:bCs/>
          <w:sz w:val="24"/>
          <w:szCs w:val="24"/>
        </w:rPr>
        <w:t>significance level of 0.05</w:t>
      </w:r>
      <w:r w:rsidRPr="002F37C4">
        <w:rPr>
          <w:rFonts w:ascii="Times New Roman" w:eastAsia="Times New Roman" w:hAnsi="Times New Roman" w:cs="Times New Roman"/>
          <w:sz w:val="24"/>
          <w:szCs w:val="24"/>
        </w:rPr>
        <w:t>. If the p-value obtained from the regression analysis is less than 0.05, the null hypothesis is rejected, indicating a statistically significant relationship between the variables. Conversely, if the p-value is greater than 0.05, the null hypothesis is accepted, implying that the independent variable does not have a statistically significant effect on the dependent variable.</w:t>
      </w:r>
    </w:p>
    <w:p w14:paraId="5A4705F1" w14:textId="77777777" w:rsidR="00B04715" w:rsidRPr="00957BEB" w:rsidRDefault="00B04715" w:rsidP="00957BEB">
      <w:pPr>
        <w:pStyle w:val="Heading1"/>
        <w:spacing w:before="0" w:after="120" w:line="276" w:lineRule="auto"/>
        <w:rPr>
          <w:rFonts w:eastAsia="Calibri" w:cs="Times New Roman"/>
          <w:szCs w:val="24"/>
        </w:rPr>
      </w:pPr>
      <w:r w:rsidRPr="00957BEB">
        <w:rPr>
          <w:rFonts w:eastAsia="Calibri" w:cs="Times New Roman"/>
          <w:szCs w:val="24"/>
        </w:rPr>
        <w:t xml:space="preserve">4.0 </w:t>
      </w:r>
      <w:r w:rsidR="00077164" w:rsidRPr="00957BEB">
        <w:rPr>
          <w:rFonts w:eastAsia="Calibri" w:cs="Times New Roman"/>
          <w:szCs w:val="24"/>
        </w:rPr>
        <w:t>Result and Discussion</w:t>
      </w:r>
    </w:p>
    <w:p w14:paraId="5A4705F2" w14:textId="77777777" w:rsidR="00B04715"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t>4.1 Analysis of Research Questions</w:t>
      </w:r>
    </w:p>
    <w:p w14:paraId="5A4705F3" w14:textId="164BD031" w:rsidR="00895824" w:rsidRDefault="007412D3"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of the research questions and subsequent test of hypotheses were based on the response rate of 87% as 183 responded out of the total expected respondents of 210. Table </w:t>
      </w:r>
      <w:r w:rsidR="00134FAA">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below shows the analysis of the research questions. </w:t>
      </w:r>
    </w:p>
    <w:p w14:paraId="5A4705F4" w14:textId="16A192C0" w:rsidR="009F6D95" w:rsidRPr="00751461" w:rsidRDefault="004F5F51" w:rsidP="009F6D95">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134FAA">
        <w:rPr>
          <w:rFonts w:ascii="Times New Roman" w:hAnsi="Times New Roman" w:cs="Times New Roman"/>
          <w:b/>
          <w:sz w:val="24"/>
          <w:szCs w:val="24"/>
        </w:rPr>
        <w:t>2</w:t>
      </w:r>
      <w:r w:rsidR="009F6D95" w:rsidRPr="00751461">
        <w:rPr>
          <w:rFonts w:ascii="Times New Roman" w:hAnsi="Times New Roman" w:cs="Times New Roman"/>
          <w:b/>
          <w:sz w:val="24"/>
          <w:szCs w:val="24"/>
        </w:rPr>
        <w:t xml:space="preserve"> Analysis of Research Question</w:t>
      </w:r>
    </w:p>
    <w:tbl>
      <w:tblPr>
        <w:tblpPr w:leftFromText="180" w:rightFromText="180" w:vertAnchor="text" w:tblpY="1"/>
        <w:tblOverlap w:val="never"/>
        <w:tblW w:w="5000" w:type="pct"/>
        <w:tblLook w:val="04A0" w:firstRow="1" w:lastRow="0" w:firstColumn="1" w:lastColumn="0" w:noHBand="0" w:noVBand="1"/>
      </w:tblPr>
      <w:tblGrid>
        <w:gridCol w:w="648"/>
        <w:gridCol w:w="5720"/>
        <w:gridCol w:w="573"/>
        <w:gridCol w:w="501"/>
        <w:gridCol w:w="501"/>
        <w:gridCol w:w="501"/>
        <w:gridCol w:w="573"/>
      </w:tblGrid>
      <w:tr w:rsidR="00E277BD" w:rsidRPr="006502D6" w14:paraId="5A4705FC" w14:textId="77777777" w:rsidTr="00E277BD">
        <w:tc>
          <w:tcPr>
            <w:tcW w:w="359" w:type="pct"/>
            <w:tcBorders>
              <w:top w:val="single" w:sz="4" w:space="0" w:color="auto"/>
              <w:left w:val="single" w:sz="4" w:space="0" w:color="auto"/>
              <w:bottom w:val="single" w:sz="4" w:space="0" w:color="auto"/>
              <w:right w:val="single" w:sz="4" w:space="0" w:color="auto"/>
            </w:tcBorders>
          </w:tcPr>
          <w:p w14:paraId="5A4705F5"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S/N</w:t>
            </w:r>
          </w:p>
        </w:tc>
        <w:tc>
          <w:tcPr>
            <w:tcW w:w="3170" w:type="pct"/>
            <w:tcBorders>
              <w:top w:val="single" w:sz="4" w:space="0" w:color="auto"/>
              <w:left w:val="single" w:sz="4" w:space="0" w:color="auto"/>
              <w:bottom w:val="single" w:sz="4" w:space="0" w:color="auto"/>
              <w:right w:val="single" w:sz="4" w:space="0" w:color="auto"/>
            </w:tcBorders>
          </w:tcPr>
          <w:p w14:paraId="5A4705F6"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Corporate Performance</w:t>
            </w:r>
          </w:p>
        </w:tc>
        <w:tc>
          <w:tcPr>
            <w:tcW w:w="318" w:type="pct"/>
            <w:tcBorders>
              <w:top w:val="single" w:sz="4" w:space="0" w:color="auto"/>
              <w:left w:val="single" w:sz="4" w:space="0" w:color="auto"/>
              <w:bottom w:val="single" w:sz="4" w:space="0" w:color="auto"/>
              <w:right w:val="single" w:sz="4" w:space="0" w:color="auto"/>
            </w:tcBorders>
          </w:tcPr>
          <w:p w14:paraId="5A4705F7"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5F8"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5F9"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5FA"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5FB"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04" w14:textId="77777777" w:rsidTr="00E277BD">
        <w:tc>
          <w:tcPr>
            <w:tcW w:w="359" w:type="pct"/>
            <w:tcBorders>
              <w:top w:val="single" w:sz="4" w:space="0" w:color="auto"/>
              <w:left w:val="single" w:sz="4" w:space="0" w:color="auto"/>
              <w:bottom w:val="single" w:sz="4" w:space="0" w:color="auto"/>
              <w:right w:val="single" w:sz="4" w:space="0" w:color="auto"/>
            </w:tcBorders>
            <w:hideMark/>
          </w:tcPr>
          <w:p w14:paraId="5A4705FD"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lastRenderedPageBreak/>
              <w:t>1</w:t>
            </w:r>
          </w:p>
        </w:tc>
        <w:tc>
          <w:tcPr>
            <w:tcW w:w="3170" w:type="pct"/>
            <w:tcBorders>
              <w:top w:val="single" w:sz="4" w:space="0" w:color="auto"/>
              <w:left w:val="single" w:sz="4" w:space="0" w:color="auto"/>
              <w:bottom w:val="single" w:sz="4" w:space="0" w:color="auto"/>
              <w:right w:val="single" w:sz="4" w:space="0" w:color="auto"/>
            </w:tcBorders>
          </w:tcPr>
          <w:p w14:paraId="5A4705F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has consistently achieved its performance targets over the past three years.</w:t>
            </w:r>
          </w:p>
        </w:tc>
        <w:tc>
          <w:tcPr>
            <w:tcW w:w="318" w:type="pct"/>
            <w:tcBorders>
              <w:top w:val="single" w:sz="4" w:space="0" w:color="auto"/>
              <w:left w:val="single" w:sz="4" w:space="0" w:color="auto"/>
              <w:bottom w:val="single" w:sz="4" w:space="0" w:color="auto"/>
              <w:right w:val="single" w:sz="4" w:space="0" w:color="auto"/>
            </w:tcBorders>
            <w:vAlign w:val="center"/>
          </w:tcPr>
          <w:p w14:paraId="5A4705F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22</w:t>
            </w:r>
          </w:p>
        </w:tc>
        <w:tc>
          <w:tcPr>
            <w:tcW w:w="278" w:type="pct"/>
            <w:tcBorders>
              <w:top w:val="single" w:sz="4" w:space="0" w:color="auto"/>
              <w:left w:val="single" w:sz="4" w:space="0" w:color="auto"/>
              <w:bottom w:val="single" w:sz="4" w:space="0" w:color="auto"/>
              <w:right w:val="single" w:sz="4" w:space="0" w:color="auto"/>
            </w:tcBorders>
            <w:vAlign w:val="center"/>
          </w:tcPr>
          <w:p w14:paraId="5A47060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c>
          <w:tcPr>
            <w:tcW w:w="278" w:type="pct"/>
            <w:tcBorders>
              <w:top w:val="single" w:sz="4" w:space="0" w:color="auto"/>
              <w:left w:val="single" w:sz="4" w:space="0" w:color="auto"/>
              <w:bottom w:val="single" w:sz="4" w:space="0" w:color="auto"/>
              <w:right w:val="single" w:sz="4" w:space="0" w:color="auto"/>
            </w:tcBorders>
            <w:vAlign w:val="center"/>
          </w:tcPr>
          <w:p w14:paraId="5A47060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0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64</w:t>
            </w:r>
          </w:p>
        </w:tc>
        <w:tc>
          <w:tcPr>
            <w:tcW w:w="318" w:type="pct"/>
            <w:tcBorders>
              <w:top w:val="single" w:sz="4" w:space="0" w:color="auto"/>
              <w:left w:val="single" w:sz="4" w:space="0" w:color="auto"/>
              <w:bottom w:val="single" w:sz="4" w:space="0" w:color="auto"/>
              <w:right w:val="single" w:sz="4" w:space="0" w:color="auto"/>
            </w:tcBorders>
            <w:vAlign w:val="center"/>
          </w:tcPr>
          <w:p w14:paraId="5A47060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45</w:t>
            </w:r>
          </w:p>
        </w:tc>
      </w:tr>
      <w:tr w:rsidR="00E277BD" w:rsidRPr="006502D6" w14:paraId="5A47060C" w14:textId="77777777" w:rsidTr="00E277BD">
        <w:trPr>
          <w:trHeight w:val="323"/>
        </w:trPr>
        <w:tc>
          <w:tcPr>
            <w:tcW w:w="359" w:type="pct"/>
            <w:tcBorders>
              <w:top w:val="single" w:sz="4" w:space="0" w:color="auto"/>
              <w:left w:val="single" w:sz="4" w:space="0" w:color="auto"/>
              <w:bottom w:val="single" w:sz="4" w:space="0" w:color="auto"/>
              <w:right w:val="single" w:sz="4" w:space="0" w:color="auto"/>
            </w:tcBorders>
            <w:hideMark/>
          </w:tcPr>
          <w:p w14:paraId="5A470605"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2</w:t>
            </w:r>
          </w:p>
        </w:tc>
        <w:tc>
          <w:tcPr>
            <w:tcW w:w="3170" w:type="pct"/>
            <w:tcBorders>
              <w:top w:val="single" w:sz="4" w:space="0" w:color="auto"/>
              <w:left w:val="single" w:sz="4" w:space="0" w:color="auto"/>
              <w:bottom w:val="single" w:sz="4" w:space="0" w:color="auto"/>
              <w:right w:val="single" w:sz="4" w:space="0" w:color="auto"/>
            </w:tcBorders>
          </w:tcPr>
          <w:p w14:paraId="5A47060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experienced steady growth in our market share.</w:t>
            </w:r>
          </w:p>
        </w:tc>
        <w:tc>
          <w:tcPr>
            <w:tcW w:w="318" w:type="pct"/>
            <w:tcBorders>
              <w:top w:val="single" w:sz="4" w:space="0" w:color="auto"/>
              <w:left w:val="single" w:sz="4" w:space="0" w:color="auto"/>
              <w:bottom w:val="single" w:sz="4" w:space="0" w:color="auto"/>
              <w:right w:val="single" w:sz="4" w:space="0" w:color="auto"/>
            </w:tcBorders>
            <w:vAlign w:val="center"/>
          </w:tcPr>
          <w:p w14:paraId="5A47060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0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0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32</w:t>
            </w:r>
          </w:p>
        </w:tc>
        <w:tc>
          <w:tcPr>
            <w:tcW w:w="278" w:type="pct"/>
            <w:tcBorders>
              <w:top w:val="single" w:sz="4" w:space="0" w:color="auto"/>
              <w:left w:val="single" w:sz="4" w:space="0" w:color="auto"/>
              <w:bottom w:val="single" w:sz="4" w:space="0" w:color="auto"/>
              <w:right w:val="single" w:sz="4" w:space="0" w:color="auto"/>
            </w:tcBorders>
            <w:vAlign w:val="center"/>
          </w:tcPr>
          <w:p w14:paraId="5A47060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c>
          <w:tcPr>
            <w:tcW w:w="318" w:type="pct"/>
            <w:tcBorders>
              <w:top w:val="single" w:sz="4" w:space="0" w:color="auto"/>
              <w:left w:val="single" w:sz="4" w:space="0" w:color="auto"/>
              <w:bottom w:val="single" w:sz="4" w:space="0" w:color="auto"/>
              <w:right w:val="single" w:sz="4" w:space="0" w:color="auto"/>
            </w:tcBorders>
            <w:vAlign w:val="center"/>
          </w:tcPr>
          <w:p w14:paraId="5A47060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r>
      <w:tr w:rsidR="00E277BD" w:rsidRPr="006502D6" w14:paraId="5A470614" w14:textId="77777777" w:rsidTr="00E277BD">
        <w:trPr>
          <w:trHeight w:val="350"/>
        </w:trPr>
        <w:tc>
          <w:tcPr>
            <w:tcW w:w="359" w:type="pct"/>
            <w:tcBorders>
              <w:top w:val="single" w:sz="4" w:space="0" w:color="auto"/>
              <w:left w:val="single" w:sz="4" w:space="0" w:color="auto"/>
              <w:bottom w:val="single" w:sz="4" w:space="0" w:color="auto"/>
              <w:right w:val="single" w:sz="4" w:space="0" w:color="auto"/>
            </w:tcBorders>
            <w:hideMark/>
          </w:tcPr>
          <w:p w14:paraId="5A47060D"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3</w:t>
            </w:r>
          </w:p>
        </w:tc>
        <w:tc>
          <w:tcPr>
            <w:tcW w:w="3170" w:type="pct"/>
            <w:tcBorders>
              <w:top w:val="single" w:sz="4" w:space="0" w:color="auto"/>
              <w:left w:val="single" w:sz="4" w:space="0" w:color="auto"/>
              <w:bottom w:val="single" w:sz="4" w:space="0" w:color="auto"/>
              <w:right w:val="single" w:sz="4" w:space="0" w:color="auto"/>
            </w:tcBorders>
          </w:tcPr>
          <w:p w14:paraId="5A47060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business has been able to maintain a competitive advantage in the industry.</w:t>
            </w:r>
          </w:p>
        </w:tc>
        <w:tc>
          <w:tcPr>
            <w:tcW w:w="318" w:type="pct"/>
            <w:tcBorders>
              <w:top w:val="single" w:sz="4" w:space="0" w:color="auto"/>
              <w:left w:val="single" w:sz="4" w:space="0" w:color="auto"/>
              <w:bottom w:val="single" w:sz="4" w:space="0" w:color="auto"/>
              <w:right w:val="single" w:sz="4" w:space="0" w:color="auto"/>
            </w:tcBorders>
            <w:vAlign w:val="center"/>
          </w:tcPr>
          <w:p w14:paraId="5A47060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1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43</w:t>
            </w:r>
          </w:p>
        </w:tc>
        <w:tc>
          <w:tcPr>
            <w:tcW w:w="278" w:type="pct"/>
            <w:tcBorders>
              <w:top w:val="single" w:sz="4" w:space="0" w:color="auto"/>
              <w:left w:val="single" w:sz="4" w:space="0" w:color="auto"/>
              <w:bottom w:val="single" w:sz="4" w:space="0" w:color="auto"/>
              <w:right w:val="single" w:sz="4" w:space="0" w:color="auto"/>
            </w:tcBorders>
            <w:vAlign w:val="center"/>
          </w:tcPr>
          <w:p w14:paraId="5A47061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28</w:t>
            </w:r>
          </w:p>
        </w:tc>
        <w:tc>
          <w:tcPr>
            <w:tcW w:w="278" w:type="pct"/>
            <w:tcBorders>
              <w:top w:val="single" w:sz="4" w:space="0" w:color="auto"/>
              <w:left w:val="single" w:sz="4" w:space="0" w:color="auto"/>
              <w:bottom w:val="single" w:sz="4" w:space="0" w:color="auto"/>
              <w:right w:val="single" w:sz="4" w:space="0" w:color="auto"/>
            </w:tcBorders>
            <w:vAlign w:val="center"/>
          </w:tcPr>
          <w:p w14:paraId="5A47061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60</w:t>
            </w:r>
          </w:p>
        </w:tc>
        <w:tc>
          <w:tcPr>
            <w:tcW w:w="318" w:type="pct"/>
            <w:tcBorders>
              <w:top w:val="single" w:sz="4" w:space="0" w:color="auto"/>
              <w:left w:val="single" w:sz="4" w:space="0" w:color="auto"/>
              <w:bottom w:val="single" w:sz="4" w:space="0" w:color="auto"/>
              <w:right w:val="single" w:sz="4" w:space="0" w:color="auto"/>
            </w:tcBorders>
            <w:vAlign w:val="center"/>
          </w:tcPr>
          <w:p w14:paraId="5A47061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r>
      <w:tr w:rsidR="00E277BD" w:rsidRPr="006502D6" w14:paraId="5A47061C" w14:textId="77777777" w:rsidTr="00E277BD">
        <w:tc>
          <w:tcPr>
            <w:tcW w:w="359" w:type="pct"/>
            <w:tcBorders>
              <w:top w:val="single" w:sz="4" w:space="0" w:color="auto"/>
              <w:left w:val="single" w:sz="4" w:space="0" w:color="auto"/>
              <w:bottom w:val="single" w:sz="4" w:space="0" w:color="auto"/>
              <w:right w:val="single" w:sz="4" w:space="0" w:color="auto"/>
            </w:tcBorders>
            <w:hideMark/>
          </w:tcPr>
          <w:p w14:paraId="5A470615" w14:textId="77777777" w:rsidR="00E277BD" w:rsidRPr="006502D6" w:rsidRDefault="00E277BD" w:rsidP="008D5671">
            <w:pPr>
              <w:rPr>
                <w:rFonts w:ascii="Times New Roman" w:hAnsi="Times New Roman" w:cs="Times New Roman"/>
                <w:sz w:val="24"/>
                <w:szCs w:val="24"/>
              </w:rPr>
            </w:pPr>
            <w:r w:rsidRPr="006502D6">
              <w:rPr>
                <w:rFonts w:ascii="Times New Roman" w:hAnsi="Times New Roman" w:cs="Times New Roman"/>
                <w:sz w:val="24"/>
                <w:szCs w:val="24"/>
              </w:rPr>
              <w:t>4</w:t>
            </w:r>
          </w:p>
        </w:tc>
        <w:tc>
          <w:tcPr>
            <w:tcW w:w="3170" w:type="pct"/>
            <w:tcBorders>
              <w:top w:val="single" w:sz="4" w:space="0" w:color="auto"/>
              <w:left w:val="single" w:sz="4" w:space="0" w:color="auto"/>
              <w:bottom w:val="single" w:sz="4" w:space="0" w:color="auto"/>
              <w:right w:val="single" w:sz="4" w:space="0" w:color="auto"/>
            </w:tcBorders>
          </w:tcPr>
          <w:p w14:paraId="5A47061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achieved our business objectives in terms of financial and non-financial outcomes.</w:t>
            </w:r>
          </w:p>
        </w:tc>
        <w:tc>
          <w:tcPr>
            <w:tcW w:w="318" w:type="pct"/>
            <w:tcBorders>
              <w:top w:val="single" w:sz="4" w:space="0" w:color="auto"/>
              <w:left w:val="single" w:sz="4" w:space="0" w:color="auto"/>
              <w:bottom w:val="single" w:sz="4" w:space="0" w:color="auto"/>
              <w:right w:val="single" w:sz="4" w:space="0" w:color="auto"/>
            </w:tcBorders>
            <w:vAlign w:val="center"/>
          </w:tcPr>
          <w:p w14:paraId="5A47061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33</w:t>
            </w:r>
          </w:p>
        </w:tc>
        <w:tc>
          <w:tcPr>
            <w:tcW w:w="278" w:type="pct"/>
            <w:tcBorders>
              <w:top w:val="single" w:sz="4" w:space="0" w:color="auto"/>
              <w:left w:val="single" w:sz="4" w:space="0" w:color="auto"/>
              <w:bottom w:val="single" w:sz="4" w:space="0" w:color="auto"/>
              <w:right w:val="single" w:sz="4" w:space="0" w:color="auto"/>
            </w:tcBorders>
            <w:vAlign w:val="center"/>
          </w:tcPr>
          <w:p w14:paraId="5A47061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278" w:type="pct"/>
            <w:tcBorders>
              <w:top w:val="single" w:sz="4" w:space="0" w:color="auto"/>
              <w:left w:val="single" w:sz="4" w:space="0" w:color="auto"/>
              <w:bottom w:val="single" w:sz="4" w:space="0" w:color="auto"/>
              <w:right w:val="single" w:sz="4" w:space="0" w:color="auto"/>
            </w:tcBorders>
            <w:vAlign w:val="center"/>
          </w:tcPr>
          <w:p w14:paraId="5A47061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1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60</w:t>
            </w:r>
          </w:p>
        </w:tc>
        <w:tc>
          <w:tcPr>
            <w:tcW w:w="318" w:type="pct"/>
            <w:tcBorders>
              <w:top w:val="single" w:sz="4" w:space="0" w:color="auto"/>
              <w:left w:val="single" w:sz="4" w:space="0" w:color="auto"/>
              <w:bottom w:val="single" w:sz="4" w:space="0" w:color="auto"/>
              <w:right w:val="single" w:sz="4" w:space="0" w:color="auto"/>
            </w:tcBorders>
            <w:vAlign w:val="center"/>
          </w:tcPr>
          <w:p w14:paraId="5A47061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46</w:t>
            </w:r>
          </w:p>
        </w:tc>
      </w:tr>
      <w:tr w:rsidR="00E277BD" w:rsidRPr="006502D6" w14:paraId="5A470624" w14:textId="77777777" w:rsidTr="00E277BD">
        <w:tc>
          <w:tcPr>
            <w:tcW w:w="359" w:type="pct"/>
            <w:tcBorders>
              <w:top w:val="single" w:sz="4" w:space="0" w:color="auto"/>
              <w:left w:val="single" w:sz="4" w:space="0" w:color="auto"/>
              <w:bottom w:val="single" w:sz="4" w:space="0" w:color="auto"/>
              <w:right w:val="single" w:sz="4" w:space="0" w:color="auto"/>
            </w:tcBorders>
          </w:tcPr>
          <w:p w14:paraId="5A47061D" w14:textId="77777777" w:rsidR="00E277BD" w:rsidRPr="006502D6" w:rsidRDefault="00E277BD" w:rsidP="008D5671">
            <w:pPr>
              <w:rPr>
                <w:rFonts w:ascii="Times New Roman" w:hAnsi="Times New Roman" w:cs="Times New Roman"/>
                <w:sz w:val="24"/>
                <w:szCs w:val="24"/>
              </w:rPr>
            </w:pPr>
          </w:p>
        </w:tc>
        <w:tc>
          <w:tcPr>
            <w:tcW w:w="3170" w:type="pct"/>
            <w:tcBorders>
              <w:top w:val="single" w:sz="4" w:space="0" w:color="auto"/>
              <w:left w:val="single" w:sz="4" w:space="0" w:color="auto"/>
              <w:bottom w:val="single" w:sz="4" w:space="0" w:color="auto"/>
              <w:right w:val="single" w:sz="4" w:space="0" w:color="auto"/>
            </w:tcBorders>
          </w:tcPr>
          <w:p w14:paraId="5A47061E"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Operational Risks</w:t>
            </w:r>
          </w:p>
        </w:tc>
        <w:tc>
          <w:tcPr>
            <w:tcW w:w="318" w:type="pct"/>
            <w:tcBorders>
              <w:top w:val="single" w:sz="4" w:space="0" w:color="auto"/>
              <w:left w:val="single" w:sz="4" w:space="0" w:color="auto"/>
              <w:bottom w:val="single" w:sz="4" w:space="0" w:color="auto"/>
              <w:right w:val="single" w:sz="4" w:space="0" w:color="auto"/>
            </w:tcBorders>
          </w:tcPr>
          <w:p w14:paraId="5A47061F"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620"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621"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622"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623"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2C" w14:textId="77777777" w:rsidTr="00E277BD">
        <w:tc>
          <w:tcPr>
            <w:tcW w:w="359" w:type="pct"/>
            <w:tcBorders>
              <w:top w:val="single" w:sz="4" w:space="0" w:color="auto"/>
              <w:left w:val="single" w:sz="4" w:space="0" w:color="auto"/>
              <w:bottom w:val="single" w:sz="4" w:space="0" w:color="auto"/>
              <w:right w:val="single" w:sz="4" w:space="0" w:color="auto"/>
            </w:tcBorders>
          </w:tcPr>
          <w:p w14:paraId="5A47062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5</w:t>
            </w:r>
          </w:p>
        </w:tc>
        <w:tc>
          <w:tcPr>
            <w:tcW w:w="3170" w:type="pct"/>
            <w:tcBorders>
              <w:top w:val="single" w:sz="4" w:space="0" w:color="auto"/>
              <w:left w:val="single" w:sz="4" w:space="0" w:color="auto"/>
              <w:bottom w:val="single" w:sz="4" w:space="0" w:color="auto"/>
              <w:right w:val="single" w:sz="4" w:space="0" w:color="auto"/>
            </w:tcBorders>
          </w:tcPr>
          <w:p w14:paraId="5A47062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Inadequate internal processes have sometimes disrupted our business operations.</w:t>
            </w:r>
          </w:p>
        </w:tc>
        <w:tc>
          <w:tcPr>
            <w:tcW w:w="318" w:type="pct"/>
            <w:tcBorders>
              <w:top w:val="single" w:sz="4" w:space="0" w:color="auto"/>
              <w:left w:val="single" w:sz="4" w:space="0" w:color="auto"/>
              <w:bottom w:val="single" w:sz="4" w:space="0" w:color="auto"/>
              <w:right w:val="single" w:sz="4" w:space="0" w:color="auto"/>
            </w:tcBorders>
            <w:vAlign w:val="center"/>
          </w:tcPr>
          <w:p w14:paraId="5A47062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59</w:t>
            </w:r>
          </w:p>
        </w:tc>
        <w:tc>
          <w:tcPr>
            <w:tcW w:w="278" w:type="pct"/>
            <w:tcBorders>
              <w:top w:val="single" w:sz="4" w:space="0" w:color="auto"/>
              <w:left w:val="single" w:sz="4" w:space="0" w:color="auto"/>
              <w:bottom w:val="single" w:sz="4" w:space="0" w:color="auto"/>
              <w:right w:val="single" w:sz="4" w:space="0" w:color="auto"/>
            </w:tcBorders>
            <w:vAlign w:val="center"/>
          </w:tcPr>
          <w:p w14:paraId="5A47062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62</w:t>
            </w:r>
          </w:p>
        </w:tc>
        <w:tc>
          <w:tcPr>
            <w:tcW w:w="278" w:type="pct"/>
            <w:tcBorders>
              <w:top w:val="single" w:sz="4" w:space="0" w:color="auto"/>
              <w:left w:val="single" w:sz="4" w:space="0" w:color="auto"/>
              <w:bottom w:val="single" w:sz="4" w:space="0" w:color="auto"/>
              <w:right w:val="single" w:sz="4" w:space="0" w:color="auto"/>
            </w:tcBorders>
            <w:vAlign w:val="center"/>
          </w:tcPr>
          <w:p w14:paraId="5A47062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2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318" w:type="pct"/>
            <w:tcBorders>
              <w:top w:val="single" w:sz="4" w:space="0" w:color="auto"/>
              <w:left w:val="single" w:sz="4" w:space="0" w:color="auto"/>
              <w:bottom w:val="single" w:sz="4" w:space="0" w:color="auto"/>
              <w:right w:val="single" w:sz="4" w:space="0" w:color="auto"/>
            </w:tcBorders>
            <w:vAlign w:val="center"/>
          </w:tcPr>
          <w:p w14:paraId="5A47062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20</w:t>
            </w:r>
          </w:p>
        </w:tc>
      </w:tr>
      <w:tr w:rsidR="00E277BD" w:rsidRPr="006502D6" w14:paraId="5A470634" w14:textId="77777777" w:rsidTr="00E277BD">
        <w:tc>
          <w:tcPr>
            <w:tcW w:w="359" w:type="pct"/>
            <w:tcBorders>
              <w:top w:val="single" w:sz="4" w:space="0" w:color="auto"/>
              <w:left w:val="single" w:sz="4" w:space="0" w:color="auto"/>
              <w:bottom w:val="single" w:sz="4" w:space="0" w:color="auto"/>
              <w:right w:val="single" w:sz="4" w:space="0" w:color="auto"/>
            </w:tcBorders>
          </w:tcPr>
          <w:p w14:paraId="5A47062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6</w:t>
            </w:r>
          </w:p>
        </w:tc>
        <w:tc>
          <w:tcPr>
            <w:tcW w:w="3170" w:type="pct"/>
            <w:tcBorders>
              <w:top w:val="single" w:sz="4" w:space="0" w:color="auto"/>
              <w:left w:val="single" w:sz="4" w:space="0" w:color="auto"/>
              <w:bottom w:val="single" w:sz="4" w:space="0" w:color="auto"/>
              <w:right w:val="single" w:sz="4" w:space="0" w:color="auto"/>
            </w:tcBorders>
          </w:tcPr>
          <w:p w14:paraId="5A47062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has experienced delays in service or product delivery due to system failures.</w:t>
            </w:r>
          </w:p>
        </w:tc>
        <w:tc>
          <w:tcPr>
            <w:tcW w:w="318" w:type="pct"/>
            <w:tcBorders>
              <w:top w:val="single" w:sz="4" w:space="0" w:color="auto"/>
              <w:left w:val="single" w:sz="4" w:space="0" w:color="auto"/>
              <w:bottom w:val="single" w:sz="4" w:space="0" w:color="auto"/>
              <w:right w:val="single" w:sz="4" w:space="0" w:color="auto"/>
            </w:tcBorders>
            <w:vAlign w:val="center"/>
          </w:tcPr>
          <w:p w14:paraId="5A47062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67</w:t>
            </w:r>
          </w:p>
        </w:tc>
        <w:tc>
          <w:tcPr>
            <w:tcW w:w="278" w:type="pct"/>
            <w:tcBorders>
              <w:top w:val="single" w:sz="4" w:space="0" w:color="auto"/>
              <w:left w:val="single" w:sz="4" w:space="0" w:color="auto"/>
              <w:bottom w:val="single" w:sz="4" w:space="0" w:color="auto"/>
              <w:right w:val="single" w:sz="4" w:space="0" w:color="auto"/>
            </w:tcBorders>
            <w:vAlign w:val="center"/>
          </w:tcPr>
          <w:p w14:paraId="5A47063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44</w:t>
            </w:r>
          </w:p>
        </w:tc>
        <w:tc>
          <w:tcPr>
            <w:tcW w:w="278" w:type="pct"/>
            <w:tcBorders>
              <w:top w:val="single" w:sz="4" w:space="0" w:color="auto"/>
              <w:left w:val="single" w:sz="4" w:space="0" w:color="auto"/>
              <w:bottom w:val="single" w:sz="4" w:space="0" w:color="auto"/>
              <w:right w:val="single" w:sz="4" w:space="0" w:color="auto"/>
            </w:tcBorders>
            <w:vAlign w:val="center"/>
          </w:tcPr>
          <w:p w14:paraId="5A47063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278" w:type="pct"/>
            <w:tcBorders>
              <w:top w:val="single" w:sz="4" w:space="0" w:color="auto"/>
              <w:left w:val="single" w:sz="4" w:space="0" w:color="auto"/>
              <w:bottom w:val="single" w:sz="4" w:space="0" w:color="auto"/>
              <w:right w:val="single" w:sz="4" w:space="0" w:color="auto"/>
            </w:tcBorders>
            <w:vAlign w:val="center"/>
          </w:tcPr>
          <w:p w14:paraId="5A47063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30</w:t>
            </w:r>
          </w:p>
        </w:tc>
        <w:tc>
          <w:tcPr>
            <w:tcW w:w="318" w:type="pct"/>
            <w:tcBorders>
              <w:top w:val="single" w:sz="4" w:space="0" w:color="auto"/>
              <w:left w:val="single" w:sz="4" w:space="0" w:color="auto"/>
              <w:bottom w:val="single" w:sz="4" w:space="0" w:color="auto"/>
              <w:right w:val="single" w:sz="4" w:space="0" w:color="auto"/>
            </w:tcBorders>
            <w:vAlign w:val="center"/>
          </w:tcPr>
          <w:p w14:paraId="5A47063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r w:rsidR="00E277BD" w:rsidRPr="006502D6" w14:paraId="5A47063C" w14:textId="77777777" w:rsidTr="00E277BD">
        <w:tc>
          <w:tcPr>
            <w:tcW w:w="359" w:type="pct"/>
            <w:tcBorders>
              <w:top w:val="single" w:sz="4" w:space="0" w:color="auto"/>
              <w:left w:val="single" w:sz="4" w:space="0" w:color="auto"/>
              <w:bottom w:val="single" w:sz="4" w:space="0" w:color="auto"/>
              <w:right w:val="single" w:sz="4" w:space="0" w:color="auto"/>
            </w:tcBorders>
          </w:tcPr>
          <w:p w14:paraId="5A47063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7</w:t>
            </w:r>
          </w:p>
        </w:tc>
        <w:tc>
          <w:tcPr>
            <w:tcW w:w="3170" w:type="pct"/>
            <w:tcBorders>
              <w:top w:val="single" w:sz="4" w:space="0" w:color="auto"/>
              <w:left w:val="single" w:sz="4" w:space="0" w:color="auto"/>
              <w:bottom w:val="single" w:sz="4" w:space="0" w:color="auto"/>
              <w:right w:val="single" w:sz="4" w:space="0" w:color="auto"/>
            </w:tcBorders>
          </w:tcPr>
          <w:p w14:paraId="5A47063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The lack of standard operating procedures has led to inefficiencies in our business.</w:t>
            </w:r>
          </w:p>
        </w:tc>
        <w:tc>
          <w:tcPr>
            <w:tcW w:w="318" w:type="pct"/>
            <w:tcBorders>
              <w:top w:val="single" w:sz="4" w:space="0" w:color="auto"/>
              <w:left w:val="single" w:sz="4" w:space="0" w:color="auto"/>
              <w:bottom w:val="single" w:sz="4" w:space="0" w:color="auto"/>
              <w:right w:val="single" w:sz="4" w:space="0" w:color="auto"/>
            </w:tcBorders>
            <w:vAlign w:val="center"/>
          </w:tcPr>
          <w:p w14:paraId="5A470637"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36</w:t>
            </w:r>
          </w:p>
        </w:tc>
        <w:tc>
          <w:tcPr>
            <w:tcW w:w="278" w:type="pct"/>
            <w:tcBorders>
              <w:top w:val="single" w:sz="4" w:space="0" w:color="auto"/>
              <w:left w:val="single" w:sz="4" w:space="0" w:color="auto"/>
              <w:bottom w:val="single" w:sz="4" w:space="0" w:color="auto"/>
              <w:right w:val="single" w:sz="4" w:space="0" w:color="auto"/>
            </w:tcBorders>
            <w:vAlign w:val="center"/>
          </w:tcPr>
          <w:p w14:paraId="5A47063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78</w:t>
            </w:r>
          </w:p>
        </w:tc>
        <w:tc>
          <w:tcPr>
            <w:tcW w:w="278" w:type="pct"/>
            <w:tcBorders>
              <w:top w:val="single" w:sz="4" w:space="0" w:color="auto"/>
              <w:left w:val="single" w:sz="4" w:space="0" w:color="auto"/>
              <w:bottom w:val="single" w:sz="4" w:space="0" w:color="auto"/>
              <w:right w:val="single" w:sz="4" w:space="0" w:color="auto"/>
            </w:tcBorders>
            <w:vAlign w:val="center"/>
          </w:tcPr>
          <w:p w14:paraId="5A47063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3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22</w:t>
            </w:r>
          </w:p>
        </w:tc>
        <w:tc>
          <w:tcPr>
            <w:tcW w:w="318" w:type="pct"/>
            <w:tcBorders>
              <w:top w:val="single" w:sz="4" w:space="0" w:color="auto"/>
              <w:left w:val="single" w:sz="4" w:space="0" w:color="auto"/>
              <w:bottom w:val="single" w:sz="4" w:space="0" w:color="auto"/>
              <w:right w:val="single" w:sz="4" w:space="0" w:color="auto"/>
            </w:tcBorders>
            <w:vAlign w:val="center"/>
          </w:tcPr>
          <w:p w14:paraId="5A47063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12</w:t>
            </w:r>
          </w:p>
        </w:tc>
      </w:tr>
      <w:tr w:rsidR="00E277BD" w:rsidRPr="006502D6" w14:paraId="5A470644" w14:textId="77777777" w:rsidTr="00E277BD">
        <w:tc>
          <w:tcPr>
            <w:tcW w:w="359" w:type="pct"/>
            <w:tcBorders>
              <w:top w:val="single" w:sz="4" w:space="0" w:color="auto"/>
              <w:left w:val="single" w:sz="4" w:space="0" w:color="auto"/>
              <w:bottom w:val="single" w:sz="4" w:space="0" w:color="auto"/>
              <w:right w:val="single" w:sz="4" w:space="0" w:color="auto"/>
            </w:tcBorders>
          </w:tcPr>
          <w:p w14:paraId="5A47063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8</w:t>
            </w:r>
          </w:p>
        </w:tc>
        <w:tc>
          <w:tcPr>
            <w:tcW w:w="3170" w:type="pct"/>
            <w:tcBorders>
              <w:top w:val="single" w:sz="4" w:space="0" w:color="auto"/>
              <w:left w:val="single" w:sz="4" w:space="0" w:color="auto"/>
              <w:bottom w:val="single" w:sz="4" w:space="0" w:color="auto"/>
              <w:right w:val="single" w:sz="4" w:space="0" w:color="auto"/>
            </w:tcBorders>
          </w:tcPr>
          <w:p w14:paraId="5A47063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Operational risks have affected the quality of products or services we offer.</w:t>
            </w:r>
          </w:p>
        </w:tc>
        <w:tc>
          <w:tcPr>
            <w:tcW w:w="318" w:type="pct"/>
            <w:tcBorders>
              <w:top w:val="single" w:sz="4" w:space="0" w:color="auto"/>
              <w:left w:val="single" w:sz="4" w:space="0" w:color="auto"/>
              <w:bottom w:val="single" w:sz="4" w:space="0" w:color="auto"/>
              <w:right w:val="single" w:sz="4" w:space="0" w:color="auto"/>
            </w:tcBorders>
            <w:vAlign w:val="center"/>
          </w:tcPr>
          <w:p w14:paraId="5A47063F" w14:textId="77777777" w:rsidR="00E277BD" w:rsidRPr="00113BCD" w:rsidRDefault="00E277BD" w:rsidP="008D5671">
            <w:pPr>
              <w:jc w:val="center"/>
              <w:rPr>
                <w:rFonts w:ascii="Times New Roman" w:hAnsi="Times New Roman" w:cs="Times New Roman"/>
                <w:sz w:val="24"/>
                <w:szCs w:val="24"/>
              </w:rPr>
            </w:pPr>
            <w:r w:rsidRPr="00113BCD">
              <w:rPr>
                <w:rFonts w:ascii="Times New Roman" w:hAnsi="Times New Roman" w:cs="Times New Roman"/>
                <w:sz w:val="24"/>
                <w:szCs w:val="24"/>
              </w:rPr>
              <w:t>54</w:t>
            </w:r>
          </w:p>
        </w:tc>
        <w:tc>
          <w:tcPr>
            <w:tcW w:w="278" w:type="pct"/>
            <w:tcBorders>
              <w:top w:val="single" w:sz="4" w:space="0" w:color="auto"/>
              <w:left w:val="single" w:sz="4" w:space="0" w:color="auto"/>
              <w:bottom w:val="single" w:sz="4" w:space="0" w:color="auto"/>
              <w:right w:val="single" w:sz="4" w:space="0" w:color="auto"/>
            </w:tcBorders>
            <w:vAlign w:val="center"/>
          </w:tcPr>
          <w:p w14:paraId="5A47064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49</w:t>
            </w:r>
          </w:p>
        </w:tc>
        <w:tc>
          <w:tcPr>
            <w:tcW w:w="278" w:type="pct"/>
            <w:tcBorders>
              <w:top w:val="single" w:sz="4" w:space="0" w:color="auto"/>
              <w:left w:val="single" w:sz="4" w:space="0" w:color="auto"/>
              <w:bottom w:val="single" w:sz="4" w:space="0" w:color="auto"/>
              <w:right w:val="single" w:sz="4" w:space="0" w:color="auto"/>
            </w:tcBorders>
            <w:vAlign w:val="center"/>
          </w:tcPr>
          <w:p w14:paraId="5A47064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27</w:t>
            </w:r>
          </w:p>
        </w:tc>
        <w:tc>
          <w:tcPr>
            <w:tcW w:w="278" w:type="pct"/>
            <w:tcBorders>
              <w:top w:val="single" w:sz="4" w:space="0" w:color="auto"/>
              <w:left w:val="single" w:sz="4" w:space="0" w:color="auto"/>
              <w:bottom w:val="single" w:sz="4" w:space="0" w:color="auto"/>
              <w:right w:val="single" w:sz="4" w:space="0" w:color="auto"/>
            </w:tcBorders>
            <w:vAlign w:val="center"/>
          </w:tcPr>
          <w:p w14:paraId="5A47064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37</w:t>
            </w:r>
          </w:p>
        </w:tc>
        <w:tc>
          <w:tcPr>
            <w:tcW w:w="318" w:type="pct"/>
            <w:tcBorders>
              <w:top w:val="single" w:sz="4" w:space="0" w:color="auto"/>
              <w:left w:val="single" w:sz="4" w:space="0" w:color="auto"/>
              <w:bottom w:val="single" w:sz="4" w:space="0" w:color="auto"/>
              <w:right w:val="single" w:sz="4" w:space="0" w:color="auto"/>
            </w:tcBorders>
            <w:vAlign w:val="center"/>
          </w:tcPr>
          <w:p w14:paraId="5A47064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r w:rsidR="00E277BD" w:rsidRPr="006502D6" w14:paraId="5A47064C" w14:textId="77777777" w:rsidTr="00E277BD">
        <w:tc>
          <w:tcPr>
            <w:tcW w:w="359" w:type="pct"/>
            <w:tcBorders>
              <w:top w:val="single" w:sz="4" w:space="0" w:color="auto"/>
              <w:left w:val="single" w:sz="4" w:space="0" w:color="auto"/>
              <w:bottom w:val="single" w:sz="4" w:space="0" w:color="auto"/>
              <w:right w:val="single" w:sz="4" w:space="0" w:color="auto"/>
            </w:tcBorders>
          </w:tcPr>
          <w:p w14:paraId="5A470645" w14:textId="77777777" w:rsidR="00E277BD" w:rsidRPr="006502D6" w:rsidRDefault="00E277BD" w:rsidP="008D5671">
            <w:pPr>
              <w:rPr>
                <w:rFonts w:ascii="Times New Roman" w:hAnsi="Times New Roman" w:cs="Times New Roman"/>
                <w:sz w:val="24"/>
                <w:szCs w:val="24"/>
              </w:rPr>
            </w:pPr>
          </w:p>
        </w:tc>
        <w:tc>
          <w:tcPr>
            <w:tcW w:w="3170" w:type="pct"/>
            <w:tcBorders>
              <w:top w:val="single" w:sz="4" w:space="0" w:color="auto"/>
              <w:left w:val="single" w:sz="4" w:space="0" w:color="auto"/>
              <w:bottom w:val="single" w:sz="4" w:space="0" w:color="auto"/>
              <w:right w:val="single" w:sz="4" w:space="0" w:color="auto"/>
            </w:tcBorders>
          </w:tcPr>
          <w:p w14:paraId="5A470646" w14:textId="77777777" w:rsidR="00E277BD" w:rsidRPr="00B27A2F" w:rsidRDefault="00E277BD" w:rsidP="008D5671">
            <w:pPr>
              <w:jc w:val="both"/>
              <w:rPr>
                <w:rFonts w:ascii="Times New Roman" w:eastAsia="Times New Roman" w:hAnsi="Times New Roman" w:cs="Times New Roman"/>
                <w:b/>
                <w:sz w:val="24"/>
                <w:szCs w:val="24"/>
              </w:rPr>
            </w:pPr>
            <w:r w:rsidRPr="00B27A2F">
              <w:rPr>
                <w:rFonts w:ascii="Times New Roman" w:hAnsi="Times New Roman" w:cs="Times New Roman"/>
                <w:b/>
                <w:sz w:val="24"/>
                <w:szCs w:val="24"/>
              </w:rPr>
              <w:t>Liquidity Risks</w:t>
            </w:r>
          </w:p>
        </w:tc>
        <w:tc>
          <w:tcPr>
            <w:tcW w:w="318" w:type="pct"/>
            <w:tcBorders>
              <w:top w:val="single" w:sz="4" w:space="0" w:color="auto"/>
              <w:left w:val="single" w:sz="4" w:space="0" w:color="auto"/>
              <w:bottom w:val="single" w:sz="4" w:space="0" w:color="auto"/>
              <w:right w:val="single" w:sz="4" w:space="0" w:color="auto"/>
            </w:tcBorders>
          </w:tcPr>
          <w:p w14:paraId="5A470647"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SA</w:t>
            </w:r>
          </w:p>
        </w:tc>
        <w:tc>
          <w:tcPr>
            <w:tcW w:w="278" w:type="pct"/>
            <w:tcBorders>
              <w:top w:val="single" w:sz="4" w:space="0" w:color="auto"/>
              <w:left w:val="single" w:sz="4" w:space="0" w:color="auto"/>
              <w:bottom w:val="single" w:sz="4" w:space="0" w:color="auto"/>
              <w:right w:val="single" w:sz="4" w:space="0" w:color="auto"/>
            </w:tcBorders>
          </w:tcPr>
          <w:p w14:paraId="5A470648"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A</w:t>
            </w:r>
          </w:p>
        </w:tc>
        <w:tc>
          <w:tcPr>
            <w:tcW w:w="278" w:type="pct"/>
            <w:tcBorders>
              <w:top w:val="single" w:sz="4" w:space="0" w:color="auto"/>
              <w:left w:val="single" w:sz="4" w:space="0" w:color="auto"/>
              <w:bottom w:val="single" w:sz="4" w:space="0" w:color="auto"/>
              <w:right w:val="single" w:sz="4" w:space="0" w:color="auto"/>
            </w:tcBorders>
          </w:tcPr>
          <w:p w14:paraId="5A470649"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N</w:t>
            </w:r>
          </w:p>
        </w:tc>
        <w:tc>
          <w:tcPr>
            <w:tcW w:w="278" w:type="pct"/>
            <w:tcBorders>
              <w:top w:val="single" w:sz="4" w:space="0" w:color="auto"/>
              <w:left w:val="single" w:sz="4" w:space="0" w:color="auto"/>
              <w:bottom w:val="single" w:sz="4" w:space="0" w:color="auto"/>
              <w:right w:val="single" w:sz="4" w:space="0" w:color="auto"/>
            </w:tcBorders>
          </w:tcPr>
          <w:p w14:paraId="5A47064A"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D</w:t>
            </w:r>
          </w:p>
        </w:tc>
        <w:tc>
          <w:tcPr>
            <w:tcW w:w="318" w:type="pct"/>
            <w:tcBorders>
              <w:top w:val="single" w:sz="4" w:space="0" w:color="auto"/>
              <w:left w:val="single" w:sz="4" w:space="0" w:color="auto"/>
              <w:bottom w:val="single" w:sz="4" w:space="0" w:color="auto"/>
              <w:right w:val="single" w:sz="4" w:space="0" w:color="auto"/>
            </w:tcBorders>
          </w:tcPr>
          <w:p w14:paraId="5A47064B" w14:textId="77777777" w:rsidR="00E277BD" w:rsidRPr="006502D6" w:rsidRDefault="00E277BD" w:rsidP="008D5671">
            <w:pPr>
              <w:rPr>
                <w:rFonts w:ascii="Times New Roman" w:hAnsi="Times New Roman" w:cs="Times New Roman"/>
                <w:b/>
                <w:sz w:val="24"/>
                <w:szCs w:val="24"/>
              </w:rPr>
            </w:pPr>
            <w:r w:rsidRPr="006502D6">
              <w:rPr>
                <w:rFonts w:ascii="Times New Roman" w:hAnsi="Times New Roman" w:cs="Times New Roman"/>
                <w:b/>
                <w:sz w:val="24"/>
                <w:szCs w:val="24"/>
              </w:rPr>
              <w:t>SD</w:t>
            </w:r>
          </w:p>
        </w:tc>
      </w:tr>
      <w:tr w:rsidR="00E277BD" w:rsidRPr="006502D6" w14:paraId="5A470654" w14:textId="77777777" w:rsidTr="00E277BD">
        <w:tc>
          <w:tcPr>
            <w:tcW w:w="359" w:type="pct"/>
            <w:tcBorders>
              <w:top w:val="single" w:sz="4" w:space="0" w:color="auto"/>
              <w:left w:val="single" w:sz="4" w:space="0" w:color="auto"/>
              <w:bottom w:val="single" w:sz="4" w:space="0" w:color="auto"/>
              <w:right w:val="single" w:sz="4" w:space="0" w:color="auto"/>
            </w:tcBorders>
          </w:tcPr>
          <w:p w14:paraId="5A47064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9</w:t>
            </w:r>
          </w:p>
        </w:tc>
        <w:tc>
          <w:tcPr>
            <w:tcW w:w="3170" w:type="pct"/>
            <w:tcBorders>
              <w:top w:val="single" w:sz="4" w:space="0" w:color="auto"/>
              <w:left w:val="single" w:sz="4" w:space="0" w:color="auto"/>
              <w:bottom w:val="single" w:sz="4" w:space="0" w:color="auto"/>
              <w:right w:val="single" w:sz="4" w:space="0" w:color="auto"/>
            </w:tcBorders>
          </w:tcPr>
          <w:p w14:paraId="5A47064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Our firm often struggles to meet short-term financial obligations.</w:t>
            </w:r>
          </w:p>
        </w:tc>
        <w:tc>
          <w:tcPr>
            <w:tcW w:w="318" w:type="pct"/>
            <w:tcBorders>
              <w:top w:val="single" w:sz="4" w:space="0" w:color="auto"/>
              <w:left w:val="single" w:sz="4" w:space="0" w:color="auto"/>
              <w:bottom w:val="single" w:sz="4" w:space="0" w:color="auto"/>
              <w:right w:val="single" w:sz="4" w:space="0" w:color="auto"/>
            </w:tcBorders>
            <w:vAlign w:val="center"/>
          </w:tcPr>
          <w:p w14:paraId="5A47064F"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50</w:t>
            </w:r>
          </w:p>
        </w:tc>
        <w:tc>
          <w:tcPr>
            <w:tcW w:w="278" w:type="pct"/>
            <w:tcBorders>
              <w:top w:val="single" w:sz="4" w:space="0" w:color="auto"/>
              <w:left w:val="single" w:sz="4" w:space="0" w:color="auto"/>
              <w:bottom w:val="single" w:sz="4" w:space="0" w:color="auto"/>
              <w:right w:val="single" w:sz="4" w:space="0" w:color="auto"/>
            </w:tcBorders>
            <w:vAlign w:val="center"/>
          </w:tcPr>
          <w:p w14:paraId="5A47065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81</w:t>
            </w:r>
          </w:p>
        </w:tc>
        <w:tc>
          <w:tcPr>
            <w:tcW w:w="278" w:type="pct"/>
            <w:tcBorders>
              <w:top w:val="single" w:sz="4" w:space="0" w:color="auto"/>
              <w:left w:val="single" w:sz="4" w:space="0" w:color="auto"/>
              <w:bottom w:val="single" w:sz="4" w:space="0" w:color="auto"/>
              <w:right w:val="single" w:sz="4" w:space="0" w:color="auto"/>
            </w:tcBorders>
            <w:vAlign w:val="center"/>
          </w:tcPr>
          <w:p w14:paraId="5A47065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12</w:t>
            </w:r>
          </w:p>
        </w:tc>
        <w:tc>
          <w:tcPr>
            <w:tcW w:w="278" w:type="pct"/>
            <w:tcBorders>
              <w:top w:val="single" w:sz="4" w:space="0" w:color="auto"/>
              <w:left w:val="single" w:sz="4" w:space="0" w:color="auto"/>
              <w:bottom w:val="single" w:sz="4" w:space="0" w:color="auto"/>
              <w:right w:val="single" w:sz="4" w:space="0" w:color="auto"/>
            </w:tcBorders>
            <w:vAlign w:val="center"/>
          </w:tcPr>
          <w:p w14:paraId="5A47065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26</w:t>
            </w:r>
          </w:p>
        </w:tc>
        <w:tc>
          <w:tcPr>
            <w:tcW w:w="318" w:type="pct"/>
            <w:tcBorders>
              <w:top w:val="single" w:sz="4" w:space="0" w:color="auto"/>
              <w:left w:val="single" w:sz="4" w:space="0" w:color="auto"/>
              <w:bottom w:val="single" w:sz="4" w:space="0" w:color="auto"/>
              <w:right w:val="single" w:sz="4" w:space="0" w:color="auto"/>
            </w:tcBorders>
            <w:vAlign w:val="center"/>
          </w:tcPr>
          <w:p w14:paraId="5A47065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14</w:t>
            </w:r>
          </w:p>
        </w:tc>
      </w:tr>
      <w:tr w:rsidR="00E277BD" w:rsidRPr="006502D6" w14:paraId="5A47065C" w14:textId="77777777" w:rsidTr="00E277BD">
        <w:tc>
          <w:tcPr>
            <w:tcW w:w="359" w:type="pct"/>
            <w:tcBorders>
              <w:top w:val="single" w:sz="4" w:space="0" w:color="auto"/>
              <w:left w:val="single" w:sz="4" w:space="0" w:color="auto"/>
              <w:bottom w:val="single" w:sz="4" w:space="0" w:color="auto"/>
              <w:right w:val="single" w:sz="4" w:space="0" w:color="auto"/>
            </w:tcBorders>
          </w:tcPr>
          <w:p w14:paraId="5A47065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10</w:t>
            </w:r>
          </w:p>
        </w:tc>
        <w:tc>
          <w:tcPr>
            <w:tcW w:w="3170" w:type="pct"/>
            <w:tcBorders>
              <w:top w:val="single" w:sz="4" w:space="0" w:color="auto"/>
              <w:left w:val="single" w:sz="4" w:space="0" w:color="auto"/>
              <w:bottom w:val="single" w:sz="4" w:space="0" w:color="auto"/>
              <w:right w:val="single" w:sz="4" w:space="0" w:color="auto"/>
            </w:tcBorders>
          </w:tcPr>
          <w:p w14:paraId="5A470656"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A lack of access to immediate funds has restricted our operational capabilities.</w:t>
            </w:r>
          </w:p>
        </w:tc>
        <w:tc>
          <w:tcPr>
            <w:tcW w:w="318" w:type="pct"/>
            <w:tcBorders>
              <w:top w:val="single" w:sz="4" w:space="0" w:color="auto"/>
              <w:left w:val="single" w:sz="4" w:space="0" w:color="auto"/>
              <w:bottom w:val="single" w:sz="4" w:space="0" w:color="auto"/>
              <w:right w:val="single" w:sz="4" w:space="0" w:color="auto"/>
            </w:tcBorders>
            <w:vAlign w:val="center"/>
          </w:tcPr>
          <w:p w14:paraId="5A470657"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96</w:t>
            </w:r>
          </w:p>
        </w:tc>
        <w:tc>
          <w:tcPr>
            <w:tcW w:w="278" w:type="pct"/>
            <w:tcBorders>
              <w:top w:val="single" w:sz="4" w:space="0" w:color="auto"/>
              <w:left w:val="single" w:sz="4" w:space="0" w:color="auto"/>
              <w:bottom w:val="single" w:sz="4" w:space="0" w:color="auto"/>
              <w:right w:val="single" w:sz="4" w:space="0" w:color="auto"/>
            </w:tcBorders>
            <w:vAlign w:val="center"/>
          </w:tcPr>
          <w:p w14:paraId="5A47065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35</w:t>
            </w:r>
          </w:p>
        </w:tc>
        <w:tc>
          <w:tcPr>
            <w:tcW w:w="278" w:type="pct"/>
            <w:tcBorders>
              <w:top w:val="single" w:sz="4" w:space="0" w:color="auto"/>
              <w:left w:val="single" w:sz="4" w:space="0" w:color="auto"/>
              <w:bottom w:val="single" w:sz="4" w:space="0" w:color="auto"/>
              <w:right w:val="single" w:sz="4" w:space="0" w:color="auto"/>
            </w:tcBorders>
            <w:vAlign w:val="center"/>
          </w:tcPr>
          <w:p w14:paraId="5A47065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24</w:t>
            </w:r>
          </w:p>
        </w:tc>
        <w:tc>
          <w:tcPr>
            <w:tcW w:w="278" w:type="pct"/>
            <w:tcBorders>
              <w:top w:val="single" w:sz="4" w:space="0" w:color="auto"/>
              <w:left w:val="single" w:sz="4" w:space="0" w:color="auto"/>
              <w:bottom w:val="single" w:sz="4" w:space="0" w:color="auto"/>
              <w:right w:val="single" w:sz="4" w:space="0" w:color="auto"/>
            </w:tcBorders>
            <w:vAlign w:val="center"/>
          </w:tcPr>
          <w:p w14:paraId="5A47065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10</w:t>
            </w:r>
          </w:p>
        </w:tc>
        <w:tc>
          <w:tcPr>
            <w:tcW w:w="318" w:type="pct"/>
            <w:tcBorders>
              <w:top w:val="single" w:sz="4" w:space="0" w:color="auto"/>
              <w:left w:val="single" w:sz="4" w:space="0" w:color="auto"/>
              <w:bottom w:val="single" w:sz="4" w:space="0" w:color="auto"/>
              <w:right w:val="single" w:sz="4" w:space="0" w:color="auto"/>
            </w:tcBorders>
            <w:vAlign w:val="center"/>
          </w:tcPr>
          <w:p w14:paraId="5A47065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r>
      <w:tr w:rsidR="00E277BD" w:rsidRPr="006502D6" w14:paraId="5A470664" w14:textId="77777777" w:rsidTr="00E277BD">
        <w:tc>
          <w:tcPr>
            <w:tcW w:w="359" w:type="pct"/>
            <w:tcBorders>
              <w:top w:val="single" w:sz="4" w:space="0" w:color="auto"/>
              <w:left w:val="single" w:sz="4" w:space="0" w:color="auto"/>
              <w:bottom w:val="single" w:sz="4" w:space="0" w:color="auto"/>
              <w:right w:val="single" w:sz="4" w:space="0" w:color="auto"/>
            </w:tcBorders>
          </w:tcPr>
          <w:p w14:paraId="5A47065D"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11</w:t>
            </w:r>
          </w:p>
        </w:tc>
        <w:tc>
          <w:tcPr>
            <w:tcW w:w="3170" w:type="pct"/>
            <w:tcBorders>
              <w:top w:val="single" w:sz="4" w:space="0" w:color="auto"/>
              <w:left w:val="single" w:sz="4" w:space="0" w:color="auto"/>
              <w:bottom w:val="single" w:sz="4" w:space="0" w:color="auto"/>
              <w:right w:val="single" w:sz="4" w:space="0" w:color="auto"/>
            </w:tcBorders>
          </w:tcPr>
          <w:p w14:paraId="5A47065E" w14:textId="77777777" w:rsidR="00E277BD" w:rsidRPr="00B27A2F" w:rsidRDefault="00E277BD" w:rsidP="008D5671">
            <w:pPr>
              <w:jc w:val="both"/>
              <w:rPr>
                <w:rFonts w:ascii="Times New Roman" w:eastAsia="Times New Roman" w:hAnsi="Times New Roman" w:cs="Times New Roman"/>
                <w:sz w:val="24"/>
                <w:szCs w:val="24"/>
              </w:rPr>
            </w:pPr>
            <w:r w:rsidRPr="00B27A2F">
              <w:rPr>
                <w:rFonts w:ascii="Times New Roman" w:hAnsi="Times New Roman" w:cs="Times New Roman"/>
                <w:sz w:val="24"/>
                <w:szCs w:val="24"/>
              </w:rPr>
              <w:t>We have experienced challenges in maintaining an adequate cash flow.</w:t>
            </w:r>
          </w:p>
        </w:tc>
        <w:tc>
          <w:tcPr>
            <w:tcW w:w="318" w:type="pct"/>
            <w:tcBorders>
              <w:top w:val="single" w:sz="4" w:space="0" w:color="auto"/>
              <w:left w:val="single" w:sz="4" w:space="0" w:color="auto"/>
              <w:bottom w:val="single" w:sz="4" w:space="0" w:color="auto"/>
              <w:right w:val="single" w:sz="4" w:space="0" w:color="auto"/>
            </w:tcBorders>
            <w:vAlign w:val="center"/>
          </w:tcPr>
          <w:p w14:paraId="5A47065F"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52</w:t>
            </w:r>
          </w:p>
        </w:tc>
        <w:tc>
          <w:tcPr>
            <w:tcW w:w="278" w:type="pct"/>
            <w:tcBorders>
              <w:top w:val="single" w:sz="4" w:space="0" w:color="auto"/>
              <w:left w:val="single" w:sz="4" w:space="0" w:color="auto"/>
              <w:bottom w:val="single" w:sz="4" w:space="0" w:color="auto"/>
              <w:right w:val="single" w:sz="4" w:space="0" w:color="auto"/>
            </w:tcBorders>
            <w:vAlign w:val="center"/>
          </w:tcPr>
          <w:p w14:paraId="5A470660"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58</w:t>
            </w:r>
          </w:p>
        </w:tc>
        <w:tc>
          <w:tcPr>
            <w:tcW w:w="278" w:type="pct"/>
            <w:tcBorders>
              <w:top w:val="single" w:sz="4" w:space="0" w:color="auto"/>
              <w:left w:val="single" w:sz="4" w:space="0" w:color="auto"/>
              <w:bottom w:val="single" w:sz="4" w:space="0" w:color="auto"/>
              <w:right w:val="single" w:sz="4" w:space="0" w:color="auto"/>
            </w:tcBorders>
            <w:vAlign w:val="center"/>
          </w:tcPr>
          <w:p w14:paraId="5A470661"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20</w:t>
            </w:r>
          </w:p>
        </w:tc>
        <w:tc>
          <w:tcPr>
            <w:tcW w:w="278" w:type="pct"/>
            <w:tcBorders>
              <w:top w:val="single" w:sz="4" w:space="0" w:color="auto"/>
              <w:left w:val="single" w:sz="4" w:space="0" w:color="auto"/>
              <w:bottom w:val="single" w:sz="4" w:space="0" w:color="auto"/>
              <w:right w:val="single" w:sz="4" w:space="0" w:color="auto"/>
            </w:tcBorders>
            <w:vAlign w:val="center"/>
          </w:tcPr>
          <w:p w14:paraId="5A470662"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34</w:t>
            </w:r>
          </w:p>
        </w:tc>
        <w:tc>
          <w:tcPr>
            <w:tcW w:w="318" w:type="pct"/>
            <w:tcBorders>
              <w:top w:val="single" w:sz="4" w:space="0" w:color="auto"/>
              <w:left w:val="single" w:sz="4" w:space="0" w:color="auto"/>
              <w:bottom w:val="single" w:sz="4" w:space="0" w:color="auto"/>
              <w:right w:val="single" w:sz="4" w:space="0" w:color="auto"/>
            </w:tcBorders>
            <w:vAlign w:val="center"/>
          </w:tcPr>
          <w:p w14:paraId="5A470663"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19</w:t>
            </w:r>
          </w:p>
        </w:tc>
      </w:tr>
      <w:tr w:rsidR="00E277BD" w:rsidRPr="006502D6" w14:paraId="5A47066C" w14:textId="77777777" w:rsidTr="00E277BD">
        <w:tc>
          <w:tcPr>
            <w:tcW w:w="359" w:type="pct"/>
            <w:tcBorders>
              <w:top w:val="single" w:sz="4" w:space="0" w:color="auto"/>
              <w:left w:val="single" w:sz="4" w:space="0" w:color="auto"/>
              <w:bottom w:val="single" w:sz="4" w:space="0" w:color="auto"/>
              <w:right w:val="single" w:sz="4" w:space="0" w:color="auto"/>
            </w:tcBorders>
          </w:tcPr>
          <w:p w14:paraId="5A470665" w14:textId="77777777" w:rsidR="00E277BD" w:rsidRPr="006502D6" w:rsidRDefault="00E277BD" w:rsidP="008D5671">
            <w:pPr>
              <w:rPr>
                <w:rFonts w:ascii="Times New Roman" w:hAnsi="Times New Roman" w:cs="Times New Roman"/>
                <w:sz w:val="24"/>
                <w:szCs w:val="24"/>
              </w:rPr>
            </w:pPr>
            <w:r>
              <w:rPr>
                <w:rFonts w:ascii="Times New Roman" w:hAnsi="Times New Roman" w:cs="Times New Roman"/>
                <w:sz w:val="24"/>
                <w:szCs w:val="24"/>
              </w:rPr>
              <w:t>12</w:t>
            </w:r>
          </w:p>
        </w:tc>
        <w:tc>
          <w:tcPr>
            <w:tcW w:w="3170" w:type="pct"/>
            <w:tcBorders>
              <w:top w:val="single" w:sz="4" w:space="0" w:color="auto"/>
              <w:left w:val="single" w:sz="4" w:space="0" w:color="auto"/>
              <w:bottom w:val="single" w:sz="4" w:space="0" w:color="auto"/>
              <w:right w:val="single" w:sz="4" w:space="0" w:color="auto"/>
            </w:tcBorders>
          </w:tcPr>
          <w:p w14:paraId="5A470666" w14:textId="77777777" w:rsidR="00E277BD" w:rsidRDefault="00E277BD" w:rsidP="008D5671">
            <w:r w:rsidRPr="00B27A2F">
              <w:rPr>
                <w:rFonts w:ascii="Times New Roman" w:hAnsi="Times New Roman" w:cs="Times New Roman"/>
                <w:sz w:val="24"/>
                <w:szCs w:val="24"/>
              </w:rPr>
              <w:t>Liquidity issues have hindered us from taking on profitable opportunities.</w:t>
            </w:r>
          </w:p>
        </w:tc>
        <w:tc>
          <w:tcPr>
            <w:tcW w:w="318" w:type="pct"/>
            <w:tcBorders>
              <w:top w:val="single" w:sz="4" w:space="0" w:color="auto"/>
              <w:left w:val="single" w:sz="4" w:space="0" w:color="auto"/>
              <w:bottom w:val="single" w:sz="4" w:space="0" w:color="auto"/>
              <w:right w:val="single" w:sz="4" w:space="0" w:color="auto"/>
            </w:tcBorders>
            <w:vAlign w:val="center"/>
          </w:tcPr>
          <w:p w14:paraId="5A470667" w14:textId="77777777" w:rsidR="00E277BD" w:rsidRPr="00113BCD" w:rsidRDefault="00E277BD" w:rsidP="008D5671">
            <w:pPr>
              <w:jc w:val="center"/>
              <w:rPr>
                <w:rFonts w:ascii="Times New Roman" w:hAnsi="Times New Roman" w:cs="Times New Roman"/>
                <w:sz w:val="24"/>
                <w:szCs w:val="24"/>
              </w:rPr>
            </w:pPr>
            <w:r w:rsidRPr="007B09B4">
              <w:rPr>
                <w:rFonts w:ascii="Times New Roman" w:hAnsi="Times New Roman" w:cs="Times New Roman"/>
                <w:sz w:val="24"/>
                <w:szCs w:val="24"/>
              </w:rPr>
              <w:t>40</w:t>
            </w:r>
          </w:p>
        </w:tc>
        <w:tc>
          <w:tcPr>
            <w:tcW w:w="278" w:type="pct"/>
            <w:tcBorders>
              <w:top w:val="single" w:sz="4" w:space="0" w:color="auto"/>
              <w:left w:val="single" w:sz="4" w:space="0" w:color="auto"/>
              <w:bottom w:val="single" w:sz="4" w:space="0" w:color="auto"/>
              <w:right w:val="single" w:sz="4" w:space="0" w:color="auto"/>
            </w:tcBorders>
            <w:vAlign w:val="center"/>
          </w:tcPr>
          <w:p w14:paraId="5A470668"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77</w:t>
            </w:r>
          </w:p>
        </w:tc>
        <w:tc>
          <w:tcPr>
            <w:tcW w:w="278" w:type="pct"/>
            <w:tcBorders>
              <w:top w:val="single" w:sz="4" w:space="0" w:color="auto"/>
              <w:left w:val="single" w:sz="4" w:space="0" w:color="auto"/>
              <w:bottom w:val="single" w:sz="4" w:space="0" w:color="auto"/>
              <w:right w:val="single" w:sz="4" w:space="0" w:color="auto"/>
            </w:tcBorders>
            <w:vAlign w:val="center"/>
          </w:tcPr>
          <w:p w14:paraId="5A470669"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18</w:t>
            </w:r>
          </w:p>
        </w:tc>
        <w:tc>
          <w:tcPr>
            <w:tcW w:w="278" w:type="pct"/>
            <w:tcBorders>
              <w:top w:val="single" w:sz="4" w:space="0" w:color="auto"/>
              <w:left w:val="single" w:sz="4" w:space="0" w:color="auto"/>
              <w:bottom w:val="single" w:sz="4" w:space="0" w:color="auto"/>
              <w:right w:val="single" w:sz="4" w:space="0" w:color="auto"/>
            </w:tcBorders>
            <w:vAlign w:val="center"/>
          </w:tcPr>
          <w:p w14:paraId="5A47066A"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32</w:t>
            </w:r>
          </w:p>
        </w:tc>
        <w:tc>
          <w:tcPr>
            <w:tcW w:w="318" w:type="pct"/>
            <w:tcBorders>
              <w:top w:val="single" w:sz="4" w:space="0" w:color="auto"/>
              <w:left w:val="single" w:sz="4" w:space="0" w:color="auto"/>
              <w:bottom w:val="single" w:sz="4" w:space="0" w:color="auto"/>
              <w:right w:val="single" w:sz="4" w:space="0" w:color="auto"/>
            </w:tcBorders>
            <w:vAlign w:val="center"/>
          </w:tcPr>
          <w:p w14:paraId="5A47066B" w14:textId="77777777" w:rsidR="00E277BD" w:rsidRPr="00113BCD" w:rsidRDefault="00E277BD" w:rsidP="008D5671">
            <w:pPr>
              <w:jc w:val="center"/>
              <w:rPr>
                <w:rFonts w:ascii="Times New Roman" w:hAnsi="Times New Roman" w:cs="Times New Roman"/>
                <w:sz w:val="24"/>
                <w:szCs w:val="24"/>
              </w:rPr>
            </w:pPr>
            <w:r>
              <w:rPr>
                <w:rFonts w:ascii="Times New Roman" w:hAnsi="Times New Roman" w:cs="Times New Roman"/>
                <w:sz w:val="24"/>
                <w:szCs w:val="24"/>
              </w:rPr>
              <w:t>16</w:t>
            </w:r>
          </w:p>
        </w:tc>
      </w:tr>
    </w:tbl>
    <w:p w14:paraId="5A47066D" w14:textId="77777777" w:rsidR="009F6D95" w:rsidRPr="007E36BE" w:rsidRDefault="009F6D95" w:rsidP="009F6D95">
      <w:pPr>
        <w:spacing w:after="240" w:line="480" w:lineRule="auto"/>
        <w:jc w:val="both"/>
        <w:rPr>
          <w:rFonts w:ascii="Times New Roman" w:hAnsi="Times New Roman" w:cs="Times New Roman"/>
          <w:sz w:val="24"/>
          <w:szCs w:val="24"/>
        </w:rPr>
      </w:pPr>
      <w:r w:rsidRPr="000B47A5">
        <w:rPr>
          <w:rFonts w:ascii="Times New Roman" w:eastAsia="Times New Roman" w:hAnsi="Times New Roman" w:cs="Times New Roman"/>
          <w:bCs/>
          <w:sz w:val="24"/>
          <w:szCs w:val="24"/>
        </w:rPr>
        <w:t>Source:</w:t>
      </w:r>
      <w:r w:rsidRPr="000B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Field Survey, April </w:t>
      </w:r>
      <w:r w:rsidRPr="000B47A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5A47066E" w14:textId="057C379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The frequency distribution in </w:t>
      </w:r>
      <w:r w:rsidRPr="004F75D5">
        <w:rPr>
          <w:rFonts w:ascii="Times New Roman" w:eastAsia="Times New Roman" w:hAnsi="Times New Roman" w:cs="Times New Roman"/>
          <w:bCs/>
          <w:sz w:val="24"/>
          <w:szCs w:val="24"/>
        </w:rPr>
        <w:t xml:space="preserve">Table </w:t>
      </w:r>
      <w:r w:rsidR="00C5080C">
        <w:rPr>
          <w:rFonts w:ascii="Times New Roman" w:eastAsia="Times New Roman" w:hAnsi="Times New Roman" w:cs="Times New Roman"/>
          <w:bCs/>
          <w:sz w:val="24"/>
          <w:szCs w:val="24"/>
        </w:rPr>
        <w:t>2</w:t>
      </w:r>
      <w:r w:rsidRPr="004F75D5">
        <w:rPr>
          <w:rFonts w:ascii="Times New Roman" w:eastAsia="Times New Roman" w:hAnsi="Times New Roman" w:cs="Times New Roman"/>
          <w:sz w:val="24"/>
          <w:szCs w:val="24"/>
        </w:rPr>
        <w:t xml:space="preserve"> offers </w:t>
      </w:r>
      <w:r w:rsidR="00DA13F5">
        <w:rPr>
          <w:rFonts w:ascii="Times New Roman" w:eastAsia="Times New Roman" w:hAnsi="Times New Roman" w:cs="Times New Roman"/>
          <w:sz w:val="24"/>
          <w:szCs w:val="24"/>
        </w:rPr>
        <w:t>useful hints on</w:t>
      </w:r>
      <w:r w:rsidRPr="004F75D5">
        <w:rPr>
          <w:rFonts w:ascii="Times New Roman" w:eastAsia="Times New Roman" w:hAnsi="Times New Roman" w:cs="Times New Roman"/>
          <w:sz w:val="24"/>
          <w:szCs w:val="24"/>
        </w:rPr>
        <w:t xml:space="preserve"> how respondents perceive corporate performance, operational risks, and liquidity risks within their firms. Regarding </w:t>
      </w:r>
      <w:r w:rsidRPr="004F75D5">
        <w:rPr>
          <w:rFonts w:ascii="Times New Roman" w:eastAsia="Times New Roman" w:hAnsi="Times New Roman" w:cs="Times New Roman"/>
          <w:bCs/>
          <w:sz w:val="24"/>
          <w:szCs w:val="24"/>
        </w:rPr>
        <w:t>corporate performance</w:t>
      </w:r>
      <w:r w:rsidRPr="004F75D5">
        <w:rPr>
          <w:rFonts w:ascii="Times New Roman" w:eastAsia="Times New Roman" w:hAnsi="Times New Roman" w:cs="Times New Roman"/>
          <w:sz w:val="24"/>
          <w:szCs w:val="24"/>
        </w:rPr>
        <w:t>, responses show mixed views. For instance, on whether firms consistently achieved performance targets over the past three years, a relatively low number of respondents strongly agreed (22) or agreed (34), while a larger portion disagreed (64) or strongly disagreed (45). This suggests a notable level of dissatisfaction or underperformance. Similarly, when asked about market share growth, 35 respondents strongly agreed and 24 agreed, but 46 respondents each disagreed and strongly disagreed, highlighting uncertainty or inconsistency in market expansion. Perceptions about maintaining a competitive advantage were also mixed, with only 61 respondents agreeing or strongly agreeing, while a larger number (94) expressed disagreement, suggesting challenges in sustaining an edge in the industry. For achieving business objectives, only 59 respondents agreed or strongly agreed, compared to 106 who disagreed or strongly disagreed, indicating a general sentiment that objectives—both financial and non-financial—may not have been fully met.</w:t>
      </w:r>
    </w:p>
    <w:p w14:paraId="5A47066F" w14:textId="7777777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Responses under </w:t>
      </w:r>
      <w:r w:rsidRPr="004F75D5">
        <w:rPr>
          <w:rFonts w:ascii="Times New Roman" w:eastAsia="Times New Roman" w:hAnsi="Times New Roman" w:cs="Times New Roman"/>
          <w:bCs/>
          <w:sz w:val="24"/>
          <w:szCs w:val="24"/>
        </w:rPr>
        <w:t>operational risks</w:t>
      </w:r>
      <w:r w:rsidRPr="004F75D5">
        <w:rPr>
          <w:rFonts w:ascii="Times New Roman" w:eastAsia="Times New Roman" w:hAnsi="Times New Roman" w:cs="Times New Roman"/>
          <w:sz w:val="24"/>
          <w:szCs w:val="24"/>
        </w:rPr>
        <w:t xml:space="preserve"> indicate that such risks are perceived as a significant issue. A majority of respondents acknowledged that inadequate internal processes have disrupted operations, with 59 strongly agreeing and 62 agreeing. System failures leading to delays also received strong agreement from 67 and agreement from 44, suggesting this is a common </w:t>
      </w:r>
      <w:r w:rsidRPr="004F75D5">
        <w:rPr>
          <w:rFonts w:ascii="Times New Roman" w:eastAsia="Times New Roman" w:hAnsi="Times New Roman" w:cs="Times New Roman"/>
          <w:sz w:val="24"/>
          <w:szCs w:val="24"/>
        </w:rPr>
        <w:lastRenderedPageBreak/>
        <w:t>problem. The absence of standard procedures also stood out, with 36 strongly agreeing and 78 agreeing, pointing to inefficiencies rooted in operational structure. Additionally, 103 respondents acknowledged that operational risks have affected product or service quality, which implies that such risks have tangible impacts on firm output.</w:t>
      </w:r>
    </w:p>
    <w:p w14:paraId="5A470670" w14:textId="77777777" w:rsidR="00E16FD3" w:rsidRPr="004F75D5" w:rsidRDefault="00E16FD3" w:rsidP="00E16FD3">
      <w:pPr>
        <w:spacing w:after="120" w:line="276" w:lineRule="auto"/>
        <w:jc w:val="both"/>
        <w:rPr>
          <w:rFonts w:ascii="Times New Roman" w:eastAsia="Times New Roman" w:hAnsi="Times New Roman" w:cs="Times New Roman"/>
          <w:sz w:val="24"/>
          <w:szCs w:val="24"/>
        </w:rPr>
      </w:pPr>
      <w:r w:rsidRPr="004F75D5">
        <w:rPr>
          <w:rFonts w:ascii="Times New Roman" w:eastAsia="Times New Roman" w:hAnsi="Times New Roman" w:cs="Times New Roman"/>
          <w:sz w:val="24"/>
          <w:szCs w:val="24"/>
        </w:rPr>
        <w:t xml:space="preserve">In the </w:t>
      </w:r>
      <w:r w:rsidRPr="004F75D5">
        <w:rPr>
          <w:rFonts w:ascii="Times New Roman" w:eastAsia="Times New Roman" w:hAnsi="Times New Roman" w:cs="Times New Roman"/>
          <w:bCs/>
          <w:sz w:val="24"/>
          <w:szCs w:val="24"/>
        </w:rPr>
        <w:t>liquidity risks</w:t>
      </w:r>
      <w:r w:rsidRPr="004F75D5">
        <w:rPr>
          <w:rFonts w:ascii="Times New Roman" w:eastAsia="Times New Roman" w:hAnsi="Times New Roman" w:cs="Times New Roman"/>
          <w:sz w:val="24"/>
          <w:szCs w:val="24"/>
        </w:rPr>
        <w:t xml:space="preserve"> section, responses reflect a high level of concern. For instance, 50 respondents strongly agreed and 81 agreed that their firms struggle to meet short-term financial obligations, indicating serious liquidity pressure. The restriction of operations due to lack of immediate funds received even stronger affirmation, with 96 strongly agreeing and 35 agreeing. Challenges with maintaining cash flow were also acknowledged by a majority—110 respondents either strongly agreed or agreed—while only 53 disagreed or strongly disagreed. Similarly, liquidity issues hindering profitable opportunities had 117 respondents in agreement, suggesting that poor liquidity is not only a survival issue but also a missed-growth opportunity.</w:t>
      </w:r>
    </w:p>
    <w:p w14:paraId="5A470671" w14:textId="77777777" w:rsidR="00895824"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t>4.2 Test of Hypotheses</w:t>
      </w:r>
    </w:p>
    <w:p w14:paraId="5A470672" w14:textId="77777777" w:rsidR="00002804" w:rsidRPr="00957BEB" w:rsidRDefault="00002804" w:rsidP="00002804">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H01. Operational risks do not significantly influence the corporate performance of selected small scale firms in Nigeria.</w:t>
      </w:r>
    </w:p>
    <w:p w14:paraId="5A470673" w14:textId="77777777" w:rsidR="00895824" w:rsidRPr="00957BEB" w:rsidRDefault="00002804" w:rsidP="00002804">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H02. Liquidity risks do not significantly influence the corporate performance of selected small scale firms in Nigeria.</w:t>
      </w:r>
    </w:p>
    <w:p w14:paraId="5A470674" w14:textId="41DF7DAC" w:rsidR="00895824" w:rsidRDefault="00AC5B4E" w:rsidP="00957BEB">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Table </w:t>
      </w:r>
      <w:r w:rsidR="00C5080C">
        <w:rPr>
          <w:rFonts w:ascii="Times New Roman" w:eastAsia="Times New Roman" w:hAnsi="Times New Roman" w:cs="Times New Roman"/>
          <w:sz w:val="24"/>
          <w:szCs w:val="24"/>
        </w:rPr>
        <w:t>3</w:t>
      </w:r>
      <w:r>
        <w:rPr>
          <w:rFonts w:ascii="Times New Roman" w:eastAsia="Times New Roman" w:hAnsi="Times New Roman" w:cs="Times New Roman"/>
          <w:sz w:val="24"/>
          <w:szCs w:val="24"/>
        </w:rPr>
        <w:t xml:space="preserve"> below shows the result of the test of hypotheses. </w:t>
      </w:r>
    </w:p>
    <w:p w14:paraId="5A470675" w14:textId="2D4A9658" w:rsidR="00C75BA3" w:rsidRPr="00751461" w:rsidRDefault="00C75BA3" w:rsidP="00C75BA3">
      <w:pPr>
        <w:jc w:val="both"/>
        <w:rPr>
          <w:rFonts w:ascii="Times New Roman" w:hAnsi="Times New Roman" w:cs="Times New Roman"/>
          <w:b/>
          <w:sz w:val="24"/>
          <w:szCs w:val="24"/>
        </w:rPr>
      </w:pPr>
      <w:r>
        <w:rPr>
          <w:rFonts w:ascii="Times New Roman" w:hAnsi="Times New Roman" w:cs="Times New Roman"/>
          <w:b/>
          <w:sz w:val="24"/>
          <w:szCs w:val="24"/>
        </w:rPr>
        <w:t xml:space="preserve">Table </w:t>
      </w:r>
      <w:r w:rsidR="00C5080C">
        <w:rPr>
          <w:rFonts w:ascii="Times New Roman" w:hAnsi="Times New Roman" w:cs="Times New Roman"/>
          <w:b/>
          <w:sz w:val="24"/>
          <w:szCs w:val="24"/>
        </w:rPr>
        <w:t>3</w:t>
      </w:r>
      <w:r>
        <w:rPr>
          <w:rFonts w:ascii="Times New Roman" w:hAnsi="Times New Roman" w:cs="Times New Roman"/>
          <w:b/>
          <w:sz w:val="24"/>
          <w:szCs w:val="24"/>
        </w:rPr>
        <w:t xml:space="preserve"> Test of Hypotheses</w:t>
      </w:r>
    </w:p>
    <w:p w14:paraId="5A470676" w14:textId="77777777" w:rsidR="007656DB" w:rsidRDefault="007656DB" w:rsidP="007656DB">
      <w:pPr>
        <w:rPr>
          <w:rFonts w:ascii="Times New Roman" w:hAnsi="Times New Roman" w:cs="Times New Roman"/>
          <w:color w:val="auto"/>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7656DB" w14:paraId="5A470678" w14:textId="77777777" w:rsidTr="007656DB">
        <w:trPr>
          <w:cantSplit/>
        </w:trPr>
        <w:tc>
          <w:tcPr>
            <w:tcW w:w="5843" w:type="dxa"/>
            <w:gridSpan w:val="5"/>
            <w:tcBorders>
              <w:top w:val="nil"/>
              <w:left w:val="nil"/>
              <w:bottom w:val="nil"/>
              <w:right w:val="nil"/>
            </w:tcBorders>
            <w:shd w:val="clear" w:color="auto" w:fill="FFFFFF"/>
            <w:vAlign w:val="center"/>
          </w:tcPr>
          <w:p w14:paraId="5A470677" w14:textId="77777777" w:rsidR="007656DB" w:rsidRDefault="007656DB">
            <w:pPr>
              <w:spacing w:line="320" w:lineRule="atLeast"/>
              <w:ind w:left="60" w:right="60"/>
              <w:jc w:val="center"/>
              <w:rPr>
                <w:rFonts w:ascii="Arial" w:hAnsi="Arial" w:cs="Arial"/>
                <w:color w:val="010205"/>
                <w:sz w:val="22"/>
                <w:szCs w:val="22"/>
              </w:rPr>
            </w:pPr>
            <w:r>
              <w:rPr>
                <w:rFonts w:ascii="Arial" w:hAnsi="Arial" w:cs="Arial"/>
                <w:b/>
                <w:bCs/>
                <w:color w:val="010205"/>
                <w:sz w:val="22"/>
                <w:szCs w:val="22"/>
              </w:rPr>
              <w:t>Model Summary</w:t>
            </w:r>
          </w:p>
        </w:tc>
      </w:tr>
      <w:tr w:rsidR="007656DB" w14:paraId="5A47067E" w14:textId="77777777" w:rsidTr="007656DB">
        <w:trPr>
          <w:cantSplit/>
        </w:trPr>
        <w:tc>
          <w:tcPr>
            <w:tcW w:w="795" w:type="dxa"/>
            <w:tcBorders>
              <w:top w:val="nil"/>
              <w:left w:val="nil"/>
              <w:bottom w:val="single" w:sz="8" w:space="0" w:color="152935"/>
              <w:right w:val="nil"/>
            </w:tcBorders>
            <w:shd w:val="clear" w:color="auto" w:fill="FFFFFF"/>
            <w:vAlign w:val="bottom"/>
          </w:tcPr>
          <w:p w14:paraId="5A470679"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024" w:type="dxa"/>
            <w:tcBorders>
              <w:top w:val="nil"/>
              <w:left w:val="nil"/>
              <w:bottom w:val="single" w:sz="8" w:space="0" w:color="152935"/>
              <w:right w:val="single" w:sz="8" w:space="0" w:color="E0E0E0"/>
            </w:tcBorders>
            <w:shd w:val="clear" w:color="auto" w:fill="FFFFFF"/>
            <w:vAlign w:val="bottom"/>
          </w:tcPr>
          <w:p w14:paraId="5A47067A"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R</w:t>
            </w:r>
          </w:p>
        </w:tc>
        <w:tc>
          <w:tcPr>
            <w:tcW w:w="1086" w:type="dxa"/>
            <w:tcBorders>
              <w:top w:val="nil"/>
              <w:left w:val="single" w:sz="8" w:space="0" w:color="E0E0E0"/>
              <w:bottom w:val="single" w:sz="8" w:space="0" w:color="152935"/>
              <w:right w:val="single" w:sz="8" w:space="0" w:color="E0E0E0"/>
            </w:tcBorders>
            <w:shd w:val="clear" w:color="auto" w:fill="FFFFFF"/>
            <w:vAlign w:val="bottom"/>
          </w:tcPr>
          <w:p w14:paraId="5A47067B"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R Square</w:t>
            </w:r>
          </w:p>
        </w:tc>
        <w:tc>
          <w:tcPr>
            <w:tcW w:w="1469" w:type="dxa"/>
            <w:tcBorders>
              <w:top w:val="nil"/>
              <w:left w:val="single" w:sz="8" w:space="0" w:color="E0E0E0"/>
              <w:bottom w:val="single" w:sz="8" w:space="0" w:color="152935"/>
              <w:right w:val="single" w:sz="8" w:space="0" w:color="E0E0E0"/>
            </w:tcBorders>
            <w:shd w:val="clear" w:color="auto" w:fill="FFFFFF"/>
            <w:vAlign w:val="bottom"/>
          </w:tcPr>
          <w:p w14:paraId="5A47067C"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Adjusted R Square</w:t>
            </w:r>
          </w:p>
        </w:tc>
        <w:tc>
          <w:tcPr>
            <w:tcW w:w="1469" w:type="dxa"/>
            <w:tcBorders>
              <w:top w:val="nil"/>
              <w:left w:val="single" w:sz="8" w:space="0" w:color="E0E0E0"/>
              <w:bottom w:val="single" w:sz="8" w:space="0" w:color="152935"/>
              <w:right w:val="nil"/>
            </w:tcBorders>
            <w:shd w:val="clear" w:color="auto" w:fill="FFFFFF"/>
            <w:vAlign w:val="bottom"/>
          </w:tcPr>
          <w:p w14:paraId="5A47067D"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Std. Error of the Estimate</w:t>
            </w:r>
          </w:p>
        </w:tc>
      </w:tr>
      <w:tr w:rsidR="007656DB" w14:paraId="5A470684" w14:textId="77777777" w:rsidTr="007656DB">
        <w:trPr>
          <w:cantSplit/>
        </w:trPr>
        <w:tc>
          <w:tcPr>
            <w:tcW w:w="795" w:type="dxa"/>
            <w:tcBorders>
              <w:top w:val="single" w:sz="8" w:space="0" w:color="152935"/>
              <w:left w:val="nil"/>
              <w:bottom w:val="single" w:sz="8" w:space="0" w:color="152935"/>
              <w:right w:val="nil"/>
            </w:tcBorders>
            <w:shd w:val="clear" w:color="auto" w:fill="E0E0E0"/>
          </w:tcPr>
          <w:p w14:paraId="5A47067F"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024" w:type="dxa"/>
            <w:tcBorders>
              <w:top w:val="single" w:sz="8" w:space="0" w:color="152935"/>
              <w:left w:val="nil"/>
              <w:bottom w:val="single" w:sz="8" w:space="0" w:color="152935"/>
              <w:right w:val="single" w:sz="8" w:space="0" w:color="E0E0E0"/>
            </w:tcBorders>
            <w:shd w:val="clear" w:color="auto" w:fill="FFFFFF"/>
          </w:tcPr>
          <w:p w14:paraId="5A470680"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.420</w:t>
            </w:r>
            <w:r>
              <w:rPr>
                <w:rFonts w:ascii="Arial" w:hAnsi="Arial" w:cs="Arial"/>
                <w:color w:val="010205"/>
                <w:sz w:val="18"/>
                <w:szCs w:val="18"/>
                <w:vertAlign w:val="superscript"/>
              </w:rPr>
              <w:t>a</w:t>
            </w:r>
          </w:p>
        </w:tc>
        <w:tc>
          <w:tcPr>
            <w:tcW w:w="1086" w:type="dxa"/>
            <w:tcBorders>
              <w:top w:val="single" w:sz="8" w:space="0" w:color="152935"/>
              <w:left w:val="single" w:sz="8" w:space="0" w:color="E0E0E0"/>
              <w:bottom w:val="single" w:sz="8" w:space="0" w:color="152935"/>
              <w:right w:val="single" w:sz="8" w:space="0" w:color="E0E0E0"/>
            </w:tcBorders>
            <w:shd w:val="clear" w:color="auto" w:fill="FFFFFF"/>
          </w:tcPr>
          <w:p w14:paraId="5A47068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.177</w:t>
            </w:r>
          </w:p>
        </w:tc>
        <w:tc>
          <w:tcPr>
            <w:tcW w:w="1469" w:type="dxa"/>
            <w:tcBorders>
              <w:top w:val="single" w:sz="8" w:space="0" w:color="152935"/>
              <w:left w:val="single" w:sz="8" w:space="0" w:color="E0E0E0"/>
              <w:bottom w:val="single" w:sz="8" w:space="0" w:color="152935"/>
              <w:right w:val="single" w:sz="8" w:space="0" w:color="E0E0E0"/>
            </w:tcBorders>
            <w:shd w:val="clear" w:color="auto" w:fill="FFFFFF"/>
          </w:tcPr>
          <w:p w14:paraId="5A47068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.168</w:t>
            </w:r>
          </w:p>
        </w:tc>
        <w:tc>
          <w:tcPr>
            <w:tcW w:w="1469" w:type="dxa"/>
            <w:tcBorders>
              <w:top w:val="single" w:sz="8" w:space="0" w:color="152935"/>
              <w:left w:val="single" w:sz="8" w:space="0" w:color="E0E0E0"/>
              <w:bottom w:val="single" w:sz="8" w:space="0" w:color="152935"/>
              <w:right w:val="nil"/>
            </w:tcBorders>
            <w:shd w:val="clear" w:color="auto" w:fill="FFFFFF"/>
          </w:tcPr>
          <w:p w14:paraId="5A47068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3.36002</w:t>
            </w:r>
          </w:p>
        </w:tc>
      </w:tr>
      <w:tr w:rsidR="007656DB" w14:paraId="5A470686" w14:textId="77777777" w:rsidTr="007656DB">
        <w:trPr>
          <w:cantSplit/>
        </w:trPr>
        <w:tc>
          <w:tcPr>
            <w:tcW w:w="5843" w:type="dxa"/>
            <w:gridSpan w:val="5"/>
            <w:tcBorders>
              <w:top w:val="nil"/>
              <w:left w:val="nil"/>
              <w:bottom w:val="nil"/>
              <w:right w:val="nil"/>
            </w:tcBorders>
            <w:shd w:val="clear" w:color="auto" w:fill="FFFFFF"/>
          </w:tcPr>
          <w:p w14:paraId="5A470685"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Predictors: (Constant), Liquidity Risks, Operational Risks</w:t>
            </w:r>
          </w:p>
        </w:tc>
      </w:tr>
    </w:tbl>
    <w:p w14:paraId="5A470687" w14:textId="77777777" w:rsidR="007656DB" w:rsidRDefault="007656DB" w:rsidP="007656DB">
      <w:pPr>
        <w:rPr>
          <w:rFonts w:ascii="Times New Roman" w:hAnsi="Times New Roman" w:cs="Times New Roman"/>
          <w:color w:val="auto"/>
          <w:sz w:val="24"/>
          <w:szCs w:val="24"/>
        </w:rPr>
      </w:pPr>
    </w:p>
    <w:tbl>
      <w:tblPr>
        <w:tblW w:w="87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521"/>
        <w:gridCol w:w="948"/>
        <w:gridCol w:w="383"/>
        <w:gridCol w:w="642"/>
        <w:gridCol w:w="689"/>
        <w:gridCol w:w="719"/>
        <w:gridCol w:w="750"/>
        <w:gridCol w:w="275"/>
        <w:gridCol w:w="750"/>
        <w:gridCol w:w="275"/>
        <w:gridCol w:w="750"/>
      </w:tblGrid>
      <w:tr w:rsidR="007656DB" w14:paraId="5A470689" w14:textId="77777777" w:rsidTr="007656DB">
        <w:trPr>
          <w:gridAfter w:val="1"/>
          <w:wAfter w:w="750" w:type="dxa"/>
          <w:cantSplit/>
        </w:trPr>
        <w:tc>
          <w:tcPr>
            <w:tcW w:w="7969" w:type="dxa"/>
            <w:gridSpan w:val="12"/>
            <w:tcBorders>
              <w:top w:val="nil"/>
              <w:left w:val="nil"/>
              <w:bottom w:val="nil"/>
              <w:right w:val="nil"/>
            </w:tcBorders>
            <w:shd w:val="clear" w:color="auto" w:fill="FFFFFF"/>
            <w:vAlign w:val="center"/>
          </w:tcPr>
          <w:p w14:paraId="5A470688" w14:textId="77777777" w:rsidR="007656DB" w:rsidRDefault="007656DB">
            <w:pPr>
              <w:spacing w:line="320" w:lineRule="atLeast"/>
              <w:ind w:left="60" w:right="60"/>
              <w:jc w:val="center"/>
              <w:rPr>
                <w:rFonts w:ascii="Arial" w:hAnsi="Arial" w:cs="Arial"/>
                <w:color w:val="010205"/>
                <w:sz w:val="22"/>
                <w:szCs w:val="22"/>
              </w:rPr>
            </w:pPr>
            <w:proofErr w:type="spellStart"/>
            <w:r>
              <w:rPr>
                <w:rFonts w:ascii="Arial" w:hAnsi="Arial" w:cs="Arial"/>
                <w:b/>
                <w:bCs/>
                <w:color w:val="010205"/>
                <w:sz w:val="22"/>
                <w:szCs w:val="22"/>
              </w:rPr>
              <w:t>ANOVA</w:t>
            </w:r>
            <w:r>
              <w:rPr>
                <w:rFonts w:ascii="Arial" w:hAnsi="Arial" w:cs="Arial"/>
                <w:b/>
                <w:bCs/>
                <w:color w:val="010205"/>
                <w:sz w:val="22"/>
                <w:szCs w:val="22"/>
                <w:vertAlign w:val="superscript"/>
              </w:rPr>
              <w:t>a</w:t>
            </w:r>
            <w:proofErr w:type="spellEnd"/>
          </w:p>
        </w:tc>
      </w:tr>
      <w:tr w:rsidR="007656DB" w14:paraId="5A470690" w14:textId="77777777" w:rsidTr="007656DB">
        <w:trPr>
          <w:gridAfter w:val="1"/>
          <w:wAfter w:w="750" w:type="dxa"/>
          <w:cantSplit/>
        </w:trPr>
        <w:tc>
          <w:tcPr>
            <w:tcW w:w="2017" w:type="dxa"/>
            <w:gridSpan w:val="2"/>
            <w:tcBorders>
              <w:top w:val="nil"/>
              <w:left w:val="nil"/>
              <w:bottom w:val="single" w:sz="8" w:space="0" w:color="152935"/>
              <w:right w:val="nil"/>
            </w:tcBorders>
            <w:shd w:val="clear" w:color="auto" w:fill="FFFFFF"/>
            <w:vAlign w:val="bottom"/>
          </w:tcPr>
          <w:p w14:paraId="5A47068A"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1469" w:type="dxa"/>
            <w:gridSpan w:val="2"/>
            <w:tcBorders>
              <w:top w:val="nil"/>
              <w:left w:val="nil"/>
              <w:bottom w:val="single" w:sz="8" w:space="0" w:color="152935"/>
              <w:right w:val="single" w:sz="8" w:space="0" w:color="E0E0E0"/>
            </w:tcBorders>
            <w:shd w:val="clear" w:color="auto" w:fill="FFFFFF"/>
            <w:vAlign w:val="bottom"/>
          </w:tcPr>
          <w:p w14:paraId="5A47068B"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Sum of Squares</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A47068C"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df</w:t>
            </w:r>
          </w:p>
        </w:tc>
        <w:tc>
          <w:tcPr>
            <w:tcW w:w="1408" w:type="dxa"/>
            <w:gridSpan w:val="2"/>
            <w:tcBorders>
              <w:top w:val="nil"/>
              <w:left w:val="single" w:sz="8" w:space="0" w:color="E0E0E0"/>
              <w:bottom w:val="single" w:sz="8" w:space="0" w:color="152935"/>
              <w:right w:val="single" w:sz="8" w:space="0" w:color="E0E0E0"/>
            </w:tcBorders>
            <w:shd w:val="clear" w:color="auto" w:fill="FFFFFF"/>
            <w:vAlign w:val="bottom"/>
          </w:tcPr>
          <w:p w14:paraId="5A47068D"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Mean Square</w:t>
            </w:r>
          </w:p>
        </w:tc>
        <w:tc>
          <w:tcPr>
            <w:tcW w:w="1025" w:type="dxa"/>
            <w:gridSpan w:val="2"/>
            <w:tcBorders>
              <w:top w:val="nil"/>
              <w:left w:val="single" w:sz="8" w:space="0" w:color="E0E0E0"/>
              <w:bottom w:val="single" w:sz="8" w:space="0" w:color="152935"/>
              <w:right w:val="single" w:sz="8" w:space="0" w:color="E0E0E0"/>
            </w:tcBorders>
            <w:shd w:val="clear" w:color="auto" w:fill="FFFFFF"/>
            <w:vAlign w:val="bottom"/>
          </w:tcPr>
          <w:p w14:paraId="5A47068E"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F</w:t>
            </w:r>
          </w:p>
        </w:tc>
        <w:tc>
          <w:tcPr>
            <w:tcW w:w="1025" w:type="dxa"/>
            <w:gridSpan w:val="2"/>
            <w:tcBorders>
              <w:top w:val="nil"/>
              <w:left w:val="single" w:sz="8" w:space="0" w:color="E0E0E0"/>
              <w:bottom w:val="single" w:sz="8" w:space="0" w:color="152935"/>
              <w:right w:val="nil"/>
            </w:tcBorders>
            <w:shd w:val="clear" w:color="auto" w:fill="FFFFFF"/>
            <w:vAlign w:val="bottom"/>
          </w:tcPr>
          <w:p w14:paraId="5A47068F"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7656DB" w14:paraId="5A470698" w14:textId="77777777" w:rsidTr="007656DB">
        <w:trPr>
          <w:gridAfter w:val="1"/>
          <w:wAfter w:w="750" w:type="dxa"/>
          <w:cantSplit/>
        </w:trPr>
        <w:tc>
          <w:tcPr>
            <w:tcW w:w="733" w:type="dxa"/>
            <w:vMerge w:val="restart"/>
            <w:tcBorders>
              <w:top w:val="single" w:sz="8" w:space="0" w:color="152935"/>
              <w:left w:val="nil"/>
              <w:bottom w:val="single" w:sz="8" w:space="0" w:color="152935"/>
              <w:right w:val="nil"/>
            </w:tcBorders>
            <w:shd w:val="clear" w:color="auto" w:fill="E0E0E0"/>
          </w:tcPr>
          <w:p w14:paraId="5A470691"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284" w:type="dxa"/>
            <w:tcBorders>
              <w:top w:val="single" w:sz="8" w:space="0" w:color="152935"/>
              <w:left w:val="nil"/>
              <w:bottom w:val="single" w:sz="8" w:space="0" w:color="AEAEAE"/>
              <w:right w:val="nil"/>
            </w:tcBorders>
            <w:shd w:val="clear" w:color="auto" w:fill="E0E0E0"/>
          </w:tcPr>
          <w:p w14:paraId="5A470692"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Regression</w:t>
            </w:r>
          </w:p>
        </w:tc>
        <w:tc>
          <w:tcPr>
            <w:tcW w:w="1469" w:type="dxa"/>
            <w:gridSpan w:val="2"/>
            <w:tcBorders>
              <w:top w:val="single" w:sz="8" w:space="0" w:color="152935"/>
              <w:left w:val="nil"/>
              <w:bottom w:val="single" w:sz="8" w:space="0" w:color="AEAEAE"/>
              <w:right w:val="single" w:sz="8" w:space="0" w:color="E0E0E0"/>
            </w:tcBorders>
            <w:shd w:val="clear" w:color="auto" w:fill="FFFFFF"/>
          </w:tcPr>
          <w:p w14:paraId="5A47069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436.281</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4"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w:t>
            </w:r>
          </w:p>
        </w:tc>
        <w:tc>
          <w:tcPr>
            <w:tcW w:w="1408"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5"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218.140</w:t>
            </w: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96"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19.322</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5A470697"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r>
              <w:rPr>
                <w:rFonts w:ascii="Arial" w:hAnsi="Arial" w:cs="Arial"/>
                <w:color w:val="010205"/>
                <w:sz w:val="18"/>
                <w:szCs w:val="18"/>
                <w:vertAlign w:val="superscript"/>
              </w:rPr>
              <w:t>b</w:t>
            </w:r>
          </w:p>
        </w:tc>
      </w:tr>
      <w:tr w:rsidR="007656DB" w14:paraId="5A4706A0" w14:textId="77777777" w:rsidTr="007656DB">
        <w:trPr>
          <w:gridAfter w:val="1"/>
          <w:wAfter w:w="750" w:type="dxa"/>
          <w:cantSplit/>
        </w:trPr>
        <w:tc>
          <w:tcPr>
            <w:tcW w:w="733" w:type="dxa"/>
            <w:vMerge/>
            <w:tcBorders>
              <w:top w:val="single" w:sz="8" w:space="0" w:color="152935"/>
              <w:left w:val="nil"/>
              <w:bottom w:val="single" w:sz="8" w:space="0" w:color="152935"/>
              <w:right w:val="nil"/>
            </w:tcBorders>
            <w:shd w:val="clear" w:color="auto" w:fill="E0E0E0"/>
          </w:tcPr>
          <w:p w14:paraId="5A470699" w14:textId="77777777" w:rsidR="007656DB" w:rsidRDefault="007656DB">
            <w:pPr>
              <w:rPr>
                <w:rFonts w:ascii="Arial" w:hAnsi="Arial" w:cs="Arial"/>
                <w:color w:val="010205"/>
                <w:sz w:val="18"/>
                <w:szCs w:val="18"/>
              </w:rPr>
            </w:pPr>
          </w:p>
        </w:tc>
        <w:tc>
          <w:tcPr>
            <w:tcW w:w="1284" w:type="dxa"/>
            <w:tcBorders>
              <w:top w:val="single" w:sz="8" w:space="0" w:color="AEAEAE"/>
              <w:left w:val="nil"/>
              <w:bottom w:val="single" w:sz="8" w:space="0" w:color="AEAEAE"/>
              <w:right w:val="nil"/>
            </w:tcBorders>
            <w:shd w:val="clear" w:color="auto" w:fill="E0E0E0"/>
          </w:tcPr>
          <w:p w14:paraId="5A47069A"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Residual</w:t>
            </w:r>
          </w:p>
        </w:tc>
        <w:tc>
          <w:tcPr>
            <w:tcW w:w="1469" w:type="dxa"/>
            <w:gridSpan w:val="2"/>
            <w:tcBorders>
              <w:top w:val="single" w:sz="8" w:space="0" w:color="AEAEAE"/>
              <w:left w:val="nil"/>
              <w:bottom w:val="single" w:sz="8" w:space="0" w:color="AEAEAE"/>
              <w:right w:val="single" w:sz="8" w:space="0" w:color="E0E0E0"/>
            </w:tcBorders>
            <w:shd w:val="clear" w:color="auto" w:fill="FFFFFF"/>
          </w:tcPr>
          <w:p w14:paraId="5A47069B"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2032.156</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9C"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180</w:t>
            </w:r>
          </w:p>
        </w:tc>
        <w:tc>
          <w:tcPr>
            <w:tcW w:w="1408"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9D"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11.290</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vAlign w:val="center"/>
          </w:tcPr>
          <w:p w14:paraId="5A47069E"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AEAEAE"/>
              <w:right w:val="nil"/>
            </w:tcBorders>
            <w:shd w:val="clear" w:color="auto" w:fill="FFFFFF"/>
            <w:vAlign w:val="center"/>
          </w:tcPr>
          <w:p w14:paraId="5A47069F" w14:textId="77777777" w:rsidR="007656DB" w:rsidRDefault="007656DB">
            <w:pPr>
              <w:rPr>
                <w:rFonts w:ascii="Times New Roman" w:hAnsi="Times New Roman" w:cs="Times New Roman"/>
                <w:color w:val="auto"/>
                <w:sz w:val="24"/>
                <w:szCs w:val="24"/>
              </w:rPr>
            </w:pPr>
          </w:p>
        </w:tc>
      </w:tr>
      <w:tr w:rsidR="007656DB" w14:paraId="5A4706A8" w14:textId="77777777" w:rsidTr="007656DB">
        <w:trPr>
          <w:gridAfter w:val="1"/>
          <w:wAfter w:w="750" w:type="dxa"/>
          <w:cantSplit/>
        </w:trPr>
        <w:tc>
          <w:tcPr>
            <w:tcW w:w="733" w:type="dxa"/>
            <w:vMerge/>
            <w:tcBorders>
              <w:top w:val="single" w:sz="8" w:space="0" w:color="152935"/>
              <w:left w:val="nil"/>
              <w:bottom w:val="single" w:sz="8" w:space="0" w:color="152935"/>
              <w:right w:val="nil"/>
            </w:tcBorders>
            <w:shd w:val="clear" w:color="auto" w:fill="E0E0E0"/>
          </w:tcPr>
          <w:p w14:paraId="5A4706A1" w14:textId="77777777" w:rsidR="007656DB" w:rsidRDefault="007656DB">
            <w:pPr>
              <w:rPr>
                <w:rFonts w:ascii="Times New Roman" w:hAnsi="Times New Roman" w:cs="Times New Roman"/>
                <w:color w:val="auto"/>
                <w:sz w:val="24"/>
                <w:szCs w:val="24"/>
              </w:rPr>
            </w:pPr>
          </w:p>
        </w:tc>
        <w:tc>
          <w:tcPr>
            <w:tcW w:w="1284" w:type="dxa"/>
            <w:tcBorders>
              <w:top w:val="single" w:sz="8" w:space="0" w:color="AEAEAE"/>
              <w:left w:val="nil"/>
              <w:bottom w:val="single" w:sz="8" w:space="0" w:color="152935"/>
              <w:right w:val="nil"/>
            </w:tcBorders>
            <w:shd w:val="clear" w:color="auto" w:fill="E0E0E0"/>
          </w:tcPr>
          <w:p w14:paraId="5A4706A2"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Total</w:t>
            </w:r>
          </w:p>
        </w:tc>
        <w:tc>
          <w:tcPr>
            <w:tcW w:w="1469" w:type="dxa"/>
            <w:gridSpan w:val="2"/>
            <w:tcBorders>
              <w:top w:val="single" w:sz="8" w:space="0" w:color="AEAEAE"/>
              <w:left w:val="nil"/>
              <w:bottom w:val="single" w:sz="8" w:space="0" w:color="152935"/>
              <w:right w:val="single" w:sz="8" w:space="0" w:color="E0E0E0"/>
            </w:tcBorders>
            <w:shd w:val="clear" w:color="auto" w:fill="FFFFFF"/>
          </w:tcPr>
          <w:p w14:paraId="5A4706A3"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2468.437</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A4"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182</w:t>
            </w:r>
          </w:p>
        </w:tc>
        <w:tc>
          <w:tcPr>
            <w:tcW w:w="1408"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5A4706A5"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vAlign w:val="center"/>
          </w:tcPr>
          <w:p w14:paraId="5A4706A6"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AEAEAE"/>
              <w:left w:val="single" w:sz="8" w:space="0" w:color="E0E0E0"/>
              <w:bottom w:val="single" w:sz="8" w:space="0" w:color="152935"/>
              <w:right w:val="nil"/>
            </w:tcBorders>
            <w:shd w:val="clear" w:color="auto" w:fill="FFFFFF"/>
            <w:vAlign w:val="center"/>
          </w:tcPr>
          <w:p w14:paraId="5A4706A7" w14:textId="77777777" w:rsidR="007656DB" w:rsidRDefault="007656DB">
            <w:pPr>
              <w:rPr>
                <w:rFonts w:ascii="Times New Roman" w:hAnsi="Times New Roman" w:cs="Times New Roman"/>
                <w:color w:val="auto"/>
                <w:sz w:val="24"/>
                <w:szCs w:val="24"/>
              </w:rPr>
            </w:pPr>
          </w:p>
        </w:tc>
      </w:tr>
      <w:tr w:rsidR="007656DB" w14:paraId="5A4706AA" w14:textId="77777777" w:rsidTr="007656DB">
        <w:trPr>
          <w:gridAfter w:val="1"/>
          <w:wAfter w:w="750" w:type="dxa"/>
          <w:cantSplit/>
        </w:trPr>
        <w:tc>
          <w:tcPr>
            <w:tcW w:w="7969" w:type="dxa"/>
            <w:gridSpan w:val="12"/>
            <w:tcBorders>
              <w:top w:val="nil"/>
              <w:left w:val="nil"/>
              <w:bottom w:val="nil"/>
              <w:right w:val="nil"/>
            </w:tcBorders>
            <w:shd w:val="clear" w:color="auto" w:fill="FFFFFF"/>
          </w:tcPr>
          <w:p w14:paraId="5A4706A9"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Dependent Variable: Corporate Performance</w:t>
            </w:r>
          </w:p>
        </w:tc>
      </w:tr>
      <w:tr w:rsidR="007656DB" w14:paraId="5A4706AC" w14:textId="77777777" w:rsidTr="007656DB">
        <w:trPr>
          <w:gridAfter w:val="1"/>
          <w:wAfter w:w="750" w:type="dxa"/>
          <w:cantSplit/>
        </w:trPr>
        <w:tc>
          <w:tcPr>
            <w:tcW w:w="7969" w:type="dxa"/>
            <w:gridSpan w:val="12"/>
            <w:tcBorders>
              <w:top w:val="nil"/>
              <w:left w:val="nil"/>
              <w:bottom w:val="nil"/>
              <w:right w:val="nil"/>
            </w:tcBorders>
            <w:shd w:val="clear" w:color="auto" w:fill="FFFFFF"/>
          </w:tcPr>
          <w:p w14:paraId="5A4706AB"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b. Predictors: (Constant), Liquidity Risks, Operational Risks</w:t>
            </w:r>
          </w:p>
        </w:tc>
      </w:tr>
      <w:tr w:rsidR="007656DB" w14:paraId="5A4706AE" w14:textId="77777777" w:rsidTr="007656DB">
        <w:trPr>
          <w:cantSplit/>
        </w:trPr>
        <w:tc>
          <w:tcPr>
            <w:tcW w:w="8719" w:type="dxa"/>
            <w:gridSpan w:val="13"/>
            <w:tcBorders>
              <w:top w:val="nil"/>
              <w:left w:val="nil"/>
              <w:bottom w:val="nil"/>
              <w:right w:val="nil"/>
            </w:tcBorders>
            <w:shd w:val="clear" w:color="auto" w:fill="FFFFFF"/>
            <w:vAlign w:val="center"/>
          </w:tcPr>
          <w:p w14:paraId="5A4706AD" w14:textId="77777777" w:rsidR="007656DB" w:rsidRDefault="007656DB">
            <w:pPr>
              <w:spacing w:line="320" w:lineRule="atLeast"/>
              <w:ind w:left="60" w:right="60"/>
              <w:jc w:val="center"/>
              <w:rPr>
                <w:rFonts w:ascii="Arial" w:hAnsi="Arial" w:cs="Arial"/>
                <w:color w:val="010205"/>
                <w:sz w:val="22"/>
                <w:szCs w:val="22"/>
              </w:rPr>
            </w:pPr>
            <w:proofErr w:type="spellStart"/>
            <w:r>
              <w:rPr>
                <w:rFonts w:ascii="Arial" w:hAnsi="Arial" w:cs="Arial"/>
                <w:b/>
                <w:bCs/>
                <w:color w:val="010205"/>
                <w:sz w:val="22"/>
                <w:szCs w:val="22"/>
              </w:rPr>
              <w:t>Coefficients</w:t>
            </w:r>
            <w:r>
              <w:rPr>
                <w:rFonts w:ascii="Arial" w:hAnsi="Arial" w:cs="Arial"/>
                <w:b/>
                <w:bCs/>
                <w:color w:val="010205"/>
                <w:sz w:val="22"/>
                <w:szCs w:val="22"/>
                <w:vertAlign w:val="superscript"/>
              </w:rPr>
              <w:t>a</w:t>
            </w:r>
            <w:proofErr w:type="spellEnd"/>
          </w:p>
        </w:tc>
      </w:tr>
      <w:tr w:rsidR="007656DB" w14:paraId="5A4706B4" w14:textId="77777777" w:rsidTr="007656DB">
        <w:trPr>
          <w:cantSplit/>
        </w:trPr>
        <w:tc>
          <w:tcPr>
            <w:tcW w:w="2538" w:type="dxa"/>
            <w:gridSpan w:val="3"/>
            <w:vMerge w:val="restart"/>
            <w:tcBorders>
              <w:top w:val="nil"/>
              <w:left w:val="nil"/>
              <w:bottom w:val="nil"/>
              <w:right w:val="nil"/>
            </w:tcBorders>
            <w:shd w:val="clear" w:color="auto" w:fill="FFFFFF"/>
            <w:vAlign w:val="bottom"/>
          </w:tcPr>
          <w:p w14:paraId="5A4706AF"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Model</w:t>
            </w:r>
          </w:p>
        </w:tc>
        <w:tc>
          <w:tcPr>
            <w:tcW w:w="2662" w:type="dxa"/>
            <w:gridSpan w:val="4"/>
            <w:tcBorders>
              <w:top w:val="nil"/>
              <w:left w:val="nil"/>
              <w:bottom w:val="nil"/>
              <w:right w:val="single" w:sz="8" w:space="0" w:color="E0E0E0"/>
            </w:tcBorders>
            <w:shd w:val="clear" w:color="auto" w:fill="FFFFFF"/>
            <w:vAlign w:val="bottom"/>
          </w:tcPr>
          <w:p w14:paraId="5A4706B0"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Unstandardized Coefficients</w:t>
            </w:r>
          </w:p>
        </w:tc>
        <w:tc>
          <w:tcPr>
            <w:tcW w:w="1469" w:type="dxa"/>
            <w:gridSpan w:val="2"/>
            <w:tcBorders>
              <w:top w:val="nil"/>
              <w:left w:val="single" w:sz="8" w:space="0" w:color="E0E0E0"/>
              <w:bottom w:val="nil"/>
              <w:right w:val="single" w:sz="8" w:space="0" w:color="E0E0E0"/>
            </w:tcBorders>
            <w:shd w:val="clear" w:color="auto" w:fill="FFFFFF"/>
            <w:vAlign w:val="bottom"/>
          </w:tcPr>
          <w:p w14:paraId="5A4706B1"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Standardized Coefficients</w:t>
            </w:r>
          </w:p>
        </w:tc>
        <w:tc>
          <w:tcPr>
            <w:tcW w:w="1025" w:type="dxa"/>
            <w:gridSpan w:val="2"/>
            <w:vMerge w:val="restart"/>
            <w:tcBorders>
              <w:top w:val="nil"/>
              <w:left w:val="single" w:sz="8" w:space="0" w:color="E0E0E0"/>
              <w:bottom w:val="nil"/>
              <w:right w:val="single" w:sz="8" w:space="0" w:color="E0E0E0"/>
            </w:tcBorders>
            <w:shd w:val="clear" w:color="auto" w:fill="FFFFFF"/>
            <w:vAlign w:val="bottom"/>
          </w:tcPr>
          <w:p w14:paraId="5A4706B2"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t</w:t>
            </w:r>
          </w:p>
        </w:tc>
        <w:tc>
          <w:tcPr>
            <w:tcW w:w="1025" w:type="dxa"/>
            <w:gridSpan w:val="2"/>
            <w:vMerge w:val="restart"/>
            <w:tcBorders>
              <w:top w:val="nil"/>
              <w:left w:val="single" w:sz="8" w:space="0" w:color="E0E0E0"/>
              <w:bottom w:val="nil"/>
              <w:right w:val="nil"/>
            </w:tcBorders>
            <w:shd w:val="clear" w:color="auto" w:fill="FFFFFF"/>
            <w:vAlign w:val="bottom"/>
          </w:tcPr>
          <w:p w14:paraId="5A4706B3"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Sig.</w:t>
            </w:r>
          </w:p>
        </w:tc>
      </w:tr>
      <w:tr w:rsidR="007656DB" w14:paraId="5A4706BB" w14:textId="77777777" w:rsidTr="007656DB">
        <w:trPr>
          <w:cantSplit/>
        </w:trPr>
        <w:tc>
          <w:tcPr>
            <w:tcW w:w="2538" w:type="dxa"/>
            <w:gridSpan w:val="3"/>
            <w:vMerge/>
            <w:tcBorders>
              <w:top w:val="nil"/>
              <w:left w:val="nil"/>
              <w:bottom w:val="nil"/>
              <w:right w:val="nil"/>
            </w:tcBorders>
            <w:shd w:val="clear" w:color="auto" w:fill="FFFFFF"/>
            <w:vAlign w:val="bottom"/>
          </w:tcPr>
          <w:p w14:paraId="5A4706B5" w14:textId="77777777" w:rsidR="007656DB" w:rsidRDefault="007656DB">
            <w:pPr>
              <w:rPr>
                <w:rFonts w:ascii="Arial" w:hAnsi="Arial" w:cs="Arial"/>
                <w:color w:val="264A60"/>
                <w:sz w:val="18"/>
                <w:szCs w:val="18"/>
              </w:rPr>
            </w:pPr>
          </w:p>
        </w:tc>
        <w:tc>
          <w:tcPr>
            <w:tcW w:w="1331" w:type="dxa"/>
            <w:gridSpan w:val="2"/>
            <w:tcBorders>
              <w:top w:val="nil"/>
              <w:left w:val="nil"/>
              <w:bottom w:val="single" w:sz="8" w:space="0" w:color="152935"/>
              <w:right w:val="single" w:sz="8" w:space="0" w:color="E0E0E0"/>
            </w:tcBorders>
            <w:shd w:val="clear" w:color="auto" w:fill="FFFFFF"/>
            <w:vAlign w:val="bottom"/>
          </w:tcPr>
          <w:p w14:paraId="5A4706B6"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B</w:t>
            </w:r>
          </w:p>
        </w:tc>
        <w:tc>
          <w:tcPr>
            <w:tcW w:w="1331" w:type="dxa"/>
            <w:gridSpan w:val="2"/>
            <w:tcBorders>
              <w:top w:val="nil"/>
              <w:left w:val="single" w:sz="8" w:space="0" w:color="E0E0E0"/>
              <w:bottom w:val="single" w:sz="8" w:space="0" w:color="152935"/>
              <w:right w:val="single" w:sz="8" w:space="0" w:color="E0E0E0"/>
            </w:tcBorders>
            <w:shd w:val="clear" w:color="auto" w:fill="FFFFFF"/>
            <w:vAlign w:val="bottom"/>
          </w:tcPr>
          <w:p w14:paraId="5A4706B7"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Std. Error</w:t>
            </w:r>
          </w:p>
        </w:tc>
        <w:tc>
          <w:tcPr>
            <w:tcW w:w="1469" w:type="dxa"/>
            <w:gridSpan w:val="2"/>
            <w:tcBorders>
              <w:top w:val="nil"/>
              <w:left w:val="single" w:sz="8" w:space="0" w:color="E0E0E0"/>
              <w:bottom w:val="single" w:sz="8" w:space="0" w:color="152935"/>
              <w:right w:val="single" w:sz="8" w:space="0" w:color="E0E0E0"/>
            </w:tcBorders>
            <w:shd w:val="clear" w:color="auto" w:fill="FFFFFF"/>
            <w:vAlign w:val="bottom"/>
          </w:tcPr>
          <w:p w14:paraId="5A4706B8" w14:textId="77777777" w:rsidR="007656DB" w:rsidRDefault="007656DB">
            <w:pPr>
              <w:spacing w:line="320" w:lineRule="atLeast"/>
              <w:ind w:left="60" w:right="60"/>
              <w:jc w:val="center"/>
              <w:rPr>
                <w:rFonts w:ascii="Arial" w:hAnsi="Arial" w:cs="Arial"/>
                <w:color w:val="264A60"/>
                <w:sz w:val="18"/>
                <w:szCs w:val="18"/>
              </w:rPr>
            </w:pPr>
            <w:r>
              <w:rPr>
                <w:rFonts w:ascii="Arial" w:hAnsi="Arial" w:cs="Arial"/>
                <w:color w:val="264A60"/>
                <w:sz w:val="18"/>
                <w:szCs w:val="18"/>
              </w:rPr>
              <w:t>Beta</w:t>
            </w:r>
          </w:p>
        </w:tc>
        <w:tc>
          <w:tcPr>
            <w:tcW w:w="1025" w:type="dxa"/>
            <w:gridSpan w:val="2"/>
            <w:vMerge/>
            <w:tcBorders>
              <w:top w:val="nil"/>
              <w:left w:val="single" w:sz="8" w:space="0" w:color="E0E0E0"/>
              <w:bottom w:val="nil"/>
              <w:right w:val="single" w:sz="8" w:space="0" w:color="E0E0E0"/>
            </w:tcBorders>
            <w:shd w:val="clear" w:color="auto" w:fill="FFFFFF"/>
            <w:vAlign w:val="bottom"/>
          </w:tcPr>
          <w:p w14:paraId="5A4706B9" w14:textId="77777777" w:rsidR="007656DB" w:rsidRDefault="007656DB">
            <w:pPr>
              <w:rPr>
                <w:rFonts w:ascii="Arial" w:hAnsi="Arial" w:cs="Arial"/>
                <w:color w:val="264A60"/>
                <w:sz w:val="18"/>
                <w:szCs w:val="18"/>
              </w:rPr>
            </w:pPr>
          </w:p>
        </w:tc>
        <w:tc>
          <w:tcPr>
            <w:tcW w:w="1025" w:type="dxa"/>
            <w:gridSpan w:val="2"/>
            <w:vMerge/>
            <w:tcBorders>
              <w:top w:val="nil"/>
              <w:left w:val="single" w:sz="8" w:space="0" w:color="E0E0E0"/>
              <w:bottom w:val="nil"/>
              <w:right w:val="nil"/>
            </w:tcBorders>
            <w:shd w:val="clear" w:color="auto" w:fill="FFFFFF"/>
            <w:vAlign w:val="bottom"/>
          </w:tcPr>
          <w:p w14:paraId="5A4706BA" w14:textId="77777777" w:rsidR="007656DB" w:rsidRDefault="007656DB">
            <w:pPr>
              <w:rPr>
                <w:rFonts w:ascii="Arial" w:hAnsi="Arial" w:cs="Arial"/>
                <w:color w:val="264A60"/>
                <w:sz w:val="18"/>
                <w:szCs w:val="18"/>
              </w:rPr>
            </w:pPr>
          </w:p>
        </w:tc>
      </w:tr>
      <w:tr w:rsidR="007656DB" w14:paraId="5A4706C3" w14:textId="77777777" w:rsidTr="007656DB">
        <w:trPr>
          <w:cantSplit/>
        </w:trPr>
        <w:tc>
          <w:tcPr>
            <w:tcW w:w="733" w:type="dxa"/>
            <w:vMerge w:val="restart"/>
            <w:tcBorders>
              <w:top w:val="single" w:sz="8" w:space="0" w:color="152935"/>
              <w:left w:val="nil"/>
              <w:bottom w:val="single" w:sz="8" w:space="0" w:color="152935"/>
              <w:right w:val="nil"/>
            </w:tcBorders>
            <w:shd w:val="clear" w:color="auto" w:fill="E0E0E0"/>
          </w:tcPr>
          <w:p w14:paraId="5A4706BC"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1</w:t>
            </w:r>
          </w:p>
        </w:tc>
        <w:tc>
          <w:tcPr>
            <w:tcW w:w="1805" w:type="dxa"/>
            <w:gridSpan w:val="2"/>
            <w:tcBorders>
              <w:top w:val="single" w:sz="8" w:space="0" w:color="152935"/>
              <w:left w:val="nil"/>
              <w:bottom w:val="single" w:sz="8" w:space="0" w:color="AEAEAE"/>
              <w:right w:val="nil"/>
            </w:tcBorders>
            <w:shd w:val="clear" w:color="auto" w:fill="E0E0E0"/>
          </w:tcPr>
          <w:p w14:paraId="5A4706BD"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(Constant)</w:t>
            </w:r>
          </w:p>
        </w:tc>
        <w:tc>
          <w:tcPr>
            <w:tcW w:w="1331" w:type="dxa"/>
            <w:gridSpan w:val="2"/>
            <w:tcBorders>
              <w:top w:val="single" w:sz="8" w:space="0" w:color="152935"/>
              <w:left w:val="nil"/>
              <w:bottom w:val="single" w:sz="8" w:space="0" w:color="AEAEAE"/>
              <w:right w:val="single" w:sz="8" w:space="0" w:color="E0E0E0"/>
            </w:tcBorders>
            <w:shd w:val="clear" w:color="auto" w:fill="FFFFFF"/>
          </w:tcPr>
          <w:p w14:paraId="5A4706BE"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17.950</w:t>
            </w:r>
          </w:p>
        </w:tc>
        <w:tc>
          <w:tcPr>
            <w:tcW w:w="1331"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BF"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1.230</w:t>
            </w:r>
          </w:p>
        </w:tc>
        <w:tc>
          <w:tcPr>
            <w:tcW w:w="1469" w:type="dxa"/>
            <w:gridSpan w:val="2"/>
            <w:tcBorders>
              <w:top w:val="single" w:sz="8" w:space="0" w:color="152935"/>
              <w:left w:val="single" w:sz="8" w:space="0" w:color="E0E0E0"/>
              <w:bottom w:val="single" w:sz="8" w:space="0" w:color="AEAEAE"/>
              <w:right w:val="single" w:sz="8" w:space="0" w:color="E0E0E0"/>
            </w:tcBorders>
            <w:shd w:val="clear" w:color="auto" w:fill="FFFFFF"/>
            <w:vAlign w:val="center"/>
          </w:tcPr>
          <w:p w14:paraId="5A4706C0" w14:textId="77777777" w:rsidR="007656DB" w:rsidRDefault="007656DB">
            <w:pPr>
              <w:rPr>
                <w:rFonts w:ascii="Times New Roman" w:hAnsi="Times New Roman" w:cs="Times New Roman"/>
                <w:color w:val="auto"/>
                <w:sz w:val="24"/>
                <w:szCs w:val="24"/>
              </w:rPr>
            </w:pPr>
          </w:p>
        </w:tc>
        <w:tc>
          <w:tcPr>
            <w:tcW w:w="1025" w:type="dxa"/>
            <w:gridSpan w:val="2"/>
            <w:tcBorders>
              <w:top w:val="single" w:sz="8" w:space="0" w:color="152935"/>
              <w:left w:val="single" w:sz="8" w:space="0" w:color="E0E0E0"/>
              <w:bottom w:val="single" w:sz="8" w:space="0" w:color="AEAEAE"/>
              <w:right w:val="single" w:sz="8" w:space="0" w:color="E0E0E0"/>
            </w:tcBorders>
            <w:shd w:val="clear" w:color="auto" w:fill="FFFFFF"/>
          </w:tcPr>
          <w:p w14:paraId="5A4706C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14.591</w:t>
            </w:r>
          </w:p>
        </w:tc>
        <w:tc>
          <w:tcPr>
            <w:tcW w:w="1025" w:type="dxa"/>
            <w:gridSpan w:val="2"/>
            <w:tcBorders>
              <w:top w:val="single" w:sz="8" w:space="0" w:color="152935"/>
              <w:left w:val="single" w:sz="8" w:space="0" w:color="E0E0E0"/>
              <w:bottom w:val="single" w:sz="8" w:space="0" w:color="AEAEAE"/>
              <w:right w:val="nil"/>
            </w:tcBorders>
            <w:shd w:val="clear" w:color="auto" w:fill="FFFFFF"/>
          </w:tcPr>
          <w:p w14:paraId="5A4706C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.000</w:t>
            </w:r>
          </w:p>
        </w:tc>
      </w:tr>
      <w:tr w:rsidR="007656DB" w14:paraId="5A4706CB" w14:textId="77777777" w:rsidTr="007656DB">
        <w:trPr>
          <w:cantSplit/>
        </w:trPr>
        <w:tc>
          <w:tcPr>
            <w:tcW w:w="733" w:type="dxa"/>
            <w:vMerge/>
            <w:tcBorders>
              <w:top w:val="single" w:sz="8" w:space="0" w:color="152935"/>
              <w:left w:val="nil"/>
              <w:bottom w:val="single" w:sz="8" w:space="0" w:color="152935"/>
              <w:right w:val="nil"/>
            </w:tcBorders>
            <w:shd w:val="clear" w:color="auto" w:fill="E0E0E0"/>
          </w:tcPr>
          <w:p w14:paraId="5A4706C4" w14:textId="77777777" w:rsidR="007656DB" w:rsidRDefault="007656DB">
            <w:pPr>
              <w:rPr>
                <w:rFonts w:ascii="Arial" w:hAnsi="Arial" w:cs="Arial"/>
                <w:color w:val="010205"/>
                <w:sz w:val="18"/>
                <w:szCs w:val="18"/>
              </w:rPr>
            </w:pPr>
          </w:p>
        </w:tc>
        <w:tc>
          <w:tcPr>
            <w:tcW w:w="1805" w:type="dxa"/>
            <w:gridSpan w:val="2"/>
            <w:tcBorders>
              <w:top w:val="single" w:sz="8" w:space="0" w:color="AEAEAE"/>
              <w:left w:val="nil"/>
              <w:bottom w:val="single" w:sz="8" w:space="0" w:color="AEAEAE"/>
              <w:right w:val="nil"/>
            </w:tcBorders>
            <w:shd w:val="clear" w:color="auto" w:fill="E0E0E0"/>
          </w:tcPr>
          <w:p w14:paraId="5A4706C5"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Operational Risks</w:t>
            </w:r>
          </w:p>
        </w:tc>
        <w:tc>
          <w:tcPr>
            <w:tcW w:w="1331" w:type="dxa"/>
            <w:gridSpan w:val="2"/>
            <w:tcBorders>
              <w:top w:val="single" w:sz="8" w:space="0" w:color="AEAEAE"/>
              <w:left w:val="nil"/>
              <w:bottom w:val="single" w:sz="8" w:space="0" w:color="AEAEAE"/>
              <w:right w:val="single" w:sz="8" w:space="0" w:color="E0E0E0"/>
            </w:tcBorders>
            <w:shd w:val="clear" w:color="auto" w:fill="FFFFFF"/>
          </w:tcPr>
          <w:p w14:paraId="5A4706C6"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-.272</w:t>
            </w:r>
          </w:p>
        </w:tc>
        <w:tc>
          <w:tcPr>
            <w:tcW w:w="1331"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7"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.085</w:t>
            </w:r>
          </w:p>
        </w:tc>
        <w:tc>
          <w:tcPr>
            <w:tcW w:w="1469"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8"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-.275</w:t>
            </w:r>
          </w:p>
        </w:tc>
        <w:tc>
          <w:tcPr>
            <w:tcW w:w="1025" w:type="dxa"/>
            <w:gridSpan w:val="2"/>
            <w:tcBorders>
              <w:top w:val="single" w:sz="8" w:space="0" w:color="AEAEAE"/>
              <w:left w:val="single" w:sz="8" w:space="0" w:color="E0E0E0"/>
              <w:bottom w:val="single" w:sz="8" w:space="0" w:color="AEAEAE"/>
              <w:right w:val="single" w:sz="8" w:space="0" w:color="E0E0E0"/>
            </w:tcBorders>
            <w:shd w:val="clear" w:color="auto" w:fill="FFFFFF"/>
          </w:tcPr>
          <w:p w14:paraId="5A4706C9"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-3.213</w:t>
            </w:r>
          </w:p>
        </w:tc>
        <w:tc>
          <w:tcPr>
            <w:tcW w:w="1025" w:type="dxa"/>
            <w:gridSpan w:val="2"/>
            <w:tcBorders>
              <w:top w:val="single" w:sz="8" w:space="0" w:color="AEAEAE"/>
              <w:left w:val="single" w:sz="8" w:space="0" w:color="E0E0E0"/>
              <w:bottom w:val="single" w:sz="8" w:space="0" w:color="AEAEAE"/>
              <w:right w:val="nil"/>
            </w:tcBorders>
            <w:shd w:val="clear" w:color="auto" w:fill="FFFFFF"/>
          </w:tcPr>
          <w:p w14:paraId="5A4706CA"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.002</w:t>
            </w:r>
          </w:p>
        </w:tc>
      </w:tr>
      <w:tr w:rsidR="007656DB" w14:paraId="5A4706D3" w14:textId="77777777" w:rsidTr="007656DB">
        <w:trPr>
          <w:cantSplit/>
        </w:trPr>
        <w:tc>
          <w:tcPr>
            <w:tcW w:w="733" w:type="dxa"/>
            <w:vMerge/>
            <w:tcBorders>
              <w:top w:val="single" w:sz="8" w:space="0" w:color="152935"/>
              <w:left w:val="nil"/>
              <w:bottom w:val="single" w:sz="8" w:space="0" w:color="152935"/>
              <w:right w:val="nil"/>
            </w:tcBorders>
            <w:shd w:val="clear" w:color="auto" w:fill="E0E0E0"/>
          </w:tcPr>
          <w:p w14:paraId="5A4706CC" w14:textId="77777777" w:rsidR="007656DB" w:rsidRDefault="007656DB">
            <w:pPr>
              <w:rPr>
                <w:rFonts w:ascii="Arial" w:hAnsi="Arial" w:cs="Arial"/>
                <w:color w:val="010205"/>
                <w:sz w:val="18"/>
                <w:szCs w:val="18"/>
              </w:rPr>
            </w:pPr>
          </w:p>
        </w:tc>
        <w:tc>
          <w:tcPr>
            <w:tcW w:w="1805" w:type="dxa"/>
            <w:gridSpan w:val="2"/>
            <w:tcBorders>
              <w:top w:val="single" w:sz="8" w:space="0" w:color="AEAEAE"/>
              <w:left w:val="nil"/>
              <w:bottom w:val="single" w:sz="8" w:space="0" w:color="152935"/>
              <w:right w:val="nil"/>
            </w:tcBorders>
            <w:shd w:val="clear" w:color="auto" w:fill="E0E0E0"/>
          </w:tcPr>
          <w:p w14:paraId="5A4706CD" w14:textId="77777777" w:rsidR="007656DB" w:rsidRDefault="007656DB">
            <w:pPr>
              <w:spacing w:line="320" w:lineRule="atLeast"/>
              <w:ind w:left="60" w:right="60"/>
              <w:rPr>
                <w:rFonts w:ascii="Arial" w:hAnsi="Arial" w:cs="Arial"/>
                <w:color w:val="264A60"/>
                <w:sz w:val="18"/>
                <w:szCs w:val="18"/>
              </w:rPr>
            </w:pPr>
            <w:r>
              <w:rPr>
                <w:rFonts w:ascii="Arial" w:hAnsi="Arial" w:cs="Arial"/>
                <w:color w:val="264A60"/>
                <w:sz w:val="18"/>
                <w:szCs w:val="18"/>
              </w:rPr>
              <w:t>Liquidity Risks</w:t>
            </w:r>
          </w:p>
        </w:tc>
        <w:tc>
          <w:tcPr>
            <w:tcW w:w="1331" w:type="dxa"/>
            <w:gridSpan w:val="2"/>
            <w:tcBorders>
              <w:top w:val="single" w:sz="8" w:space="0" w:color="AEAEAE"/>
              <w:left w:val="nil"/>
              <w:bottom w:val="single" w:sz="8" w:space="0" w:color="152935"/>
              <w:right w:val="single" w:sz="8" w:space="0" w:color="E0E0E0"/>
            </w:tcBorders>
            <w:shd w:val="clear" w:color="auto" w:fill="FFFFFF"/>
          </w:tcPr>
          <w:p w14:paraId="5A4706CE"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-.225</w:t>
            </w:r>
          </w:p>
        </w:tc>
        <w:tc>
          <w:tcPr>
            <w:tcW w:w="1331"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CF"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.100</w:t>
            </w:r>
          </w:p>
        </w:tc>
        <w:tc>
          <w:tcPr>
            <w:tcW w:w="1469"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D0"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-.192</w:t>
            </w:r>
          </w:p>
        </w:tc>
        <w:tc>
          <w:tcPr>
            <w:tcW w:w="1025" w:type="dxa"/>
            <w:gridSpan w:val="2"/>
            <w:tcBorders>
              <w:top w:val="single" w:sz="8" w:space="0" w:color="AEAEAE"/>
              <w:left w:val="single" w:sz="8" w:space="0" w:color="E0E0E0"/>
              <w:bottom w:val="single" w:sz="8" w:space="0" w:color="152935"/>
              <w:right w:val="single" w:sz="8" w:space="0" w:color="E0E0E0"/>
            </w:tcBorders>
            <w:shd w:val="clear" w:color="auto" w:fill="FFFFFF"/>
          </w:tcPr>
          <w:p w14:paraId="5A4706D1"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-2.248</w:t>
            </w:r>
          </w:p>
        </w:tc>
        <w:tc>
          <w:tcPr>
            <w:tcW w:w="1025" w:type="dxa"/>
            <w:gridSpan w:val="2"/>
            <w:tcBorders>
              <w:top w:val="single" w:sz="8" w:space="0" w:color="AEAEAE"/>
              <w:left w:val="single" w:sz="8" w:space="0" w:color="E0E0E0"/>
              <w:bottom w:val="single" w:sz="8" w:space="0" w:color="152935"/>
              <w:right w:val="nil"/>
            </w:tcBorders>
            <w:shd w:val="clear" w:color="auto" w:fill="FFFFFF"/>
          </w:tcPr>
          <w:p w14:paraId="5A4706D2" w14:textId="77777777" w:rsidR="007656DB" w:rsidRDefault="007656DB">
            <w:pPr>
              <w:spacing w:line="320" w:lineRule="atLeast"/>
              <w:ind w:left="60" w:right="60"/>
              <w:jc w:val="right"/>
              <w:rPr>
                <w:rFonts w:ascii="Arial" w:hAnsi="Arial" w:cs="Arial"/>
                <w:color w:val="010205"/>
                <w:sz w:val="18"/>
                <w:szCs w:val="18"/>
              </w:rPr>
            </w:pPr>
            <w:r>
              <w:rPr>
                <w:rFonts w:ascii="Arial" w:hAnsi="Arial" w:cs="Arial"/>
                <w:color w:val="010205"/>
                <w:sz w:val="18"/>
                <w:szCs w:val="18"/>
              </w:rPr>
              <w:t>.026</w:t>
            </w:r>
          </w:p>
        </w:tc>
      </w:tr>
      <w:tr w:rsidR="007656DB" w14:paraId="5A4706D5" w14:textId="77777777" w:rsidTr="007656DB">
        <w:trPr>
          <w:cantSplit/>
        </w:trPr>
        <w:tc>
          <w:tcPr>
            <w:tcW w:w="8719" w:type="dxa"/>
            <w:gridSpan w:val="13"/>
            <w:tcBorders>
              <w:top w:val="nil"/>
              <w:left w:val="nil"/>
              <w:bottom w:val="nil"/>
              <w:right w:val="nil"/>
            </w:tcBorders>
            <w:shd w:val="clear" w:color="auto" w:fill="FFFFFF"/>
          </w:tcPr>
          <w:p w14:paraId="5A4706D4" w14:textId="77777777" w:rsidR="007656DB" w:rsidRDefault="007656DB">
            <w:pPr>
              <w:spacing w:line="320" w:lineRule="atLeast"/>
              <w:ind w:left="60" w:right="60"/>
              <w:rPr>
                <w:rFonts w:ascii="Arial" w:hAnsi="Arial" w:cs="Arial"/>
                <w:color w:val="010205"/>
                <w:sz w:val="18"/>
                <w:szCs w:val="18"/>
              </w:rPr>
            </w:pPr>
            <w:r>
              <w:rPr>
                <w:rFonts w:ascii="Arial" w:hAnsi="Arial" w:cs="Arial"/>
                <w:color w:val="010205"/>
                <w:sz w:val="18"/>
                <w:szCs w:val="18"/>
              </w:rPr>
              <w:t>a. Dependent Variable: Corporate Performance</w:t>
            </w:r>
          </w:p>
        </w:tc>
      </w:tr>
    </w:tbl>
    <w:p w14:paraId="5A4706D6" w14:textId="77777777" w:rsidR="00C75BA3" w:rsidRPr="007E36BE" w:rsidRDefault="00C75BA3" w:rsidP="00C75BA3">
      <w:pPr>
        <w:spacing w:after="240" w:line="480" w:lineRule="auto"/>
        <w:jc w:val="both"/>
        <w:rPr>
          <w:rFonts w:ascii="Times New Roman" w:hAnsi="Times New Roman" w:cs="Times New Roman"/>
          <w:sz w:val="24"/>
          <w:szCs w:val="24"/>
        </w:rPr>
      </w:pPr>
      <w:r w:rsidRPr="000B47A5">
        <w:rPr>
          <w:rFonts w:ascii="Times New Roman" w:eastAsia="Times New Roman" w:hAnsi="Times New Roman" w:cs="Times New Roman"/>
          <w:bCs/>
          <w:sz w:val="24"/>
          <w:szCs w:val="24"/>
        </w:rPr>
        <w:lastRenderedPageBreak/>
        <w:t>Source:</w:t>
      </w:r>
      <w:r w:rsidRPr="000B4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SPSS V. 26 Output, April </w:t>
      </w:r>
      <w:r w:rsidRPr="000B47A5">
        <w:rPr>
          <w:rFonts w:ascii="Times New Roman" w:eastAsia="Times New Roman" w:hAnsi="Times New Roman" w:cs="Times New Roman"/>
          <w:sz w:val="24"/>
          <w:szCs w:val="24"/>
        </w:rPr>
        <w:t>202</w:t>
      </w:r>
      <w:r>
        <w:rPr>
          <w:rFonts w:ascii="Times New Roman" w:eastAsia="Times New Roman" w:hAnsi="Times New Roman" w:cs="Times New Roman"/>
          <w:sz w:val="24"/>
          <w:szCs w:val="24"/>
        </w:rPr>
        <w:t>5</w:t>
      </w:r>
    </w:p>
    <w:p w14:paraId="5A4706D7" w14:textId="5A92A9E3"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bCs/>
          <w:sz w:val="24"/>
          <w:szCs w:val="24"/>
        </w:rPr>
        <w:t xml:space="preserve">Table </w:t>
      </w:r>
      <w:r w:rsidR="00C5080C">
        <w:rPr>
          <w:rFonts w:ascii="Times New Roman" w:eastAsia="Times New Roman" w:hAnsi="Times New Roman" w:cs="Times New Roman"/>
          <w:bCs/>
          <w:sz w:val="24"/>
          <w:szCs w:val="24"/>
        </w:rPr>
        <w:t>3</w:t>
      </w:r>
      <w:r w:rsidRPr="001019C6">
        <w:rPr>
          <w:rFonts w:ascii="Times New Roman" w:eastAsia="Times New Roman" w:hAnsi="Times New Roman" w:cs="Times New Roman"/>
          <w:bCs/>
          <w:sz w:val="24"/>
          <w:szCs w:val="24"/>
        </w:rPr>
        <w:t xml:space="preserve"> which </w:t>
      </w:r>
      <w:r w:rsidRPr="001019C6">
        <w:rPr>
          <w:rFonts w:ascii="Times New Roman" w:eastAsia="Times New Roman" w:hAnsi="Times New Roman" w:cs="Times New Roman"/>
          <w:sz w:val="24"/>
          <w:szCs w:val="24"/>
        </w:rPr>
        <w:t xml:space="preserve">assessed the </w:t>
      </w:r>
      <w:r w:rsidR="00061542">
        <w:rPr>
          <w:rFonts w:ascii="Times New Roman" w:eastAsia="Times New Roman" w:hAnsi="Times New Roman" w:cs="Times New Roman"/>
          <w:bCs/>
          <w:sz w:val="24"/>
          <w:szCs w:val="24"/>
        </w:rPr>
        <w:t>influence</w:t>
      </w:r>
      <w:r w:rsidRPr="001019C6">
        <w:rPr>
          <w:rFonts w:ascii="Times New Roman" w:eastAsia="Times New Roman" w:hAnsi="Times New Roman" w:cs="Times New Roman"/>
          <w:sz w:val="24"/>
          <w:szCs w:val="24"/>
        </w:rPr>
        <w:t xml:space="preserve"> of financial risk management—specifically operational and liquidity risks—on the </w:t>
      </w:r>
      <w:r w:rsidRPr="001019C6">
        <w:rPr>
          <w:rFonts w:ascii="Times New Roman" w:eastAsia="Times New Roman" w:hAnsi="Times New Roman" w:cs="Times New Roman"/>
          <w:bCs/>
          <w:sz w:val="24"/>
          <w:szCs w:val="24"/>
        </w:rPr>
        <w:t>corporate performance</w:t>
      </w:r>
      <w:r w:rsidRPr="001019C6">
        <w:rPr>
          <w:rFonts w:ascii="Times New Roman" w:eastAsia="Times New Roman" w:hAnsi="Times New Roman" w:cs="Times New Roman"/>
          <w:sz w:val="24"/>
          <w:szCs w:val="24"/>
        </w:rPr>
        <w:t xml:space="preserve"> of selected small-scale firms in Nigeria. The multiple regression model examined how changes in these risk variables affect performance outcomes. The </w:t>
      </w:r>
      <w:r w:rsidRPr="001019C6">
        <w:rPr>
          <w:rFonts w:ascii="Times New Roman" w:eastAsia="Times New Roman" w:hAnsi="Times New Roman" w:cs="Times New Roman"/>
          <w:bCs/>
          <w:sz w:val="24"/>
          <w:szCs w:val="24"/>
        </w:rPr>
        <w:t>Adjusted R Square</w:t>
      </w:r>
      <w:r w:rsidRPr="001019C6">
        <w:rPr>
          <w:rFonts w:ascii="Times New Roman" w:eastAsia="Times New Roman" w:hAnsi="Times New Roman" w:cs="Times New Roman"/>
          <w:sz w:val="24"/>
          <w:szCs w:val="24"/>
        </w:rPr>
        <w:t xml:space="preserve"> value of </w:t>
      </w:r>
      <w:r w:rsidRPr="001019C6">
        <w:rPr>
          <w:rFonts w:ascii="Times New Roman" w:eastAsia="Times New Roman" w:hAnsi="Times New Roman" w:cs="Times New Roman"/>
          <w:bCs/>
          <w:sz w:val="24"/>
          <w:szCs w:val="24"/>
        </w:rPr>
        <w:t>0.168</w:t>
      </w:r>
      <w:r w:rsidRPr="001019C6">
        <w:rPr>
          <w:rFonts w:ascii="Times New Roman" w:eastAsia="Times New Roman" w:hAnsi="Times New Roman" w:cs="Times New Roman"/>
          <w:sz w:val="24"/>
          <w:szCs w:val="24"/>
        </w:rPr>
        <w:t xml:space="preserve"> indicates that approximately </w:t>
      </w:r>
      <w:r w:rsidRPr="001019C6">
        <w:rPr>
          <w:rFonts w:ascii="Times New Roman" w:eastAsia="Times New Roman" w:hAnsi="Times New Roman" w:cs="Times New Roman"/>
          <w:bCs/>
          <w:sz w:val="24"/>
          <w:szCs w:val="24"/>
        </w:rPr>
        <w:t>16.8%</w:t>
      </w:r>
      <w:r w:rsidRPr="001019C6">
        <w:rPr>
          <w:rFonts w:ascii="Times New Roman" w:eastAsia="Times New Roman" w:hAnsi="Times New Roman" w:cs="Times New Roman"/>
          <w:sz w:val="24"/>
          <w:szCs w:val="24"/>
        </w:rPr>
        <w:t xml:space="preserve"> of the variation in corporate performance among the selected small-scale firms can be explained by operational and liquidity risks combined. This suggests that while the model does not explain a very large portion of performance variation, it s</w:t>
      </w:r>
      <w:r w:rsidR="00DA13F5">
        <w:rPr>
          <w:rFonts w:ascii="Times New Roman" w:eastAsia="Times New Roman" w:hAnsi="Times New Roman" w:cs="Times New Roman"/>
          <w:sz w:val="24"/>
          <w:szCs w:val="24"/>
        </w:rPr>
        <w:t>till provides a meaningful hin</w:t>
      </w:r>
      <w:r w:rsidRPr="001019C6">
        <w:rPr>
          <w:rFonts w:ascii="Times New Roman" w:eastAsia="Times New Roman" w:hAnsi="Times New Roman" w:cs="Times New Roman"/>
          <w:sz w:val="24"/>
          <w:szCs w:val="24"/>
        </w:rPr>
        <w:t xml:space="preserve">t into the </w:t>
      </w:r>
      <w:r w:rsidR="00061542">
        <w:rPr>
          <w:rFonts w:ascii="Times New Roman" w:eastAsia="Times New Roman" w:hAnsi="Times New Roman" w:cs="Times New Roman"/>
          <w:sz w:val="24"/>
          <w:szCs w:val="24"/>
        </w:rPr>
        <w:t xml:space="preserve">influence </w:t>
      </w:r>
      <w:r w:rsidRPr="001019C6">
        <w:rPr>
          <w:rFonts w:ascii="Times New Roman" w:eastAsia="Times New Roman" w:hAnsi="Times New Roman" w:cs="Times New Roman"/>
          <w:sz w:val="24"/>
          <w:szCs w:val="24"/>
        </w:rPr>
        <w:t>of financial risks on performance.</w:t>
      </w:r>
    </w:p>
    <w:p w14:paraId="5A4706D8" w14:textId="77777777"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w:t>
      </w:r>
      <w:r w:rsidRPr="001019C6">
        <w:rPr>
          <w:rFonts w:ascii="Times New Roman" w:eastAsia="Times New Roman" w:hAnsi="Times New Roman" w:cs="Times New Roman"/>
          <w:bCs/>
          <w:sz w:val="24"/>
          <w:szCs w:val="24"/>
        </w:rPr>
        <w:t>ANOVA F-statistic</w:t>
      </w:r>
      <w:r w:rsidRPr="001019C6">
        <w:rPr>
          <w:rFonts w:ascii="Times New Roman" w:eastAsia="Times New Roman" w:hAnsi="Times New Roman" w:cs="Times New Roman"/>
          <w:sz w:val="24"/>
          <w:szCs w:val="24"/>
        </w:rPr>
        <w:t xml:space="preserve"> has a </w:t>
      </w:r>
      <w:r w:rsidRPr="001019C6">
        <w:rPr>
          <w:rFonts w:ascii="Times New Roman" w:eastAsia="Times New Roman" w:hAnsi="Times New Roman" w:cs="Times New Roman"/>
          <w:bCs/>
          <w:sz w:val="24"/>
          <w:szCs w:val="24"/>
        </w:rPr>
        <w:t>p-value of 0.000</w:t>
      </w:r>
      <w:r w:rsidRPr="001019C6">
        <w:rPr>
          <w:rFonts w:ascii="Times New Roman" w:eastAsia="Times New Roman" w:hAnsi="Times New Roman" w:cs="Times New Roman"/>
          <w:sz w:val="24"/>
          <w:szCs w:val="24"/>
        </w:rPr>
        <w:t xml:space="preserve">, which is less than the conventional significance level of 0.05. This confirms that the overall regression model is statistically </w:t>
      </w:r>
      <w:r w:rsidRPr="001019C6">
        <w:rPr>
          <w:rFonts w:ascii="Times New Roman" w:eastAsia="Times New Roman" w:hAnsi="Times New Roman" w:cs="Times New Roman"/>
          <w:bCs/>
          <w:sz w:val="24"/>
          <w:szCs w:val="24"/>
        </w:rPr>
        <w:t>valid and significant</w:t>
      </w:r>
      <w:r w:rsidRPr="001019C6">
        <w:rPr>
          <w:rFonts w:ascii="Times New Roman" w:eastAsia="Times New Roman" w:hAnsi="Times New Roman" w:cs="Times New Roman"/>
          <w:sz w:val="24"/>
          <w:szCs w:val="24"/>
        </w:rPr>
        <w:t xml:space="preserve">. In other words, operational and liquidity risks jointly have a statistically significant </w:t>
      </w:r>
      <w:r w:rsidR="009907E3">
        <w:rPr>
          <w:rFonts w:ascii="Times New Roman" w:eastAsia="Times New Roman" w:hAnsi="Times New Roman" w:cs="Times New Roman"/>
          <w:sz w:val="24"/>
          <w:szCs w:val="24"/>
        </w:rPr>
        <w:t xml:space="preserve">influence </w:t>
      </w:r>
      <w:r w:rsidRPr="001019C6">
        <w:rPr>
          <w:rFonts w:ascii="Times New Roman" w:eastAsia="Times New Roman" w:hAnsi="Times New Roman" w:cs="Times New Roman"/>
          <w:sz w:val="24"/>
          <w:szCs w:val="24"/>
        </w:rPr>
        <w:t>on corporate performance.</w:t>
      </w:r>
    </w:p>
    <w:p w14:paraId="5A4706D9" w14:textId="77777777" w:rsidR="001019C6" w:rsidRPr="001019C6"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coefficient for </w:t>
      </w:r>
      <w:r w:rsidRPr="001019C6">
        <w:rPr>
          <w:rFonts w:ascii="Times New Roman" w:eastAsia="Times New Roman" w:hAnsi="Times New Roman" w:cs="Times New Roman"/>
          <w:bCs/>
          <w:sz w:val="24"/>
          <w:szCs w:val="24"/>
        </w:rPr>
        <w:t>Operational Risks</w:t>
      </w:r>
      <w:r w:rsidRPr="001019C6">
        <w:rPr>
          <w:rFonts w:ascii="Times New Roman" w:eastAsia="Times New Roman" w:hAnsi="Times New Roman" w:cs="Times New Roman"/>
          <w:sz w:val="24"/>
          <w:szCs w:val="24"/>
        </w:rPr>
        <w:t xml:space="preserve"> is </w:t>
      </w:r>
      <w:r w:rsidRPr="001019C6">
        <w:rPr>
          <w:rFonts w:ascii="Times New Roman" w:eastAsia="Times New Roman" w:hAnsi="Times New Roman" w:cs="Times New Roman"/>
          <w:bCs/>
          <w:sz w:val="24"/>
          <w:szCs w:val="24"/>
        </w:rPr>
        <w:t>-0.272</w:t>
      </w:r>
      <w:r w:rsidRPr="001019C6">
        <w:rPr>
          <w:rFonts w:ascii="Times New Roman" w:eastAsia="Times New Roman" w:hAnsi="Times New Roman" w:cs="Times New Roman"/>
          <w:sz w:val="24"/>
          <w:szCs w:val="24"/>
        </w:rPr>
        <w:t xml:space="preserve"> with a </w:t>
      </w:r>
      <w:r w:rsidRPr="001019C6">
        <w:rPr>
          <w:rFonts w:ascii="Times New Roman" w:eastAsia="Times New Roman" w:hAnsi="Times New Roman" w:cs="Times New Roman"/>
          <w:bCs/>
          <w:sz w:val="24"/>
          <w:szCs w:val="24"/>
        </w:rPr>
        <w:t>p-value of 0.002</w:t>
      </w:r>
      <w:r w:rsidRPr="001019C6">
        <w:rPr>
          <w:rFonts w:ascii="Times New Roman" w:eastAsia="Times New Roman" w:hAnsi="Times New Roman" w:cs="Times New Roman"/>
          <w:sz w:val="24"/>
          <w:szCs w:val="24"/>
        </w:rPr>
        <w:t xml:space="preserve">. This implies that for every one-unit increase in operational risks, the corporate performance of small-scale firms </w:t>
      </w:r>
      <w:r w:rsidRPr="001019C6">
        <w:rPr>
          <w:rFonts w:ascii="Times New Roman" w:eastAsia="Times New Roman" w:hAnsi="Times New Roman" w:cs="Times New Roman"/>
          <w:bCs/>
          <w:sz w:val="24"/>
          <w:szCs w:val="24"/>
        </w:rPr>
        <w:t>decreases by 0.272 units</w:t>
      </w:r>
      <w:r w:rsidRPr="001019C6">
        <w:rPr>
          <w:rFonts w:ascii="Times New Roman" w:eastAsia="Times New Roman" w:hAnsi="Times New Roman" w:cs="Times New Roman"/>
          <w:sz w:val="24"/>
          <w:szCs w:val="24"/>
        </w:rPr>
        <w:t xml:space="preserve">, assuming all other variables remain constant. The negative sign reflects a </w:t>
      </w:r>
      <w:r w:rsidRPr="001019C6">
        <w:rPr>
          <w:rFonts w:ascii="Times New Roman" w:eastAsia="Times New Roman" w:hAnsi="Times New Roman" w:cs="Times New Roman"/>
          <w:bCs/>
          <w:sz w:val="24"/>
          <w:szCs w:val="24"/>
        </w:rPr>
        <w:t>negative marginal effect</w:t>
      </w:r>
      <w:r w:rsidRPr="001019C6">
        <w:rPr>
          <w:rFonts w:ascii="Times New Roman" w:eastAsia="Times New Roman" w:hAnsi="Times New Roman" w:cs="Times New Roman"/>
          <w:sz w:val="24"/>
          <w:szCs w:val="24"/>
        </w:rPr>
        <w:t xml:space="preserve">, suggesting that higher operational risks tend to reduce corporate performance. Since the p-value (0.002) is less than 0.05, this effect is </w:t>
      </w:r>
      <w:r w:rsidRPr="001019C6">
        <w:rPr>
          <w:rFonts w:ascii="Times New Roman" w:eastAsia="Times New Roman" w:hAnsi="Times New Roman" w:cs="Times New Roman"/>
          <w:bCs/>
          <w:sz w:val="24"/>
          <w:szCs w:val="24"/>
        </w:rPr>
        <w:t>statistically significant</w:t>
      </w:r>
      <w:r w:rsidRPr="001019C6">
        <w:rPr>
          <w:rFonts w:ascii="Times New Roman" w:eastAsia="Times New Roman" w:hAnsi="Times New Roman" w:cs="Times New Roman"/>
          <w:sz w:val="24"/>
          <w:szCs w:val="24"/>
        </w:rPr>
        <w:t xml:space="preserve">, meaning that operational risks have a significant and adverse effect on performance at the 5% level of significance. Thus, operational risks have a </w:t>
      </w:r>
      <w:r w:rsidRPr="001019C6">
        <w:rPr>
          <w:rFonts w:ascii="Times New Roman" w:eastAsia="Times New Roman" w:hAnsi="Times New Roman" w:cs="Times New Roman"/>
          <w:bCs/>
          <w:sz w:val="24"/>
          <w:szCs w:val="24"/>
        </w:rPr>
        <w:t>negative and significant influence</w:t>
      </w:r>
      <w:r w:rsidRPr="001019C6">
        <w:rPr>
          <w:rFonts w:ascii="Times New Roman" w:eastAsia="Times New Roman" w:hAnsi="Times New Roman" w:cs="Times New Roman"/>
          <w:sz w:val="24"/>
          <w:szCs w:val="24"/>
        </w:rPr>
        <w:t xml:space="preserve"> on corporate performance of selected small-scale firms in Nigeria (β = -0.272, p = 0.002).</w:t>
      </w:r>
    </w:p>
    <w:p w14:paraId="5A4706DA" w14:textId="77777777" w:rsidR="00AC5B4E" w:rsidRPr="00957BEB" w:rsidRDefault="001019C6" w:rsidP="001019C6">
      <w:pPr>
        <w:spacing w:after="120" w:line="276" w:lineRule="auto"/>
        <w:jc w:val="both"/>
        <w:rPr>
          <w:rFonts w:ascii="Times New Roman" w:eastAsia="Times New Roman" w:hAnsi="Times New Roman" w:cs="Times New Roman"/>
          <w:sz w:val="24"/>
          <w:szCs w:val="24"/>
        </w:rPr>
      </w:pPr>
      <w:r w:rsidRPr="001019C6">
        <w:rPr>
          <w:rFonts w:ascii="Times New Roman" w:eastAsia="Times New Roman" w:hAnsi="Times New Roman" w:cs="Times New Roman"/>
          <w:sz w:val="24"/>
          <w:szCs w:val="24"/>
        </w:rPr>
        <w:t xml:space="preserve">The coefficient for </w:t>
      </w:r>
      <w:r w:rsidRPr="001019C6">
        <w:rPr>
          <w:rFonts w:ascii="Times New Roman" w:eastAsia="Times New Roman" w:hAnsi="Times New Roman" w:cs="Times New Roman"/>
          <w:bCs/>
          <w:sz w:val="24"/>
          <w:szCs w:val="24"/>
        </w:rPr>
        <w:t>Liquidity Risks</w:t>
      </w:r>
      <w:r w:rsidRPr="001019C6">
        <w:rPr>
          <w:rFonts w:ascii="Times New Roman" w:eastAsia="Times New Roman" w:hAnsi="Times New Roman" w:cs="Times New Roman"/>
          <w:sz w:val="24"/>
          <w:szCs w:val="24"/>
        </w:rPr>
        <w:t xml:space="preserve"> is </w:t>
      </w:r>
      <w:r w:rsidRPr="001019C6">
        <w:rPr>
          <w:rFonts w:ascii="Times New Roman" w:eastAsia="Times New Roman" w:hAnsi="Times New Roman" w:cs="Times New Roman"/>
          <w:bCs/>
          <w:sz w:val="24"/>
          <w:szCs w:val="24"/>
        </w:rPr>
        <w:t>-0.225</w:t>
      </w:r>
      <w:r w:rsidRPr="001019C6">
        <w:rPr>
          <w:rFonts w:ascii="Times New Roman" w:eastAsia="Times New Roman" w:hAnsi="Times New Roman" w:cs="Times New Roman"/>
          <w:sz w:val="24"/>
          <w:szCs w:val="24"/>
        </w:rPr>
        <w:t xml:space="preserve"> with a </w:t>
      </w:r>
      <w:r w:rsidRPr="001019C6">
        <w:rPr>
          <w:rFonts w:ascii="Times New Roman" w:eastAsia="Times New Roman" w:hAnsi="Times New Roman" w:cs="Times New Roman"/>
          <w:bCs/>
          <w:sz w:val="24"/>
          <w:szCs w:val="24"/>
        </w:rPr>
        <w:t>p-value of 0.026</w:t>
      </w:r>
      <w:r w:rsidRPr="001019C6">
        <w:rPr>
          <w:rFonts w:ascii="Times New Roman" w:eastAsia="Times New Roman" w:hAnsi="Times New Roman" w:cs="Times New Roman"/>
          <w:sz w:val="24"/>
          <w:szCs w:val="24"/>
        </w:rPr>
        <w:t xml:space="preserve">. This means that for every one-unit increase in liquidity risks, corporate performance is expected to </w:t>
      </w:r>
      <w:r w:rsidRPr="001019C6">
        <w:rPr>
          <w:rFonts w:ascii="Times New Roman" w:eastAsia="Times New Roman" w:hAnsi="Times New Roman" w:cs="Times New Roman"/>
          <w:bCs/>
          <w:sz w:val="24"/>
          <w:szCs w:val="24"/>
        </w:rPr>
        <w:t>decline by 0.225 units</w:t>
      </w:r>
      <w:r w:rsidRPr="001019C6">
        <w:rPr>
          <w:rFonts w:ascii="Times New Roman" w:eastAsia="Times New Roman" w:hAnsi="Times New Roman" w:cs="Times New Roman"/>
          <w:sz w:val="24"/>
          <w:szCs w:val="24"/>
        </w:rPr>
        <w:t xml:space="preserve">, holding other variables constant. This marginal effect also shows a </w:t>
      </w:r>
      <w:r w:rsidRPr="001019C6">
        <w:rPr>
          <w:rFonts w:ascii="Times New Roman" w:eastAsia="Times New Roman" w:hAnsi="Times New Roman" w:cs="Times New Roman"/>
          <w:bCs/>
          <w:sz w:val="24"/>
          <w:szCs w:val="24"/>
        </w:rPr>
        <w:t>negative direction</w:t>
      </w:r>
      <w:r w:rsidRPr="001019C6">
        <w:rPr>
          <w:rFonts w:ascii="Times New Roman" w:eastAsia="Times New Roman" w:hAnsi="Times New Roman" w:cs="Times New Roman"/>
          <w:sz w:val="24"/>
          <w:szCs w:val="24"/>
        </w:rPr>
        <w:t xml:space="preserve">, indicating that rising liquidity constraints are associated with reduced performance. The p-value (0.026) is also less than 0.05, which confirms that the effect of liquidity risks on corporate performance is </w:t>
      </w:r>
      <w:r w:rsidRPr="001019C6">
        <w:rPr>
          <w:rFonts w:ascii="Times New Roman" w:eastAsia="Times New Roman" w:hAnsi="Times New Roman" w:cs="Times New Roman"/>
          <w:bCs/>
          <w:sz w:val="24"/>
          <w:szCs w:val="24"/>
        </w:rPr>
        <w:t>statistically significant</w:t>
      </w:r>
      <w:r w:rsidRPr="001019C6">
        <w:rPr>
          <w:rFonts w:ascii="Times New Roman" w:eastAsia="Times New Roman" w:hAnsi="Times New Roman" w:cs="Times New Roman"/>
          <w:sz w:val="24"/>
          <w:szCs w:val="24"/>
        </w:rPr>
        <w:t xml:space="preserve"> at the 5% level. Thus, liquidity risks have a </w:t>
      </w:r>
      <w:r w:rsidRPr="001019C6">
        <w:rPr>
          <w:rFonts w:ascii="Times New Roman" w:eastAsia="Times New Roman" w:hAnsi="Times New Roman" w:cs="Times New Roman"/>
          <w:bCs/>
          <w:sz w:val="24"/>
          <w:szCs w:val="24"/>
        </w:rPr>
        <w:t>negative and significant influence</w:t>
      </w:r>
      <w:r w:rsidRPr="001019C6">
        <w:rPr>
          <w:rFonts w:ascii="Times New Roman" w:eastAsia="Times New Roman" w:hAnsi="Times New Roman" w:cs="Times New Roman"/>
          <w:sz w:val="24"/>
          <w:szCs w:val="24"/>
        </w:rPr>
        <w:t xml:space="preserve"> on corporate performance of selected small-scale firms in Nigeria (β = -0.225, p = 0.026).</w:t>
      </w:r>
    </w:p>
    <w:p w14:paraId="5A4706DB" w14:textId="77777777" w:rsidR="00895824" w:rsidRPr="00957BEB" w:rsidRDefault="00895824" w:rsidP="00957BEB">
      <w:pPr>
        <w:pStyle w:val="Heading1"/>
        <w:spacing w:before="0" w:after="120" w:line="276" w:lineRule="auto"/>
        <w:rPr>
          <w:rFonts w:eastAsia="Times New Roman" w:cs="Times New Roman"/>
          <w:szCs w:val="24"/>
        </w:rPr>
      </w:pPr>
      <w:r w:rsidRPr="00957BEB">
        <w:rPr>
          <w:rFonts w:eastAsia="Times New Roman" w:cs="Times New Roman"/>
          <w:szCs w:val="24"/>
        </w:rPr>
        <w:t>4.3 Discussion of Findings</w:t>
      </w:r>
    </w:p>
    <w:p w14:paraId="5A4706DC" w14:textId="77777777" w:rsidR="00CA27D4" w:rsidRPr="00957BEB" w:rsidRDefault="00CA27D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Operational risks were found to significantly and negatively influence the corporate performance of the small-scale firms studied. This is not surprising, given that operational risk—which includes internal process failures, human error, technology disruptions, and poor internal control—poses a direct threat to the efficiency and sustainability of small businesses. Small-scale firms often operate with limited managerial expertise, insufficient process documentation, and informal organizational structures. These weaknesses increase the frequency and impact of operational failures, which can result in stockouts, customer dissatisfaction, reputational damage, and even legal issues. Furthermore, due to resource constraints, small businesses are less likely to invest in formalized risk control systems or advanced technology to monitor and manage these risks. Consequently, operational risk </w:t>
      </w:r>
      <w:r w:rsidRPr="00957BEB">
        <w:rPr>
          <w:rFonts w:ascii="Times New Roman" w:eastAsia="Times New Roman" w:hAnsi="Times New Roman" w:cs="Times New Roman"/>
          <w:sz w:val="24"/>
          <w:szCs w:val="24"/>
        </w:rPr>
        <w:lastRenderedPageBreak/>
        <w:t xml:space="preserve">undermines internal productivity, restricts competitiveness, and reduces overall profitability. The negative relationship between operational risk and performance observed in this study finds support in several empirical works. For example, </w:t>
      </w:r>
      <w:proofErr w:type="spellStart"/>
      <w:r w:rsidRPr="00957BEB">
        <w:rPr>
          <w:rFonts w:ascii="Times New Roman" w:eastAsia="Times New Roman" w:hAnsi="Times New Roman" w:cs="Times New Roman"/>
          <w:bCs/>
          <w:sz w:val="24"/>
          <w:szCs w:val="24"/>
        </w:rPr>
        <w:t>Newstyle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Isele</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Tekerebo</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demonstrated that operational risk management significantly affects the financial performance of listed banks in Nigeria, affirming that unmanaged operational disruptions can hinder performance. </w:t>
      </w:r>
      <w:proofErr w:type="spellStart"/>
      <w:r w:rsidRPr="00957BEB">
        <w:rPr>
          <w:rFonts w:ascii="Times New Roman" w:eastAsia="Times New Roman" w:hAnsi="Times New Roman" w:cs="Times New Roman"/>
          <w:bCs/>
          <w:sz w:val="24"/>
          <w:szCs w:val="24"/>
        </w:rPr>
        <w:t>Apaloo</w:t>
      </w:r>
      <w:proofErr w:type="spellEnd"/>
      <w:r w:rsidRPr="00957BEB">
        <w:rPr>
          <w:rFonts w:ascii="Times New Roman" w:eastAsia="Times New Roman" w:hAnsi="Times New Roman" w:cs="Times New Roman"/>
          <w:bCs/>
          <w:sz w:val="24"/>
          <w:szCs w:val="24"/>
        </w:rPr>
        <w:t xml:space="preserve"> and Bright (2022)</w:t>
      </w:r>
      <w:r w:rsidRPr="00957BEB">
        <w:rPr>
          <w:rFonts w:ascii="Times New Roman" w:eastAsia="Times New Roman" w:hAnsi="Times New Roman" w:cs="Times New Roman"/>
          <w:sz w:val="24"/>
          <w:szCs w:val="24"/>
        </w:rPr>
        <w:t xml:space="preserve"> also noted that low educational levels and poor operational risk practices hinder SME growth, showing that many business owners fail to implement systematic responses to operational issues. Similarly, </w:t>
      </w:r>
      <w:proofErr w:type="spellStart"/>
      <w:r w:rsidRPr="00957BEB">
        <w:rPr>
          <w:rFonts w:ascii="Times New Roman" w:eastAsia="Times New Roman" w:hAnsi="Times New Roman" w:cs="Times New Roman"/>
          <w:bCs/>
          <w:sz w:val="24"/>
          <w:szCs w:val="24"/>
        </w:rPr>
        <w:t>Odukomaiya</w:t>
      </w:r>
      <w:proofErr w:type="spellEnd"/>
      <w:r w:rsidRPr="00957BEB">
        <w:rPr>
          <w:rFonts w:ascii="Times New Roman" w:eastAsia="Times New Roman" w:hAnsi="Times New Roman" w:cs="Times New Roman"/>
          <w:bCs/>
          <w:sz w:val="24"/>
          <w:szCs w:val="24"/>
        </w:rPr>
        <w:t xml:space="preserve"> (2023)</w:t>
      </w:r>
      <w:r w:rsidRPr="00957BEB">
        <w:rPr>
          <w:rFonts w:ascii="Times New Roman" w:eastAsia="Times New Roman" w:hAnsi="Times New Roman" w:cs="Times New Roman"/>
          <w:sz w:val="24"/>
          <w:szCs w:val="24"/>
        </w:rPr>
        <w:t xml:space="preserve"> found that while SMEs are aware of operational threats, they often rely on informal and inconsistent strategies, leading to performance fluctuations. However, </w:t>
      </w:r>
      <w:proofErr w:type="spellStart"/>
      <w:r w:rsidRPr="00957BEB">
        <w:rPr>
          <w:rFonts w:ascii="Times New Roman" w:eastAsia="Times New Roman" w:hAnsi="Times New Roman" w:cs="Times New Roman"/>
          <w:bCs/>
          <w:sz w:val="24"/>
          <w:szCs w:val="24"/>
        </w:rPr>
        <w:t>Borokini</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presented a slightly different perspective, reporting a positive but statistically insignificant relationship between operational risks and the return on assets among banks, suggesting that effects may vary by sector. </w:t>
      </w:r>
    </w:p>
    <w:p w14:paraId="5A4706DD" w14:textId="77777777" w:rsidR="00CA27D4" w:rsidRPr="00957BEB" w:rsidRDefault="00CA27D4" w:rsidP="00957BEB">
      <w:pPr>
        <w:spacing w:after="120" w:line="276" w:lineRule="auto"/>
        <w:jc w:val="both"/>
        <w:rPr>
          <w:rFonts w:ascii="Times New Roman" w:eastAsia="Times New Roman" w:hAnsi="Times New Roman" w:cs="Times New Roman"/>
          <w:sz w:val="24"/>
          <w:szCs w:val="24"/>
        </w:rPr>
      </w:pPr>
      <w:r w:rsidRPr="00957BEB">
        <w:rPr>
          <w:rFonts w:ascii="Times New Roman" w:eastAsia="Times New Roman" w:hAnsi="Times New Roman" w:cs="Times New Roman"/>
          <w:sz w:val="24"/>
          <w:szCs w:val="24"/>
        </w:rPr>
        <w:t xml:space="preserve">Liquidity risks also showed a significant negative impact on the corporate performance of selected small-scale firms. Liquidity risk—the inability of a firm to meet its short-term obligations due to cash flow constraints—is especially critical for small-scale enterprises that often lack diversified revenue streams or access to credit. For these businesses, any delay in receivables or unforeseen expenditures can lead to cash crunches, inability to purchase inventory, late payments to suppliers, and missed opportunities for investment. This lack of liquidity, in turn, limits growth and can even lead to insolvency. Small firms in Nigeria frequently operate without adequate financial planning or buffers, and often rely heavily on inconsistent customer payments. In such volatile environments, poor liquidity management is a critical performance limiter, reducing not just day-to-day operational effectiveness, but also long-term financial stability. Several prior studies echo the finding that liquidity risk significantly undermines firm performance. </w:t>
      </w:r>
      <w:proofErr w:type="spellStart"/>
      <w:r w:rsidRPr="00957BEB">
        <w:rPr>
          <w:rFonts w:ascii="Times New Roman" w:eastAsia="Times New Roman" w:hAnsi="Times New Roman" w:cs="Times New Roman"/>
          <w:bCs/>
          <w:sz w:val="24"/>
          <w:szCs w:val="24"/>
        </w:rPr>
        <w:t>Borokini</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reported that liquidity risk had a statistically significant negative impact on return on assets among Nigerian banks, emphasizing the universal threat liquidity shortages pose to firm performance. Similarly, </w:t>
      </w:r>
      <w:r w:rsidRPr="00957BEB">
        <w:rPr>
          <w:rFonts w:ascii="Times New Roman" w:eastAsia="Times New Roman" w:hAnsi="Times New Roman" w:cs="Times New Roman"/>
          <w:bCs/>
          <w:sz w:val="24"/>
          <w:szCs w:val="24"/>
        </w:rPr>
        <w:t>Rabiu (2023)</w:t>
      </w:r>
      <w:r w:rsidRPr="00957BEB">
        <w:rPr>
          <w:rFonts w:ascii="Times New Roman" w:eastAsia="Times New Roman" w:hAnsi="Times New Roman" w:cs="Times New Roman"/>
          <w:sz w:val="24"/>
          <w:szCs w:val="24"/>
        </w:rPr>
        <w:t xml:space="preserve"> established that liquidity strength significantly influences both return on assets and equity for microfinance banks, highlighting how a sound liquidity position enhances financial stability and outcomes. In the SME context, </w:t>
      </w:r>
      <w:proofErr w:type="spellStart"/>
      <w:r w:rsidRPr="00957BEB">
        <w:rPr>
          <w:rFonts w:ascii="Times New Roman" w:eastAsia="Times New Roman" w:hAnsi="Times New Roman" w:cs="Times New Roman"/>
          <w:bCs/>
          <w:sz w:val="24"/>
          <w:szCs w:val="24"/>
        </w:rPr>
        <w:t>Aduloju</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Akindipe</w:t>
      </w:r>
      <w:proofErr w:type="spellEnd"/>
      <w:r w:rsidRPr="00957BEB">
        <w:rPr>
          <w:rFonts w:ascii="Times New Roman" w:eastAsia="Times New Roman" w:hAnsi="Times New Roman" w:cs="Times New Roman"/>
          <w:bCs/>
          <w:sz w:val="24"/>
          <w:szCs w:val="24"/>
        </w:rPr>
        <w:t xml:space="preserve"> (2022)</w:t>
      </w:r>
      <w:r w:rsidRPr="00957BEB">
        <w:rPr>
          <w:rFonts w:ascii="Times New Roman" w:eastAsia="Times New Roman" w:hAnsi="Times New Roman" w:cs="Times New Roman"/>
          <w:sz w:val="24"/>
          <w:szCs w:val="24"/>
        </w:rPr>
        <w:t xml:space="preserve"> stressed the value of financial risk control techniques, including those aimed at liquidity risks, noting their positive correlation with SME performance in Lagos. Additionally, </w:t>
      </w:r>
      <w:proofErr w:type="spellStart"/>
      <w:r w:rsidRPr="00957BEB">
        <w:rPr>
          <w:rFonts w:ascii="Times New Roman" w:eastAsia="Times New Roman" w:hAnsi="Times New Roman" w:cs="Times New Roman"/>
          <w:bCs/>
          <w:sz w:val="24"/>
          <w:szCs w:val="24"/>
        </w:rPr>
        <w:t>Isamade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Udeh</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Odo</w:t>
      </w:r>
      <w:proofErr w:type="spellEnd"/>
      <w:r w:rsidRPr="00957BEB">
        <w:rPr>
          <w:rFonts w:ascii="Times New Roman" w:eastAsia="Times New Roman" w:hAnsi="Times New Roman" w:cs="Times New Roman"/>
          <w:bCs/>
          <w:sz w:val="24"/>
          <w:szCs w:val="24"/>
        </w:rPr>
        <w:t xml:space="preserve"> (2022)</w:t>
      </w:r>
      <w:r w:rsidRPr="00957BEB">
        <w:rPr>
          <w:rFonts w:ascii="Times New Roman" w:eastAsia="Times New Roman" w:hAnsi="Times New Roman" w:cs="Times New Roman"/>
          <w:sz w:val="24"/>
          <w:szCs w:val="24"/>
        </w:rPr>
        <w:t xml:space="preserve"> identified a significant positive relationship between liquidity risk management and annual profit in selected manufacturing firms, showing that firms that effectively manage liquidity risks tend to report better financial outcomes. While </w:t>
      </w:r>
      <w:proofErr w:type="spellStart"/>
      <w:r w:rsidRPr="00957BEB">
        <w:rPr>
          <w:rFonts w:ascii="Times New Roman" w:eastAsia="Times New Roman" w:hAnsi="Times New Roman" w:cs="Times New Roman"/>
          <w:bCs/>
          <w:sz w:val="24"/>
          <w:szCs w:val="24"/>
        </w:rPr>
        <w:t>Newstyle</w:t>
      </w:r>
      <w:proofErr w:type="spellEnd"/>
      <w:r w:rsidRPr="00957BEB">
        <w:rPr>
          <w:rFonts w:ascii="Times New Roman" w:eastAsia="Times New Roman" w:hAnsi="Times New Roman" w:cs="Times New Roman"/>
          <w:bCs/>
          <w:sz w:val="24"/>
          <w:szCs w:val="24"/>
        </w:rPr>
        <w:t xml:space="preserve">, </w:t>
      </w:r>
      <w:proofErr w:type="spellStart"/>
      <w:r w:rsidRPr="00957BEB">
        <w:rPr>
          <w:rFonts w:ascii="Times New Roman" w:eastAsia="Times New Roman" w:hAnsi="Times New Roman" w:cs="Times New Roman"/>
          <w:bCs/>
          <w:sz w:val="24"/>
          <w:szCs w:val="24"/>
        </w:rPr>
        <w:t>Isele</w:t>
      </w:r>
      <w:proofErr w:type="spellEnd"/>
      <w:r w:rsidRPr="00957BEB">
        <w:rPr>
          <w:rFonts w:ascii="Times New Roman" w:eastAsia="Times New Roman" w:hAnsi="Times New Roman" w:cs="Times New Roman"/>
          <w:bCs/>
          <w:sz w:val="24"/>
          <w:szCs w:val="24"/>
        </w:rPr>
        <w:t xml:space="preserve">, and </w:t>
      </w:r>
      <w:proofErr w:type="spellStart"/>
      <w:r w:rsidRPr="00957BEB">
        <w:rPr>
          <w:rFonts w:ascii="Times New Roman" w:eastAsia="Times New Roman" w:hAnsi="Times New Roman" w:cs="Times New Roman"/>
          <w:bCs/>
          <w:sz w:val="24"/>
          <w:szCs w:val="24"/>
        </w:rPr>
        <w:t>Tekerebo</w:t>
      </w:r>
      <w:proofErr w:type="spellEnd"/>
      <w:r w:rsidRPr="00957BEB">
        <w:rPr>
          <w:rFonts w:ascii="Times New Roman" w:eastAsia="Times New Roman" w:hAnsi="Times New Roman" w:cs="Times New Roman"/>
          <w:bCs/>
          <w:sz w:val="24"/>
          <w:szCs w:val="24"/>
        </w:rPr>
        <w:t xml:space="preserve"> (2024)</w:t>
      </w:r>
      <w:r w:rsidRPr="00957BEB">
        <w:rPr>
          <w:rFonts w:ascii="Times New Roman" w:eastAsia="Times New Roman" w:hAnsi="Times New Roman" w:cs="Times New Roman"/>
          <w:sz w:val="24"/>
          <w:szCs w:val="24"/>
        </w:rPr>
        <w:t xml:space="preserve"> found no significant influence of liquidity risk management on performance in banks, this may reflect sectoral differences in risk sensitivity, underscoring the greater vulnerability of small firms to liquidity disruptions.</w:t>
      </w:r>
    </w:p>
    <w:p w14:paraId="5A4706DE" w14:textId="77777777" w:rsidR="00B04715" w:rsidRPr="00957BEB" w:rsidRDefault="00B04715" w:rsidP="00957BEB">
      <w:pPr>
        <w:pStyle w:val="Heading1"/>
        <w:spacing w:before="0" w:after="120" w:line="276" w:lineRule="auto"/>
        <w:rPr>
          <w:rFonts w:eastAsia="Calibri" w:cs="Times New Roman"/>
          <w:szCs w:val="24"/>
        </w:rPr>
      </w:pPr>
      <w:r w:rsidRPr="00957BEB">
        <w:rPr>
          <w:rFonts w:eastAsia="Calibri" w:cs="Times New Roman"/>
          <w:szCs w:val="24"/>
        </w:rPr>
        <w:t xml:space="preserve">5.0 </w:t>
      </w:r>
      <w:r w:rsidR="00077164" w:rsidRPr="00957BEB">
        <w:rPr>
          <w:rFonts w:eastAsia="Calibri" w:cs="Times New Roman"/>
          <w:szCs w:val="24"/>
        </w:rPr>
        <w:t>Conclusion and Recommendation</w:t>
      </w:r>
    </w:p>
    <w:p w14:paraId="5A4706DF" w14:textId="77777777" w:rsidR="00B04715" w:rsidRPr="00957BEB" w:rsidRDefault="00895824"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 xml:space="preserve">The influence of financial risk management on the corporate performance of small-scale firms in Nigeria is a subject of growing interest due to the fragile nature of SMEs in developing economies. In such settings, operational and liquidity risks are often underestimated or poorly </w:t>
      </w:r>
      <w:r w:rsidRPr="00957BEB">
        <w:rPr>
          <w:rFonts w:ascii="Times New Roman" w:eastAsia="Calibri" w:hAnsi="Times New Roman" w:cs="Times New Roman"/>
          <w:sz w:val="24"/>
          <w:szCs w:val="24"/>
        </w:rPr>
        <w:lastRenderedPageBreak/>
        <w:t xml:space="preserve">managed, leading to severe consequences for business continuity, growth, and profitability. The findings of this study reveal that both operational and liquidity risks have a </w:t>
      </w:r>
      <w:r w:rsidRPr="00957BEB">
        <w:rPr>
          <w:rFonts w:ascii="Times New Roman" w:eastAsia="Calibri" w:hAnsi="Times New Roman" w:cs="Times New Roman"/>
          <w:bCs/>
          <w:sz w:val="24"/>
          <w:szCs w:val="24"/>
        </w:rPr>
        <w:t>significant negative influence</w:t>
      </w:r>
      <w:r w:rsidRPr="00957BEB">
        <w:rPr>
          <w:rFonts w:ascii="Times New Roman" w:eastAsia="Calibri" w:hAnsi="Times New Roman" w:cs="Times New Roman"/>
          <w:sz w:val="24"/>
          <w:szCs w:val="24"/>
        </w:rPr>
        <w:t xml:space="preserve"> on the corporate performance of selected small-scale firms in Nigeria. These outcomes emphasize the importance of structured, proactive financial risk management practices in helping small businesses withstand economic pressures and uncertain market dynamics.</w:t>
      </w:r>
    </w:p>
    <w:p w14:paraId="5A4706E0" w14:textId="08863EC5" w:rsidR="00B04715" w:rsidRPr="00957BEB"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 xml:space="preserve">The findings that both operational and liquidity risks have a significant negative influence on the corporate performance of selected small-scale firms in Nigeria carry important </w:t>
      </w:r>
      <w:r w:rsidR="00955F60" w:rsidRPr="00957BEB">
        <w:rPr>
          <w:rFonts w:ascii="Times New Roman" w:eastAsia="Calibri" w:hAnsi="Times New Roman" w:cs="Times New Roman"/>
          <w:sz w:val="24"/>
          <w:szCs w:val="24"/>
        </w:rPr>
        <w:t>consequences</w:t>
      </w:r>
      <w:r w:rsidRPr="00957BEB">
        <w:rPr>
          <w:rFonts w:ascii="Times New Roman" w:eastAsia="Calibri" w:hAnsi="Times New Roman" w:cs="Times New Roman"/>
          <w:sz w:val="24"/>
          <w:szCs w:val="24"/>
        </w:rPr>
        <w:t xml:space="preserve"> for the sustainability and competitiveness of these enterprises. They highlight the fragile nature of small-scale firms, particularly in emerging economies, where limited access to resources, infrastructure, and formal risk management practices expose businesses to heightened vulnerabilities. These results suggest that financial risk, when left unmitigated, can undermine the core functional and financial structures of small enterprises, leading to inefficiencies, reduced profitability, and in severe cases, business failure. The study therefore recommends the following:</w:t>
      </w:r>
    </w:p>
    <w:p w14:paraId="5A4706E1" w14:textId="77777777" w:rsidR="00707DCA" w:rsidRPr="00957BEB"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1. Small-scale firm owners and managers invest in enhancing their internal risk management frameworks, including the adoption of regular operational audits and process optimization strategies to identify and mitigate operational inefficiencies.</w:t>
      </w:r>
    </w:p>
    <w:p w14:paraId="5A4706E2" w14:textId="77777777" w:rsidR="00707DCA" w:rsidRDefault="00707DCA" w:rsidP="00957BEB">
      <w:pPr>
        <w:spacing w:after="120" w:line="276" w:lineRule="auto"/>
        <w:contextualSpacing/>
        <w:jc w:val="both"/>
        <w:rPr>
          <w:rFonts w:ascii="Times New Roman" w:eastAsia="Calibri" w:hAnsi="Times New Roman" w:cs="Times New Roman"/>
          <w:sz w:val="24"/>
          <w:szCs w:val="24"/>
        </w:rPr>
      </w:pPr>
      <w:r w:rsidRPr="00957BEB">
        <w:rPr>
          <w:rFonts w:ascii="Times New Roman" w:eastAsia="Calibri" w:hAnsi="Times New Roman" w:cs="Times New Roman"/>
          <w:sz w:val="24"/>
          <w:szCs w:val="24"/>
        </w:rPr>
        <w:t>2. The financial managers of small-scale firms prioritize better cash flow management strategies, such as maintaining adequate working capital reserves and improving receivables collection practices, to ensure their businesses can maintain financial stability during periods of economic uncertainty.</w:t>
      </w:r>
    </w:p>
    <w:p w14:paraId="1FDBE5FF" w14:textId="75FD8344" w:rsidR="00955F60" w:rsidRPr="00493B84" w:rsidRDefault="00955F60" w:rsidP="00955F60">
      <w:pPr>
        <w:pStyle w:val="Heading1"/>
        <w:rPr>
          <w:rFonts w:eastAsia="Calibri"/>
          <w:highlight w:val="yellow"/>
        </w:rPr>
      </w:pPr>
      <w:r>
        <w:rPr>
          <w:rFonts w:eastAsia="Calibri"/>
        </w:rPr>
        <w:t>5.</w:t>
      </w:r>
      <w:r w:rsidRPr="00493B84">
        <w:rPr>
          <w:rFonts w:eastAsia="Calibri"/>
          <w:highlight w:val="yellow"/>
        </w:rPr>
        <w:t xml:space="preserve">1 Practical Implication of Findings </w:t>
      </w:r>
    </w:p>
    <w:p w14:paraId="5213260D" w14:textId="019FB2FE" w:rsidR="00955F60" w:rsidRPr="00957BEB" w:rsidRDefault="005C1A2B" w:rsidP="00957BEB">
      <w:pPr>
        <w:spacing w:after="120" w:line="276" w:lineRule="auto"/>
        <w:contextualSpacing/>
        <w:jc w:val="both"/>
        <w:rPr>
          <w:rFonts w:ascii="Times New Roman" w:eastAsia="Calibri" w:hAnsi="Times New Roman" w:cs="Times New Roman"/>
          <w:sz w:val="24"/>
          <w:szCs w:val="24"/>
        </w:rPr>
      </w:pPr>
      <w:r w:rsidRPr="00493B84">
        <w:rPr>
          <w:rFonts w:ascii="Times New Roman" w:eastAsia="Calibri" w:hAnsi="Times New Roman" w:cs="Times New Roman"/>
          <w:sz w:val="24"/>
          <w:szCs w:val="24"/>
          <w:highlight w:val="yellow"/>
        </w:rPr>
        <w:t>The practical implications of the study’s findings suggest that small-scale firms in Nigeria must prioritize effective risk management strategies, particularly in mitigating operational and liquidity risks, to enhance corporate performance. The significant negative influence of these risks implies that inefficiencies in internal operations and cash flow constraints can severely hamper business productivity, profitability, and growth. Therefore, entrepreneurs and managers of small-scale enterprises should invest in robust internal control systems, enhance operational efficiency through staff training and process automation, and maintain adequate liquidity buffers to withstand financial shocks. Policymakers and support institutions should also provide targeted interventions such as financial literacy programs, access to flexible credit facilities, and operational risk assessment tools to strengthen the resilience and sustainability of small-scale firms in the country.</w:t>
      </w:r>
    </w:p>
    <w:p w14:paraId="5A4706E3" w14:textId="3B65E976" w:rsidR="00707DCA" w:rsidRPr="00957BEB" w:rsidRDefault="00400BDA" w:rsidP="00957BEB">
      <w:pPr>
        <w:pStyle w:val="Heading1"/>
        <w:spacing w:before="0" w:after="120" w:line="276" w:lineRule="auto"/>
        <w:rPr>
          <w:rFonts w:eastAsia="Calibri" w:cs="Times New Roman"/>
          <w:szCs w:val="24"/>
        </w:rPr>
      </w:pPr>
      <w:r w:rsidRPr="00957BEB">
        <w:rPr>
          <w:rFonts w:eastAsia="Calibri" w:cs="Times New Roman"/>
          <w:szCs w:val="24"/>
        </w:rPr>
        <w:t>5</w:t>
      </w:r>
      <w:r w:rsidR="00955F60">
        <w:rPr>
          <w:rFonts w:eastAsia="Calibri" w:cs="Times New Roman"/>
          <w:szCs w:val="24"/>
        </w:rPr>
        <w:t>.2</w:t>
      </w:r>
      <w:r w:rsidR="00E30607">
        <w:rPr>
          <w:rFonts w:eastAsia="Calibri" w:cs="Times New Roman"/>
          <w:szCs w:val="24"/>
        </w:rPr>
        <w:t xml:space="preserve"> Limitations of the Study</w:t>
      </w:r>
    </w:p>
    <w:p w14:paraId="5A4706E4" w14:textId="77777777" w:rsidR="002A094C" w:rsidRDefault="002A094C" w:rsidP="002A094C">
      <w:pPr>
        <w:spacing w:after="120" w:line="276" w:lineRule="auto"/>
        <w:contextualSpacing/>
        <w:jc w:val="both"/>
        <w:rPr>
          <w:rFonts w:ascii="Times New Roman" w:eastAsia="Calibri" w:hAnsi="Times New Roman" w:cs="Times New Roman"/>
          <w:sz w:val="24"/>
          <w:szCs w:val="24"/>
        </w:rPr>
      </w:pPr>
      <w:r w:rsidRPr="002A094C">
        <w:rPr>
          <w:rFonts w:ascii="Times New Roman" w:eastAsia="Calibri" w:hAnsi="Times New Roman" w:cs="Times New Roman"/>
          <w:sz w:val="24"/>
          <w:szCs w:val="24"/>
        </w:rPr>
        <w:t xml:space="preserve">This study has certain constraints that should be acknowledged. First, the sample comprised only 210 managers from selected small-scale enterprises, identified through the snowball sampling approach. As a result, the findings may not adequately reflect the broader population of small-scale businesses operating across Nigeria. Furthermore, the study was limited in scope to just two categories of financial risk—namely operational and liquidity risks—while excluding other critical forms such as credit risk, interest rate risk, and market risk. This </w:t>
      </w:r>
      <w:r w:rsidRPr="002A094C">
        <w:rPr>
          <w:rFonts w:ascii="Times New Roman" w:eastAsia="Calibri" w:hAnsi="Times New Roman" w:cs="Times New Roman"/>
          <w:sz w:val="24"/>
          <w:szCs w:val="24"/>
        </w:rPr>
        <w:lastRenderedPageBreak/>
        <w:t>limitation potentially narrows th</w:t>
      </w:r>
      <w:r w:rsidR="00DA13F5">
        <w:rPr>
          <w:rFonts w:ascii="Times New Roman" w:eastAsia="Calibri" w:hAnsi="Times New Roman" w:cs="Times New Roman"/>
          <w:sz w:val="24"/>
          <w:szCs w:val="24"/>
        </w:rPr>
        <w:t xml:space="preserve">e comprehensiveness of the </w:t>
      </w:r>
      <w:r w:rsidRPr="002A094C">
        <w:rPr>
          <w:rFonts w:ascii="Times New Roman" w:eastAsia="Calibri" w:hAnsi="Times New Roman" w:cs="Times New Roman"/>
          <w:sz w:val="24"/>
          <w:szCs w:val="24"/>
        </w:rPr>
        <w:t>h</w:t>
      </w:r>
      <w:r w:rsidR="00DA13F5">
        <w:rPr>
          <w:rFonts w:ascii="Times New Roman" w:eastAsia="Calibri" w:hAnsi="Times New Roman" w:cs="Times New Roman"/>
          <w:sz w:val="24"/>
          <w:szCs w:val="24"/>
        </w:rPr>
        <w:t>in</w:t>
      </w:r>
      <w:r w:rsidRPr="002A094C">
        <w:rPr>
          <w:rFonts w:ascii="Times New Roman" w:eastAsia="Calibri" w:hAnsi="Times New Roman" w:cs="Times New Roman"/>
          <w:sz w:val="24"/>
          <w:szCs w:val="24"/>
        </w:rPr>
        <w:t>ts into the influence of financial risk on corporate performance. Moreover, given that the data collection relied solely on self-reported questionnaires, the accuracy of the responses may have been influenced by individual biases or subjective interpretations by the respondents.</w:t>
      </w:r>
    </w:p>
    <w:p w14:paraId="5D948178" w14:textId="31B24A5F" w:rsidR="00E30607" w:rsidRPr="002A094C" w:rsidRDefault="00955F60" w:rsidP="00E30607">
      <w:pPr>
        <w:pStyle w:val="Heading1"/>
        <w:rPr>
          <w:rFonts w:eastAsia="Calibri"/>
        </w:rPr>
      </w:pPr>
      <w:r>
        <w:rPr>
          <w:rFonts w:eastAsia="Calibri"/>
          <w:highlight w:val="yellow"/>
        </w:rPr>
        <w:t>5.3</w:t>
      </w:r>
      <w:r w:rsidR="00E30607" w:rsidRPr="00E30607">
        <w:rPr>
          <w:rFonts w:eastAsia="Calibri"/>
          <w:highlight w:val="yellow"/>
        </w:rPr>
        <w:t xml:space="preserve"> </w:t>
      </w:r>
      <w:r w:rsidR="00E30607" w:rsidRPr="00E30607">
        <w:rPr>
          <w:rFonts w:eastAsia="Calibri"/>
          <w:highlight w:val="yellow"/>
        </w:rPr>
        <w:t>Suggestion for Further Studies</w:t>
      </w:r>
    </w:p>
    <w:p w14:paraId="5A4706E5" w14:textId="2CF42EAB" w:rsidR="002A094C" w:rsidRDefault="002A094C" w:rsidP="002A094C">
      <w:pPr>
        <w:spacing w:after="120" w:line="276" w:lineRule="auto"/>
        <w:contextualSpacing/>
        <w:jc w:val="both"/>
        <w:rPr>
          <w:rFonts w:ascii="Times New Roman" w:eastAsia="Calibri" w:hAnsi="Times New Roman" w:cs="Times New Roman"/>
          <w:sz w:val="24"/>
          <w:szCs w:val="24"/>
        </w:rPr>
      </w:pPr>
      <w:r w:rsidRPr="00BE3703">
        <w:rPr>
          <w:rFonts w:ascii="Times New Roman" w:eastAsia="Calibri" w:hAnsi="Times New Roman" w:cs="Times New Roman"/>
          <w:sz w:val="24"/>
          <w:szCs w:val="24"/>
          <w:highlight w:val="yellow"/>
        </w:rPr>
        <w:t xml:space="preserve">Subsequent research can broaden the scope by investigating additional financial risk variables, including credit risk, interest rate risk, and market risk, to obtain a more holistic understanding of financial risk management. Expanding the sample size and applying more representative sampling techniques—such as stratified or random sampling—could enhance the generalizability of the findings. Researchers may also consider narrowing their focus to particular industries or geographic regions, which would provide </w:t>
      </w:r>
      <w:r w:rsidR="00DA13F5" w:rsidRPr="00BE3703">
        <w:rPr>
          <w:rFonts w:ascii="Times New Roman" w:eastAsia="Calibri" w:hAnsi="Times New Roman" w:cs="Times New Roman"/>
          <w:sz w:val="24"/>
          <w:szCs w:val="24"/>
          <w:highlight w:val="yellow"/>
        </w:rPr>
        <w:t>more information</w:t>
      </w:r>
      <w:r w:rsidRPr="00BE3703">
        <w:rPr>
          <w:rFonts w:ascii="Times New Roman" w:eastAsia="Calibri" w:hAnsi="Times New Roman" w:cs="Times New Roman"/>
          <w:sz w:val="24"/>
          <w:szCs w:val="24"/>
          <w:highlight w:val="yellow"/>
        </w:rPr>
        <w:t xml:space="preserve"> into sector-specific or location-based financial risk management practices among small-scale firms.</w:t>
      </w:r>
    </w:p>
    <w:p w14:paraId="227A14FF" w14:textId="77777777" w:rsidR="00955F60" w:rsidRDefault="00955F60" w:rsidP="002A094C">
      <w:pPr>
        <w:spacing w:after="120" w:line="276" w:lineRule="auto"/>
        <w:contextualSpacing/>
        <w:jc w:val="both"/>
        <w:rPr>
          <w:rFonts w:ascii="Times New Roman" w:eastAsia="Calibri" w:hAnsi="Times New Roman" w:cs="Times New Roman"/>
          <w:sz w:val="24"/>
          <w:szCs w:val="24"/>
        </w:rPr>
      </w:pPr>
    </w:p>
    <w:p w14:paraId="40843468" w14:textId="77777777" w:rsidR="00955F60" w:rsidRDefault="00955F60" w:rsidP="002A094C">
      <w:pPr>
        <w:spacing w:after="120" w:line="276" w:lineRule="auto"/>
        <w:contextualSpacing/>
        <w:jc w:val="both"/>
        <w:rPr>
          <w:rFonts w:ascii="Times New Roman" w:eastAsia="Calibri" w:hAnsi="Times New Roman" w:cs="Times New Roman"/>
          <w:sz w:val="24"/>
          <w:szCs w:val="24"/>
        </w:rPr>
      </w:pPr>
    </w:p>
    <w:p w14:paraId="118E6910" w14:textId="1F61366C" w:rsidR="00840F03" w:rsidRDefault="00840F03" w:rsidP="002A094C">
      <w:pPr>
        <w:spacing w:after="120" w:line="276" w:lineRule="auto"/>
        <w:contextualSpacing/>
        <w:jc w:val="both"/>
        <w:rPr>
          <w:rFonts w:ascii="Times New Roman" w:eastAsia="Calibri" w:hAnsi="Times New Roman" w:cs="Times New Roman"/>
          <w:sz w:val="24"/>
          <w:szCs w:val="24"/>
        </w:rPr>
      </w:pPr>
    </w:p>
    <w:p w14:paraId="0DE03E8E" w14:textId="77777777" w:rsidR="008E7620" w:rsidRPr="008E7620" w:rsidRDefault="008E7620" w:rsidP="008E7620">
      <w:pPr>
        <w:autoSpaceDE/>
        <w:autoSpaceDN/>
        <w:adjustRightInd/>
        <w:spacing w:after="200" w:line="276" w:lineRule="auto"/>
        <w:rPr>
          <w:rFonts w:ascii="Calibri" w:eastAsia="Calibri" w:hAnsi="Calibri" w:cs="Times New Roman"/>
          <w:color w:val="auto"/>
          <w:kern w:val="2"/>
          <w:sz w:val="22"/>
          <w:szCs w:val="22"/>
          <w:highlight w:val="yellow"/>
        </w:rPr>
      </w:pPr>
      <w:bookmarkStart w:id="2" w:name="_Hlk180402183"/>
      <w:bookmarkStart w:id="3" w:name="_Hlk183680988"/>
      <w:r w:rsidRPr="008E7620">
        <w:rPr>
          <w:rFonts w:ascii="Calibri" w:eastAsia="Calibri" w:hAnsi="Calibri" w:cs="Times New Roman"/>
          <w:color w:val="auto"/>
          <w:kern w:val="2"/>
          <w:sz w:val="22"/>
          <w:szCs w:val="22"/>
          <w:highlight w:val="yellow"/>
        </w:rPr>
        <w:t>Disclaimer (Artificial intelligence)</w:t>
      </w:r>
    </w:p>
    <w:p w14:paraId="36ED4F92" w14:textId="2CD097B8" w:rsidR="008E7620" w:rsidRPr="008E7620" w:rsidRDefault="008C533C" w:rsidP="008662EA">
      <w:pPr>
        <w:autoSpaceDE/>
        <w:autoSpaceDN/>
        <w:adjustRightInd/>
        <w:spacing w:after="200" w:line="276" w:lineRule="auto"/>
        <w:jc w:val="both"/>
        <w:rPr>
          <w:rFonts w:ascii="Calibri" w:eastAsia="Calibri" w:hAnsi="Calibri" w:cs="Times New Roman"/>
          <w:color w:val="auto"/>
          <w:kern w:val="2"/>
          <w:sz w:val="22"/>
          <w:szCs w:val="22"/>
          <w:highlight w:val="yellow"/>
        </w:rPr>
      </w:pPr>
      <w:r>
        <w:rPr>
          <w:rFonts w:ascii="Calibri" w:eastAsia="Calibri" w:hAnsi="Calibri" w:cs="Times New Roman"/>
          <w:color w:val="auto"/>
          <w:kern w:val="2"/>
          <w:sz w:val="22"/>
          <w:szCs w:val="22"/>
          <w:highlight w:val="yellow"/>
        </w:rPr>
        <w:t>The Author</w:t>
      </w:r>
      <w:r w:rsidR="008E7620" w:rsidRPr="008E7620">
        <w:rPr>
          <w:rFonts w:ascii="Calibri" w:eastAsia="Calibri" w:hAnsi="Calibri" w:cs="Times New Roman"/>
          <w:color w:val="auto"/>
          <w:kern w:val="2"/>
          <w:sz w:val="22"/>
          <w:szCs w:val="22"/>
          <w:highlight w:val="yellow"/>
        </w:rPr>
        <w:t xml:space="preserve"> hereby declare that NO generative AI technologies such as Large Language Models (</w:t>
      </w:r>
      <w:proofErr w:type="spellStart"/>
      <w:r w:rsidR="008E7620" w:rsidRPr="008E7620">
        <w:rPr>
          <w:rFonts w:ascii="Calibri" w:eastAsia="Calibri" w:hAnsi="Calibri" w:cs="Times New Roman"/>
          <w:color w:val="auto"/>
          <w:kern w:val="2"/>
          <w:sz w:val="22"/>
          <w:szCs w:val="22"/>
          <w:highlight w:val="yellow"/>
        </w:rPr>
        <w:t>ChatGPT</w:t>
      </w:r>
      <w:proofErr w:type="spellEnd"/>
      <w:r w:rsidR="008E7620" w:rsidRPr="008E7620">
        <w:rPr>
          <w:rFonts w:ascii="Calibri" w:eastAsia="Calibri" w:hAnsi="Calibri" w:cs="Times New Roman"/>
          <w:color w:val="auto"/>
          <w:kern w:val="2"/>
          <w:sz w:val="22"/>
          <w:szCs w:val="22"/>
          <w:highlight w:val="yellow"/>
        </w:rPr>
        <w:t xml:space="preserve">, COPILOT, etc.) and text-to-image generators have been used during the writing or editing of this manuscript. </w:t>
      </w:r>
    </w:p>
    <w:p w14:paraId="48DE75CD" w14:textId="4AAAA249" w:rsidR="008E7620" w:rsidRPr="008E7620" w:rsidRDefault="008E7620" w:rsidP="008E7620">
      <w:pPr>
        <w:autoSpaceDE/>
        <w:autoSpaceDN/>
        <w:adjustRightInd/>
        <w:spacing w:after="200" w:line="276" w:lineRule="auto"/>
        <w:rPr>
          <w:rFonts w:ascii="Calibri" w:eastAsia="Calibri" w:hAnsi="Calibri" w:cs="Times New Roman"/>
          <w:color w:val="auto"/>
          <w:kern w:val="2"/>
          <w:sz w:val="22"/>
          <w:szCs w:val="22"/>
        </w:rPr>
      </w:pPr>
    </w:p>
    <w:bookmarkEnd w:id="2"/>
    <w:bookmarkEnd w:id="3"/>
    <w:p w14:paraId="6F719C22" w14:textId="77777777" w:rsidR="00840F03" w:rsidRPr="002A094C" w:rsidRDefault="00840F03" w:rsidP="002A094C">
      <w:pPr>
        <w:spacing w:after="120" w:line="276" w:lineRule="auto"/>
        <w:contextualSpacing/>
        <w:jc w:val="both"/>
        <w:rPr>
          <w:rFonts w:ascii="Times New Roman" w:eastAsia="Calibri" w:hAnsi="Times New Roman" w:cs="Times New Roman"/>
          <w:sz w:val="24"/>
          <w:szCs w:val="24"/>
        </w:rPr>
      </w:pPr>
    </w:p>
    <w:p w14:paraId="5A4706E6" w14:textId="77777777" w:rsidR="00B04715" w:rsidRPr="00957BEB" w:rsidRDefault="00B04715" w:rsidP="00957BEB">
      <w:pPr>
        <w:spacing w:after="120" w:line="276" w:lineRule="auto"/>
        <w:contextualSpacing/>
        <w:jc w:val="both"/>
        <w:rPr>
          <w:rFonts w:ascii="Times New Roman" w:eastAsia="Calibri" w:hAnsi="Times New Roman" w:cs="Times New Roman"/>
          <w:sz w:val="24"/>
          <w:szCs w:val="24"/>
        </w:rPr>
      </w:pPr>
    </w:p>
    <w:p w14:paraId="5A4706E7" w14:textId="77777777" w:rsidR="00B04715" w:rsidRPr="00957BEB" w:rsidRDefault="00B04715" w:rsidP="007E72B8">
      <w:pPr>
        <w:pStyle w:val="Heading1"/>
        <w:jc w:val="center"/>
        <w:rPr>
          <w:rFonts w:eastAsia="Calibri"/>
        </w:rPr>
      </w:pPr>
      <w:r w:rsidRPr="00957BEB">
        <w:rPr>
          <w:rFonts w:eastAsia="Calibri"/>
        </w:rPr>
        <w:t>References</w:t>
      </w:r>
    </w:p>
    <w:p w14:paraId="65A6F44A"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Aduloju</w:t>
      </w:r>
      <w:proofErr w:type="spellEnd"/>
      <w:r w:rsidRPr="0087554F">
        <w:rPr>
          <w:rFonts w:ascii="Times New Roman" w:hAnsi="Times New Roman" w:cs="Times New Roman"/>
          <w:color w:val="auto"/>
          <w:sz w:val="24"/>
          <w:szCs w:val="24"/>
        </w:rPr>
        <w:t xml:space="preserve">, S. A., &amp; </w:t>
      </w:r>
      <w:proofErr w:type="spellStart"/>
      <w:r w:rsidRPr="0087554F">
        <w:rPr>
          <w:rFonts w:ascii="Times New Roman" w:hAnsi="Times New Roman" w:cs="Times New Roman"/>
          <w:color w:val="auto"/>
          <w:sz w:val="24"/>
          <w:szCs w:val="24"/>
        </w:rPr>
        <w:t>Akindipe</w:t>
      </w:r>
      <w:proofErr w:type="spellEnd"/>
      <w:r w:rsidRPr="0087554F">
        <w:rPr>
          <w:rFonts w:ascii="Times New Roman" w:hAnsi="Times New Roman" w:cs="Times New Roman"/>
          <w:color w:val="auto"/>
          <w:sz w:val="24"/>
          <w:szCs w:val="24"/>
        </w:rPr>
        <w:t>, O. E. (2022). The Effect of Risk Control Techniques on Organisational Performance of Selected SMES in Lagos State. </w:t>
      </w:r>
      <w:proofErr w:type="spellStart"/>
      <w:r w:rsidRPr="0087554F">
        <w:rPr>
          <w:rFonts w:ascii="Times New Roman" w:hAnsi="Times New Roman" w:cs="Times New Roman"/>
          <w:i/>
          <w:iCs/>
          <w:color w:val="auto"/>
          <w:sz w:val="24"/>
          <w:szCs w:val="24"/>
        </w:rPr>
        <w:t>Acta</w:t>
      </w:r>
      <w:proofErr w:type="spellEnd"/>
      <w:r w:rsidRPr="0087554F">
        <w:rPr>
          <w:rFonts w:ascii="Times New Roman" w:hAnsi="Times New Roman" w:cs="Times New Roman"/>
          <w:i/>
          <w:iCs/>
          <w:color w:val="auto"/>
          <w:sz w:val="24"/>
          <w:szCs w:val="24"/>
        </w:rPr>
        <w:t xml:space="preserve"> </w:t>
      </w:r>
      <w:proofErr w:type="spellStart"/>
      <w:r w:rsidRPr="0087554F">
        <w:rPr>
          <w:rFonts w:ascii="Times New Roman" w:hAnsi="Times New Roman" w:cs="Times New Roman"/>
          <w:i/>
          <w:iCs/>
          <w:color w:val="auto"/>
          <w:sz w:val="24"/>
          <w:szCs w:val="24"/>
        </w:rPr>
        <w:t>Universitatis</w:t>
      </w:r>
      <w:proofErr w:type="spellEnd"/>
      <w:r w:rsidRPr="0087554F">
        <w:rPr>
          <w:rFonts w:ascii="Times New Roman" w:hAnsi="Times New Roman" w:cs="Times New Roman"/>
          <w:i/>
          <w:iCs/>
          <w:color w:val="auto"/>
          <w:sz w:val="24"/>
          <w:szCs w:val="24"/>
        </w:rPr>
        <w:t xml:space="preserve"> </w:t>
      </w:r>
      <w:proofErr w:type="spellStart"/>
      <w:r w:rsidRPr="0087554F">
        <w:rPr>
          <w:rFonts w:ascii="Times New Roman" w:hAnsi="Times New Roman" w:cs="Times New Roman"/>
          <w:i/>
          <w:iCs/>
          <w:color w:val="auto"/>
          <w:sz w:val="24"/>
          <w:szCs w:val="24"/>
        </w:rPr>
        <w:t>Danubius</w:t>
      </w:r>
      <w:proofErr w:type="spellEnd"/>
      <w:r w:rsidRPr="0087554F">
        <w:rPr>
          <w:rFonts w:ascii="Times New Roman" w:hAnsi="Times New Roman" w:cs="Times New Roman"/>
          <w:i/>
          <w:iCs/>
          <w:color w:val="auto"/>
          <w:sz w:val="24"/>
          <w:szCs w:val="24"/>
        </w:rPr>
        <w:t xml:space="preserve">: </w:t>
      </w:r>
      <w:proofErr w:type="spellStart"/>
      <w:r w:rsidRPr="0087554F">
        <w:rPr>
          <w:rFonts w:ascii="Times New Roman" w:hAnsi="Times New Roman" w:cs="Times New Roman"/>
          <w:i/>
          <w:iCs/>
          <w:color w:val="auto"/>
          <w:sz w:val="24"/>
          <w:szCs w:val="24"/>
        </w:rPr>
        <w:t>Oeconomica</w:t>
      </w:r>
      <w:proofErr w:type="spellEnd"/>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18</w:t>
      </w:r>
      <w:r w:rsidRPr="0087554F">
        <w:rPr>
          <w:rFonts w:ascii="Times New Roman" w:hAnsi="Times New Roman" w:cs="Times New Roman"/>
          <w:color w:val="auto"/>
          <w:sz w:val="24"/>
          <w:szCs w:val="24"/>
        </w:rPr>
        <w:t>(1).</w:t>
      </w:r>
    </w:p>
    <w:p w14:paraId="50F699BE" w14:textId="77777777" w:rsidR="00E4593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Akowe</w:t>
      </w:r>
      <w:proofErr w:type="spellEnd"/>
      <w:r w:rsidRPr="0087554F">
        <w:rPr>
          <w:rFonts w:ascii="Times New Roman" w:hAnsi="Times New Roman" w:cs="Times New Roman"/>
          <w:color w:val="auto"/>
          <w:sz w:val="24"/>
          <w:szCs w:val="24"/>
        </w:rPr>
        <w:t>, A. (2023). Risk Management and Financial Performance of Firms in Nigeria: Firm Size as a Moderator. </w:t>
      </w:r>
      <w:r w:rsidRPr="0087554F">
        <w:rPr>
          <w:rFonts w:ascii="Times New Roman" w:hAnsi="Times New Roman" w:cs="Times New Roman"/>
          <w:i/>
          <w:iCs/>
          <w:color w:val="auto"/>
          <w:sz w:val="24"/>
          <w:szCs w:val="24"/>
        </w:rPr>
        <w:t>Journal of Public Administration, Policy and Governance Research</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w:t>
      </w:r>
      <w:r w:rsidRPr="0087554F">
        <w:rPr>
          <w:rFonts w:ascii="Times New Roman" w:hAnsi="Times New Roman" w:cs="Times New Roman"/>
          <w:color w:val="auto"/>
          <w:sz w:val="24"/>
          <w:szCs w:val="24"/>
        </w:rPr>
        <w:t>(4), 62-84.</w:t>
      </w:r>
    </w:p>
    <w:p w14:paraId="1F74E637"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Apaloo</w:t>
      </w:r>
      <w:proofErr w:type="spellEnd"/>
      <w:r w:rsidRPr="0087554F">
        <w:rPr>
          <w:rFonts w:ascii="Times New Roman" w:hAnsi="Times New Roman" w:cs="Times New Roman"/>
          <w:color w:val="auto"/>
          <w:sz w:val="24"/>
          <w:szCs w:val="24"/>
        </w:rPr>
        <w:t>, S., &amp; Bright, D. (2022). The effect of risk management practices on performance of small and medium scale enterprises. </w:t>
      </w:r>
      <w:r w:rsidRPr="0087554F">
        <w:rPr>
          <w:rFonts w:ascii="Times New Roman" w:hAnsi="Times New Roman" w:cs="Times New Roman"/>
          <w:i/>
          <w:iCs/>
          <w:color w:val="auto"/>
          <w:sz w:val="24"/>
          <w:szCs w:val="24"/>
        </w:rPr>
        <w:t>Enterprise risk management</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7</w:t>
      </w:r>
      <w:r w:rsidRPr="0087554F">
        <w:rPr>
          <w:rFonts w:ascii="Times New Roman" w:hAnsi="Times New Roman" w:cs="Times New Roman"/>
          <w:color w:val="auto"/>
          <w:sz w:val="24"/>
          <w:szCs w:val="24"/>
        </w:rPr>
        <w:t>(1), 1-16.</w:t>
      </w:r>
    </w:p>
    <w:p w14:paraId="62B09DCD"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Barney, J. B., &amp; Clark, D. N. (2007). </w:t>
      </w:r>
      <w:r w:rsidRPr="0087554F">
        <w:rPr>
          <w:rFonts w:ascii="Times New Roman" w:hAnsi="Times New Roman" w:cs="Times New Roman"/>
          <w:i/>
          <w:iCs/>
          <w:color w:val="auto"/>
          <w:sz w:val="24"/>
          <w:szCs w:val="24"/>
        </w:rPr>
        <w:t>Resource-based theory: Creating and sustaining competitive advantage</w:t>
      </w:r>
      <w:r w:rsidRPr="0087554F">
        <w:rPr>
          <w:rFonts w:ascii="Times New Roman" w:hAnsi="Times New Roman" w:cs="Times New Roman"/>
          <w:color w:val="auto"/>
          <w:sz w:val="24"/>
          <w:szCs w:val="24"/>
        </w:rPr>
        <w:t xml:space="preserve">. </w:t>
      </w:r>
      <w:proofErr w:type="spellStart"/>
      <w:r w:rsidRPr="0087554F">
        <w:rPr>
          <w:rFonts w:ascii="Times New Roman" w:hAnsi="Times New Roman" w:cs="Times New Roman"/>
          <w:color w:val="auto"/>
          <w:sz w:val="24"/>
          <w:szCs w:val="24"/>
        </w:rPr>
        <w:t>Oup</w:t>
      </w:r>
      <w:proofErr w:type="spellEnd"/>
      <w:r w:rsidRPr="0087554F">
        <w:rPr>
          <w:rFonts w:ascii="Times New Roman" w:hAnsi="Times New Roman" w:cs="Times New Roman"/>
          <w:color w:val="auto"/>
          <w:sz w:val="24"/>
          <w:szCs w:val="24"/>
        </w:rPr>
        <w:t xml:space="preserve"> Oxford.</w:t>
      </w:r>
    </w:p>
    <w:p w14:paraId="2CA2A8CD"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Borokini</w:t>
      </w:r>
      <w:proofErr w:type="spellEnd"/>
      <w:r w:rsidRPr="0087554F">
        <w:rPr>
          <w:rFonts w:ascii="Times New Roman" w:hAnsi="Times New Roman" w:cs="Times New Roman"/>
          <w:color w:val="auto"/>
          <w:sz w:val="24"/>
          <w:szCs w:val="24"/>
        </w:rPr>
        <w:t xml:space="preserve">, O. J. (2024). Effect of Financial Risk Management </w:t>
      </w:r>
      <w:proofErr w:type="gramStart"/>
      <w:r w:rsidRPr="0087554F">
        <w:rPr>
          <w:rFonts w:ascii="Times New Roman" w:hAnsi="Times New Roman" w:cs="Times New Roman"/>
          <w:color w:val="auto"/>
          <w:sz w:val="24"/>
          <w:szCs w:val="24"/>
        </w:rPr>
        <w:t>On</w:t>
      </w:r>
      <w:proofErr w:type="gramEnd"/>
      <w:r w:rsidRPr="0087554F">
        <w:rPr>
          <w:rFonts w:ascii="Times New Roman" w:hAnsi="Times New Roman" w:cs="Times New Roman"/>
          <w:color w:val="auto"/>
          <w:sz w:val="24"/>
          <w:szCs w:val="24"/>
        </w:rPr>
        <w:t xml:space="preserve"> Financial Performance By Listed Deposit Money Banks In Nigeria. </w:t>
      </w:r>
      <w:r w:rsidRPr="0087554F">
        <w:rPr>
          <w:rFonts w:ascii="Times New Roman" w:hAnsi="Times New Roman" w:cs="Times New Roman"/>
          <w:i/>
          <w:iCs/>
          <w:color w:val="auto"/>
          <w:sz w:val="24"/>
          <w:szCs w:val="24"/>
        </w:rPr>
        <w:t>ANUK College of Private Sector Accounting Journal</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w:t>
      </w:r>
      <w:r w:rsidRPr="0087554F">
        <w:rPr>
          <w:rFonts w:ascii="Times New Roman" w:hAnsi="Times New Roman" w:cs="Times New Roman"/>
          <w:color w:val="auto"/>
          <w:sz w:val="24"/>
          <w:szCs w:val="24"/>
        </w:rPr>
        <w:t>(1), 27-37.</w:t>
      </w:r>
    </w:p>
    <w:p w14:paraId="77328674"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lastRenderedPageBreak/>
        <w:t>Combs, J. G., Russell Crook, T., &amp; Shook, C. L. (2005). The dimensionality of organizational performance and its implications for strategic management research. In </w:t>
      </w:r>
      <w:r w:rsidRPr="0087554F">
        <w:rPr>
          <w:rFonts w:ascii="Times New Roman" w:hAnsi="Times New Roman" w:cs="Times New Roman"/>
          <w:i/>
          <w:iCs/>
          <w:color w:val="auto"/>
          <w:sz w:val="24"/>
          <w:szCs w:val="24"/>
        </w:rPr>
        <w:t>Research methodology in strategy and management</w:t>
      </w:r>
      <w:r w:rsidRPr="0087554F">
        <w:rPr>
          <w:rFonts w:ascii="Times New Roman" w:hAnsi="Times New Roman" w:cs="Times New Roman"/>
          <w:color w:val="auto"/>
          <w:sz w:val="24"/>
          <w:szCs w:val="24"/>
        </w:rPr>
        <w:t> (pp. 259-286). Emerald Group Publishing Limited.</w:t>
      </w:r>
    </w:p>
    <w:p w14:paraId="685D0301"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Drehmann</w:t>
      </w:r>
      <w:proofErr w:type="spellEnd"/>
      <w:r w:rsidRPr="0087554F">
        <w:rPr>
          <w:rFonts w:ascii="Times New Roman" w:hAnsi="Times New Roman" w:cs="Times New Roman"/>
          <w:color w:val="auto"/>
          <w:sz w:val="24"/>
          <w:szCs w:val="24"/>
        </w:rPr>
        <w:t>, M., &amp; Nikolaou, K. (2013). Funding liquidity risk: definition and measurement. </w:t>
      </w:r>
      <w:r w:rsidRPr="0087554F">
        <w:rPr>
          <w:rFonts w:ascii="Times New Roman" w:hAnsi="Times New Roman" w:cs="Times New Roman"/>
          <w:i/>
          <w:iCs/>
          <w:color w:val="auto"/>
          <w:sz w:val="24"/>
          <w:szCs w:val="24"/>
        </w:rPr>
        <w:t>Journal of Banking &amp; Finance</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37</w:t>
      </w:r>
      <w:r w:rsidRPr="0087554F">
        <w:rPr>
          <w:rFonts w:ascii="Times New Roman" w:hAnsi="Times New Roman" w:cs="Times New Roman"/>
          <w:color w:val="auto"/>
          <w:sz w:val="24"/>
          <w:szCs w:val="24"/>
        </w:rPr>
        <w:t>(7), 2173-2182.</w:t>
      </w:r>
    </w:p>
    <w:p w14:paraId="534928BC"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El </w:t>
      </w:r>
      <w:proofErr w:type="spellStart"/>
      <w:r w:rsidRPr="0087554F">
        <w:rPr>
          <w:rFonts w:ascii="Times New Roman" w:hAnsi="Times New Roman" w:cs="Times New Roman"/>
          <w:color w:val="auto"/>
          <w:sz w:val="24"/>
          <w:szCs w:val="24"/>
        </w:rPr>
        <w:t>Fallahi</w:t>
      </w:r>
      <w:proofErr w:type="spellEnd"/>
      <w:r w:rsidRPr="0087554F">
        <w:rPr>
          <w:rFonts w:ascii="Times New Roman" w:hAnsi="Times New Roman" w:cs="Times New Roman"/>
          <w:color w:val="auto"/>
          <w:sz w:val="24"/>
          <w:szCs w:val="24"/>
        </w:rPr>
        <w:t xml:space="preserve">, F., </w:t>
      </w:r>
      <w:proofErr w:type="spellStart"/>
      <w:r w:rsidRPr="0087554F">
        <w:rPr>
          <w:rFonts w:ascii="Times New Roman" w:hAnsi="Times New Roman" w:cs="Times New Roman"/>
          <w:color w:val="auto"/>
          <w:sz w:val="24"/>
          <w:szCs w:val="24"/>
        </w:rPr>
        <w:t>Ibenrissoul</w:t>
      </w:r>
      <w:proofErr w:type="spellEnd"/>
      <w:r w:rsidRPr="0087554F">
        <w:rPr>
          <w:rFonts w:ascii="Times New Roman" w:hAnsi="Times New Roman" w:cs="Times New Roman"/>
          <w:color w:val="auto"/>
          <w:sz w:val="24"/>
          <w:szCs w:val="24"/>
        </w:rPr>
        <w:t>, A., &amp; El Amri, A. (2023). Defining and Measuring Overall Performance in Emerging Countries: A Comprehensive Financial Perspective Review. </w:t>
      </w:r>
      <w:r w:rsidRPr="0087554F">
        <w:rPr>
          <w:rFonts w:ascii="Times New Roman" w:hAnsi="Times New Roman" w:cs="Times New Roman"/>
          <w:i/>
          <w:iCs/>
          <w:color w:val="auto"/>
          <w:sz w:val="24"/>
          <w:szCs w:val="24"/>
        </w:rPr>
        <w:t>Financial Markets, Institutions and Risks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7</w:t>
      </w:r>
      <w:r w:rsidRPr="0087554F">
        <w:rPr>
          <w:rFonts w:ascii="Times New Roman" w:hAnsi="Times New Roman" w:cs="Times New Roman"/>
          <w:color w:val="auto"/>
          <w:sz w:val="24"/>
          <w:szCs w:val="24"/>
        </w:rPr>
        <w:t>(3), 81-93.</w:t>
      </w:r>
    </w:p>
    <w:p w14:paraId="38AC994D"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Esteve</w:t>
      </w:r>
      <w:proofErr w:type="spellEnd"/>
      <w:r w:rsidRPr="0087554F">
        <w:rPr>
          <w:rFonts w:ascii="Times New Roman" w:hAnsi="Times New Roman" w:cs="Times New Roman"/>
          <w:color w:val="auto"/>
          <w:sz w:val="24"/>
          <w:szCs w:val="24"/>
        </w:rPr>
        <w:t xml:space="preserve">-Pérez, S., &amp; </w:t>
      </w:r>
      <w:proofErr w:type="spellStart"/>
      <w:r w:rsidRPr="0087554F">
        <w:rPr>
          <w:rFonts w:ascii="Times New Roman" w:hAnsi="Times New Roman" w:cs="Times New Roman"/>
          <w:color w:val="auto"/>
          <w:sz w:val="24"/>
          <w:szCs w:val="24"/>
        </w:rPr>
        <w:t>Mañez-Castillejo</w:t>
      </w:r>
      <w:proofErr w:type="spellEnd"/>
      <w:r w:rsidRPr="0087554F">
        <w:rPr>
          <w:rFonts w:ascii="Times New Roman" w:hAnsi="Times New Roman" w:cs="Times New Roman"/>
          <w:color w:val="auto"/>
          <w:sz w:val="24"/>
          <w:szCs w:val="24"/>
        </w:rPr>
        <w:t>, J. A. (2008). The resource-based theory of the firm and firm survival. </w:t>
      </w:r>
      <w:r w:rsidRPr="0087554F">
        <w:rPr>
          <w:rFonts w:ascii="Times New Roman" w:hAnsi="Times New Roman" w:cs="Times New Roman"/>
          <w:i/>
          <w:iCs/>
          <w:color w:val="auto"/>
          <w:sz w:val="24"/>
          <w:szCs w:val="24"/>
        </w:rPr>
        <w:t>Small business economics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30</w:t>
      </w:r>
      <w:r w:rsidRPr="0087554F">
        <w:rPr>
          <w:rFonts w:ascii="Times New Roman" w:hAnsi="Times New Roman" w:cs="Times New Roman"/>
          <w:color w:val="auto"/>
          <w:sz w:val="24"/>
          <w:szCs w:val="24"/>
        </w:rPr>
        <w:t>, 231-249.</w:t>
      </w:r>
    </w:p>
    <w:p w14:paraId="5081F31E"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Ibitomi</w:t>
      </w:r>
      <w:proofErr w:type="spellEnd"/>
      <w:r w:rsidRPr="0087554F">
        <w:rPr>
          <w:rFonts w:ascii="Times New Roman" w:hAnsi="Times New Roman" w:cs="Times New Roman"/>
          <w:color w:val="auto"/>
          <w:sz w:val="24"/>
          <w:szCs w:val="24"/>
        </w:rPr>
        <w:t xml:space="preserve">, T., Dada, D. A., </w:t>
      </w:r>
      <w:proofErr w:type="spellStart"/>
      <w:r w:rsidRPr="0087554F">
        <w:rPr>
          <w:rFonts w:ascii="Times New Roman" w:hAnsi="Times New Roman" w:cs="Times New Roman"/>
          <w:color w:val="auto"/>
          <w:sz w:val="24"/>
          <w:szCs w:val="24"/>
        </w:rPr>
        <w:t>Ayedogbon</w:t>
      </w:r>
      <w:proofErr w:type="spellEnd"/>
      <w:r w:rsidRPr="0087554F">
        <w:rPr>
          <w:rFonts w:ascii="Times New Roman" w:hAnsi="Times New Roman" w:cs="Times New Roman"/>
          <w:color w:val="auto"/>
          <w:sz w:val="24"/>
          <w:szCs w:val="24"/>
        </w:rPr>
        <w:t>, J. O., Micah, E. E., &amp; Aderotimi, B. (2024). Small and medium scale enterprises and economic growth in Nigeria. </w:t>
      </w:r>
      <w:r w:rsidRPr="0087554F">
        <w:rPr>
          <w:rFonts w:ascii="Times New Roman" w:hAnsi="Times New Roman" w:cs="Times New Roman"/>
          <w:i/>
          <w:iCs/>
          <w:color w:val="auto"/>
          <w:sz w:val="24"/>
          <w:szCs w:val="24"/>
        </w:rPr>
        <w:t>Journal of Social Sciences and Management Studies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3</w:t>
      </w:r>
      <w:r w:rsidRPr="0087554F">
        <w:rPr>
          <w:rFonts w:ascii="Times New Roman" w:hAnsi="Times New Roman" w:cs="Times New Roman"/>
          <w:color w:val="auto"/>
          <w:sz w:val="24"/>
          <w:szCs w:val="24"/>
        </w:rPr>
        <w:t>(2), 26-43.</w:t>
      </w:r>
    </w:p>
    <w:p w14:paraId="24589F11"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Isamade</w:t>
      </w:r>
      <w:proofErr w:type="spellEnd"/>
      <w:r w:rsidRPr="0087554F">
        <w:rPr>
          <w:rFonts w:ascii="Times New Roman" w:hAnsi="Times New Roman" w:cs="Times New Roman"/>
          <w:color w:val="auto"/>
          <w:sz w:val="24"/>
          <w:szCs w:val="24"/>
        </w:rPr>
        <w:t>, B. A., Udeh, S. N., &amp; ODO, J. O. (2022). Effect of Financial Risk on Performance of Selected Manufacturing Firms in Nigeria. </w:t>
      </w:r>
      <w:r w:rsidRPr="0087554F">
        <w:rPr>
          <w:rFonts w:ascii="Times New Roman" w:hAnsi="Times New Roman" w:cs="Times New Roman"/>
          <w:i/>
          <w:iCs/>
          <w:color w:val="auto"/>
          <w:sz w:val="24"/>
          <w:szCs w:val="24"/>
        </w:rPr>
        <w:t>European Journal of Finance and Management Sciences</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6</w:t>
      </w:r>
      <w:r w:rsidRPr="0087554F">
        <w:rPr>
          <w:rFonts w:ascii="Times New Roman" w:hAnsi="Times New Roman" w:cs="Times New Roman"/>
          <w:color w:val="auto"/>
          <w:sz w:val="24"/>
          <w:szCs w:val="24"/>
        </w:rPr>
        <w:t>(5), 86-99.</w:t>
      </w:r>
    </w:p>
    <w:p w14:paraId="76DB087E" w14:textId="77777777" w:rsidR="00E4593F" w:rsidRPr="00E4593F" w:rsidRDefault="00E4593F" w:rsidP="00E4593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E4593F">
        <w:rPr>
          <w:rFonts w:ascii="Times New Roman" w:hAnsi="Times New Roman" w:cs="Times New Roman"/>
          <w:color w:val="auto"/>
          <w:sz w:val="24"/>
          <w:szCs w:val="24"/>
        </w:rPr>
        <w:t>Karami</w:t>
      </w:r>
      <w:proofErr w:type="spellEnd"/>
      <w:r w:rsidRPr="00E4593F">
        <w:rPr>
          <w:rFonts w:ascii="Times New Roman" w:hAnsi="Times New Roman" w:cs="Times New Roman"/>
          <w:color w:val="auto"/>
          <w:sz w:val="24"/>
          <w:szCs w:val="24"/>
        </w:rPr>
        <w:t xml:space="preserve">, M., </w:t>
      </w:r>
      <w:proofErr w:type="spellStart"/>
      <w:r w:rsidRPr="00E4593F">
        <w:rPr>
          <w:rFonts w:ascii="Times New Roman" w:hAnsi="Times New Roman" w:cs="Times New Roman"/>
          <w:color w:val="auto"/>
          <w:sz w:val="24"/>
          <w:szCs w:val="24"/>
        </w:rPr>
        <w:t>Samimi</w:t>
      </w:r>
      <w:proofErr w:type="spellEnd"/>
      <w:r w:rsidRPr="00E4593F">
        <w:rPr>
          <w:rFonts w:ascii="Times New Roman" w:hAnsi="Times New Roman" w:cs="Times New Roman"/>
          <w:color w:val="auto"/>
          <w:sz w:val="24"/>
          <w:szCs w:val="24"/>
        </w:rPr>
        <w:t xml:space="preserve">, A., &amp; </w:t>
      </w:r>
      <w:proofErr w:type="spellStart"/>
      <w:r w:rsidRPr="00E4593F">
        <w:rPr>
          <w:rFonts w:ascii="Times New Roman" w:hAnsi="Times New Roman" w:cs="Times New Roman"/>
          <w:color w:val="auto"/>
          <w:sz w:val="24"/>
          <w:szCs w:val="24"/>
        </w:rPr>
        <w:t>Ja'fari</w:t>
      </w:r>
      <w:proofErr w:type="spellEnd"/>
      <w:r w:rsidRPr="00E4593F">
        <w:rPr>
          <w:rFonts w:ascii="Times New Roman" w:hAnsi="Times New Roman" w:cs="Times New Roman"/>
          <w:color w:val="auto"/>
          <w:sz w:val="24"/>
          <w:szCs w:val="24"/>
        </w:rPr>
        <w:t>, M. (2020). The impact of effective risk management on corporate financial performance. </w:t>
      </w:r>
      <w:r w:rsidRPr="00E4593F">
        <w:rPr>
          <w:rFonts w:ascii="Times New Roman" w:hAnsi="Times New Roman" w:cs="Times New Roman"/>
          <w:i/>
          <w:iCs/>
          <w:color w:val="auto"/>
          <w:sz w:val="24"/>
          <w:szCs w:val="24"/>
        </w:rPr>
        <w:t>Advanced Journal of Chemistry-Section B</w:t>
      </w:r>
      <w:r w:rsidRPr="00E4593F">
        <w:rPr>
          <w:rFonts w:ascii="Times New Roman" w:hAnsi="Times New Roman" w:cs="Times New Roman"/>
          <w:color w:val="auto"/>
          <w:sz w:val="24"/>
          <w:szCs w:val="24"/>
        </w:rPr>
        <w:t>, </w:t>
      </w:r>
      <w:r w:rsidRPr="00E4593F">
        <w:rPr>
          <w:rFonts w:ascii="Times New Roman" w:hAnsi="Times New Roman" w:cs="Times New Roman"/>
          <w:i/>
          <w:iCs/>
          <w:color w:val="auto"/>
          <w:sz w:val="24"/>
          <w:szCs w:val="24"/>
        </w:rPr>
        <w:t>2</w:t>
      </w:r>
      <w:r w:rsidRPr="00E4593F">
        <w:rPr>
          <w:rFonts w:ascii="Times New Roman" w:hAnsi="Times New Roman" w:cs="Times New Roman"/>
          <w:color w:val="auto"/>
          <w:sz w:val="24"/>
          <w:szCs w:val="24"/>
        </w:rPr>
        <w:t>(3), 144-150.</w:t>
      </w:r>
    </w:p>
    <w:p w14:paraId="4BE1C841"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Kaur, Y., &amp; Singh, S. (2018). Risk Mitigation Planning, Implementation, and Progress Monitoring: Risk Mitigation. In </w:t>
      </w:r>
      <w:r w:rsidRPr="0087554F">
        <w:rPr>
          <w:rFonts w:ascii="Times New Roman" w:hAnsi="Times New Roman" w:cs="Times New Roman"/>
          <w:i/>
          <w:iCs/>
          <w:color w:val="auto"/>
          <w:sz w:val="24"/>
          <w:szCs w:val="24"/>
        </w:rPr>
        <w:t>Analyzing the Role of Risk Mitigation and Monitoring in Software Development</w:t>
      </w:r>
      <w:r w:rsidRPr="0087554F">
        <w:rPr>
          <w:rFonts w:ascii="Times New Roman" w:hAnsi="Times New Roman" w:cs="Times New Roman"/>
          <w:color w:val="auto"/>
          <w:sz w:val="24"/>
          <w:szCs w:val="24"/>
        </w:rPr>
        <w:t> (pp. 1-20). IGI Global.</w:t>
      </w:r>
    </w:p>
    <w:p w14:paraId="2FCC3078"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Koralun-Bereźnicka</w:t>
      </w:r>
      <w:proofErr w:type="spellEnd"/>
      <w:r w:rsidRPr="0087554F">
        <w:rPr>
          <w:rFonts w:ascii="Times New Roman" w:hAnsi="Times New Roman" w:cs="Times New Roman"/>
          <w:color w:val="auto"/>
          <w:sz w:val="24"/>
          <w:szCs w:val="24"/>
        </w:rPr>
        <w:t>, J. (2013). </w:t>
      </w:r>
      <w:r w:rsidRPr="0087554F">
        <w:rPr>
          <w:rFonts w:ascii="Times New Roman" w:hAnsi="Times New Roman" w:cs="Times New Roman"/>
          <w:i/>
          <w:iCs/>
          <w:color w:val="auto"/>
          <w:sz w:val="24"/>
          <w:szCs w:val="24"/>
        </w:rPr>
        <w:t>Corporate performance</w:t>
      </w:r>
      <w:r w:rsidRPr="0087554F">
        <w:rPr>
          <w:rFonts w:ascii="Times New Roman" w:hAnsi="Times New Roman" w:cs="Times New Roman"/>
          <w:color w:val="auto"/>
          <w:sz w:val="24"/>
          <w:szCs w:val="24"/>
        </w:rPr>
        <w:t>. Contributions to Management Science. Heidelberg: Springer International Publishing.</w:t>
      </w:r>
    </w:p>
    <w:p w14:paraId="476C30AD" w14:textId="77777777" w:rsidR="00E4593F" w:rsidRDefault="00E4593F" w:rsidP="0087554F">
      <w:pPr>
        <w:autoSpaceDE/>
        <w:autoSpaceDN/>
        <w:adjustRightInd/>
        <w:spacing w:after="160" w:line="259" w:lineRule="auto"/>
        <w:ind w:left="720" w:hanging="720"/>
        <w:jc w:val="both"/>
        <w:rPr>
          <w:rFonts w:ascii="Times New Roman" w:hAnsi="Times New Roman" w:cs="Times New Roman"/>
          <w:color w:val="0563C1" w:themeColor="hyperlink"/>
          <w:sz w:val="24"/>
          <w:szCs w:val="24"/>
          <w:u w:val="single"/>
        </w:rPr>
      </w:pPr>
      <w:proofErr w:type="spellStart"/>
      <w:r w:rsidRPr="0087554F">
        <w:rPr>
          <w:rFonts w:ascii="Times New Roman" w:hAnsi="Times New Roman" w:cs="Times New Roman"/>
          <w:color w:val="auto"/>
          <w:sz w:val="24"/>
          <w:szCs w:val="24"/>
        </w:rPr>
        <w:t>Mmadubuobi</w:t>
      </w:r>
      <w:proofErr w:type="spellEnd"/>
      <w:r w:rsidRPr="0087554F">
        <w:rPr>
          <w:rFonts w:ascii="Times New Roman" w:hAnsi="Times New Roman" w:cs="Times New Roman"/>
          <w:color w:val="auto"/>
          <w:sz w:val="24"/>
          <w:szCs w:val="24"/>
        </w:rPr>
        <w:t xml:space="preserve">, L. C., Nworie, G. O. &amp; </w:t>
      </w:r>
      <w:proofErr w:type="spellStart"/>
      <w:r w:rsidRPr="0087554F">
        <w:rPr>
          <w:rFonts w:ascii="Times New Roman" w:hAnsi="Times New Roman" w:cs="Times New Roman"/>
          <w:color w:val="auto"/>
          <w:sz w:val="24"/>
          <w:szCs w:val="24"/>
        </w:rPr>
        <w:t>Aziekwe</w:t>
      </w:r>
      <w:proofErr w:type="spellEnd"/>
      <w:r w:rsidRPr="0087554F">
        <w:rPr>
          <w:rFonts w:ascii="Times New Roman" w:hAnsi="Times New Roman" w:cs="Times New Roman"/>
          <w:color w:val="auto"/>
          <w:sz w:val="24"/>
          <w:szCs w:val="24"/>
        </w:rPr>
        <w:t xml:space="preserve">, O. P. (2024). Industry 4.0 and Corporate Technological Responsibility of Manufacturing Firms in Nigeria. </w:t>
      </w:r>
      <w:r w:rsidRPr="0087554F">
        <w:rPr>
          <w:rFonts w:ascii="Times New Roman" w:hAnsi="Times New Roman" w:cs="Times New Roman"/>
          <w:i/>
          <w:iCs/>
          <w:color w:val="auto"/>
          <w:sz w:val="24"/>
          <w:szCs w:val="24"/>
        </w:rPr>
        <w:t>Central Asian Journal of Innovations on Tourism Management and Finance</w:t>
      </w:r>
      <w:r w:rsidRPr="0087554F">
        <w:rPr>
          <w:rFonts w:ascii="Times New Roman" w:hAnsi="Times New Roman" w:cs="Times New Roman"/>
          <w:color w:val="auto"/>
          <w:sz w:val="24"/>
          <w:szCs w:val="24"/>
        </w:rPr>
        <w:t xml:space="preserve">, 5(4), 67-80. Available at: </w:t>
      </w:r>
      <w:hyperlink r:id="rId7" w:tgtFrame="_new" w:history="1">
        <w:r w:rsidRPr="0087554F">
          <w:rPr>
            <w:rFonts w:ascii="Times New Roman" w:hAnsi="Times New Roman" w:cs="Times New Roman"/>
            <w:color w:val="0563C1" w:themeColor="hyperlink"/>
            <w:sz w:val="24"/>
            <w:szCs w:val="24"/>
            <w:u w:val="single"/>
          </w:rPr>
          <w:t>https://cajitmf.centralasianstudies.org/index.php/CAJITMF/article/view/711</w:t>
        </w:r>
      </w:hyperlink>
    </w:p>
    <w:p w14:paraId="1C9448D2"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Newstyle</w:t>
      </w:r>
      <w:proofErr w:type="spellEnd"/>
      <w:r w:rsidRPr="0087554F">
        <w:rPr>
          <w:rFonts w:ascii="Times New Roman" w:hAnsi="Times New Roman" w:cs="Times New Roman"/>
          <w:color w:val="auto"/>
          <w:sz w:val="24"/>
          <w:szCs w:val="24"/>
        </w:rPr>
        <w:t xml:space="preserve">, D., Isele, L. E., &amp; </w:t>
      </w:r>
      <w:proofErr w:type="spellStart"/>
      <w:r w:rsidRPr="0087554F">
        <w:rPr>
          <w:rFonts w:ascii="Times New Roman" w:hAnsi="Times New Roman" w:cs="Times New Roman"/>
          <w:color w:val="auto"/>
          <w:sz w:val="24"/>
          <w:szCs w:val="24"/>
        </w:rPr>
        <w:t>Tekerebo</w:t>
      </w:r>
      <w:proofErr w:type="spellEnd"/>
      <w:r w:rsidRPr="0087554F">
        <w:rPr>
          <w:rFonts w:ascii="Times New Roman" w:hAnsi="Times New Roman" w:cs="Times New Roman"/>
          <w:color w:val="auto"/>
          <w:sz w:val="24"/>
          <w:szCs w:val="24"/>
        </w:rPr>
        <w:t xml:space="preserve">, I. J. (2024). Financial Risk Management </w:t>
      </w:r>
      <w:proofErr w:type="gramStart"/>
      <w:r w:rsidRPr="0087554F">
        <w:rPr>
          <w:rFonts w:ascii="Times New Roman" w:hAnsi="Times New Roman" w:cs="Times New Roman"/>
          <w:color w:val="auto"/>
          <w:sz w:val="24"/>
          <w:szCs w:val="24"/>
        </w:rPr>
        <w:t>And</w:t>
      </w:r>
      <w:proofErr w:type="gramEnd"/>
      <w:r w:rsidRPr="0087554F">
        <w:rPr>
          <w:rFonts w:ascii="Times New Roman" w:hAnsi="Times New Roman" w:cs="Times New Roman"/>
          <w:color w:val="auto"/>
          <w:sz w:val="24"/>
          <w:szCs w:val="24"/>
        </w:rPr>
        <w:t xml:space="preserve"> Financial Performance Of Listed Deposit Money Banks In Nigeria. </w:t>
      </w:r>
      <w:r w:rsidRPr="0087554F">
        <w:rPr>
          <w:rFonts w:ascii="Times New Roman" w:hAnsi="Times New Roman" w:cs="Times New Roman"/>
          <w:i/>
          <w:iCs/>
          <w:color w:val="auto"/>
          <w:sz w:val="24"/>
          <w:szCs w:val="24"/>
        </w:rPr>
        <w:t>BW Academic Journal</w:t>
      </w:r>
      <w:r w:rsidRPr="0087554F">
        <w:rPr>
          <w:rFonts w:ascii="Times New Roman" w:hAnsi="Times New Roman" w:cs="Times New Roman"/>
          <w:color w:val="auto"/>
          <w:sz w:val="24"/>
          <w:szCs w:val="24"/>
        </w:rPr>
        <w:t>.</w:t>
      </w:r>
      <w:r w:rsidRPr="0087554F">
        <w:rPr>
          <w:rFonts w:asciiTheme="minorHAnsi" w:hAnsiTheme="minorHAnsi" w:cstheme="minorBidi"/>
          <w:color w:val="auto"/>
          <w:sz w:val="22"/>
          <w:szCs w:val="22"/>
        </w:rPr>
        <w:t xml:space="preserve"> </w:t>
      </w:r>
      <w:hyperlink r:id="rId8" w:history="1">
        <w:r w:rsidRPr="0087554F">
          <w:rPr>
            <w:rFonts w:ascii="Times New Roman" w:hAnsi="Times New Roman" w:cs="Times New Roman"/>
            <w:color w:val="0563C1" w:themeColor="hyperlink"/>
            <w:sz w:val="24"/>
            <w:szCs w:val="24"/>
            <w:u w:val="single"/>
          </w:rPr>
          <w:t>https://www.bwjournal.org/index.php/bsjournal/article/view/1904</w:t>
        </w:r>
      </w:hyperlink>
    </w:p>
    <w:p w14:paraId="7FBA704F"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Nikolaou, K. (2009). </w:t>
      </w:r>
      <w:r w:rsidRPr="0087554F">
        <w:rPr>
          <w:rFonts w:ascii="Times New Roman" w:hAnsi="Times New Roman" w:cs="Times New Roman"/>
          <w:i/>
          <w:iCs/>
          <w:color w:val="auto"/>
          <w:sz w:val="24"/>
          <w:szCs w:val="24"/>
        </w:rPr>
        <w:t>Liquidity (risk) concepts: definitions and interactions</w:t>
      </w:r>
      <w:r w:rsidRPr="0087554F">
        <w:rPr>
          <w:rFonts w:ascii="Times New Roman" w:hAnsi="Times New Roman" w:cs="Times New Roman"/>
          <w:color w:val="auto"/>
          <w:sz w:val="24"/>
          <w:szCs w:val="24"/>
        </w:rPr>
        <w:t> (No. 1008). ECB working paper.</w:t>
      </w:r>
    </w:p>
    <w:p w14:paraId="2E73869A"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Nwafor, V. O., &amp; Nworie, G. O. (2025). Risk management in Nigerian listed commercial banks: The significance of board composition (2013–2023). </w:t>
      </w:r>
      <w:r w:rsidRPr="0087554F">
        <w:rPr>
          <w:rFonts w:ascii="Times New Roman" w:hAnsi="Times New Roman" w:cs="Times New Roman"/>
          <w:i/>
          <w:iCs/>
          <w:color w:val="auto"/>
          <w:sz w:val="24"/>
          <w:szCs w:val="24"/>
        </w:rPr>
        <w:t>International Journal of Financial, Accounting, and Management, 6</w:t>
      </w:r>
      <w:r w:rsidRPr="0087554F">
        <w:rPr>
          <w:rFonts w:ascii="Times New Roman" w:hAnsi="Times New Roman" w:cs="Times New Roman"/>
          <w:color w:val="auto"/>
          <w:sz w:val="24"/>
          <w:szCs w:val="24"/>
        </w:rPr>
        <w:t>(4), 525–543.</w:t>
      </w:r>
    </w:p>
    <w:p w14:paraId="20FF9E2F"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lastRenderedPageBreak/>
        <w:t>Nwagbala</w:t>
      </w:r>
      <w:proofErr w:type="spellEnd"/>
      <w:r w:rsidRPr="0087554F">
        <w:rPr>
          <w:rFonts w:ascii="Times New Roman" w:hAnsi="Times New Roman" w:cs="Times New Roman"/>
          <w:color w:val="auto"/>
          <w:sz w:val="24"/>
          <w:szCs w:val="24"/>
        </w:rPr>
        <w:t xml:space="preserve">, S. C., </w:t>
      </w:r>
      <w:proofErr w:type="spellStart"/>
      <w:r w:rsidRPr="0087554F">
        <w:rPr>
          <w:rFonts w:ascii="Times New Roman" w:hAnsi="Times New Roman" w:cs="Times New Roman"/>
          <w:color w:val="auto"/>
          <w:sz w:val="24"/>
          <w:szCs w:val="24"/>
        </w:rPr>
        <w:t>Harrieta</w:t>
      </w:r>
      <w:proofErr w:type="spellEnd"/>
      <w:r w:rsidRPr="0087554F">
        <w:rPr>
          <w:rFonts w:ascii="Times New Roman" w:hAnsi="Times New Roman" w:cs="Times New Roman"/>
          <w:color w:val="auto"/>
          <w:sz w:val="24"/>
          <w:szCs w:val="24"/>
        </w:rPr>
        <w:t xml:space="preserve">, A. U., </w:t>
      </w:r>
      <w:proofErr w:type="spellStart"/>
      <w:r w:rsidRPr="0087554F">
        <w:rPr>
          <w:rFonts w:ascii="Times New Roman" w:hAnsi="Times New Roman" w:cs="Times New Roman"/>
          <w:color w:val="auto"/>
          <w:sz w:val="24"/>
          <w:szCs w:val="24"/>
        </w:rPr>
        <w:t>Obijiaku</w:t>
      </w:r>
      <w:proofErr w:type="spellEnd"/>
      <w:r w:rsidRPr="0087554F">
        <w:rPr>
          <w:rFonts w:ascii="Times New Roman" w:hAnsi="Times New Roman" w:cs="Times New Roman"/>
          <w:color w:val="auto"/>
          <w:sz w:val="24"/>
          <w:szCs w:val="24"/>
        </w:rPr>
        <w:t>, C. P., &amp; Ejiogu, S. A. (2024). Investigating Small Business Entrepreneurship and Sustainable Development in Onitsha, Anambra State, Nigeria. </w:t>
      </w:r>
      <w:r w:rsidRPr="0087554F">
        <w:rPr>
          <w:rFonts w:ascii="Times New Roman" w:hAnsi="Times New Roman" w:cs="Times New Roman"/>
          <w:i/>
          <w:iCs/>
          <w:color w:val="auto"/>
          <w:sz w:val="24"/>
          <w:szCs w:val="24"/>
        </w:rPr>
        <w:t>Sch J Econ Bus Manag</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10</w:t>
      </w:r>
      <w:r w:rsidRPr="0087554F">
        <w:rPr>
          <w:rFonts w:ascii="Times New Roman" w:hAnsi="Times New Roman" w:cs="Times New Roman"/>
          <w:color w:val="auto"/>
          <w:sz w:val="24"/>
          <w:szCs w:val="24"/>
        </w:rPr>
        <w:t>, 329-336.</w:t>
      </w:r>
    </w:p>
    <w:p w14:paraId="09643B8E"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Nworie, G. O., &amp; Nwoye, U. J. (2023). Drivers of Operating Profit: A Focus on Selected Firms’ Costs. </w:t>
      </w:r>
      <w:r w:rsidRPr="0087554F">
        <w:rPr>
          <w:rFonts w:ascii="Times New Roman" w:hAnsi="Times New Roman" w:cs="Times New Roman"/>
          <w:i/>
          <w:iCs/>
          <w:color w:val="auto"/>
          <w:sz w:val="24"/>
          <w:szCs w:val="24"/>
        </w:rPr>
        <w:t>CECCAR Business Review</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4</w:t>
      </w:r>
      <w:r w:rsidRPr="0087554F">
        <w:rPr>
          <w:rFonts w:ascii="Times New Roman" w:hAnsi="Times New Roman" w:cs="Times New Roman"/>
          <w:color w:val="auto"/>
          <w:sz w:val="24"/>
          <w:szCs w:val="24"/>
        </w:rPr>
        <w:t>(2), 62-72.</w:t>
      </w:r>
    </w:p>
    <w:p w14:paraId="654D7F31"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0563C1" w:themeColor="hyperlink"/>
          <w:sz w:val="24"/>
          <w:szCs w:val="24"/>
          <w:u w:val="single"/>
        </w:rPr>
      </w:pPr>
      <w:r w:rsidRPr="0087554F">
        <w:rPr>
          <w:rFonts w:ascii="Times New Roman" w:hAnsi="Times New Roman" w:cs="Times New Roman"/>
          <w:color w:val="auto"/>
          <w:sz w:val="24"/>
          <w:szCs w:val="24"/>
        </w:rPr>
        <w:t xml:space="preserve">Nworie, G. O., Odah, U., &amp; Nworie, F. N. (2024). Managing the challenges of </w:t>
      </w:r>
      <w:proofErr w:type="spellStart"/>
      <w:r w:rsidRPr="0087554F">
        <w:rPr>
          <w:rFonts w:ascii="Times New Roman" w:hAnsi="Times New Roman" w:cs="Times New Roman"/>
          <w:color w:val="auto"/>
          <w:sz w:val="24"/>
          <w:szCs w:val="24"/>
        </w:rPr>
        <w:t>digitisation</w:t>
      </w:r>
      <w:proofErr w:type="spellEnd"/>
      <w:r w:rsidRPr="0087554F">
        <w:rPr>
          <w:rFonts w:ascii="Times New Roman" w:hAnsi="Times New Roman" w:cs="Times New Roman"/>
          <w:color w:val="auto"/>
          <w:sz w:val="24"/>
          <w:szCs w:val="24"/>
        </w:rPr>
        <w:t xml:space="preserve"> and a contemporary business issue at Coca-Cola. </w:t>
      </w:r>
      <w:r w:rsidRPr="0087554F">
        <w:rPr>
          <w:rFonts w:ascii="Times New Roman" w:hAnsi="Times New Roman" w:cs="Times New Roman"/>
          <w:i/>
          <w:iCs/>
          <w:color w:val="auto"/>
          <w:sz w:val="24"/>
          <w:szCs w:val="24"/>
        </w:rPr>
        <w:t>International Journal of Academic Accounting, Finance &amp; Management Research (IJAAFMR)</w:t>
      </w:r>
      <w:r w:rsidRPr="0087554F">
        <w:rPr>
          <w:rFonts w:ascii="Times New Roman" w:hAnsi="Times New Roman" w:cs="Times New Roman"/>
          <w:color w:val="auto"/>
          <w:sz w:val="24"/>
          <w:szCs w:val="24"/>
        </w:rPr>
        <w:t xml:space="preserve">, 8(11), 129-133. Retrieved from </w:t>
      </w:r>
      <w:hyperlink r:id="rId9" w:tgtFrame="_new" w:history="1">
        <w:r w:rsidRPr="0087554F">
          <w:rPr>
            <w:rFonts w:ascii="Times New Roman" w:hAnsi="Times New Roman" w:cs="Times New Roman"/>
            <w:color w:val="0563C1" w:themeColor="hyperlink"/>
            <w:sz w:val="24"/>
            <w:szCs w:val="24"/>
            <w:u w:val="single"/>
          </w:rPr>
          <w:t>http://ijeais.org/wp-content/uploads/2024/11/IJAAFMR241112.pdf</w:t>
        </w:r>
      </w:hyperlink>
    </w:p>
    <w:p w14:paraId="69155503"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r w:rsidRPr="0087554F">
        <w:rPr>
          <w:rFonts w:ascii="Times New Roman" w:hAnsi="Times New Roman" w:cs="Times New Roman"/>
          <w:color w:val="auto"/>
          <w:sz w:val="24"/>
          <w:szCs w:val="24"/>
        </w:rPr>
        <w:t xml:space="preserve">Obi, G. U., &amp; Nworie, G. O. (2024). Stock market performance of Nigerian consumer goods firms: Does leverage level matter? </w:t>
      </w:r>
      <w:r w:rsidRPr="0087554F">
        <w:rPr>
          <w:rFonts w:ascii="Times New Roman" w:hAnsi="Times New Roman" w:cs="Times New Roman"/>
          <w:i/>
          <w:iCs/>
          <w:color w:val="auto"/>
          <w:sz w:val="24"/>
          <w:szCs w:val="24"/>
        </w:rPr>
        <w:t>World Journal of Finance and Investment Research</w:t>
      </w:r>
      <w:r w:rsidRPr="0087554F">
        <w:rPr>
          <w:rFonts w:ascii="Times New Roman" w:hAnsi="Times New Roman" w:cs="Times New Roman"/>
          <w:color w:val="auto"/>
          <w:sz w:val="24"/>
          <w:szCs w:val="24"/>
        </w:rPr>
        <w:t xml:space="preserve">, </w:t>
      </w:r>
      <w:r w:rsidRPr="0087554F">
        <w:rPr>
          <w:rFonts w:ascii="Times New Roman" w:hAnsi="Times New Roman" w:cs="Times New Roman"/>
          <w:i/>
          <w:iCs/>
          <w:color w:val="auto"/>
          <w:sz w:val="24"/>
          <w:szCs w:val="24"/>
        </w:rPr>
        <w:t>8</w:t>
      </w:r>
      <w:r w:rsidRPr="0087554F">
        <w:rPr>
          <w:rFonts w:ascii="Times New Roman" w:hAnsi="Times New Roman" w:cs="Times New Roman"/>
          <w:color w:val="auto"/>
          <w:sz w:val="24"/>
          <w:szCs w:val="24"/>
        </w:rPr>
        <w:t xml:space="preserve">(3), 20-34. </w:t>
      </w:r>
      <w:hyperlink r:id="rId10" w:history="1">
        <w:r w:rsidRPr="0087554F">
          <w:rPr>
            <w:rFonts w:ascii="Times New Roman" w:hAnsi="Times New Roman" w:cs="Times New Roman"/>
            <w:color w:val="0563C1" w:themeColor="hyperlink"/>
            <w:sz w:val="24"/>
            <w:szCs w:val="24"/>
            <w:u w:val="single"/>
          </w:rPr>
          <w:t>https://www.iiardjournals.org/get/WJFIR/Vol%208.%20No.%203%202024/Stock%20market%20performance%2020-34.pdf</w:t>
        </w:r>
      </w:hyperlink>
    </w:p>
    <w:p w14:paraId="726B489A"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Odukomaiya</w:t>
      </w:r>
      <w:proofErr w:type="spellEnd"/>
      <w:r w:rsidRPr="0087554F">
        <w:rPr>
          <w:rFonts w:ascii="Times New Roman" w:hAnsi="Times New Roman" w:cs="Times New Roman"/>
          <w:color w:val="auto"/>
          <w:sz w:val="24"/>
          <w:szCs w:val="24"/>
        </w:rPr>
        <w:t>, A. O. (2023). </w:t>
      </w:r>
      <w:r w:rsidRPr="0087554F">
        <w:rPr>
          <w:rFonts w:ascii="Times New Roman" w:hAnsi="Times New Roman" w:cs="Times New Roman"/>
          <w:i/>
          <w:iCs/>
          <w:color w:val="auto"/>
          <w:sz w:val="24"/>
          <w:szCs w:val="24"/>
        </w:rPr>
        <w:t>Risk management practices among SMEs in Nigeria: contribution to business success</w:t>
      </w:r>
      <w:r w:rsidRPr="0087554F">
        <w:rPr>
          <w:rFonts w:ascii="Times New Roman" w:hAnsi="Times New Roman" w:cs="Times New Roman"/>
          <w:color w:val="auto"/>
          <w:sz w:val="24"/>
          <w:szCs w:val="24"/>
        </w:rPr>
        <w:t> (Doctoral dissertation, Heriot-Watt University).</w:t>
      </w:r>
    </w:p>
    <w:p w14:paraId="18CD2718"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Ojubanire</w:t>
      </w:r>
      <w:proofErr w:type="spellEnd"/>
      <w:r w:rsidRPr="0087554F">
        <w:rPr>
          <w:rFonts w:ascii="Times New Roman" w:hAnsi="Times New Roman" w:cs="Times New Roman"/>
          <w:color w:val="auto"/>
          <w:sz w:val="24"/>
          <w:szCs w:val="24"/>
        </w:rPr>
        <w:t>, O. A., &amp; Dawodu, S. (2021). Risk management practices and financial performance nexus: Evidence from MSMEs in Osun State, Nigeria. </w:t>
      </w:r>
      <w:r w:rsidRPr="0087554F">
        <w:rPr>
          <w:rFonts w:ascii="Times New Roman" w:hAnsi="Times New Roman" w:cs="Times New Roman"/>
          <w:i/>
          <w:iCs/>
          <w:color w:val="auto"/>
          <w:sz w:val="24"/>
          <w:szCs w:val="24"/>
        </w:rPr>
        <w:t>Journal of Management Info</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8</w:t>
      </w:r>
      <w:r w:rsidRPr="0087554F">
        <w:rPr>
          <w:rFonts w:ascii="Times New Roman" w:hAnsi="Times New Roman" w:cs="Times New Roman"/>
          <w:color w:val="auto"/>
          <w:sz w:val="24"/>
          <w:szCs w:val="24"/>
        </w:rPr>
        <w:t>(1), 44-55.</w:t>
      </w:r>
    </w:p>
    <w:p w14:paraId="116193F8"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0C170D">
        <w:rPr>
          <w:rFonts w:ascii="Times New Roman" w:hAnsi="Times New Roman" w:cs="Times New Roman"/>
          <w:color w:val="auto"/>
          <w:sz w:val="24"/>
          <w:szCs w:val="24"/>
        </w:rPr>
        <w:t>Omoregie</w:t>
      </w:r>
      <w:proofErr w:type="spellEnd"/>
      <w:r w:rsidRPr="000C170D">
        <w:rPr>
          <w:rFonts w:ascii="Times New Roman" w:hAnsi="Times New Roman" w:cs="Times New Roman"/>
          <w:color w:val="auto"/>
          <w:sz w:val="24"/>
          <w:szCs w:val="24"/>
        </w:rPr>
        <w:t xml:space="preserve">, O. K., &amp; </w:t>
      </w:r>
      <w:proofErr w:type="spellStart"/>
      <w:r w:rsidRPr="000C170D">
        <w:rPr>
          <w:rFonts w:ascii="Times New Roman" w:hAnsi="Times New Roman" w:cs="Times New Roman"/>
          <w:color w:val="auto"/>
          <w:sz w:val="24"/>
          <w:szCs w:val="24"/>
        </w:rPr>
        <w:t>Olofin</w:t>
      </w:r>
      <w:proofErr w:type="spellEnd"/>
      <w:r w:rsidRPr="000C170D">
        <w:rPr>
          <w:rFonts w:ascii="Times New Roman" w:hAnsi="Times New Roman" w:cs="Times New Roman"/>
          <w:color w:val="auto"/>
          <w:sz w:val="24"/>
          <w:szCs w:val="24"/>
        </w:rPr>
        <w:t>, S. (2020). Corporate performance in Nigeria: The effect of oil price and exchange rate fluctuations. </w:t>
      </w:r>
      <w:r w:rsidRPr="000C170D">
        <w:rPr>
          <w:rFonts w:ascii="Times New Roman" w:hAnsi="Times New Roman" w:cs="Times New Roman"/>
          <w:i/>
          <w:iCs/>
          <w:color w:val="auto"/>
          <w:sz w:val="24"/>
          <w:szCs w:val="24"/>
        </w:rPr>
        <w:t>International Journal of Economics and Financial Issues</w:t>
      </w:r>
      <w:r w:rsidRPr="000C170D">
        <w:rPr>
          <w:rFonts w:ascii="Times New Roman" w:hAnsi="Times New Roman" w:cs="Times New Roman"/>
          <w:color w:val="auto"/>
          <w:sz w:val="24"/>
          <w:szCs w:val="24"/>
        </w:rPr>
        <w:t>, </w:t>
      </w:r>
      <w:r w:rsidRPr="000C170D">
        <w:rPr>
          <w:rFonts w:ascii="Times New Roman" w:hAnsi="Times New Roman" w:cs="Times New Roman"/>
          <w:i/>
          <w:iCs/>
          <w:color w:val="auto"/>
          <w:sz w:val="24"/>
          <w:szCs w:val="24"/>
        </w:rPr>
        <w:t>10</w:t>
      </w:r>
      <w:r w:rsidRPr="000C170D">
        <w:rPr>
          <w:rFonts w:ascii="Times New Roman" w:hAnsi="Times New Roman" w:cs="Times New Roman"/>
          <w:color w:val="auto"/>
          <w:sz w:val="24"/>
          <w:szCs w:val="24"/>
        </w:rPr>
        <w:t>(1), 170-179.</w:t>
      </w:r>
    </w:p>
    <w:p w14:paraId="6776592C"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Onoh</w:t>
      </w:r>
      <w:proofErr w:type="spellEnd"/>
      <w:r w:rsidRPr="0087554F">
        <w:rPr>
          <w:rFonts w:ascii="Times New Roman" w:hAnsi="Times New Roman" w:cs="Times New Roman"/>
          <w:color w:val="auto"/>
          <w:sz w:val="24"/>
          <w:szCs w:val="24"/>
        </w:rPr>
        <w:t xml:space="preserve">, U., Adonye, E., </w:t>
      </w:r>
      <w:proofErr w:type="spellStart"/>
      <w:r w:rsidRPr="0087554F">
        <w:rPr>
          <w:rFonts w:ascii="Times New Roman" w:hAnsi="Times New Roman" w:cs="Times New Roman"/>
          <w:color w:val="auto"/>
          <w:sz w:val="24"/>
          <w:szCs w:val="24"/>
        </w:rPr>
        <w:t>Enang</w:t>
      </w:r>
      <w:proofErr w:type="spellEnd"/>
      <w:r w:rsidRPr="0087554F">
        <w:rPr>
          <w:rFonts w:ascii="Times New Roman" w:hAnsi="Times New Roman" w:cs="Times New Roman"/>
          <w:color w:val="auto"/>
          <w:sz w:val="24"/>
          <w:szCs w:val="24"/>
        </w:rPr>
        <w:t xml:space="preserve">, E. R., &amp; </w:t>
      </w:r>
      <w:proofErr w:type="spellStart"/>
      <w:r w:rsidRPr="0087554F">
        <w:rPr>
          <w:rFonts w:ascii="Times New Roman" w:hAnsi="Times New Roman" w:cs="Times New Roman"/>
          <w:color w:val="auto"/>
          <w:sz w:val="24"/>
          <w:szCs w:val="24"/>
        </w:rPr>
        <w:t>Efanga</w:t>
      </w:r>
      <w:proofErr w:type="spellEnd"/>
      <w:r w:rsidRPr="0087554F">
        <w:rPr>
          <w:rFonts w:ascii="Times New Roman" w:hAnsi="Times New Roman" w:cs="Times New Roman"/>
          <w:color w:val="auto"/>
          <w:sz w:val="24"/>
          <w:szCs w:val="24"/>
        </w:rPr>
        <w:t xml:space="preserve">, U. O. (2025). Risk assessment and the performance of manufacturing companies in North-Central Nigeria. </w:t>
      </w:r>
      <w:r w:rsidRPr="0087554F">
        <w:rPr>
          <w:rFonts w:ascii="Times New Roman" w:hAnsi="Times New Roman" w:cs="Times New Roman"/>
          <w:i/>
          <w:iCs/>
          <w:color w:val="auto"/>
          <w:sz w:val="24"/>
          <w:szCs w:val="24"/>
        </w:rPr>
        <w:t>International Journal of Social Sciences and Management Research</w:t>
      </w:r>
      <w:r w:rsidRPr="0087554F">
        <w:rPr>
          <w:rFonts w:ascii="Times New Roman" w:hAnsi="Times New Roman" w:cs="Times New Roman"/>
          <w:color w:val="auto"/>
          <w:sz w:val="24"/>
          <w:szCs w:val="24"/>
        </w:rPr>
        <w:t xml:space="preserve">, 11(1), 255-268. </w:t>
      </w:r>
      <w:hyperlink r:id="rId11" w:history="1">
        <w:r w:rsidRPr="0087554F">
          <w:rPr>
            <w:rFonts w:ascii="Times New Roman" w:hAnsi="Times New Roman" w:cs="Times New Roman"/>
            <w:color w:val="0563C1" w:themeColor="hyperlink"/>
            <w:sz w:val="24"/>
            <w:szCs w:val="24"/>
            <w:u w:val="single"/>
          </w:rPr>
          <w:t>https://doi.org/10.56201/ijssmr.vol.11no1.2025.pg.255.268</w:t>
        </w:r>
      </w:hyperlink>
    </w:p>
    <w:p w14:paraId="4247E325"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Ployhart</w:t>
      </w:r>
      <w:proofErr w:type="spellEnd"/>
      <w:r w:rsidRPr="0087554F">
        <w:rPr>
          <w:rFonts w:ascii="Times New Roman" w:hAnsi="Times New Roman" w:cs="Times New Roman"/>
          <w:color w:val="auto"/>
          <w:sz w:val="24"/>
          <w:szCs w:val="24"/>
        </w:rPr>
        <w:t>, R. E. (2021). Resources for what? Understanding performance in the resource-based view and strategic human capital resource literatures. </w:t>
      </w:r>
      <w:r w:rsidRPr="0087554F">
        <w:rPr>
          <w:rFonts w:ascii="Times New Roman" w:hAnsi="Times New Roman" w:cs="Times New Roman"/>
          <w:i/>
          <w:iCs/>
          <w:color w:val="auto"/>
          <w:sz w:val="24"/>
          <w:szCs w:val="24"/>
        </w:rPr>
        <w:t>Journal of Management</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47</w:t>
      </w:r>
      <w:r w:rsidRPr="0087554F">
        <w:rPr>
          <w:rFonts w:ascii="Times New Roman" w:hAnsi="Times New Roman" w:cs="Times New Roman"/>
          <w:color w:val="auto"/>
          <w:sz w:val="24"/>
          <w:szCs w:val="24"/>
        </w:rPr>
        <w:t>(7), 1771-1786.</w:t>
      </w:r>
    </w:p>
    <w:p w14:paraId="5AE1ED70"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Rabiu</w:t>
      </w:r>
      <w:proofErr w:type="spellEnd"/>
      <w:r w:rsidRPr="0087554F">
        <w:rPr>
          <w:rFonts w:ascii="Times New Roman" w:hAnsi="Times New Roman" w:cs="Times New Roman"/>
          <w:color w:val="auto"/>
          <w:sz w:val="24"/>
          <w:szCs w:val="24"/>
        </w:rPr>
        <w:t>, S. A. (2023). </w:t>
      </w:r>
      <w:r w:rsidRPr="0087554F">
        <w:rPr>
          <w:rFonts w:ascii="Times New Roman" w:hAnsi="Times New Roman" w:cs="Times New Roman"/>
          <w:i/>
          <w:iCs/>
          <w:color w:val="auto"/>
          <w:sz w:val="24"/>
          <w:szCs w:val="24"/>
        </w:rPr>
        <w:t>Financial Risk Management and Financial Performance of Microfinance Banks in Nigeria</w:t>
      </w:r>
      <w:r w:rsidRPr="0087554F">
        <w:rPr>
          <w:rFonts w:ascii="Times New Roman" w:hAnsi="Times New Roman" w:cs="Times New Roman"/>
          <w:color w:val="auto"/>
          <w:sz w:val="24"/>
          <w:szCs w:val="24"/>
        </w:rPr>
        <w:t> (Master's thesis, Kwara State University (Nigeria)).</w:t>
      </w:r>
    </w:p>
    <w:p w14:paraId="285ECA37"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t>Sawalha</w:t>
      </w:r>
      <w:proofErr w:type="spellEnd"/>
      <w:r w:rsidRPr="0087554F">
        <w:rPr>
          <w:rFonts w:ascii="Times New Roman" w:hAnsi="Times New Roman" w:cs="Times New Roman"/>
          <w:color w:val="auto"/>
          <w:sz w:val="24"/>
          <w:szCs w:val="24"/>
        </w:rPr>
        <w:t>, I. H. S. (2013). Organisational performance and business continuity management: a theoretical perspective and a case study. </w:t>
      </w:r>
      <w:r w:rsidRPr="0087554F">
        <w:rPr>
          <w:rFonts w:ascii="Times New Roman" w:hAnsi="Times New Roman" w:cs="Times New Roman"/>
          <w:i/>
          <w:iCs/>
          <w:color w:val="auto"/>
          <w:sz w:val="24"/>
          <w:szCs w:val="24"/>
        </w:rPr>
        <w:t>Journal of business continuity &amp; emergency planning</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6</w:t>
      </w:r>
      <w:r w:rsidRPr="0087554F">
        <w:rPr>
          <w:rFonts w:ascii="Times New Roman" w:hAnsi="Times New Roman" w:cs="Times New Roman"/>
          <w:color w:val="auto"/>
          <w:sz w:val="24"/>
          <w:szCs w:val="24"/>
        </w:rPr>
        <w:t>(4), 360-373.</w:t>
      </w:r>
    </w:p>
    <w:p w14:paraId="5780625E" w14:textId="77777777" w:rsidR="00E4593F" w:rsidRPr="00E4593F" w:rsidRDefault="00E4593F" w:rsidP="00E4593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E4593F">
        <w:rPr>
          <w:rFonts w:ascii="Times New Roman" w:hAnsi="Times New Roman" w:cs="Times New Roman"/>
          <w:color w:val="auto"/>
          <w:sz w:val="24"/>
          <w:szCs w:val="24"/>
        </w:rPr>
        <w:t>Stulz</w:t>
      </w:r>
      <w:proofErr w:type="spellEnd"/>
      <w:r w:rsidRPr="00E4593F">
        <w:rPr>
          <w:rFonts w:ascii="Times New Roman" w:hAnsi="Times New Roman" w:cs="Times New Roman"/>
          <w:color w:val="auto"/>
          <w:sz w:val="24"/>
          <w:szCs w:val="24"/>
        </w:rPr>
        <w:t>, R. M. (2024). Risk, the limits of financial risk management, and corporate resilience. </w:t>
      </w:r>
      <w:r w:rsidRPr="00E4593F">
        <w:rPr>
          <w:rFonts w:ascii="Times New Roman" w:hAnsi="Times New Roman" w:cs="Times New Roman"/>
          <w:i/>
          <w:iCs/>
          <w:color w:val="auto"/>
          <w:sz w:val="24"/>
          <w:szCs w:val="24"/>
        </w:rPr>
        <w:t>Annual Review of Financial Economics</w:t>
      </w:r>
      <w:r w:rsidRPr="00E4593F">
        <w:rPr>
          <w:rFonts w:ascii="Times New Roman" w:hAnsi="Times New Roman" w:cs="Times New Roman"/>
          <w:color w:val="auto"/>
          <w:sz w:val="24"/>
          <w:szCs w:val="24"/>
        </w:rPr>
        <w:t>, </w:t>
      </w:r>
      <w:r w:rsidRPr="00E4593F">
        <w:rPr>
          <w:rFonts w:ascii="Times New Roman" w:hAnsi="Times New Roman" w:cs="Times New Roman"/>
          <w:i/>
          <w:iCs/>
          <w:color w:val="auto"/>
          <w:sz w:val="24"/>
          <w:szCs w:val="24"/>
        </w:rPr>
        <w:t>17</w:t>
      </w:r>
      <w:r w:rsidRPr="00E4593F">
        <w:rPr>
          <w:rFonts w:ascii="Times New Roman" w:hAnsi="Times New Roman" w:cs="Times New Roman"/>
          <w:color w:val="auto"/>
          <w:sz w:val="24"/>
          <w:szCs w:val="24"/>
        </w:rPr>
        <w:t>.</w:t>
      </w:r>
    </w:p>
    <w:p w14:paraId="734A8770" w14:textId="77777777" w:rsidR="00E4593F" w:rsidRPr="0087554F" w:rsidRDefault="00E4593F" w:rsidP="00E4593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E4593F">
        <w:rPr>
          <w:rFonts w:ascii="Times New Roman" w:hAnsi="Times New Roman" w:cs="Times New Roman"/>
          <w:color w:val="auto"/>
          <w:sz w:val="24"/>
          <w:szCs w:val="24"/>
        </w:rPr>
        <w:t>Sunaryo</w:t>
      </w:r>
      <w:proofErr w:type="spellEnd"/>
      <w:r w:rsidRPr="00E4593F">
        <w:rPr>
          <w:rFonts w:ascii="Times New Roman" w:hAnsi="Times New Roman" w:cs="Times New Roman"/>
          <w:color w:val="auto"/>
          <w:sz w:val="24"/>
          <w:szCs w:val="24"/>
        </w:rPr>
        <w:t xml:space="preserve">, D., </w:t>
      </w:r>
      <w:proofErr w:type="spellStart"/>
      <w:r w:rsidRPr="00E4593F">
        <w:rPr>
          <w:rFonts w:ascii="Times New Roman" w:hAnsi="Times New Roman" w:cs="Times New Roman"/>
          <w:color w:val="auto"/>
          <w:sz w:val="24"/>
          <w:szCs w:val="24"/>
        </w:rPr>
        <w:t>Adiyanto</w:t>
      </w:r>
      <w:proofErr w:type="spellEnd"/>
      <w:r w:rsidRPr="00E4593F">
        <w:rPr>
          <w:rFonts w:ascii="Times New Roman" w:hAnsi="Times New Roman" w:cs="Times New Roman"/>
          <w:color w:val="auto"/>
          <w:sz w:val="24"/>
          <w:szCs w:val="24"/>
        </w:rPr>
        <w:t xml:space="preserve">, Y., </w:t>
      </w:r>
      <w:proofErr w:type="spellStart"/>
      <w:r w:rsidRPr="00E4593F">
        <w:rPr>
          <w:rFonts w:ascii="Times New Roman" w:hAnsi="Times New Roman" w:cs="Times New Roman"/>
          <w:color w:val="auto"/>
          <w:sz w:val="24"/>
          <w:szCs w:val="24"/>
        </w:rPr>
        <w:t>Violita</w:t>
      </w:r>
      <w:proofErr w:type="spellEnd"/>
      <w:r w:rsidRPr="00E4593F">
        <w:rPr>
          <w:rFonts w:ascii="Times New Roman" w:hAnsi="Times New Roman" w:cs="Times New Roman"/>
          <w:color w:val="auto"/>
          <w:sz w:val="24"/>
          <w:szCs w:val="24"/>
        </w:rPr>
        <w:t xml:space="preserve">, E., Nabila, F., &amp; </w:t>
      </w:r>
      <w:proofErr w:type="spellStart"/>
      <w:r w:rsidRPr="00E4593F">
        <w:rPr>
          <w:rFonts w:ascii="Times New Roman" w:hAnsi="Times New Roman" w:cs="Times New Roman"/>
          <w:color w:val="auto"/>
          <w:sz w:val="24"/>
          <w:szCs w:val="24"/>
        </w:rPr>
        <w:t>Killah</w:t>
      </w:r>
      <w:proofErr w:type="spellEnd"/>
      <w:r w:rsidRPr="00E4593F">
        <w:rPr>
          <w:rFonts w:ascii="Times New Roman" w:hAnsi="Times New Roman" w:cs="Times New Roman"/>
          <w:color w:val="auto"/>
          <w:sz w:val="24"/>
          <w:szCs w:val="24"/>
        </w:rPr>
        <w:t>, K. E. (2025). Risk Management and Its Influence on Corporate Performance: A Systematic Literature Review Approach.</w:t>
      </w:r>
    </w:p>
    <w:p w14:paraId="0D3AC4FC" w14:textId="77777777" w:rsidR="00E4593F" w:rsidRPr="0087554F" w:rsidRDefault="00E4593F" w:rsidP="0087554F">
      <w:pPr>
        <w:autoSpaceDE/>
        <w:autoSpaceDN/>
        <w:adjustRightInd/>
        <w:spacing w:after="160" w:line="259" w:lineRule="auto"/>
        <w:ind w:left="720" w:hanging="720"/>
        <w:jc w:val="both"/>
        <w:rPr>
          <w:rFonts w:ascii="Times New Roman" w:hAnsi="Times New Roman" w:cs="Times New Roman"/>
          <w:color w:val="auto"/>
          <w:sz w:val="24"/>
          <w:szCs w:val="24"/>
        </w:rPr>
      </w:pPr>
      <w:proofErr w:type="spellStart"/>
      <w:r w:rsidRPr="0087554F">
        <w:rPr>
          <w:rFonts w:ascii="Times New Roman" w:hAnsi="Times New Roman" w:cs="Times New Roman"/>
          <w:color w:val="auto"/>
          <w:sz w:val="24"/>
          <w:szCs w:val="24"/>
        </w:rPr>
        <w:lastRenderedPageBreak/>
        <w:t>Tchankova</w:t>
      </w:r>
      <w:proofErr w:type="spellEnd"/>
      <w:r w:rsidRPr="0087554F">
        <w:rPr>
          <w:rFonts w:ascii="Times New Roman" w:hAnsi="Times New Roman" w:cs="Times New Roman"/>
          <w:color w:val="auto"/>
          <w:sz w:val="24"/>
          <w:szCs w:val="24"/>
        </w:rPr>
        <w:t>, L. (2002). Risk identification–basic stage in risk management. </w:t>
      </w:r>
      <w:r w:rsidRPr="0087554F">
        <w:rPr>
          <w:rFonts w:ascii="Times New Roman" w:hAnsi="Times New Roman" w:cs="Times New Roman"/>
          <w:i/>
          <w:iCs/>
          <w:color w:val="auto"/>
          <w:sz w:val="24"/>
          <w:szCs w:val="24"/>
        </w:rPr>
        <w:t>Environmental management and health</w:t>
      </w:r>
      <w:r w:rsidRPr="0087554F">
        <w:rPr>
          <w:rFonts w:ascii="Times New Roman" w:hAnsi="Times New Roman" w:cs="Times New Roman"/>
          <w:color w:val="auto"/>
          <w:sz w:val="24"/>
          <w:szCs w:val="24"/>
        </w:rPr>
        <w:t>, </w:t>
      </w:r>
      <w:r w:rsidRPr="0087554F">
        <w:rPr>
          <w:rFonts w:ascii="Times New Roman" w:hAnsi="Times New Roman" w:cs="Times New Roman"/>
          <w:i/>
          <w:iCs/>
          <w:color w:val="auto"/>
          <w:sz w:val="24"/>
          <w:szCs w:val="24"/>
        </w:rPr>
        <w:t>13</w:t>
      </w:r>
      <w:r w:rsidRPr="0087554F">
        <w:rPr>
          <w:rFonts w:ascii="Times New Roman" w:hAnsi="Times New Roman" w:cs="Times New Roman"/>
          <w:color w:val="auto"/>
          <w:sz w:val="24"/>
          <w:szCs w:val="24"/>
        </w:rPr>
        <w:t>(3), 290-297.</w:t>
      </w:r>
    </w:p>
    <w:p w14:paraId="5A470704" w14:textId="77777777" w:rsidR="00B04715" w:rsidRPr="00957BEB" w:rsidRDefault="00B04715" w:rsidP="00957BEB">
      <w:pPr>
        <w:spacing w:after="120" w:line="276" w:lineRule="auto"/>
        <w:rPr>
          <w:rFonts w:ascii="Times New Roman" w:hAnsi="Times New Roman" w:cs="Times New Roman"/>
          <w:sz w:val="24"/>
          <w:szCs w:val="24"/>
        </w:rPr>
      </w:pPr>
    </w:p>
    <w:p w14:paraId="5A470705" w14:textId="77777777" w:rsidR="005159E7" w:rsidRPr="00957BEB" w:rsidRDefault="005159E7" w:rsidP="00957BEB">
      <w:pPr>
        <w:spacing w:after="120" w:line="276" w:lineRule="auto"/>
        <w:rPr>
          <w:rFonts w:ascii="Times New Roman" w:hAnsi="Times New Roman" w:cs="Times New Roman"/>
          <w:sz w:val="24"/>
          <w:szCs w:val="24"/>
        </w:rPr>
      </w:pPr>
    </w:p>
    <w:sectPr w:rsidR="005159E7" w:rsidRPr="00957BEB" w:rsidSect="00B314C9">
      <w:headerReference w:type="even" r:id="rId12"/>
      <w:headerReference w:type="default" r:id="rId13"/>
      <w:footerReference w:type="even" r:id="rId14"/>
      <w:footerReference w:type="default" r:id="rId15"/>
      <w:headerReference w:type="first" r:id="rId16"/>
      <w:footerReference w:type="first" r:id="rId1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1287D" w14:textId="77777777" w:rsidR="00494C17" w:rsidRDefault="00494C17">
      <w:r>
        <w:separator/>
      </w:r>
    </w:p>
  </w:endnote>
  <w:endnote w:type="continuationSeparator" w:id="0">
    <w:p w14:paraId="4578830D" w14:textId="77777777" w:rsidR="00494C17" w:rsidRDefault="00494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9FD19" w14:textId="77777777" w:rsidR="00974EA6" w:rsidRDefault="00974E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1759041"/>
      <w:docPartObj>
        <w:docPartGallery w:val="Page Numbers (Bottom of Page)"/>
        <w:docPartUnique/>
      </w:docPartObj>
    </w:sdtPr>
    <w:sdtEndPr>
      <w:rPr>
        <w:noProof/>
      </w:rPr>
    </w:sdtEndPr>
    <w:sdtContent>
      <w:p w14:paraId="5A47070A" w14:textId="77777777" w:rsidR="00B314C9" w:rsidRDefault="00B314C9">
        <w:pPr>
          <w:pStyle w:val="Footer"/>
          <w:jc w:val="center"/>
        </w:pPr>
        <w:r>
          <w:fldChar w:fldCharType="begin"/>
        </w:r>
        <w:r>
          <w:instrText xml:space="preserve"> PAGE   \* MERGEFORMAT </w:instrText>
        </w:r>
        <w:r>
          <w:fldChar w:fldCharType="separate"/>
        </w:r>
        <w:r w:rsidR="007A15C2">
          <w:rPr>
            <w:noProof/>
          </w:rPr>
          <w:t>4</w:t>
        </w:r>
        <w:r>
          <w:rPr>
            <w:noProof/>
          </w:rPr>
          <w:fldChar w:fldCharType="end"/>
        </w:r>
      </w:p>
    </w:sdtContent>
  </w:sdt>
  <w:p w14:paraId="5A47070B" w14:textId="77777777" w:rsidR="00B314C9" w:rsidRDefault="00B314C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A20428" w14:textId="77777777" w:rsidR="00974EA6" w:rsidRDefault="00974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848B3C" w14:textId="77777777" w:rsidR="00494C17" w:rsidRDefault="00494C17">
      <w:r>
        <w:separator/>
      </w:r>
    </w:p>
  </w:footnote>
  <w:footnote w:type="continuationSeparator" w:id="0">
    <w:p w14:paraId="2E8B7BE9" w14:textId="77777777" w:rsidR="00494C17" w:rsidRDefault="00494C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95370" w14:textId="3CECE889" w:rsidR="00974EA6" w:rsidRDefault="00494C17">
    <w:pPr>
      <w:pStyle w:val="Header"/>
    </w:pPr>
    <w:r>
      <w:rPr>
        <w:noProof/>
      </w:rPr>
      <w:pict w14:anchorId="6AA452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1" o:spid="_x0000_s2050" type="#_x0000_t136" style="position:absolute;margin-left:0;margin-top:0;width:540.85pt;height:95.4pt;rotation:315;z-index:-251655168;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A943F" w14:textId="42ECFBD0" w:rsidR="00974EA6" w:rsidRDefault="00494C17">
    <w:pPr>
      <w:pStyle w:val="Header"/>
    </w:pPr>
    <w:r>
      <w:rPr>
        <w:noProof/>
      </w:rPr>
      <w:pict w14:anchorId="78CBF1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2" o:spid="_x0000_s2051" type="#_x0000_t136" style="position:absolute;margin-left:0;margin-top:0;width:540.85pt;height:95.4pt;rotation:315;z-index:-251653120;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29E2F6" w14:textId="672E5D6E" w:rsidR="00974EA6" w:rsidRDefault="00494C17">
    <w:pPr>
      <w:pStyle w:val="Header"/>
    </w:pPr>
    <w:r>
      <w:rPr>
        <w:noProof/>
      </w:rPr>
      <w:pict w14:anchorId="5083B11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894750" o:spid="_x0000_s2049" type="#_x0000_t136" style="position:absolute;margin-left:0;margin-top:0;width:540.85pt;height:95.4pt;rotation:315;z-index:-251657216;mso-position-horizontal:center;mso-position-horizontal-relative:margin;mso-position-vertical:center;mso-position-vertical-relative:margin" o:allowincell="f" fillcolor="silver" stroked="f">
          <v:fill opacity=".5"/>
          <v:textpath style="font-family:&quot;Courier New&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2377C"/>
    <w:multiLevelType w:val="multilevel"/>
    <w:tmpl w:val="9776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715"/>
    <w:rsid w:val="00002804"/>
    <w:rsid w:val="000324F1"/>
    <w:rsid w:val="00061542"/>
    <w:rsid w:val="00065A8E"/>
    <w:rsid w:val="00073C0F"/>
    <w:rsid w:val="00077164"/>
    <w:rsid w:val="000C170D"/>
    <w:rsid w:val="000C54A9"/>
    <w:rsid w:val="000D2CFA"/>
    <w:rsid w:val="000E527D"/>
    <w:rsid w:val="000E6DB8"/>
    <w:rsid w:val="000F1AE9"/>
    <w:rsid w:val="001019C6"/>
    <w:rsid w:val="001035BB"/>
    <w:rsid w:val="00134FAA"/>
    <w:rsid w:val="00170337"/>
    <w:rsid w:val="001B227B"/>
    <w:rsid w:val="001C30E3"/>
    <w:rsid w:val="001D49A8"/>
    <w:rsid w:val="0022595F"/>
    <w:rsid w:val="00245C58"/>
    <w:rsid w:val="00262D81"/>
    <w:rsid w:val="00277641"/>
    <w:rsid w:val="002A094C"/>
    <w:rsid w:val="002B1117"/>
    <w:rsid w:val="002C08B5"/>
    <w:rsid w:val="00331D9B"/>
    <w:rsid w:val="00337C8E"/>
    <w:rsid w:val="00346B23"/>
    <w:rsid w:val="0036094B"/>
    <w:rsid w:val="00363F25"/>
    <w:rsid w:val="00370F23"/>
    <w:rsid w:val="003A6608"/>
    <w:rsid w:val="003C6FD9"/>
    <w:rsid w:val="003F56DC"/>
    <w:rsid w:val="00400BDA"/>
    <w:rsid w:val="00453DE3"/>
    <w:rsid w:val="00456F59"/>
    <w:rsid w:val="00465FC3"/>
    <w:rsid w:val="00493B84"/>
    <w:rsid w:val="00494C17"/>
    <w:rsid w:val="004966CB"/>
    <w:rsid w:val="004A6EE2"/>
    <w:rsid w:val="004D5ED8"/>
    <w:rsid w:val="004F5F51"/>
    <w:rsid w:val="004F75D5"/>
    <w:rsid w:val="005066EA"/>
    <w:rsid w:val="005159E7"/>
    <w:rsid w:val="00516378"/>
    <w:rsid w:val="00547FE0"/>
    <w:rsid w:val="00551D24"/>
    <w:rsid w:val="005848C0"/>
    <w:rsid w:val="005C1A2B"/>
    <w:rsid w:val="005D2D8D"/>
    <w:rsid w:val="005F50F4"/>
    <w:rsid w:val="006039D2"/>
    <w:rsid w:val="006427BA"/>
    <w:rsid w:val="00691C2F"/>
    <w:rsid w:val="00702082"/>
    <w:rsid w:val="00707DCA"/>
    <w:rsid w:val="007412D3"/>
    <w:rsid w:val="007540FF"/>
    <w:rsid w:val="007554D8"/>
    <w:rsid w:val="007656DB"/>
    <w:rsid w:val="007741EA"/>
    <w:rsid w:val="0077704E"/>
    <w:rsid w:val="00777D51"/>
    <w:rsid w:val="007A15C2"/>
    <w:rsid w:val="007E72B8"/>
    <w:rsid w:val="00802778"/>
    <w:rsid w:val="00807544"/>
    <w:rsid w:val="00813165"/>
    <w:rsid w:val="008265E0"/>
    <w:rsid w:val="00840F03"/>
    <w:rsid w:val="0085162E"/>
    <w:rsid w:val="008662EA"/>
    <w:rsid w:val="0087554F"/>
    <w:rsid w:val="00882513"/>
    <w:rsid w:val="00887B12"/>
    <w:rsid w:val="00895824"/>
    <w:rsid w:val="008C533C"/>
    <w:rsid w:val="008D5671"/>
    <w:rsid w:val="008E7620"/>
    <w:rsid w:val="008F33D5"/>
    <w:rsid w:val="008F5889"/>
    <w:rsid w:val="00924237"/>
    <w:rsid w:val="00954342"/>
    <w:rsid w:val="00955F60"/>
    <w:rsid w:val="00957BEB"/>
    <w:rsid w:val="00974EA6"/>
    <w:rsid w:val="00975BE0"/>
    <w:rsid w:val="0098208A"/>
    <w:rsid w:val="009907E3"/>
    <w:rsid w:val="00991C79"/>
    <w:rsid w:val="009B6AB5"/>
    <w:rsid w:val="009E57F5"/>
    <w:rsid w:val="009F6D95"/>
    <w:rsid w:val="00A21ADF"/>
    <w:rsid w:val="00A4659F"/>
    <w:rsid w:val="00A81360"/>
    <w:rsid w:val="00AC5B4E"/>
    <w:rsid w:val="00AF386C"/>
    <w:rsid w:val="00B04715"/>
    <w:rsid w:val="00B314C9"/>
    <w:rsid w:val="00B414E8"/>
    <w:rsid w:val="00B44BE3"/>
    <w:rsid w:val="00B45B2C"/>
    <w:rsid w:val="00B570E4"/>
    <w:rsid w:val="00BA64D9"/>
    <w:rsid w:val="00BA78E1"/>
    <w:rsid w:val="00BE261E"/>
    <w:rsid w:val="00BE3703"/>
    <w:rsid w:val="00BE432D"/>
    <w:rsid w:val="00C21665"/>
    <w:rsid w:val="00C5080C"/>
    <w:rsid w:val="00C5345E"/>
    <w:rsid w:val="00C70804"/>
    <w:rsid w:val="00C75BA3"/>
    <w:rsid w:val="00CA27D4"/>
    <w:rsid w:val="00CC742E"/>
    <w:rsid w:val="00CF4894"/>
    <w:rsid w:val="00D0434F"/>
    <w:rsid w:val="00D76C1E"/>
    <w:rsid w:val="00D90A97"/>
    <w:rsid w:val="00DA13F5"/>
    <w:rsid w:val="00DB246B"/>
    <w:rsid w:val="00DD62BE"/>
    <w:rsid w:val="00DE322E"/>
    <w:rsid w:val="00DF779A"/>
    <w:rsid w:val="00E121AC"/>
    <w:rsid w:val="00E16FD3"/>
    <w:rsid w:val="00E277BD"/>
    <w:rsid w:val="00E30607"/>
    <w:rsid w:val="00E3280A"/>
    <w:rsid w:val="00E4593F"/>
    <w:rsid w:val="00E54C1E"/>
    <w:rsid w:val="00EA1C07"/>
    <w:rsid w:val="00EE5D80"/>
    <w:rsid w:val="00EF67C1"/>
    <w:rsid w:val="00F0204A"/>
    <w:rsid w:val="00F53C31"/>
    <w:rsid w:val="00F54F96"/>
    <w:rsid w:val="00F73248"/>
    <w:rsid w:val="00F755FF"/>
    <w:rsid w:val="00F945ED"/>
    <w:rsid w:val="00FC2190"/>
    <w:rsid w:val="00FD1B33"/>
    <w:rsid w:val="00FD7B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47058E"/>
  <w15:chartTrackingRefBased/>
  <w15:docId w15:val="{B80DAED7-F4AF-498D-9FED-2FDCF67E2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rsid w:val="007656DB"/>
    <w:pPr>
      <w:autoSpaceDE w:val="0"/>
      <w:autoSpaceDN w:val="0"/>
      <w:adjustRightInd w:val="0"/>
      <w:spacing w:after="0" w:line="240" w:lineRule="auto"/>
    </w:pPr>
    <w:rPr>
      <w:rFonts w:ascii="Courier New" w:hAnsi="Courier New" w:cs="Courier New"/>
      <w:color w:val="000000"/>
      <w:sz w:val="20"/>
      <w:szCs w:val="20"/>
    </w:rPr>
  </w:style>
  <w:style w:type="paragraph" w:styleId="Heading1">
    <w:name w:val="heading 1"/>
    <w:basedOn w:val="Normal"/>
    <w:next w:val="Normal"/>
    <w:link w:val="Heading1Char"/>
    <w:uiPriority w:val="9"/>
    <w:qFormat/>
    <w:rsid w:val="00C70804"/>
    <w:pPr>
      <w:keepNext/>
      <w:keepLines/>
      <w:spacing w:before="240" w:after="240" w:line="480" w:lineRule="auto"/>
      <w:jc w:val="both"/>
      <w:outlineLvl w:val="0"/>
    </w:pPr>
    <w:rPr>
      <w:rFonts w:ascii="Times New Roman" w:eastAsiaTheme="majorEastAsia" w:hAnsi="Times New Roman" w:cstheme="majorBidi"/>
      <w:b/>
      <w:sz w:val="24"/>
      <w:szCs w:val="32"/>
    </w:rPr>
  </w:style>
  <w:style w:type="paragraph" w:styleId="Heading3">
    <w:name w:val="heading 3"/>
    <w:basedOn w:val="Normal"/>
    <w:next w:val="Normal"/>
    <w:link w:val="Heading3Char"/>
    <w:uiPriority w:val="9"/>
    <w:semiHidden/>
    <w:unhideWhenUsed/>
    <w:qFormat/>
    <w:rsid w:val="00A4659F"/>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0804"/>
    <w:rPr>
      <w:rFonts w:ascii="Times New Roman" w:eastAsiaTheme="majorEastAsia" w:hAnsi="Times New Roman" w:cstheme="majorBidi"/>
      <w:b/>
      <w:sz w:val="24"/>
      <w:szCs w:val="32"/>
    </w:rPr>
  </w:style>
  <w:style w:type="paragraph" w:styleId="Footer">
    <w:name w:val="footer"/>
    <w:basedOn w:val="Normal"/>
    <w:link w:val="FooterChar"/>
    <w:uiPriority w:val="99"/>
    <w:unhideWhenUsed/>
    <w:rsid w:val="00B04715"/>
    <w:pPr>
      <w:tabs>
        <w:tab w:val="center" w:pos="4680"/>
        <w:tab w:val="right" w:pos="9360"/>
      </w:tabs>
    </w:pPr>
  </w:style>
  <w:style w:type="character" w:customStyle="1" w:styleId="FooterChar">
    <w:name w:val="Footer Char"/>
    <w:basedOn w:val="DefaultParagraphFont"/>
    <w:link w:val="Footer"/>
    <w:uiPriority w:val="99"/>
    <w:rsid w:val="00B04715"/>
  </w:style>
  <w:style w:type="character" w:styleId="Hyperlink">
    <w:name w:val="Hyperlink"/>
    <w:basedOn w:val="DefaultParagraphFont"/>
    <w:uiPriority w:val="99"/>
    <w:unhideWhenUsed/>
    <w:rsid w:val="00B04715"/>
    <w:rPr>
      <w:color w:val="0000FF"/>
      <w:u w:val="single"/>
    </w:rPr>
  </w:style>
  <w:style w:type="character" w:customStyle="1" w:styleId="Heading3Char">
    <w:name w:val="Heading 3 Char"/>
    <w:basedOn w:val="DefaultParagraphFont"/>
    <w:link w:val="Heading3"/>
    <w:uiPriority w:val="9"/>
    <w:semiHidden/>
    <w:rsid w:val="00A4659F"/>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39"/>
    <w:rsid w:val="00957B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F56DC"/>
    <w:pPr>
      <w:autoSpaceDE w:val="0"/>
      <w:autoSpaceDN w:val="0"/>
      <w:adjustRightInd w:val="0"/>
      <w:spacing w:after="0" w:line="240" w:lineRule="auto"/>
    </w:pPr>
    <w:rPr>
      <w:rFonts w:ascii="Courier New" w:hAnsi="Courier New" w:cs="Courier New"/>
      <w:color w:val="000000"/>
      <w:sz w:val="20"/>
      <w:szCs w:val="20"/>
    </w:rPr>
  </w:style>
  <w:style w:type="character" w:customStyle="1" w:styleId="UnresolvedMention">
    <w:name w:val="Unresolved Mention"/>
    <w:basedOn w:val="DefaultParagraphFont"/>
    <w:uiPriority w:val="99"/>
    <w:semiHidden/>
    <w:unhideWhenUsed/>
    <w:rsid w:val="00991C79"/>
    <w:rPr>
      <w:color w:val="605E5C"/>
      <w:shd w:val="clear" w:color="auto" w:fill="E1DFDD"/>
    </w:rPr>
  </w:style>
  <w:style w:type="paragraph" w:styleId="ListParagraph">
    <w:name w:val="List Paragraph"/>
    <w:basedOn w:val="Normal"/>
    <w:uiPriority w:val="34"/>
    <w:qFormat/>
    <w:rsid w:val="00C5080C"/>
    <w:pPr>
      <w:ind w:left="720"/>
      <w:contextualSpacing/>
    </w:pPr>
  </w:style>
  <w:style w:type="paragraph" w:styleId="Header">
    <w:name w:val="header"/>
    <w:basedOn w:val="Normal"/>
    <w:link w:val="HeaderChar"/>
    <w:uiPriority w:val="99"/>
    <w:unhideWhenUsed/>
    <w:rsid w:val="00974EA6"/>
    <w:pPr>
      <w:tabs>
        <w:tab w:val="center" w:pos="4680"/>
        <w:tab w:val="right" w:pos="9360"/>
      </w:tabs>
    </w:pPr>
  </w:style>
  <w:style w:type="character" w:customStyle="1" w:styleId="HeaderChar">
    <w:name w:val="Header Char"/>
    <w:basedOn w:val="DefaultParagraphFont"/>
    <w:link w:val="Header"/>
    <w:uiPriority w:val="99"/>
    <w:rsid w:val="00974EA6"/>
    <w:rPr>
      <w:rFonts w:ascii="Courier New" w:hAnsi="Courier New" w:cs="Courier New"/>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267799">
      <w:bodyDiv w:val="1"/>
      <w:marLeft w:val="0"/>
      <w:marRight w:val="0"/>
      <w:marTop w:val="0"/>
      <w:marBottom w:val="0"/>
      <w:divBdr>
        <w:top w:val="none" w:sz="0" w:space="0" w:color="auto"/>
        <w:left w:val="none" w:sz="0" w:space="0" w:color="auto"/>
        <w:bottom w:val="none" w:sz="0" w:space="0" w:color="auto"/>
        <w:right w:val="none" w:sz="0" w:space="0" w:color="auto"/>
      </w:divBdr>
    </w:div>
    <w:div w:id="285504912">
      <w:bodyDiv w:val="1"/>
      <w:marLeft w:val="0"/>
      <w:marRight w:val="0"/>
      <w:marTop w:val="0"/>
      <w:marBottom w:val="0"/>
      <w:divBdr>
        <w:top w:val="none" w:sz="0" w:space="0" w:color="auto"/>
        <w:left w:val="none" w:sz="0" w:space="0" w:color="auto"/>
        <w:bottom w:val="none" w:sz="0" w:space="0" w:color="auto"/>
        <w:right w:val="none" w:sz="0" w:space="0" w:color="auto"/>
      </w:divBdr>
    </w:div>
    <w:div w:id="853881357">
      <w:bodyDiv w:val="1"/>
      <w:marLeft w:val="0"/>
      <w:marRight w:val="0"/>
      <w:marTop w:val="0"/>
      <w:marBottom w:val="0"/>
      <w:divBdr>
        <w:top w:val="none" w:sz="0" w:space="0" w:color="auto"/>
        <w:left w:val="none" w:sz="0" w:space="0" w:color="auto"/>
        <w:bottom w:val="none" w:sz="0" w:space="0" w:color="auto"/>
        <w:right w:val="none" w:sz="0" w:space="0" w:color="auto"/>
      </w:divBdr>
    </w:div>
    <w:div w:id="1168133094">
      <w:bodyDiv w:val="1"/>
      <w:marLeft w:val="0"/>
      <w:marRight w:val="0"/>
      <w:marTop w:val="0"/>
      <w:marBottom w:val="0"/>
      <w:divBdr>
        <w:top w:val="none" w:sz="0" w:space="0" w:color="auto"/>
        <w:left w:val="none" w:sz="0" w:space="0" w:color="auto"/>
        <w:bottom w:val="none" w:sz="0" w:space="0" w:color="auto"/>
        <w:right w:val="none" w:sz="0" w:space="0" w:color="auto"/>
      </w:divBdr>
    </w:div>
    <w:div w:id="1341857498">
      <w:bodyDiv w:val="1"/>
      <w:marLeft w:val="0"/>
      <w:marRight w:val="0"/>
      <w:marTop w:val="0"/>
      <w:marBottom w:val="0"/>
      <w:divBdr>
        <w:top w:val="none" w:sz="0" w:space="0" w:color="auto"/>
        <w:left w:val="none" w:sz="0" w:space="0" w:color="auto"/>
        <w:bottom w:val="none" w:sz="0" w:space="0" w:color="auto"/>
        <w:right w:val="none" w:sz="0" w:space="0" w:color="auto"/>
      </w:divBdr>
    </w:div>
    <w:div w:id="1345480058">
      <w:bodyDiv w:val="1"/>
      <w:marLeft w:val="0"/>
      <w:marRight w:val="0"/>
      <w:marTop w:val="0"/>
      <w:marBottom w:val="0"/>
      <w:divBdr>
        <w:top w:val="none" w:sz="0" w:space="0" w:color="auto"/>
        <w:left w:val="none" w:sz="0" w:space="0" w:color="auto"/>
        <w:bottom w:val="none" w:sz="0" w:space="0" w:color="auto"/>
        <w:right w:val="none" w:sz="0" w:space="0" w:color="auto"/>
      </w:divBdr>
    </w:div>
    <w:div w:id="1418215366">
      <w:bodyDiv w:val="1"/>
      <w:marLeft w:val="0"/>
      <w:marRight w:val="0"/>
      <w:marTop w:val="0"/>
      <w:marBottom w:val="0"/>
      <w:divBdr>
        <w:top w:val="none" w:sz="0" w:space="0" w:color="auto"/>
        <w:left w:val="none" w:sz="0" w:space="0" w:color="auto"/>
        <w:bottom w:val="none" w:sz="0" w:space="0" w:color="auto"/>
        <w:right w:val="none" w:sz="0" w:space="0" w:color="auto"/>
      </w:divBdr>
    </w:div>
    <w:div w:id="1521815526">
      <w:bodyDiv w:val="1"/>
      <w:marLeft w:val="0"/>
      <w:marRight w:val="0"/>
      <w:marTop w:val="0"/>
      <w:marBottom w:val="0"/>
      <w:divBdr>
        <w:top w:val="none" w:sz="0" w:space="0" w:color="auto"/>
        <w:left w:val="none" w:sz="0" w:space="0" w:color="auto"/>
        <w:bottom w:val="none" w:sz="0" w:space="0" w:color="auto"/>
        <w:right w:val="none" w:sz="0" w:space="0" w:color="auto"/>
      </w:divBdr>
    </w:div>
    <w:div w:id="1970669225">
      <w:bodyDiv w:val="1"/>
      <w:marLeft w:val="0"/>
      <w:marRight w:val="0"/>
      <w:marTop w:val="0"/>
      <w:marBottom w:val="0"/>
      <w:divBdr>
        <w:top w:val="none" w:sz="0" w:space="0" w:color="auto"/>
        <w:left w:val="none" w:sz="0" w:space="0" w:color="auto"/>
        <w:bottom w:val="none" w:sz="0" w:space="0" w:color="auto"/>
        <w:right w:val="none" w:sz="0" w:space="0" w:color="auto"/>
      </w:divBdr>
    </w:div>
    <w:div w:id="2067994538">
      <w:bodyDiv w:val="1"/>
      <w:marLeft w:val="0"/>
      <w:marRight w:val="0"/>
      <w:marTop w:val="0"/>
      <w:marBottom w:val="0"/>
      <w:divBdr>
        <w:top w:val="none" w:sz="0" w:space="0" w:color="auto"/>
        <w:left w:val="none" w:sz="0" w:space="0" w:color="auto"/>
        <w:bottom w:val="none" w:sz="0" w:space="0" w:color="auto"/>
        <w:right w:val="none" w:sz="0" w:space="0" w:color="auto"/>
      </w:divBdr>
    </w:div>
    <w:div w:id="2130200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wjournal.org/index.php/bsjournal/article/view/1904"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jitmf.centralasianstudies.org/index.php/CAJITMF/article/view/711"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56201/ijssmr.vol.11no1.2025.pg.255.26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iiardjournals.org/get/WJFIR/Vol%208.%20No.%203%202024/Stock%20market%20performance%2020-34.pdf"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ijeais.org/wp-content/uploads/2024/11/IJAAFMR241112.pdf"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21</Pages>
  <Words>9260</Words>
  <Characters>52788</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Praf's Touch</dc:creator>
  <cp:keywords/>
  <dc:description/>
  <cp:lastModifiedBy>Praf's Touch</cp:lastModifiedBy>
  <cp:revision>33</cp:revision>
  <dcterms:created xsi:type="dcterms:W3CDTF">2025-04-16T00:37:00Z</dcterms:created>
  <dcterms:modified xsi:type="dcterms:W3CDTF">2025-04-20T17:03:00Z</dcterms:modified>
</cp:coreProperties>
</file>