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27DB280" w14:textId="77777777" w:rsidR="003F0AB7" w:rsidRDefault="00FC56DC">
      <w:pPr>
        <w:widowControl w:val="0"/>
        <w:pBdr>
          <w:top w:val="nil"/>
          <w:left w:val="nil"/>
          <w:bottom w:val="nil"/>
          <w:right w:val="nil"/>
          <w:between w:val="nil"/>
        </w:pBdr>
        <w:spacing w:line="276" w:lineRule="auto"/>
      </w:pPr>
      <w:r>
        <w:pict w14:anchorId="314CC0F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1" type="#_x0000_t136" style="position:absolute;margin-left:0;margin-top:0;width:50pt;height:50pt;z-index:251655168;visibility:hidden">
            <o:lock v:ext="edit" selection="t"/>
          </v:shape>
        </w:pict>
      </w:r>
      <w:r>
        <w:pict w14:anchorId="68931041">
          <v:shape id="_x0000_s1030" type="#_x0000_t136" style="position:absolute;margin-left:0;margin-top:0;width:50pt;height:50pt;z-index:251656192;visibility:hidden">
            <o:lock v:ext="edit" selection="t"/>
          </v:shape>
        </w:pict>
      </w:r>
      <w:r>
        <w:pict w14:anchorId="6CE36F9E">
          <v:shape id="_x0000_s1029" type="#_x0000_t136" style="position:absolute;margin-left:0;margin-top:0;width:50pt;height:50pt;z-index:251657216;visibility:hidden">
            <o:lock v:ext="edit" selection="t"/>
          </v:shape>
        </w:pict>
      </w:r>
      <w:r>
        <w:pict w14:anchorId="6C3DF0B7">
          <v:shape id="_x0000_s1028" type="#_x0000_t136" style="position:absolute;margin-left:0;margin-top:0;width:50pt;height:50pt;z-index:251658240;visibility:hidden">
            <o:lock v:ext="edit" selection="t"/>
          </v:shape>
        </w:pict>
      </w:r>
      <w:r>
        <w:pict w14:anchorId="1F48811D">
          <v:shape id="_x0000_s1027" type="#_x0000_t136" style="position:absolute;margin-left:0;margin-top:0;width:50pt;height:50pt;z-index:251659264;visibility:hidden">
            <o:lock v:ext="edit" selection="t"/>
          </v:shape>
        </w:pict>
      </w:r>
      <w:r>
        <w:pict w14:anchorId="3B8DE6EA">
          <v:shape id="_x0000_s1026" type="#_x0000_t136" style="position:absolute;margin-left:0;margin-top:0;width:50pt;height:50pt;z-index:251660288;visibility:hidden">
            <o:lock v:ext="edit" selection="t"/>
          </v:shape>
        </w:pict>
      </w:r>
    </w:p>
    <w:p w14:paraId="7B358F58" w14:textId="6D608331" w:rsidR="003F0AB7" w:rsidRPr="00ED109A" w:rsidRDefault="0073180B" w:rsidP="00FB7651">
      <w:pPr>
        <w:pBdr>
          <w:top w:val="nil"/>
          <w:left w:val="nil"/>
          <w:bottom w:val="nil"/>
          <w:right w:val="nil"/>
          <w:between w:val="nil"/>
        </w:pBdr>
        <w:jc w:val="both"/>
        <w:rPr>
          <w:rFonts w:ascii="Arial" w:eastAsia="Arial" w:hAnsi="Arial" w:cs="Arial"/>
          <w:b/>
          <w:color w:val="000000"/>
          <w:sz w:val="36"/>
          <w:szCs w:val="36"/>
          <w:highlight w:val="yellow"/>
        </w:rPr>
      </w:pPr>
      <w:bookmarkStart w:id="0" w:name="_heading=h.4kqkm34sqahn" w:colFirst="0" w:colLast="0"/>
      <w:bookmarkEnd w:id="0"/>
      <w:r w:rsidRPr="00ED109A">
        <w:rPr>
          <w:rFonts w:ascii="Arial" w:eastAsia="Arial" w:hAnsi="Arial" w:cs="Arial"/>
          <w:b/>
          <w:color w:val="000000"/>
          <w:sz w:val="36"/>
          <w:szCs w:val="36"/>
          <w:highlight w:val="yellow"/>
        </w:rPr>
        <w:t>The effects of</w:t>
      </w:r>
      <w:r w:rsidR="00FB7651">
        <w:rPr>
          <w:rFonts w:ascii="Arial" w:eastAsia="Arial" w:hAnsi="Arial" w:cs="Arial"/>
          <w:b/>
          <w:color w:val="000000"/>
          <w:sz w:val="36"/>
          <w:szCs w:val="36"/>
          <w:highlight w:val="yellow"/>
        </w:rPr>
        <w:t xml:space="preserve"> dexamethasone on periodontitis </w:t>
      </w:r>
      <w:r w:rsidRPr="00ED109A">
        <w:rPr>
          <w:rFonts w:ascii="Arial" w:eastAsia="Arial" w:hAnsi="Arial" w:cs="Arial"/>
          <w:b/>
          <w:color w:val="000000"/>
          <w:sz w:val="36"/>
          <w:szCs w:val="36"/>
          <w:highlight w:val="yellow"/>
        </w:rPr>
        <w:t>and</w:t>
      </w:r>
      <w:r w:rsidRPr="00ED109A">
        <w:rPr>
          <w:rFonts w:ascii="Arial" w:eastAsia="Arial" w:hAnsi="Arial" w:cs="Arial"/>
          <w:b/>
          <w:sz w:val="36"/>
          <w:szCs w:val="36"/>
          <w:highlight w:val="yellow"/>
        </w:rPr>
        <w:t xml:space="preserve"> </w:t>
      </w:r>
      <w:r w:rsidR="00FB7651">
        <w:rPr>
          <w:rFonts w:ascii="Arial" w:eastAsia="Arial" w:hAnsi="Arial" w:cs="Arial"/>
          <w:b/>
          <w:sz w:val="36"/>
          <w:szCs w:val="36"/>
          <w:highlight w:val="yellow"/>
        </w:rPr>
        <w:t xml:space="preserve">the </w:t>
      </w:r>
      <w:r w:rsidRPr="00ED109A">
        <w:rPr>
          <w:rFonts w:ascii="Arial" w:eastAsia="Arial" w:hAnsi="Arial" w:cs="Arial"/>
          <w:b/>
          <w:sz w:val="36"/>
          <w:szCs w:val="36"/>
          <w:highlight w:val="yellow"/>
        </w:rPr>
        <w:t>in</w:t>
      </w:r>
      <w:r w:rsidR="00FB7651">
        <w:rPr>
          <w:rFonts w:ascii="Arial" w:eastAsia="Arial" w:hAnsi="Arial" w:cs="Arial"/>
          <w:b/>
          <w:sz w:val="36"/>
          <w:szCs w:val="36"/>
          <w:highlight w:val="yellow"/>
        </w:rPr>
        <w:t>fluence</w:t>
      </w:r>
      <w:r w:rsidRPr="00ED109A">
        <w:rPr>
          <w:rFonts w:ascii="Arial" w:eastAsia="Arial" w:hAnsi="Arial" w:cs="Arial"/>
          <w:b/>
          <w:sz w:val="36"/>
          <w:szCs w:val="36"/>
          <w:highlight w:val="yellow"/>
        </w:rPr>
        <w:t xml:space="preserve"> </w:t>
      </w:r>
      <w:r w:rsidR="00FB7651">
        <w:rPr>
          <w:rFonts w:ascii="Arial" w:eastAsia="Arial" w:hAnsi="Arial" w:cs="Arial"/>
          <w:b/>
          <w:sz w:val="36"/>
          <w:szCs w:val="36"/>
          <w:highlight w:val="yellow"/>
        </w:rPr>
        <w:t xml:space="preserve">of this disease </w:t>
      </w:r>
      <w:r w:rsidRPr="00ED109A">
        <w:rPr>
          <w:rFonts w:ascii="Arial" w:eastAsia="Arial" w:hAnsi="Arial" w:cs="Arial"/>
          <w:b/>
          <w:sz w:val="36"/>
          <w:szCs w:val="36"/>
          <w:highlight w:val="yellow"/>
        </w:rPr>
        <w:t>in</w:t>
      </w:r>
      <w:r w:rsidRPr="00ED109A">
        <w:rPr>
          <w:rFonts w:ascii="Arial" w:eastAsia="Arial" w:hAnsi="Arial" w:cs="Arial"/>
          <w:b/>
          <w:color w:val="000000"/>
          <w:sz w:val="36"/>
          <w:szCs w:val="36"/>
          <w:highlight w:val="yellow"/>
        </w:rPr>
        <w:t xml:space="preserve"> development and </w:t>
      </w:r>
      <w:r w:rsidR="00FB7651">
        <w:rPr>
          <w:rFonts w:ascii="Arial" w:eastAsia="Arial" w:hAnsi="Arial" w:cs="Arial"/>
          <w:b/>
          <w:color w:val="000000"/>
          <w:sz w:val="36"/>
          <w:szCs w:val="36"/>
          <w:highlight w:val="yellow"/>
        </w:rPr>
        <w:t>survival of mice</w:t>
      </w:r>
      <w:r w:rsidRPr="00ED109A">
        <w:rPr>
          <w:rFonts w:ascii="Arial" w:eastAsia="Arial" w:hAnsi="Arial" w:cs="Arial"/>
          <w:b/>
          <w:color w:val="000000"/>
          <w:sz w:val="36"/>
          <w:szCs w:val="36"/>
          <w:highlight w:val="yellow"/>
        </w:rPr>
        <w:t xml:space="preserve"> </w:t>
      </w:r>
      <w:r w:rsidRPr="00ED109A">
        <w:rPr>
          <w:rFonts w:ascii="Arial" w:eastAsia="Arial" w:hAnsi="Arial" w:cs="Arial"/>
          <w:b/>
          <w:sz w:val="36"/>
          <w:szCs w:val="36"/>
          <w:highlight w:val="yellow"/>
        </w:rPr>
        <w:t xml:space="preserve">ovarian follicles </w:t>
      </w:r>
    </w:p>
    <w:p w14:paraId="50C921AC" w14:textId="77777777" w:rsidR="003F0AB7" w:rsidRDefault="003F0AB7">
      <w:pPr>
        <w:pBdr>
          <w:top w:val="nil"/>
          <w:left w:val="nil"/>
          <w:bottom w:val="nil"/>
          <w:right w:val="nil"/>
          <w:between w:val="nil"/>
        </w:pBdr>
        <w:jc w:val="right"/>
        <w:rPr>
          <w:rFonts w:ascii="Arial" w:eastAsia="Arial" w:hAnsi="Arial" w:cs="Arial"/>
          <w:b/>
          <w:color w:val="000000"/>
          <w:sz w:val="24"/>
          <w:szCs w:val="24"/>
        </w:rPr>
      </w:pPr>
    </w:p>
    <w:p w14:paraId="4F1DA351" w14:textId="77777777" w:rsidR="003F0AB7" w:rsidRDefault="003F0AB7">
      <w:pPr>
        <w:pBdr>
          <w:top w:val="nil"/>
          <w:left w:val="nil"/>
          <w:bottom w:val="nil"/>
          <w:right w:val="nil"/>
          <w:between w:val="nil"/>
        </w:pBdr>
        <w:jc w:val="both"/>
        <w:rPr>
          <w:rFonts w:ascii="Arial" w:eastAsia="Arial" w:hAnsi="Arial" w:cs="Arial"/>
          <w:color w:val="000000"/>
        </w:rPr>
      </w:pPr>
    </w:p>
    <w:p w14:paraId="3F0F407A" w14:textId="77777777" w:rsidR="003F0AB7" w:rsidRDefault="0073180B">
      <w:pPr>
        <w:pBdr>
          <w:top w:val="nil"/>
          <w:left w:val="nil"/>
          <w:bottom w:val="nil"/>
          <w:right w:val="nil"/>
          <w:between w:val="nil"/>
        </w:pBdr>
        <w:jc w:val="both"/>
        <w:rPr>
          <w:rFonts w:ascii="Arial" w:eastAsia="Arial" w:hAnsi="Arial" w:cs="Arial"/>
          <w:color w:val="000000"/>
          <w:sz w:val="16"/>
          <w:szCs w:val="16"/>
        </w:rPr>
        <w:sectPr w:rsidR="003F0AB7">
          <w:headerReference w:type="even" r:id="rId8"/>
          <w:headerReference w:type="default" r:id="rId9"/>
          <w:footerReference w:type="even" r:id="rId10"/>
          <w:footerReference w:type="default" r:id="rId11"/>
          <w:headerReference w:type="first" r:id="rId12"/>
          <w:footerReference w:type="first" r:id="rId13"/>
          <w:pgSz w:w="12240" w:h="15840"/>
          <w:pgMar w:top="1440" w:right="2016" w:bottom="2016" w:left="2016" w:header="720" w:footer="1296" w:gutter="0"/>
          <w:pgNumType w:start="1"/>
          <w:cols w:space="720"/>
        </w:sectPr>
      </w:pPr>
      <w:r>
        <w:rPr>
          <w:rFonts w:ascii="Arial" w:eastAsia="Arial" w:hAnsi="Arial" w:cs="Arial"/>
          <w:noProof/>
          <w:color w:val="000000"/>
          <w:sz w:val="16"/>
          <w:szCs w:val="16"/>
          <w:lang w:eastAsia="en-US"/>
        </w:rPr>
        <mc:AlternateContent>
          <mc:Choice Requires="wps">
            <w:drawing>
              <wp:inline distT="0" distB="0" distL="114300" distR="114300" wp14:anchorId="4DE06D62" wp14:editId="35D1224B">
                <wp:extent cx="0" cy="19050"/>
                <wp:effectExtent l="0" t="0" r="0" b="0"/>
                <wp:docPr id="2063348278" name="Forma Livre: Forma 2063348278"/>
                <wp:cNvGraphicFramePr/>
                <a:graphic xmlns:a="http://schemas.openxmlformats.org/drawingml/2006/main">
                  <a:graphicData uri="http://schemas.microsoft.com/office/word/2010/wordprocessingShape">
                    <wps:wsp>
                      <wps:cNvSpPr/>
                      <wps:spPr>
                        <a:xfrm>
                          <a:off x="2694240" y="3780000"/>
                          <a:ext cx="5303520" cy="0"/>
                        </a:xfrm>
                        <a:custGeom>
                          <a:avLst/>
                          <a:gdLst/>
                          <a:ahLst/>
                          <a:cxnLst/>
                          <a:rect l="l" t="t" r="r" b="b"/>
                          <a:pathLst>
                            <a:path w="5303520" h="1" extrusionOk="0">
                              <a:moveTo>
                                <a:pt x="0" y="0"/>
                              </a:moveTo>
                              <a:lnTo>
                                <a:pt x="5303520" y="0"/>
                              </a:lnTo>
                            </a:path>
                          </a:pathLst>
                        </a:custGeom>
                        <a:solidFill>
                          <a:srgbClr val="FFFFFF"/>
                        </a:solidFill>
                        <a:ln w="1905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inline>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http://schemas.microsoft.com/office/tasks/2019/documenttasks" xmlns:cr="http://schemas.microsoft.com/office/comments/2020/reactions"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drawing>
              <wp:inline distB="0" distT="0" distL="114300" distR="114300">
                <wp:extent cx="0" cy="19050"/>
                <wp:effectExtent b="0" l="0" r="0" t="0"/>
                <wp:docPr id="2063348278" name="image9.png"/>
                <a:graphic>
                  <a:graphicData uri="http://schemas.openxmlformats.org/drawingml/2006/picture">
                    <pic:pic>
                      <pic:nvPicPr>
                        <pic:cNvPr id="0" name="image9.png"/>
                        <pic:cNvPicPr preferRelativeResize="0"/>
                      </pic:nvPicPr>
                      <pic:blipFill>
                        <a:blip r:embed="rId14"/>
                        <a:srcRect/>
                        <a:stretch>
                          <a:fillRect/>
                        </a:stretch>
                      </pic:blipFill>
                      <pic:spPr>
                        <a:xfrm>
                          <a:off x="0" y="0"/>
                          <a:ext cx="0" cy="19050"/>
                        </a:xfrm>
                        <a:prstGeom prst="rect"/>
                        <a:ln/>
                      </pic:spPr>
                    </pic:pic>
                  </a:graphicData>
                </a:graphic>
              </wp:inline>
            </w:drawing>
          </mc:Fallback>
        </mc:AlternateContent>
      </w:r>
    </w:p>
    <w:p w14:paraId="4729714B" w14:textId="77777777" w:rsidR="003F0AB7" w:rsidRDefault="0073180B">
      <w:pPr>
        <w:keepNext/>
        <w:pBdr>
          <w:top w:val="nil"/>
          <w:left w:val="nil"/>
          <w:bottom w:val="nil"/>
          <w:right w:val="nil"/>
          <w:between w:val="nil"/>
        </w:pBdr>
        <w:jc w:val="both"/>
        <w:rPr>
          <w:rFonts w:ascii="Arial" w:eastAsia="Arial" w:hAnsi="Arial" w:cs="Arial"/>
          <w:b/>
          <w:smallCaps/>
          <w:color w:val="000000"/>
          <w:sz w:val="22"/>
          <w:szCs w:val="22"/>
        </w:rPr>
      </w:pPr>
      <w:r>
        <w:rPr>
          <w:rFonts w:ascii="Arial" w:eastAsia="Arial" w:hAnsi="Arial" w:cs="Arial"/>
          <w:b/>
          <w:smallCaps/>
          <w:color w:val="000000"/>
          <w:sz w:val="22"/>
          <w:szCs w:val="22"/>
        </w:rPr>
        <w:t xml:space="preserve">ABSTRACT </w:t>
      </w:r>
    </w:p>
    <w:p w14:paraId="1BEC3672" w14:textId="77777777" w:rsidR="003F0AB7" w:rsidRDefault="003F0AB7">
      <w:pPr>
        <w:keepNext/>
        <w:pBdr>
          <w:top w:val="nil"/>
          <w:left w:val="nil"/>
          <w:bottom w:val="nil"/>
          <w:right w:val="nil"/>
          <w:between w:val="nil"/>
        </w:pBdr>
        <w:jc w:val="both"/>
        <w:rPr>
          <w:rFonts w:ascii="Arial" w:eastAsia="Arial" w:hAnsi="Arial" w:cs="Arial"/>
          <w:b/>
          <w:smallCaps/>
          <w:color w:val="000000"/>
          <w:sz w:val="22"/>
          <w:szCs w:val="22"/>
        </w:rPr>
      </w:pPr>
    </w:p>
    <w:tbl>
      <w:tblPr>
        <w:tblStyle w:val="a"/>
        <w:tblW w:w="8445" w:type="dxa"/>
        <w:tblInd w:w="-1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45"/>
      </w:tblGrid>
      <w:tr w:rsidR="003F0AB7" w14:paraId="6DBEBB92" w14:textId="77777777">
        <w:tc>
          <w:tcPr>
            <w:tcW w:w="8445" w:type="dxa"/>
            <w:shd w:val="clear" w:color="auto" w:fill="F2F2F2"/>
          </w:tcPr>
          <w:p w14:paraId="4FF171FB" w14:textId="10F3E715" w:rsidR="003F0AB7" w:rsidRDefault="0073180B">
            <w:pPr>
              <w:pBdr>
                <w:top w:val="nil"/>
                <w:left w:val="nil"/>
                <w:bottom w:val="nil"/>
                <w:right w:val="nil"/>
                <w:between w:val="nil"/>
              </w:pBdr>
              <w:jc w:val="both"/>
              <w:rPr>
                <w:rFonts w:ascii="Arial" w:eastAsia="Arial" w:hAnsi="Arial" w:cs="Arial"/>
              </w:rPr>
            </w:pPr>
            <w:r>
              <w:rPr>
                <w:rFonts w:ascii="Arial" w:eastAsia="Arial" w:hAnsi="Arial" w:cs="Arial"/>
                <w:b/>
                <w:color w:val="000000"/>
              </w:rPr>
              <w:t>Aims</w:t>
            </w:r>
            <w:r w:rsidRPr="00C654F9">
              <w:rPr>
                <w:rFonts w:ascii="Arial" w:eastAsia="Arial" w:hAnsi="Arial" w:cs="Arial"/>
                <w:color w:val="000000"/>
                <w:highlight w:val="yellow"/>
              </w:rPr>
              <w:t xml:space="preserve">: </w:t>
            </w:r>
            <w:r w:rsidR="00C654F9" w:rsidRPr="00C654F9">
              <w:rPr>
                <w:rFonts w:ascii="Arial" w:eastAsia="Arial" w:hAnsi="Arial" w:cs="Arial"/>
                <w:color w:val="000000"/>
                <w:highlight w:val="yellow"/>
              </w:rPr>
              <w:t>To i</w:t>
            </w:r>
            <w:r w:rsidR="00C654F9" w:rsidRPr="00C654F9">
              <w:rPr>
                <w:rFonts w:ascii="Arial" w:eastAsia="Arial" w:hAnsi="Arial" w:cs="Arial"/>
                <w:highlight w:val="yellow"/>
              </w:rPr>
              <w:t>nvestigate</w:t>
            </w:r>
            <w:r w:rsidRPr="00C654F9">
              <w:rPr>
                <w:rFonts w:ascii="Arial" w:eastAsia="Arial" w:hAnsi="Arial" w:cs="Arial"/>
                <w:highlight w:val="yellow"/>
              </w:rPr>
              <w:t xml:space="preserve"> </w:t>
            </w:r>
            <w:r w:rsidRPr="00ED109A">
              <w:rPr>
                <w:rFonts w:ascii="Arial" w:eastAsia="Arial" w:hAnsi="Arial" w:cs="Arial"/>
                <w:highlight w:val="yellow"/>
              </w:rPr>
              <w:t xml:space="preserve">the effects of periodontitis, alone or in combination with dexamethasone treatment, on the growth, viability, and </w:t>
            </w:r>
            <w:proofErr w:type="spellStart"/>
            <w:r w:rsidRPr="00ED109A">
              <w:rPr>
                <w:rFonts w:ascii="Arial" w:eastAsia="Arial" w:hAnsi="Arial" w:cs="Arial"/>
                <w:highlight w:val="yellow"/>
              </w:rPr>
              <w:t>cyclicity</w:t>
            </w:r>
            <w:proofErr w:type="spellEnd"/>
            <w:r w:rsidRPr="00ED109A">
              <w:rPr>
                <w:rFonts w:ascii="Arial" w:eastAsia="Arial" w:hAnsi="Arial" w:cs="Arial"/>
                <w:highlight w:val="yellow"/>
              </w:rPr>
              <w:t xml:space="preserve"> of ovarian follicles in mice</w:t>
            </w:r>
            <w:r w:rsidRPr="00ED109A">
              <w:rPr>
                <w:rFonts w:ascii="Times New Roman" w:eastAsia="Times New Roman" w:hAnsi="Times New Roman" w:cs="Times New Roman"/>
                <w:i/>
                <w:highlight w:val="yellow"/>
              </w:rPr>
              <w:t>.</w:t>
            </w:r>
          </w:p>
          <w:p w14:paraId="7CAE775B" w14:textId="267D2771" w:rsidR="003F0AB7" w:rsidRDefault="0073180B">
            <w:pPr>
              <w:pBdr>
                <w:top w:val="nil"/>
                <w:left w:val="nil"/>
                <w:bottom w:val="nil"/>
                <w:right w:val="nil"/>
                <w:between w:val="nil"/>
              </w:pBdr>
              <w:jc w:val="both"/>
              <w:rPr>
                <w:rFonts w:ascii="Arial" w:eastAsia="Arial" w:hAnsi="Arial" w:cs="Arial"/>
                <w:b/>
                <w:color w:val="000000"/>
              </w:rPr>
            </w:pPr>
            <w:r>
              <w:rPr>
                <w:rFonts w:ascii="Arial" w:eastAsia="Arial" w:hAnsi="Arial" w:cs="Arial"/>
                <w:b/>
                <w:color w:val="000000"/>
              </w:rPr>
              <w:t>Study design:</w:t>
            </w:r>
            <w:r>
              <w:rPr>
                <w:rFonts w:ascii="Arial" w:eastAsia="Arial" w:hAnsi="Arial" w:cs="Arial"/>
                <w:color w:val="000000"/>
              </w:rPr>
              <w:t xml:space="preserve"> The animals were divided into four different groups, kept in polyethylene boxes,</w:t>
            </w:r>
            <w:r w:rsidRPr="00ED109A">
              <w:rPr>
                <w:rFonts w:ascii="Arial" w:eastAsia="Arial" w:hAnsi="Arial" w:cs="Arial"/>
                <w:color w:val="000000"/>
                <w:highlight w:val="yellow"/>
              </w:rPr>
              <w:t xml:space="preserve"> with eight animals per box.</w:t>
            </w:r>
            <w:r>
              <w:rPr>
                <w:rFonts w:ascii="Arial" w:eastAsia="Arial" w:hAnsi="Arial" w:cs="Arial"/>
                <w:b/>
                <w:color w:val="000000"/>
              </w:rPr>
              <w:t xml:space="preserve"> </w:t>
            </w:r>
          </w:p>
          <w:p w14:paraId="4C25E1B5" w14:textId="2A61EE01" w:rsidR="003F0AB7" w:rsidRDefault="0073180B">
            <w:pPr>
              <w:pBdr>
                <w:top w:val="nil"/>
                <w:left w:val="nil"/>
                <w:bottom w:val="nil"/>
                <w:right w:val="nil"/>
                <w:between w:val="nil"/>
              </w:pBdr>
              <w:jc w:val="both"/>
              <w:rPr>
                <w:rFonts w:ascii="Arial" w:eastAsia="Arial" w:hAnsi="Arial" w:cs="Arial"/>
                <w:color w:val="000000"/>
              </w:rPr>
            </w:pPr>
            <w:r>
              <w:rPr>
                <w:rFonts w:ascii="Arial" w:eastAsia="Arial" w:hAnsi="Arial" w:cs="Arial"/>
                <w:b/>
                <w:color w:val="000000"/>
              </w:rPr>
              <w:t>Place and Duration of Study:</w:t>
            </w:r>
            <w:r>
              <w:rPr>
                <w:rFonts w:ascii="Arial" w:eastAsia="Arial" w:hAnsi="Arial" w:cs="Arial"/>
                <w:color w:val="000000"/>
              </w:rPr>
              <w:t xml:space="preserve"> </w:t>
            </w:r>
            <w:r w:rsidR="00C654F9">
              <w:rPr>
                <w:rFonts w:ascii="Arial" w:eastAsia="Arial" w:hAnsi="Arial" w:cs="Arial"/>
                <w:color w:val="000000"/>
              </w:rPr>
              <w:t>It was performed</w:t>
            </w:r>
            <w:r>
              <w:rPr>
                <w:rFonts w:ascii="Arial" w:eastAsia="Arial" w:hAnsi="Arial" w:cs="Arial"/>
                <w:color w:val="000000"/>
              </w:rPr>
              <w:t xml:space="preserve"> in the Federal University of </w:t>
            </w:r>
            <w:proofErr w:type="spellStart"/>
            <w:r>
              <w:rPr>
                <w:rFonts w:ascii="Arial" w:eastAsia="Arial" w:hAnsi="Arial" w:cs="Arial"/>
                <w:color w:val="000000"/>
              </w:rPr>
              <w:t>Ceara</w:t>
            </w:r>
            <w:proofErr w:type="spellEnd"/>
            <w:r>
              <w:rPr>
                <w:rFonts w:ascii="Arial" w:eastAsia="Arial" w:hAnsi="Arial" w:cs="Arial"/>
                <w:color w:val="000000"/>
              </w:rPr>
              <w:t>, between January 2021 and December 2021.</w:t>
            </w:r>
          </w:p>
          <w:p w14:paraId="6450BC23" w14:textId="0F5C9191" w:rsidR="003F0AB7" w:rsidRDefault="0073180B">
            <w:pPr>
              <w:pBdr>
                <w:top w:val="nil"/>
                <w:left w:val="nil"/>
                <w:bottom w:val="nil"/>
                <w:right w:val="nil"/>
                <w:between w:val="nil"/>
              </w:pBdr>
              <w:jc w:val="both"/>
              <w:rPr>
                <w:rFonts w:ascii="Arial" w:eastAsia="Arial" w:hAnsi="Arial" w:cs="Arial"/>
                <w:color w:val="000000"/>
              </w:rPr>
            </w:pPr>
            <w:r>
              <w:rPr>
                <w:rFonts w:ascii="Arial" w:eastAsia="Arial" w:hAnsi="Arial" w:cs="Arial"/>
                <w:b/>
                <w:color w:val="000000"/>
              </w:rPr>
              <w:t>Methodology:</w:t>
            </w:r>
            <w:r>
              <w:rPr>
                <w:rFonts w:ascii="Arial" w:eastAsia="Arial" w:hAnsi="Arial" w:cs="Arial"/>
                <w:color w:val="000000"/>
              </w:rPr>
              <w:t xml:space="preserve"> Swiss mice (N=32) were divided into four groups: naive, treatment with dexamethasone, with periodontitis and with periodontitis and treatment with dexamethasone. To induce periodontal disease, 4.0 cotton threads was placed around the lower first molars,</w:t>
            </w:r>
            <w:r>
              <w:rPr>
                <w:rFonts w:ascii="Arial" w:eastAsia="Arial" w:hAnsi="Arial" w:cs="Arial"/>
              </w:rPr>
              <w:t xml:space="preserve"> </w:t>
            </w:r>
            <w:r w:rsidRPr="00ED109A">
              <w:rPr>
                <w:rFonts w:ascii="Arial" w:eastAsia="Arial" w:hAnsi="Arial" w:cs="Arial"/>
                <w:highlight w:val="yellow"/>
              </w:rPr>
              <w:t xml:space="preserve">over two months, from </w:t>
            </w:r>
            <w:r w:rsidR="007A301B" w:rsidRPr="00ED109A">
              <w:rPr>
                <w:rFonts w:ascii="Arial" w:eastAsia="Arial" w:hAnsi="Arial" w:cs="Arial"/>
                <w:highlight w:val="yellow"/>
              </w:rPr>
              <w:t>January</w:t>
            </w:r>
            <w:r w:rsidRPr="00ED109A">
              <w:rPr>
                <w:rFonts w:ascii="Arial" w:eastAsia="Arial" w:hAnsi="Arial" w:cs="Arial"/>
                <w:highlight w:val="yellow"/>
              </w:rPr>
              <w:t xml:space="preserve"> to </w:t>
            </w:r>
            <w:r w:rsidR="007A301B" w:rsidRPr="00ED109A">
              <w:rPr>
                <w:rFonts w:ascii="Arial" w:eastAsia="Arial" w:hAnsi="Arial" w:cs="Arial"/>
                <w:highlight w:val="yellow"/>
              </w:rPr>
              <w:t>February</w:t>
            </w:r>
            <w:r w:rsidRPr="00ED109A">
              <w:rPr>
                <w:rFonts w:ascii="Arial" w:eastAsia="Arial" w:hAnsi="Arial" w:cs="Arial"/>
                <w:highlight w:val="yellow"/>
              </w:rPr>
              <w:t xml:space="preserve"> 2021</w:t>
            </w:r>
            <w:r>
              <w:rPr>
                <w:rFonts w:ascii="Arial" w:eastAsia="Arial" w:hAnsi="Arial" w:cs="Arial"/>
                <w:color w:val="000000"/>
              </w:rPr>
              <w:t>. Dexamethasone (0.5 mg/kg) was administered intramuscularly, every three days, over two months</w:t>
            </w:r>
            <w:r w:rsidRPr="00ED109A">
              <w:rPr>
                <w:rFonts w:ascii="Arial" w:eastAsia="Arial" w:hAnsi="Arial" w:cs="Arial"/>
                <w:color w:val="000000"/>
                <w:highlight w:val="yellow"/>
              </w:rPr>
              <w:t>. After this period, from March to April 2021, the mandibles were decalcified with EDTA and the analysis was carried out in the subsequent months</w:t>
            </w:r>
            <w:r>
              <w:rPr>
                <w:rFonts w:ascii="Arial" w:eastAsia="Arial" w:hAnsi="Arial" w:cs="Arial"/>
                <w:color w:val="000000"/>
              </w:rPr>
              <w:t>.</w:t>
            </w:r>
            <w:r w:rsidR="007A301B">
              <w:rPr>
                <w:rFonts w:ascii="Arial" w:eastAsia="Arial" w:hAnsi="Arial" w:cs="Arial"/>
                <w:color w:val="000000"/>
              </w:rPr>
              <w:t xml:space="preserve"> </w:t>
            </w:r>
            <w:r>
              <w:rPr>
                <w:rFonts w:ascii="Arial" w:eastAsia="Arial" w:hAnsi="Arial" w:cs="Arial"/>
                <w:color w:val="000000"/>
              </w:rPr>
              <w:t xml:space="preserve">At the end of treatment, alveolar bone and periodontal attachment losses were evaluated. Furthermore, ovarian follicles were classified as normal or degenerated, as well as primordial, primary, secondary or tertiary follicles. </w:t>
            </w:r>
          </w:p>
          <w:p w14:paraId="084E6D53" w14:textId="1D356C99" w:rsidR="003F0AB7" w:rsidRDefault="0073180B">
            <w:pPr>
              <w:pBdr>
                <w:top w:val="nil"/>
                <w:left w:val="nil"/>
                <w:bottom w:val="nil"/>
                <w:right w:val="nil"/>
                <w:between w:val="nil"/>
              </w:pBdr>
              <w:jc w:val="both"/>
              <w:rPr>
                <w:rFonts w:ascii="Arial" w:eastAsia="Arial" w:hAnsi="Arial" w:cs="Arial"/>
                <w:b/>
                <w:color w:val="000000"/>
              </w:rPr>
            </w:pPr>
            <w:r>
              <w:rPr>
                <w:rFonts w:ascii="Arial" w:eastAsia="Arial" w:hAnsi="Arial" w:cs="Arial"/>
                <w:b/>
                <w:color w:val="000000"/>
              </w:rPr>
              <w:t>Results:</w:t>
            </w:r>
            <w:r>
              <w:rPr>
                <w:rFonts w:ascii="Arial" w:eastAsia="Arial" w:hAnsi="Arial" w:cs="Arial"/>
                <w:color w:val="000000"/>
              </w:rPr>
              <w:t xml:space="preserve"> The ligature on the lower first molar significantly increased </w:t>
            </w:r>
            <w:r w:rsidR="008D534A">
              <w:rPr>
                <w:rFonts w:ascii="Arial" w:eastAsia="Arial" w:hAnsi="Arial" w:cs="Arial"/>
                <w:highlight w:val="yellow"/>
              </w:rPr>
              <w:t>(P</w:t>
            </w:r>
            <w:r w:rsidR="009E5AFB">
              <w:rPr>
                <w:rFonts w:ascii="Arial" w:eastAsia="Arial" w:hAnsi="Arial" w:cs="Arial"/>
                <w:highlight w:val="yellow"/>
              </w:rPr>
              <w:t xml:space="preserve"> </w:t>
            </w:r>
            <w:r w:rsidR="008D534A">
              <w:rPr>
                <w:rFonts w:ascii="Arial" w:eastAsia="Arial" w:hAnsi="Arial" w:cs="Arial"/>
                <w:highlight w:val="yellow"/>
              </w:rPr>
              <w:t>&lt;</w:t>
            </w:r>
            <w:r w:rsidR="009E5AFB">
              <w:rPr>
                <w:rFonts w:ascii="Arial" w:eastAsia="Arial" w:hAnsi="Arial" w:cs="Arial"/>
                <w:highlight w:val="yellow"/>
              </w:rPr>
              <w:t xml:space="preserve"> </w:t>
            </w:r>
            <w:r w:rsidR="008D534A">
              <w:rPr>
                <w:rFonts w:ascii="Arial" w:eastAsia="Arial" w:hAnsi="Arial" w:cs="Arial"/>
                <w:highlight w:val="yellow"/>
              </w:rPr>
              <w:t>0.0001)</w:t>
            </w:r>
            <w:r w:rsidR="008D534A">
              <w:rPr>
                <w:rFonts w:ascii="Arial" w:eastAsia="Arial" w:hAnsi="Arial" w:cs="Arial"/>
              </w:rPr>
              <w:t xml:space="preserve"> </w:t>
            </w:r>
            <w:r>
              <w:rPr>
                <w:rFonts w:ascii="Arial" w:eastAsia="Arial" w:hAnsi="Arial" w:cs="Arial"/>
                <w:color w:val="000000"/>
              </w:rPr>
              <w:t xml:space="preserve">the alveolar bone loss in mice that received only saline compared to those in which periodontitis was not induced. Treatment with dexamethasone did not promote significant </w:t>
            </w:r>
            <w:r w:rsidR="008D534A" w:rsidRPr="008D534A">
              <w:rPr>
                <w:rFonts w:ascii="Arial" w:eastAsia="Arial" w:hAnsi="Arial" w:cs="Arial"/>
                <w:color w:val="000000"/>
                <w:highlight w:val="yellow"/>
              </w:rPr>
              <w:t>(P</w:t>
            </w:r>
            <w:r w:rsidR="009E5AFB">
              <w:rPr>
                <w:rFonts w:ascii="Arial" w:eastAsia="Arial" w:hAnsi="Arial" w:cs="Arial"/>
                <w:color w:val="000000"/>
                <w:highlight w:val="yellow"/>
              </w:rPr>
              <w:t xml:space="preserve"> </w:t>
            </w:r>
            <w:r w:rsidR="008D534A" w:rsidRPr="008D534A">
              <w:rPr>
                <w:rFonts w:ascii="Arial" w:eastAsia="Arial" w:hAnsi="Arial" w:cs="Arial"/>
                <w:color w:val="000000"/>
                <w:highlight w:val="yellow"/>
              </w:rPr>
              <w:t>&gt;</w:t>
            </w:r>
            <w:r w:rsidR="009E5AFB">
              <w:rPr>
                <w:rFonts w:ascii="Arial" w:eastAsia="Arial" w:hAnsi="Arial" w:cs="Arial"/>
                <w:color w:val="000000"/>
                <w:highlight w:val="yellow"/>
              </w:rPr>
              <w:t xml:space="preserve"> </w:t>
            </w:r>
            <w:r w:rsidR="008D534A" w:rsidRPr="008D534A">
              <w:rPr>
                <w:rFonts w:ascii="Arial" w:eastAsia="Arial" w:hAnsi="Arial" w:cs="Arial"/>
                <w:color w:val="000000"/>
                <w:highlight w:val="yellow"/>
              </w:rPr>
              <w:t>0.05)</w:t>
            </w:r>
            <w:r w:rsidR="008D534A">
              <w:rPr>
                <w:rFonts w:ascii="Arial" w:eastAsia="Arial" w:hAnsi="Arial" w:cs="Arial"/>
                <w:color w:val="000000"/>
              </w:rPr>
              <w:t xml:space="preserve"> </w:t>
            </w:r>
            <w:r>
              <w:rPr>
                <w:rFonts w:ascii="Arial" w:eastAsia="Arial" w:hAnsi="Arial" w:cs="Arial"/>
                <w:color w:val="000000"/>
              </w:rPr>
              <w:t xml:space="preserve">changes in animals in which periodontitis was not induced. </w:t>
            </w:r>
            <w:r w:rsidRPr="0014518F">
              <w:rPr>
                <w:rFonts w:ascii="Arial" w:eastAsia="Arial" w:hAnsi="Arial" w:cs="Arial"/>
                <w:color w:val="000000"/>
              </w:rPr>
              <w:t>Animals with induced periodontitis and those with periodontitis and treated with dexamethasone showed a significant increase in estrous cycle irregularity. Periodontitis, or periodontitis associated with dexamethasone treatment significantly reduced</w:t>
            </w:r>
            <w:r>
              <w:rPr>
                <w:rFonts w:ascii="Arial" w:eastAsia="Arial" w:hAnsi="Arial" w:cs="Arial"/>
                <w:color w:val="000000"/>
              </w:rPr>
              <w:t xml:space="preserve"> the percentages of normal secondary and tertiary follicles.</w:t>
            </w:r>
          </w:p>
          <w:p w14:paraId="43C4BE20" w14:textId="77777777" w:rsidR="003F0AB7" w:rsidRDefault="0073180B">
            <w:pPr>
              <w:pBdr>
                <w:top w:val="nil"/>
                <w:left w:val="nil"/>
                <w:bottom w:val="nil"/>
                <w:right w:val="nil"/>
                <w:between w:val="nil"/>
              </w:pBdr>
              <w:jc w:val="both"/>
              <w:rPr>
                <w:rFonts w:ascii="Arial" w:eastAsia="Arial" w:hAnsi="Arial" w:cs="Arial"/>
                <w:color w:val="000000"/>
              </w:rPr>
            </w:pPr>
            <w:r>
              <w:rPr>
                <w:rFonts w:ascii="Arial" w:eastAsia="Arial" w:hAnsi="Arial" w:cs="Arial"/>
                <w:b/>
                <w:color w:val="000000"/>
              </w:rPr>
              <w:t>Conclusion:</w:t>
            </w:r>
            <w:r>
              <w:rPr>
                <w:rFonts w:ascii="Arial" w:eastAsia="Arial" w:hAnsi="Arial" w:cs="Arial"/>
                <w:color w:val="000000"/>
              </w:rPr>
              <w:t xml:space="preserve"> </w:t>
            </w:r>
            <w:r w:rsidRPr="00ED109A">
              <w:rPr>
                <w:rFonts w:ascii="Arial" w:eastAsia="Arial" w:hAnsi="Arial" w:cs="Arial"/>
                <w:highlight w:val="yellow"/>
              </w:rPr>
              <w:t>Periodontitis significantly increases the degeneration of secondary and tertiary ovarian follicles, while dexamethasone does not influence follicular morphology but contributes to estrous cycle dysregulation.</w:t>
            </w:r>
          </w:p>
        </w:tc>
      </w:tr>
    </w:tbl>
    <w:p w14:paraId="492ECA19" w14:textId="77777777" w:rsidR="003F0AB7" w:rsidRDefault="003F0AB7">
      <w:pPr>
        <w:pBdr>
          <w:top w:val="nil"/>
          <w:left w:val="nil"/>
          <w:bottom w:val="nil"/>
          <w:right w:val="nil"/>
          <w:between w:val="nil"/>
        </w:pBdr>
        <w:jc w:val="both"/>
        <w:rPr>
          <w:rFonts w:ascii="Arial" w:eastAsia="Arial" w:hAnsi="Arial" w:cs="Arial"/>
          <w:i/>
          <w:color w:val="000000"/>
        </w:rPr>
      </w:pPr>
    </w:p>
    <w:p w14:paraId="230BF6E1" w14:textId="77777777" w:rsidR="003F0AB7" w:rsidRDefault="0073180B">
      <w:pPr>
        <w:pBdr>
          <w:top w:val="nil"/>
          <w:left w:val="nil"/>
          <w:bottom w:val="nil"/>
          <w:right w:val="nil"/>
          <w:between w:val="nil"/>
        </w:pBdr>
        <w:jc w:val="both"/>
        <w:rPr>
          <w:rFonts w:ascii="Arial" w:eastAsia="Arial" w:hAnsi="Arial" w:cs="Arial"/>
          <w:i/>
          <w:color w:val="000000"/>
        </w:rPr>
      </w:pPr>
      <w:r>
        <w:rPr>
          <w:rFonts w:ascii="Arial" w:eastAsia="Arial" w:hAnsi="Arial" w:cs="Arial"/>
          <w:i/>
          <w:color w:val="000000"/>
        </w:rPr>
        <w:t>Keywords:</w:t>
      </w:r>
      <w:r>
        <w:rPr>
          <w:rFonts w:ascii="Helvetica Neue" w:hAnsi="Helvetica Neue"/>
          <w:color w:val="000000"/>
        </w:rPr>
        <w:t xml:space="preserve"> </w:t>
      </w:r>
      <w:r>
        <w:rPr>
          <w:rFonts w:ascii="Arial" w:eastAsia="Arial" w:hAnsi="Arial" w:cs="Arial"/>
          <w:i/>
          <w:color w:val="000000"/>
        </w:rPr>
        <w:t>dexamethasone, follicles, ovary, periodontitis</w:t>
      </w:r>
    </w:p>
    <w:p w14:paraId="1D0AC864" w14:textId="77777777" w:rsidR="003F0AB7" w:rsidRDefault="003F0AB7">
      <w:pPr>
        <w:keepNext/>
        <w:pBdr>
          <w:top w:val="nil"/>
          <w:left w:val="nil"/>
          <w:bottom w:val="nil"/>
          <w:right w:val="nil"/>
          <w:between w:val="nil"/>
        </w:pBdr>
        <w:jc w:val="both"/>
        <w:rPr>
          <w:rFonts w:ascii="Arial" w:eastAsia="Arial" w:hAnsi="Arial" w:cs="Arial"/>
          <w:b/>
          <w:smallCaps/>
          <w:color w:val="000000"/>
          <w:sz w:val="22"/>
          <w:szCs w:val="22"/>
        </w:rPr>
      </w:pPr>
    </w:p>
    <w:p w14:paraId="41B67613" w14:textId="77777777" w:rsidR="003F0AB7" w:rsidRDefault="0073180B">
      <w:pPr>
        <w:keepNext/>
        <w:pBdr>
          <w:top w:val="nil"/>
          <w:left w:val="nil"/>
          <w:bottom w:val="nil"/>
          <w:right w:val="nil"/>
          <w:between w:val="nil"/>
        </w:pBdr>
        <w:jc w:val="both"/>
        <w:rPr>
          <w:rFonts w:ascii="Arial" w:eastAsia="Arial" w:hAnsi="Arial" w:cs="Arial"/>
          <w:b/>
          <w:smallCaps/>
          <w:color w:val="000000"/>
          <w:sz w:val="22"/>
          <w:szCs w:val="22"/>
        </w:rPr>
      </w:pPr>
      <w:r>
        <w:rPr>
          <w:rFonts w:ascii="Arial" w:eastAsia="Arial" w:hAnsi="Arial" w:cs="Arial"/>
          <w:b/>
          <w:smallCaps/>
          <w:color w:val="000000"/>
          <w:sz w:val="22"/>
          <w:szCs w:val="22"/>
        </w:rPr>
        <w:t xml:space="preserve">1. INTRODUCTION </w:t>
      </w:r>
    </w:p>
    <w:p w14:paraId="0FDC9743" w14:textId="77777777" w:rsidR="003F0AB7" w:rsidRDefault="003F0AB7">
      <w:pPr>
        <w:keepNext/>
        <w:pBdr>
          <w:top w:val="nil"/>
          <w:left w:val="nil"/>
          <w:bottom w:val="nil"/>
          <w:right w:val="nil"/>
          <w:between w:val="nil"/>
        </w:pBdr>
        <w:jc w:val="both"/>
        <w:rPr>
          <w:rFonts w:ascii="Arial" w:eastAsia="Arial" w:hAnsi="Arial" w:cs="Arial"/>
          <w:b/>
          <w:smallCaps/>
          <w:color w:val="000000"/>
          <w:sz w:val="22"/>
          <w:szCs w:val="22"/>
        </w:rPr>
      </w:pPr>
    </w:p>
    <w:p w14:paraId="3465F22F" w14:textId="77777777" w:rsidR="00972984" w:rsidRDefault="0073180B" w:rsidP="00972984">
      <w:pPr>
        <w:pBdr>
          <w:top w:val="nil"/>
          <w:left w:val="nil"/>
          <w:bottom w:val="nil"/>
          <w:right w:val="nil"/>
          <w:between w:val="nil"/>
        </w:pBdr>
        <w:spacing w:after="240" w:line="480" w:lineRule="auto"/>
        <w:ind w:firstLine="426"/>
        <w:jc w:val="both"/>
        <w:rPr>
          <w:rFonts w:ascii="Arial" w:eastAsia="Arial" w:hAnsi="Arial" w:cs="Arial"/>
          <w:color w:val="000000"/>
        </w:rPr>
      </w:pPr>
      <w:r>
        <w:rPr>
          <w:rFonts w:ascii="Arial" w:eastAsia="Arial" w:hAnsi="Arial" w:cs="Arial"/>
          <w:color w:val="000000"/>
        </w:rPr>
        <w:t>Periodontitis is a multifactorial chronic inflammatory disease characterized by progressive destruction of the of the gingiva,</w:t>
      </w:r>
      <w:r w:rsidR="00774AC3">
        <w:rPr>
          <w:rFonts w:ascii="Arial" w:eastAsia="Arial" w:hAnsi="Arial" w:cs="Arial"/>
          <w:color w:val="000000"/>
        </w:rPr>
        <w:t xml:space="preserve"> </w:t>
      </w:r>
      <w:r>
        <w:rPr>
          <w:rFonts w:ascii="Arial" w:eastAsia="Arial" w:hAnsi="Arial" w:cs="Arial"/>
          <w:color w:val="000000"/>
        </w:rPr>
        <w:t xml:space="preserve">periodontal ligament, and supporting alveolar bone (Kwon, </w:t>
      </w:r>
      <w:proofErr w:type="spellStart"/>
      <w:r>
        <w:rPr>
          <w:rFonts w:ascii="Arial" w:eastAsia="Arial" w:hAnsi="Arial" w:cs="Arial"/>
          <w:color w:val="000000"/>
        </w:rPr>
        <w:t>Lamster</w:t>
      </w:r>
      <w:proofErr w:type="spellEnd"/>
      <w:r>
        <w:rPr>
          <w:rFonts w:ascii="Arial" w:eastAsia="Arial" w:hAnsi="Arial" w:cs="Arial"/>
          <w:color w:val="000000"/>
        </w:rPr>
        <w:t xml:space="preserve"> and Levin, 2021). It is a disease with site-specific characteristics which involves a cyclical positive feedback mechanism between the pathogenic microbiota of the biofilm and the host inflammatory response (Pan, Wang and Chen, 2019; </w:t>
      </w:r>
      <w:proofErr w:type="spellStart"/>
      <w:r>
        <w:rPr>
          <w:rFonts w:ascii="Arial" w:eastAsia="Arial" w:hAnsi="Arial" w:cs="Arial"/>
          <w:color w:val="000000"/>
        </w:rPr>
        <w:t>Hajishengallis</w:t>
      </w:r>
      <w:proofErr w:type="spellEnd"/>
      <w:r>
        <w:rPr>
          <w:rFonts w:ascii="Arial" w:eastAsia="Arial" w:hAnsi="Arial" w:cs="Arial"/>
          <w:color w:val="000000"/>
        </w:rPr>
        <w:t xml:space="preserve"> and </w:t>
      </w:r>
      <w:proofErr w:type="spellStart"/>
      <w:r>
        <w:rPr>
          <w:rFonts w:ascii="Arial" w:eastAsia="Arial" w:hAnsi="Arial" w:cs="Arial"/>
          <w:color w:val="000000"/>
        </w:rPr>
        <w:t>Chavakis</w:t>
      </w:r>
      <w:proofErr w:type="spellEnd"/>
      <w:r>
        <w:rPr>
          <w:rFonts w:ascii="Arial" w:eastAsia="Arial" w:hAnsi="Arial" w:cs="Arial"/>
          <w:color w:val="000000"/>
        </w:rPr>
        <w:t xml:space="preserve">, 2021). The host response to periodontal disease involves the production of cytokines, such </w:t>
      </w:r>
      <w:r>
        <w:rPr>
          <w:rFonts w:ascii="Arial" w:eastAsia="Arial" w:hAnsi="Arial" w:cs="Arial"/>
          <w:color w:val="000000"/>
        </w:rPr>
        <w:lastRenderedPageBreak/>
        <w:t>as prostaglandins, tumor necrosis factor alpha (TNF-α) and interleukins (IL) (</w:t>
      </w:r>
      <w:proofErr w:type="spellStart"/>
      <w:r>
        <w:rPr>
          <w:rFonts w:ascii="Arial" w:eastAsia="Arial" w:hAnsi="Arial" w:cs="Arial"/>
          <w:color w:val="000000"/>
        </w:rPr>
        <w:t>Krejci</w:t>
      </w:r>
      <w:proofErr w:type="spellEnd"/>
      <w:r>
        <w:rPr>
          <w:rFonts w:ascii="Arial" w:eastAsia="Arial" w:hAnsi="Arial" w:cs="Arial"/>
          <w:color w:val="000000"/>
        </w:rPr>
        <w:t xml:space="preserve"> and </w:t>
      </w:r>
      <w:proofErr w:type="spellStart"/>
      <w:r>
        <w:rPr>
          <w:rFonts w:ascii="Arial" w:eastAsia="Arial" w:hAnsi="Arial" w:cs="Arial"/>
          <w:color w:val="000000"/>
        </w:rPr>
        <w:t>Bissada</w:t>
      </w:r>
      <w:proofErr w:type="spellEnd"/>
      <w:r>
        <w:rPr>
          <w:rFonts w:ascii="Arial" w:eastAsia="Arial" w:hAnsi="Arial" w:cs="Arial"/>
          <w:color w:val="000000"/>
        </w:rPr>
        <w:t>, 2002). Activation of the immune system by increasing levels of circulating pro-inflammatory cytokines (e.g., IL-1 and IL-6) stimulates the secretion of adrenocorticotropic hormone (ACTH) by the pituitary and glucocorticoids (cortisol) by the adrenal gland (</w:t>
      </w:r>
      <w:proofErr w:type="spellStart"/>
      <w:r>
        <w:rPr>
          <w:rFonts w:ascii="Arial" w:eastAsia="Arial" w:hAnsi="Arial" w:cs="Arial"/>
          <w:color w:val="000000"/>
        </w:rPr>
        <w:t>Ayub</w:t>
      </w:r>
      <w:proofErr w:type="spellEnd"/>
      <w:r>
        <w:rPr>
          <w:rFonts w:ascii="Arial" w:eastAsia="Arial" w:hAnsi="Arial" w:cs="Arial"/>
          <w:color w:val="000000"/>
        </w:rPr>
        <w:t xml:space="preserve"> et al., 2010). Synthetic glucocorticoids, such as dexamethasone, are widely used for the treatment of inflammatory diseases (</w:t>
      </w:r>
      <w:proofErr w:type="spellStart"/>
      <w:r>
        <w:rPr>
          <w:rFonts w:ascii="Arial" w:eastAsia="Arial" w:hAnsi="Arial" w:cs="Arial"/>
          <w:color w:val="000000"/>
        </w:rPr>
        <w:t>Reichardt</w:t>
      </w:r>
      <w:proofErr w:type="spellEnd"/>
      <w:r>
        <w:rPr>
          <w:rFonts w:ascii="Arial" w:eastAsia="Arial" w:hAnsi="Arial" w:cs="Arial"/>
          <w:color w:val="000000"/>
        </w:rPr>
        <w:t xml:space="preserve"> et al., 2021). The dexamethasone inhibits the production of some inflammatory cytokines activated by lipopolysaccharides, decreasing macrophage activation and inflammation (</w:t>
      </w:r>
      <w:proofErr w:type="spellStart"/>
      <w:r>
        <w:rPr>
          <w:rFonts w:ascii="Arial" w:eastAsia="Arial" w:hAnsi="Arial" w:cs="Arial"/>
          <w:color w:val="000000"/>
        </w:rPr>
        <w:t>Waage</w:t>
      </w:r>
      <w:proofErr w:type="spellEnd"/>
      <w:r>
        <w:rPr>
          <w:rFonts w:ascii="Arial" w:eastAsia="Arial" w:hAnsi="Arial" w:cs="Arial"/>
          <w:color w:val="000000"/>
        </w:rPr>
        <w:t xml:space="preserve"> and Bakke, 1988; </w:t>
      </w:r>
      <w:proofErr w:type="spellStart"/>
      <w:r>
        <w:rPr>
          <w:rFonts w:ascii="Arial" w:eastAsia="Arial" w:hAnsi="Arial" w:cs="Arial"/>
          <w:color w:val="000000"/>
        </w:rPr>
        <w:t>Sasson</w:t>
      </w:r>
      <w:proofErr w:type="spellEnd"/>
      <w:r>
        <w:rPr>
          <w:rFonts w:ascii="Arial" w:eastAsia="Arial" w:hAnsi="Arial" w:cs="Arial"/>
          <w:color w:val="000000"/>
        </w:rPr>
        <w:t xml:space="preserve"> et al., 2002). However, dexamethasone increased alveolar bone loss in ligature-induced periodontitis in rats (</w:t>
      </w:r>
      <w:proofErr w:type="spellStart"/>
      <w:r>
        <w:rPr>
          <w:rFonts w:ascii="Arial" w:eastAsia="Arial" w:hAnsi="Arial" w:cs="Arial"/>
          <w:color w:val="000000"/>
        </w:rPr>
        <w:t>Cavagni</w:t>
      </w:r>
      <w:proofErr w:type="spellEnd"/>
      <w:r>
        <w:rPr>
          <w:rFonts w:ascii="Arial" w:eastAsia="Arial" w:hAnsi="Arial" w:cs="Arial"/>
          <w:color w:val="000000"/>
        </w:rPr>
        <w:t xml:space="preserve"> et al., 2005). Furthermore, other studies have demonstrated the wide range of side effects induced by prolonged use of dexamethasone, including electrolyte, muscular, metabolic and endocrine disturbances</w:t>
      </w:r>
      <w:r>
        <w:rPr>
          <w:rFonts w:ascii="Arial" w:eastAsia="Arial" w:hAnsi="Arial" w:cs="Arial"/>
          <w:color w:val="000000"/>
          <w:vertAlign w:val="superscript"/>
        </w:rPr>
        <w:t xml:space="preserve"> </w:t>
      </w:r>
      <w:r>
        <w:rPr>
          <w:rFonts w:ascii="Arial" w:eastAsia="Arial" w:hAnsi="Arial" w:cs="Arial"/>
          <w:color w:val="000000"/>
        </w:rPr>
        <w:t>(Freitas e Souza, 2007), apoptosis of immune cells</w:t>
      </w:r>
      <w:r>
        <w:rPr>
          <w:rFonts w:ascii="Arial" w:eastAsia="Arial" w:hAnsi="Arial" w:cs="Arial"/>
          <w:color w:val="000000"/>
          <w:vertAlign w:val="superscript"/>
        </w:rPr>
        <w:t xml:space="preserve"> </w:t>
      </w:r>
      <w:r>
        <w:rPr>
          <w:rFonts w:ascii="Arial" w:eastAsia="Arial" w:hAnsi="Arial" w:cs="Arial"/>
          <w:color w:val="000000"/>
        </w:rPr>
        <w:t xml:space="preserve">(Torres, </w:t>
      </w:r>
      <w:proofErr w:type="spellStart"/>
      <w:r>
        <w:rPr>
          <w:rFonts w:ascii="Arial" w:eastAsia="Arial" w:hAnsi="Arial" w:cs="Arial"/>
          <w:color w:val="000000"/>
        </w:rPr>
        <w:t>Insuela</w:t>
      </w:r>
      <w:proofErr w:type="spellEnd"/>
      <w:r>
        <w:rPr>
          <w:rFonts w:ascii="Arial" w:eastAsia="Arial" w:hAnsi="Arial" w:cs="Arial"/>
          <w:color w:val="000000"/>
        </w:rPr>
        <w:t xml:space="preserve"> e </w:t>
      </w:r>
      <w:proofErr w:type="spellStart"/>
      <w:r>
        <w:rPr>
          <w:rFonts w:ascii="Arial" w:eastAsia="Arial" w:hAnsi="Arial" w:cs="Arial"/>
          <w:color w:val="000000"/>
        </w:rPr>
        <w:t>Carvalho</w:t>
      </w:r>
      <w:proofErr w:type="spellEnd"/>
      <w:r>
        <w:rPr>
          <w:rFonts w:ascii="Arial" w:eastAsia="Arial" w:hAnsi="Arial" w:cs="Arial"/>
          <w:color w:val="000000"/>
        </w:rPr>
        <w:t>, 2012), and death of ovarian follicles (</w:t>
      </w:r>
      <w:proofErr w:type="spellStart"/>
      <w:r>
        <w:rPr>
          <w:rFonts w:ascii="Arial" w:eastAsia="Arial" w:hAnsi="Arial" w:cs="Arial"/>
          <w:color w:val="000000"/>
        </w:rPr>
        <w:t>Sasson</w:t>
      </w:r>
      <w:proofErr w:type="spellEnd"/>
      <w:r>
        <w:rPr>
          <w:rFonts w:ascii="Arial" w:eastAsia="Arial" w:hAnsi="Arial" w:cs="Arial"/>
          <w:color w:val="000000"/>
        </w:rPr>
        <w:t xml:space="preserve"> et al., 2002; Yuan et al., 2014). Additionally, estrogen and progesterone receptors have already been identified in the gingival tissue and, consequently, these hormones can influence the growth of colonizing microorganisms that are present in periodontal disease (</w:t>
      </w:r>
      <w:proofErr w:type="spellStart"/>
      <w:r>
        <w:rPr>
          <w:rFonts w:ascii="Arial" w:eastAsia="Arial" w:hAnsi="Arial" w:cs="Arial"/>
          <w:color w:val="000000"/>
        </w:rPr>
        <w:t>Aufdemorte</w:t>
      </w:r>
      <w:proofErr w:type="spellEnd"/>
      <w:r>
        <w:rPr>
          <w:rFonts w:ascii="Arial" w:eastAsia="Arial" w:hAnsi="Arial" w:cs="Arial"/>
          <w:color w:val="000000"/>
        </w:rPr>
        <w:t xml:space="preserve"> and Sheridan, 1981; Nakagawa et al., 1994).</w:t>
      </w:r>
    </w:p>
    <w:p w14:paraId="4BEC14B6" w14:textId="77777777" w:rsidR="00972984" w:rsidRDefault="0073180B" w:rsidP="00972984">
      <w:pPr>
        <w:pBdr>
          <w:top w:val="nil"/>
          <w:left w:val="nil"/>
          <w:bottom w:val="nil"/>
          <w:right w:val="nil"/>
          <w:between w:val="nil"/>
        </w:pBdr>
        <w:spacing w:after="240" w:line="480" w:lineRule="auto"/>
        <w:ind w:firstLine="426"/>
        <w:jc w:val="both"/>
        <w:rPr>
          <w:rFonts w:ascii="Arial" w:eastAsia="Arial" w:hAnsi="Arial" w:cs="Arial"/>
          <w:color w:val="000000"/>
        </w:rPr>
      </w:pPr>
      <w:r>
        <w:rPr>
          <w:rFonts w:ascii="Arial" w:eastAsia="Arial" w:hAnsi="Arial" w:cs="Arial"/>
          <w:color w:val="000000"/>
        </w:rPr>
        <w:t>Luo et al., (2016)</w:t>
      </w:r>
      <w:r>
        <w:rPr>
          <w:rFonts w:ascii="Arial" w:eastAsia="Arial" w:hAnsi="Arial" w:cs="Arial"/>
          <w:color w:val="000000"/>
          <w:vertAlign w:val="superscript"/>
        </w:rPr>
        <w:t xml:space="preserve"> </w:t>
      </w:r>
      <w:r>
        <w:rPr>
          <w:rFonts w:ascii="Arial" w:eastAsia="Arial" w:hAnsi="Arial" w:cs="Arial"/>
          <w:color w:val="000000"/>
        </w:rPr>
        <w:t>showed that increased levels of endogenous glucocorticoids or its exogenous administration cause a reduction in the production of various hormones, like gonadotropin-releasing hormone (</w:t>
      </w:r>
      <w:proofErr w:type="spellStart"/>
      <w:r>
        <w:rPr>
          <w:rFonts w:ascii="Arial" w:eastAsia="Arial" w:hAnsi="Arial" w:cs="Arial"/>
          <w:color w:val="000000"/>
        </w:rPr>
        <w:t>GnRH</w:t>
      </w:r>
      <w:proofErr w:type="spellEnd"/>
      <w:r>
        <w:rPr>
          <w:rFonts w:ascii="Arial" w:eastAsia="Arial" w:hAnsi="Arial" w:cs="Arial"/>
          <w:color w:val="000000"/>
        </w:rPr>
        <w:t>), follicle-stimulating hormone (FSH) and luteinizing hormone (LH), which negatively affect gametogenesis and female estrous cycle. Recent studies have demonstrated that dexamethasone negatively influences oogenesis during fetal development in humans (</w:t>
      </w:r>
      <w:proofErr w:type="spellStart"/>
      <w:r>
        <w:rPr>
          <w:rFonts w:ascii="Arial" w:eastAsia="Arial" w:hAnsi="Arial" w:cs="Arial"/>
          <w:color w:val="000000"/>
        </w:rPr>
        <w:t>Poulain</w:t>
      </w:r>
      <w:proofErr w:type="spellEnd"/>
      <w:r>
        <w:rPr>
          <w:rFonts w:ascii="Arial" w:eastAsia="Arial" w:hAnsi="Arial" w:cs="Arial"/>
          <w:color w:val="000000"/>
        </w:rPr>
        <w:t xml:space="preserve"> et al., 2012; Hulas-</w:t>
      </w:r>
      <w:proofErr w:type="spellStart"/>
      <w:r>
        <w:rPr>
          <w:rFonts w:ascii="Arial" w:eastAsia="Arial" w:hAnsi="Arial" w:cs="Arial"/>
          <w:color w:val="000000"/>
        </w:rPr>
        <w:t>Stasiak</w:t>
      </w:r>
      <w:proofErr w:type="spellEnd"/>
      <w:r>
        <w:rPr>
          <w:rFonts w:ascii="Arial" w:eastAsia="Arial" w:hAnsi="Arial" w:cs="Arial"/>
          <w:color w:val="000000"/>
        </w:rPr>
        <w:t xml:space="preserve">, </w:t>
      </w:r>
      <w:proofErr w:type="spellStart"/>
      <w:r>
        <w:rPr>
          <w:rFonts w:ascii="Arial" w:eastAsia="Arial" w:hAnsi="Arial" w:cs="Arial"/>
          <w:color w:val="000000"/>
        </w:rPr>
        <w:t>Dobrowolski</w:t>
      </w:r>
      <w:proofErr w:type="spellEnd"/>
      <w:r>
        <w:rPr>
          <w:rFonts w:ascii="Arial" w:eastAsia="Arial" w:hAnsi="Arial" w:cs="Arial"/>
          <w:color w:val="000000"/>
        </w:rPr>
        <w:t xml:space="preserve"> and </w:t>
      </w:r>
      <w:proofErr w:type="spellStart"/>
      <w:r>
        <w:rPr>
          <w:rFonts w:ascii="Arial" w:eastAsia="Arial" w:hAnsi="Arial" w:cs="Arial"/>
          <w:color w:val="000000"/>
        </w:rPr>
        <w:t>Tomaszewska</w:t>
      </w:r>
      <w:proofErr w:type="spellEnd"/>
      <w:r>
        <w:rPr>
          <w:rFonts w:ascii="Arial" w:eastAsia="Arial" w:hAnsi="Arial" w:cs="Arial"/>
          <w:color w:val="000000"/>
        </w:rPr>
        <w:t>, 2016). It has also been reported that dexamethasone regulates the apoptosis process in granulosa cells of pre-ovulatory follicles and reduces the production of estradiol (</w:t>
      </w:r>
      <w:proofErr w:type="spellStart"/>
      <w:r>
        <w:rPr>
          <w:rFonts w:ascii="Arial" w:eastAsia="Arial" w:hAnsi="Arial" w:cs="Arial"/>
          <w:color w:val="000000"/>
        </w:rPr>
        <w:t>Maciel</w:t>
      </w:r>
      <w:proofErr w:type="spellEnd"/>
      <w:r>
        <w:rPr>
          <w:rFonts w:ascii="Arial" w:eastAsia="Arial" w:hAnsi="Arial" w:cs="Arial"/>
          <w:color w:val="000000"/>
        </w:rPr>
        <w:t xml:space="preserve"> et al., 2001; Yuan et al., 2014). The growth or death of ovarian follicles can be regulated by several </w:t>
      </w:r>
      <w:r>
        <w:rPr>
          <w:rFonts w:ascii="Arial" w:eastAsia="Arial" w:hAnsi="Arial" w:cs="Arial"/>
          <w:color w:val="000000"/>
        </w:rPr>
        <w:lastRenderedPageBreak/>
        <w:t xml:space="preserve">intra- and extra-ovarian factors (Andersen et al., 2019), as well as by cytokines arising from inflammatory processes, such as periodontitis (Fortune, 2003). The production of cytokines in the ovary, their detection in the follicular fluid and consequences on development of follicles indicate that these substances can act locally to regulate ovarian activities (Richards and </w:t>
      </w:r>
      <w:proofErr w:type="spellStart"/>
      <w:r>
        <w:rPr>
          <w:rFonts w:ascii="Arial" w:eastAsia="Arial" w:hAnsi="Arial" w:cs="Arial"/>
          <w:color w:val="000000"/>
        </w:rPr>
        <w:t>Pangas</w:t>
      </w:r>
      <w:proofErr w:type="spellEnd"/>
      <w:r>
        <w:rPr>
          <w:rFonts w:ascii="Arial" w:eastAsia="Arial" w:hAnsi="Arial" w:cs="Arial"/>
          <w:color w:val="000000"/>
        </w:rPr>
        <w:t xml:space="preserve">, 2010; </w:t>
      </w:r>
      <w:proofErr w:type="spellStart"/>
      <w:r>
        <w:rPr>
          <w:rFonts w:ascii="Arial" w:eastAsia="Arial" w:hAnsi="Arial" w:cs="Arial"/>
          <w:color w:val="000000"/>
        </w:rPr>
        <w:t>Qiao</w:t>
      </w:r>
      <w:proofErr w:type="spellEnd"/>
      <w:r>
        <w:rPr>
          <w:rFonts w:ascii="Arial" w:eastAsia="Arial" w:hAnsi="Arial" w:cs="Arial"/>
          <w:color w:val="000000"/>
        </w:rPr>
        <w:t xml:space="preserve"> and Feng, 2011). Among the cytokines, we can highlight TNF-alpha, which is recognized as one of the main regulators of programmed cell death of rat ovarian cells (</w:t>
      </w:r>
      <w:proofErr w:type="spellStart"/>
      <w:r>
        <w:rPr>
          <w:rFonts w:ascii="Arial" w:eastAsia="Arial" w:hAnsi="Arial" w:cs="Arial"/>
          <w:color w:val="000000"/>
        </w:rPr>
        <w:t>Kaipia</w:t>
      </w:r>
      <w:proofErr w:type="spellEnd"/>
      <w:r>
        <w:rPr>
          <w:rFonts w:ascii="Arial" w:eastAsia="Arial" w:hAnsi="Arial" w:cs="Arial"/>
          <w:color w:val="000000"/>
        </w:rPr>
        <w:t xml:space="preserve"> and Hsueh, 1997), and granulosa cells cultured in vitro (Quirk et al., 1998; Matsubara et al., 2000). Thus, this study is based on the hypothesis that cytokines produced in response to periodontitis cause the degeneration of ovarian follicles in female mice. Furthermore, it is believed that treatment with dexamethasone negatively influences the mice estrous cycle, regulates the inflammatory process and increases the resorption of alveolar bone in mice with induced-periodontitis.</w:t>
      </w:r>
    </w:p>
    <w:p w14:paraId="3C546F10" w14:textId="0B5F50AA" w:rsidR="00972984" w:rsidRDefault="0073180B" w:rsidP="00972984">
      <w:pPr>
        <w:pBdr>
          <w:top w:val="nil"/>
          <w:left w:val="nil"/>
          <w:bottom w:val="nil"/>
          <w:right w:val="nil"/>
          <w:between w:val="nil"/>
        </w:pBdr>
        <w:spacing w:after="240" w:line="480" w:lineRule="auto"/>
        <w:ind w:firstLine="426"/>
        <w:jc w:val="both"/>
        <w:rPr>
          <w:rFonts w:ascii="Arial" w:eastAsia="Arial" w:hAnsi="Arial" w:cs="Arial"/>
          <w:color w:val="000000"/>
        </w:rPr>
      </w:pPr>
      <w:r w:rsidRPr="00ED109A">
        <w:rPr>
          <w:rFonts w:ascii="Arial" w:eastAsia="Arial" w:hAnsi="Arial" w:cs="Arial"/>
          <w:color w:val="000000"/>
          <w:highlight w:val="yellow"/>
        </w:rPr>
        <w:t>According to the World Health Organization, severe periodontal diseases are estimated to affect more than 1 billion cases worldwide (World Health Organization, 2024). A systematic review investigating the association between infertility and periodontal disease found a higher prevalence of periodontal disease in infertility patients compared to controls (</w:t>
      </w:r>
      <w:proofErr w:type="spellStart"/>
      <w:r w:rsidRPr="00ED109A">
        <w:rPr>
          <w:rFonts w:ascii="Arial" w:eastAsia="Arial" w:hAnsi="Arial" w:cs="Arial"/>
          <w:color w:val="000000"/>
          <w:highlight w:val="yellow"/>
        </w:rPr>
        <w:t>Márquez-Arrico</w:t>
      </w:r>
      <w:proofErr w:type="spellEnd"/>
      <w:r w:rsidRPr="00ED109A">
        <w:rPr>
          <w:rFonts w:ascii="Arial" w:eastAsia="Arial" w:hAnsi="Arial" w:cs="Arial"/>
          <w:color w:val="000000"/>
          <w:highlight w:val="yellow"/>
        </w:rPr>
        <w:t xml:space="preserve"> et al., 2024) and in another systematic review, it was concluded that patients with Polycystic Ovary Syndrome (PCOS) appear to be more susceptible to developing periodontal diseases than women without the pathology (</w:t>
      </w:r>
      <w:proofErr w:type="spellStart"/>
      <w:r w:rsidRPr="00ED109A">
        <w:rPr>
          <w:rFonts w:ascii="Arial" w:eastAsia="Arial" w:hAnsi="Arial" w:cs="Arial"/>
          <w:color w:val="000000"/>
          <w:highlight w:val="yellow"/>
        </w:rPr>
        <w:t>Márquez-Arrico</w:t>
      </w:r>
      <w:proofErr w:type="spellEnd"/>
      <w:r w:rsidRPr="00ED109A">
        <w:rPr>
          <w:rFonts w:ascii="Arial" w:eastAsia="Arial" w:hAnsi="Arial" w:cs="Arial"/>
          <w:color w:val="000000"/>
          <w:highlight w:val="yellow"/>
        </w:rPr>
        <w:t xml:space="preserve"> et al., 2020). These studies highlighted the social importance of periodontal diseases, such as periodontitis, and their potential effects on the female reproductive system, of which the ovarian follicle is a fundamental part. Despite the potential importance of this theme, to our knowledge, there are no </w:t>
      </w:r>
      <w:proofErr w:type="spellStart"/>
      <w:r w:rsidRPr="00ED109A">
        <w:rPr>
          <w:rFonts w:ascii="Arial" w:eastAsia="Arial" w:hAnsi="Arial" w:cs="Arial"/>
          <w:color w:val="000000"/>
          <w:highlight w:val="yellow"/>
        </w:rPr>
        <w:t>studiesinvestigating</w:t>
      </w:r>
      <w:proofErr w:type="spellEnd"/>
      <w:r w:rsidRPr="00ED109A">
        <w:rPr>
          <w:rFonts w:ascii="Arial" w:eastAsia="Arial" w:hAnsi="Arial" w:cs="Arial"/>
          <w:color w:val="000000"/>
          <w:highlight w:val="yellow"/>
        </w:rPr>
        <w:t xml:space="preserve"> the relationship between the ovarian follicle activity, periodontal disease and dexamethasone in mice.</w:t>
      </w:r>
    </w:p>
    <w:p w14:paraId="590C1CEB" w14:textId="4019E434" w:rsidR="003F0AB7" w:rsidRDefault="0073180B" w:rsidP="00972984">
      <w:pPr>
        <w:pBdr>
          <w:top w:val="nil"/>
          <w:left w:val="nil"/>
          <w:bottom w:val="nil"/>
          <w:right w:val="nil"/>
          <w:between w:val="nil"/>
        </w:pBdr>
        <w:spacing w:after="240" w:line="480" w:lineRule="auto"/>
        <w:ind w:firstLine="426"/>
        <w:jc w:val="both"/>
        <w:rPr>
          <w:rFonts w:ascii="Arial" w:eastAsia="Arial" w:hAnsi="Arial" w:cs="Arial"/>
          <w:color w:val="000000"/>
        </w:rPr>
      </w:pPr>
      <w:r>
        <w:rPr>
          <w:rFonts w:ascii="Arial" w:eastAsia="Arial" w:hAnsi="Arial" w:cs="Arial"/>
          <w:color w:val="000000"/>
        </w:rPr>
        <w:t xml:space="preserve">To elucidate the existence of a relationship between periodontal disease and ovarian function, the present study aims to investigate the effects of periodontitis alone or associated </w:t>
      </w:r>
      <w:r>
        <w:rPr>
          <w:rFonts w:ascii="Arial" w:eastAsia="Arial" w:hAnsi="Arial" w:cs="Arial"/>
          <w:color w:val="000000"/>
        </w:rPr>
        <w:lastRenderedPageBreak/>
        <w:t xml:space="preserve">with dexamethasone treatment on the growth and viability of ovarian follicles in female mice. Furthermore, it aims to investigate whether dexamethasone influences the </w:t>
      </w:r>
      <w:r w:rsidRPr="00ED109A">
        <w:rPr>
          <w:rFonts w:ascii="Arial" w:eastAsia="Arial" w:hAnsi="Arial" w:cs="Arial"/>
          <w:color w:val="000000"/>
          <w:highlight w:val="yellow"/>
        </w:rPr>
        <w:t>process of periodontal</w:t>
      </w:r>
      <w:r w:rsidRPr="00ED109A">
        <w:rPr>
          <w:rFonts w:ascii="Arial" w:eastAsia="Arial" w:hAnsi="Arial" w:cs="Arial"/>
          <w:highlight w:val="yellow"/>
        </w:rPr>
        <w:t xml:space="preserve"> attachment loss</w:t>
      </w:r>
      <w:r>
        <w:rPr>
          <w:rFonts w:ascii="Arial" w:eastAsia="Arial" w:hAnsi="Arial" w:cs="Arial"/>
          <w:color w:val="000000"/>
        </w:rPr>
        <w:t xml:space="preserve"> and alveolar bone loss related to periodontitis, and whether it has adverse effects on estrous cycle and on the development and viability of ovarian follicles.</w:t>
      </w:r>
    </w:p>
    <w:p w14:paraId="40BE39C4" w14:textId="77777777" w:rsidR="003F0AB7" w:rsidRDefault="0073180B">
      <w:pPr>
        <w:keepNext/>
        <w:pBdr>
          <w:top w:val="nil"/>
          <w:left w:val="nil"/>
          <w:bottom w:val="nil"/>
          <w:right w:val="nil"/>
          <w:between w:val="nil"/>
        </w:pBdr>
        <w:spacing w:line="480" w:lineRule="auto"/>
        <w:jc w:val="both"/>
        <w:rPr>
          <w:rFonts w:ascii="Arial" w:eastAsia="Arial" w:hAnsi="Arial" w:cs="Arial"/>
          <w:b/>
          <w:smallCaps/>
          <w:color w:val="000000"/>
          <w:sz w:val="22"/>
          <w:szCs w:val="22"/>
        </w:rPr>
      </w:pPr>
      <w:r>
        <w:rPr>
          <w:rFonts w:ascii="Arial" w:eastAsia="Arial" w:hAnsi="Arial" w:cs="Arial"/>
          <w:b/>
          <w:smallCaps/>
          <w:color w:val="000000"/>
          <w:sz w:val="22"/>
          <w:szCs w:val="22"/>
        </w:rPr>
        <w:t xml:space="preserve">2. material and methods </w:t>
      </w:r>
    </w:p>
    <w:p w14:paraId="5CBAD83D" w14:textId="77777777" w:rsidR="003F0AB7" w:rsidRDefault="0073180B">
      <w:pPr>
        <w:pBdr>
          <w:top w:val="nil"/>
          <w:left w:val="nil"/>
          <w:bottom w:val="nil"/>
          <w:right w:val="nil"/>
          <w:between w:val="nil"/>
        </w:pBdr>
        <w:spacing w:after="240" w:line="480" w:lineRule="auto"/>
        <w:jc w:val="both"/>
        <w:rPr>
          <w:rFonts w:ascii="Arial" w:eastAsia="Arial" w:hAnsi="Arial" w:cs="Arial"/>
          <w:b/>
        </w:rPr>
      </w:pPr>
      <w:r>
        <w:rPr>
          <w:rFonts w:ascii="Arial" w:eastAsia="Arial" w:hAnsi="Arial" w:cs="Arial"/>
          <w:b/>
          <w:color w:val="000000"/>
        </w:rPr>
        <w:t>Animals</w:t>
      </w:r>
    </w:p>
    <w:p w14:paraId="0706734E" w14:textId="77777777" w:rsidR="003F0AB7" w:rsidRDefault="0073180B" w:rsidP="00972984">
      <w:pPr>
        <w:pBdr>
          <w:top w:val="nil"/>
          <w:left w:val="nil"/>
          <w:bottom w:val="nil"/>
          <w:right w:val="nil"/>
          <w:between w:val="nil"/>
        </w:pBdr>
        <w:spacing w:after="240" w:line="480" w:lineRule="auto"/>
        <w:ind w:firstLine="426"/>
        <w:jc w:val="both"/>
        <w:rPr>
          <w:rFonts w:ascii="Arial" w:eastAsia="Arial" w:hAnsi="Arial" w:cs="Arial"/>
          <w:color w:val="000000"/>
        </w:rPr>
      </w:pPr>
      <w:r>
        <w:rPr>
          <w:rFonts w:ascii="Arial" w:eastAsia="Arial" w:hAnsi="Arial" w:cs="Arial"/>
          <w:color w:val="000000"/>
        </w:rPr>
        <w:t xml:space="preserve">The number of animals (n=32) and the experimental protocols were performed in accordance with the guidelines and normative resolutions of the National Council for Control in Animal Experimentation (CONCEA). The experiments were started only after approval by the Ethics Committee on the Use of Animals (CEUA) of the Federal University of </w:t>
      </w:r>
      <w:proofErr w:type="spellStart"/>
      <w:r>
        <w:rPr>
          <w:rFonts w:ascii="Arial" w:eastAsia="Arial" w:hAnsi="Arial" w:cs="Arial"/>
          <w:color w:val="000000"/>
        </w:rPr>
        <w:t>Ceara</w:t>
      </w:r>
      <w:proofErr w:type="spellEnd"/>
      <w:r>
        <w:rPr>
          <w:rFonts w:ascii="Arial" w:eastAsia="Arial" w:hAnsi="Arial" w:cs="Arial"/>
          <w:color w:val="000000"/>
        </w:rPr>
        <w:t xml:space="preserve"> (Approval number: 12/20). The animals were divided into four different groups, kept in polyethylene boxes, with eight animals per box, lined with wood shavings, with free access to filtered water and food. The animals were maintained at an average temperature of 22.0°C, following a 12-hour light-dark cycle. </w:t>
      </w:r>
    </w:p>
    <w:p w14:paraId="1D823454" w14:textId="77777777" w:rsidR="003F0AB7" w:rsidRDefault="0073180B">
      <w:pPr>
        <w:spacing w:line="480" w:lineRule="auto"/>
        <w:jc w:val="both"/>
        <w:rPr>
          <w:rFonts w:ascii="Arial" w:eastAsia="Arial" w:hAnsi="Arial" w:cs="Arial"/>
          <w:b/>
        </w:rPr>
      </w:pPr>
      <w:r>
        <w:rPr>
          <w:rFonts w:ascii="Arial" w:eastAsia="Arial" w:hAnsi="Arial" w:cs="Arial"/>
          <w:b/>
          <w:highlight w:val="white"/>
        </w:rPr>
        <w:t>Assessment of the estrous cycle</w:t>
      </w:r>
    </w:p>
    <w:p w14:paraId="271E4ED0" w14:textId="77777777" w:rsidR="003F0AB7" w:rsidRDefault="0073180B" w:rsidP="00972984">
      <w:pPr>
        <w:spacing w:line="480" w:lineRule="auto"/>
        <w:ind w:firstLine="426"/>
        <w:jc w:val="both"/>
        <w:rPr>
          <w:rFonts w:ascii="Arial" w:eastAsia="Arial" w:hAnsi="Arial" w:cs="Arial"/>
          <w:highlight w:val="yellow"/>
        </w:rPr>
      </w:pPr>
      <w:r>
        <w:rPr>
          <w:rFonts w:ascii="Arial" w:eastAsia="Arial" w:hAnsi="Arial" w:cs="Arial"/>
        </w:rPr>
        <w:t>All female mice (18 g weight and/or 2 months of age) had their estrous cycle evaluated once a day, during a period of 15 days, between 8 am and 9 am as established by (</w:t>
      </w:r>
      <w:proofErr w:type="spellStart"/>
      <w:r>
        <w:rPr>
          <w:rFonts w:ascii="Arial" w:eastAsia="Arial" w:hAnsi="Arial" w:cs="Arial"/>
        </w:rPr>
        <w:t>Marcondes</w:t>
      </w:r>
      <w:proofErr w:type="spellEnd"/>
      <w:r>
        <w:rPr>
          <w:rFonts w:ascii="Arial" w:eastAsia="Arial" w:hAnsi="Arial" w:cs="Arial"/>
        </w:rPr>
        <w:t xml:space="preserve">, Bianchi e </w:t>
      </w:r>
      <w:proofErr w:type="spellStart"/>
      <w:r>
        <w:rPr>
          <w:rFonts w:ascii="Arial" w:eastAsia="Arial" w:hAnsi="Arial" w:cs="Arial"/>
        </w:rPr>
        <w:t>Tanno</w:t>
      </w:r>
      <w:proofErr w:type="spellEnd"/>
      <w:r>
        <w:rPr>
          <w:rFonts w:ascii="Arial" w:eastAsia="Arial" w:hAnsi="Arial" w:cs="Arial"/>
        </w:rPr>
        <w:t>, 2002). Vaginal swab slides were stained as described by (</w:t>
      </w:r>
      <w:proofErr w:type="spellStart"/>
      <w:r>
        <w:rPr>
          <w:rFonts w:ascii="Arial" w:eastAsia="Arial" w:hAnsi="Arial" w:cs="Arial"/>
        </w:rPr>
        <w:t>Shorr</w:t>
      </w:r>
      <w:proofErr w:type="spellEnd"/>
      <w:r>
        <w:rPr>
          <w:rFonts w:ascii="Arial" w:eastAsia="Arial" w:hAnsi="Arial" w:cs="Arial"/>
        </w:rPr>
        <w:t xml:space="preserve">, 1941). According to the cells observed, the stage of estrous cycle was classified as </w:t>
      </w:r>
      <w:proofErr w:type="spellStart"/>
      <w:r>
        <w:rPr>
          <w:rFonts w:ascii="Arial" w:eastAsia="Arial" w:hAnsi="Arial" w:cs="Arial"/>
        </w:rPr>
        <w:t>proestrus</w:t>
      </w:r>
      <w:proofErr w:type="spellEnd"/>
      <w:r>
        <w:rPr>
          <w:rFonts w:ascii="Arial" w:eastAsia="Arial" w:hAnsi="Arial" w:cs="Arial"/>
        </w:rPr>
        <w:t xml:space="preserve">, estrus, </w:t>
      </w:r>
      <w:proofErr w:type="spellStart"/>
      <w:r>
        <w:rPr>
          <w:rFonts w:ascii="Arial" w:eastAsia="Arial" w:hAnsi="Arial" w:cs="Arial"/>
        </w:rPr>
        <w:t>metestrus</w:t>
      </w:r>
      <w:proofErr w:type="spellEnd"/>
      <w:r>
        <w:rPr>
          <w:rFonts w:ascii="Arial" w:eastAsia="Arial" w:hAnsi="Arial" w:cs="Arial"/>
        </w:rPr>
        <w:t xml:space="preserve"> or </w:t>
      </w:r>
      <w:proofErr w:type="spellStart"/>
      <w:r>
        <w:rPr>
          <w:rFonts w:ascii="Arial" w:eastAsia="Arial" w:hAnsi="Arial" w:cs="Arial"/>
        </w:rPr>
        <w:t>diestrus</w:t>
      </w:r>
      <w:proofErr w:type="spellEnd"/>
      <w:r>
        <w:rPr>
          <w:rFonts w:ascii="Arial" w:eastAsia="Arial" w:hAnsi="Arial" w:cs="Arial"/>
        </w:rPr>
        <w:t>. Only females with a regular cycle, lasting 4 to 5 days, were used to carry out the experiments during a period of 60 days. During this experimental period, mice estrus cycle was evaluated in periods between day 0 and 10, as well as between days 50 and 60. The mice body weight were evaluated at days 0 and 60 in the different treatments study.</w:t>
      </w:r>
    </w:p>
    <w:p w14:paraId="47765B6A" w14:textId="77777777" w:rsidR="003F0AB7" w:rsidRDefault="0073180B">
      <w:pPr>
        <w:spacing w:line="480" w:lineRule="auto"/>
        <w:jc w:val="both"/>
        <w:rPr>
          <w:rFonts w:ascii="Arial" w:eastAsia="Arial" w:hAnsi="Arial" w:cs="Arial"/>
          <w:b/>
          <w:highlight w:val="white"/>
        </w:rPr>
      </w:pPr>
      <w:r>
        <w:rPr>
          <w:rFonts w:ascii="Arial" w:eastAsia="Arial" w:hAnsi="Arial" w:cs="Arial"/>
          <w:b/>
          <w:highlight w:val="white"/>
        </w:rPr>
        <w:t>Experimental model for inducing periodontitis</w:t>
      </w:r>
    </w:p>
    <w:p w14:paraId="229DCA60" w14:textId="3A6D0668" w:rsidR="003F0AB7" w:rsidRDefault="0073180B">
      <w:pPr>
        <w:spacing w:line="480" w:lineRule="auto"/>
        <w:ind w:firstLine="425"/>
        <w:jc w:val="both"/>
        <w:rPr>
          <w:rFonts w:ascii="Arial" w:eastAsia="Arial" w:hAnsi="Arial" w:cs="Arial"/>
        </w:rPr>
      </w:pPr>
      <w:r>
        <w:rPr>
          <w:rFonts w:ascii="Arial" w:eastAsia="Arial" w:hAnsi="Arial" w:cs="Arial"/>
        </w:rPr>
        <w:lastRenderedPageBreak/>
        <w:t xml:space="preserve">Periodontitis-induction was performed, under anesthesia (90 mg/kg ketamine and 10 mg/kg </w:t>
      </w:r>
      <w:proofErr w:type="spellStart"/>
      <w:r>
        <w:rPr>
          <w:rFonts w:ascii="Arial" w:eastAsia="Arial" w:hAnsi="Arial" w:cs="Arial"/>
        </w:rPr>
        <w:t>xylazine</w:t>
      </w:r>
      <w:proofErr w:type="spellEnd"/>
      <w:r>
        <w:rPr>
          <w:rFonts w:ascii="Arial" w:eastAsia="Arial" w:hAnsi="Arial" w:cs="Arial"/>
        </w:rPr>
        <w:t xml:space="preserve"> </w:t>
      </w:r>
      <w:proofErr w:type="spellStart"/>
      <w:r>
        <w:rPr>
          <w:rFonts w:ascii="Arial" w:eastAsia="Arial" w:hAnsi="Arial" w:cs="Arial"/>
        </w:rPr>
        <w:t>intraperitoneally</w:t>
      </w:r>
      <w:proofErr w:type="spellEnd"/>
      <w:r>
        <w:rPr>
          <w:rFonts w:ascii="Arial" w:eastAsia="Arial" w:hAnsi="Arial" w:cs="Arial"/>
        </w:rPr>
        <w:t xml:space="preserve"> administered), by placing ligated with polyester braided cotton thread 4.0 with the knot around the lower first molars</w:t>
      </w:r>
      <w:r w:rsidR="007A301B">
        <w:rPr>
          <w:rFonts w:ascii="Arial" w:eastAsia="Arial" w:hAnsi="Arial" w:cs="Arial"/>
        </w:rPr>
        <w:t xml:space="preserve"> (Tavares et al., 2024)</w:t>
      </w:r>
      <w:r>
        <w:rPr>
          <w:rFonts w:ascii="Arial" w:eastAsia="Arial" w:hAnsi="Arial" w:cs="Arial"/>
        </w:rPr>
        <w:t xml:space="preserve">, </w:t>
      </w:r>
      <w:r w:rsidRPr="00ED109A">
        <w:rPr>
          <w:rFonts w:ascii="Arial" w:eastAsia="Arial" w:hAnsi="Arial" w:cs="Arial"/>
          <w:highlight w:val="yellow"/>
        </w:rPr>
        <w:t xml:space="preserve">over two months, from </w:t>
      </w:r>
      <w:r w:rsidR="007A301B" w:rsidRPr="00ED109A">
        <w:rPr>
          <w:rFonts w:ascii="Arial" w:eastAsia="Arial" w:hAnsi="Arial" w:cs="Arial"/>
          <w:highlight w:val="yellow"/>
        </w:rPr>
        <w:t>January</w:t>
      </w:r>
      <w:r w:rsidRPr="00ED109A">
        <w:rPr>
          <w:rFonts w:ascii="Arial" w:eastAsia="Arial" w:hAnsi="Arial" w:cs="Arial"/>
          <w:highlight w:val="yellow"/>
        </w:rPr>
        <w:t xml:space="preserve"> to </w:t>
      </w:r>
      <w:r w:rsidR="007A301B" w:rsidRPr="00ED109A">
        <w:rPr>
          <w:rFonts w:ascii="Arial" w:eastAsia="Arial" w:hAnsi="Arial" w:cs="Arial"/>
          <w:highlight w:val="yellow"/>
        </w:rPr>
        <w:t>February</w:t>
      </w:r>
      <w:r w:rsidRPr="00ED109A">
        <w:rPr>
          <w:rFonts w:ascii="Arial" w:eastAsia="Arial" w:hAnsi="Arial" w:cs="Arial"/>
          <w:highlight w:val="yellow"/>
        </w:rPr>
        <w:t xml:space="preserve"> 2021</w:t>
      </w:r>
      <w:r w:rsidR="007A301B">
        <w:rPr>
          <w:rFonts w:ascii="Arial" w:eastAsia="Arial" w:hAnsi="Arial" w:cs="Arial"/>
        </w:rPr>
        <w:t>.</w:t>
      </w:r>
      <w:r>
        <w:rPr>
          <w:rFonts w:ascii="Arial" w:eastAsia="Arial" w:hAnsi="Arial" w:cs="Arial"/>
        </w:rPr>
        <w:t xml:space="preserve"> In this periodontitis-induced model, the accumulation of microorganisms around the ligature implies the participation of different antigens or pathogen-associated molecular patterns, such as toxins and products of microbial metabolism. The ligatures were checked periodically and repositioned when necessary.</w:t>
      </w:r>
    </w:p>
    <w:p w14:paraId="1A6988B0" w14:textId="77777777" w:rsidR="003F0AB7" w:rsidRDefault="003F0AB7">
      <w:pPr>
        <w:spacing w:line="360" w:lineRule="auto"/>
        <w:jc w:val="both"/>
        <w:rPr>
          <w:rFonts w:ascii="Arial" w:eastAsia="Arial" w:hAnsi="Arial" w:cs="Arial"/>
          <w:b/>
          <w:highlight w:val="white"/>
        </w:rPr>
      </w:pPr>
    </w:p>
    <w:p w14:paraId="5DAD8A2C" w14:textId="77777777" w:rsidR="003F0AB7" w:rsidRDefault="0073180B">
      <w:pPr>
        <w:spacing w:line="480" w:lineRule="auto"/>
        <w:jc w:val="both"/>
        <w:rPr>
          <w:rFonts w:ascii="Arial" w:eastAsia="Arial" w:hAnsi="Arial" w:cs="Arial"/>
          <w:b/>
          <w:highlight w:val="white"/>
        </w:rPr>
      </w:pPr>
      <w:r>
        <w:rPr>
          <w:rFonts w:ascii="Arial" w:eastAsia="Arial" w:hAnsi="Arial" w:cs="Arial"/>
          <w:b/>
          <w:highlight w:val="white"/>
        </w:rPr>
        <w:t>Pharmacological modulation</w:t>
      </w:r>
    </w:p>
    <w:p w14:paraId="659AA9B3" w14:textId="0578B550" w:rsidR="003F0AB7" w:rsidRDefault="0073180B">
      <w:pPr>
        <w:spacing w:line="480" w:lineRule="auto"/>
        <w:ind w:firstLine="425"/>
        <w:jc w:val="both"/>
        <w:rPr>
          <w:rFonts w:ascii="Arial" w:eastAsia="Arial" w:hAnsi="Arial" w:cs="Arial"/>
        </w:rPr>
      </w:pPr>
      <w:r>
        <w:rPr>
          <w:rFonts w:ascii="Arial" w:eastAsia="Arial" w:hAnsi="Arial" w:cs="Arial"/>
        </w:rPr>
        <w:t xml:space="preserve">To investigate pharmacological modulation, the mice were divided into four groups, each with a number of eight animals. In the naïve group </w:t>
      </w:r>
      <w:r>
        <w:rPr>
          <w:rFonts w:ascii="Arial" w:eastAsia="Arial" w:hAnsi="Arial" w:cs="Arial"/>
          <w:highlight w:val="yellow"/>
        </w:rPr>
        <w:t>(A)</w:t>
      </w:r>
      <w:r>
        <w:rPr>
          <w:rFonts w:ascii="Arial" w:eastAsia="Arial" w:hAnsi="Arial" w:cs="Arial"/>
        </w:rPr>
        <w:t xml:space="preserve">, health mice were treated with saline solution, while in group </w:t>
      </w:r>
      <w:r>
        <w:rPr>
          <w:rFonts w:ascii="Arial" w:eastAsia="Arial" w:hAnsi="Arial" w:cs="Arial"/>
          <w:highlight w:val="yellow"/>
        </w:rPr>
        <w:t>B</w:t>
      </w:r>
      <w:r>
        <w:rPr>
          <w:rFonts w:ascii="Arial" w:eastAsia="Arial" w:hAnsi="Arial" w:cs="Arial"/>
        </w:rPr>
        <w:t xml:space="preserve">, they were treated intramuscularly with 0.5 mg/kg dexamethasone (CAS number 50-02-2, Sigma). In group </w:t>
      </w:r>
      <w:r w:rsidR="00D0141B">
        <w:rPr>
          <w:rFonts w:ascii="Arial" w:eastAsia="Arial" w:hAnsi="Arial" w:cs="Arial"/>
          <w:highlight w:val="yellow"/>
        </w:rPr>
        <w:t>C</w:t>
      </w:r>
      <w:r>
        <w:rPr>
          <w:rFonts w:ascii="Arial" w:eastAsia="Arial" w:hAnsi="Arial" w:cs="Arial"/>
        </w:rPr>
        <w:t xml:space="preserve">, mice with induced-periodontitis were treated with saline solution, and in group </w:t>
      </w:r>
      <w:r>
        <w:rPr>
          <w:rFonts w:ascii="Arial" w:eastAsia="Arial" w:hAnsi="Arial" w:cs="Arial"/>
          <w:highlight w:val="yellow"/>
        </w:rPr>
        <w:t>D</w:t>
      </w:r>
      <w:r>
        <w:rPr>
          <w:rFonts w:ascii="Arial" w:eastAsia="Arial" w:hAnsi="Arial" w:cs="Arial"/>
        </w:rPr>
        <w:t>, mice had periodontal disease associated with dexamethasone treatment</w:t>
      </w:r>
      <w:r w:rsidRPr="00ED109A">
        <w:rPr>
          <w:rFonts w:ascii="Arial" w:eastAsia="Arial" w:hAnsi="Arial" w:cs="Arial"/>
          <w:highlight w:val="yellow"/>
        </w:rPr>
        <w:t>. The dose was selected on the basis of a previous study (</w:t>
      </w:r>
      <w:proofErr w:type="spellStart"/>
      <w:r w:rsidRPr="00ED109A">
        <w:rPr>
          <w:rFonts w:ascii="Arial" w:eastAsia="Arial" w:hAnsi="Arial" w:cs="Arial"/>
          <w:highlight w:val="yellow"/>
        </w:rPr>
        <w:t>Cavagni</w:t>
      </w:r>
      <w:proofErr w:type="spellEnd"/>
      <w:r w:rsidRPr="00ED109A">
        <w:rPr>
          <w:rFonts w:ascii="Arial" w:eastAsia="Arial" w:hAnsi="Arial" w:cs="Arial"/>
          <w:highlight w:val="yellow"/>
        </w:rPr>
        <w:t xml:space="preserve"> et al., 2005) which showed that a dose of 0.5 mg/kg dexamethasone in </w:t>
      </w:r>
      <w:proofErr w:type="spellStart"/>
      <w:r w:rsidRPr="00ED109A">
        <w:rPr>
          <w:rFonts w:ascii="Arial" w:eastAsia="Arial" w:hAnsi="Arial" w:cs="Arial"/>
          <w:highlight w:val="yellow"/>
        </w:rPr>
        <w:t>Wistar</w:t>
      </w:r>
      <w:proofErr w:type="spellEnd"/>
      <w:r w:rsidRPr="00ED109A">
        <w:rPr>
          <w:rFonts w:ascii="Arial" w:eastAsia="Arial" w:hAnsi="Arial" w:cs="Arial"/>
          <w:highlight w:val="yellow"/>
        </w:rPr>
        <w:t xml:space="preserve"> rats had an effect on bone resorption associated with experimental periodontitis.</w:t>
      </w:r>
      <w:r>
        <w:rPr>
          <w:rFonts w:ascii="Arial" w:eastAsia="Arial" w:hAnsi="Arial" w:cs="Arial"/>
        </w:rPr>
        <w:t xml:space="preserve"> The dexamethasone was diluted with sterile saline solution (0.85% </w:t>
      </w:r>
      <w:proofErr w:type="spellStart"/>
      <w:r>
        <w:rPr>
          <w:rFonts w:ascii="Arial" w:eastAsia="Arial" w:hAnsi="Arial" w:cs="Arial"/>
        </w:rPr>
        <w:t>NaCl</w:t>
      </w:r>
      <w:proofErr w:type="spellEnd"/>
      <w:r>
        <w:rPr>
          <w:rFonts w:ascii="Arial" w:eastAsia="Arial" w:hAnsi="Arial" w:cs="Arial"/>
        </w:rPr>
        <w:t>). The animals were treated at the same time, every three days, for two months. After 60 days, the animals were euthanized with an overdose of ketamine/</w:t>
      </w:r>
      <w:proofErr w:type="spellStart"/>
      <w:r>
        <w:rPr>
          <w:rFonts w:ascii="Arial" w:eastAsia="Arial" w:hAnsi="Arial" w:cs="Arial"/>
        </w:rPr>
        <w:t>xylazine</w:t>
      </w:r>
      <w:proofErr w:type="spellEnd"/>
      <w:r>
        <w:rPr>
          <w:rFonts w:ascii="Arial" w:eastAsia="Arial" w:hAnsi="Arial" w:cs="Arial"/>
        </w:rPr>
        <w:t>. After euthanasia, the ovaries and mandibles were removed for morphometric and histological analysis.</w:t>
      </w:r>
    </w:p>
    <w:p w14:paraId="796D318F" w14:textId="77777777" w:rsidR="003F0AB7" w:rsidRDefault="003F0AB7">
      <w:pPr>
        <w:spacing w:line="480" w:lineRule="auto"/>
        <w:ind w:firstLine="425"/>
        <w:jc w:val="both"/>
        <w:rPr>
          <w:rFonts w:ascii="Arial" w:eastAsia="Arial" w:hAnsi="Arial" w:cs="Arial"/>
          <w:highlight w:val="white"/>
        </w:rPr>
      </w:pPr>
    </w:p>
    <w:p w14:paraId="6D132C9D" w14:textId="77777777" w:rsidR="003F0AB7" w:rsidRDefault="0073180B">
      <w:pPr>
        <w:spacing w:line="360" w:lineRule="auto"/>
        <w:jc w:val="both"/>
        <w:rPr>
          <w:rFonts w:ascii="Arial" w:eastAsia="Arial" w:hAnsi="Arial" w:cs="Arial"/>
          <w:b/>
          <w:highlight w:val="white"/>
        </w:rPr>
      </w:pPr>
      <w:r>
        <w:rPr>
          <w:rFonts w:ascii="Arial" w:eastAsia="Arial" w:hAnsi="Arial" w:cs="Arial"/>
          <w:b/>
          <w:highlight w:val="white"/>
        </w:rPr>
        <w:t>Measurement of alveolar bone loss</w:t>
      </w:r>
    </w:p>
    <w:p w14:paraId="13A37202" w14:textId="62A645B3" w:rsidR="003F0AB7" w:rsidRDefault="0073180B">
      <w:pPr>
        <w:spacing w:line="480" w:lineRule="auto"/>
        <w:ind w:firstLine="425"/>
        <w:jc w:val="both"/>
        <w:rPr>
          <w:rFonts w:ascii="Arial" w:eastAsia="Arial" w:hAnsi="Arial" w:cs="Arial"/>
          <w:b/>
        </w:rPr>
      </w:pPr>
      <w:r w:rsidRPr="00ED109A">
        <w:rPr>
          <w:rFonts w:ascii="Arial" w:eastAsia="Arial" w:hAnsi="Arial" w:cs="Arial"/>
          <w:highlight w:val="yellow"/>
        </w:rPr>
        <w:t>After the 60</w:t>
      </w:r>
      <w:r w:rsidR="00D0141B">
        <w:rPr>
          <w:rFonts w:ascii="Arial" w:eastAsia="Arial" w:hAnsi="Arial" w:cs="Arial"/>
          <w:highlight w:val="yellow"/>
        </w:rPr>
        <w:t>-</w:t>
      </w:r>
      <w:r w:rsidRPr="00ED109A">
        <w:rPr>
          <w:rFonts w:ascii="Arial" w:eastAsia="Arial" w:hAnsi="Arial" w:cs="Arial"/>
          <w:highlight w:val="yellow"/>
        </w:rPr>
        <w:t>day experimental period</w:t>
      </w:r>
      <w:r>
        <w:rPr>
          <w:rFonts w:ascii="Arial" w:eastAsia="Arial" w:hAnsi="Arial" w:cs="Arial"/>
        </w:rPr>
        <w:t xml:space="preserve">, the animals were euthanized, the mandibles were removed and divided in half, of which the right one was used for morphometric analysis. The hemi mandibles were fixed in buffered formalin (10%) for 24 h. Then, they were kept in 70% alcohol for 4 hours, dissected and stained with 1% aqueous methylene blue to differentiate </w:t>
      </w:r>
      <w:r>
        <w:rPr>
          <w:rFonts w:ascii="Arial" w:eastAsia="Arial" w:hAnsi="Arial" w:cs="Arial"/>
        </w:rPr>
        <w:lastRenderedPageBreak/>
        <w:t>bone from teeth. To quantify bone resorption, the pieces were photographed and the images were then evaluated using the Image J computer program (Image J 1.44p, National Institute of Health; USA). Bone level was measured between the enamel-cementum junction and the alveolar bone crest. This measure was considered in the present study as the alveolar bone loss in animals in which periodontitis was induced. This area was compared to another previously known area (5 x 5 mm²) (</w:t>
      </w:r>
      <w:proofErr w:type="spellStart"/>
      <w:r>
        <w:rPr>
          <w:rFonts w:ascii="Arial" w:eastAsia="Arial" w:hAnsi="Arial" w:cs="Arial"/>
        </w:rPr>
        <w:t>Kurh</w:t>
      </w:r>
      <w:proofErr w:type="spellEnd"/>
      <w:r>
        <w:rPr>
          <w:rFonts w:ascii="Arial" w:eastAsia="Arial" w:hAnsi="Arial" w:cs="Arial"/>
        </w:rPr>
        <w:t xml:space="preserve"> et al., 2004).</w:t>
      </w:r>
    </w:p>
    <w:p w14:paraId="015D5DCA" w14:textId="77777777" w:rsidR="003F0AB7" w:rsidRDefault="003F0AB7">
      <w:pPr>
        <w:pBdr>
          <w:top w:val="nil"/>
          <w:left w:val="nil"/>
          <w:bottom w:val="nil"/>
          <w:right w:val="nil"/>
          <w:between w:val="nil"/>
        </w:pBdr>
        <w:jc w:val="both"/>
        <w:rPr>
          <w:rFonts w:ascii="Arial" w:eastAsia="Arial" w:hAnsi="Arial" w:cs="Arial"/>
          <w:color w:val="000000"/>
        </w:rPr>
      </w:pPr>
    </w:p>
    <w:p w14:paraId="75E3CF0B" w14:textId="77777777" w:rsidR="003F0AB7" w:rsidRDefault="0073180B">
      <w:pPr>
        <w:spacing w:line="480" w:lineRule="auto"/>
        <w:jc w:val="both"/>
        <w:rPr>
          <w:rFonts w:ascii="Arial" w:eastAsia="Arial" w:hAnsi="Arial" w:cs="Arial"/>
          <w:b/>
        </w:rPr>
      </w:pPr>
      <w:r>
        <w:rPr>
          <w:rFonts w:ascii="Arial" w:eastAsia="Arial" w:hAnsi="Arial" w:cs="Arial"/>
          <w:b/>
        </w:rPr>
        <w:t>Histopathological analysis of the mandibles</w:t>
      </w:r>
    </w:p>
    <w:p w14:paraId="3F8ADE35" w14:textId="77777777" w:rsidR="003F0AB7" w:rsidRDefault="0073180B">
      <w:pPr>
        <w:spacing w:line="480" w:lineRule="auto"/>
        <w:ind w:firstLine="425"/>
        <w:jc w:val="both"/>
        <w:rPr>
          <w:rFonts w:ascii="Arial" w:eastAsia="Arial" w:hAnsi="Arial" w:cs="Arial"/>
        </w:rPr>
      </w:pPr>
      <w:r>
        <w:rPr>
          <w:rFonts w:ascii="Arial" w:eastAsia="Arial" w:hAnsi="Arial" w:cs="Arial"/>
        </w:rPr>
        <w:t>The left hemi mandibles previously fixed in buffered formalin (10%) were demineralized using EDTA solution for 60 days. After this process, they were dehydrated in increasing concentrations of ethanol, cleared with xylene and included in paraffin. Serial sections (7 µm thickness) were stained with hematoxylin and eosin as described (Santos et al., 2021). For quantitative analysis, the Image J software was used on the mesial portion of the second molar to measure the attachment levels from the enamel-cementum junction to the base of the gingival sulcus or periodontal pocket (</w:t>
      </w:r>
      <w:proofErr w:type="spellStart"/>
      <w:r>
        <w:rPr>
          <w:rFonts w:ascii="Arial" w:eastAsia="Arial" w:hAnsi="Arial" w:cs="Arial"/>
        </w:rPr>
        <w:t>Sima</w:t>
      </w:r>
      <w:proofErr w:type="spellEnd"/>
      <w:r>
        <w:rPr>
          <w:rFonts w:ascii="Arial" w:eastAsia="Arial" w:hAnsi="Arial" w:cs="Arial"/>
        </w:rPr>
        <w:t xml:space="preserve"> et al., 2016), to assess attachment loss.</w:t>
      </w:r>
    </w:p>
    <w:p w14:paraId="4D7B6434" w14:textId="77777777" w:rsidR="003F0AB7" w:rsidRDefault="003F0AB7">
      <w:pPr>
        <w:spacing w:line="360" w:lineRule="auto"/>
        <w:jc w:val="both"/>
        <w:rPr>
          <w:rFonts w:ascii="Arial" w:eastAsia="Arial" w:hAnsi="Arial" w:cs="Arial"/>
          <w:b/>
          <w:highlight w:val="white"/>
        </w:rPr>
      </w:pPr>
    </w:p>
    <w:p w14:paraId="11C00DA3" w14:textId="77777777" w:rsidR="003F0AB7" w:rsidRDefault="0073180B">
      <w:pPr>
        <w:spacing w:line="360" w:lineRule="auto"/>
        <w:jc w:val="both"/>
        <w:rPr>
          <w:rFonts w:ascii="Arial" w:eastAsia="Arial" w:hAnsi="Arial" w:cs="Arial"/>
          <w:b/>
          <w:highlight w:val="white"/>
        </w:rPr>
      </w:pPr>
      <w:r>
        <w:rPr>
          <w:rFonts w:ascii="Arial" w:eastAsia="Arial" w:hAnsi="Arial" w:cs="Arial"/>
          <w:b/>
          <w:highlight w:val="white"/>
        </w:rPr>
        <w:t>Histological analysis of the ovaries</w:t>
      </w:r>
    </w:p>
    <w:p w14:paraId="69734E31" w14:textId="30576106" w:rsidR="003F0AB7" w:rsidRPr="00D0141B" w:rsidRDefault="0073180B" w:rsidP="00D0141B">
      <w:pPr>
        <w:spacing w:line="480" w:lineRule="auto"/>
        <w:ind w:firstLine="425"/>
        <w:jc w:val="both"/>
        <w:rPr>
          <w:rFonts w:ascii="Arial" w:eastAsia="Arial" w:hAnsi="Arial" w:cs="Arial"/>
        </w:rPr>
      </w:pPr>
      <w:r>
        <w:rPr>
          <w:rFonts w:ascii="Arial" w:eastAsia="Arial" w:hAnsi="Arial" w:cs="Arial"/>
        </w:rPr>
        <w:t xml:space="preserve">After the end of the experimental period, the ovaries were collected, fixed in paraformaldehyde, dehydrated in a graded series of ethanol, clarified with xylene and embedded in paraffin wax. For each ovary, 7-μm sections were mounted on slides and stained by the Periodic acid-Schiff (PAS) and hematoxylin method. The slides were examined using a microscope (Nikon) at 100X and 400X magnification. To evaluate the effects of treatments on follicular development, ovarian follicles were classified as primordial (oocyte surrounded by a layer of squamous-shaped granulosa cells), primary (oocyte surrounded by a layer of cubic-shaped granulosa cells), secondary (oocyte surrounded by several layers of cubic-shaped granulosa cells) and tertiary (oocyte surrounded by several layers of cumulus cells and the presence of a well-developed antral cavity). Furthermore, follicles were individually classified as morphologically normal, when an intact oocyte was surrounded by granulosa </w:t>
      </w:r>
      <w:r>
        <w:rPr>
          <w:rFonts w:ascii="Arial" w:eastAsia="Arial" w:hAnsi="Arial" w:cs="Arial"/>
        </w:rPr>
        <w:lastRenderedPageBreak/>
        <w:t xml:space="preserve">cells well organized in one or more layers, and which did not have </w:t>
      </w:r>
      <w:proofErr w:type="spellStart"/>
      <w:r>
        <w:rPr>
          <w:rFonts w:ascii="Arial" w:eastAsia="Arial" w:hAnsi="Arial" w:cs="Arial"/>
        </w:rPr>
        <w:t>pyknotic</w:t>
      </w:r>
      <w:proofErr w:type="spellEnd"/>
      <w:r>
        <w:rPr>
          <w:rFonts w:ascii="Arial" w:eastAsia="Arial" w:hAnsi="Arial" w:cs="Arial"/>
        </w:rPr>
        <w:t xml:space="preserve"> nuclei. Degenerated follicles were defined as those with a retracted oocyte, with a </w:t>
      </w:r>
      <w:proofErr w:type="spellStart"/>
      <w:r>
        <w:rPr>
          <w:rFonts w:ascii="Arial" w:eastAsia="Arial" w:hAnsi="Arial" w:cs="Arial"/>
        </w:rPr>
        <w:t>pyknotic</w:t>
      </w:r>
      <w:proofErr w:type="spellEnd"/>
      <w:r>
        <w:rPr>
          <w:rFonts w:ascii="Arial" w:eastAsia="Arial" w:hAnsi="Arial" w:cs="Arial"/>
        </w:rPr>
        <w:t xml:space="preserve"> nucleus and/or surrounded by disorganized granulosa cells, detached from the basement membrane. In total, approximately 200 follicles were evaluated for each treatment. The percentages of normal or degenerated follicles, as well as those of primordial and developing follicles were calculated before and after the experimental protocol. Additionally, the number of corpora </w:t>
      </w:r>
      <w:proofErr w:type="spellStart"/>
      <w:r>
        <w:rPr>
          <w:rFonts w:ascii="Arial" w:eastAsia="Arial" w:hAnsi="Arial" w:cs="Arial"/>
        </w:rPr>
        <w:t>lutea</w:t>
      </w:r>
      <w:proofErr w:type="spellEnd"/>
      <w:r>
        <w:rPr>
          <w:rFonts w:ascii="Arial" w:eastAsia="Arial" w:hAnsi="Arial" w:cs="Arial"/>
        </w:rPr>
        <w:t xml:space="preserve"> present in the ovaries was counted. </w:t>
      </w:r>
      <w:r w:rsidR="00D0141B" w:rsidRPr="00D0141B">
        <w:rPr>
          <w:rFonts w:ascii="Arial" w:eastAsia="Arial" w:hAnsi="Arial" w:cs="Arial"/>
          <w:highlight w:val="yellow"/>
        </w:rPr>
        <w:t xml:space="preserve">During the </w:t>
      </w:r>
      <w:r w:rsidRPr="009273BB">
        <w:rPr>
          <w:rFonts w:ascii="Arial" w:eastAsia="Arial" w:hAnsi="Arial" w:cs="Arial"/>
          <w:highlight w:val="yellow"/>
        </w:rPr>
        <w:t xml:space="preserve">analyses, the </w:t>
      </w:r>
      <w:r w:rsidR="00D0141B">
        <w:rPr>
          <w:rFonts w:ascii="Arial" w:eastAsia="Arial" w:hAnsi="Arial" w:cs="Arial"/>
          <w:highlight w:val="yellow"/>
        </w:rPr>
        <w:t>researchers</w:t>
      </w:r>
      <w:r w:rsidRPr="009273BB">
        <w:rPr>
          <w:rFonts w:ascii="Arial" w:eastAsia="Arial" w:hAnsi="Arial" w:cs="Arial"/>
          <w:highlight w:val="yellow"/>
        </w:rPr>
        <w:t xml:space="preserve"> did not know which groups were being </w:t>
      </w:r>
      <w:r w:rsidR="00D0141B" w:rsidRPr="009273BB">
        <w:rPr>
          <w:rFonts w:ascii="Arial" w:eastAsia="Arial" w:hAnsi="Arial" w:cs="Arial"/>
          <w:highlight w:val="yellow"/>
        </w:rPr>
        <w:t>analyzed</w:t>
      </w:r>
      <w:r w:rsidRPr="009273BB">
        <w:rPr>
          <w:rFonts w:ascii="Arial" w:eastAsia="Arial" w:hAnsi="Arial" w:cs="Arial"/>
          <w:highlight w:val="yellow"/>
        </w:rPr>
        <w:t>. Therefore, a blind evaluation was carried out for the assessment of the estrous cycle, the measurement of alveolar bone loss, the histopathological analysis of the mandibles and the histological analysis of the ovaries.</w:t>
      </w:r>
    </w:p>
    <w:p w14:paraId="078B97D4" w14:textId="77777777" w:rsidR="003F0AB7" w:rsidRDefault="003F0AB7">
      <w:pPr>
        <w:spacing w:line="360" w:lineRule="auto"/>
        <w:jc w:val="both"/>
        <w:rPr>
          <w:rFonts w:ascii="Arial" w:eastAsia="Arial" w:hAnsi="Arial" w:cs="Arial"/>
          <w:b/>
          <w:highlight w:val="white"/>
        </w:rPr>
      </w:pPr>
    </w:p>
    <w:p w14:paraId="114C5452" w14:textId="77777777" w:rsidR="003F0AB7" w:rsidRDefault="0073180B">
      <w:pPr>
        <w:spacing w:line="480" w:lineRule="auto"/>
        <w:jc w:val="both"/>
        <w:rPr>
          <w:rFonts w:ascii="Arial" w:eastAsia="Arial" w:hAnsi="Arial" w:cs="Arial"/>
          <w:b/>
          <w:highlight w:val="white"/>
        </w:rPr>
      </w:pPr>
      <w:r>
        <w:rPr>
          <w:rFonts w:ascii="Arial" w:eastAsia="Arial" w:hAnsi="Arial" w:cs="Arial"/>
          <w:b/>
          <w:highlight w:val="white"/>
        </w:rPr>
        <w:t>Statistical analysis</w:t>
      </w:r>
    </w:p>
    <w:p w14:paraId="384B7906" w14:textId="37BC15C8" w:rsidR="003F0AB7" w:rsidRDefault="0073180B">
      <w:pPr>
        <w:spacing w:line="480" w:lineRule="auto"/>
        <w:ind w:firstLine="425"/>
        <w:jc w:val="both"/>
        <w:rPr>
          <w:rFonts w:ascii="Arial" w:eastAsia="Arial" w:hAnsi="Arial" w:cs="Arial"/>
        </w:rPr>
      </w:pPr>
      <w:r>
        <w:rPr>
          <w:rFonts w:ascii="Arial" w:eastAsia="Arial" w:hAnsi="Arial" w:cs="Arial"/>
        </w:rPr>
        <w:t>Data on the percentage of normal and degenerated follicles, as well as those of primordial, primary, secondary and tertiary follicles were evaluated by chi-square test (</w:t>
      </w:r>
      <w:proofErr w:type="spellStart"/>
      <w:r>
        <w:rPr>
          <w:rFonts w:ascii="Arial" w:eastAsia="Arial" w:hAnsi="Arial" w:cs="Arial"/>
        </w:rPr>
        <w:t>GraphPad</w:t>
      </w:r>
      <w:proofErr w:type="spellEnd"/>
      <w:r>
        <w:rPr>
          <w:rFonts w:ascii="Arial" w:eastAsia="Arial" w:hAnsi="Arial" w:cs="Arial"/>
        </w:rPr>
        <w:t xml:space="preserve"> Prism 9.0). Data on the percentage of animals in each stage of estrous cycle were also compared by chi-square test. Data of bone loss were assessed for normality of distribution (Kolmogorov-Smirnov test) and compared by analysis of variance (ANOVA) and Tukey test. Data of corpora </w:t>
      </w:r>
      <w:proofErr w:type="spellStart"/>
      <w:r>
        <w:rPr>
          <w:rFonts w:ascii="Arial" w:eastAsia="Arial" w:hAnsi="Arial" w:cs="Arial"/>
        </w:rPr>
        <w:t>lutea</w:t>
      </w:r>
      <w:proofErr w:type="spellEnd"/>
      <w:r>
        <w:rPr>
          <w:rFonts w:ascii="Arial" w:eastAsia="Arial" w:hAnsi="Arial" w:cs="Arial"/>
        </w:rPr>
        <w:t xml:space="preserve"> were compared by analysis of variance (ANOVA) and </w:t>
      </w:r>
      <w:proofErr w:type="spellStart"/>
      <w:r>
        <w:rPr>
          <w:rFonts w:ascii="Arial" w:eastAsia="Arial" w:hAnsi="Arial" w:cs="Arial"/>
        </w:rPr>
        <w:t>Kru</w:t>
      </w:r>
      <w:r w:rsidR="008D534A">
        <w:rPr>
          <w:rFonts w:ascii="Arial" w:eastAsia="Arial" w:hAnsi="Arial" w:cs="Arial"/>
        </w:rPr>
        <w:t>s</w:t>
      </w:r>
      <w:r>
        <w:rPr>
          <w:rFonts w:ascii="Arial" w:eastAsia="Arial" w:hAnsi="Arial" w:cs="Arial"/>
        </w:rPr>
        <w:t>kall</w:t>
      </w:r>
      <w:proofErr w:type="spellEnd"/>
      <w:r>
        <w:rPr>
          <w:rFonts w:ascii="Arial" w:eastAsia="Arial" w:hAnsi="Arial" w:cs="Arial"/>
        </w:rPr>
        <w:t>-Wallis test. The results were expressed as mean ± S.E.M and the differences were considered significant when P</w:t>
      </w:r>
      <w:r w:rsidR="009E5AFB">
        <w:rPr>
          <w:rFonts w:ascii="Arial" w:eastAsia="Arial" w:hAnsi="Arial" w:cs="Arial"/>
        </w:rPr>
        <w:t xml:space="preserve"> </w:t>
      </w:r>
      <w:r>
        <w:rPr>
          <w:rFonts w:ascii="Arial" w:eastAsia="Arial" w:hAnsi="Arial" w:cs="Arial"/>
        </w:rPr>
        <w:t>&lt;</w:t>
      </w:r>
      <w:r w:rsidR="009E5AFB">
        <w:rPr>
          <w:rFonts w:ascii="Arial" w:eastAsia="Arial" w:hAnsi="Arial" w:cs="Arial"/>
        </w:rPr>
        <w:t xml:space="preserve"> </w:t>
      </w:r>
      <w:r>
        <w:rPr>
          <w:rFonts w:ascii="Arial" w:eastAsia="Arial" w:hAnsi="Arial" w:cs="Arial"/>
        </w:rPr>
        <w:t>0.05.</w:t>
      </w:r>
    </w:p>
    <w:p w14:paraId="426EAD9A" w14:textId="77777777" w:rsidR="003F0AB7" w:rsidRDefault="003F0AB7">
      <w:pPr>
        <w:pBdr>
          <w:top w:val="nil"/>
          <w:left w:val="nil"/>
          <w:bottom w:val="nil"/>
          <w:right w:val="nil"/>
          <w:between w:val="nil"/>
        </w:pBdr>
        <w:jc w:val="both"/>
        <w:rPr>
          <w:rFonts w:ascii="Arial" w:eastAsia="Arial" w:hAnsi="Arial" w:cs="Arial"/>
          <w:color w:val="000000"/>
        </w:rPr>
      </w:pPr>
    </w:p>
    <w:p w14:paraId="2B06BF4B" w14:textId="77777777" w:rsidR="003F0AB7" w:rsidRDefault="0073180B">
      <w:pPr>
        <w:keepNext/>
        <w:pBdr>
          <w:top w:val="nil"/>
          <w:left w:val="nil"/>
          <w:bottom w:val="nil"/>
          <w:right w:val="nil"/>
          <w:between w:val="nil"/>
        </w:pBdr>
        <w:spacing w:line="480" w:lineRule="auto"/>
        <w:jc w:val="both"/>
        <w:rPr>
          <w:rFonts w:ascii="Arial" w:eastAsia="Arial" w:hAnsi="Arial" w:cs="Arial"/>
          <w:b/>
          <w:smallCaps/>
          <w:color w:val="000000"/>
          <w:sz w:val="22"/>
          <w:szCs w:val="22"/>
        </w:rPr>
      </w:pPr>
      <w:r>
        <w:rPr>
          <w:rFonts w:ascii="Arial" w:eastAsia="Arial" w:hAnsi="Arial" w:cs="Arial"/>
          <w:b/>
          <w:smallCaps/>
          <w:color w:val="000000"/>
          <w:sz w:val="22"/>
          <w:szCs w:val="22"/>
        </w:rPr>
        <w:t xml:space="preserve">3. results </w:t>
      </w:r>
    </w:p>
    <w:p w14:paraId="3CE56BA0" w14:textId="77777777" w:rsidR="003F0AB7" w:rsidRDefault="003F0AB7">
      <w:pPr>
        <w:keepNext/>
        <w:pBdr>
          <w:top w:val="nil"/>
          <w:left w:val="nil"/>
          <w:bottom w:val="nil"/>
          <w:right w:val="nil"/>
          <w:between w:val="nil"/>
        </w:pBdr>
        <w:spacing w:line="480" w:lineRule="auto"/>
        <w:jc w:val="both"/>
        <w:rPr>
          <w:rFonts w:ascii="Arial" w:eastAsia="Arial" w:hAnsi="Arial" w:cs="Arial"/>
          <w:b/>
          <w:smallCaps/>
          <w:color w:val="000000"/>
          <w:sz w:val="22"/>
          <w:szCs w:val="22"/>
        </w:rPr>
      </w:pPr>
    </w:p>
    <w:p w14:paraId="485EA8A0" w14:textId="77777777" w:rsidR="003F0AB7" w:rsidRDefault="0073180B">
      <w:pPr>
        <w:spacing w:line="480" w:lineRule="auto"/>
        <w:jc w:val="both"/>
        <w:rPr>
          <w:rFonts w:ascii="Arial" w:eastAsia="Arial" w:hAnsi="Arial" w:cs="Arial"/>
          <w:b/>
          <w:highlight w:val="white"/>
        </w:rPr>
      </w:pPr>
      <w:r>
        <w:rPr>
          <w:rFonts w:ascii="Arial" w:eastAsia="Arial" w:hAnsi="Arial" w:cs="Arial"/>
          <w:b/>
        </w:rPr>
        <w:t>Analysis of mice estrous cycle</w:t>
      </w:r>
    </w:p>
    <w:p w14:paraId="7277D13F" w14:textId="77777777" w:rsidR="003F0AB7" w:rsidRDefault="0073180B" w:rsidP="00972984">
      <w:pPr>
        <w:spacing w:line="480" w:lineRule="auto"/>
        <w:ind w:firstLine="426"/>
        <w:jc w:val="both"/>
        <w:rPr>
          <w:rFonts w:ascii="Arial" w:eastAsia="Arial" w:hAnsi="Arial" w:cs="Arial"/>
        </w:rPr>
      </w:pPr>
      <w:r>
        <w:rPr>
          <w:rFonts w:ascii="Arial" w:eastAsia="Arial" w:hAnsi="Arial" w:cs="Arial"/>
        </w:rPr>
        <w:t xml:space="preserve">The data showed that in both after 10 or 60 days of experiment, health mice and those with induced-periodontitis had the highest percentages of deregulated estrus cycle, but significant differences were seen only after 60 days of treatment between mice with only </w:t>
      </w:r>
      <w:r>
        <w:rPr>
          <w:rFonts w:ascii="Arial" w:eastAsia="Arial" w:hAnsi="Arial" w:cs="Arial"/>
        </w:rPr>
        <w:lastRenderedPageBreak/>
        <w:t>periodontitis and those with periodontal disease associated with dexamethasone treatment. Only the periodontal disease did not influence estrus cycle (Table 1).</w:t>
      </w:r>
    </w:p>
    <w:p w14:paraId="79A356E5" w14:textId="77777777" w:rsidR="003F0AB7" w:rsidRDefault="003F0AB7">
      <w:pPr>
        <w:spacing w:line="480" w:lineRule="auto"/>
        <w:jc w:val="both"/>
        <w:rPr>
          <w:rFonts w:ascii="Arial" w:eastAsia="Arial" w:hAnsi="Arial" w:cs="Arial"/>
          <w:b/>
        </w:rPr>
      </w:pPr>
    </w:p>
    <w:p w14:paraId="0A497685" w14:textId="77777777" w:rsidR="003F0AB7" w:rsidRDefault="0073180B">
      <w:pPr>
        <w:spacing w:line="480" w:lineRule="auto"/>
        <w:jc w:val="both"/>
        <w:rPr>
          <w:rFonts w:ascii="Arial" w:eastAsia="Arial" w:hAnsi="Arial" w:cs="Arial"/>
          <w:b/>
        </w:rPr>
      </w:pPr>
      <w:r>
        <w:rPr>
          <w:rFonts w:ascii="Arial" w:eastAsia="Arial" w:hAnsi="Arial" w:cs="Arial"/>
          <w:b/>
        </w:rPr>
        <w:t>Mice body weight at the beginning and end of the experiments</w:t>
      </w:r>
    </w:p>
    <w:p w14:paraId="3F549260" w14:textId="365457B8" w:rsidR="003F0AB7" w:rsidRDefault="0073180B" w:rsidP="00972984">
      <w:pPr>
        <w:spacing w:line="480" w:lineRule="auto"/>
        <w:ind w:firstLine="426"/>
        <w:jc w:val="both"/>
        <w:rPr>
          <w:rFonts w:ascii="Arial" w:eastAsia="Arial" w:hAnsi="Arial" w:cs="Arial"/>
        </w:rPr>
      </w:pPr>
      <w:r>
        <w:rPr>
          <w:rFonts w:ascii="Arial" w:eastAsia="Arial" w:hAnsi="Arial" w:cs="Arial"/>
        </w:rPr>
        <w:t>Mice body in all groups gradually increased between days 0 and 60 (Table 2). Although animals with periodontitis alone or with periodontitis associated with dexamethasone treatment showed a smaller weight gain, no significant differences were observed when compared to the Naïve group.</w:t>
      </w:r>
    </w:p>
    <w:p w14:paraId="2A804059" w14:textId="77777777" w:rsidR="00096835" w:rsidRDefault="00096835" w:rsidP="0014518F">
      <w:pPr>
        <w:spacing w:line="480" w:lineRule="auto"/>
        <w:ind w:firstLine="709"/>
        <w:jc w:val="both"/>
        <w:rPr>
          <w:rFonts w:ascii="Arial" w:eastAsia="Arial" w:hAnsi="Arial" w:cs="Arial"/>
        </w:rPr>
      </w:pPr>
    </w:p>
    <w:p w14:paraId="15315726" w14:textId="5CB6056F" w:rsidR="003F0AB7" w:rsidRDefault="0073180B">
      <w:pPr>
        <w:spacing w:line="480" w:lineRule="auto"/>
        <w:jc w:val="both"/>
        <w:rPr>
          <w:rFonts w:ascii="Arial" w:eastAsia="Arial" w:hAnsi="Arial" w:cs="Arial"/>
        </w:rPr>
      </w:pPr>
      <w:r>
        <w:rPr>
          <w:rFonts w:ascii="Arial" w:eastAsia="Arial" w:hAnsi="Arial" w:cs="Arial"/>
          <w:b/>
        </w:rPr>
        <w:t>Table 1.</w:t>
      </w:r>
      <w:r>
        <w:rPr>
          <w:rFonts w:ascii="Arial" w:eastAsia="Arial" w:hAnsi="Arial" w:cs="Arial"/>
        </w:rPr>
        <w:t xml:space="preserve"> </w:t>
      </w:r>
      <w:r>
        <w:rPr>
          <w:rFonts w:ascii="Arial" w:eastAsia="Arial" w:hAnsi="Arial" w:cs="Arial"/>
          <w:b/>
        </w:rPr>
        <w:t>Estrous cycle in the periods between days 0 to 10 and days 50 to 60 in mice from the naive group, treated with dexamethasone and without periodontitis (</w:t>
      </w:r>
      <w:proofErr w:type="spellStart"/>
      <w:r>
        <w:rPr>
          <w:rFonts w:ascii="Arial" w:eastAsia="Arial" w:hAnsi="Arial" w:cs="Arial"/>
          <w:b/>
        </w:rPr>
        <w:t>Dexa</w:t>
      </w:r>
      <w:proofErr w:type="spellEnd"/>
      <w:r>
        <w:rPr>
          <w:rFonts w:ascii="Arial" w:eastAsia="Arial" w:hAnsi="Arial" w:cs="Arial"/>
          <w:b/>
        </w:rPr>
        <w:t>), with periodontitis (</w:t>
      </w:r>
      <w:proofErr w:type="spellStart"/>
      <w:r>
        <w:rPr>
          <w:rFonts w:ascii="Arial" w:eastAsia="Arial" w:hAnsi="Arial" w:cs="Arial"/>
          <w:b/>
        </w:rPr>
        <w:t>Perio</w:t>
      </w:r>
      <w:proofErr w:type="spellEnd"/>
      <w:r>
        <w:rPr>
          <w:rFonts w:ascii="Arial" w:eastAsia="Arial" w:hAnsi="Arial" w:cs="Arial"/>
          <w:b/>
        </w:rPr>
        <w:t>), or with periodontitis and treated with dexamethasone (</w:t>
      </w:r>
      <w:proofErr w:type="spellStart"/>
      <w:r>
        <w:rPr>
          <w:rFonts w:ascii="Arial" w:eastAsia="Arial" w:hAnsi="Arial" w:cs="Arial"/>
          <w:b/>
        </w:rPr>
        <w:t>Perio</w:t>
      </w:r>
      <w:proofErr w:type="spellEnd"/>
      <w:r>
        <w:rPr>
          <w:rFonts w:ascii="Arial" w:eastAsia="Arial" w:hAnsi="Arial" w:cs="Arial"/>
          <w:b/>
        </w:rPr>
        <w:t xml:space="preserve"> + </w:t>
      </w:r>
      <w:proofErr w:type="spellStart"/>
      <w:r>
        <w:rPr>
          <w:rFonts w:ascii="Arial" w:eastAsia="Arial" w:hAnsi="Arial" w:cs="Arial"/>
          <w:b/>
        </w:rPr>
        <w:t>Dexa</w:t>
      </w:r>
      <w:proofErr w:type="spellEnd"/>
      <w:r>
        <w:rPr>
          <w:rFonts w:ascii="Arial" w:eastAsia="Arial" w:hAnsi="Arial" w:cs="Arial"/>
          <w:b/>
        </w:rPr>
        <w:t>)</w:t>
      </w:r>
      <w:r w:rsidR="0014518F">
        <w:rPr>
          <w:rFonts w:ascii="Arial" w:eastAsia="Arial" w:hAnsi="Arial" w:cs="Arial"/>
          <w:b/>
        </w:rPr>
        <w:t>.</w:t>
      </w:r>
    </w:p>
    <w:tbl>
      <w:tblPr>
        <w:tblStyle w:val="a0"/>
        <w:tblpPr w:leftFromText="180" w:rightFromText="180" w:topFromText="180" w:bottomFromText="180" w:vertAnchor="text"/>
        <w:tblW w:w="8220" w:type="dxa"/>
        <w:tblBorders>
          <w:top w:val="single" w:sz="5" w:space="0" w:color="808080"/>
          <w:left w:val="single" w:sz="5" w:space="0" w:color="808080"/>
          <w:bottom w:val="single" w:sz="5" w:space="0" w:color="808080"/>
          <w:right w:val="single" w:sz="5" w:space="0" w:color="808080"/>
          <w:insideH w:val="single" w:sz="5" w:space="0" w:color="808080"/>
          <w:insideV w:val="single" w:sz="5" w:space="0" w:color="808080"/>
        </w:tblBorders>
        <w:tblLayout w:type="fixed"/>
        <w:tblLook w:val="0600" w:firstRow="0" w:lastRow="0" w:firstColumn="0" w:lastColumn="0" w:noHBand="1" w:noVBand="1"/>
      </w:tblPr>
      <w:tblGrid>
        <w:gridCol w:w="1644"/>
        <w:gridCol w:w="1644"/>
        <w:gridCol w:w="1644"/>
        <w:gridCol w:w="1644"/>
        <w:gridCol w:w="1644"/>
      </w:tblGrid>
      <w:tr w:rsidR="003F0AB7" w14:paraId="2A9408F5" w14:textId="77777777">
        <w:trPr>
          <w:trHeight w:val="20"/>
        </w:trPr>
        <w:tc>
          <w:tcPr>
            <w:tcW w:w="1644" w:type="dxa"/>
            <w:tcBorders>
              <w:top w:val="single" w:sz="5" w:space="0" w:color="000000"/>
              <w:left w:val="nil"/>
              <w:bottom w:val="single" w:sz="5" w:space="0" w:color="000000"/>
              <w:right w:val="nil"/>
            </w:tcBorders>
            <w:tcMar>
              <w:top w:w="0" w:type="dxa"/>
              <w:left w:w="0" w:type="dxa"/>
              <w:bottom w:w="0" w:type="dxa"/>
              <w:right w:w="0" w:type="dxa"/>
            </w:tcMar>
          </w:tcPr>
          <w:p w14:paraId="20E904DA" w14:textId="77777777" w:rsidR="003F0AB7" w:rsidRDefault="0073180B" w:rsidP="0014518F">
            <w:pPr>
              <w:spacing w:line="480" w:lineRule="auto"/>
              <w:jc w:val="center"/>
              <w:rPr>
                <w:rFonts w:ascii="Arial" w:eastAsia="Arial" w:hAnsi="Arial" w:cs="Arial"/>
                <w:color w:val="0078D4"/>
              </w:rPr>
            </w:pPr>
            <w:r>
              <w:rPr>
                <w:rFonts w:ascii="Arial" w:eastAsia="Arial" w:hAnsi="Arial" w:cs="Arial"/>
                <w:b/>
              </w:rPr>
              <w:t>Estrous cycle</w:t>
            </w:r>
          </w:p>
        </w:tc>
        <w:tc>
          <w:tcPr>
            <w:tcW w:w="1644" w:type="dxa"/>
            <w:tcBorders>
              <w:top w:val="single" w:sz="5" w:space="0" w:color="000000"/>
              <w:left w:val="nil"/>
              <w:bottom w:val="single" w:sz="5" w:space="0" w:color="000000"/>
              <w:right w:val="nil"/>
            </w:tcBorders>
            <w:tcMar>
              <w:top w:w="0" w:type="dxa"/>
              <w:left w:w="0" w:type="dxa"/>
              <w:bottom w:w="0" w:type="dxa"/>
              <w:right w:w="0" w:type="dxa"/>
            </w:tcMar>
          </w:tcPr>
          <w:p w14:paraId="266BF3F1" w14:textId="4DFB5A20" w:rsidR="003F0AB7" w:rsidRDefault="0073180B" w:rsidP="0014518F">
            <w:pPr>
              <w:spacing w:line="480" w:lineRule="auto"/>
              <w:jc w:val="center"/>
              <w:rPr>
                <w:rFonts w:ascii="Arial" w:eastAsia="Arial" w:hAnsi="Arial" w:cs="Arial"/>
                <w:b/>
              </w:rPr>
            </w:pPr>
            <w:r>
              <w:rPr>
                <w:rFonts w:ascii="Arial" w:eastAsia="Arial" w:hAnsi="Arial" w:cs="Arial"/>
                <w:b/>
              </w:rPr>
              <w:t>Naive (A)</w:t>
            </w:r>
          </w:p>
        </w:tc>
        <w:tc>
          <w:tcPr>
            <w:tcW w:w="1644" w:type="dxa"/>
            <w:tcBorders>
              <w:top w:val="single" w:sz="5" w:space="0" w:color="000000"/>
              <w:left w:val="nil"/>
              <w:bottom w:val="single" w:sz="5" w:space="0" w:color="000000"/>
              <w:right w:val="nil"/>
            </w:tcBorders>
            <w:tcMar>
              <w:top w:w="0" w:type="dxa"/>
              <w:left w:w="0" w:type="dxa"/>
              <w:bottom w:w="0" w:type="dxa"/>
              <w:right w:w="0" w:type="dxa"/>
            </w:tcMar>
          </w:tcPr>
          <w:p w14:paraId="167A28BD" w14:textId="3EBD5F8F" w:rsidR="003F0AB7" w:rsidRDefault="0073180B" w:rsidP="0014518F">
            <w:pPr>
              <w:spacing w:line="480" w:lineRule="auto"/>
              <w:jc w:val="center"/>
              <w:rPr>
                <w:rFonts w:ascii="Arial" w:eastAsia="Arial" w:hAnsi="Arial" w:cs="Arial"/>
                <w:b/>
              </w:rPr>
            </w:pPr>
            <w:proofErr w:type="spellStart"/>
            <w:r>
              <w:rPr>
                <w:rFonts w:ascii="Arial" w:eastAsia="Arial" w:hAnsi="Arial" w:cs="Arial"/>
                <w:b/>
              </w:rPr>
              <w:t>Dexa</w:t>
            </w:r>
            <w:proofErr w:type="spellEnd"/>
            <w:r>
              <w:rPr>
                <w:rFonts w:ascii="Arial" w:eastAsia="Arial" w:hAnsi="Arial" w:cs="Arial"/>
                <w:b/>
              </w:rPr>
              <w:t xml:space="preserve"> (B)</w:t>
            </w:r>
          </w:p>
        </w:tc>
        <w:tc>
          <w:tcPr>
            <w:tcW w:w="1644" w:type="dxa"/>
            <w:tcBorders>
              <w:top w:val="single" w:sz="5" w:space="0" w:color="000000"/>
              <w:left w:val="nil"/>
              <w:bottom w:val="single" w:sz="5" w:space="0" w:color="000000"/>
              <w:right w:val="nil"/>
            </w:tcBorders>
            <w:tcMar>
              <w:top w:w="0" w:type="dxa"/>
              <w:left w:w="0" w:type="dxa"/>
              <w:bottom w:w="0" w:type="dxa"/>
              <w:right w:w="0" w:type="dxa"/>
            </w:tcMar>
          </w:tcPr>
          <w:p w14:paraId="67799960" w14:textId="7C8EC07F" w:rsidR="003F0AB7" w:rsidRDefault="0073180B" w:rsidP="0014518F">
            <w:pPr>
              <w:spacing w:line="480" w:lineRule="auto"/>
              <w:jc w:val="center"/>
              <w:rPr>
                <w:rFonts w:ascii="Arial" w:eastAsia="Arial" w:hAnsi="Arial" w:cs="Arial"/>
                <w:b/>
              </w:rPr>
            </w:pPr>
            <w:proofErr w:type="spellStart"/>
            <w:r>
              <w:rPr>
                <w:rFonts w:ascii="Arial" w:eastAsia="Arial" w:hAnsi="Arial" w:cs="Arial"/>
                <w:b/>
              </w:rPr>
              <w:t>Perio</w:t>
            </w:r>
            <w:proofErr w:type="spellEnd"/>
            <w:r>
              <w:rPr>
                <w:rFonts w:ascii="Arial" w:eastAsia="Arial" w:hAnsi="Arial" w:cs="Arial"/>
                <w:b/>
              </w:rPr>
              <w:t xml:space="preserve"> (C)</w:t>
            </w:r>
          </w:p>
        </w:tc>
        <w:tc>
          <w:tcPr>
            <w:tcW w:w="1644" w:type="dxa"/>
            <w:tcBorders>
              <w:top w:val="single" w:sz="5" w:space="0" w:color="000000"/>
              <w:left w:val="nil"/>
              <w:bottom w:val="single" w:sz="5" w:space="0" w:color="000000"/>
              <w:right w:val="nil"/>
            </w:tcBorders>
            <w:tcMar>
              <w:top w:w="0" w:type="dxa"/>
              <w:left w:w="0" w:type="dxa"/>
              <w:bottom w:w="0" w:type="dxa"/>
              <w:right w:w="0" w:type="dxa"/>
            </w:tcMar>
          </w:tcPr>
          <w:p w14:paraId="3EFDD2FD" w14:textId="77777777" w:rsidR="003F0AB7" w:rsidRDefault="0073180B" w:rsidP="0014518F">
            <w:pPr>
              <w:spacing w:line="480" w:lineRule="auto"/>
              <w:jc w:val="center"/>
              <w:rPr>
                <w:rFonts w:ascii="Arial" w:eastAsia="Arial" w:hAnsi="Arial" w:cs="Arial"/>
                <w:b/>
              </w:rPr>
            </w:pPr>
            <w:proofErr w:type="spellStart"/>
            <w:r>
              <w:rPr>
                <w:rFonts w:ascii="Arial" w:eastAsia="Arial" w:hAnsi="Arial" w:cs="Arial"/>
                <w:b/>
              </w:rPr>
              <w:t>Perio</w:t>
            </w:r>
            <w:proofErr w:type="spellEnd"/>
            <w:r>
              <w:rPr>
                <w:rFonts w:ascii="Arial" w:eastAsia="Arial" w:hAnsi="Arial" w:cs="Arial"/>
                <w:b/>
              </w:rPr>
              <w:t xml:space="preserve"> + </w:t>
            </w:r>
            <w:proofErr w:type="spellStart"/>
            <w:r>
              <w:rPr>
                <w:rFonts w:ascii="Arial" w:eastAsia="Arial" w:hAnsi="Arial" w:cs="Arial"/>
                <w:b/>
              </w:rPr>
              <w:t>Dexa</w:t>
            </w:r>
            <w:proofErr w:type="spellEnd"/>
            <w:r>
              <w:rPr>
                <w:rFonts w:ascii="Arial" w:eastAsia="Arial" w:hAnsi="Arial" w:cs="Arial"/>
                <w:b/>
              </w:rPr>
              <w:t xml:space="preserve"> (D)</w:t>
            </w:r>
          </w:p>
        </w:tc>
      </w:tr>
      <w:tr w:rsidR="003F0AB7" w14:paraId="0276CE69" w14:textId="77777777">
        <w:trPr>
          <w:trHeight w:val="20"/>
        </w:trPr>
        <w:tc>
          <w:tcPr>
            <w:tcW w:w="1644" w:type="dxa"/>
            <w:tcBorders>
              <w:top w:val="single" w:sz="5" w:space="0" w:color="000000"/>
              <w:left w:val="nil"/>
              <w:bottom w:val="nil"/>
              <w:right w:val="nil"/>
            </w:tcBorders>
            <w:tcMar>
              <w:top w:w="0" w:type="dxa"/>
              <w:left w:w="0" w:type="dxa"/>
              <w:bottom w:w="0" w:type="dxa"/>
              <w:right w:w="0" w:type="dxa"/>
            </w:tcMar>
          </w:tcPr>
          <w:p w14:paraId="0C2858B4" w14:textId="77777777" w:rsidR="003F0AB7" w:rsidRDefault="0073180B">
            <w:pPr>
              <w:spacing w:line="480" w:lineRule="auto"/>
              <w:rPr>
                <w:rFonts w:ascii="Arial" w:eastAsia="Arial" w:hAnsi="Arial" w:cs="Arial"/>
              </w:rPr>
            </w:pPr>
            <w:r>
              <w:rPr>
                <w:rFonts w:ascii="Arial" w:eastAsia="Arial" w:hAnsi="Arial" w:cs="Arial"/>
                <w:b/>
              </w:rPr>
              <w:t>Day 0 to day 10</w:t>
            </w:r>
            <w:r>
              <w:rPr>
                <w:rFonts w:ascii="Arial" w:eastAsia="Arial" w:hAnsi="Arial" w:cs="Arial"/>
              </w:rPr>
              <w:t xml:space="preserve"> </w:t>
            </w:r>
          </w:p>
        </w:tc>
        <w:tc>
          <w:tcPr>
            <w:tcW w:w="1644" w:type="dxa"/>
            <w:tcBorders>
              <w:top w:val="single" w:sz="5" w:space="0" w:color="000000"/>
              <w:left w:val="nil"/>
              <w:bottom w:val="nil"/>
              <w:right w:val="nil"/>
            </w:tcBorders>
            <w:tcMar>
              <w:top w:w="0" w:type="dxa"/>
              <w:left w:w="0" w:type="dxa"/>
              <w:bottom w:w="0" w:type="dxa"/>
              <w:right w:w="0" w:type="dxa"/>
            </w:tcMar>
          </w:tcPr>
          <w:p w14:paraId="02DF9FA0" w14:textId="77777777" w:rsidR="003F0AB7" w:rsidRDefault="0073180B">
            <w:pPr>
              <w:spacing w:line="480" w:lineRule="auto"/>
              <w:rPr>
                <w:rFonts w:ascii="Arial" w:eastAsia="Arial" w:hAnsi="Arial" w:cs="Arial"/>
              </w:rPr>
            </w:pPr>
            <w:r>
              <w:rPr>
                <w:rFonts w:ascii="Arial" w:eastAsia="Arial" w:hAnsi="Arial" w:cs="Arial"/>
              </w:rPr>
              <w:t xml:space="preserve"> </w:t>
            </w:r>
          </w:p>
        </w:tc>
        <w:tc>
          <w:tcPr>
            <w:tcW w:w="1644" w:type="dxa"/>
            <w:tcBorders>
              <w:top w:val="single" w:sz="5" w:space="0" w:color="000000"/>
              <w:left w:val="nil"/>
              <w:bottom w:val="nil"/>
              <w:right w:val="nil"/>
            </w:tcBorders>
            <w:tcMar>
              <w:top w:w="0" w:type="dxa"/>
              <w:left w:w="0" w:type="dxa"/>
              <w:bottom w:w="0" w:type="dxa"/>
              <w:right w:w="0" w:type="dxa"/>
            </w:tcMar>
          </w:tcPr>
          <w:p w14:paraId="57FB735F" w14:textId="77777777" w:rsidR="003F0AB7" w:rsidRDefault="0073180B">
            <w:pPr>
              <w:spacing w:line="480" w:lineRule="auto"/>
              <w:rPr>
                <w:rFonts w:ascii="Arial" w:eastAsia="Arial" w:hAnsi="Arial" w:cs="Arial"/>
              </w:rPr>
            </w:pPr>
            <w:r>
              <w:rPr>
                <w:rFonts w:ascii="Arial" w:eastAsia="Arial" w:hAnsi="Arial" w:cs="Arial"/>
              </w:rPr>
              <w:t xml:space="preserve"> </w:t>
            </w:r>
          </w:p>
        </w:tc>
        <w:tc>
          <w:tcPr>
            <w:tcW w:w="1644" w:type="dxa"/>
            <w:tcBorders>
              <w:top w:val="single" w:sz="5" w:space="0" w:color="000000"/>
              <w:left w:val="nil"/>
              <w:bottom w:val="nil"/>
              <w:right w:val="nil"/>
            </w:tcBorders>
            <w:tcMar>
              <w:top w:w="0" w:type="dxa"/>
              <w:left w:w="0" w:type="dxa"/>
              <w:bottom w:w="0" w:type="dxa"/>
              <w:right w:w="0" w:type="dxa"/>
            </w:tcMar>
          </w:tcPr>
          <w:p w14:paraId="6485F0D5" w14:textId="77777777" w:rsidR="003F0AB7" w:rsidRDefault="0073180B">
            <w:pPr>
              <w:spacing w:line="480" w:lineRule="auto"/>
              <w:rPr>
                <w:rFonts w:ascii="Arial" w:eastAsia="Arial" w:hAnsi="Arial" w:cs="Arial"/>
              </w:rPr>
            </w:pPr>
            <w:r>
              <w:rPr>
                <w:rFonts w:ascii="Arial" w:eastAsia="Arial" w:hAnsi="Arial" w:cs="Arial"/>
              </w:rPr>
              <w:t xml:space="preserve"> </w:t>
            </w:r>
          </w:p>
        </w:tc>
        <w:tc>
          <w:tcPr>
            <w:tcW w:w="1644" w:type="dxa"/>
            <w:tcBorders>
              <w:top w:val="single" w:sz="5" w:space="0" w:color="000000"/>
              <w:left w:val="nil"/>
              <w:bottom w:val="nil"/>
              <w:right w:val="nil"/>
            </w:tcBorders>
            <w:tcMar>
              <w:top w:w="0" w:type="dxa"/>
              <w:left w:w="0" w:type="dxa"/>
              <w:bottom w:w="0" w:type="dxa"/>
              <w:right w:w="0" w:type="dxa"/>
            </w:tcMar>
          </w:tcPr>
          <w:p w14:paraId="01750CC0" w14:textId="77777777" w:rsidR="003F0AB7" w:rsidRDefault="0073180B">
            <w:pPr>
              <w:spacing w:line="480" w:lineRule="auto"/>
              <w:rPr>
                <w:rFonts w:ascii="Arial" w:eastAsia="Arial" w:hAnsi="Arial" w:cs="Arial"/>
              </w:rPr>
            </w:pPr>
            <w:r>
              <w:rPr>
                <w:rFonts w:ascii="Arial" w:eastAsia="Arial" w:hAnsi="Arial" w:cs="Arial"/>
              </w:rPr>
              <w:t xml:space="preserve"> </w:t>
            </w:r>
          </w:p>
        </w:tc>
      </w:tr>
      <w:tr w:rsidR="003F0AB7" w14:paraId="3A5BA1B5" w14:textId="77777777">
        <w:trPr>
          <w:trHeight w:val="20"/>
        </w:trPr>
        <w:tc>
          <w:tcPr>
            <w:tcW w:w="1644" w:type="dxa"/>
            <w:tcBorders>
              <w:top w:val="nil"/>
              <w:left w:val="nil"/>
              <w:bottom w:val="nil"/>
              <w:right w:val="nil"/>
            </w:tcBorders>
            <w:tcMar>
              <w:top w:w="0" w:type="dxa"/>
              <w:left w:w="0" w:type="dxa"/>
              <w:bottom w:w="0" w:type="dxa"/>
              <w:right w:w="0" w:type="dxa"/>
            </w:tcMar>
          </w:tcPr>
          <w:p w14:paraId="22D94F84" w14:textId="77777777" w:rsidR="003F0AB7" w:rsidRDefault="0073180B">
            <w:pPr>
              <w:spacing w:line="480" w:lineRule="auto"/>
              <w:rPr>
                <w:rFonts w:ascii="Arial" w:eastAsia="Arial" w:hAnsi="Arial" w:cs="Arial"/>
              </w:rPr>
            </w:pPr>
            <w:r>
              <w:rPr>
                <w:rFonts w:ascii="Arial" w:eastAsia="Arial" w:hAnsi="Arial" w:cs="Arial"/>
              </w:rPr>
              <w:t xml:space="preserve">Normal </w:t>
            </w:r>
          </w:p>
        </w:tc>
        <w:tc>
          <w:tcPr>
            <w:tcW w:w="1644" w:type="dxa"/>
            <w:tcBorders>
              <w:top w:val="nil"/>
              <w:left w:val="nil"/>
              <w:bottom w:val="nil"/>
              <w:right w:val="nil"/>
            </w:tcBorders>
            <w:tcMar>
              <w:top w:w="0" w:type="dxa"/>
              <w:left w:w="0" w:type="dxa"/>
              <w:bottom w:w="0" w:type="dxa"/>
              <w:right w:w="0" w:type="dxa"/>
            </w:tcMar>
          </w:tcPr>
          <w:p w14:paraId="05CC30DE" w14:textId="77777777" w:rsidR="003F0AB7" w:rsidRDefault="0073180B">
            <w:pPr>
              <w:spacing w:line="480" w:lineRule="auto"/>
              <w:rPr>
                <w:rFonts w:ascii="Arial" w:eastAsia="Arial" w:hAnsi="Arial" w:cs="Arial"/>
              </w:rPr>
            </w:pPr>
            <w:r>
              <w:rPr>
                <w:rFonts w:ascii="Arial" w:eastAsia="Arial" w:hAnsi="Arial" w:cs="Arial"/>
              </w:rPr>
              <w:t xml:space="preserve"> 75.0% (6/8)</w:t>
            </w:r>
            <w:r>
              <w:rPr>
                <w:rFonts w:ascii="Arial" w:eastAsia="Arial" w:hAnsi="Arial" w:cs="Arial"/>
                <w:b/>
                <w:vertAlign w:val="superscript"/>
              </w:rPr>
              <w:t>a</w:t>
            </w:r>
            <w:r>
              <w:rPr>
                <w:rFonts w:ascii="Arial" w:eastAsia="Arial" w:hAnsi="Arial" w:cs="Arial"/>
              </w:rPr>
              <w:t xml:space="preserve">  </w:t>
            </w:r>
          </w:p>
        </w:tc>
        <w:tc>
          <w:tcPr>
            <w:tcW w:w="1644" w:type="dxa"/>
            <w:tcBorders>
              <w:top w:val="nil"/>
              <w:left w:val="nil"/>
              <w:bottom w:val="nil"/>
              <w:right w:val="nil"/>
            </w:tcBorders>
            <w:tcMar>
              <w:top w:w="0" w:type="dxa"/>
              <w:left w:w="0" w:type="dxa"/>
              <w:bottom w:w="0" w:type="dxa"/>
              <w:right w:w="0" w:type="dxa"/>
            </w:tcMar>
          </w:tcPr>
          <w:p w14:paraId="057B586E" w14:textId="77777777" w:rsidR="003F0AB7" w:rsidRDefault="0073180B">
            <w:pPr>
              <w:spacing w:line="480" w:lineRule="auto"/>
              <w:rPr>
                <w:rFonts w:ascii="Arial" w:eastAsia="Arial" w:hAnsi="Arial" w:cs="Arial"/>
                <w:color w:val="D13438"/>
              </w:rPr>
            </w:pPr>
            <w:r>
              <w:rPr>
                <w:rFonts w:ascii="Arial" w:eastAsia="Arial" w:hAnsi="Arial" w:cs="Arial"/>
              </w:rPr>
              <w:t>25.0% (2/8)</w:t>
            </w:r>
            <w:r>
              <w:rPr>
                <w:rFonts w:ascii="Arial" w:eastAsia="Arial" w:hAnsi="Arial" w:cs="Arial"/>
                <w:b/>
                <w:vertAlign w:val="superscript"/>
              </w:rPr>
              <w:t>a</w:t>
            </w:r>
          </w:p>
        </w:tc>
        <w:tc>
          <w:tcPr>
            <w:tcW w:w="1644" w:type="dxa"/>
            <w:tcBorders>
              <w:top w:val="nil"/>
              <w:left w:val="nil"/>
              <w:bottom w:val="nil"/>
              <w:right w:val="nil"/>
            </w:tcBorders>
            <w:tcMar>
              <w:top w:w="0" w:type="dxa"/>
              <w:left w:w="0" w:type="dxa"/>
              <w:bottom w:w="0" w:type="dxa"/>
              <w:right w:w="0" w:type="dxa"/>
            </w:tcMar>
          </w:tcPr>
          <w:p w14:paraId="67FC3063" w14:textId="77777777" w:rsidR="003F0AB7" w:rsidRDefault="0073180B">
            <w:pPr>
              <w:spacing w:line="480" w:lineRule="auto"/>
              <w:rPr>
                <w:rFonts w:ascii="Arial" w:eastAsia="Arial" w:hAnsi="Arial" w:cs="Arial"/>
                <w:b/>
                <w:color w:val="D13438"/>
              </w:rPr>
            </w:pPr>
            <w:r>
              <w:rPr>
                <w:rFonts w:ascii="Arial" w:eastAsia="Arial" w:hAnsi="Arial" w:cs="Arial"/>
              </w:rPr>
              <w:t>71.42% (5/7)</w:t>
            </w:r>
            <w:r>
              <w:rPr>
                <w:rFonts w:ascii="Arial" w:eastAsia="Arial" w:hAnsi="Arial" w:cs="Arial"/>
                <w:b/>
                <w:vertAlign w:val="superscript"/>
              </w:rPr>
              <w:t>a</w:t>
            </w:r>
            <w:r>
              <w:rPr>
                <w:rFonts w:ascii="Arial" w:eastAsia="Arial" w:hAnsi="Arial" w:cs="Arial"/>
                <w:b/>
                <w:color w:val="D13438"/>
              </w:rPr>
              <w:t xml:space="preserve">  </w:t>
            </w:r>
          </w:p>
        </w:tc>
        <w:tc>
          <w:tcPr>
            <w:tcW w:w="1644" w:type="dxa"/>
            <w:tcBorders>
              <w:top w:val="nil"/>
              <w:left w:val="nil"/>
              <w:bottom w:val="nil"/>
              <w:right w:val="nil"/>
            </w:tcBorders>
            <w:tcMar>
              <w:top w:w="0" w:type="dxa"/>
              <w:left w:w="0" w:type="dxa"/>
              <w:bottom w:w="0" w:type="dxa"/>
              <w:right w:w="0" w:type="dxa"/>
            </w:tcMar>
          </w:tcPr>
          <w:p w14:paraId="50D945E7" w14:textId="77777777" w:rsidR="003F0AB7" w:rsidRDefault="0073180B">
            <w:pPr>
              <w:spacing w:line="480" w:lineRule="auto"/>
              <w:rPr>
                <w:rFonts w:ascii="Arial" w:eastAsia="Arial" w:hAnsi="Arial" w:cs="Arial"/>
                <w:b/>
                <w:color w:val="D13438"/>
              </w:rPr>
            </w:pPr>
            <w:r>
              <w:rPr>
                <w:rFonts w:ascii="Arial" w:eastAsia="Arial" w:hAnsi="Arial" w:cs="Arial"/>
              </w:rPr>
              <w:t xml:space="preserve">     25.0% (2/8)</w:t>
            </w:r>
            <w:r>
              <w:rPr>
                <w:rFonts w:ascii="Arial" w:eastAsia="Arial" w:hAnsi="Arial" w:cs="Arial"/>
                <w:b/>
                <w:vertAlign w:val="superscript"/>
              </w:rPr>
              <w:t>a</w:t>
            </w:r>
          </w:p>
        </w:tc>
      </w:tr>
      <w:tr w:rsidR="003F0AB7" w14:paraId="6AEF6083" w14:textId="77777777">
        <w:trPr>
          <w:trHeight w:val="20"/>
        </w:trPr>
        <w:tc>
          <w:tcPr>
            <w:tcW w:w="1644" w:type="dxa"/>
            <w:tcBorders>
              <w:top w:val="nil"/>
              <w:left w:val="nil"/>
              <w:bottom w:val="nil"/>
              <w:right w:val="nil"/>
            </w:tcBorders>
            <w:tcMar>
              <w:top w:w="0" w:type="dxa"/>
              <w:left w:w="0" w:type="dxa"/>
              <w:bottom w:w="0" w:type="dxa"/>
              <w:right w:w="0" w:type="dxa"/>
            </w:tcMar>
          </w:tcPr>
          <w:p w14:paraId="68578115" w14:textId="77777777" w:rsidR="003F0AB7" w:rsidRDefault="0073180B">
            <w:pPr>
              <w:spacing w:line="480" w:lineRule="auto"/>
              <w:rPr>
                <w:rFonts w:ascii="Arial" w:eastAsia="Arial" w:hAnsi="Arial" w:cs="Arial"/>
              </w:rPr>
            </w:pPr>
            <w:r>
              <w:rPr>
                <w:rFonts w:ascii="Arial" w:eastAsia="Arial" w:hAnsi="Arial" w:cs="Arial"/>
              </w:rPr>
              <w:t xml:space="preserve">Deregulated  </w:t>
            </w:r>
          </w:p>
        </w:tc>
        <w:tc>
          <w:tcPr>
            <w:tcW w:w="1644" w:type="dxa"/>
            <w:tcBorders>
              <w:top w:val="nil"/>
              <w:left w:val="nil"/>
              <w:bottom w:val="nil"/>
              <w:right w:val="nil"/>
            </w:tcBorders>
            <w:tcMar>
              <w:top w:w="0" w:type="dxa"/>
              <w:left w:w="0" w:type="dxa"/>
              <w:bottom w:w="0" w:type="dxa"/>
              <w:right w:w="0" w:type="dxa"/>
            </w:tcMar>
          </w:tcPr>
          <w:p w14:paraId="7FFFE4C8" w14:textId="77777777" w:rsidR="003F0AB7" w:rsidRDefault="0073180B">
            <w:pPr>
              <w:spacing w:line="480" w:lineRule="auto"/>
              <w:rPr>
                <w:rFonts w:ascii="Arial" w:eastAsia="Arial" w:hAnsi="Arial" w:cs="Arial"/>
              </w:rPr>
            </w:pPr>
            <w:r>
              <w:rPr>
                <w:rFonts w:ascii="Arial" w:eastAsia="Arial" w:hAnsi="Arial" w:cs="Arial"/>
              </w:rPr>
              <w:t xml:space="preserve"> 25.0% (2/8)</w:t>
            </w:r>
            <w:r>
              <w:rPr>
                <w:rFonts w:ascii="Arial" w:eastAsia="Arial" w:hAnsi="Arial" w:cs="Arial"/>
                <w:b/>
                <w:vertAlign w:val="superscript"/>
              </w:rPr>
              <w:t>a</w:t>
            </w:r>
            <w:r>
              <w:rPr>
                <w:rFonts w:ascii="Arial" w:eastAsia="Arial" w:hAnsi="Arial" w:cs="Arial"/>
              </w:rPr>
              <w:t xml:space="preserve"> </w:t>
            </w:r>
          </w:p>
        </w:tc>
        <w:tc>
          <w:tcPr>
            <w:tcW w:w="1644" w:type="dxa"/>
            <w:tcBorders>
              <w:top w:val="nil"/>
              <w:left w:val="nil"/>
              <w:bottom w:val="nil"/>
              <w:right w:val="nil"/>
            </w:tcBorders>
            <w:tcMar>
              <w:top w:w="0" w:type="dxa"/>
              <w:left w:w="0" w:type="dxa"/>
              <w:bottom w:w="0" w:type="dxa"/>
              <w:right w:w="0" w:type="dxa"/>
            </w:tcMar>
          </w:tcPr>
          <w:p w14:paraId="16F8CAEA" w14:textId="77777777" w:rsidR="003F0AB7" w:rsidRDefault="0073180B">
            <w:pPr>
              <w:spacing w:line="480" w:lineRule="auto"/>
              <w:rPr>
                <w:rFonts w:ascii="Arial" w:eastAsia="Arial" w:hAnsi="Arial" w:cs="Arial"/>
              </w:rPr>
            </w:pPr>
            <w:r>
              <w:rPr>
                <w:rFonts w:ascii="Arial" w:eastAsia="Arial" w:hAnsi="Arial" w:cs="Arial"/>
              </w:rPr>
              <w:t>75.0% (6/8)</w:t>
            </w:r>
            <w:r>
              <w:rPr>
                <w:rFonts w:ascii="Arial" w:eastAsia="Arial" w:hAnsi="Arial" w:cs="Arial"/>
                <w:b/>
                <w:vertAlign w:val="superscript"/>
              </w:rPr>
              <w:t>a</w:t>
            </w:r>
          </w:p>
        </w:tc>
        <w:tc>
          <w:tcPr>
            <w:tcW w:w="1644" w:type="dxa"/>
            <w:tcBorders>
              <w:top w:val="nil"/>
              <w:left w:val="nil"/>
              <w:bottom w:val="nil"/>
              <w:right w:val="nil"/>
            </w:tcBorders>
            <w:tcMar>
              <w:top w:w="0" w:type="dxa"/>
              <w:left w:w="0" w:type="dxa"/>
              <w:bottom w:w="0" w:type="dxa"/>
              <w:right w:w="0" w:type="dxa"/>
            </w:tcMar>
          </w:tcPr>
          <w:p w14:paraId="618D2908" w14:textId="77777777" w:rsidR="003F0AB7" w:rsidRDefault="0073180B">
            <w:pPr>
              <w:spacing w:line="480" w:lineRule="auto"/>
              <w:rPr>
                <w:rFonts w:ascii="Arial" w:eastAsia="Arial" w:hAnsi="Arial" w:cs="Arial"/>
              </w:rPr>
            </w:pPr>
            <w:r>
              <w:rPr>
                <w:rFonts w:ascii="Arial" w:eastAsia="Arial" w:hAnsi="Arial" w:cs="Arial"/>
              </w:rPr>
              <w:t>28.58% (2/7)</w:t>
            </w:r>
            <w:r>
              <w:rPr>
                <w:rFonts w:ascii="Arial" w:eastAsia="Arial" w:hAnsi="Arial" w:cs="Arial"/>
                <w:b/>
                <w:vertAlign w:val="superscript"/>
              </w:rPr>
              <w:t>a</w:t>
            </w:r>
            <w:r>
              <w:rPr>
                <w:rFonts w:ascii="Arial" w:eastAsia="Arial" w:hAnsi="Arial" w:cs="Arial"/>
              </w:rPr>
              <w:t xml:space="preserve">  </w:t>
            </w:r>
          </w:p>
        </w:tc>
        <w:tc>
          <w:tcPr>
            <w:tcW w:w="1644" w:type="dxa"/>
            <w:tcBorders>
              <w:top w:val="nil"/>
              <w:left w:val="nil"/>
              <w:bottom w:val="nil"/>
              <w:right w:val="nil"/>
            </w:tcBorders>
            <w:tcMar>
              <w:top w:w="0" w:type="dxa"/>
              <w:left w:w="0" w:type="dxa"/>
              <w:bottom w:w="0" w:type="dxa"/>
              <w:right w:w="0" w:type="dxa"/>
            </w:tcMar>
          </w:tcPr>
          <w:p w14:paraId="7F6BF051" w14:textId="77777777" w:rsidR="003F0AB7" w:rsidRDefault="0073180B">
            <w:pPr>
              <w:spacing w:line="480" w:lineRule="auto"/>
              <w:rPr>
                <w:rFonts w:ascii="Arial" w:eastAsia="Arial" w:hAnsi="Arial" w:cs="Arial"/>
              </w:rPr>
            </w:pPr>
            <w:r>
              <w:rPr>
                <w:rFonts w:ascii="Arial" w:eastAsia="Arial" w:hAnsi="Arial" w:cs="Arial"/>
              </w:rPr>
              <w:t xml:space="preserve">     75.0% (6/8)</w:t>
            </w:r>
            <w:r>
              <w:rPr>
                <w:rFonts w:ascii="Arial" w:eastAsia="Arial" w:hAnsi="Arial" w:cs="Arial"/>
                <w:b/>
                <w:vertAlign w:val="superscript"/>
              </w:rPr>
              <w:t>a</w:t>
            </w:r>
            <w:r>
              <w:rPr>
                <w:rFonts w:ascii="Arial" w:eastAsia="Arial" w:hAnsi="Arial" w:cs="Arial"/>
              </w:rPr>
              <w:t xml:space="preserve">  </w:t>
            </w:r>
          </w:p>
        </w:tc>
      </w:tr>
      <w:tr w:rsidR="003F0AB7" w14:paraId="540E8816" w14:textId="77777777">
        <w:trPr>
          <w:trHeight w:val="20"/>
        </w:trPr>
        <w:tc>
          <w:tcPr>
            <w:tcW w:w="1644" w:type="dxa"/>
            <w:tcBorders>
              <w:top w:val="nil"/>
              <w:left w:val="nil"/>
              <w:bottom w:val="nil"/>
              <w:right w:val="nil"/>
            </w:tcBorders>
            <w:tcMar>
              <w:top w:w="0" w:type="dxa"/>
              <w:left w:w="0" w:type="dxa"/>
              <w:bottom w:w="0" w:type="dxa"/>
              <w:right w:w="0" w:type="dxa"/>
            </w:tcMar>
          </w:tcPr>
          <w:p w14:paraId="7C5682FD" w14:textId="77777777" w:rsidR="003F0AB7" w:rsidRDefault="0073180B">
            <w:pPr>
              <w:spacing w:line="480" w:lineRule="auto"/>
              <w:rPr>
                <w:rFonts w:ascii="Arial" w:eastAsia="Arial" w:hAnsi="Arial" w:cs="Arial"/>
                <w:color w:val="0078D4"/>
              </w:rPr>
            </w:pPr>
            <w:r>
              <w:rPr>
                <w:rFonts w:ascii="Arial" w:eastAsia="Arial" w:hAnsi="Arial" w:cs="Arial"/>
                <w:b/>
              </w:rPr>
              <w:t>Day 50 to day 60</w:t>
            </w:r>
            <w:r>
              <w:rPr>
                <w:rFonts w:ascii="Arial" w:eastAsia="Arial" w:hAnsi="Arial" w:cs="Arial"/>
                <w:color w:val="0078D4"/>
              </w:rPr>
              <w:t xml:space="preserve"> </w:t>
            </w:r>
          </w:p>
        </w:tc>
        <w:tc>
          <w:tcPr>
            <w:tcW w:w="1644" w:type="dxa"/>
            <w:tcBorders>
              <w:top w:val="nil"/>
              <w:left w:val="nil"/>
              <w:bottom w:val="nil"/>
              <w:right w:val="nil"/>
            </w:tcBorders>
            <w:tcMar>
              <w:top w:w="0" w:type="dxa"/>
              <w:left w:w="0" w:type="dxa"/>
              <w:bottom w:w="0" w:type="dxa"/>
              <w:right w:w="0" w:type="dxa"/>
            </w:tcMar>
          </w:tcPr>
          <w:p w14:paraId="1DEC186D" w14:textId="77777777" w:rsidR="003F0AB7" w:rsidRDefault="0073180B">
            <w:pPr>
              <w:spacing w:line="480" w:lineRule="auto"/>
              <w:rPr>
                <w:rFonts w:ascii="Arial" w:eastAsia="Arial" w:hAnsi="Arial" w:cs="Arial"/>
              </w:rPr>
            </w:pPr>
            <w:r>
              <w:rPr>
                <w:rFonts w:ascii="Arial" w:eastAsia="Arial" w:hAnsi="Arial" w:cs="Arial"/>
              </w:rPr>
              <w:t xml:space="preserve"> </w:t>
            </w:r>
          </w:p>
        </w:tc>
        <w:tc>
          <w:tcPr>
            <w:tcW w:w="1644" w:type="dxa"/>
            <w:tcBorders>
              <w:top w:val="nil"/>
              <w:left w:val="nil"/>
              <w:bottom w:val="nil"/>
              <w:right w:val="nil"/>
            </w:tcBorders>
            <w:tcMar>
              <w:top w:w="0" w:type="dxa"/>
              <w:left w:w="0" w:type="dxa"/>
              <w:bottom w:w="0" w:type="dxa"/>
              <w:right w:w="0" w:type="dxa"/>
            </w:tcMar>
          </w:tcPr>
          <w:p w14:paraId="0571D276" w14:textId="77777777" w:rsidR="003F0AB7" w:rsidRDefault="0073180B">
            <w:pPr>
              <w:spacing w:line="480" w:lineRule="auto"/>
              <w:rPr>
                <w:rFonts w:ascii="Arial" w:eastAsia="Arial" w:hAnsi="Arial" w:cs="Arial"/>
              </w:rPr>
            </w:pPr>
            <w:r>
              <w:rPr>
                <w:rFonts w:ascii="Arial" w:eastAsia="Arial" w:hAnsi="Arial" w:cs="Arial"/>
              </w:rPr>
              <w:t xml:space="preserve"> </w:t>
            </w:r>
          </w:p>
        </w:tc>
        <w:tc>
          <w:tcPr>
            <w:tcW w:w="1644" w:type="dxa"/>
            <w:tcBorders>
              <w:top w:val="nil"/>
              <w:left w:val="nil"/>
              <w:bottom w:val="nil"/>
              <w:right w:val="nil"/>
            </w:tcBorders>
            <w:tcMar>
              <w:top w:w="0" w:type="dxa"/>
              <w:left w:w="0" w:type="dxa"/>
              <w:bottom w:w="0" w:type="dxa"/>
              <w:right w:w="0" w:type="dxa"/>
            </w:tcMar>
          </w:tcPr>
          <w:p w14:paraId="7AA3A991" w14:textId="77777777" w:rsidR="003F0AB7" w:rsidRDefault="0073180B">
            <w:pPr>
              <w:spacing w:line="480" w:lineRule="auto"/>
              <w:rPr>
                <w:rFonts w:ascii="Arial" w:eastAsia="Arial" w:hAnsi="Arial" w:cs="Arial"/>
              </w:rPr>
            </w:pPr>
            <w:r>
              <w:rPr>
                <w:rFonts w:ascii="Arial" w:eastAsia="Arial" w:hAnsi="Arial" w:cs="Arial"/>
              </w:rPr>
              <w:t xml:space="preserve"> </w:t>
            </w:r>
          </w:p>
        </w:tc>
        <w:tc>
          <w:tcPr>
            <w:tcW w:w="1644" w:type="dxa"/>
            <w:tcBorders>
              <w:top w:val="nil"/>
              <w:left w:val="nil"/>
              <w:bottom w:val="nil"/>
              <w:right w:val="nil"/>
            </w:tcBorders>
            <w:tcMar>
              <w:top w:w="0" w:type="dxa"/>
              <w:left w:w="0" w:type="dxa"/>
              <w:bottom w:w="0" w:type="dxa"/>
              <w:right w:w="0" w:type="dxa"/>
            </w:tcMar>
          </w:tcPr>
          <w:p w14:paraId="73AD226C" w14:textId="77777777" w:rsidR="003F0AB7" w:rsidRDefault="0073180B">
            <w:pPr>
              <w:spacing w:line="480" w:lineRule="auto"/>
              <w:rPr>
                <w:rFonts w:ascii="Arial" w:eastAsia="Arial" w:hAnsi="Arial" w:cs="Arial"/>
              </w:rPr>
            </w:pPr>
            <w:r>
              <w:rPr>
                <w:rFonts w:ascii="Arial" w:eastAsia="Arial" w:hAnsi="Arial" w:cs="Arial"/>
              </w:rPr>
              <w:t xml:space="preserve"> </w:t>
            </w:r>
          </w:p>
        </w:tc>
      </w:tr>
      <w:tr w:rsidR="003F0AB7" w14:paraId="1E14EE2F" w14:textId="77777777">
        <w:trPr>
          <w:trHeight w:val="20"/>
        </w:trPr>
        <w:tc>
          <w:tcPr>
            <w:tcW w:w="1644" w:type="dxa"/>
            <w:tcBorders>
              <w:top w:val="nil"/>
              <w:left w:val="nil"/>
              <w:bottom w:val="single" w:sz="4" w:space="0" w:color="000000"/>
              <w:right w:val="nil"/>
            </w:tcBorders>
            <w:tcMar>
              <w:top w:w="0" w:type="dxa"/>
              <w:left w:w="0" w:type="dxa"/>
              <w:bottom w:w="0" w:type="dxa"/>
              <w:right w:w="0" w:type="dxa"/>
            </w:tcMar>
          </w:tcPr>
          <w:p w14:paraId="4C87A1C3" w14:textId="77777777" w:rsidR="003F0AB7" w:rsidRDefault="0073180B">
            <w:pPr>
              <w:spacing w:line="480" w:lineRule="auto"/>
              <w:rPr>
                <w:rFonts w:ascii="Arial" w:eastAsia="Arial" w:hAnsi="Arial" w:cs="Arial"/>
              </w:rPr>
            </w:pPr>
            <w:r>
              <w:rPr>
                <w:rFonts w:ascii="Arial" w:eastAsia="Arial" w:hAnsi="Arial" w:cs="Arial"/>
              </w:rPr>
              <w:t>Normal</w:t>
            </w:r>
          </w:p>
          <w:p w14:paraId="0A5593A7" w14:textId="77777777" w:rsidR="003F0AB7" w:rsidRDefault="0073180B">
            <w:pPr>
              <w:spacing w:line="480" w:lineRule="auto"/>
              <w:rPr>
                <w:rFonts w:ascii="Arial" w:eastAsia="Arial" w:hAnsi="Arial" w:cs="Arial"/>
                <w:color w:val="D13438"/>
              </w:rPr>
            </w:pPr>
            <w:r>
              <w:rPr>
                <w:rFonts w:ascii="Arial" w:eastAsia="Arial" w:hAnsi="Arial" w:cs="Arial"/>
              </w:rPr>
              <w:t>Deregulated</w:t>
            </w:r>
          </w:p>
        </w:tc>
        <w:tc>
          <w:tcPr>
            <w:tcW w:w="1644" w:type="dxa"/>
            <w:tcBorders>
              <w:top w:val="nil"/>
              <w:left w:val="nil"/>
              <w:bottom w:val="single" w:sz="4" w:space="0" w:color="000000"/>
              <w:right w:val="nil"/>
            </w:tcBorders>
            <w:tcMar>
              <w:top w:w="0" w:type="dxa"/>
              <w:left w:w="0" w:type="dxa"/>
              <w:bottom w:w="0" w:type="dxa"/>
              <w:right w:w="0" w:type="dxa"/>
            </w:tcMar>
          </w:tcPr>
          <w:p w14:paraId="100E3108" w14:textId="1CE54DDF" w:rsidR="003F0AB7" w:rsidRDefault="0073180B">
            <w:pPr>
              <w:spacing w:line="480" w:lineRule="auto"/>
              <w:rPr>
                <w:rFonts w:ascii="Arial" w:eastAsia="Arial" w:hAnsi="Arial" w:cs="Arial"/>
                <w:color w:val="D13438"/>
              </w:rPr>
            </w:pPr>
            <w:r>
              <w:rPr>
                <w:rFonts w:ascii="Arial" w:eastAsia="Arial" w:hAnsi="Arial" w:cs="Arial"/>
              </w:rPr>
              <w:t xml:space="preserve"> 62.5% (5/8)</w:t>
            </w:r>
            <w:r>
              <w:rPr>
                <w:rFonts w:ascii="Arial" w:eastAsia="Arial" w:hAnsi="Arial" w:cs="Arial"/>
                <w:b/>
                <w:vertAlign w:val="superscript"/>
              </w:rPr>
              <w:t>ab</w:t>
            </w:r>
          </w:p>
          <w:p w14:paraId="0B7BBEB3" w14:textId="23E937A2" w:rsidR="003F0AB7" w:rsidRDefault="0073180B">
            <w:pPr>
              <w:spacing w:line="480" w:lineRule="auto"/>
              <w:rPr>
                <w:rFonts w:ascii="Arial" w:eastAsia="Arial" w:hAnsi="Arial" w:cs="Arial"/>
                <w:b/>
              </w:rPr>
            </w:pPr>
            <w:r>
              <w:rPr>
                <w:rFonts w:ascii="Arial" w:eastAsia="Arial" w:hAnsi="Arial" w:cs="Arial"/>
              </w:rPr>
              <w:t xml:space="preserve"> 37.5% (3/8)</w:t>
            </w:r>
            <w:r>
              <w:rPr>
                <w:rFonts w:ascii="Arial" w:eastAsia="Arial" w:hAnsi="Arial" w:cs="Arial"/>
                <w:b/>
                <w:vertAlign w:val="superscript"/>
              </w:rPr>
              <w:t>ab</w:t>
            </w:r>
          </w:p>
        </w:tc>
        <w:tc>
          <w:tcPr>
            <w:tcW w:w="1644" w:type="dxa"/>
            <w:tcBorders>
              <w:top w:val="nil"/>
              <w:left w:val="nil"/>
              <w:bottom w:val="single" w:sz="4" w:space="0" w:color="000000"/>
              <w:right w:val="nil"/>
            </w:tcBorders>
            <w:tcMar>
              <w:top w:w="0" w:type="dxa"/>
              <w:left w:w="0" w:type="dxa"/>
              <w:bottom w:w="0" w:type="dxa"/>
              <w:right w:w="0" w:type="dxa"/>
            </w:tcMar>
          </w:tcPr>
          <w:p w14:paraId="254F94BF" w14:textId="6171BA1C" w:rsidR="003F0AB7" w:rsidRDefault="0073180B">
            <w:pPr>
              <w:spacing w:line="480" w:lineRule="auto"/>
              <w:rPr>
                <w:rFonts w:ascii="Arial" w:eastAsia="Arial" w:hAnsi="Arial" w:cs="Arial"/>
                <w:b/>
              </w:rPr>
            </w:pPr>
            <w:r>
              <w:rPr>
                <w:rFonts w:ascii="Arial" w:eastAsia="Arial" w:hAnsi="Arial" w:cs="Arial"/>
              </w:rPr>
              <w:t>28.58% (2/7)</w:t>
            </w:r>
            <w:r>
              <w:rPr>
                <w:rFonts w:ascii="Arial" w:eastAsia="Arial" w:hAnsi="Arial" w:cs="Arial"/>
                <w:b/>
                <w:vertAlign w:val="superscript"/>
              </w:rPr>
              <w:t>ab</w:t>
            </w:r>
            <w:r>
              <w:rPr>
                <w:rFonts w:ascii="Arial" w:eastAsia="Arial" w:hAnsi="Arial" w:cs="Arial"/>
              </w:rPr>
              <w:t xml:space="preserve">       71.42% (5/7)</w:t>
            </w:r>
            <w:r>
              <w:rPr>
                <w:rFonts w:ascii="Arial" w:eastAsia="Arial" w:hAnsi="Arial" w:cs="Arial"/>
                <w:b/>
                <w:vertAlign w:val="superscript"/>
              </w:rPr>
              <w:t>ab</w:t>
            </w:r>
          </w:p>
        </w:tc>
        <w:tc>
          <w:tcPr>
            <w:tcW w:w="1644" w:type="dxa"/>
            <w:tcBorders>
              <w:top w:val="nil"/>
              <w:left w:val="nil"/>
              <w:bottom w:val="single" w:sz="4" w:space="0" w:color="000000"/>
              <w:right w:val="nil"/>
            </w:tcBorders>
            <w:tcMar>
              <w:top w:w="0" w:type="dxa"/>
              <w:left w:w="0" w:type="dxa"/>
              <w:bottom w:w="0" w:type="dxa"/>
              <w:right w:w="0" w:type="dxa"/>
            </w:tcMar>
          </w:tcPr>
          <w:p w14:paraId="790A344E" w14:textId="459C6BED" w:rsidR="003F0AB7" w:rsidRDefault="0073180B">
            <w:pPr>
              <w:spacing w:line="480" w:lineRule="auto"/>
              <w:rPr>
                <w:rFonts w:ascii="Arial" w:eastAsia="Arial" w:hAnsi="Arial" w:cs="Arial"/>
                <w:color w:val="D13438"/>
              </w:rPr>
            </w:pPr>
            <w:r>
              <w:rPr>
                <w:rFonts w:ascii="Arial" w:eastAsia="Arial" w:hAnsi="Arial" w:cs="Arial"/>
              </w:rPr>
              <w:t>85.71% (6/7)</w:t>
            </w:r>
            <w:r>
              <w:rPr>
                <w:rFonts w:ascii="Arial" w:eastAsia="Arial" w:hAnsi="Arial" w:cs="Arial"/>
                <w:b/>
                <w:vertAlign w:val="superscript"/>
              </w:rPr>
              <w:t>b</w:t>
            </w:r>
            <w:r>
              <w:rPr>
                <w:rFonts w:ascii="Arial" w:eastAsia="Arial" w:hAnsi="Arial" w:cs="Arial"/>
                <w:color w:val="D13438"/>
              </w:rPr>
              <w:t xml:space="preserve"> </w:t>
            </w:r>
          </w:p>
          <w:p w14:paraId="17859B22" w14:textId="77777777" w:rsidR="003F0AB7" w:rsidRDefault="0073180B">
            <w:pPr>
              <w:spacing w:line="480" w:lineRule="auto"/>
              <w:rPr>
                <w:rFonts w:ascii="Arial" w:eastAsia="Arial" w:hAnsi="Arial" w:cs="Arial"/>
                <w:b/>
              </w:rPr>
            </w:pPr>
            <w:r>
              <w:rPr>
                <w:rFonts w:ascii="Arial" w:eastAsia="Arial" w:hAnsi="Arial" w:cs="Arial"/>
              </w:rPr>
              <w:t>14.29% (1/7)</w:t>
            </w:r>
            <w:r>
              <w:rPr>
                <w:rFonts w:ascii="Arial" w:eastAsia="Arial" w:hAnsi="Arial" w:cs="Arial"/>
                <w:b/>
                <w:vertAlign w:val="superscript"/>
              </w:rPr>
              <w:t>b</w:t>
            </w:r>
          </w:p>
        </w:tc>
        <w:tc>
          <w:tcPr>
            <w:tcW w:w="1644" w:type="dxa"/>
            <w:tcBorders>
              <w:top w:val="nil"/>
              <w:left w:val="nil"/>
              <w:bottom w:val="single" w:sz="4" w:space="0" w:color="000000"/>
              <w:right w:val="nil"/>
            </w:tcBorders>
            <w:tcMar>
              <w:top w:w="0" w:type="dxa"/>
              <w:left w:w="0" w:type="dxa"/>
              <w:bottom w:w="0" w:type="dxa"/>
              <w:right w:w="0" w:type="dxa"/>
            </w:tcMar>
          </w:tcPr>
          <w:p w14:paraId="7B9D387F" w14:textId="25548AC8" w:rsidR="003F0AB7" w:rsidRDefault="0073180B">
            <w:pPr>
              <w:spacing w:line="480" w:lineRule="auto"/>
              <w:rPr>
                <w:rFonts w:ascii="Arial" w:eastAsia="Arial" w:hAnsi="Arial" w:cs="Arial"/>
                <w:b/>
              </w:rPr>
            </w:pPr>
            <w:r>
              <w:rPr>
                <w:rFonts w:ascii="Arial" w:eastAsia="Arial" w:hAnsi="Arial" w:cs="Arial"/>
              </w:rPr>
              <w:t xml:space="preserve">     12.5% (1/8)</w:t>
            </w:r>
            <w:r w:rsidR="009E5AFB">
              <w:rPr>
                <w:rFonts w:ascii="Arial" w:eastAsia="Arial" w:hAnsi="Arial" w:cs="Arial"/>
                <w:b/>
                <w:vertAlign w:val="superscript"/>
              </w:rPr>
              <w:t>a</w:t>
            </w:r>
            <w:r>
              <w:rPr>
                <w:rFonts w:ascii="Arial" w:eastAsia="Arial" w:hAnsi="Arial" w:cs="Arial"/>
                <w:b/>
                <w:vertAlign w:val="superscript"/>
              </w:rPr>
              <w:t>c</w:t>
            </w:r>
            <w:r>
              <w:rPr>
                <w:rFonts w:ascii="Arial" w:eastAsia="Arial" w:hAnsi="Arial" w:cs="Arial"/>
                <w:b/>
              </w:rPr>
              <w:t xml:space="preserve"> </w:t>
            </w:r>
          </w:p>
          <w:p w14:paraId="598D5579" w14:textId="375CE43D" w:rsidR="003F0AB7" w:rsidRDefault="0073180B">
            <w:pPr>
              <w:spacing w:line="480" w:lineRule="auto"/>
              <w:rPr>
                <w:rFonts w:ascii="Arial" w:eastAsia="Arial" w:hAnsi="Arial" w:cs="Arial"/>
              </w:rPr>
            </w:pPr>
            <w:r>
              <w:rPr>
                <w:rFonts w:ascii="Arial" w:eastAsia="Arial" w:hAnsi="Arial" w:cs="Arial"/>
              </w:rPr>
              <w:t xml:space="preserve">     87.5% (7/8)</w:t>
            </w:r>
            <w:r w:rsidR="009E5AFB">
              <w:rPr>
                <w:rFonts w:ascii="Arial" w:eastAsia="Arial" w:hAnsi="Arial" w:cs="Arial"/>
                <w:b/>
                <w:vertAlign w:val="superscript"/>
              </w:rPr>
              <w:t>a</w:t>
            </w:r>
            <w:r>
              <w:rPr>
                <w:rFonts w:ascii="Arial" w:eastAsia="Arial" w:hAnsi="Arial" w:cs="Arial"/>
                <w:b/>
                <w:vertAlign w:val="superscript"/>
              </w:rPr>
              <w:t>c</w:t>
            </w:r>
            <w:r>
              <w:rPr>
                <w:rFonts w:ascii="Arial" w:eastAsia="Arial" w:hAnsi="Arial" w:cs="Arial"/>
                <w:color w:val="0078D4"/>
                <w:u w:val="single"/>
              </w:rPr>
              <w:t xml:space="preserve">  </w:t>
            </w:r>
            <w:r>
              <w:rPr>
                <w:rFonts w:ascii="Arial" w:eastAsia="Arial" w:hAnsi="Arial" w:cs="Arial"/>
              </w:rPr>
              <w:t xml:space="preserve"> </w:t>
            </w:r>
          </w:p>
        </w:tc>
      </w:tr>
    </w:tbl>
    <w:p w14:paraId="240231C8" w14:textId="19ABDCE9" w:rsidR="003F0AB7" w:rsidRDefault="0073180B">
      <w:pPr>
        <w:jc w:val="both"/>
        <w:rPr>
          <w:rFonts w:ascii="Arial" w:eastAsia="Arial" w:hAnsi="Arial" w:cs="Arial"/>
        </w:rPr>
      </w:pPr>
      <w:r>
        <w:rPr>
          <w:rFonts w:ascii="Arial" w:eastAsia="Arial" w:hAnsi="Arial" w:cs="Arial"/>
        </w:rPr>
        <w:t xml:space="preserve">Data on the percentage of animals in each stage of estrous cycle were also compared by chi-square </w:t>
      </w:r>
      <w:r w:rsidRPr="00AA2DEA">
        <w:rPr>
          <w:rFonts w:ascii="Arial" w:eastAsia="Arial" w:hAnsi="Arial" w:cs="Arial"/>
        </w:rPr>
        <w:t>test</w:t>
      </w:r>
      <w:r w:rsidR="00096835" w:rsidRPr="00AA2DEA">
        <w:rPr>
          <w:rFonts w:ascii="Arial" w:eastAsia="Arial" w:hAnsi="Arial" w:cs="Arial"/>
        </w:rPr>
        <w:t xml:space="preserve"> </w:t>
      </w:r>
      <w:r w:rsidRPr="00AA2DEA">
        <w:rPr>
          <w:rFonts w:ascii="Arial" w:eastAsia="Arial" w:hAnsi="Arial" w:cs="Arial"/>
          <w:highlight w:val="yellow"/>
        </w:rPr>
        <w:t>(N</w:t>
      </w:r>
      <w:r w:rsidR="00AA2DEA" w:rsidRPr="00AA2DEA">
        <w:rPr>
          <w:rFonts w:ascii="Arial" w:eastAsia="Arial" w:hAnsi="Arial" w:cs="Arial"/>
          <w:highlight w:val="yellow"/>
        </w:rPr>
        <w:t xml:space="preserve"> </w:t>
      </w:r>
      <w:r w:rsidRPr="00AA2DEA">
        <w:rPr>
          <w:rFonts w:ascii="Arial" w:eastAsia="Arial" w:hAnsi="Arial" w:cs="Arial"/>
          <w:highlight w:val="yellow"/>
        </w:rPr>
        <w:t>=</w:t>
      </w:r>
      <w:r w:rsidR="00AA2DEA" w:rsidRPr="00AA2DEA">
        <w:rPr>
          <w:rFonts w:ascii="Arial" w:eastAsia="Arial" w:hAnsi="Arial" w:cs="Arial"/>
          <w:highlight w:val="yellow"/>
        </w:rPr>
        <w:t xml:space="preserve"> 8 mice per treatment</w:t>
      </w:r>
      <w:r w:rsidRPr="00AA2DEA">
        <w:rPr>
          <w:rFonts w:ascii="Arial" w:eastAsia="Arial" w:hAnsi="Arial" w:cs="Arial"/>
          <w:highlight w:val="yellow"/>
        </w:rPr>
        <w:t>).</w:t>
      </w:r>
      <w:r w:rsidR="0014518F">
        <w:rPr>
          <w:rFonts w:ascii="Arial" w:eastAsia="Arial" w:hAnsi="Arial" w:cs="Arial"/>
        </w:rPr>
        <w:t xml:space="preserve"> </w:t>
      </w:r>
      <w:r>
        <w:rPr>
          <w:rFonts w:ascii="Arial" w:eastAsia="Arial" w:hAnsi="Arial" w:cs="Arial"/>
        </w:rPr>
        <w:t>a,</w:t>
      </w:r>
      <w:r w:rsidR="00096835">
        <w:rPr>
          <w:rFonts w:ascii="Arial" w:eastAsia="Arial" w:hAnsi="Arial" w:cs="Arial"/>
        </w:rPr>
        <w:t xml:space="preserve"> </w:t>
      </w:r>
      <w:r>
        <w:rPr>
          <w:rFonts w:ascii="Arial" w:eastAsia="Arial" w:hAnsi="Arial" w:cs="Arial"/>
        </w:rPr>
        <w:t>b, c: different letters indicate statistically significant differences (</w:t>
      </w:r>
      <w:r>
        <w:rPr>
          <w:rFonts w:ascii="Arial" w:eastAsia="Arial" w:hAnsi="Arial" w:cs="Arial"/>
          <w:i/>
        </w:rPr>
        <w:t>P</w:t>
      </w:r>
      <w:r w:rsidR="009E5AFB">
        <w:rPr>
          <w:rFonts w:ascii="Arial" w:eastAsia="Arial" w:hAnsi="Arial" w:cs="Arial"/>
          <w:i/>
        </w:rPr>
        <w:t xml:space="preserve"> </w:t>
      </w:r>
      <w:r>
        <w:rPr>
          <w:rFonts w:ascii="Arial" w:eastAsia="Arial" w:hAnsi="Arial" w:cs="Arial"/>
          <w:i/>
        </w:rPr>
        <w:t>&lt;</w:t>
      </w:r>
      <w:r w:rsidR="009E5AFB">
        <w:rPr>
          <w:rFonts w:ascii="Arial" w:eastAsia="Arial" w:hAnsi="Arial" w:cs="Arial"/>
          <w:i/>
        </w:rPr>
        <w:t xml:space="preserve"> </w:t>
      </w:r>
      <w:r>
        <w:rPr>
          <w:rFonts w:ascii="Arial" w:eastAsia="Arial" w:hAnsi="Arial" w:cs="Arial"/>
          <w:i/>
        </w:rPr>
        <w:t>0.05</w:t>
      </w:r>
      <w:r>
        <w:rPr>
          <w:rFonts w:ascii="Arial" w:eastAsia="Arial" w:hAnsi="Arial" w:cs="Arial"/>
        </w:rPr>
        <w:t>).</w:t>
      </w:r>
    </w:p>
    <w:p w14:paraId="033C7BAF" w14:textId="77777777" w:rsidR="003F0AB7" w:rsidRDefault="003F0AB7">
      <w:pPr>
        <w:spacing w:line="480" w:lineRule="auto"/>
        <w:ind w:firstLine="720"/>
        <w:jc w:val="both"/>
        <w:rPr>
          <w:rFonts w:ascii="Arial" w:eastAsia="Arial" w:hAnsi="Arial" w:cs="Arial"/>
        </w:rPr>
      </w:pPr>
    </w:p>
    <w:p w14:paraId="42619AA0" w14:textId="01ACB9E0" w:rsidR="003F0AB7" w:rsidRDefault="0073180B">
      <w:pPr>
        <w:spacing w:line="480" w:lineRule="auto"/>
        <w:jc w:val="both"/>
        <w:rPr>
          <w:rFonts w:ascii="Arial" w:eastAsia="Arial" w:hAnsi="Arial" w:cs="Arial"/>
          <w:b/>
        </w:rPr>
      </w:pPr>
      <w:r>
        <w:rPr>
          <w:rFonts w:ascii="Arial" w:eastAsia="Arial" w:hAnsi="Arial" w:cs="Arial"/>
          <w:b/>
        </w:rPr>
        <w:t>Table 2</w:t>
      </w:r>
      <w:r>
        <w:rPr>
          <w:rFonts w:ascii="Arial" w:eastAsia="Arial" w:hAnsi="Arial" w:cs="Arial"/>
        </w:rPr>
        <w:t xml:space="preserve">. </w:t>
      </w:r>
      <w:r>
        <w:rPr>
          <w:rFonts w:ascii="Arial" w:eastAsia="Arial" w:hAnsi="Arial" w:cs="Arial"/>
          <w:b/>
        </w:rPr>
        <w:t>Body weight (grams) in mice from the naive group, treated with dexamethasone and without periodontitis (</w:t>
      </w:r>
      <w:proofErr w:type="spellStart"/>
      <w:r>
        <w:rPr>
          <w:rFonts w:ascii="Arial" w:eastAsia="Arial" w:hAnsi="Arial" w:cs="Arial"/>
          <w:b/>
        </w:rPr>
        <w:t>Dexa</w:t>
      </w:r>
      <w:proofErr w:type="spellEnd"/>
      <w:r>
        <w:rPr>
          <w:rFonts w:ascii="Arial" w:eastAsia="Arial" w:hAnsi="Arial" w:cs="Arial"/>
          <w:b/>
        </w:rPr>
        <w:t>), with periodontitis (</w:t>
      </w:r>
      <w:proofErr w:type="spellStart"/>
      <w:r>
        <w:rPr>
          <w:rFonts w:ascii="Arial" w:eastAsia="Arial" w:hAnsi="Arial" w:cs="Arial"/>
          <w:b/>
        </w:rPr>
        <w:t>Perio</w:t>
      </w:r>
      <w:proofErr w:type="spellEnd"/>
      <w:r>
        <w:rPr>
          <w:rFonts w:ascii="Arial" w:eastAsia="Arial" w:hAnsi="Arial" w:cs="Arial"/>
          <w:b/>
        </w:rPr>
        <w:t>), or with periodontitis and treated with dexamethasone (</w:t>
      </w:r>
      <w:proofErr w:type="spellStart"/>
      <w:r>
        <w:rPr>
          <w:rFonts w:ascii="Arial" w:eastAsia="Arial" w:hAnsi="Arial" w:cs="Arial"/>
          <w:b/>
        </w:rPr>
        <w:t>Perio</w:t>
      </w:r>
      <w:proofErr w:type="spellEnd"/>
      <w:r>
        <w:rPr>
          <w:rFonts w:ascii="Arial" w:eastAsia="Arial" w:hAnsi="Arial" w:cs="Arial"/>
          <w:b/>
        </w:rPr>
        <w:t xml:space="preserve"> + </w:t>
      </w:r>
      <w:proofErr w:type="spellStart"/>
      <w:r>
        <w:rPr>
          <w:rFonts w:ascii="Arial" w:eastAsia="Arial" w:hAnsi="Arial" w:cs="Arial"/>
          <w:b/>
        </w:rPr>
        <w:t>Dexa</w:t>
      </w:r>
      <w:proofErr w:type="spellEnd"/>
      <w:r>
        <w:rPr>
          <w:rFonts w:ascii="Arial" w:eastAsia="Arial" w:hAnsi="Arial" w:cs="Arial"/>
          <w:b/>
        </w:rPr>
        <w:t>) on days 0 and 60</w:t>
      </w:r>
      <w:r w:rsidR="0014518F">
        <w:rPr>
          <w:rFonts w:ascii="Arial" w:eastAsia="Arial" w:hAnsi="Arial" w:cs="Arial"/>
          <w:b/>
        </w:rPr>
        <w:t>.</w:t>
      </w:r>
    </w:p>
    <w:tbl>
      <w:tblPr>
        <w:tblStyle w:val="a1"/>
        <w:tblW w:w="8385" w:type="dxa"/>
        <w:tblInd w:w="-6" w:type="dxa"/>
        <w:tblBorders>
          <w:top w:val="single" w:sz="4" w:space="0" w:color="000000"/>
          <w:left w:val="nil"/>
          <w:bottom w:val="single" w:sz="4" w:space="0" w:color="000000"/>
          <w:right w:val="nil"/>
          <w:insideH w:val="single" w:sz="4" w:space="0" w:color="000000"/>
          <w:insideV w:val="nil"/>
        </w:tblBorders>
        <w:tblLayout w:type="fixed"/>
        <w:tblLook w:val="0400" w:firstRow="0" w:lastRow="0" w:firstColumn="0" w:lastColumn="0" w:noHBand="0" w:noVBand="1"/>
      </w:tblPr>
      <w:tblGrid>
        <w:gridCol w:w="1650"/>
        <w:gridCol w:w="1650"/>
        <w:gridCol w:w="1650"/>
        <w:gridCol w:w="1650"/>
        <w:gridCol w:w="1785"/>
      </w:tblGrid>
      <w:tr w:rsidR="003F0AB7" w14:paraId="353ED8DD" w14:textId="77777777">
        <w:trPr>
          <w:trHeight w:val="425"/>
        </w:trPr>
        <w:tc>
          <w:tcPr>
            <w:tcW w:w="1650" w:type="dxa"/>
            <w:tcBorders>
              <w:bottom w:val="single" w:sz="4" w:space="0" w:color="000000"/>
            </w:tcBorders>
          </w:tcPr>
          <w:p w14:paraId="3575D2DB" w14:textId="77777777" w:rsidR="003F0AB7" w:rsidRDefault="0073180B">
            <w:pPr>
              <w:spacing w:line="480" w:lineRule="auto"/>
              <w:rPr>
                <w:b/>
              </w:rPr>
            </w:pPr>
            <w:r>
              <w:rPr>
                <w:b/>
              </w:rPr>
              <w:lastRenderedPageBreak/>
              <w:t>Body weight</w:t>
            </w:r>
          </w:p>
        </w:tc>
        <w:tc>
          <w:tcPr>
            <w:tcW w:w="1650" w:type="dxa"/>
            <w:tcBorders>
              <w:bottom w:val="single" w:sz="4" w:space="0" w:color="000000"/>
            </w:tcBorders>
          </w:tcPr>
          <w:p w14:paraId="0426E72A" w14:textId="77777777" w:rsidR="003F0AB7" w:rsidRDefault="0073180B">
            <w:pPr>
              <w:spacing w:line="480" w:lineRule="auto"/>
              <w:rPr>
                <w:b/>
              </w:rPr>
            </w:pPr>
            <w:r>
              <w:rPr>
                <w:b/>
              </w:rPr>
              <w:t>Naive (A)</w:t>
            </w:r>
          </w:p>
        </w:tc>
        <w:tc>
          <w:tcPr>
            <w:tcW w:w="1650" w:type="dxa"/>
            <w:tcBorders>
              <w:bottom w:val="single" w:sz="4" w:space="0" w:color="000000"/>
            </w:tcBorders>
          </w:tcPr>
          <w:p w14:paraId="637EF44C" w14:textId="77777777" w:rsidR="003F0AB7" w:rsidRDefault="0073180B" w:rsidP="00E7378B">
            <w:pPr>
              <w:spacing w:line="480" w:lineRule="auto"/>
              <w:rPr>
                <w:b/>
              </w:rPr>
            </w:pPr>
            <w:proofErr w:type="spellStart"/>
            <w:r>
              <w:rPr>
                <w:b/>
              </w:rPr>
              <w:t>Dexa</w:t>
            </w:r>
            <w:proofErr w:type="spellEnd"/>
            <w:r>
              <w:rPr>
                <w:b/>
              </w:rPr>
              <w:t xml:space="preserve"> (B)</w:t>
            </w:r>
          </w:p>
        </w:tc>
        <w:tc>
          <w:tcPr>
            <w:tcW w:w="1650" w:type="dxa"/>
            <w:tcBorders>
              <w:bottom w:val="single" w:sz="4" w:space="0" w:color="000000"/>
            </w:tcBorders>
          </w:tcPr>
          <w:p w14:paraId="186EF0BD" w14:textId="77777777" w:rsidR="003F0AB7" w:rsidRDefault="0073180B" w:rsidP="00E7378B">
            <w:pPr>
              <w:spacing w:line="480" w:lineRule="auto"/>
              <w:rPr>
                <w:b/>
              </w:rPr>
            </w:pPr>
            <w:proofErr w:type="spellStart"/>
            <w:r>
              <w:rPr>
                <w:b/>
              </w:rPr>
              <w:t>Perio</w:t>
            </w:r>
            <w:proofErr w:type="spellEnd"/>
            <w:r>
              <w:rPr>
                <w:b/>
              </w:rPr>
              <w:t xml:space="preserve"> (C)</w:t>
            </w:r>
          </w:p>
        </w:tc>
        <w:tc>
          <w:tcPr>
            <w:tcW w:w="1785" w:type="dxa"/>
            <w:tcBorders>
              <w:bottom w:val="single" w:sz="4" w:space="0" w:color="000000"/>
            </w:tcBorders>
          </w:tcPr>
          <w:p w14:paraId="73163010" w14:textId="77777777" w:rsidR="003F0AB7" w:rsidRDefault="0073180B">
            <w:pPr>
              <w:spacing w:line="480" w:lineRule="auto"/>
              <w:rPr>
                <w:b/>
              </w:rPr>
            </w:pPr>
            <w:proofErr w:type="spellStart"/>
            <w:r>
              <w:rPr>
                <w:b/>
              </w:rPr>
              <w:t>Perio</w:t>
            </w:r>
            <w:proofErr w:type="spellEnd"/>
            <w:r>
              <w:rPr>
                <w:b/>
              </w:rPr>
              <w:t xml:space="preserve"> + </w:t>
            </w:r>
            <w:proofErr w:type="spellStart"/>
            <w:r>
              <w:rPr>
                <w:b/>
              </w:rPr>
              <w:t>Dexa</w:t>
            </w:r>
            <w:proofErr w:type="spellEnd"/>
            <w:r>
              <w:rPr>
                <w:b/>
              </w:rPr>
              <w:t xml:space="preserve"> (D)</w:t>
            </w:r>
          </w:p>
        </w:tc>
      </w:tr>
      <w:tr w:rsidR="003F0AB7" w14:paraId="5A6DB728" w14:textId="77777777">
        <w:trPr>
          <w:trHeight w:val="425"/>
        </w:trPr>
        <w:tc>
          <w:tcPr>
            <w:tcW w:w="1650" w:type="dxa"/>
            <w:tcBorders>
              <w:bottom w:val="nil"/>
            </w:tcBorders>
          </w:tcPr>
          <w:p w14:paraId="47126449" w14:textId="77777777" w:rsidR="003F0AB7" w:rsidRDefault="0073180B">
            <w:pPr>
              <w:spacing w:line="480" w:lineRule="auto"/>
            </w:pPr>
            <w:r>
              <w:t>Day 0</w:t>
            </w:r>
          </w:p>
        </w:tc>
        <w:tc>
          <w:tcPr>
            <w:tcW w:w="1650" w:type="dxa"/>
            <w:tcBorders>
              <w:bottom w:val="nil"/>
            </w:tcBorders>
          </w:tcPr>
          <w:p w14:paraId="279E21BB" w14:textId="77777777" w:rsidR="003F0AB7" w:rsidRDefault="0073180B">
            <w:pPr>
              <w:spacing w:line="480" w:lineRule="auto"/>
            </w:pPr>
            <w:r>
              <w:t xml:space="preserve">20.75 </w:t>
            </w:r>
            <m:oMath>
              <m:r>
                <w:rPr>
                  <w:rFonts w:ascii="Cambria Math" w:hAnsi="Cambria Math"/>
                </w:rPr>
                <m:t>±</m:t>
              </m:r>
            </m:oMath>
            <w:r>
              <w:t xml:space="preserve"> 1.16</w:t>
            </w:r>
          </w:p>
        </w:tc>
        <w:tc>
          <w:tcPr>
            <w:tcW w:w="1650" w:type="dxa"/>
            <w:tcBorders>
              <w:bottom w:val="nil"/>
            </w:tcBorders>
          </w:tcPr>
          <w:p w14:paraId="7880DB45" w14:textId="77777777" w:rsidR="003F0AB7" w:rsidRDefault="0073180B">
            <w:pPr>
              <w:spacing w:line="480" w:lineRule="auto"/>
            </w:pPr>
            <w:r>
              <w:t xml:space="preserve">22.37 </w:t>
            </w:r>
            <m:oMath>
              <m:r>
                <w:rPr>
                  <w:rFonts w:ascii="Cambria Math" w:hAnsi="Cambria Math"/>
                </w:rPr>
                <m:t>±</m:t>
              </m:r>
            </m:oMath>
            <w:r>
              <w:t xml:space="preserve"> 2.44</w:t>
            </w:r>
          </w:p>
        </w:tc>
        <w:tc>
          <w:tcPr>
            <w:tcW w:w="1650" w:type="dxa"/>
            <w:tcBorders>
              <w:bottom w:val="nil"/>
            </w:tcBorders>
          </w:tcPr>
          <w:p w14:paraId="0268EC31" w14:textId="77777777" w:rsidR="003F0AB7" w:rsidRDefault="0073180B">
            <w:pPr>
              <w:spacing w:line="480" w:lineRule="auto"/>
            </w:pPr>
            <w:r>
              <w:t xml:space="preserve">21.37 </w:t>
            </w:r>
            <m:oMath>
              <m:r>
                <w:rPr>
                  <w:rFonts w:ascii="Cambria Math" w:hAnsi="Cambria Math"/>
                </w:rPr>
                <m:t>±</m:t>
              </m:r>
            </m:oMath>
            <w:r>
              <w:t xml:space="preserve"> 1.84</w:t>
            </w:r>
          </w:p>
        </w:tc>
        <w:tc>
          <w:tcPr>
            <w:tcW w:w="1785" w:type="dxa"/>
            <w:tcBorders>
              <w:bottom w:val="nil"/>
            </w:tcBorders>
          </w:tcPr>
          <w:p w14:paraId="0E39CCAD" w14:textId="77777777" w:rsidR="003F0AB7" w:rsidRDefault="0073180B">
            <w:pPr>
              <w:spacing w:line="480" w:lineRule="auto"/>
            </w:pPr>
            <w:r>
              <w:t xml:space="preserve">21.75 </w:t>
            </w:r>
            <m:oMath>
              <m:r>
                <w:rPr>
                  <w:rFonts w:ascii="Cambria Math" w:hAnsi="Cambria Math"/>
                </w:rPr>
                <m:t>±</m:t>
              </m:r>
            </m:oMath>
            <w:r>
              <w:t xml:space="preserve"> 1.16</w:t>
            </w:r>
          </w:p>
        </w:tc>
      </w:tr>
      <w:tr w:rsidR="003F0AB7" w14:paraId="4764003B" w14:textId="77777777">
        <w:trPr>
          <w:trHeight w:val="847"/>
        </w:trPr>
        <w:tc>
          <w:tcPr>
            <w:tcW w:w="1650" w:type="dxa"/>
            <w:tcBorders>
              <w:top w:val="nil"/>
            </w:tcBorders>
          </w:tcPr>
          <w:p w14:paraId="3E184DC0" w14:textId="77777777" w:rsidR="003F0AB7" w:rsidRDefault="0073180B">
            <w:pPr>
              <w:spacing w:line="480" w:lineRule="auto"/>
            </w:pPr>
            <w:r>
              <w:t>Day 60</w:t>
            </w:r>
          </w:p>
          <w:p w14:paraId="456B9EE2" w14:textId="77777777" w:rsidR="003F0AB7" w:rsidRDefault="0073180B">
            <w:pPr>
              <w:spacing w:line="480" w:lineRule="auto"/>
            </w:pPr>
            <w:r>
              <w:t>Gaining weight</w:t>
            </w:r>
          </w:p>
        </w:tc>
        <w:tc>
          <w:tcPr>
            <w:tcW w:w="1650" w:type="dxa"/>
            <w:tcBorders>
              <w:top w:val="nil"/>
            </w:tcBorders>
          </w:tcPr>
          <w:p w14:paraId="4CBB1FAA" w14:textId="77777777" w:rsidR="003F0AB7" w:rsidRDefault="0073180B">
            <w:pPr>
              <w:spacing w:line="480" w:lineRule="auto"/>
            </w:pPr>
            <w:r>
              <w:t xml:space="preserve">23.65 </w:t>
            </w:r>
            <m:oMath>
              <m:r>
                <w:rPr>
                  <w:rFonts w:ascii="Cambria Math" w:hAnsi="Cambria Math"/>
                </w:rPr>
                <m:t>±</m:t>
              </m:r>
            </m:oMath>
            <w:r>
              <w:t xml:space="preserve"> 1.18</w:t>
            </w:r>
          </w:p>
          <w:p w14:paraId="41BA9540" w14:textId="77777777" w:rsidR="003F0AB7" w:rsidRDefault="0073180B">
            <w:pPr>
              <w:spacing w:line="480" w:lineRule="auto"/>
            </w:pPr>
            <w:r>
              <w:t xml:space="preserve">2.87 </w:t>
            </w:r>
            <m:oMath>
              <m:r>
                <w:rPr>
                  <w:rFonts w:ascii="Cambria Math" w:hAnsi="Cambria Math"/>
                </w:rPr>
                <m:t>±</m:t>
              </m:r>
            </m:oMath>
            <w:r>
              <w:t xml:space="preserve"> 0.64</w:t>
            </w:r>
          </w:p>
        </w:tc>
        <w:tc>
          <w:tcPr>
            <w:tcW w:w="1650" w:type="dxa"/>
            <w:tcBorders>
              <w:top w:val="nil"/>
            </w:tcBorders>
          </w:tcPr>
          <w:p w14:paraId="2DFC7F95" w14:textId="77777777" w:rsidR="003F0AB7" w:rsidRDefault="0073180B">
            <w:pPr>
              <w:spacing w:line="480" w:lineRule="auto"/>
            </w:pPr>
            <w:r>
              <w:t xml:space="preserve">25.25 </w:t>
            </w:r>
            <m:oMath>
              <m:r>
                <w:rPr>
                  <w:rFonts w:ascii="Cambria Math" w:hAnsi="Cambria Math"/>
                </w:rPr>
                <m:t>±</m:t>
              </m:r>
            </m:oMath>
            <w:r>
              <w:t xml:space="preserve"> 3.37</w:t>
            </w:r>
          </w:p>
          <w:p w14:paraId="4AB74DF8" w14:textId="77777777" w:rsidR="003F0AB7" w:rsidRDefault="0073180B">
            <w:pPr>
              <w:spacing w:line="480" w:lineRule="auto"/>
            </w:pPr>
            <w:r>
              <w:t xml:space="preserve">2.87 </w:t>
            </w:r>
            <m:oMath>
              <m:r>
                <w:rPr>
                  <w:rFonts w:ascii="Cambria Math" w:hAnsi="Cambria Math"/>
                </w:rPr>
                <m:t>±</m:t>
              </m:r>
            </m:oMath>
            <w:r>
              <w:t xml:space="preserve"> 2.031</w:t>
            </w:r>
          </w:p>
        </w:tc>
        <w:tc>
          <w:tcPr>
            <w:tcW w:w="1650" w:type="dxa"/>
            <w:tcBorders>
              <w:top w:val="nil"/>
            </w:tcBorders>
          </w:tcPr>
          <w:p w14:paraId="753710F0" w14:textId="77777777" w:rsidR="003F0AB7" w:rsidRDefault="0073180B">
            <w:pPr>
              <w:spacing w:line="480" w:lineRule="auto"/>
            </w:pPr>
            <w:r>
              <w:t xml:space="preserve">23.00 </w:t>
            </w:r>
            <m:oMath>
              <m:r>
                <w:rPr>
                  <w:rFonts w:ascii="Cambria Math" w:hAnsi="Cambria Math"/>
                </w:rPr>
                <m:t>±</m:t>
              </m:r>
            </m:oMath>
            <w:r>
              <w:t xml:space="preserve"> 2.00</w:t>
            </w:r>
          </w:p>
          <w:p w14:paraId="5C91ABF7" w14:textId="77777777" w:rsidR="003F0AB7" w:rsidRDefault="0073180B">
            <w:pPr>
              <w:spacing w:line="480" w:lineRule="auto"/>
            </w:pPr>
            <w:r>
              <w:t xml:space="preserve">1.57 </w:t>
            </w:r>
            <m:oMath>
              <m:r>
                <w:rPr>
                  <w:rFonts w:ascii="Cambria Math" w:hAnsi="Cambria Math"/>
                </w:rPr>
                <m:t>±</m:t>
              </m:r>
            </m:oMath>
            <w:r>
              <w:t xml:space="preserve"> 1.27</w:t>
            </w:r>
          </w:p>
        </w:tc>
        <w:tc>
          <w:tcPr>
            <w:tcW w:w="1785" w:type="dxa"/>
            <w:tcBorders>
              <w:top w:val="nil"/>
            </w:tcBorders>
          </w:tcPr>
          <w:p w14:paraId="5B7F0868" w14:textId="77777777" w:rsidR="003F0AB7" w:rsidRDefault="0073180B">
            <w:pPr>
              <w:spacing w:line="480" w:lineRule="auto"/>
            </w:pPr>
            <w:r>
              <w:t>23.37</w:t>
            </w:r>
            <m:oMath>
              <m:r>
                <w:rPr>
                  <w:rFonts w:ascii="Cambria Math" w:eastAsia="Cambria Math" w:hAnsi="Cambria Math" w:cs="Cambria Math"/>
                </w:rPr>
                <m:t xml:space="preserve"> ±</m:t>
              </m:r>
            </m:oMath>
            <w:r>
              <w:t xml:space="preserve"> 1.50</w:t>
            </w:r>
          </w:p>
          <w:p w14:paraId="33726A47" w14:textId="77777777" w:rsidR="003F0AB7" w:rsidRDefault="0073180B">
            <w:pPr>
              <w:spacing w:line="480" w:lineRule="auto"/>
            </w:pPr>
            <w:r>
              <w:t xml:space="preserve">1.75 </w:t>
            </w:r>
            <m:oMath>
              <m:r>
                <w:rPr>
                  <w:rFonts w:ascii="Cambria Math" w:hAnsi="Cambria Math"/>
                </w:rPr>
                <m:t>±</m:t>
              </m:r>
            </m:oMath>
            <w:r>
              <w:t xml:space="preserve"> 1.03</w:t>
            </w:r>
          </w:p>
        </w:tc>
      </w:tr>
    </w:tbl>
    <w:p w14:paraId="6269BA7D" w14:textId="77777777" w:rsidR="003F0AB7" w:rsidRDefault="003F0AB7">
      <w:pPr>
        <w:spacing w:line="480" w:lineRule="auto"/>
        <w:jc w:val="both"/>
        <w:rPr>
          <w:rFonts w:ascii="Arial" w:eastAsia="Arial" w:hAnsi="Arial" w:cs="Arial"/>
        </w:rPr>
      </w:pPr>
    </w:p>
    <w:p w14:paraId="0D242C33" w14:textId="77777777" w:rsidR="003F0AB7" w:rsidRDefault="0073180B">
      <w:pPr>
        <w:spacing w:line="480" w:lineRule="auto"/>
        <w:jc w:val="both"/>
        <w:rPr>
          <w:rFonts w:ascii="Arial" w:eastAsia="Arial" w:hAnsi="Arial" w:cs="Arial"/>
          <w:b/>
        </w:rPr>
      </w:pPr>
      <w:r>
        <w:rPr>
          <w:rFonts w:ascii="Arial" w:eastAsia="Arial" w:hAnsi="Arial" w:cs="Arial"/>
          <w:b/>
        </w:rPr>
        <w:t>Alveolar bone loss</w:t>
      </w:r>
    </w:p>
    <w:p w14:paraId="3FC04B63" w14:textId="428B3907" w:rsidR="003F0AB7" w:rsidRDefault="0073180B" w:rsidP="00972984">
      <w:pPr>
        <w:spacing w:line="480" w:lineRule="auto"/>
        <w:ind w:firstLine="426"/>
        <w:jc w:val="both"/>
        <w:rPr>
          <w:rFonts w:ascii="Arial" w:eastAsia="Arial" w:hAnsi="Arial" w:cs="Arial"/>
        </w:rPr>
      </w:pPr>
      <w:r>
        <w:rPr>
          <w:rFonts w:ascii="Arial" w:eastAsia="Arial" w:hAnsi="Arial" w:cs="Arial"/>
        </w:rPr>
        <w:t xml:space="preserve"> Mice with induced periodontitis alone or associated with dexamethasone treatment had a significant increase in alveolar bone loss when compared with those from Naïve group or with those treated with dexamethasone </w:t>
      </w:r>
      <w:r>
        <w:rPr>
          <w:rFonts w:ascii="Arial" w:eastAsia="Arial" w:hAnsi="Arial" w:cs="Arial"/>
          <w:highlight w:val="yellow"/>
        </w:rPr>
        <w:t>(P &lt; 0.0001)</w:t>
      </w:r>
      <w:r w:rsidR="00096835">
        <w:rPr>
          <w:rFonts w:ascii="Arial" w:eastAsia="Arial" w:hAnsi="Arial" w:cs="Arial"/>
        </w:rPr>
        <w:t xml:space="preserve"> </w:t>
      </w:r>
      <w:r>
        <w:rPr>
          <w:rFonts w:ascii="Arial" w:eastAsia="Arial" w:hAnsi="Arial" w:cs="Arial"/>
        </w:rPr>
        <w:t xml:space="preserve">(Figure 1). The dexamethasone treatment only did not influence alveolar bone loss in healthy mice </w:t>
      </w:r>
      <w:r>
        <w:rPr>
          <w:rFonts w:ascii="Arial" w:eastAsia="Arial" w:hAnsi="Arial" w:cs="Arial"/>
          <w:highlight w:val="yellow"/>
        </w:rPr>
        <w:t>(P &gt; 0.05)</w:t>
      </w:r>
      <w:r>
        <w:rPr>
          <w:rFonts w:ascii="Arial" w:eastAsia="Arial" w:hAnsi="Arial" w:cs="Arial"/>
        </w:rPr>
        <w:t>. The mandibles of animals in which periodontitis was not induced had preserved alveolar bone, while those with induced periodontitis had significant alveolar bone loss, root exposure and furcation lesion (Figure 2).</w:t>
      </w:r>
    </w:p>
    <w:p w14:paraId="4F18EAE8" w14:textId="77777777" w:rsidR="003F0AB7" w:rsidRDefault="0073180B">
      <w:pPr>
        <w:spacing w:line="480" w:lineRule="auto"/>
        <w:rPr>
          <w:rFonts w:ascii="Arial" w:eastAsia="Arial" w:hAnsi="Arial" w:cs="Arial"/>
        </w:rPr>
      </w:pPr>
      <w:r>
        <w:rPr>
          <w:noProof/>
          <w:lang w:eastAsia="en-US"/>
        </w:rPr>
        <w:drawing>
          <wp:inline distT="114300" distB="114300" distL="114300" distR="114300" wp14:anchorId="331D5AFB" wp14:editId="083830D2">
            <wp:extent cx="4178815" cy="2624138"/>
            <wp:effectExtent l="0" t="0" r="0" b="0"/>
            <wp:docPr id="206334828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5"/>
                    <a:srcRect/>
                    <a:stretch>
                      <a:fillRect/>
                    </a:stretch>
                  </pic:blipFill>
                  <pic:spPr>
                    <a:xfrm>
                      <a:off x="0" y="0"/>
                      <a:ext cx="4178815" cy="2624138"/>
                    </a:xfrm>
                    <a:prstGeom prst="rect">
                      <a:avLst/>
                    </a:prstGeom>
                    <a:ln/>
                  </pic:spPr>
                </pic:pic>
              </a:graphicData>
            </a:graphic>
          </wp:inline>
        </w:drawing>
      </w:r>
    </w:p>
    <w:p w14:paraId="09F8AD3D" w14:textId="51CD541A" w:rsidR="003F0AB7" w:rsidRDefault="0073180B">
      <w:pPr>
        <w:jc w:val="both"/>
        <w:rPr>
          <w:rFonts w:ascii="Arial" w:eastAsia="Arial" w:hAnsi="Arial" w:cs="Arial"/>
          <w:b/>
        </w:rPr>
      </w:pPr>
      <w:r>
        <w:rPr>
          <w:rFonts w:ascii="Arial" w:eastAsia="Arial" w:hAnsi="Arial" w:cs="Arial"/>
          <w:b/>
        </w:rPr>
        <w:t xml:space="preserve">Figure 1. Resorption in mm² of alveolar bone in animals from the naïve group, with periodontitis, treated with dexamethasone, or with periodontitis and treated with dexamethasone.  Indicated the alveolar bone resorption evaluated on the area limited between the cement-enamel junction and alveolar bone crest on the buccal face of </w:t>
      </w:r>
      <w:proofErr w:type="spellStart"/>
      <w:r>
        <w:rPr>
          <w:rFonts w:ascii="Arial" w:eastAsia="Arial" w:hAnsi="Arial" w:cs="Arial"/>
          <w:b/>
        </w:rPr>
        <w:t>hemimaxillae</w:t>
      </w:r>
      <w:proofErr w:type="spellEnd"/>
      <w:r>
        <w:rPr>
          <w:rFonts w:ascii="Arial" w:eastAsia="Arial" w:hAnsi="Arial" w:cs="Arial"/>
          <w:b/>
        </w:rPr>
        <w:t>. Data are presented as mean ± SEM and were analyzed by ANOVA Tukey test</w:t>
      </w:r>
      <w:r w:rsidR="00E7378B">
        <w:rPr>
          <w:rFonts w:ascii="Arial" w:eastAsia="Arial" w:hAnsi="Arial" w:cs="Arial"/>
          <w:b/>
        </w:rPr>
        <w:t xml:space="preserve"> </w:t>
      </w:r>
      <w:r w:rsidRPr="009273BB">
        <w:rPr>
          <w:rFonts w:ascii="Arial" w:eastAsia="Arial" w:hAnsi="Arial" w:cs="Arial"/>
          <w:b/>
          <w:highlight w:val="yellow"/>
        </w:rPr>
        <w:t>(</w:t>
      </w:r>
      <w:r w:rsidR="00AA2DEA" w:rsidRPr="00AA2DEA">
        <w:rPr>
          <w:rFonts w:ascii="Arial" w:eastAsia="Arial" w:hAnsi="Arial" w:cs="Arial"/>
          <w:b/>
          <w:highlight w:val="yellow"/>
        </w:rPr>
        <w:t>N = 8 mice per treatment</w:t>
      </w:r>
      <w:r w:rsidRPr="009273BB">
        <w:rPr>
          <w:rFonts w:ascii="Arial" w:eastAsia="Arial" w:hAnsi="Arial" w:cs="Arial"/>
          <w:b/>
          <w:highlight w:val="yellow"/>
        </w:rPr>
        <w:t>).</w:t>
      </w:r>
      <w:r>
        <w:rPr>
          <w:rFonts w:ascii="Arial" w:eastAsia="Arial" w:hAnsi="Arial" w:cs="Arial"/>
          <w:b/>
        </w:rPr>
        <w:t xml:space="preserve"> a, b: different letters indicate statistically significant differences (</w:t>
      </w:r>
      <w:r>
        <w:rPr>
          <w:rFonts w:ascii="Arial" w:eastAsia="Arial" w:hAnsi="Arial" w:cs="Arial"/>
          <w:b/>
          <w:i/>
        </w:rPr>
        <w:t>P</w:t>
      </w:r>
      <w:r w:rsidR="009E5AFB">
        <w:rPr>
          <w:rFonts w:ascii="Arial" w:eastAsia="Arial" w:hAnsi="Arial" w:cs="Arial"/>
          <w:b/>
          <w:i/>
        </w:rPr>
        <w:t xml:space="preserve"> </w:t>
      </w:r>
      <w:r>
        <w:rPr>
          <w:rFonts w:ascii="Arial" w:eastAsia="Arial" w:hAnsi="Arial" w:cs="Arial"/>
          <w:b/>
          <w:i/>
        </w:rPr>
        <w:t>&lt;</w:t>
      </w:r>
      <w:r w:rsidR="009E5AFB">
        <w:rPr>
          <w:rFonts w:ascii="Arial" w:eastAsia="Arial" w:hAnsi="Arial" w:cs="Arial"/>
          <w:b/>
          <w:i/>
        </w:rPr>
        <w:t xml:space="preserve"> </w:t>
      </w:r>
      <w:r>
        <w:rPr>
          <w:rFonts w:ascii="Arial" w:eastAsia="Arial" w:hAnsi="Arial" w:cs="Arial"/>
          <w:b/>
          <w:i/>
        </w:rPr>
        <w:t>0.05</w:t>
      </w:r>
      <w:r>
        <w:rPr>
          <w:rFonts w:ascii="Arial" w:eastAsia="Arial" w:hAnsi="Arial" w:cs="Arial"/>
          <w:b/>
        </w:rPr>
        <w:t>)</w:t>
      </w:r>
    </w:p>
    <w:p w14:paraId="241AA04E" w14:textId="77777777" w:rsidR="003F0AB7" w:rsidRDefault="003F0AB7">
      <w:pPr>
        <w:spacing w:line="480" w:lineRule="auto"/>
        <w:jc w:val="both"/>
        <w:rPr>
          <w:rFonts w:ascii="Arial" w:eastAsia="Arial" w:hAnsi="Arial" w:cs="Arial"/>
        </w:rPr>
      </w:pPr>
    </w:p>
    <w:p w14:paraId="2C848B15" w14:textId="77777777" w:rsidR="003F0AB7" w:rsidRDefault="0073180B">
      <w:pPr>
        <w:spacing w:line="480" w:lineRule="auto"/>
        <w:jc w:val="center"/>
        <w:rPr>
          <w:rFonts w:ascii="Arial" w:eastAsia="Arial" w:hAnsi="Arial" w:cs="Arial"/>
        </w:rPr>
      </w:pPr>
      <w:r>
        <w:rPr>
          <w:noProof/>
          <w:lang w:eastAsia="en-US"/>
        </w:rPr>
        <w:lastRenderedPageBreak/>
        <w:drawing>
          <wp:inline distT="0" distB="0" distL="0" distR="0" wp14:anchorId="6EB58F66" wp14:editId="464B3537">
            <wp:extent cx="4798793" cy="2537315"/>
            <wp:effectExtent l="0" t="0" r="0" b="0"/>
            <wp:docPr id="206334828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6"/>
                    <a:srcRect/>
                    <a:stretch>
                      <a:fillRect/>
                    </a:stretch>
                  </pic:blipFill>
                  <pic:spPr>
                    <a:xfrm>
                      <a:off x="0" y="0"/>
                      <a:ext cx="4798793" cy="2537315"/>
                    </a:xfrm>
                    <a:prstGeom prst="rect">
                      <a:avLst/>
                    </a:prstGeom>
                    <a:ln/>
                  </pic:spPr>
                </pic:pic>
              </a:graphicData>
            </a:graphic>
          </wp:inline>
        </w:drawing>
      </w:r>
    </w:p>
    <w:p w14:paraId="73D867B0" w14:textId="2A531280" w:rsidR="003F0AB7" w:rsidRDefault="0073180B">
      <w:pPr>
        <w:jc w:val="both"/>
        <w:rPr>
          <w:rFonts w:ascii="Arial" w:eastAsia="Arial" w:hAnsi="Arial" w:cs="Arial"/>
          <w:b/>
        </w:rPr>
      </w:pPr>
      <w:r>
        <w:rPr>
          <w:rFonts w:ascii="Arial" w:eastAsia="Arial" w:hAnsi="Arial" w:cs="Arial"/>
          <w:b/>
        </w:rPr>
        <w:t>Figure 2. Level of mandibular bone resorption in animals from the naive group (A), treated with dexamethasone and without periodontitis (B), with periodontitis (C), or with periodontitis and treated with dexamethasone (D). Arrow indicating area of bone resorption</w:t>
      </w:r>
      <w:r w:rsidR="009E5AFB">
        <w:rPr>
          <w:rFonts w:ascii="Arial" w:eastAsia="Arial" w:hAnsi="Arial" w:cs="Arial"/>
          <w:b/>
        </w:rPr>
        <w:t>.</w:t>
      </w:r>
    </w:p>
    <w:p w14:paraId="500EBA94" w14:textId="77777777" w:rsidR="003F0AB7" w:rsidRDefault="003F0AB7">
      <w:pPr>
        <w:spacing w:line="480" w:lineRule="auto"/>
        <w:jc w:val="both"/>
        <w:rPr>
          <w:rFonts w:ascii="Arial" w:eastAsia="Arial" w:hAnsi="Arial" w:cs="Arial"/>
        </w:rPr>
      </w:pPr>
    </w:p>
    <w:p w14:paraId="1782EA47" w14:textId="77777777" w:rsidR="003F0AB7" w:rsidRDefault="0073180B">
      <w:pPr>
        <w:spacing w:line="480" w:lineRule="auto"/>
        <w:jc w:val="both"/>
        <w:rPr>
          <w:rFonts w:ascii="Arial" w:eastAsia="Arial" w:hAnsi="Arial" w:cs="Arial"/>
          <w:b/>
        </w:rPr>
      </w:pPr>
      <w:r>
        <w:rPr>
          <w:rFonts w:ascii="Arial" w:eastAsia="Arial" w:hAnsi="Arial" w:cs="Arial"/>
          <w:b/>
        </w:rPr>
        <w:t>Histopathology of the mandibles</w:t>
      </w:r>
    </w:p>
    <w:p w14:paraId="146256F3" w14:textId="77777777" w:rsidR="003F0AB7" w:rsidRDefault="0073180B" w:rsidP="00972984">
      <w:pPr>
        <w:spacing w:line="480" w:lineRule="auto"/>
        <w:ind w:firstLine="426"/>
        <w:jc w:val="both"/>
        <w:rPr>
          <w:rFonts w:ascii="Arial" w:eastAsia="Arial" w:hAnsi="Arial" w:cs="Arial"/>
        </w:rPr>
      </w:pPr>
      <w:r>
        <w:rPr>
          <w:rFonts w:ascii="Arial" w:eastAsia="Arial" w:hAnsi="Arial" w:cs="Arial"/>
        </w:rPr>
        <w:t xml:space="preserve">Mice with periodontitis only or associated with dexamethasone treatment had a significant increase in the levels of insertion of the first molars when compared with those treated with saline solution (Naïve) or with dexamethasone </w:t>
      </w:r>
      <w:r>
        <w:rPr>
          <w:rFonts w:ascii="Arial" w:eastAsia="Arial" w:hAnsi="Arial" w:cs="Arial"/>
          <w:highlight w:val="yellow"/>
        </w:rPr>
        <w:t>(P &lt; 0.0001)</w:t>
      </w:r>
      <w:r w:rsidR="00E7378B">
        <w:rPr>
          <w:rFonts w:ascii="Arial" w:eastAsia="Arial" w:hAnsi="Arial" w:cs="Arial"/>
        </w:rPr>
        <w:t xml:space="preserve"> </w:t>
      </w:r>
      <w:r>
        <w:rPr>
          <w:rFonts w:ascii="Arial" w:eastAsia="Arial" w:hAnsi="Arial" w:cs="Arial"/>
        </w:rPr>
        <w:t>(Figures 3 and 4). Healthy mice treated with dexamethasone had no significant changes in insertion levels</w:t>
      </w:r>
      <w:r w:rsidR="00E7378B">
        <w:rPr>
          <w:rFonts w:ascii="Arial" w:eastAsia="Arial" w:hAnsi="Arial" w:cs="Arial"/>
        </w:rPr>
        <w:t xml:space="preserve"> </w:t>
      </w:r>
      <w:r>
        <w:rPr>
          <w:rFonts w:ascii="Arial" w:eastAsia="Arial" w:hAnsi="Arial" w:cs="Arial"/>
          <w:highlight w:val="yellow"/>
        </w:rPr>
        <w:t>(P &gt; 0.05)</w:t>
      </w:r>
      <w:r>
        <w:rPr>
          <w:rFonts w:ascii="Arial" w:eastAsia="Arial" w:hAnsi="Arial" w:cs="Arial"/>
        </w:rPr>
        <w:t>. Mice with induced periodontitis that received dexamethasone treatment had reduced insertion levels when compared to those with periodontitis, but not treated with dexamethasone</w:t>
      </w:r>
      <w:r w:rsidR="00E7378B">
        <w:rPr>
          <w:rFonts w:ascii="Arial" w:eastAsia="Arial" w:hAnsi="Arial" w:cs="Arial"/>
        </w:rPr>
        <w:t xml:space="preserve"> </w:t>
      </w:r>
      <w:r>
        <w:rPr>
          <w:rFonts w:ascii="Arial" w:eastAsia="Arial" w:hAnsi="Arial" w:cs="Arial"/>
          <w:highlight w:val="yellow"/>
        </w:rPr>
        <w:t>(P &lt; 0.0001)</w:t>
      </w:r>
      <w:r>
        <w:rPr>
          <w:rFonts w:ascii="Arial" w:eastAsia="Arial" w:hAnsi="Arial" w:cs="Arial"/>
        </w:rPr>
        <w:t>.</w:t>
      </w:r>
    </w:p>
    <w:p w14:paraId="1BAE61C0" w14:textId="77777777" w:rsidR="003F0AB7" w:rsidRDefault="003F0AB7" w:rsidP="0014518F">
      <w:pPr>
        <w:spacing w:line="480" w:lineRule="auto"/>
        <w:ind w:firstLine="709"/>
        <w:jc w:val="both"/>
        <w:rPr>
          <w:rFonts w:ascii="Arial" w:eastAsia="Arial" w:hAnsi="Arial" w:cs="Arial"/>
        </w:rPr>
      </w:pPr>
    </w:p>
    <w:p w14:paraId="0BE8C271" w14:textId="77777777" w:rsidR="003F0AB7" w:rsidRDefault="003F0AB7">
      <w:pPr>
        <w:spacing w:line="480" w:lineRule="auto"/>
        <w:ind w:firstLine="425"/>
        <w:jc w:val="both"/>
        <w:rPr>
          <w:rFonts w:ascii="Arial" w:eastAsia="Arial" w:hAnsi="Arial" w:cs="Arial"/>
        </w:rPr>
      </w:pPr>
    </w:p>
    <w:p w14:paraId="7B782BA9" w14:textId="77777777" w:rsidR="003F0AB7" w:rsidRDefault="0073180B">
      <w:pPr>
        <w:spacing w:line="480" w:lineRule="auto"/>
        <w:jc w:val="both"/>
        <w:rPr>
          <w:rFonts w:ascii="Arial" w:eastAsia="Arial" w:hAnsi="Arial" w:cs="Arial"/>
        </w:rPr>
      </w:pPr>
      <w:r>
        <w:rPr>
          <w:noProof/>
          <w:lang w:eastAsia="en-US"/>
        </w:rPr>
        <w:lastRenderedPageBreak/>
        <w:drawing>
          <wp:inline distT="114300" distB="114300" distL="114300" distR="114300" wp14:anchorId="4E454DE1" wp14:editId="53C994D7">
            <wp:extent cx="4669336" cy="2945011"/>
            <wp:effectExtent l="0" t="0" r="0" b="0"/>
            <wp:docPr id="206334828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7"/>
                    <a:srcRect/>
                    <a:stretch>
                      <a:fillRect/>
                    </a:stretch>
                  </pic:blipFill>
                  <pic:spPr>
                    <a:xfrm>
                      <a:off x="0" y="0"/>
                      <a:ext cx="4669336" cy="2945011"/>
                    </a:xfrm>
                    <a:prstGeom prst="rect">
                      <a:avLst/>
                    </a:prstGeom>
                    <a:ln/>
                  </pic:spPr>
                </pic:pic>
              </a:graphicData>
            </a:graphic>
          </wp:inline>
        </w:drawing>
      </w:r>
    </w:p>
    <w:p w14:paraId="4C2FDE97" w14:textId="6C9C3857" w:rsidR="003F0AB7" w:rsidRDefault="0073180B">
      <w:pPr>
        <w:jc w:val="both"/>
        <w:rPr>
          <w:rFonts w:ascii="Arial" w:eastAsia="Arial" w:hAnsi="Arial" w:cs="Arial"/>
          <w:b/>
        </w:rPr>
      </w:pPr>
      <w:bookmarkStart w:id="1" w:name="_heading=h.s7aks2u524r0" w:colFirst="0" w:colLast="0"/>
      <w:bookmarkEnd w:id="1"/>
      <w:r>
        <w:rPr>
          <w:rFonts w:ascii="Arial" w:eastAsia="Arial" w:hAnsi="Arial" w:cs="Arial"/>
          <w:b/>
        </w:rPr>
        <w:t>Figure 3. Loss of attachment of the 1st molars in animals from the naïve group, with periodontitis (</w:t>
      </w:r>
      <w:proofErr w:type="spellStart"/>
      <w:r>
        <w:rPr>
          <w:rFonts w:ascii="Arial" w:eastAsia="Arial" w:hAnsi="Arial" w:cs="Arial"/>
          <w:b/>
        </w:rPr>
        <w:t>Perio</w:t>
      </w:r>
      <w:proofErr w:type="spellEnd"/>
      <w:r>
        <w:rPr>
          <w:rFonts w:ascii="Arial" w:eastAsia="Arial" w:hAnsi="Arial" w:cs="Arial"/>
          <w:b/>
        </w:rPr>
        <w:t>), treated with dexamethasone and without periodontitis (</w:t>
      </w:r>
      <w:proofErr w:type="spellStart"/>
      <w:r>
        <w:rPr>
          <w:rFonts w:ascii="Arial" w:eastAsia="Arial" w:hAnsi="Arial" w:cs="Arial"/>
          <w:b/>
        </w:rPr>
        <w:t>Dexa</w:t>
      </w:r>
      <w:proofErr w:type="spellEnd"/>
      <w:r>
        <w:rPr>
          <w:rFonts w:ascii="Arial" w:eastAsia="Arial" w:hAnsi="Arial" w:cs="Arial"/>
          <w:b/>
        </w:rPr>
        <w:t>), or with periodontitis and treated with dexamethasone (</w:t>
      </w:r>
      <w:proofErr w:type="spellStart"/>
      <w:r>
        <w:rPr>
          <w:rFonts w:ascii="Arial" w:eastAsia="Arial" w:hAnsi="Arial" w:cs="Arial"/>
          <w:b/>
        </w:rPr>
        <w:t>Perio</w:t>
      </w:r>
      <w:proofErr w:type="spellEnd"/>
      <w:r>
        <w:rPr>
          <w:rFonts w:ascii="Arial" w:eastAsia="Arial" w:hAnsi="Arial" w:cs="Arial"/>
          <w:b/>
        </w:rPr>
        <w:t xml:space="preserve"> + </w:t>
      </w:r>
      <w:proofErr w:type="spellStart"/>
      <w:r>
        <w:rPr>
          <w:rFonts w:ascii="Arial" w:eastAsia="Arial" w:hAnsi="Arial" w:cs="Arial"/>
          <w:b/>
        </w:rPr>
        <w:t>Dexa</w:t>
      </w:r>
      <w:proofErr w:type="spellEnd"/>
      <w:r>
        <w:rPr>
          <w:rFonts w:ascii="Arial" w:eastAsia="Arial" w:hAnsi="Arial" w:cs="Arial"/>
          <w:b/>
        </w:rPr>
        <w:t>). Data are presented as mean ± SEM and were analyzed by ANOVA Tukey test</w:t>
      </w:r>
      <w:r w:rsidR="00E7378B">
        <w:rPr>
          <w:rFonts w:ascii="Arial" w:eastAsia="Arial" w:hAnsi="Arial" w:cs="Arial"/>
          <w:b/>
        </w:rPr>
        <w:t xml:space="preserve"> </w:t>
      </w:r>
      <w:r w:rsidRPr="009273BB">
        <w:rPr>
          <w:rFonts w:ascii="Arial" w:eastAsia="Arial" w:hAnsi="Arial" w:cs="Arial"/>
          <w:b/>
          <w:highlight w:val="yellow"/>
        </w:rPr>
        <w:t>(</w:t>
      </w:r>
      <w:r w:rsidR="00AA2DEA" w:rsidRPr="00AA2DEA">
        <w:rPr>
          <w:rFonts w:ascii="Arial" w:eastAsia="Arial" w:hAnsi="Arial" w:cs="Arial"/>
          <w:highlight w:val="yellow"/>
        </w:rPr>
        <w:t>N = 8 mice per treatment</w:t>
      </w:r>
      <w:r w:rsidRPr="009273BB">
        <w:rPr>
          <w:rFonts w:ascii="Arial" w:eastAsia="Arial" w:hAnsi="Arial" w:cs="Arial"/>
          <w:b/>
          <w:highlight w:val="yellow"/>
        </w:rPr>
        <w:t>).</w:t>
      </w:r>
      <w:r>
        <w:rPr>
          <w:rFonts w:ascii="Arial" w:eastAsia="Arial" w:hAnsi="Arial" w:cs="Arial"/>
          <w:b/>
        </w:rPr>
        <w:t xml:space="preserve"> a, b, c: different letters indicate statistically significant differences (</w:t>
      </w:r>
      <w:r>
        <w:rPr>
          <w:rFonts w:ascii="Arial" w:eastAsia="Arial" w:hAnsi="Arial" w:cs="Arial"/>
          <w:b/>
          <w:i/>
        </w:rPr>
        <w:t>P</w:t>
      </w:r>
      <w:r w:rsidR="009E5AFB">
        <w:rPr>
          <w:rFonts w:ascii="Arial" w:eastAsia="Arial" w:hAnsi="Arial" w:cs="Arial"/>
          <w:b/>
          <w:i/>
        </w:rPr>
        <w:t xml:space="preserve"> </w:t>
      </w:r>
      <w:r>
        <w:rPr>
          <w:rFonts w:ascii="Arial" w:eastAsia="Arial" w:hAnsi="Arial" w:cs="Arial"/>
          <w:b/>
          <w:i/>
        </w:rPr>
        <w:t>&lt;</w:t>
      </w:r>
      <w:r w:rsidR="009E5AFB">
        <w:rPr>
          <w:rFonts w:ascii="Arial" w:eastAsia="Arial" w:hAnsi="Arial" w:cs="Arial"/>
          <w:b/>
          <w:i/>
        </w:rPr>
        <w:t xml:space="preserve"> </w:t>
      </w:r>
      <w:r>
        <w:rPr>
          <w:rFonts w:ascii="Arial" w:eastAsia="Arial" w:hAnsi="Arial" w:cs="Arial"/>
          <w:b/>
          <w:i/>
        </w:rPr>
        <w:t>0.05</w:t>
      </w:r>
      <w:r>
        <w:rPr>
          <w:rFonts w:ascii="Arial" w:eastAsia="Arial" w:hAnsi="Arial" w:cs="Arial"/>
          <w:b/>
        </w:rPr>
        <w:t>)</w:t>
      </w:r>
    </w:p>
    <w:p w14:paraId="637B2BC8" w14:textId="77777777" w:rsidR="003F0AB7" w:rsidRDefault="003F0AB7">
      <w:pPr>
        <w:spacing w:line="360" w:lineRule="auto"/>
        <w:jc w:val="both"/>
        <w:rPr>
          <w:b/>
        </w:rPr>
      </w:pPr>
    </w:p>
    <w:p w14:paraId="2BF44D16" w14:textId="77777777" w:rsidR="003F0AB7" w:rsidRDefault="0073180B">
      <w:pPr>
        <w:spacing w:line="480" w:lineRule="auto"/>
        <w:jc w:val="both"/>
        <w:rPr>
          <w:rFonts w:ascii="Arial" w:eastAsia="Arial" w:hAnsi="Arial" w:cs="Arial"/>
          <w:b/>
        </w:rPr>
      </w:pPr>
      <w:r>
        <w:rPr>
          <w:rFonts w:ascii="Arial" w:eastAsia="Arial" w:hAnsi="Arial" w:cs="Arial"/>
          <w:b/>
        </w:rPr>
        <w:t>Effects of periodontitis dexamethasone on ovarian follicles morphology</w:t>
      </w:r>
    </w:p>
    <w:p w14:paraId="563E20A1" w14:textId="17E25E49" w:rsidR="003F0AB7" w:rsidRDefault="0073180B">
      <w:pPr>
        <w:shd w:val="clear" w:color="auto" w:fill="FFFFFF"/>
        <w:spacing w:line="480" w:lineRule="auto"/>
        <w:ind w:firstLine="420"/>
        <w:jc w:val="both"/>
        <w:rPr>
          <w:rFonts w:ascii="Arial" w:eastAsia="Arial" w:hAnsi="Arial" w:cs="Arial"/>
        </w:rPr>
      </w:pPr>
      <w:r>
        <w:rPr>
          <w:rFonts w:ascii="Arial" w:eastAsia="Arial" w:hAnsi="Arial" w:cs="Arial"/>
        </w:rPr>
        <w:t xml:space="preserve"> The dexamethasone treatment, periodontitis, or periodontitis associated with dexamethasone treatment did not influence the percentages of normal primordial and primary follicles (Table 3). On the other hand, periodontitis, or periodontitis associated with dexamethasone treatment significantly reduced the percentages of morphologically normal secondary and tertiary follicles. A concomitant increase in the percentage of degenerated secondary and tertiary follicles was observed in ovaries of these mice (Table 3). On the other hand, mice with periodontitis and treated with dexamethasone had increase number of corpora </w:t>
      </w:r>
      <w:proofErr w:type="spellStart"/>
      <w:r>
        <w:rPr>
          <w:rFonts w:ascii="Arial" w:eastAsia="Arial" w:hAnsi="Arial" w:cs="Arial"/>
        </w:rPr>
        <w:t>lutea</w:t>
      </w:r>
      <w:proofErr w:type="spellEnd"/>
      <w:r>
        <w:rPr>
          <w:rFonts w:ascii="Arial" w:eastAsia="Arial" w:hAnsi="Arial" w:cs="Arial"/>
        </w:rPr>
        <w:t xml:space="preserve"> when compared with those from naïve groups or with periodontal disease only (Table 4). The histological characteristics and the presence of corpora </w:t>
      </w:r>
      <w:proofErr w:type="spellStart"/>
      <w:r>
        <w:rPr>
          <w:rFonts w:ascii="Arial" w:eastAsia="Arial" w:hAnsi="Arial" w:cs="Arial"/>
        </w:rPr>
        <w:t>lutea</w:t>
      </w:r>
      <w:proofErr w:type="spellEnd"/>
      <w:r>
        <w:rPr>
          <w:rFonts w:ascii="Arial" w:eastAsia="Arial" w:hAnsi="Arial" w:cs="Arial"/>
        </w:rPr>
        <w:t xml:space="preserve"> in ovaries of mice from different groups are shown in Figure 5. Figure 6 shows the morphology of normal follicles at different stages of development.</w:t>
      </w:r>
    </w:p>
    <w:p w14:paraId="28769FF3" w14:textId="77777777" w:rsidR="003F0AB7" w:rsidRDefault="003F0AB7">
      <w:pPr>
        <w:spacing w:line="360" w:lineRule="auto"/>
        <w:jc w:val="both"/>
        <w:rPr>
          <w:b/>
        </w:rPr>
      </w:pPr>
    </w:p>
    <w:p w14:paraId="69E2F07C" w14:textId="77777777" w:rsidR="003F0AB7" w:rsidRDefault="0073180B">
      <w:pPr>
        <w:spacing w:line="360" w:lineRule="auto"/>
        <w:jc w:val="both"/>
        <w:rPr>
          <w:b/>
        </w:rPr>
      </w:pPr>
      <w:r>
        <w:rPr>
          <w:noProof/>
          <w:lang w:eastAsia="en-US"/>
        </w:rPr>
        <w:lastRenderedPageBreak/>
        <w:drawing>
          <wp:inline distT="0" distB="0" distL="0" distR="0" wp14:anchorId="775FEFB7" wp14:editId="367C4A19">
            <wp:extent cx="5212080" cy="4542155"/>
            <wp:effectExtent l="0" t="0" r="0" b="0"/>
            <wp:docPr id="206334828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8"/>
                    <a:srcRect/>
                    <a:stretch>
                      <a:fillRect/>
                    </a:stretch>
                  </pic:blipFill>
                  <pic:spPr>
                    <a:xfrm>
                      <a:off x="0" y="0"/>
                      <a:ext cx="5212080" cy="4542155"/>
                    </a:xfrm>
                    <a:prstGeom prst="rect">
                      <a:avLst/>
                    </a:prstGeom>
                    <a:ln/>
                  </pic:spPr>
                </pic:pic>
              </a:graphicData>
            </a:graphic>
          </wp:inline>
        </w:drawing>
      </w:r>
    </w:p>
    <w:p w14:paraId="4230C2A0" w14:textId="77777777" w:rsidR="003F0AB7" w:rsidRDefault="0073180B">
      <w:pPr>
        <w:jc w:val="both"/>
        <w:rPr>
          <w:rFonts w:ascii="Arial" w:eastAsia="Arial" w:hAnsi="Arial" w:cs="Arial"/>
          <w:b/>
          <w:highlight w:val="white"/>
        </w:rPr>
      </w:pPr>
      <w:r>
        <w:rPr>
          <w:rFonts w:ascii="Arial" w:eastAsia="Arial" w:hAnsi="Arial" w:cs="Arial"/>
          <w:b/>
          <w:highlight w:val="white"/>
        </w:rPr>
        <w:t>Figure 4. Histological sections illustrating alveolar bone loss (POA) in the 1st molars of mice from naïve group (A), treated with dexamethasone and without periodontitis (B), with periodontitis (C), or with periodontitis and treated with dexamethasone (D). Scale bar = 100μm (40x)</w:t>
      </w:r>
    </w:p>
    <w:p w14:paraId="63A75E72" w14:textId="77777777" w:rsidR="003F0AB7" w:rsidRDefault="003F0AB7">
      <w:pPr>
        <w:spacing w:line="360" w:lineRule="auto"/>
        <w:jc w:val="both"/>
        <w:rPr>
          <w:b/>
        </w:rPr>
      </w:pPr>
    </w:p>
    <w:p w14:paraId="1814E5F1" w14:textId="77777777" w:rsidR="006855B1" w:rsidRDefault="006855B1">
      <w:pPr>
        <w:spacing w:line="480" w:lineRule="auto"/>
        <w:jc w:val="both"/>
        <w:rPr>
          <w:rFonts w:ascii="Arial" w:eastAsia="Arial" w:hAnsi="Arial" w:cs="Arial"/>
          <w:b/>
        </w:rPr>
      </w:pPr>
    </w:p>
    <w:p w14:paraId="6B489836" w14:textId="77777777" w:rsidR="006855B1" w:rsidRDefault="006855B1">
      <w:pPr>
        <w:spacing w:line="480" w:lineRule="auto"/>
        <w:jc w:val="both"/>
        <w:rPr>
          <w:rFonts w:ascii="Arial" w:eastAsia="Arial" w:hAnsi="Arial" w:cs="Arial"/>
          <w:b/>
        </w:rPr>
      </w:pPr>
    </w:p>
    <w:p w14:paraId="4F6B7D8D" w14:textId="77777777" w:rsidR="006855B1" w:rsidRDefault="006855B1">
      <w:pPr>
        <w:spacing w:line="480" w:lineRule="auto"/>
        <w:jc w:val="both"/>
        <w:rPr>
          <w:rFonts w:ascii="Arial" w:eastAsia="Arial" w:hAnsi="Arial" w:cs="Arial"/>
          <w:b/>
        </w:rPr>
      </w:pPr>
    </w:p>
    <w:p w14:paraId="7ECA03C7" w14:textId="77777777" w:rsidR="006855B1" w:rsidRDefault="006855B1">
      <w:pPr>
        <w:spacing w:line="480" w:lineRule="auto"/>
        <w:jc w:val="both"/>
        <w:rPr>
          <w:rFonts w:ascii="Arial" w:eastAsia="Arial" w:hAnsi="Arial" w:cs="Arial"/>
          <w:b/>
        </w:rPr>
      </w:pPr>
    </w:p>
    <w:p w14:paraId="42BBDE29" w14:textId="77777777" w:rsidR="006855B1" w:rsidRDefault="006855B1">
      <w:pPr>
        <w:spacing w:line="480" w:lineRule="auto"/>
        <w:jc w:val="both"/>
        <w:rPr>
          <w:rFonts w:ascii="Arial" w:eastAsia="Arial" w:hAnsi="Arial" w:cs="Arial"/>
          <w:b/>
        </w:rPr>
      </w:pPr>
    </w:p>
    <w:p w14:paraId="7FC29417" w14:textId="77777777" w:rsidR="006855B1" w:rsidRDefault="006855B1">
      <w:pPr>
        <w:spacing w:line="480" w:lineRule="auto"/>
        <w:jc w:val="both"/>
        <w:rPr>
          <w:rFonts w:ascii="Arial" w:eastAsia="Arial" w:hAnsi="Arial" w:cs="Arial"/>
          <w:b/>
        </w:rPr>
      </w:pPr>
    </w:p>
    <w:p w14:paraId="4511B21C" w14:textId="77777777" w:rsidR="006855B1" w:rsidRDefault="006855B1">
      <w:pPr>
        <w:spacing w:line="480" w:lineRule="auto"/>
        <w:jc w:val="both"/>
        <w:rPr>
          <w:rFonts w:ascii="Arial" w:eastAsia="Arial" w:hAnsi="Arial" w:cs="Arial"/>
          <w:b/>
        </w:rPr>
      </w:pPr>
    </w:p>
    <w:p w14:paraId="60E26B87" w14:textId="6247D1A3" w:rsidR="003F0AB7" w:rsidRDefault="0073180B">
      <w:pPr>
        <w:spacing w:line="480" w:lineRule="auto"/>
        <w:jc w:val="both"/>
        <w:rPr>
          <w:rFonts w:ascii="Arial" w:eastAsia="Arial" w:hAnsi="Arial" w:cs="Arial"/>
        </w:rPr>
      </w:pPr>
      <w:r>
        <w:rPr>
          <w:rFonts w:ascii="Arial" w:eastAsia="Arial" w:hAnsi="Arial" w:cs="Arial"/>
          <w:b/>
        </w:rPr>
        <w:lastRenderedPageBreak/>
        <w:t>Table 3. Percentage of normal and degenerated primordial, primary, secondary and tertiary follicles in ovaries of mice from the naive group, treated with dexamethasone and without periodontitis (</w:t>
      </w:r>
      <w:proofErr w:type="spellStart"/>
      <w:r>
        <w:rPr>
          <w:rFonts w:ascii="Arial" w:eastAsia="Arial" w:hAnsi="Arial" w:cs="Arial"/>
          <w:b/>
        </w:rPr>
        <w:t>dexa</w:t>
      </w:r>
      <w:proofErr w:type="spellEnd"/>
      <w:r>
        <w:rPr>
          <w:rFonts w:ascii="Arial" w:eastAsia="Arial" w:hAnsi="Arial" w:cs="Arial"/>
          <w:b/>
        </w:rPr>
        <w:t>), with periodontitis (</w:t>
      </w:r>
      <w:proofErr w:type="spellStart"/>
      <w:r>
        <w:rPr>
          <w:rFonts w:ascii="Arial" w:eastAsia="Arial" w:hAnsi="Arial" w:cs="Arial"/>
          <w:b/>
        </w:rPr>
        <w:t>Perio</w:t>
      </w:r>
      <w:proofErr w:type="spellEnd"/>
      <w:r>
        <w:rPr>
          <w:rFonts w:ascii="Arial" w:eastAsia="Arial" w:hAnsi="Arial" w:cs="Arial"/>
          <w:b/>
        </w:rPr>
        <w:t>), or with periodontitis and treated with dexamethasone (</w:t>
      </w:r>
      <w:proofErr w:type="spellStart"/>
      <w:r>
        <w:rPr>
          <w:rFonts w:ascii="Arial" w:eastAsia="Arial" w:hAnsi="Arial" w:cs="Arial"/>
          <w:b/>
        </w:rPr>
        <w:t>Perio</w:t>
      </w:r>
      <w:proofErr w:type="spellEnd"/>
      <w:r>
        <w:rPr>
          <w:rFonts w:ascii="Arial" w:eastAsia="Arial" w:hAnsi="Arial" w:cs="Arial"/>
          <w:b/>
        </w:rPr>
        <w:t xml:space="preserve"> + </w:t>
      </w:r>
      <w:proofErr w:type="spellStart"/>
      <w:r>
        <w:rPr>
          <w:rFonts w:ascii="Arial" w:eastAsia="Arial" w:hAnsi="Arial" w:cs="Arial"/>
          <w:b/>
        </w:rPr>
        <w:t>Dexa</w:t>
      </w:r>
      <w:proofErr w:type="spellEnd"/>
      <w:r>
        <w:rPr>
          <w:rFonts w:ascii="Arial" w:eastAsia="Arial" w:hAnsi="Arial" w:cs="Arial"/>
          <w:b/>
        </w:rPr>
        <w:t>) on day 60</w:t>
      </w:r>
      <w:r w:rsidR="0014518F">
        <w:rPr>
          <w:rFonts w:ascii="Arial" w:eastAsia="Arial" w:hAnsi="Arial" w:cs="Arial"/>
          <w:b/>
        </w:rPr>
        <w:t>.</w:t>
      </w:r>
    </w:p>
    <w:tbl>
      <w:tblPr>
        <w:tblStyle w:val="a2"/>
        <w:tblpPr w:leftFromText="180" w:rightFromText="180" w:topFromText="180" w:bottomFromText="180" w:vertAnchor="text"/>
        <w:tblW w:w="8364" w:type="dxa"/>
        <w:tblBorders>
          <w:top w:val="single" w:sz="5" w:space="0" w:color="808080"/>
          <w:left w:val="single" w:sz="5" w:space="0" w:color="808080"/>
          <w:bottom w:val="single" w:sz="5" w:space="0" w:color="808080"/>
          <w:right w:val="single" w:sz="5" w:space="0" w:color="808080"/>
          <w:insideH w:val="single" w:sz="5" w:space="0" w:color="808080"/>
          <w:insideV w:val="single" w:sz="5" w:space="0" w:color="808080"/>
        </w:tblBorders>
        <w:tblLayout w:type="fixed"/>
        <w:tblLook w:val="0600" w:firstRow="0" w:lastRow="0" w:firstColumn="0" w:lastColumn="0" w:noHBand="1" w:noVBand="1"/>
      </w:tblPr>
      <w:tblGrid>
        <w:gridCol w:w="1843"/>
        <w:gridCol w:w="1701"/>
        <w:gridCol w:w="1701"/>
        <w:gridCol w:w="1559"/>
        <w:gridCol w:w="1560"/>
      </w:tblGrid>
      <w:tr w:rsidR="003F0AB7" w14:paraId="4AB9DED9" w14:textId="77777777">
        <w:trPr>
          <w:trHeight w:val="539"/>
        </w:trPr>
        <w:tc>
          <w:tcPr>
            <w:tcW w:w="1843" w:type="dxa"/>
            <w:tcBorders>
              <w:top w:val="single" w:sz="5" w:space="0" w:color="000000"/>
              <w:left w:val="nil"/>
              <w:bottom w:val="single" w:sz="5" w:space="0" w:color="000000"/>
              <w:right w:val="nil"/>
            </w:tcBorders>
            <w:tcMar>
              <w:top w:w="0" w:type="dxa"/>
              <w:left w:w="0" w:type="dxa"/>
              <w:bottom w:w="0" w:type="dxa"/>
              <w:right w:w="0" w:type="dxa"/>
            </w:tcMar>
          </w:tcPr>
          <w:p w14:paraId="69440616" w14:textId="77777777" w:rsidR="003F0AB7" w:rsidRDefault="0073180B">
            <w:pPr>
              <w:spacing w:line="480" w:lineRule="auto"/>
              <w:rPr>
                <w:rFonts w:ascii="Arial" w:eastAsia="Arial" w:hAnsi="Arial" w:cs="Arial"/>
                <w:b/>
              </w:rPr>
            </w:pPr>
            <w:r>
              <w:rPr>
                <w:rFonts w:ascii="Arial" w:eastAsia="Arial" w:hAnsi="Arial" w:cs="Arial"/>
                <w:b/>
              </w:rPr>
              <w:t xml:space="preserve">Percentage </w:t>
            </w:r>
          </w:p>
          <w:p w14:paraId="71AA7758" w14:textId="77777777" w:rsidR="003F0AB7" w:rsidRDefault="0073180B">
            <w:pPr>
              <w:spacing w:line="480" w:lineRule="auto"/>
              <w:rPr>
                <w:rFonts w:ascii="Arial" w:eastAsia="Arial" w:hAnsi="Arial" w:cs="Arial"/>
                <w:color w:val="0078D4"/>
              </w:rPr>
            </w:pPr>
            <w:r>
              <w:rPr>
                <w:rFonts w:ascii="Arial" w:eastAsia="Arial" w:hAnsi="Arial" w:cs="Arial"/>
                <w:b/>
              </w:rPr>
              <w:t>(day 60)</w:t>
            </w:r>
            <w:r>
              <w:rPr>
                <w:rFonts w:ascii="Arial" w:eastAsia="Arial" w:hAnsi="Arial" w:cs="Arial"/>
                <w:color w:val="0078D4"/>
              </w:rPr>
              <w:t xml:space="preserve"> </w:t>
            </w:r>
          </w:p>
        </w:tc>
        <w:tc>
          <w:tcPr>
            <w:tcW w:w="1701" w:type="dxa"/>
            <w:tcBorders>
              <w:top w:val="single" w:sz="5" w:space="0" w:color="000000"/>
              <w:left w:val="nil"/>
              <w:bottom w:val="single" w:sz="5" w:space="0" w:color="000000"/>
              <w:right w:val="nil"/>
            </w:tcBorders>
            <w:tcMar>
              <w:top w:w="0" w:type="dxa"/>
              <w:left w:w="0" w:type="dxa"/>
              <w:bottom w:w="0" w:type="dxa"/>
              <w:right w:w="0" w:type="dxa"/>
            </w:tcMar>
          </w:tcPr>
          <w:p w14:paraId="33B166C0" w14:textId="77777777" w:rsidR="003F0AB7" w:rsidRPr="00972984" w:rsidRDefault="0073180B" w:rsidP="0014518F">
            <w:pPr>
              <w:spacing w:line="480" w:lineRule="auto"/>
              <w:jc w:val="center"/>
              <w:rPr>
                <w:rFonts w:ascii="Arial" w:eastAsia="Arial" w:hAnsi="Arial" w:cs="Arial"/>
                <w:b/>
              </w:rPr>
            </w:pPr>
            <w:r w:rsidRPr="00972984">
              <w:rPr>
                <w:rFonts w:ascii="Arial" w:eastAsia="Arial" w:hAnsi="Arial" w:cs="Arial"/>
                <w:b/>
              </w:rPr>
              <w:t>Naive (A)</w:t>
            </w:r>
          </w:p>
        </w:tc>
        <w:tc>
          <w:tcPr>
            <w:tcW w:w="1701" w:type="dxa"/>
            <w:tcBorders>
              <w:top w:val="single" w:sz="5" w:space="0" w:color="000000"/>
              <w:left w:val="nil"/>
              <w:bottom w:val="single" w:sz="5" w:space="0" w:color="000000"/>
              <w:right w:val="nil"/>
            </w:tcBorders>
            <w:tcMar>
              <w:top w:w="0" w:type="dxa"/>
              <w:left w:w="0" w:type="dxa"/>
              <w:bottom w:w="0" w:type="dxa"/>
              <w:right w:w="0" w:type="dxa"/>
            </w:tcMar>
          </w:tcPr>
          <w:p w14:paraId="37BFB04A" w14:textId="03F896D6" w:rsidR="003F0AB7" w:rsidRPr="00972984" w:rsidRDefault="0073180B" w:rsidP="0014518F">
            <w:pPr>
              <w:spacing w:line="480" w:lineRule="auto"/>
              <w:jc w:val="center"/>
              <w:rPr>
                <w:rFonts w:ascii="Arial" w:eastAsia="Arial" w:hAnsi="Arial" w:cs="Arial"/>
                <w:b/>
              </w:rPr>
            </w:pPr>
            <w:proofErr w:type="spellStart"/>
            <w:r w:rsidRPr="00972984">
              <w:rPr>
                <w:rFonts w:ascii="Arial" w:eastAsia="Arial" w:hAnsi="Arial" w:cs="Arial"/>
                <w:b/>
              </w:rPr>
              <w:t>Dexa</w:t>
            </w:r>
            <w:proofErr w:type="spellEnd"/>
            <w:r w:rsidRPr="00972984">
              <w:rPr>
                <w:rFonts w:ascii="Arial" w:eastAsia="Arial" w:hAnsi="Arial" w:cs="Arial"/>
                <w:b/>
              </w:rPr>
              <w:t xml:space="preserve"> (B)</w:t>
            </w:r>
          </w:p>
        </w:tc>
        <w:tc>
          <w:tcPr>
            <w:tcW w:w="1559" w:type="dxa"/>
            <w:tcBorders>
              <w:top w:val="single" w:sz="5" w:space="0" w:color="000000"/>
              <w:left w:val="nil"/>
              <w:bottom w:val="single" w:sz="5" w:space="0" w:color="000000"/>
              <w:right w:val="nil"/>
            </w:tcBorders>
            <w:tcMar>
              <w:top w:w="0" w:type="dxa"/>
              <w:left w:w="0" w:type="dxa"/>
              <w:bottom w:w="0" w:type="dxa"/>
              <w:right w:w="0" w:type="dxa"/>
            </w:tcMar>
          </w:tcPr>
          <w:p w14:paraId="4FDAC6DF" w14:textId="0AAE8065" w:rsidR="003F0AB7" w:rsidRPr="00972984" w:rsidRDefault="0073180B" w:rsidP="0014518F">
            <w:pPr>
              <w:spacing w:line="480" w:lineRule="auto"/>
              <w:jc w:val="center"/>
              <w:rPr>
                <w:rFonts w:ascii="Arial" w:eastAsia="Arial" w:hAnsi="Arial" w:cs="Arial"/>
                <w:b/>
              </w:rPr>
            </w:pPr>
            <w:proofErr w:type="spellStart"/>
            <w:r w:rsidRPr="00972984">
              <w:rPr>
                <w:rFonts w:ascii="Arial" w:eastAsia="Arial" w:hAnsi="Arial" w:cs="Arial"/>
                <w:b/>
              </w:rPr>
              <w:t>Perio</w:t>
            </w:r>
            <w:proofErr w:type="spellEnd"/>
            <w:r w:rsidRPr="00972984">
              <w:rPr>
                <w:rFonts w:ascii="Arial" w:eastAsia="Arial" w:hAnsi="Arial" w:cs="Arial"/>
                <w:b/>
              </w:rPr>
              <w:t xml:space="preserve"> (C)</w:t>
            </w:r>
          </w:p>
        </w:tc>
        <w:tc>
          <w:tcPr>
            <w:tcW w:w="1560" w:type="dxa"/>
            <w:tcBorders>
              <w:top w:val="single" w:sz="5" w:space="0" w:color="000000"/>
              <w:left w:val="nil"/>
              <w:bottom w:val="single" w:sz="5" w:space="0" w:color="000000"/>
              <w:right w:val="nil"/>
            </w:tcBorders>
            <w:tcMar>
              <w:top w:w="0" w:type="dxa"/>
              <w:left w:w="0" w:type="dxa"/>
              <w:bottom w:w="0" w:type="dxa"/>
              <w:right w:w="0" w:type="dxa"/>
            </w:tcMar>
          </w:tcPr>
          <w:p w14:paraId="170C3780" w14:textId="77777777" w:rsidR="003F0AB7" w:rsidRPr="00972984" w:rsidRDefault="0073180B" w:rsidP="0014518F">
            <w:pPr>
              <w:spacing w:line="480" w:lineRule="auto"/>
              <w:jc w:val="center"/>
              <w:rPr>
                <w:rFonts w:ascii="Arial" w:eastAsia="Arial" w:hAnsi="Arial" w:cs="Arial"/>
                <w:b/>
              </w:rPr>
            </w:pPr>
            <w:proofErr w:type="spellStart"/>
            <w:r w:rsidRPr="00972984">
              <w:rPr>
                <w:rFonts w:ascii="Arial" w:eastAsia="Arial" w:hAnsi="Arial" w:cs="Arial"/>
                <w:b/>
              </w:rPr>
              <w:t>Perio</w:t>
            </w:r>
            <w:proofErr w:type="spellEnd"/>
            <w:r w:rsidRPr="00972984">
              <w:rPr>
                <w:rFonts w:ascii="Arial" w:eastAsia="Arial" w:hAnsi="Arial" w:cs="Arial"/>
                <w:b/>
              </w:rPr>
              <w:t xml:space="preserve"> + </w:t>
            </w:r>
            <w:proofErr w:type="spellStart"/>
            <w:r w:rsidRPr="00972984">
              <w:rPr>
                <w:rFonts w:ascii="Arial" w:eastAsia="Arial" w:hAnsi="Arial" w:cs="Arial"/>
                <w:b/>
              </w:rPr>
              <w:t>Dexa</w:t>
            </w:r>
            <w:proofErr w:type="spellEnd"/>
            <w:r w:rsidRPr="00972984">
              <w:rPr>
                <w:rFonts w:ascii="Arial" w:eastAsia="Arial" w:hAnsi="Arial" w:cs="Arial"/>
                <w:b/>
              </w:rPr>
              <w:t xml:space="preserve"> (D)</w:t>
            </w:r>
          </w:p>
        </w:tc>
      </w:tr>
      <w:tr w:rsidR="003F0AB7" w14:paraId="066D8086" w14:textId="77777777">
        <w:trPr>
          <w:trHeight w:val="277"/>
        </w:trPr>
        <w:tc>
          <w:tcPr>
            <w:tcW w:w="1843" w:type="dxa"/>
            <w:tcBorders>
              <w:top w:val="single" w:sz="5" w:space="0" w:color="000000"/>
              <w:left w:val="nil"/>
              <w:bottom w:val="nil"/>
              <w:right w:val="nil"/>
            </w:tcBorders>
            <w:tcMar>
              <w:top w:w="0" w:type="dxa"/>
              <w:left w:w="0" w:type="dxa"/>
              <w:bottom w:w="0" w:type="dxa"/>
              <w:right w:w="0" w:type="dxa"/>
            </w:tcMar>
          </w:tcPr>
          <w:p w14:paraId="57A71142" w14:textId="77777777" w:rsidR="003F0AB7" w:rsidRDefault="0073180B">
            <w:pPr>
              <w:spacing w:line="480" w:lineRule="auto"/>
              <w:rPr>
                <w:rFonts w:ascii="Arial" w:eastAsia="Arial" w:hAnsi="Arial" w:cs="Arial"/>
              </w:rPr>
            </w:pPr>
            <w:r>
              <w:rPr>
                <w:rFonts w:ascii="Arial" w:eastAsia="Arial" w:hAnsi="Arial" w:cs="Arial"/>
                <w:b/>
              </w:rPr>
              <w:t>Primordial follicles</w:t>
            </w:r>
            <w:r>
              <w:rPr>
                <w:rFonts w:ascii="Arial" w:eastAsia="Arial" w:hAnsi="Arial" w:cs="Arial"/>
              </w:rPr>
              <w:t xml:space="preserve"> </w:t>
            </w:r>
          </w:p>
        </w:tc>
        <w:tc>
          <w:tcPr>
            <w:tcW w:w="1701" w:type="dxa"/>
            <w:tcBorders>
              <w:top w:val="single" w:sz="5" w:space="0" w:color="000000"/>
              <w:left w:val="nil"/>
              <w:bottom w:val="nil"/>
              <w:right w:val="nil"/>
            </w:tcBorders>
            <w:tcMar>
              <w:top w:w="0" w:type="dxa"/>
              <w:left w:w="0" w:type="dxa"/>
              <w:bottom w:w="0" w:type="dxa"/>
              <w:right w:w="0" w:type="dxa"/>
            </w:tcMar>
          </w:tcPr>
          <w:p w14:paraId="3F4DF66E" w14:textId="77777777" w:rsidR="003F0AB7" w:rsidRDefault="0073180B">
            <w:pPr>
              <w:spacing w:line="480" w:lineRule="auto"/>
              <w:rPr>
                <w:rFonts w:ascii="Arial" w:eastAsia="Arial" w:hAnsi="Arial" w:cs="Arial"/>
              </w:rPr>
            </w:pPr>
            <w:r>
              <w:rPr>
                <w:rFonts w:ascii="Arial" w:eastAsia="Arial" w:hAnsi="Arial" w:cs="Arial"/>
              </w:rPr>
              <w:t xml:space="preserve"> </w:t>
            </w:r>
          </w:p>
        </w:tc>
        <w:tc>
          <w:tcPr>
            <w:tcW w:w="1701" w:type="dxa"/>
            <w:tcBorders>
              <w:top w:val="single" w:sz="5" w:space="0" w:color="000000"/>
              <w:left w:val="nil"/>
              <w:bottom w:val="nil"/>
              <w:right w:val="nil"/>
            </w:tcBorders>
            <w:tcMar>
              <w:top w:w="0" w:type="dxa"/>
              <w:left w:w="0" w:type="dxa"/>
              <w:bottom w:w="0" w:type="dxa"/>
              <w:right w:w="0" w:type="dxa"/>
            </w:tcMar>
          </w:tcPr>
          <w:p w14:paraId="2CF3B18E" w14:textId="77777777" w:rsidR="003F0AB7" w:rsidRDefault="0073180B">
            <w:pPr>
              <w:spacing w:line="480" w:lineRule="auto"/>
              <w:rPr>
                <w:rFonts w:ascii="Arial" w:eastAsia="Arial" w:hAnsi="Arial" w:cs="Arial"/>
              </w:rPr>
            </w:pPr>
            <w:r>
              <w:rPr>
                <w:rFonts w:ascii="Arial" w:eastAsia="Arial" w:hAnsi="Arial" w:cs="Arial"/>
              </w:rPr>
              <w:t xml:space="preserve"> </w:t>
            </w:r>
          </w:p>
        </w:tc>
        <w:tc>
          <w:tcPr>
            <w:tcW w:w="1559" w:type="dxa"/>
            <w:tcBorders>
              <w:top w:val="single" w:sz="5" w:space="0" w:color="000000"/>
              <w:left w:val="nil"/>
              <w:bottom w:val="nil"/>
              <w:right w:val="nil"/>
            </w:tcBorders>
            <w:tcMar>
              <w:top w:w="0" w:type="dxa"/>
              <w:left w:w="0" w:type="dxa"/>
              <w:bottom w:w="0" w:type="dxa"/>
              <w:right w:w="0" w:type="dxa"/>
            </w:tcMar>
          </w:tcPr>
          <w:p w14:paraId="1BEF5507" w14:textId="77777777" w:rsidR="003F0AB7" w:rsidRDefault="0073180B">
            <w:pPr>
              <w:spacing w:line="480" w:lineRule="auto"/>
              <w:rPr>
                <w:rFonts w:ascii="Arial" w:eastAsia="Arial" w:hAnsi="Arial" w:cs="Arial"/>
              </w:rPr>
            </w:pPr>
            <w:r>
              <w:rPr>
                <w:rFonts w:ascii="Arial" w:eastAsia="Arial" w:hAnsi="Arial" w:cs="Arial"/>
              </w:rPr>
              <w:t xml:space="preserve"> </w:t>
            </w:r>
          </w:p>
        </w:tc>
        <w:tc>
          <w:tcPr>
            <w:tcW w:w="1560" w:type="dxa"/>
            <w:tcBorders>
              <w:top w:val="single" w:sz="5" w:space="0" w:color="000000"/>
              <w:left w:val="nil"/>
              <w:bottom w:val="nil"/>
              <w:right w:val="nil"/>
            </w:tcBorders>
            <w:tcMar>
              <w:top w:w="0" w:type="dxa"/>
              <w:left w:w="0" w:type="dxa"/>
              <w:bottom w:w="0" w:type="dxa"/>
              <w:right w:w="0" w:type="dxa"/>
            </w:tcMar>
          </w:tcPr>
          <w:p w14:paraId="479DA91C" w14:textId="77777777" w:rsidR="003F0AB7" w:rsidRDefault="0073180B">
            <w:pPr>
              <w:spacing w:line="480" w:lineRule="auto"/>
              <w:rPr>
                <w:rFonts w:ascii="Arial" w:eastAsia="Arial" w:hAnsi="Arial" w:cs="Arial"/>
              </w:rPr>
            </w:pPr>
            <w:r>
              <w:rPr>
                <w:rFonts w:ascii="Arial" w:eastAsia="Arial" w:hAnsi="Arial" w:cs="Arial"/>
              </w:rPr>
              <w:t xml:space="preserve"> </w:t>
            </w:r>
          </w:p>
        </w:tc>
      </w:tr>
      <w:tr w:rsidR="003F0AB7" w14:paraId="58B1A140" w14:textId="77777777">
        <w:trPr>
          <w:trHeight w:val="308"/>
        </w:trPr>
        <w:tc>
          <w:tcPr>
            <w:tcW w:w="1843" w:type="dxa"/>
            <w:tcBorders>
              <w:top w:val="nil"/>
              <w:left w:val="nil"/>
              <w:bottom w:val="nil"/>
              <w:right w:val="nil"/>
            </w:tcBorders>
            <w:tcMar>
              <w:top w:w="0" w:type="dxa"/>
              <w:left w:w="0" w:type="dxa"/>
              <w:bottom w:w="0" w:type="dxa"/>
              <w:right w:w="0" w:type="dxa"/>
            </w:tcMar>
          </w:tcPr>
          <w:p w14:paraId="31E856FE" w14:textId="77777777" w:rsidR="003F0AB7" w:rsidRDefault="0073180B">
            <w:pPr>
              <w:spacing w:line="480" w:lineRule="auto"/>
              <w:rPr>
                <w:rFonts w:ascii="Arial" w:eastAsia="Arial" w:hAnsi="Arial" w:cs="Arial"/>
              </w:rPr>
            </w:pPr>
            <w:r>
              <w:rPr>
                <w:rFonts w:ascii="Arial" w:eastAsia="Arial" w:hAnsi="Arial" w:cs="Arial"/>
              </w:rPr>
              <w:t xml:space="preserve">Normal </w:t>
            </w:r>
          </w:p>
        </w:tc>
        <w:tc>
          <w:tcPr>
            <w:tcW w:w="1701" w:type="dxa"/>
            <w:tcBorders>
              <w:top w:val="nil"/>
              <w:left w:val="nil"/>
              <w:bottom w:val="nil"/>
              <w:right w:val="nil"/>
            </w:tcBorders>
            <w:tcMar>
              <w:top w:w="0" w:type="dxa"/>
              <w:left w:w="0" w:type="dxa"/>
              <w:bottom w:w="0" w:type="dxa"/>
              <w:right w:w="0" w:type="dxa"/>
            </w:tcMar>
          </w:tcPr>
          <w:p w14:paraId="395E1E99" w14:textId="77777777" w:rsidR="003F0AB7" w:rsidRDefault="0073180B">
            <w:pPr>
              <w:spacing w:line="480" w:lineRule="auto"/>
              <w:rPr>
                <w:rFonts w:ascii="Arial" w:eastAsia="Arial" w:hAnsi="Arial" w:cs="Arial"/>
              </w:rPr>
            </w:pPr>
            <w:r>
              <w:rPr>
                <w:rFonts w:ascii="Arial" w:eastAsia="Arial" w:hAnsi="Arial" w:cs="Arial"/>
              </w:rPr>
              <w:t>98.5% (65/66)</w:t>
            </w:r>
            <w:r>
              <w:rPr>
                <w:rFonts w:ascii="Arial" w:eastAsia="Arial" w:hAnsi="Arial" w:cs="Arial"/>
                <w:vertAlign w:val="superscript"/>
              </w:rPr>
              <w:t>a</w:t>
            </w:r>
            <w:r>
              <w:rPr>
                <w:rFonts w:ascii="Arial" w:eastAsia="Arial" w:hAnsi="Arial" w:cs="Arial"/>
              </w:rPr>
              <w:t xml:space="preserve">  </w:t>
            </w:r>
          </w:p>
        </w:tc>
        <w:tc>
          <w:tcPr>
            <w:tcW w:w="1701" w:type="dxa"/>
            <w:tcBorders>
              <w:top w:val="nil"/>
              <w:left w:val="nil"/>
              <w:bottom w:val="nil"/>
              <w:right w:val="nil"/>
            </w:tcBorders>
            <w:tcMar>
              <w:top w:w="0" w:type="dxa"/>
              <w:left w:w="0" w:type="dxa"/>
              <w:bottom w:w="0" w:type="dxa"/>
              <w:right w:w="0" w:type="dxa"/>
            </w:tcMar>
          </w:tcPr>
          <w:p w14:paraId="6AC8A2A1" w14:textId="00D4E901" w:rsidR="003F0AB7" w:rsidRDefault="0073180B">
            <w:pPr>
              <w:spacing w:line="480" w:lineRule="auto"/>
              <w:rPr>
                <w:rFonts w:ascii="Arial" w:eastAsia="Arial" w:hAnsi="Arial" w:cs="Arial"/>
                <w:color w:val="D13438"/>
              </w:rPr>
            </w:pPr>
            <w:r>
              <w:rPr>
                <w:rFonts w:ascii="Arial" w:eastAsia="Arial" w:hAnsi="Arial" w:cs="Arial"/>
              </w:rPr>
              <w:t>100.0% (45/45)</w:t>
            </w:r>
            <w:r>
              <w:rPr>
                <w:rFonts w:ascii="Arial" w:eastAsia="Arial" w:hAnsi="Arial" w:cs="Arial"/>
                <w:vertAlign w:val="superscript"/>
              </w:rPr>
              <w:t>a</w:t>
            </w:r>
            <w:r>
              <w:rPr>
                <w:rFonts w:ascii="Arial" w:eastAsia="Arial" w:hAnsi="Arial" w:cs="Arial"/>
                <w:color w:val="D13438"/>
              </w:rPr>
              <w:t xml:space="preserve">  </w:t>
            </w:r>
          </w:p>
        </w:tc>
        <w:tc>
          <w:tcPr>
            <w:tcW w:w="1559" w:type="dxa"/>
            <w:tcBorders>
              <w:top w:val="nil"/>
              <w:left w:val="nil"/>
              <w:bottom w:val="nil"/>
              <w:right w:val="nil"/>
            </w:tcBorders>
            <w:tcMar>
              <w:top w:w="0" w:type="dxa"/>
              <w:left w:w="0" w:type="dxa"/>
              <w:bottom w:w="0" w:type="dxa"/>
              <w:right w:w="0" w:type="dxa"/>
            </w:tcMar>
          </w:tcPr>
          <w:p w14:paraId="2E13EC88" w14:textId="5CFEE8DC" w:rsidR="003F0AB7" w:rsidRDefault="0073180B">
            <w:pPr>
              <w:spacing w:line="480" w:lineRule="auto"/>
              <w:rPr>
                <w:rFonts w:ascii="Arial" w:eastAsia="Arial" w:hAnsi="Arial" w:cs="Arial"/>
                <w:b/>
                <w:color w:val="D13438"/>
              </w:rPr>
            </w:pPr>
            <w:r>
              <w:rPr>
                <w:rFonts w:ascii="Arial" w:eastAsia="Arial" w:hAnsi="Arial" w:cs="Arial"/>
              </w:rPr>
              <w:t>100.0%</w:t>
            </w:r>
            <w:r w:rsidR="00972984">
              <w:rPr>
                <w:rFonts w:ascii="Arial" w:eastAsia="Arial" w:hAnsi="Arial" w:cs="Arial"/>
              </w:rPr>
              <w:t xml:space="preserve"> </w:t>
            </w:r>
            <w:r>
              <w:rPr>
                <w:rFonts w:ascii="Arial" w:eastAsia="Arial" w:hAnsi="Arial" w:cs="Arial"/>
              </w:rPr>
              <w:t>(44/44)</w:t>
            </w:r>
            <w:r>
              <w:rPr>
                <w:rFonts w:ascii="Arial" w:eastAsia="Arial" w:hAnsi="Arial" w:cs="Arial"/>
                <w:vertAlign w:val="superscript"/>
              </w:rPr>
              <w:t>a</w:t>
            </w:r>
            <w:r>
              <w:rPr>
                <w:rFonts w:ascii="Arial" w:eastAsia="Arial" w:hAnsi="Arial" w:cs="Arial"/>
                <w:b/>
                <w:color w:val="D13438"/>
              </w:rPr>
              <w:t xml:space="preserve">  </w:t>
            </w:r>
          </w:p>
        </w:tc>
        <w:tc>
          <w:tcPr>
            <w:tcW w:w="1560" w:type="dxa"/>
            <w:tcBorders>
              <w:top w:val="nil"/>
              <w:left w:val="nil"/>
              <w:bottom w:val="nil"/>
              <w:right w:val="nil"/>
            </w:tcBorders>
            <w:tcMar>
              <w:top w:w="0" w:type="dxa"/>
              <w:left w:w="0" w:type="dxa"/>
              <w:bottom w:w="0" w:type="dxa"/>
              <w:right w:w="0" w:type="dxa"/>
            </w:tcMar>
          </w:tcPr>
          <w:p w14:paraId="4D65E291" w14:textId="1A03E8AE" w:rsidR="003F0AB7" w:rsidRDefault="0073180B">
            <w:pPr>
              <w:spacing w:line="480" w:lineRule="auto"/>
              <w:rPr>
                <w:rFonts w:ascii="Arial" w:eastAsia="Arial" w:hAnsi="Arial" w:cs="Arial"/>
                <w:b/>
                <w:color w:val="D13438"/>
              </w:rPr>
            </w:pPr>
            <w:r>
              <w:rPr>
                <w:rFonts w:ascii="Arial" w:eastAsia="Arial" w:hAnsi="Arial" w:cs="Arial"/>
              </w:rPr>
              <w:t>97.6%</w:t>
            </w:r>
            <w:r w:rsidR="00972984">
              <w:rPr>
                <w:rFonts w:ascii="Arial" w:eastAsia="Arial" w:hAnsi="Arial" w:cs="Arial"/>
              </w:rPr>
              <w:t xml:space="preserve"> </w:t>
            </w:r>
            <w:r>
              <w:rPr>
                <w:rFonts w:ascii="Arial" w:eastAsia="Arial" w:hAnsi="Arial" w:cs="Arial"/>
              </w:rPr>
              <w:t>(41/42)</w:t>
            </w:r>
            <w:r>
              <w:rPr>
                <w:rFonts w:ascii="Arial" w:eastAsia="Arial" w:hAnsi="Arial" w:cs="Arial"/>
                <w:vertAlign w:val="superscript"/>
              </w:rPr>
              <w:t>a</w:t>
            </w:r>
            <w:r>
              <w:rPr>
                <w:rFonts w:ascii="Arial" w:eastAsia="Arial" w:hAnsi="Arial" w:cs="Arial"/>
                <w:b/>
                <w:color w:val="D13438"/>
              </w:rPr>
              <w:t xml:space="preserve">  </w:t>
            </w:r>
          </w:p>
        </w:tc>
      </w:tr>
      <w:tr w:rsidR="003F0AB7" w14:paraId="743377CB" w14:textId="77777777">
        <w:trPr>
          <w:trHeight w:val="82"/>
        </w:trPr>
        <w:tc>
          <w:tcPr>
            <w:tcW w:w="1843" w:type="dxa"/>
            <w:tcBorders>
              <w:top w:val="nil"/>
              <w:left w:val="nil"/>
              <w:bottom w:val="nil"/>
              <w:right w:val="nil"/>
            </w:tcBorders>
            <w:tcMar>
              <w:top w:w="0" w:type="dxa"/>
              <w:left w:w="0" w:type="dxa"/>
              <w:bottom w:w="0" w:type="dxa"/>
              <w:right w:w="0" w:type="dxa"/>
            </w:tcMar>
          </w:tcPr>
          <w:p w14:paraId="31840684" w14:textId="77777777" w:rsidR="003F0AB7" w:rsidRDefault="0073180B">
            <w:pPr>
              <w:spacing w:line="480" w:lineRule="auto"/>
              <w:rPr>
                <w:rFonts w:ascii="Arial" w:eastAsia="Arial" w:hAnsi="Arial" w:cs="Arial"/>
              </w:rPr>
            </w:pPr>
            <w:r>
              <w:rPr>
                <w:rFonts w:ascii="Arial" w:eastAsia="Arial" w:hAnsi="Arial" w:cs="Arial"/>
              </w:rPr>
              <w:t xml:space="preserve">Degenerated  </w:t>
            </w:r>
          </w:p>
        </w:tc>
        <w:tc>
          <w:tcPr>
            <w:tcW w:w="1701" w:type="dxa"/>
            <w:tcBorders>
              <w:top w:val="nil"/>
              <w:left w:val="nil"/>
              <w:bottom w:val="nil"/>
              <w:right w:val="nil"/>
            </w:tcBorders>
            <w:tcMar>
              <w:top w:w="0" w:type="dxa"/>
              <w:left w:w="0" w:type="dxa"/>
              <w:bottom w:w="0" w:type="dxa"/>
              <w:right w:w="0" w:type="dxa"/>
            </w:tcMar>
          </w:tcPr>
          <w:p w14:paraId="30FACFDE" w14:textId="199351BC" w:rsidR="003F0AB7" w:rsidRDefault="0073180B">
            <w:pPr>
              <w:spacing w:line="480" w:lineRule="auto"/>
              <w:rPr>
                <w:rFonts w:ascii="Arial" w:eastAsia="Arial" w:hAnsi="Arial" w:cs="Arial"/>
              </w:rPr>
            </w:pPr>
            <w:r>
              <w:rPr>
                <w:rFonts w:ascii="Arial" w:eastAsia="Arial" w:hAnsi="Arial" w:cs="Arial"/>
              </w:rPr>
              <w:t>1.5% (1/66)</w:t>
            </w:r>
            <w:r>
              <w:rPr>
                <w:rFonts w:ascii="Arial" w:eastAsia="Arial" w:hAnsi="Arial" w:cs="Arial"/>
                <w:vertAlign w:val="superscript"/>
              </w:rPr>
              <w:t>a</w:t>
            </w:r>
            <w:r>
              <w:rPr>
                <w:rFonts w:ascii="Arial" w:eastAsia="Arial" w:hAnsi="Arial" w:cs="Arial"/>
              </w:rPr>
              <w:t xml:space="preserve">  </w:t>
            </w:r>
          </w:p>
        </w:tc>
        <w:tc>
          <w:tcPr>
            <w:tcW w:w="1701" w:type="dxa"/>
            <w:tcBorders>
              <w:top w:val="nil"/>
              <w:left w:val="nil"/>
              <w:bottom w:val="nil"/>
              <w:right w:val="nil"/>
            </w:tcBorders>
            <w:tcMar>
              <w:top w:w="0" w:type="dxa"/>
              <w:left w:w="0" w:type="dxa"/>
              <w:bottom w:w="0" w:type="dxa"/>
              <w:right w:w="0" w:type="dxa"/>
            </w:tcMar>
          </w:tcPr>
          <w:p w14:paraId="2105504A" w14:textId="43B34EEB" w:rsidR="003F0AB7" w:rsidRDefault="0073180B">
            <w:pPr>
              <w:spacing w:line="480" w:lineRule="auto"/>
              <w:rPr>
                <w:rFonts w:ascii="Arial" w:eastAsia="Arial" w:hAnsi="Arial" w:cs="Arial"/>
              </w:rPr>
            </w:pPr>
            <w:r>
              <w:rPr>
                <w:rFonts w:ascii="Arial" w:eastAsia="Arial" w:hAnsi="Arial" w:cs="Arial"/>
              </w:rPr>
              <w:t>0.0% (0/66)</w:t>
            </w:r>
            <w:r>
              <w:rPr>
                <w:rFonts w:ascii="Arial" w:eastAsia="Arial" w:hAnsi="Arial" w:cs="Arial"/>
                <w:vertAlign w:val="superscript"/>
              </w:rPr>
              <w:t>a</w:t>
            </w:r>
            <w:r>
              <w:rPr>
                <w:rFonts w:ascii="Arial" w:eastAsia="Arial" w:hAnsi="Arial" w:cs="Arial"/>
              </w:rPr>
              <w:t xml:space="preserve">  </w:t>
            </w:r>
          </w:p>
        </w:tc>
        <w:tc>
          <w:tcPr>
            <w:tcW w:w="1559" w:type="dxa"/>
            <w:tcBorders>
              <w:top w:val="nil"/>
              <w:left w:val="nil"/>
              <w:bottom w:val="nil"/>
              <w:right w:val="nil"/>
            </w:tcBorders>
            <w:tcMar>
              <w:top w:w="0" w:type="dxa"/>
              <w:left w:w="0" w:type="dxa"/>
              <w:bottom w:w="0" w:type="dxa"/>
              <w:right w:w="0" w:type="dxa"/>
            </w:tcMar>
          </w:tcPr>
          <w:p w14:paraId="63E5FC26" w14:textId="3A383988" w:rsidR="003F0AB7" w:rsidRDefault="0073180B">
            <w:pPr>
              <w:spacing w:line="480" w:lineRule="auto"/>
              <w:rPr>
                <w:rFonts w:ascii="Arial" w:eastAsia="Arial" w:hAnsi="Arial" w:cs="Arial"/>
              </w:rPr>
            </w:pPr>
            <w:r>
              <w:rPr>
                <w:rFonts w:ascii="Arial" w:eastAsia="Arial" w:hAnsi="Arial" w:cs="Arial"/>
              </w:rPr>
              <w:t>0.0%</w:t>
            </w:r>
            <w:r w:rsidR="00972984">
              <w:rPr>
                <w:rFonts w:ascii="Arial" w:eastAsia="Arial" w:hAnsi="Arial" w:cs="Arial"/>
              </w:rPr>
              <w:t xml:space="preserve"> </w:t>
            </w:r>
            <w:r>
              <w:rPr>
                <w:rFonts w:ascii="Arial" w:eastAsia="Arial" w:hAnsi="Arial" w:cs="Arial"/>
              </w:rPr>
              <w:t>(0/44)</w:t>
            </w:r>
            <w:r>
              <w:rPr>
                <w:rFonts w:ascii="Arial" w:eastAsia="Arial" w:hAnsi="Arial" w:cs="Arial"/>
                <w:vertAlign w:val="superscript"/>
              </w:rPr>
              <w:t>a</w:t>
            </w:r>
            <w:r>
              <w:rPr>
                <w:rFonts w:ascii="Arial" w:eastAsia="Arial" w:hAnsi="Arial" w:cs="Arial"/>
              </w:rPr>
              <w:t xml:space="preserve">  </w:t>
            </w:r>
          </w:p>
        </w:tc>
        <w:tc>
          <w:tcPr>
            <w:tcW w:w="1560" w:type="dxa"/>
            <w:tcBorders>
              <w:top w:val="nil"/>
              <w:left w:val="nil"/>
              <w:bottom w:val="nil"/>
              <w:right w:val="nil"/>
            </w:tcBorders>
            <w:tcMar>
              <w:top w:w="0" w:type="dxa"/>
              <w:left w:w="0" w:type="dxa"/>
              <w:bottom w:w="0" w:type="dxa"/>
              <w:right w:w="0" w:type="dxa"/>
            </w:tcMar>
          </w:tcPr>
          <w:p w14:paraId="090732C5" w14:textId="05E76827" w:rsidR="003F0AB7" w:rsidRDefault="0073180B">
            <w:pPr>
              <w:spacing w:line="480" w:lineRule="auto"/>
              <w:rPr>
                <w:rFonts w:ascii="Arial" w:eastAsia="Arial" w:hAnsi="Arial" w:cs="Arial"/>
              </w:rPr>
            </w:pPr>
            <w:r>
              <w:rPr>
                <w:rFonts w:ascii="Arial" w:eastAsia="Arial" w:hAnsi="Arial" w:cs="Arial"/>
              </w:rPr>
              <w:t>2.4% (1/42)</w:t>
            </w:r>
            <w:r>
              <w:rPr>
                <w:rFonts w:ascii="Arial" w:eastAsia="Arial" w:hAnsi="Arial" w:cs="Arial"/>
                <w:vertAlign w:val="superscript"/>
              </w:rPr>
              <w:t>a</w:t>
            </w:r>
            <w:r>
              <w:rPr>
                <w:rFonts w:ascii="Arial" w:eastAsia="Arial" w:hAnsi="Arial" w:cs="Arial"/>
              </w:rPr>
              <w:t xml:space="preserve">  </w:t>
            </w:r>
          </w:p>
        </w:tc>
      </w:tr>
      <w:tr w:rsidR="003F0AB7" w14:paraId="23B20071" w14:textId="77777777">
        <w:trPr>
          <w:trHeight w:val="493"/>
        </w:trPr>
        <w:tc>
          <w:tcPr>
            <w:tcW w:w="1843" w:type="dxa"/>
            <w:tcBorders>
              <w:top w:val="nil"/>
              <w:left w:val="nil"/>
              <w:bottom w:val="nil"/>
              <w:right w:val="nil"/>
            </w:tcBorders>
            <w:tcMar>
              <w:top w:w="0" w:type="dxa"/>
              <w:left w:w="0" w:type="dxa"/>
              <w:bottom w:w="0" w:type="dxa"/>
              <w:right w:w="0" w:type="dxa"/>
            </w:tcMar>
          </w:tcPr>
          <w:p w14:paraId="7587AAD7" w14:textId="77777777" w:rsidR="003F0AB7" w:rsidRDefault="0073180B">
            <w:pPr>
              <w:spacing w:line="480" w:lineRule="auto"/>
              <w:rPr>
                <w:rFonts w:ascii="Arial" w:eastAsia="Arial" w:hAnsi="Arial" w:cs="Arial"/>
                <w:color w:val="0078D4"/>
              </w:rPr>
            </w:pPr>
            <w:r>
              <w:rPr>
                <w:rFonts w:ascii="Arial" w:eastAsia="Arial" w:hAnsi="Arial" w:cs="Arial"/>
                <w:b/>
              </w:rPr>
              <w:t>Primary follicles</w:t>
            </w:r>
            <w:r>
              <w:rPr>
                <w:rFonts w:ascii="Arial" w:eastAsia="Arial" w:hAnsi="Arial" w:cs="Arial"/>
                <w:color w:val="0078D4"/>
              </w:rPr>
              <w:t xml:space="preserve"> </w:t>
            </w:r>
          </w:p>
        </w:tc>
        <w:tc>
          <w:tcPr>
            <w:tcW w:w="1701" w:type="dxa"/>
            <w:tcBorders>
              <w:top w:val="nil"/>
              <w:left w:val="nil"/>
              <w:bottom w:val="nil"/>
              <w:right w:val="nil"/>
            </w:tcBorders>
            <w:tcMar>
              <w:top w:w="0" w:type="dxa"/>
              <w:left w:w="0" w:type="dxa"/>
              <w:bottom w:w="0" w:type="dxa"/>
              <w:right w:w="0" w:type="dxa"/>
            </w:tcMar>
          </w:tcPr>
          <w:p w14:paraId="70B2034C" w14:textId="77777777" w:rsidR="003F0AB7" w:rsidRDefault="003F0AB7">
            <w:pPr>
              <w:spacing w:line="480" w:lineRule="auto"/>
              <w:rPr>
                <w:rFonts w:ascii="Arial" w:eastAsia="Arial" w:hAnsi="Arial" w:cs="Arial"/>
              </w:rPr>
            </w:pPr>
          </w:p>
        </w:tc>
        <w:tc>
          <w:tcPr>
            <w:tcW w:w="1701" w:type="dxa"/>
            <w:tcBorders>
              <w:top w:val="nil"/>
              <w:left w:val="nil"/>
              <w:bottom w:val="nil"/>
              <w:right w:val="nil"/>
            </w:tcBorders>
            <w:tcMar>
              <w:top w:w="0" w:type="dxa"/>
              <w:left w:w="0" w:type="dxa"/>
              <w:bottom w:w="0" w:type="dxa"/>
              <w:right w:w="0" w:type="dxa"/>
            </w:tcMar>
          </w:tcPr>
          <w:p w14:paraId="78356AEC" w14:textId="77777777" w:rsidR="003F0AB7" w:rsidRDefault="003F0AB7">
            <w:pPr>
              <w:spacing w:line="480" w:lineRule="auto"/>
              <w:rPr>
                <w:rFonts w:ascii="Arial" w:eastAsia="Arial" w:hAnsi="Arial" w:cs="Arial"/>
              </w:rPr>
            </w:pPr>
          </w:p>
        </w:tc>
        <w:tc>
          <w:tcPr>
            <w:tcW w:w="1559" w:type="dxa"/>
            <w:tcBorders>
              <w:top w:val="nil"/>
              <w:left w:val="nil"/>
              <w:bottom w:val="nil"/>
              <w:right w:val="nil"/>
            </w:tcBorders>
            <w:tcMar>
              <w:top w:w="0" w:type="dxa"/>
              <w:left w:w="0" w:type="dxa"/>
              <w:bottom w:w="0" w:type="dxa"/>
              <w:right w:w="0" w:type="dxa"/>
            </w:tcMar>
          </w:tcPr>
          <w:p w14:paraId="3453EABA" w14:textId="77777777" w:rsidR="003F0AB7" w:rsidRDefault="003F0AB7">
            <w:pPr>
              <w:spacing w:line="480" w:lineRule="auto"/>
              <w:rPr>
                <w:rFonts w:ascii="Arial" w:eastAsia="Arial" w:hAnsi="Arial" w:cs="Arial"/>
              </w:rPr>
            </w:pPr>
          </w:p>
        </w:tc>
        <w:tc>
          <w:tcPr>
            <w:tcW w:w="1560" w:type="dxa"/>
            <w:tcBorders>
              <w:top w:val="nil"/>
              <w:left w:val="nil"/>
              <w:bottom w:val="nil"/>
              <w:right w:val="nil"/>
            </w:tcBorders>
            <w:tcMar>
              <w:top w:w="0" w:type="dxa"/>
              <w:left w:w="0" w:type="dxa"/>
              <w:bottom w:w="0" w:type="dxa"/>
              <w:right w:w="0" w:type="dxa"/>
            </w:tcMar>
          </w:tcPr>
          <w:p w14:paraId="1260B950" w14:textId="77777777" w:rsidR="003F0AB7" w:rsidRDefault="003F0AB7">
            <w:pPr>
              <w:spacing w:line="480" w:lineRule="auto"/>
              <w:rPr>
                <w:rFonts w:ascii="Arial" w:eastAsia="Arial" w:hAnsi="Arial" w:cs="Arial"/>
              </w:rPr>
            </w:pPr>
          </w:p>
        </w:tc>
      </w:tr>
      <w:tr w:rsidR="003F0AB7" w14:paraId="0E8C6733" w14:textId="77777777">
        <w:trPr>
          <w:trHeight w:val="403"/>
        </w:trPr>
        <w:tc>
          <w:tcPr>
            <w:tcW w:w="1843" w:type="dxa"/>
            <w:tcBorders>
              <w:top w:val="nil"/>
              <w:left w:val="nil"/>
              <w:bottom w:val="nil"/>
              <w:right w:val="nil"/>
            </w:tcBorders>
            <w:tcMar>
              <w:top w:w="0" w:type="dxa"/>
              <w:left w:w="0" w:type="dxa"/>
              <w:bottom w:w="0" w:type="dxa"/>
              <w:right w:w="0" w:type="dxa"/>
            </w:tcMar>
          </w:tcPr>
          <w:p w14:paraId="7EC7A260" w14:textId="77777777" w:rsidR="003F0AB7" w:rsidRDefault="0073180B">
            <w:pPr>
              <w:spacing w:line="480" w:lineRule="auto"/>
              <w:rPr>
                <w:rFonts w:ascii="Arial" w:eastAsia="Arial" w:hAnsi="Arial" w:cs="Arial"/>
              </w:rPr>
            </w:pPr>
            <w:r>
              <w:rPr>
                <w:rFonts w:ascii="Arial" w:eastAsia="Arial" w:hAnsi="Arial" w:cs="Arial"/>
              </w:rPr>
              <w:t xml:space="preserve">Normal </w:t>
            </w:r>
          </w:p>
          <w:p w14:paraId="4BAD26F9" w14:textId="77777777" w:rsidR="003F0AB7" w:rsidRDefault="0073180B">
            <w:pPr>
              <w:spacing w:line="480" w:lineRule="auto"/>
              <w:rPr>
                <w:rFonts w:ascii="Arial" w:eastAsia="Arial" w:hAnsi="Arial" w:cs="Arial"/>
                <w:color w:val="D13438"/>
              </w:rPr>
            </w:pPr>
            <w:r>
              <w:rPr>
                <w:rFonts w:ascii="Arial" w:eastAsia="Arial" w:hAnsi="Arial" w:cs="Arial"/>
              </w:rPr>
              <w:t>Degenerated</w:t>
            </w:r>
            <w:r>
              <w:rPr>
                <w:rFonts w:ascii="Arial" w:eastAsia="Arial" w:hAnsi="Arial" w:cs="Arial"/>
                <w:color w:val="D13438"/>
              </w:rPr>
              <w:t xml:space="preserve">  </w:t>
            </w:r>
          </w:p>
        </w:tc>
        <w:tc>
          <w:tcPr>
            <w:tcW w:w="1701" w:type="dxa"/>
            <w:tcBorders>
              <w:top w:val="nil"/>
              <w:left w:val="nil"/>
              <w:bottom w:val="nil"/>
              <w:right w:val="nil"/>
            </w:tcBorders>
            <w:tcMar>
              <w:top w:w="0" w:type="dxa"/>
              <w:left w:w="0" w:type="dxa"/>
              <w:bottom w:w="0" w:type="dxa"/>
              <w:right w:w="0" w:type="dxa"/>
            </w:tcMar>
          </w:tcPr>
          <w:p w14:paraId="4CBD0017" w14:textId="57A33D78" w:rsidR="003F0AB7" w:rsidRDefault="0073180B">
            <w:pPr>
              <w:spacing w:line="480" w:lineRule="auto"/>
              <w:rPr>
                <w:rFonts w:ascii="Arial" w:eastAsia="Arial" w:hAnsi="Arial" w:cs="Arial"/>
                <w:color w:val="D13438"/>
              </w:rPr>
            </w:pPr>
            <w:r>
              <w:rPr>
                <w:rFonts w:ascii="Arial" w:eastAsia="Arial" w:hAnsi="Arial" w:cs="Arial"/>
              </w:rPr>
              <w:t>97.0% (65/67)</w:t>
            </w:r>
            <w:r>
              <w:rPr>
                <w:rFonts w:ascii="Arial" w:eastAsia="Arial" w:hAnsi="Arial" w:cs="Arial"/>
                <w:vertAlign w:val="superscript"/>
              </w:rPr>
              <w:t>a</w:t>
            </w:r>
            <w:r>
              <w:rPr>
                <w:rFonts w:ascii="Arial" w:eastAsia="Arial" w:hAnsi="Arial" w:cs="Arial"/>
                <w:color w:val="D13438"/>
              </w:rPr>
              <w:t xml:space="preserve">  </w:t>
            </w:r>
          </w:p>
          <w:p w14:paraId="09B93FD6" w14:textId="2C7A1609" w:rsidR="003F0AB7" w:rsidRDefault="0073180B">
            <w:pPr>
              <w:spacing w:line="480" w:lineRule="auto"/>
              <w:rPr>
                <w:rFonts w:ascii="Arial" w:eastAsia="Arial" w:hAnsi="Arial" w:cs="Arial"/>
                <w:b/>
              </w:rPr>
            </w:pPr>
            <w:r>
              <w:rPr>
                <w:rFonts w:ascii="Arial" w:eastAsia="Arial" w:hAnsi="Arial" w:cs="Arial"/>
              </w:rPr>
              <w:t>3,0% (2/67)</w:t>
            </w:r>
            <w:r>
              <w:rPr>
                <w:rFonts w:ascii="Arial" w:eastAsia="Arial" w:hAnsi="Arial" w:cs="Arial"/>
                <w:vertAlign w:val="superscript"/>
              </w:rPr>
              <w:t>a</w:t>
            </w:r>
          </w:p>
        </w:tc>
        <w:tc>
          <w:tcPr>
            <w:tcW w:w="1701" w:type="dxa"/>
            <w:tcBorders>
              <w:top w:val="nil"/>
              <w:left w:val="nil"/>
              <w:bottom w:val="nil"/>
              <w:right w:val="nil"/>
            </w:tcBorders>
            <w:tcMar>
              <w:top w:w="0" w:type="dxa"/>
              <w:left w:w="0" w:type="dxa"/>
              <w:bottom w:w="0" w:type="dxa"/>
              <w:right w:w="0" w:type="dxa"/>
            </w:tcMar>
          </w:tcPr>
          <w:p w14:paraId="22D2A12D" w14:textId="50E761E4" w:rsidR="003F0AB7" w:rsidRDefault="0073180B">
            <w:pPr>
              <w:spacing w:line="480" w:lineRule="auto"/>
              <w:rPr>
                <w:rFonts w:ascii="Arial" w:eastAsia="Arial" w:hAnsi="Arial" w:cs="Arial"/>
                <w:color w:val="D13438"/>
              </w:rPr>
            </w:pPr>
            <w:r>
              <w:rPr>
                <w:rFonts w:ascii="Arial" w:eastAsia="Arial" w:hAnsi="Arial" w:cs="Arial"/>
              </w:rPr>
              <w:t>97.0% (66/68)</w:t>
            </w:r>
            <w:r>
              <w:rPr>
                <w:rFonts w:ascii="Arial" w:eastAsia="Arial" w:hAnsi="Arial" w:cs="Arial"/>
                <w:vertAlign w:val="superscript"/>
              </w:rPr>
              <w:t>a</w:t>
            </w:r>
            <w:r>
              <w:rPr>
                <w:rFonts w:ascii="Arial" w:eastAsia="Arial" w:hAnsi="Arial" w:cs="Arial"/>
                <w:color w:val="D13438"/>
              </w:rPr>
              <w:t xml:space="preserve">  </w:t>
            </w:r>
          </w:p>
          <w:p w14:paraId="057E0A2D" w14:textId="62AC3142" w:rsidR="003F0AB7" w:rsidRDefault="0073180B">
            <w:pPr>
              <w:spacing w:line="480" w:lineRule="auto"/>
              <w:rPr>
                <w:rFonts w:ascii="Arial" w:eastAsia="Arial" w:hAnsi="Arial" w:cs="Arial"/>
                <w:b/>
              </w:rPr>
            </w:pPr>
            <w:r>
              <w:rPr>
                <w:rFonts w:ascii="Arial" w:eastAsia="Arial" w:hAnsi="Arial" w:cs="Arial"/>
              </w:rPr>
              <w:t>3,0% (2/68)</w:t>
            </w:r>
            <w:r>
              <w:rPr>
                <w:rFonts w:ascii="Arial" w:eastAsia="Arial" w:hAnsi="Arial" w:cs="Arial"/>
                <w:vertAlign w:val="superscript"/>
              </w:rPr>
              <w:t>a</w:t>
            </w:r>
          </w:p>
        </w:tc>
        <w:tc>
          <w:tcPr>
            <w:tcW w:w="1559" w:type="dxa"/>
            <w:tcBorders>
              <w:top w:val="nil"/>
              <w:left w:val="nil"/>
              <w:bottom w:val="nil"/>
              <w:right w:val="nil"/>
            </w:tcBorders>
            <w:tcMar>
              <w:top w:w="0" w:type="dxa"/>
              <w:left w:w="0" w:type="dxa"/>
              <w:bottom w:w="0" w:type="dxa"/>
              <w:right w:w="0" w:type="dxa"/>
            </w:tcMar>
          </w:tcPr>
          <w:p w14:paraId="4F59171F" w14:textId="7BB99BA3" w:rsidR="003F0AB7" w:rsidRDefault="0073180B">
            <w:pPr>
              <w:spacing w:line="480" w:lineRule="auto"/>
              <w:rPr>
                <w:rFonts w:ascii="Arial" w:eastAsia="Arial" w:hAnsi="Arial" w:cs="Arial"/>
                <w:color w:val="D13438"/>
              </w:rPr>
            </w:pPr>
            <w:r>
              <w:rPr>
                <w:rFonts w:ascii="Arial" w:eastAsia="Arial" w:hAnsi="Arial" w:cs="Arial"/>
              </w:rPr>
              <w:t>92.3% (48/52)</w:t>
            </w:r>
            <w:r>
              <w:rPr>
                <w:rFonts w:ascii="Arial" w:eastAsia="Arial" w:hAnsi="Arial" w:cs="Arial"/>
                <w:vertAlign w:val="superscript"/>
              </w:rPr>
              <w:t>a</w:t>
            </w:r>
            <w:r>
              <w:rPr>
                <w:rFonts w:ascii="Arial" w:eastAsia="Arial" w:hAnsi="Arial" w:cs="Arial"/>
                <w:color w:val="D13438"/>
              </w:rPr>
              <w:t xml:space="preserve">  </w:t>
            </w:r>
          </w:p>
          <w:p w14:paraId="27D8D1A3" w14:textId="02EA9097" w:rsidR="003F0AB7" w:rsidRDefault="0073180B">
            <w:pPr>
              <w:spacing w:line="480" w:lineRule="auto"/>
              <w:rPr>
                <w:rFonts w:ascii="Arial" w:eastAsia="Arial" w:hAnsi="Arial" w:cs="Arial"/>
                <w:b/>
              </w:rPr>
            </w:pPr>
            <w:r>
              <w:rPr>
                <w:rFonts w:ascii="Arial" w:eastAsia="Arial" w:hAnsi="Arial" w:cs="Arial"/>
              </w:rPr>
              <w:t>7.7% (4/52)</w:t>
            </w:r>
            <w:r>
              <w:rPr>
                <w:rFonts w:ascii="Arial" w:eastAsia="Arial" w:hAnsi="Arial" w:cs="Arial"/>
                <w:vertAlign w:val="superscript"/>
              </w:rPr>
              <w:t>a</w:t>
            </w:r>
          </w:p>
        </w:tc>
        <w:tc>
          <w:tcPr>
            <w:tcW w:w="1560" w:type="dxa"/>
            <w:tcBorders>
              <w:top w:val="nil"/>
              <w:left w:val="nil"/>
              <w:bottom w:val="nil"/>
              <w:right w:val="nil"/>
            </w:tcBorders>
            <w:tcMar>
              <w:top w:w="0" w:type="dxa"/>
              <w:left w:w="0" w:type="dxa"/>
              <w:bottom w:w="0" w:type="dxa"/>
              <w:right w:w="0" w:type="dxa"/>
            </w:tcMar>
          </w:tcPr>
          <w:p w14:paraId="43EF17BB" w14:textId="556C705F" w:rsidR="003F0AB7" w:rsidRDefault="0073180B">
            <w:pPr>
              <w:spacing w:line="480" w:lineRule="auto"/>
              <w:rPr>
                <w:rFonts w:ascii="Arial" w:eastAsia="Arial" w:hAnsi="Arial" w:cs="Arial"/>
                <w:b/>
              </w:rPr>
            </w:pPr>
            <w:r>
              <w:rPr>
                <w:rFonts w:ascii="Arial" w:eastAsia="Arial" w:hAnsi="Arial" w:cs="Arial"/>
              </w:rPr>
              <w:t>94.7% (72/76)</w:t>
            </w:r>
            <w:r>
              <w:rPr>
                <w:rFonts w:ascii="Arial" w:eastAsia="Arial" w:hAnsi="Arial" w:cs="Arial"/>
                <w:vertAlign w:val="superscript"/>
              </w:rPr>
              <w:t>a</w:t>
            </w:r>
            <w:r>
              <w:rPr>
                <w:rFonts w:ascii="Arial" w:eastAsia="Arial" w:hAnsi="Arial" w:cs="Arial"/>
                <w:b/>
              </w:rPr>
              <w:t xml:space="preserve">  </w:t>
            </w:r>
          </w:p>
          <w:p w14:paraId="466E3FA5" w14:textId="1A94B18F" w:rsidR="003F0AB7" w:rsidRDefault="0073180B">
            <w:pPr>
              <w:spacing w:line="480" w:lineRule="auto"/>
              <w:rPr>
                <w:rFonts w:ascii="Arial" w:eastAsia="Arial" w:hAnsi="Arial" w:cs="Arial"/>
              </w:rPr>
            </w:pPr>
            <w:r>
              <w:rPr>
                <w:rFonts w:ascii="Arial" w:eastAsia="Arial" w:hAnsi="Arial" w:cs="Arial"/>
              </w:rPr>
              <w:t>5.3% (4/76)</w:t>
            </w:r>
            <w:r>
              <w:rPr>
                <w:rFonts w:ascii="Arial" w:eastAsia="Arial" w:hAnsi="Arial" w:cs="Arial"/>
                <w:vertAlign w:val="superscript"/>
              </w:rPr>
              <w:t>a</w:t>
            </w:r>
            <w:r>
              <w:rPr>
                <w:rFonts w:ascii="Arial" w:eastAsia="Arial" w:hAnsi="Arial" w:cs="Arial"/>
                <w:color w:val="0078D4"/>
                <w:u w:val="single"/>
              </w:rPr>
              <w:t xml:space="preserve">  </w:t>
            </w:r>
            <w:r>
              <w:rPr>
                <w:rFonts w:ascii="Arial" w:eastAsia="Arial" w:hAnsi="Arial" w:cs="Arial"/>
              </w:rPr>
              <w:t xml:space="preserve"> </w:t>
            </w:r>
          </w:p>
        </w:tc>
      </w:tr>
      <w:tr w:rsidR="003F0AB7" w14:paraId="4D1BE185" w14:textId="77777777">
        <w:trPr>
          <w:trHeight w:val="235"/>
        </w:trPr>
        <w:tc>
          <w:tcPr>
            <w:tcW w:w="1843" w:type="dxa"/>
            <w:tcBorders>
              <w:top w:val="nil"/>
              <w:left w:val="nil"/>
              <w:bottom w:val="nil"/>
              <w:right w:val="nil"/>
            </w:tcBorders>
            <w:tcMar>
              <w:top w:w="0" w:type="dxa"/>
              <w:left w:w="0" w:type="dxa"/>
              <w:bottom w:w="0" w:type="dxa"/>
              <w:right w:w="0" w:type="dxa"/>
            </w:tcMar>
          </w:tcPr>
          <w:p w14:paraId="3B5FC33A" w14:textId="77777777" w:rsidR="003F0AB7" w:rsidRDefault="0073180B">
            <w:pPr>
              <w:spacing w:line="480" w:lineRule="auto"/>
              <w:rPr>
                <w:rFonts w:ascii="Arial" w:eastAsia="Arial" w:hAnsi="Arial" w:cs="Arial"/>
                <w:color w:val="0078D4"/>
              </w:rPr>
            </w:pPr>
            <w:r>
              <w:rPr>
                <w:rFonts w:ascii="Arial" w:eastAsia="Arial" w:hAnsi="Arial" w:cs="Arial"/>
                <w:b/>
              </w:rPr>
              <w:t>Secondary follicles</w:t>
            </w:r>
            <w:r>
              <w:rPr>
                <w:rFonts w:ascii="Arial" w:eastAsia="Arial" w:hAnsi="Arial" w:cs="Arial"/>
                <w:color w:val="0078D4"/>
              </w:rPr>
              <w:t xml:space="preserve"> </w:t>
            </w:r>
          </w:p>
        </w:tc>
        <w:tc>
          <w:tcPr>
            <w:tcW w:w="1701" w:type="dxa"/>
            <w:tcBorders>
              <w:top w:val="nil"/>
              <w:left w:val="nil"/>
              <w:bottom w:val="nil"/>
              <w:right w:val="nil"/>
            </w:tcBorders>
            <w:tcMar>
              <w:top w:w="0" w:type="dxa"/>
              <w:left w:w="0" w:type="dxa"/>
              <w:bottom w:w="0" w:type="dxa"/>
              <w:right w:w="0" w:type="dxa"/>
            </w:tcMar>
          </w:tcPr>
          <w:p w14:paraId="63D16EA5" w14:textId="77777777" w:rsidR="003F0AB7" w:rsidRDefault="0073180B">
            <w:pPr>
              <w:spacing w:line="480" w:lineRule="auto"/>
              <w:rPr>
                <w:rFonts w:ascii="Arial" w:eastAsia="Arial" w:hAnsi="Arial" w:cs="Arial"/>
              </w:rPr>
            </w:pPr>
            <w:r>
              <w:rPr>
                <w:rFonts w:ascii="Arial" w:eastAsia="Arial" w:hAnsi="Arial" w:cs="Arial"/>
              </w:rPr>
              <w:t xml:space="preserve"> </w:t>
            </w:r>
          </w:p>
        </w:tc>
        <w:tc>
          <w:tcPr>
            <w:tcW w:w="1701" w:type="dxa"/>
            <w:tcBorders>
              <w:top w:val="nil"/>
              <w:left w:val="nil"/>
              <w:bottom w:val="nil"/>
              <w:right w:val="nil"/>
            </w:tcBorders>
            <w:tcMar>
              <w:top w:w="0" w:type="dxa"/>
              <w:left w:w="0" w:type="dxa"/>
              <w:bottom w:w="0" w:type="dxa"/>
              <w:right w:w="0" w:type="dxa"/>
            </w:tcMar>
          </w:tcPr>
          <w:p w14:paraId="748EA354" w14:textId="77777777" w:rsidR="003F0AB7" w:rsidRDefault="0073180B">
            <w:pPr>
              <w:spacing w:line="480" w:lineRule="auto"/>
              <w:rPr>
                <w:rFonts w:ascii="Arial" w:eastAsia="Arial" w:hAnsi="Arial" w:cs="Arial"/>
              </w:rPr>
            </w:pPr>
            <w:r>
              <w:rPr>
                <w:rFonts w:ascii="Arial" w:eastAsia="Arial" w:hAnsi="Arial" w:cs="Arial"/>
              </w:rPr>
              <w:t xml:space="preserve"> </w:t>
            </w:r>
          </w:p>
        </w:tc>
        <w:tc>
          <w:tcPr>
            <w:tcW w:w="1559" w:type="dxa"/>
            <w:tcBorders>
              <w:top w:val="nil"/>
              <w:left w:val="nil"/>
              <w:bottom w:val="nil"/>
              <w:right w:val="nil"/>
            </w:tcBorders>
            <w:tcMar>
              <w:top w:w="0" w:type="dxa"/>
              <w:left w:w="0" w:type="dxa"/>
              <w:bottom w:w="0" w:type="dxa"/>
              <w:right w:w="0" w:type="dxa"/>
            </w:tcMar>
          </w:tcPr>
          <w:p w14:paraId="1F1CC33B" w14:textId="77777777" w:rsidR="003F0AB7" w:rsidRDefault="0073180B">
            <w:pPr>
              <w:spacing w:line="480" w:lineRule="auto"/>
              <w:rPr>
                <w:rFonts w:ascii="Arial" w:eastAsia="Arial" w:hAnsi="Arial" w:cs="Arial"/>
              </w:rPr>
            </w:pPr>
            <w:r>
              <w:rPr>
                <w:rFonts w:ascii="Arial" w:eastAsia="Arial" w:hAnsi="Arial" w:cs="Arial"/>
              </w:rPr>
              <w:t xml:space="preserve"> </w:t>
            </w:r>
          </w:p>
        </w:tc>
        <w:tc>
          <w:tcPr>
            <w:tcW w:w="1560" w:type="dxa"/>
            <w:tcBorders>
              <w:top w:val="nil"/>
              <w:left w:val="nil"/>
              <w:bottom w:val="nil"/>
              <w:right w:val="nil"/>
            </w:tcBorders>
            <w:tcMar>
              <w:top w:w="0" w:type="dxa"/>
              <w:left w:w="0" w:type="dxa"/>
              <w:bottom w:w="0" w:type="dxa"/>
              <w:right w:w="0" w:type="dxa"/>
            </w:tcMar>
          </w:tcPr>
          <w:p w14:paraId="2D7A6FB3" w14:textId="77777777" w:rsidR="003F0AB7" w:rsidRDefault="0073180B">
            <w:pPr>
              <w:spacing w:line="480" w:lineRule="auto"/>
              <w:rPr>
                <w:rFonts w:ascii="Arial" w:eastAsia="Arial" w:hAnsi="Arial" w:cs="Arial"/>
              </w:rPr>
            </w:pPr>
            <w:r>
              <w:rPr>
                <w:rFonts w:ascii="Arial" w:eastAsia="Arial" w:hAnsi="Arial" w:cs="Arial"/>
              </w:rPr>
              <w:t xml:space="preserve"> </w:t>
            </w:r>
          </w:p>
        </w:tc>
      </w:tr>
      <w:tr w:rsidR="003F0AB7" w14:paraId="11F56660" w14:textId="77777777">
        <w:trPr>
          <w:trHeight w:val="308"/>
        </w:trPr>
        <w:tc>
          <w:tcPr>
            <w:tcW w:w="1843" w:type="dxa"/>
            <w:tcBorders>
              <w:top w:val="nil"/>
              <w:left w:val="nil"/>
              <w:bottom w:val="nil"/>
              <w:right w:val="nil"/>
            </w:tcBorders>
            <w:tcMar>
              <w:top w:w="0" w:type="dxa"/>
              <w:left w:w="0" w:type="dxa"/>
              <w:bottom w:w="0" w:type="dxa"/>
              <w:right w:w="0" w:type="dxa"/>
            </w:tcMar>
          </w:tcPr>
          <w:p w14:paraId="41A78DB3" w14:textId="77777777" w:rsidR="003F0AB7" w:rsidRDefault="0073180B">
            <w:pPr>
              <w:spacing w:line="480" w:lineRule="auto"/>
              <w:rPr>
                <w:rFonts w:ascii="Arial" w:eastAsia="Arial" w:hAnsi="Arial" w:cs="Arial"/>
                <w:color w:val="D13438"/>
              </w:rPr>
            </w:pPr>
            <w:r>
              <w:rPr>
                <w:rFonts w:ascii="Arial" w:eastAsia="Arial" w:hAnsi="Arial" w:cs="Arial"/>
              </w:rPr>
              <w:t>Normal</w:t>
            </w:r>
            <w:r>
              <w:rPr>
                <w:rFonts w:ascii="Arial" w:eastAsia="Arial" w:hAnsi="Arial" w:cs="Arial"/>
                <w:color w:val="D13438"/>
              </w:rPr>
              <w:t xml:space="preserve">  </w:t>
            </w:r>
          </w:p>
        </w:tc>
        <w:tc>
          <w:tcPr>
            <w:tcW w:w="1701" w:type="dxa"/>
            <w:tcBorders>
              <w:top w:val="nil"/>
              <w:left w:val="nil"/>
              <w:bottom w:val="nil"/>
              <w:right w:val="nil"/>
            </w:tcBorders>
            <w:tcMar>
              <w:top w:w="0" w:type="dxa"/>
              <w:left w:w="0" w:type="dxa"/>
              <w:bottom w:w="0" w:type="dxa"/>
              <w:right w:w="0" w:type="dxa"/>
            </w:tcMar>
          </w:tcPr>
          <w:p w14:paraId="53F3D276" w14:textId="3C1FD9E8" w:rsidR="003F0AB7" w:rsidRDefault="0073180B">
            <w:pPr>
              <w:spacing w:line="480" w:lineRule="auto"/>
              <w:rPr>
                <w:rFonts w:ascii="Arial" w:eastAsia="Arial" w:hAnsi="Arial" w:cs="Arial"/>
              </w:rPr>
            </w:pPr>
            <w:r>
              <w:rPr>
                <w:rFonts w:ascii="Arial" w:eastAsia="Arial" w:hAnsi="Arial" w:cs="Arial"/>
              </w:rPr>
              <w:t>93.9% (138/147)</w:t>
            </w:r>
            <w:r>
              <w:rPr>
                <w:rFonts w:ascii="Arial" w:eastAsia="Arial" w:hAnsi="Arial" w:cs="Arial"/>
                <w:vertAlign w:val="superscript"/>
              </w:rPr>
              <w:t>a</w:t>
            </w:r>
            <w:r>
              <w:rPr>
                <w:rFonts w:ascii="Arial" w:eastAsia="Arial" w:hAnsi="Arial" w:cs="Arial"/>
              </w:rPr>
              <w:t xml:space="preserve">  </w:t>
            </w:r>
          </w:p>
        </w:tc>
        <w:tc>
          <w:tcPr>
            <w:tcW w:w="1701" w:type="dxa"/>
            <w:tcBorders>
              <w:top w:val="nil"/>
              <w:left w:val="nil"/>
              <w:bottom w:val="nil"/>
              <w:right w:val="nil"/>
            </w:tcBorders>
            <w:tcMar>
              <w:top w:w="0" w:type="dxa"/>
              <w:left w:w="0" w:type="dxa"/>
              <w:bottom w:w="0" w:type="dxa"/>
              <w:right w:w="0" w:type="dxa"/>
            </w:tcMar>
          </w:tcPr>
          <w:p w14:paraId="4BDDC8D1" w14:textId="2CF77A9D" w:rsidR="003F0AB7" w:rsidRDefault="0073180B">
            <w:pPr>
              <w:spacing w:line="480" w:lineRule="auto"/>
              <w:rPr>
                <w:rFonts w:ascii="Arial" w:eastAsia="Arial" w:hAnsi="Arial" w:cs="Arial"/>
              </w:rPr>
            </w:pPr>
            <w:r>
              <w:rPr>
                <w:rFonts w:ascii="Arial" w:eastAsia="Arial" w:hAnsi="Arial" w:cs="Arial"/>
              </w:rPr>
              <w:t>89.0%</w:t>
            </w:r>
            <w:r w:rsidR="006855B1">
              <w:rPr>
                <w:rFonts w:ascii="Arial" w:eastAsia="Arial" w:hAnsi="Arial" w:cs="Arial"/>
              </w:rPr>
              <w:t xml:space="preserve"> </w:t>
            </w:r>
            <w:r>
              <w:rPr>
                <w:rFonts w:ascii="Arial" w:eastAsia="Arial" w:hAnsi="Arial" w:cs="Arial"/>
              </w:rPr>
              <w:t>(101/113)</w:t>
            </w:r>
            <w:r>
              <w:rPr>
                <w:rFonts w:ascii="Arial" w:eastAsia="Arial" w:hAnsi="Arial" w:cs="Arial"/>
                <w:vertAlign w:val="superscript"/>
              </w:rPr>
              <w:t>a</w:t>
            </w:r>
            <w:r>
              <w:rPr>
                <w:rFonts w:ascii="Arial" w:eastAsia="Arial" w:hAnsi="Arial" w:cs="Arial"/>
              </w:rPr>
              <w:t xml:space="preserve">  </w:t>
            </w:r>
          </w:p>
        </w:tc>
        <w:tc>
          <w:tcPr>
            <w:tcW w:w="1559" w:type="dxa"/>
            <w:tcBorders>
              <w:top w:val="nil"/>
              <w:left w:val="nil"/>
              <w:bottom w:val="nil"/>
              <w:right w:val="nil"/>
            </w:tcBorders>
            <w:tcMar>
              <w:top w:w="0" w:type="dxa"/>
              <w:left w:w="0" w:type="dxa"/>
              <w:bottom w:w="0" w:type="dxa"/>
              <w:right w:w="0" w:type="dxa"/>
            </w:tcMar>
          </w:tcPr>
          <w:p w14:paraId="166DCC80" w14:textId="2D27B101" w:rsidR="003F0AB7" w:rsidRDefault="0073180B">
            <w:pPr>
              <w:spacing w:line="480" w:lineRule="auto"/>
              <w:rPr>
                <w:rFonts w:ascii="Arial" w:eastAsia="Arial" w:hAnsi="Arial" w:cs="Arial"/>
              </w:rPr>
            </w:pPr>
            <w:r>
              <w:rPr>
                <w:rFonts w:ascii="Arial" w:eastAsia="Arial" w:hAnsi="Arial" w:cs="Arial"/>
              </w:rPr>
              <w:t>69.5% (66/95)</w:t>
            </w:r>
            <w:r>
              <w:rPr>
                <w:rFonts w:ascii="Arial" w:eastAsia="Arial" w:hAnsi="Arial" w:cs="Arial"/>
                <w:vertAlign w:val="superscript"/>
              </w:rPr>
              <w:t>b</w:t>
            </w:r>
            <w:r>
              <w:rPr>
                <w:rFonts w:ascii="Arial" w:eastAsia="Arial" w:hAnsi="Arial" w:cs="Arial"/>
                <w:b/>
              </w:rPr>
              <w:t xml:space="preserve"> </w:t>
            </w:r>
            <w:r>
              <w:rPr>
                <w:rFonts w:ascii="Arial" w:eastAsia="Arial" w:hAnsi="Arial" w:cs="Arial"/>
              </w:rPr>
              <w:t xml:space="preserve"> </w:t>
            </w:r>
          </w:p>
        </w:tc>
        <w:tc>
          <w:tcPr>
            <w:tcW w:w="1560" w:type="dxa"/>
            <w:tcBorders>
              <w:top w:val="nil"/>
              <w:left w:val="nil"/>
              <w:bottom w:val="nil"/>
              <w:right w:val="nil"/>
            </w:tcBorders>
            <w:tcMar>
              <w:top w:w="0" w:type="dxa"/>
              <w:left w:w="0" w:type="dxa"/>
              <w:bottom w:w="0" w:type="dxa"/>
              <w:right w:w="0" w:type="dxa"/>
            </w:tcMar>
          </w:tcPr>
          <w:p w14:paraId="0D4B046C" w14:textId="66BE3047" w:rsidR="003F0AB7" w:rsidRDefault="0073180B">
            <w:pPr>
              <w:spacing w:line="480" w:lineRule="auto"/>
              <w:rPr>
                <w:rFonts w:ascii="Arial" w:eastAsia="Arial" w:hAnsi="Arial" w:cs="Arial"/>
              </w:rPr>
            </w:pPr>
            <w:r>
              <w:rPr>
                <w:rFonts w:ascii="Arial" w:eastAsia="Arial" w:hAnsi="Arial" w:cs="Arial"/>
              </w:rPr>
              <w:t>68.8% (86/125)</w:t>
            </w:r>
            <w:r>
              <w:rPr>
                <w:rFonts w:ascii="Arial" w:eastAsia="Arial" w:hAnsi="Arial" w:cs="Arial"/>
                <w:vertAlign w:val="superscript"/>
              </w:rPr>
              <w:t>b</w:t>
            </w:r>
            <w:r>
              <w:rPr>
                <w:rFonts w:ascii="Arial" w:eastAsia="Arial" w:hAnsi="Arial" w:cs="Arial"/>
              </w:rPr>
              <w:t xml:space="preserve">  </w:t>
            </w:r>
          </w:p>
        </w:tc>
      </w:tr>
      <w:tr w:rsidR="003F0AB7" w14:paraId="53BB404D" w14:textId="77777777">
        <w:trPr>
          <w:trHeight w:val="418"/>
        </w:trPr>
        <w:tc>
          <w:tcPr>
            <w:tcW w:w="1843" w:type="dxa"/>
            <w:tcBorders>
              <w:top w:val="nil"/>
              <w:left w:val="nil"/>
              <w:bottom w:val="nil"/>
              <w:right w:val="nil"/>
            </w:tcBorders>
            <w:tcMar>
              <w:top w:w="0" w:type="dxa"/>
              <w:left w:w="0" w:type="dxa"/>
              <w:bottom w:w="0" w:type="dxa"/>
              <w:right w:w="0" w:type="dxa"/>
            </w:tcMar>
          </w:tcPr>
          <w:p w14:paraId="0E651AC3" w14:textId="77777777" w:rsidR="003F0AB7" w:rsidRDefault="0073180B">
            <w:pPr>
              <w:spacing w:line="480" w:lineRule="auto"/>
              <w:rPr>
                <w:rFonts w:ascii="Arial" w:eastAsia="Arial" w:hAnsi="Arial" w:cs="Arial"/>
                <w:color w:val="D13438"/>
              </w:rPr>
            </w:pPr>
            <w:r>
              <w:rPr>
                <w:rFonts w:ascii="Arial" w:eastAsia="Arial" w:hAnsi="Arial" w:cs="Arial"/>
              </w:rPr>
              <w:t xml:space="preserve">Degenerated  </w:t>
            </w:r>
            <w:r>
              <w:rPr>
                <w:rFonts w:ascii="Arial" w:eastAsia="Arial" w:hAnsi="Arial" w:cs="Arial"/>
                <w:color w:val="D13438"/>
              </w:rPr>
              <w:t xml:space="preserve"> </w:t>
            </w:r>
          </w:p>
        </w:tc>
        <w:tc>
          <w:tcPr>
            <w:tcW w:w="1701" w:type="dxa"/>
            <w:tcBorders>
              <w:top w:val="nil"/>
              <w:left w:val="nil"/>
              <w:bottom w:val="nil"/>
              <w:right w:val="nil"/>
            </w:tcBorders>
            <w:tcMar>
              <w:top w:w="0" w:type="dxa"/>
              <w:left w:w="0" w:type="dxa"/>
              <w:bottom w:w="0" w:type="dxa"/>
              <w:right w:w="0" w:type="dxa"/>
            </w:tcMar>
          </w:tcPr>
          <w:p w14:paraId="57C072EB" w14:textId="294F077C" w:rsidR="003F0AB7" w:rsidRDefault="0073180B">
            <w:pPr>
              <w:spacing w:line="480" w:lineRule="auto"/>
              <w:rPr>
                <w:rFonts w:ascii="Arial" w:eastAsia="Arial" w:hAnsi="Arial" w:cs="Arial"/>
              </w:rPr>
            </w:pPr>
            <w:r>
              <w:rPr>
                <w:rFonts w:ascii="Arial" w:eastAsia="Arial" w:hAnsi="Arial" w:cs="Arial"/>
              </w:rPr>
              <w:t>6.1% (9/147)</w:t>
            </w:r>
            <w:r>
              <w:rPr>
                <w:rFonts w:ascii="Arial" w:eastAsia="Arial" w:hAnsi="Arial" w:cs="Arial"/>
                <w:vertAlign w:val="superscript"/>
              </w:rPr>
              <w:t>a</w:t>
            </w:r>
            <w:r>
              <w:rPr>
                <w:rFonts w:ascii="Arial" w:eastAsia="Arial" w:hAnsi="Arial" w:cs="Arial"/>
              </w:rPr>
              <w:t xml:space="preserve">  </w:t>
            </w:r>
          </w:p>
        </w:tc>
        <w:tc>
          <w:tcPr>
            <w:tcW w:w="1701" w:type="dxa"/>
            <w:tcBorders>
              <w:top w:val="nil"/>
              <w:left w:val="nil"/>
              <w:bottom w:val="nil"/>
              <w:right w:val="nil"/>
            </w:tcBorders>
            <w:tcMar>
              <w:top w:w="0" w:type="dxa"/>
              <w:left w:w="0" w:type="dxa"/>
              <w:bottom w:w="0" w:type="dxa"/>
              <w:right w:w="0" w:type="dxa"/>
            </w:tcMar>
          </w:tcPr>
          <w:p w14:paraId="0D059789" w14:textId="57DEE4E8" w:rsidR="003F0AB7" w:rsidRDefault="0073180B">
            <w:pPr>
              <w:spacing w:line="480" w:lineRule="auto"/>
              <w:rPr>
                <w:rFonts w:ascii="Arial" w:eastAsia="Arial" w:hAnsi="Arial" w:cs="Arial"/>
              </w:rPr>
            </w:pPr>
            <w:r>
              <w:rPr>
                <w:rFonts w:ascii="Arial" w:eastAsia="Arial" w:hAnsi="Arial" w:cs="Arial"/>
              </w:rPr>
              <w:t>10.0% (12/113)</w:t>
            </w:r>
            <w:r>
              <w:rPr>
                <w:rFonts w:ascii="Arial" w:eastAsia="Arial" w:hAnsi="Arial" w:cs="Arial"/>
                <w:vertAlign w:val="superscript"/>
              </w:rPr>
              <w:t>a</w:t>
            </w:r>
            <w:r>
              <w:rPr>
                <w:rFonts w:ascii="Arial" w:eastAsia="Arial" w:hAnsi="Arial" w:cs="Arial"/>
              </w:rPr>
              <w:t xml:space="preserve">  </w:t>
            </w:r>
          </w:p>
        </w:tc>
        <w:tc>
          <w:tcPr>
            <w:tcW w:w="1559" w:type="dxa"/>
            <w:tcBorders>
              <w:top w:val="nil"/>
              <w:left w:val="nil"/>
              <w:bottom w:val="nil"/>
              <w:right w:val="nil"/>
            </w:tcBorders>
            <w:tcMar>
              <w:top w:w="0" w:type="dxa"/>
              <w:left w:w="0" w:type="dxa"/>
              <w:bottom w:w="0" w:type="dxa"/>
              <w:right w:w="0" w:type="dxa"/>
            </w:tcMar>
          </w:tcPr>
          <w:p w14:paraId="2A932768" w14:textId="1D006F5A" w:rsidR="003F0AB7" w:rsidRDefault="0073180B">
            <w:pPr>
              <w:spacing w:line="480" w:lineRule="auto"/>
              <w:rPr>
                <w:rFonts w:ascii="Arial" w:eastAsia="Arial" w:hAnsi="Arial" w:cs="Arial"/>
                <w:b/>
              </w:rPr>
            </w:pPr>
            <w:r>
              <w:rPr>
                <w:rFonts w:ascii="Arial" w:eastAsia="Arial" w:hAnsi="Arial" w:cs="Arial"/>
              </w:rPr>
              <w:t>30.5% (29/95)</w:t>
            </w:r>
            <w:r>
              <w:rPr>
                <w:rFonts w:ascii="Arial" w:eastAsia="Arial" w:hAnsi="Arial" w:cs="Arial"/>
                <w:vertAlign w:val="superscript"/>
              </w:rPr>
              <w:t>b</w:t>
            </w:r>
            <w:r>
              <w:rPr>
                <w:rFonts w:ascii="Arial" w:eastAsia="Arial" w:hAnsi="Arial" w:cs="Arial"/>
                <w:b/>
              </w:rPr>
              <w:t xml:space="preserve">  </w:t>
            </w:r>
          </w:p>
        </w:tc>
        <w:tc>
          <w:tcPr>
            <w:tcW w:w="1560" w:type="dxa"/>
            <w:tcBorders>
              <w:top w:val="nil"/>
              <w:left w:val="nil"/>
              <w:bottom w:val="nil"/>
              <w:right w:val="nil"/>
            </w:tcBorders>
            <w:tcMar>
              <w:top w:w="0" w:type="dxa"/>
              <w:left w:w="0" w:type="dxa"/>
              <w:bottom w:w="0" w:type="dxa"/>
              <w:right w:w="0" w:type="dxa"/>
            </w:tcMar>
          </w:tcPr>
          <w:p w14:paraId="6A5B82F1" w14:textId="34BC85B8" w:rsidR="003F0AB7" w:rsidRDefault="0073180B">
            <w:pPr>
              <w:spacing w:line="480" w:lineRule="auto"/>
              <w:rPr>
                <w:rFonts w:ascii="Arial" w:eastAsia="Arial" w:hAnsi="Arial" w:cs="Arial"/>
              </w:rPr>
            </w:pPr>
            <w:r>
              <w:rPr>
                <w:rFonts w:ascii="Arial" w:eastAsia="Arial" w:hAnsi="Arial" w:cs="Arial"/>
              </w:rPr>
              <w:t>31.2% (39/125)</w:t>
            </w:r>
            <w:r>
              <w:rPr>
                <w:rFonts w:ascii="Arial" w:eastAsia="Arial" w:hAnsi="Arial" w:cs="Arial"/>
                <w:vertAlign w:val="superscript"/>
              </w:rPr>
              <w:t>b</w:t>
            </w:r>
            <w:r>
              <w:rPr>
                <w:rFonts w:ascii="Arial" w:eastAsia="Arial" w:hAnsi="Arial" w:cs="Arial"/>
              </w:rPr>
              <w:t xml:space="preserve">  </w:t>
            </w:r>
          </w:p>
        </w:tc>
      </w:tr>
      <w:tr w:rsidR="003F0AB7" w14:paraId="775179BF" w14:textId="77777777">
        <w:trPr>
          <w:trHeight w:val="308"/>
        </w:trPr>
        <w:tc>
          <w:tcPr>
            <w:tcW w:w="1843" w:type="dxa"/>
            <w:tcBorders>
              <w:top w:val="nil"/>
              <w:left w:val="nil"/>
              <w:bottom w:val="nil"/>
              <w:right w:val="nil"/>
            </w:tcBorders>
            <w:tcMar>
              <w:top w:w="0" w:type="dxa"/>
              <w:left w:w="0" w:type="dxa"/>
              <w:bottom w:w="0" w:type="dxa"/>
              <w:right w:w="0" w:type="dxa"/>
            </w:tcMar>
          </w:tcPr>
          <w:p w14:paraId="519EA143" w14:textId="77777777" w:rsidR="003F0AB7" w:rsidRDefault="0073180B">
            <w:pPr>
              <w:spacing w:line="480" w:lineRule="auto"/>
              <w:rPr>
                <w:rFonts w:ascii="Arial" w:eastAsia="Arial" w:hAnsi="Arial" w:cs="Arial"/>
                <w:color w:val="0078D4"/>
              </w:rPr>
            </w:pPr>
            <w:r>
              <w:rPr>
                <w:rFonts w:ascii="Arial" w:eastAsia="Arial" w:hAnsi="Arial" w:cs="Arial"/>
                <w:b/>
              </w:rPr>
              <w:t>Tertiary follicles</w:t>
            </w:r>
            <w:r>
              <w:rPr>
                <w:rFonts w:ascii="Arial" w:eastAsia="Arial" w:hAnsi="Arial" w:cs="Arial"/>
                <w:color w:val="0078D4"/>
              </w:rPr>
              <w:t xml:space="preserve"> </w:t>
            </w:r>
          </w:p>
        </w:tc>
        <w:tc>
          <w:tcPr>
            <w:tcW w:w="1701" w:type="dxa"/>
            <w:tcBorders>
              <w:top w:val="nil"/>
              <w:left w:val="nil"/>
              <w:bottom w:val="nil"/>
              <w:right w:val="nil"/>
            </w:tcBorders>
            <w:tcMar>
              <w:top w:w="0" w:type="dxa"/>
              <w:left w:w="0" w:type="dxa"/>
              <w:bottom w:w="0" w:type="dxa"/>
              <w:right w:w="0" w:type="dxa"/>
            </w:tcMar>
          </w:tcPr>
          <w:p w14:paraId="4D9D78A2" w14:textId="77777777" w:rsidR="003F0AB7" w:rsidRDefault="0073180B">
            <w:pPr>
              <w:spacing w:line="480" w:lineRule="auto"/>
              <w:rPr>
                <w:rFonts w:ascii="Arial" w:eastAsia="Arial" w:hAnsi="Arial" w:cs="Arial"/>
              </w:rPr>
            </w:pPr>
            <w:r>
              <w:rPr>
                <w:rFonts w:ascii="Arial" w:eastAsia="Arial" w:hAnsi="Arial" w:cs="Arial"/>
              </w:rPr>
              <w:t xml:space="preserve"> </w:t>
            </w:r>
          </w:p>
        </w:tc>
        <w:tc>
          <w:tcPr>
            <w:tcW w:w="1701" w:type="dxa"/>
            <w:tcBorders>
              <w:top w:val="nil"/>
              <w:left w:val="nil"/>
              <w:bottom w:val="nil"/>
              <w:right w:val="nil"/>
            </w:tcBorders>
            <w:tcMar>
              <w:top w:w="0" w:type="dxa"/>
              <w:left w:w="0" w:type="dxa"/>
              <w:bottom w:w="0" w:type="dxa"/>
              <w:right w:w="0" w:type="dxa"/>
            </w:tcMar>
          </w:tcPr>
          <w:p w14:paraId="2D29AAE8" w14:textId="77777777" w:rsidR="003F0AB7" w:rsidRDefault="0073180B">
            <w:pPr>
              <w:spacing w:line="480" w:lineRule="auto"/>
              <w:rPr>
                <w:rFonts w:ascii="Arial" w:eastAsia="Arial" w:hAnsi="Arial" w:cs="Arial"/>
              </w:rPr>
            </w:pPr>
            <w:r>
              <w:rPr>
                <w:rFonts w:ascii="Arial" w:eastAsia="Arial" w:hAnsi="Arial" w:cs="Arial"/>
              </w:rPr>
              <w:t xml:space="preserve"> </w:t>
            </w:r>
          </w:p>
        </w:tc>
        <w:tc>
          <w:tcPr>
            <w:tcW w:w="1559" w:type="dxa"/>
            <w:tcBorders>
              <w:top w:val="nil"/>
              <w:left w:val="nil"/>
              <w:bottom w:val="nil"/>
              <w:right w:val="nil"/>
            </w:tcBorders>
            <w:tcMar>
              <w:top w:w="0" w:type="dxa"/>
              <w:left w:w="0" w:type="dxa"/>
              <w:bottom w:w="0" w:type="dxa"/>
              <w:right w:w="0" w:type="dxa"/>
            </w:tcMar>
          </w:tcPr>
          <w:p w14:paraId="328E47C5" w14:textId="77777777" w:rsidR="003F0AB7" w:rsidRDefault="0073180B">
            <w:pPr>
              <w:spacing w:line="480" w:lineRule="auto"/>
              <w:rPr>
                <w:rFonts w:ascii="Arial" w:eastAsia="Arial" w:hAnsi="Arial" w:cs="Arial"/>
              </w:rPr>
            </w:pPr>
            <w:r>
              <w:rPr>
                <w:rFonts w:ascii="Arial" w:eastAsia="Arial" w:hAnsi="Arial" w:cs="Arial"/>
              </w:rPr>
              <w:t xml:space="preserve"> </w:t>
            </w:r>
          </w:p>
        </w:tc>
        <w:tc>
          <w:tcPr>
            <w:tcW w:w="1560" w:type="dxa"/>
            <w:tcBorders>
              <w:top w:val="nil"/>
              <w:left w:val="nil"/>
              <w:bottom w:val="nil"/>
              <w:right w:val="nil"/>
            </w:tcBorders>
            <w:tcMar>
              <w:top w:w="0" w:type="dxa"/>
              <w:left w:w="0" w:type="dxa"/>
              <w:bottom w:w="0" w:type="dxa"/>
              <w:right w:w="0" w:type="dxa"/>
            </w:tcMar>
          </w:tcPr>
          <w:p w14:paraId="176420F8" w14:textId="77777777" w:rsidR="003F0AB7" w:rsidRDefault="0073180B">
            <w:pPr>
              <w:spacing w:line="480" w:lineRule="auto"/>
              <w:rPr>
                <w:rFonts w:ascii="Arial" w:eastAsia="Arial" w:hAnsi="Arial" w:cs="Arial"/>
              </w:rPr>
            </w:pPr>
            <w:r>
              <w:rPr>
                <w:rFonts w:ascii="Arial" w:eastAsia="Arial" w:hAnsi="Arial" w:cs="Arial"/>
              </w:rPr>
              <w:t xml:space="preserve"> </w:t>
            </w:r>
          </w:p>
        </w:tc>
      </w:tr>
      <w:tr w:rsidR="003F0AB7" w14:paraId="1F277AFF" w14:textId="77777777">
        <w:trPr>
          <w:trHeight w:val="308"/>
        </w:trPr>
        <w:tc>
          <w:tcPr>
            <w:tcW w:w="1843" w:type="dxa"/>
            <w:tcBorders>
              <w:top w:val="nil"/>
              <w:left w:val="nil"/>
              <w:bottom w:val="nil"/>
              <w:right w:val="nil"/>
            </w:tcBorders>
            <w:tcMar>
              <w:top w:w="0" w:type="dxa"/>
              <w:left w:w="0" w:type="dxa"/>
              <w:bottom w:w="0" w:type="dxa"/>
              <w:right w:w="0" w:type="dxa"/>
            </w:tcMar>
          </w:tcPr>
          <w:p w14:paraId="0BB8824F" w14:textId="77777777" w:rsidR="003F0AB7" w:rsidRDefault="0073180B">
            <w:pPr>
              <w:spacing w:line="480" w:lineRule="auto"/>
              <w:rPr>
                <w:rFonts w:ascii="Arial" w:eastAsia="Arial" w:hAnsi="Arial" w:cs="Arial"/>
                <w:color w:val="D13438"/>
              </w:rPr>
            </w:pPr>
            <w:r>
              <w:rPr>
                <w:rFonts w:ascii="Arial" w:eastAsia="Arial" w:hAnsi="Arial" w:cs="Arial"/>
              </w:rPr>
              <w:t>Normal</w:t>
            </w:r>
          </w:p>
        </w:tc>
        <w:tc>
          <w:tcPr>
            <w:tcW w:w="1701" w:type="dxa"/>
            <w:tcBorders>
              <w:top w:val="nil"/>
              <w:left w:val="nil"/>
              <w:bottom w:val="nil"/>
              <w:right w:val="nil"/>
            </w:tcBorders>
            <w:tcMar>
              <w:top w:w="0" w:type="dxa"/>
              <w:left w:w="0" w:type="dxa"/>
              <w:bottom w:w="0" w:type="dxa"/>
              <w:right w:w="0" w:type="dxa"/>
            </w:tcMar>
          </w:tcPr>
          <w:p w14:paraId="406BD628" w14:textId="03DEB42B" w:rsidR="003F0AB7" w:rsidRDefault="0073180B">
            <w:pPr>
              <w:spacing w:line="480" w:lineRule="auto"/>
              <w:rPr>
                <w:rFonts w:ascii="Arial" w:eastAsia="Arial" w:hAnsi="Arial" w:cs="Arial"/>
              </w:rPr>
            </w:pPr>
            <w:r>
              <w:rPr>
                <w:rFonts w:ascii="Arial" w:eastAsia="Arial" w:hAnsi="Arial" w:cs="Arial"/>
              </w:rPr>
              <w:t>98.7% (77/78)</w:t>
            </w:r>
            <w:r>
              <w:rPr>
                <w:rFonts w:ascii="Arial" w:eastAsia="Arial" w:hAnsi="Arial" w:cs="Arial"/>
                <w:vertAlign w:val="superscript"/>
              </w:rPr>
              <w:t>a</w:t>
            </w:r>
            <w:r>
              <w:rPr>
                <w:rFonts w:ascii="Arial" w:eastAsia="Arial" w:hAnsi="Arial" w:cs="Arial"/>
              </w:rPr>
              <w:t xml:space="preserve">  </w:t>
            </w:r>
          </w:p>
        </w:tc>
        <w:tc>
          <w:tcPr>
            <w:tcW w:w="1701" w:type="dxa"/>
            <w:tcBorders>
              <w:top w:val="nil"/>
              <w:left w:val="nil"/>
              <w:bottom w:val="nil"/>
              <w:right w:val="nil"/>
            </w:tcBorders>
            <w:tcMar>
              <w:top w:w="0" w:type="dxa"/>
              <w:left w:w="0" w:type="dxa"/>
              <w:bottom w:w="0" w:type="dxa"/>
              <w:right w:w="0" w:type="dxa"/>
            </w:tcMar>
          </w:tcPr>
          <w:p w14:paraId="0403A4FC" w14:textId="41BCD25B" w:rsidR="003F0AB7" w:rsidRDefault="0073180B">
            <w:pPr>
              <w:spacing w:line="480" w:lineRule="auto"/>
              <w:rPr>
                <w:rFonts w:ascii="Arial" w:eastAsia="Arial" w:hAnsi="Arial" w:cs="Arial"/>
                <w:b/>
              </w:rPr>
            </w:pPr>
            <w:r>
              <w:rPr>
                <w:rFonts w:ascii="Arial" w:eastAsia="Arial" w:hAnsi="Arial" w:cs="Arial"/>
              </w:rPr>
              <w:t>97.3% (71/73)</w:t>
            </w:r>
            <w:r>
              <w:rPr>
                <w:rFonts w:ascii="Arial" w:eastAsia="Arial" w:hAnsi="Arial" w:cs="Arial"/>
                <w:vertAlign w:val="superscript"/>
              </w:rPr>
              <w:t>ac</w:t>
            </w:r>
            <w:r>
              <w:rPr>
                <w:rFonts w:ascii="Arial" w:eastAsia="Arial" w:hAnsi="Arial" w:cs="Arial"/>
                <w:b/>
              </w:rPr>
              <w:t xml:space="preserve">  </w:t>
            </w:r>
          </w:p>
        </w:tc>
        <w:tc>
          <w:tcPr>
            <w:tcW w:w="1559" w:type="dxa"/>
            <w:tcBorders>
              <w:top w:val="nil"/>
              <w:left w:val="nil"/>
              <w:bottom w:val="nil"/>
              <w:right w:val="nil"/>
            </w:tcBorders>
            <w:tcMar>
              <w:top w:w="0" w:type="dxa"/>
              <w:left w:w="0" w:type="dxa"/>
              <w:bottom w:w="0" w:type="dxa"/>
              <w:right w:w="0" w:type="dxa"/>
            </w:tcMar>
          </w:tcPr>
          <w:p w14:paraId="1ADD12F8" w14:textId="49DD16B4" w:rsidR="003F0AB7" w:rsidRDefault="0073180B">
            <w:pPr>
              <w:spacing w:line="480" w:lineRule="auto"/>
              <w:rPr>
                <w:rFonts w:ascii="Arial" w:eastAsia="Arial" w:hAnsi="Arial" w:cs="Arial"/>
              </w:rPr>
            </w:pPr>
            <w:r>
              <w:rPr>
                <w:rFonts w:ascii="Arial" w:eastAsia="Arial" w:hAnsi="Arial" w:cs="Arial"/>
              </w:rPr>
              <w:t>87.0% (60/69)</w:t>
            </w:r>
            <w:r>
              <w:rPr>
                <w:rFonts w:ascii="Arial" w:eastAsia="Arial" w:hAnsi="Arial" w:cs="Arial"/>
                <w:vertAlign w:val="superscript"/>
              </w:rPr>
              <w:t>b</w:t>
            </w:r>
            <w:r>
              <w:rPr>
                <w:rFonts w:ascii="Arial" w:eastAsia="Arial" w:hAnsi="Arial" w:cs="Arial"/>
              </w:rPr>
              <w:t xml:space="preserve">  </w:t>
            </w:r>
          </w:p>
        </w:tc>
        <w:tc>
          <w:tcPr>
            <w:tcW w:w="1560" w:type="dxa"/>
            <w:tcBorders>
              <w:top w:val="nil"/>
              <w:left w:val="nil"/>
              <w:bottom w:val="nil"/>
              <w:right w:val="nil"/>
            </w:tcBorders>
            <w:tcMar>
              <w:top w:w="0" w:type="dxa"/>
              <w:left w:w="0" w:type="dxa"/>
              <w:bottom w:w="0" w:type="dxa"/>
              <w:right w:w="0" w:type="dxa"/>
            </w:tcMar>
          </w:tcPr>
          <w:p w14:paraId="2E2D6925" w14:textId="3F62BC42" w:rsidR="003F0AB7" w:rsidRDefault="0073180B">
            <w:pPr>
              <w:spacing w:line="480" w:lineRule="auto"/>
              <w:rPr>
                <w:rFonts w:ascii="Arial" w:eastAsia="Arial" w:hAnsi="Arial" w:cs="Arial"/>
              </w:rPr>
            </w:pPr>
            <w:r>
              <w:rPr>
                <w:rFonts w:ascii="Arial" w:eastAsia="Arial" w:hAnsi="Arial" w:cs="Arial"/>
              </w:rPr>
              <w:t>77.6% (59/76)</w:t>
            </w:r>
            <w:proofErr w:type="spellStart"/>
            <w:r>
              <w:rPr>
                <w:rFonts w:ascii="Arial" w:eastAsia="Arial" w:hAnsi="Arial" w:cs="Arial"/>
                <w:vertAlign w:val="superscript"/>
              </w:rPr>
              <w:t>bc</w:t>
            </w:r>
            <w:proofErr w:type="spellEnd"/>
            <w:r>
              <w:rPr>
                <w:rFonts w:ascii="Arial" w:eastAsia="Arial" w:hAnsi="Arial" w:cs="Arial"/>
                <w:b/>
              </w:rPr>
              <w:t xml:space="preserve"> </w:t>
            </w:r>
            <w:r>
              <w:rPr>
                <w:rFonts w:ascii="Arial" w:eastAsia="Arial" w:hAnsi="Arial" w:cs="Arial"/>
              </w:rPr>
              <w:t xml:space="preserve"> </w:t>
            </w:r>
          </w:p>
        </w:tc>
      </w:tr>
      <w:tr w:rsidR="003F0AB7" w14:paraId="79E8E9C4" w14:textId="77777777">
        <w:trPr>
          <w:trHeight w:val="308"/>
        </w:trPr>
        <w:tc>
          <w:tcPr>
            <w:tcW w:w="1843" w:type="dxa"/>
            <w:tcBorders>
              <w:top w:val="nil"/>
              <w:left w:val="nil"/>
              <w:bottom w:val="single" w:sz="5" w:space="0" w:color="000000"/>
              <w:right w:val="nil"/>
            </w:tcBorders>
            <w:tcMar>
              <w:top w:w="0" w:type="dxa"/>
              <w:left w:w="0" w:type="dxa"/>
              <w:bottom w:w="0" w:type="dxa"/>
              <w:right w:w="0" w:type="dxa"/>
            </w:tcMar>
          </w:tcPr>
          <w:p w14:paraId="48A65836" w14:textId="77777777" w:rsidR="003F0AB7" w:rsidRDefault="0073180B">
            <w:pPr>
              <w:spacing w:line="480" w:lineRule="auto"/>
              <w:rPr>
                <w:rFonts w:ascii="Arial" w:eastAsia="Arial" w:hAnsi="Arial" w:cs="Arial"/>
                <w:color w:val="D13438"/>
              </w:rPr>
            </w:pPr>
            <w:r>
              <w:rPr>
                <w:rFonts w:ascii="Arial" w:eastAsia="Arial" w:hAnsi="Arial" w:cs="Arial"/>
              </w:rPr>
              <w:t xml:space="preserve">Degenerated  </w:t>
            </w:r>
            <w:r>
              <w:rPr>
                <w:rFonts w:ascii="Arial" w:eastAsia="Arial" w:hAnsi="Arial" w:cs="Arial"/>
                <w:color w:val="D13438"/>
              </w:rPr>
              <w:t xml:space="preserve"> </w:t>
            </w:r>
          </w:p>
        </w:tc>
        <w:tc>
          <w:tcPr>
            <w:tcW w:w="1701" w:type="dxa"/>
            <w:tcBorders>
              <w:top w:val="nil"/>
              <w:left w:val="nil"/>
              <w:bottom w:val="single" w:sz="5" w:space="0" w:color="000000"/>
              <w:right w:val="nil"/>
            </w:tcBorders>
            <w:tcMar>
              <w:top w:w="0" w:type="dxa"/>
              <w:left w:w="0" w:type="dxa"/>
              <w:bottom w:w="0" w:type="dxa"/>
              <w:right w:w="0" w:type="dxa"/>
            </w:tcMar>
          </w:tcPr>
          <w:p w14:paraId="3092E5B6" w14:textId="11B29790" w:rsidR="003F0AB7" w:rsidRDefault="0073180B">
            <w:pPr>
              <w:spacing w:line="480" w:lineRule="auto"/>
              <w:rPr>
                <w:rFonts w:ascii="Arial" w:eastAsia="Arial" w:hAnsi="Arial" w:cs="Arial"/>
                <w:b/>
              </w:rPr>
            </w:pPr>
            <w:r>
              <w:rPr>
                <w:rFonts w:ascii="Arial" w:eastAsia="Arial" w:hAnsi="Arial" w:cs="Arial"/>
              </w:rPr>
              <w:t>1.3% (1/78)</w:t>
            </w:r>
            <w:r>
              <w:rPr>
                <w:rFonts w:ascii="Arial" w:eastAsia="Arial" w:hAnsi="Arial" w:cs="Arial"/>
                <w:vertAlign w:val="superscript"/>
              </w:rPr>
              <w:t>a</w:t>
            </w:r>
            <w:r>
              <w:rPr>
                <w:rFonts w:ascii="Arial" w:eastAsia="Arial" w:hAnsi="Arial" w:cs="Arial"/>
                <w:b/>
              </w:rPr>
              <w:t xml:space="preserve">  </w:t>
            </w:r>
          </w:p>
        </w:tc>
        <w:tc>
          <w:tcPr>
            <w:tcW w:w="1701" w:type="dxa"/>
            <w:tcBorders>
              <w:top w:val="nil"/>
              <w:left w:val="nil"/>
              <w:bottom w:val="single" w:sz="5" w:space="0" w:color="000000"/>
              <w:right w:val="nil"/>
            </w:tcBorders>
            <w:tcMar>
              <w:top w:w="0" w:type="dxa"/>
              <w:left w:w="0" w:type="dxa"/>
              <w:bottom w:w="0" w:type="dxa"/>
              <w:right w:w="0" w:type="dxa"/>
            </w:tcMar>
          </w:tcPr>
          <w:p w14:paraId="0E8345A5" w14:textId="0B6D1CCC" w:rsidR="003F0AB7" w:rsidRDefault="0073180B">
            <w:pPr>
              <w:spacing w:line="480" w:lineRule="auto"/>
              <w:rPr>
                <w:rFonts w:ascii="Arial" w:eastAsia="Arial" w:hAnsi="Arial" w:cs="Arial"/>
              </w:rPr>
            </w:pPr>
            <w:r>
              <w:rPr>
                <w:rFonts w:ascii="Arial" w:eastAsia="Arial" w:hAnsi="Arial" w:cs="Arial"/>
              </w:rPr>
              <w:t>2.7% (2/73)</w:t>
            </w:r>
            <w:r>
              <w:rPr>
                <w:rFonts w:ascii="Arial" w:eastAsia="Arial" w:hAnsi="Arial" w:cs="Arial"/>
                <w:vertAlign w:val="superscript"/>
              </w:rPr>
              <w:t>ac</w:t>
            </w:r>
            <w:r>
              <w:rPr>
                <w:rFonts w:ascii="Arial" w:eastAsia="Arial" w:hAnsi="Arial" w:cs="Arial"/>
              </w:rPr>
              <w:t xml:space="preserve">  </w:t>
            </w:r>
          </w:p>
        </w:tc>
        <w:tc>
          <w:tcPr>
            <w:tcW w:w="1559" w:type="dxa"/>
            <w:tcBorders>
              <w:top w:val="nil"/>
              <w:left w:val="nil"/>
              <w:bottom w:val="single" w:sz="5" w:space="0" w:color="000000"/>
              <w:right w:val="nil"/>
            </w:tcBorders>
            <w:tcMar>
              <w:top w:w="0" w:type="dxa"/>
              <w:left w:w="0" w:type="dxa"/>
              <w:bottom w:w="0" w:type="dxa"/>
              <w:right w:w="0" w:type="dxa"/>
            </w:tcMar>
          </w:tcPr>
          <w:p w14:paraId="5D138C34" w14:textId="73F67B66" w:rsidR="003F0AB7" w:rsidRDefault="0073180B">
            <w:pPr>
              <w:spacing w:line="480" w:lineRule="auto"/>
              <w:rPr>
                <w:rFonts w:ascii="Arial" w:eastAsia="Arial" w:hAnsi="Arial" w:cs="Arial"/>
              </w:rPr>
            </w:pPr>
            <w:r>
              <w:rPr>
                <w:rFonts w:ascii="Arial" w:eastAsia="Arial" w:hAnsi="Arial" w:cs="Arial"/>
              </w:rPr>
              <w:t>13.0% (9/69)</w:t>
            </w:r>
            <w:r>
              <w:rPr>
                <w:rFonts w:ascii="Arial" w:eastAsia="Arial" w:hAnsi="Arial" w:cs="Arial"/>
                <w:vertAlign w:val="superscript"/>
              </w:rPr>
              <w:t>b</w:t>
            </w:r>
            <w:r>
              <w:rPr>
                <w:rFonts w:ascii="Arial" w:eastAsia="Arial" w:hAnsi="Arial" w:cs="Arial"/>
              </w:rPr>
              <w:t xml:space="preserve">  </w:t>
            </w:r>
          </w:p>
        </w:tc>
        <w:tc>
          <w:tcPr>
            <w:tcW w:w="1560" w:type="dxa"/>
            <w:tcBorders>
              <w:top w:val="nil"/>
              <w:left w:val="nil"/>
              <w:bottom w:val="single" w:sz="5" w:space="0" w:color="000000"/>
              <w:right w:val="nil"/>
            </w:tcBorders>
            <w:tcMar>
              <w:top w:w="0" w:type="dxa"/>
              <w:left w:w="0" w:type="dxa"/>
              <w:bottom w:w="0" w:type="dxa"/>
              <w:right w:w="0" w:type="dxa"/>
            </w:tcMar>
          </w:tcPr>
          <w:p w14:paraId="51F688BF" w14:textId="51E8E839" w:rsidR="003F0AB7" w:rsidRDefault="0073180B">
            <w:pPr>
              <w:spacing w:line="480" w:lineRule="auto"/>
              <w:rPr>
                <w:rFonts w:ascii="Arial" w:eastAsia="Arial" w:hAnsi="Arial" w:cs="Arial"/>
              </w:rPr>
            </w:pPr>
            <w:r>
              <w:rPr>
                <w:rFonts w:ascii="Arial" w:eastAsia="Arial" w:hAnsi="Arial" w:cs="Arial"/>
              </w:rPr>
              <w:t>22.4% (17/76)</w:t>
            </w:r>
            <w:proofErr w:type="spellStart"/>
            <w:r>
              <w:rPr>
                <w:rFonts w:ascii="Arial" w:eastAsia="Arial" w:hAnsi="Arial" w:cs="Arial"/>
                <w:vertAlign w:val="superscript"/>
              </w:rPr>
              <w:t>bc</w:t>
            </w:r>
            <w:proofErr w:type="spellEnd"/>
            <w:r>
              <w:rPr>
                <w:rFonts w:ascii="Arial" w:eastAsia="Arial" w:hAnsi="Arial" w:cs="Arial"/>
              </w:rPr>
              <w:t xml:space="preserve">  </w:t>
            </w:r>
          </w:p>
        </w:tc>
      </w:tr>
    </w:tbl>
    <w:p w14:paraId="775CF0FF" w14:textId="548F0363" w:rsidR="003F0AB7" w:rsidRDefault="0073180B">
      <w:pPr>
        <w:jc w:val="both"/>
        <w:rPr>
          <w:rFonts w:ascii="Arial" w:eastAsia="Arial" w:hAnsi="Arial" w:cs="Arial"/>
          <w:b/>
          <w:color w:val="D13438"/>
        </w:rPr>
      </w:pPr>
      <w:r>
        <w:rPr>
          <w:rFonts w:ascii="Arial" w:eastAsia="Arial" w:hAnsi="Arial" w:cs="Arial"/>
          <w:b/>
        </w:rPr>
        <w:t xml:space="preserve">Data on the percentage of normal and degenerated follicles, as well as those of primordial, primary, secondary and tertiary follicles were evaluated by chi-square test. a, b e c: different letters indicate statistically significant differences </w:t>
      </w:r>
      <w:r w:rsidRPr="009273BB">
        <w:rPr>
          <w:rFonts w:ascii="Arial" w:eastAsia="Arial" w:hAnsi="Arial" w:cs="Arial"/>
          <w:b/>
          <w:highlight w:val="yellow"/>
        </w:rPr>
        <w:t>(</w:t>
      </w:r>
      <w:r w:rsidRPr="009273BB">
        <w:rPr>
          <w:rFonts w:ascii="Arial" w:eastAsia="Arial" w:hAnsi="Arial" w:cs="Arial"/>
          <w:b/>
          <w:i/>
          <w:highlight w:val="yellow"/>
        </w:rPr>
        <w:t>P</w:t>
      </w:r>
      <w:r w:rsidR="009E5AFB">
        <w:rPr>
          <w:rFonts w:ascii="Arial" w:eastAsia="Arial" w:hAnsi="Arial" w:cs="Arial"/>
          <w:b/>
          <w:i/>
          <w:highlight w:val="yellow"/>
        </w:rPr>
        <w:t xml:space="preserve"> </w:t>
      </w:r>
      <w:r w:rsidRPr="009273BB">
        <w:rPr>
          <w:rFonts w:ascii="Arial" w:eastAsia="Arial" w:hAnsi="Arial" w:cs="Arial"/>
          <w:b/>
          <w:i/>
          <w:highlight w:val="yellow"/>
        </w:rPr>
        <w:t>&lt;</w:t>
      </w:r>
      <w:r w:rsidR="009E5AFB">
        <w:rPr>
          <w:rFonts w:ascii="Arial" w:eastAsia="Arial" w:hAnsi="Arial" w:cs="Arial"/>
          <w:b/>
          <w:i/>
          <w:highlight w:val="yellow"/>
        </w:rPr>
        <w:t xml:space="preserve"> </w:t>
      </w:r>
      <w:r w:rsidRPr="009273BB">
        <w:rPr>
          <w:rFonts w:ascii="Arial" w:eastAsia="Arial" w:hAnsi="Arial" w:cs="Arial"/>
          <w:b/>
          <w:i/>
          <w:highlight w:val="yellow"/>
        </w:rPr>
        <w:t>0.05</w:t>
      </w:r>
      <w:r w:rsidRPr="009273BB">
        <w:rPr>
          <w:rFonts w:ascii="Arial" w:eastAsia="Arial" w:hAnsi="Arial" w:cs="Arial"/>
          <w:b/>
          <w:highlight w:val="yellow"/>
        </w:rPr>
        <w:t>)</w:t>
      </w:r>
    </w:p>
    <w:p w14:paraId="43965CF3" w14:textId="6F21A966" w:rsidR="003F0AB7" w:rsidRDefault="009E5AFB">
      <w:pPr>
        <w:shd w:val="clear" w:color="auto" w:fill="FFFFFF"/>
        <w:spacing w:line="480" w:lineRule="auto"/>
        <w:ind w:firstLine="420"/>
        <w:jc w:val="both"/>
        <w:rPr>
          <w:rFonts w:ascii="Arial" w:eastAsia="Arial" w:hAnsi="Arial" w:cs="Arial"/>
          <w:highlight w:val="yellow"/>
        </w:rPr>
      </w:pPr>
      <w:r>
        <w:rPr>
          <w:rFonts w:ascii="Arial" w:eastAsia="Arial" w:hAnsi="Arial" w:cs="Arial"/>
          <w:highlight w:val="yellow"/>
        </w:rPr>
        <w:t xml:space="preserve"> </w:t>
      </w:r>
    </w:p>
    <w:p w14:paraId="7A78A8EC" w14:textId="77777777" w:rsidR="003F0AB7" w:rsidRDefault="003F0AB7">
      <w:pPr>
        <w:spacing w:line="480" w:lineRule="auto"/>
        <w:jc w:val="both"/>
        <w:rPr>
          <w:rFonts w:ascii="Arial" w:eastAsia="Arial" w:hAnsi="Arial" w:cs="Arial"/>
          <w:b/>
        </w:rPr>
      </w:pPr>
    </w:p>
    <w:p w14:paraId="69F74248" w14:textId="77777777" w:rsidR="006855B1" w:rsidRDefault="006855B1">
      <w:pPr>
        <w:spacing w:line="480" w:lineRule="auto"/>
        <w:jc w:val="both"/>
        <w:rPr>
          <w:rFonts w:ascii="Arial" w:eastAsia="Arial" w:hAnsi="Arial" w:cs="Arial"/>
          <w:b/>
        </w:rPr>
      </w:pPr>
    </w:p>
    <w:p w14:paraId="76A659F4" w14:textId="77777777" w:rsidR="006855B1" w:rsidRDefault="006855B1">
      <w:pPr>
        <w:spacing w:line="480" w:lineRule="auto"/>
        <w:jc w:val="both"/>
        <w:rPr>
          <w:rFonts w:ascii="Arial" w:eastAsia="Arial" w:hAnsi="Arial" w:cs="Arial"/>
          <w:b/>
        </w:rPr>
      </w:pPr>
    </w:p>
    <w:p w14:paraId="36F0A071" w14:textId="77777777" w:rsidR="006855B1" w:rsidRDefault="006855B1">
      <w:pPr>
        <w:spacing w:line="480" w:lineRule="auto"/>
        <w:jc w:val="both"/>
        <w:rPr>
          <w:rFonts w:ascii="Arial" w:eastAsia="Arial" w:hAnsi="Arial" w:cs="Arial"/>
          <w:b/>
        </w:rPr>
      </w:pPr>
    </w:p>
    <w:p w14:paraId="01F54CFD" w14:textId="0703C3EE" w:rsidR="003F0AB7" w:rsidRDefault="0073180B">
      <w:pPr>
        <w:spacing w:line="480" w:lineRule="auto"/>
        <w:jc w:val="both"/>
        <w:rPr>
          <w:rFonts w:ascii="Arial" w:eastAsia="Arial" w:hAnsi="Arial" w:cs="Arial"/>
          <w:b/>
        </w:rPr>
      </w:pPr>
      <w:r>
        <w:rPr>
          <w:rFonts w:ascii="Arial" w:eastAsia="Arial" w:hAnsi="Arial" w:cs="Arial"/>
          <w:b/>
        </w:rPr>
        <w:lastRenderedPageBreak/>
        <w:t xml:space="preserve">Table 4. Number of corpora </w:t>
      </w:r>
      <w:proofErr w:type="spellStart"/>
      <w:r>
        <w:rPr>
          <w:rFonts w:ascii="Arial" w:eastAsia="Arial" w:hAnsi="Arial" w:cs="Arial"/>
          <w:b/>
        </w:rPr>
        <w:t>lutea</w:t>
      </w:r>
      <w:proofErr w:type="spellEnd"/>
      <w:r>
        <w:rPr>
          <w:rFonts w:ascii="Arial" w:eastAsia="Arial" w:hAnsi="Arial" w:cs="Arial"/>
          <w:b/>
        </w:rPr>
        <w:t xml:space="preserve"> (mean </w:t>
      </w:r>
      <w:r>
        <w:rPr>
          <w:rFonts w:ascii="Arial" w:eastAsia="Arial" w:hAnsi="Arial" w:cs="Arial"/>
          <w:b/>
          <w:u w:val="single"/>
        </w:rPr>
        <w:t>+</w:t>
      </w:r>
      <w:r>
        <w:rPr>
          <w:rFonts w:ascii="Arial" w:eastAsia="Arial" w:hAnsi="Arial" w:cs="Arial"/>
          <w:b/>
        </w:rPr>
        <w:t xml:space="preserve"> S.D.) in ovaries of mice from the naive group, treated with dexamethasone and without periodontitis (</w:t>
      </w:r>
      <w:proofErr w:type="spellStart"/>
      <w:r>
        <w:rPr>
          <w:rFonts w:ascii="Arial" w:eastAsia="Arial" w:hAnsi="Arial" w:cs="Arial"/>
          <w:b/>
        </w:rPr>
        <w:t>Dexa</w:t>
      </w:r>
      <w:proofErr w:type="spellEnd"/>
      <w:r>
        <w:rPr>
          <w:rFonts w:ascii="Arial" w:eastAsia="Arial" w:hAnsi="Arial" w:cs="Arial"/>
          <w:b/>
        </w:rPr>
        <w:t>), with periodontitis (</w:t>
      </w:r>
      <w:proofErr w:type="spellStart"/>
      <w:r>
        <w:rPr>
          <w:rFonts w:ascii="Arial" w:eastAsia="Arial" w:hAnsi="Arial" w:cs="Arial"/>
          <w:b/>
        </w:rPr>
        <w:t>Perio</w:t>
      </w:r>
      <w:proofErr w:type="spellEnd"/>
      <w:r>
        <w:rPr>
          <w:rFonts w:ascii="Arial" w:eastAsia="Arial" w:hAnsi="Arial" w:cs="Arial"/>
          <w:b/>
        </w:rPr>
        <w:t>), or with periodontitis and treated with dexamethasone (</w:t>
      </w:r>
      <w:proofErr w:type="spellStart"/>
      <w:r>
        <w:rPr>
          <w:rFonts w:ascii="Arial" w:eastAsia="Arial" w:hAnsi="Arial" w:cs="Arial"/>
          <w:b/>
        </w:rPr>
        <w:t>Perio</w:t>
      </w:r>
      <w:proofErr w:type="spellEnd"/>
      <w:r>
        <w:rPr>
          <w:rFonts w:ascii="Arial" w:eastAsia="Arial" w:hAnsi="Arial" w:cs="Arial"/>
          <w:b/>
        </w:rPr>
        <w:t xml:space="preserve"> + </w:t>
      </w:r>
      <w:proofErr w:type="spellStart"/>
      <w:r>
        <w:rPr>
          <w:rFonts w:ascii="Arial" w:eastAsia="Arial" w:hAnsi="Arial" w:cs="Arial"/>
          <w:b/>
        </w:rPr>
        <w:t>Dexa</w:t>
      </w:r>
      <w:proofErr w:type="spellEnd"/>
      <w:r>
        <w:rPr>
          <w:rFonts w:ascii="Arial" w:eastAsia="Arial" w:hAnsi="Arial" w:cs="Arial"/>
          <w:b/>
        </w:rPr>
        <w:t xml:space="preserve">) on day 60. </w:t>
      </w:r>
    </w:p>
    <w:tbl>
      <w:tblPr>
        <w:tblStyle w:val="a3"/>
        <w:tblpPr w:leftFromText="141" w:rightFromText="141" w:vertAnchor="text" w:tblpY="96"/>
        <w:tblW w:w="8475" w:type="dxa"/>
        <w:tblBorders>
          <w:top w:val="single" w:sz="4" w:space="0" w:color="000000"/>
          <w:left w:val="nil"/>
          <w:bottom w:val="single" w:sz="4" w:space="0" w:color="000000"/>
          <w:right w:val="nil"/>
          <w:insideH w:val="single" w:sz="4" w:space="0" w:color="000000"/>
          <w:insideV w:val="nil"/>
        </w:tblBorders>
        <w:tblLayout w:type="fixed"/>
        <w:tblLook w:val="0400" w:firstRow="0" w:lastRow="0" w:firstColumn="0" w:lastColumn="0" w:noHBand="0" w:noVBand="1"/>
      </w:tblPr>
      <w:tblGrid>
        <w:gridCol w:w="1665"/>
        <w:gridCol w:w="1665"/>
        <w:gridCol w:w="1665"/>
        <w:gridCol w:w="1665"/>
        <w:gridCol w:w="1815"/>
      </w:tblGrid>
      <w:tr w:rsidR="003F0AB7" w14:paraId="60A29D2E" w14:textId="77777777">
        <w:trPr>
          <w:trHeight w:val="490"/>
        </w:trPr>
        <w:tc>
          <w:tcPr>
            <w:tcW w:w="1665" w:type="dxa"/>
            <w:tcBorders>
              <w:top w:val="single" w:sz="4" w:space="0" w:color="000000"/>
              <w:left w:val="nil"/>
              <w:bottom w:val="single" w:sz="4" w:space="0" w:color="000000"/>
              <w:right w:val="nil"/>
            </w:tcBorders>
          </w:tcPr>
          <w:p w14:paraId="3A974513" w14:textId="77777777" w:rsidR="003F0AB7" w:rsidRDefault="0073180B">
            <w:pPr>
              <w:spacing w:line="480" w:lineRule="auto"/>
              <w:rPr>
                <w:rFonts w:ascii="Arial" w:eastAsia="Arial" w:hAnsi="Arial" w:cs="Arial"/>
                <w:b/>
              </w:rPr>
            </w:pPr>
            <w:r>
              <w:rPr>
                <w:rFonts w:ascii="Arial" w:eastAsia="Arial" w:hAnsi="Arial" w:cs="Arial"/>
                <w:b/>
              </w:rPr>
              <w:t xml:space="preserve">Day 60 </w:t>
            </w:r>
          </w:p>
        </w:tc>
        <w:tc>
          <w:tcPr>
            <w:tcW w:w="1665" w:type="dxa"/>
            <w:tcBorders>
              <w:top w:val="single" w:sz="4" w:space="0" w:color="000000"/>
              <w:left w:val="nil"/>
              <w:bottom w:val="single" w:sz="4" w:space="0" w:color="000000"/>
              <w:right w:val="nil"/>
            </w:tcBorders>
            <w:tcMar>
              <w:top w:w="0" w:type="dxa"/>
              <w:left w:w="108" w:type="dxa"/>
              <w:bottom w:w="0" w:type="dxa"/>
              <w:right w:w="108" w:type="dxa"/>
            </w:tcMar>
          </w:tcPr>
          <w:p w14:paraId="5841C877" w14:textId="77777777" w:rsidR="003F0AB7" w:rsidRDefault="0073180B">
            <w:pPr>
              <w:spacing w:line="480" w:lineRule="auto"/>
              <w:jc w:val="center"/>
              <w:rPr>
                <w:rFonts w:ascii="Arial" w:eastAsia="Arial" w:hAnsi="Arial" w:cs="Arial"/>
                <w:b/>
              </w:rPr>
            </w:pPr>
            <w:r>
              <w:rPr>
                <w:rFonts w:ascii="Arial" w:eastAsia="Arial" w:hAnsi="Arial" w:cs="Arial"/>
                <w:b/>
              </w:rPr>
              <w:t>Naive (A)</w:t>
            </w:r>
          </w:p>
        </w:tc>
        <w:tc>
          <w:tcPr>
            <w:tcW w:w="1665" w:type="dxa"/>
            <w:tcBorders>
              <w:top w:val="single" w:sz="4" w:space="0" w:color="000000"/>
              <w:left w:val="nil"/>
              <w:bottom w:val="single" w:sz="4" w:space="0" w:color="000000"/>
              <w:right w:val="nil"/>
            </w:tcBorders>
            <w:tcMar>
              <w:top w:w="0" w:type="dxa"/>
              <w:left w:w="108" w:type="dxa"/>
              <w:bottom w:w="0" w:type="dxa"/>
              <w:right w:w="108" w:type="dxa"/>
            </w:tcMar>
          </w:tcPr>
          <w:p w14:paraId="6EB4508C" w14:textId="77777777" w:rsidR="003F0AB7" w:rsidRDefault="0073180B">
            <w:pPr>
              <w:spacing w:line="480" w:lineRule="auto"/>
              <w:jc w:val="center"/>
              <w:rPr>
                <w:rFonts w:ascii="Arial" w:eastAsia="Arial" w:hAnsi="Arial" w:cs="Arial"/>
                <w:b/>
              </w:rPr>
            </w:pPr>
            <w:proofErr w:type="spellStart"/>
            <w:r>
              <w:rPr>
                <w:rFonts w:ascii="Arial" w:eastAsia="Arial" w:hAnsi="Arial" w:cs="Arial"/>
                <w:b/>
              </w:rPr>
              <w:t>Dexa</w:t>
            </w:r>
            <w:proofErr w:type="spellEnd"/>
            <w:r>
              <w:rPr>
                <w:rFonts w:ascii="Arial" w:eastAsia="Arial" w:hAnsi="Arial" w:cs="Arial"/>
                <w:b/>
              </w:rPr>
              <w:t xml:space="preserve"> (B)</w:t>
            </w:r>
          </w:p>
        </w:tc>
        <w:tc>
          <w:tcPr>
            <w:tcW w:w="1665" w:type="dxa"/>
            <w:tcBorders>
              <w:top w:val="single" w:sz="4" w:space="0" w:color="000000"/>
              <w:left w:val="nil"/>
              <w:bottom w:val="single" w:sz="4" w:space="0" w:color="000000"/>
              <w:right w:val="nil"/>
            </w:tcBorders>
            <w:tcMar>
              <w:top w:w="0" w:type="dxa"/>
              <w:left w:w="108" w:type="dxa"/>
              <w:bottom w:w="0" w:type="dxa"/>
              <w:right w:w="108" w:type="dxa"/>
            </w:tcMar>
          </w:tcPr>
          <w:p w14:paraId="16830A77" w14:textId="77777777" w:rsidR="003F0AB7" w:rsidRDefault="0073180B">
            <w:pPr>
              <w:spacing w:line="480" w:lineRule="auto"/>
              <w:jc w:val="center"/>
              <w:rPr>
                <w:rFonts w:ascii="Arial" w:eastAsia="Arial" w:hAnsi="Arial" w:cs="Arial"/>
                <w:b/>
              </w:rPr>
            </w:pPr>
            <w:proofErr w:type="spellStart"/>
            <w:r>
              <w:rPr>
                <w:rFonts w:ascii="Arial" w:eastAsia="Arial" w:hAnsi="Arial" w:cs="Arial"/>
                <w:b/>
              </w:rPr>
              <w:t>Perio</w:t>
            </w:r>
            <w:proofErr w:type="spellEnd"/>
            <w:r>
              <w:rPr>
                <w:rFonts w:ascii="Arial" w:eastAsia="Arial" w:hAnsi="Arial" w:cs="Arial"/>
                <w:b/>
              </w:rPr>
              <w:t xml:space="preserve"> (C)</w:t>
            </w:r>
          </w:p>
        </w:tc>
        <w:tc>
          <w:tcPr>
            <w:tcW w:w="1815" w:type="dxa"/>
            <w:tcBorders>
              <w:top w:val="single" w:sz="4" w:space="0" w:color="000000"/>
              <w:left w:val="nil"/>
              <w:bottom w:val="single" w:sz="4" w:space="0" w:color="000000"/>
              <w:right w:val="nil"/>
            </w:tcBorders>
            <w:tcMar>
              <w:top w:w="0" w:type="dxa"/>
              <w:left w:w="108" w:type="dxa"/>
              <w:bottom w:w="0" w:type="dxa"/>
              <w:right w:w="108" w:type="dxa"/>
            </w:tcMar>
          </w:tcPr>
          <w:p w14:paraId="3C353798" w14:textId="77777777" w:rsidR="003F0AB7" w:rsidRDefault="0073180B">
            <w:pPr>
              <w:spacing w:line="480" w:lineRule="auto"/>
              <w:jc w:val="center"/>
              <w:rPr>
                <w:rFonts w:ascii="Arial" w:eastAsia="Arial" w:hAnsi="Arial" w:cs="Arial"/>
                <w:b/>
              </w:rPr>
            </w:pPr>
            <w:proofErr w:type="spellStart"/>
            <w:r>
              <w:rPr>
                <w:rFonts w:ascii="Arial" w:eastAsia="Arial" w:hAnsi="Arial" w:cs="Arial"/>
                <w:b/>
              </w:rPr>
              <w:t>Perio</w:t>
            </w:r>
            <w:proofErr w:type="spellEnd"/>
            <w:r>
              <w:rPr>
                <w:rFonts w:ascii="Arial" w:eastAsia="Arial" w:hAnsi="Arial" w:cs="Arial"/>
                <w:b/>
              </w:rPr>
              <w:t xml:space="preserve"> + </w:t>
            </w:r>
            <w:proofErr w:type="spellStart"/>
            <w:r>
              <w:rPr>
                <w:rFonts w:ascii="Arial" w:eastAsia="Arial" w:hAnsi="Arial" w:cs="Arial"/>
                <w:b/>
              </w:rPr>
              <w:t>Dexa</w:t>
            </w:r>
            <w:proofErr w:type="spellEnd"/>
            <w:r>
              <w:rPr>
                <w:rFonts w:ascii="Arial" w:eastAsia="Arial" w:hAnsi="Arial" w:cs="Arial"/>
                <w:b/>
              </w:rPr>
              <w:t xml:space="preserve"> (D)</w:t>
            </w:r>
          </w:p>
        </w:tc>
      </w:tr>
      <w:tr w:rsidR="003F0AB7" w14:paraId="66C921EA" w14:textId="77777777">
        <w:trPr>
          <w:trHeight w:val="490"/>
        </w:trPr>
        <w:tc>
          <w:tcPr>
            <w:tcW w:w="1665" w:type="dxa"/>
            <w:tcBorders>
              <w:top w:val="single" w:sz="4" w:space="0" w:color="000000"/>
              <w:left w:val="nil"/>
              <w:bottom w:val="single" w:sz="4" w:space="0" w:color="000000"/>
              <w:right w:val="nil"/>
            </w:tcBorders>
          </w:tcPr>
          <w:p w14:paraId="5974DB2E" w14:textId="77777777" w:rsidR="003F0AB7" w:rsidRDefault="0073180B">
            <w:pPr>
              <w:spacing w:line="480" w:lineRule="auto"/>
              <w:rPr>
                <w:rFonts w:ascii="Arial" w:eastAsia="Arial" w:hAnsi="Arial" w:cs="Arial"/>
              </w:rPr>
            </w:pPr>
            <w:r>
              <w:rPr>
                <w:rFonts w:ascii="Arial" w:eastAsia="Arial" w:hAnsi="Arial" w:cs="Arial"/>
              </w:rPr>
              <w:t xml:space="preserve">Corpora </w:t>
            </w:r>
            <w:proofErr w:type="spellStart"/>
            <w:r>
              <w:rPr>
                <w:rFonts w:ascii="Arial" w:eastAsia="Arial" w:hAnsi="Arial" w:cs="Arial"/>
              </w:rPr>
              <w:t>lutea</w:t>
            </w:r>
            <w:proofErr w:type="spellEnd"/>
          </w:p>
        </w:tc>
        <w:tc>
          <w:tcPr>
            <w:tcW w:w="1665" w:type="dxa"/>
            <w:tcBorders>
              <w:top w:val="single" w:sz="4" w:space="0" w:color="000000"/>
              <w:left w:val="nil"/>
              <w:bottom w:val="single" w:sz="4" w:space="0" w:color="000000"/>
              <w:right w:val="nil"/>
            </w:tcBorders>
          </w:tcPr>
          <w:p w14:paraId="73095C02" w14:textId="77777777" w:rsidR="003F0AB7" w:rsidRDefault="0073180B">
            <w:pPr>
              <w:spacing w:line="480" w:lineRule="auto"/>
              <w:rPr>
                <w:rFonts w:ascii="Arial" w:eastAsia="Arial" w:hAnsi="Arial" w:cs="Arial"/>
              </w:rPr>
            </w:pPr>
            <w:r>
              <w:rPr>
                <w:rFonts w:ascii="Arial" w:eastAsia="Arial" w:hAnsi="Arial" w:cs="Arial"/>
              </w:rPr>
              <w:t>7.37</w:t>
            </w:r>
            <m:oMath>
              <m:r>
                <w:rPr>
                  <w:rFonts w:ascii="Cambria Math" w:hAnsi="Cambria Math"/>
                </w:rPr>
                <m:t>±</m:t>
              </m:r>
            </m:oMath>
            <w:r>
              <w:rPr>
                <w:rFonts w:ascii="Arial" w:eastAsia="Arial" w:hAnsi="Arial" w:cs="Arial"/>
              </w:rPr>
              <w:t xml:space="preserve"> 2.87</w:t>
            </w:r>
            <w:r>
              <w:rPr>
                <w:rFonts w:ascii="Arial" w:eastAsia="Arial" w:hAnsi="Arial" w:cs="Arial"/>
                <w:vertAlign w:val="superscript"/>
              </w:rPr>
              <w:t>a</w:t>
            </w:r>
            <w:r>
              <w:rPr>
                <w:rFonts w:ascii="Arial" w:eastAsia="Arial" w:hAnsi="Arial" w:cs="Arial"/>
              </w:rPr>
              <w:t xml:space="preserve"> </w:t>
            </w:r>
          </w:p>
        </w:tc>
        <w:tc>
          <w:tcPr>
            <w:tcW w:w="1665" w:type="dxa"/>
            <w:tcBorders>
              <w:top w:val="single" w:sz="4" w:space="0" w:color="000000"/>
              <w:left w:val="nil"/>
              <w:bottom w:val="single" w:sz="4" w:space="0" w:color="000000"/>
              <w:right w:val="nil"/>
            </w:tcBorders>
          </w:tcPr>
          <w:p w14:paraId="491BB2EF" w14:textId="77777777" w:rsidR="003F0AB7" w:rsidRDefault="0073180B">
            <w:pPr>
              <w:spacing w:line="480" w:lineRule="auto"/>
              <w:rPr>
                <w:rFonts w:ascii="Arial" w:eastAsia="Arial" w:hAnsi="Arial" w:cs="Arial"/>
              </w:rPr>
            </w:pPr>
            <w:r>
              <w:rPr>
                <w:rFonts w:ascii="Arial" w:eastAsia="Arial" w:hAnsi="Arial" w:cs="Arial"/>
              </w:rPr>
              <w:t>9.87</w:t>
            </w:r>
            <m:oMath>
              <m:r>
                <w:rPr>
                  <w:rFonts w:ascii="Cambria Math" w:hAnsi="Cambria Math"/>
                </w:rPr>
                <m:t>±</m:t>
              </m:r>
            </m:oMath>
            <w:r>
              <w:rPr>
                <w:rFonts w:ascii="Arial" w:eastAsia="Arial" w:hAnsi="Arial" w:cs="Arial"/>
              </w:rPr>
              <w:t xml:space="preserve"> 2.41</w:t>
            </w:r>
            <w:r>
              <w:rPr>
                <w:rFonts w:ascii="Arial" w:eastAsia="Arial" w:hAnsi="Arial" w:cs="Arial"/>
                <w:vertAlign w:val="superscript"/>
              </w:rPr>
              <w:t>ab</w:t>
            </w:r>
            <w:r>
              <w:rPr>
                <w:rFonts w:ascii="Arial" w:eastAsia="Arial" w:hAnsi="Arial" w:cs="Arial"/>
              </w:rPr>
              <w:t xml:space="preserve"> </w:t>
            </w:r>
          </w:p>
        </w:tc>
        <w:tc>
          <w:tcPr>
            <w:tcW w:w="1665" w:type="dxa"/>
            <w:tcBorders>
              <w:top w:val="single" w:sz="4" w:space="0" w:color="000000"/>
              <w:left w:val="nil"/>
              <w:bottom w:val="single" w:sz="4" w:space="0" w:color="000000"/>
              <w:right w:val="nil"/>
            </w:tcBorders>
          </w:tcPr>
          <w:p w14:paraId="46AC5E8E" w14:textId="0D81D1E6" w:rsidR="003F0AB7" w:rsidRDefault="0073180B">
            <w:pPr>
              <w:spacing w:line="480" w:lineRule="auto"/>
              <w:rPr>
                <w:rFonts w:ascii="Arial" w:eastAsia="Arial" w:hAnsi="Arial" w:cs="Arial"/>
              </w:rPr>
            </w:pPr>
            <w:r>
              <w:rPr>
                <w:rFonts w:ascii="Arial" w:eastAsia="Arial" w:hAnsi="Arial" w:cs="Arial"/>
              </w:rPr>
              <w:t>8.71</w:t>
            </w:r>
            <m:oMath>
              <m:r>
                <w:rPr>
                  <w:rFonts w:ascii="Cambria Math" w:hAnsi="Cambria Math"/>
                </w:rPr>
                <m:t>±</m:t>
              </m:r>
            </m:oMath>
            <w:r>
              <w:rPr>
                <w:rFonts w:ascii="Arial" w:eastAsia="Arial" w:hAnsi="Arial" w:cs="Arial"/>
              </w:rPr>
              <w:t xml:space="preserve"> 1.60</w:t>
            </w:r>
            <w:r>
              <w:rPr>
                <w:rFonts w:ascii="Arial" w:eastAsia="Arial" w:hAnsi="Arial" w:cs="Arial"/>
                <w:vertAlign w:val="superscript"/>
              </w:rPr>
              <w:t>a</w:t>
            </w:r>
            <w:r>
              <w:rPr>
                <w:rFonts w:ascii="Arial" w:eastAsia="Arial" w:hAnsi="Arial" w:cs="Arial"/>
              </w:rPr>
              <w:t xml:space="preserve"> </w:t>
            </w:r>
          </w:p>
        </w:tc>
        <w:tc>
          <w:tcPr>
            <w:tcW w:w="1815" w:type="dxa"/>
            <w:tcBorders>
              <w:top w:val="single" w:sz="4" w:space="0" w:color="000000"/>
              <w:left w:val="nil"/>
              <w:bottom w:val="single" w:sz="4" w:space="0" w:color="000000"/>
              <w:right w:val="nil"/>
            </w:tcBorders>
          </w:tcPr>
          <w:p w14:paraId="5DB43E5B" w14:textId="485E0B5E" w:rsidR="003F0AB7" w:rsidRDefault="0073180B">
            <w:pPr>
              <w:spacing w:line="480" w:lineRule="auto"/>
              <w:rPr>
                <w:rFonts w:ascii="Arial" w:eastAsia="Arial" w:hAnsi="Arial" w:cs="Arial"/>
              </w:rPr>
            </w:pPr>
            <w:r>
              <w:rPr>
                <w:rFonts w:ascii="Arial" w:eastAsia="Arial" w:hAnsi="Arial" w:cs="Arial"/>
              </w:rPr>
              <w:t xml:space="preserve">   12.50</w:t>
            </w:r>
            <m:oMath>
              <m:r>
                <w:rPr>
                  <w:rFonts w:ascii="Cambria Math" w:eastAsia="Cambria Math" w:hAnsi="Cambria Math" w:cs="Cambria Math"/>
                </w:rPr>
                <m:t xml:space="preserve"> ±</m:t>
              </m:r>
            </m:oMath>
            <w:r>
              <w:rPr>
                <w:rFonts w:ascii="Arial" w:eastAsia="Arial" w:hAnsi="Arial" w:cs="Arial"/>
              </w:rPr>
              <w:t xml:space="preserve"> 4.92</w:t>
            </w:r>
            <w:r>
              <w:rPr>
                <w:rFonts w:ascii="Arial" w:eastAsia="Arial" w:hAnsi="Arial" w:cs="Arial"/>
                <w:vertAlign w:val="superscript"/>
              </w:rPr>
              <w:t>b</w:t>
            </w:r>
            <w:r>
              <w:rPr>
                <w:rFonts w:ascii="Arial" w:eastAsia="Arial" w:hAnsi="Arial" w:cs="Arial"/>
              </w:rPr>
              <w:t xml:space="preserve"> </w:t>
            </w:r>
          </w:p>
        </w:tc>
      </w:tr>
    </w:tbl>
    <w:p w14:paraId="4D270DAF" w14:textId="68EF6BA1" w:rsidR="003F0AB7" w:rsidRPr="00755BDA" w:rsidRDefault="0073180B">
      <w:pPr>
        <w:keepNext/>
        <w:pBdr>
          <w:top w:val="nil"/>
          <w:left w:val="nil"/>
          <w:bottom w:val="nil"/>
          <w:right w:val="nil"/>
          <w:between w:val="nil"/>
        </w:pBdr>
        <w:jc w:val="both"/>
        <w:rPr>
          <w:rFonts w:ascii="Arial" w:eastAsia="Arial" w:hAnsi="Arial" w:cs="Arial"/>
          <w:smallCaps/>
          <w:color w:val="000000"/>
          <w:sz w:val="22"/>
          <w:szCs w:val="22"/>
        </w:rPr>
      </w:pPr>
      <w:r w:rsidRPr="00755BDA">
        <w:rPr>
          <w:rFonts w:ascii="Arial" w:eastAsia="Arial" w:hAnsi="Arial" w:cs="Arial"/>
          <w:color w:val="000000"/>
        </w:rPr>
        <w:t xml:space="preserve">Data of corpora </w:t>
      </w:r>
      <w:proofErr w:type="spellStart"/>
      <w:r w:rsidRPr="00755BDA">
        <w:rPr>
          <w:rFonts w:ascii="Arial" w:eastAsia="Arial" w:hAnsi="Arial" w:cs="Arial"/>
          <w:color w:val="000000"/>
        </w:rPr>
        <w:t>lutea</w:t>
      </w:r>
      <w:proofErr w:type="spellEnd"/>
      <w:r w:rsidRPr="00755BDA">
        <w:rPr>
          <w:rFonts w:ascii="Arial" w:eastAsia="Arial" w:hAnsi="Arial" w:cs="Arial"/>
          <w:color w:val="000000"/>
        </w:rPr>
        <w:t xml:space="preserve"> were compared by analysis of variance (ANOVA) and </w:t>
      </w:r>
      <w:proofErr w:type="spellStart"/>
      <w:r w:rsidRPr="00755BDA">
        <w:rPr>
          <w:rFonts w:ascii="Arial" w:eastAsia="Arial" w:hAnsi="Arial" w:cs="Arial"/>
          <w:color w:val="000000"/>
        </w:rPr>
        <w:t>Kru</w:t>
      </w:r>
      <w:r w:rsidR="008D534A" w:rsidRPr="00755BDA">
        <w:rPr>
          <w:rFonts w:ascii="Arial" w:eastAsia="Arial" w:hAnsi="Arial" w:cs="Arial"/>
          <w:color w:val="000000"/>
        </w:rPr>
        <w:t>s</w:t>
      </w:r>
      <w:r w:rsidRPr="00755BDA">
        <w:rPr>
          <w:rFonts w:ascii="Arial" w:eastAsia="Arial" w:hAnsi="Arial" w:cs="Arial"/>
          <w:color w:val="000000"/>
        </w:rPr>
        <w:t>kall</w:t>
      </w:r>
      <w:proofErr w:type="spellEnd"/>
      <w:r w:rsidRPr="00755BDA">
        <w:rPr>
          <w:rFonts w:ascii="Arial" w:eastAsia="Arial" w:hAnsi="Arial" w:cs="Arial"/>
          <w:color w:val="000000"/>
        </w:rPr>
        <w:t>-Wallis test. a, b: different letters indicate statistically significant differences (</w:t>
      </w:r>
      <w:r w:rsidRPr="00755BDA">
        <w:rPr>
          <w:rFonts w:ascii="Arial" w:eastAsia="Arial" w:hAnsi="Arial" w:cs="Arial"/>
          <w:i/>
          <w:color w:val="000000"/>
        </w:rPr>
        <w:t>P</w:t>
      </w:r>
      <w:r w:rsidR="009E5AFB" w:rsidRPr="00755BDA">
        <w:rPr>
          <w:rFonts w:ascii="Arial" w:eastAsia="Arial" w:hAnsi="Arial" w:cs="Arial"/>
          <w:i/>
          <w:color w:val="000000"/>
        </w:rPr>
        <w:t xml:space="preserve"> </w:t>
      </w:r>
      <w:r w:rsidR="00E7378B" w:rsidRPr="00755BDA">
        <w:rPr>
          <w:rFonts w:ascii="Arial" w:eastAsia="Arial" w:hAnsi="Arial" w:cs="Arial"/>
          <w:i/>
        </w:rPr>
        <w:t>&lt;</w:t>
      </w:r>
      <w:r w:rsidR="009E5AFB" w:rsidRPr="00755BDA">
        <w:rPr>
          <w:rFonts w:ascii="Arial" w:eastAsia="Arial" w:hAnsi="Arial" w:cs="Arial"/>
          <w:i/>
        </w:rPr>
        <w:t xml:space="preserve"> </w:t>
      </w:r>
      <w:r w:rsidRPr="00755BDA">
        <w:rPr>
          <w:rFonts w:ascii="Arial" w:eastAsia="Arial" w:hAnsi="Arial" w:cs="Arial"/>
          <w:i/>
          <w:color w:val="000000"/>
        </w:rPr>
        <w:t>0.05</w:t>
      </w:r>
      <w:r w:rsidRPr="00755BDA">
        <w:rPr>
          <w:rFonts w:ascii="Arial" w:eastAsia="Arial" w:hAnsi="Arial" w:cs="Arial"/>
          <w:color w:val="000000"/>
        </w:rPr>
        <w:t>)</w:t>
      </w:r>
    </w:p>
    <w:p w14:paraId="6E44E031" w14:textId="77777777" w:rsidR="003F0AB7" w:rsidRDefault="003F0AB7">
      <w:pPr>
        <w:spacing w:line="480" w:lineRule="auto"/>
        <w:jc w:val="both"/>
        <w:rPr>
          <w:rFonts w:ascii="Arial" w:eastAsia="Arial" w:hAnsi="Arial" w:cs="Arial"/>
          <w:b/>
        </w:rPr>
      </w:pPr>
    </w:p>
    <w:p w14:paraId="6359AE09" w14:textId="77777777" w:rsidR="003F0AB7" w:rsidRDefault="0073180B">
      <w:pPr>
        <w:spacing w:line="480" w:lineRule="auto"/>
        <w:jc w:val="both"/>
        <w:rPr>
          <w:rFonts w:ascii="Arial" w:eastAsia="Arial" w:hAnsi="Arial" w:cs="Arial"/>
          <w:b/>
        </w:rPr>
      </w:pPr>
      <w:r>
        <w:rPr>
          <w:noProof/>
          <w:lang w:eastAsia="en-US"/>
        </w:rPr>
        <w:drawing>
          <wp:inline distT="0" distB="0" distL="0" distR="0" wp14:anchorId="59337C6B" wp14:editId="2738FED2">
            <wp:extent cx="5223193" cy="3729577"/>
            <wp:effectExtent l="0" t="0" r="0" b="0"/>
            <wp:docPr id="206334828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9"/>
                    <a:srcRect/>
                    <a:stretch>
                      <a:fillRect/>
                    </a:stretch>
                  </pic:blipFill>
                  <pic:spPr>
                    <a:xfrm>
                      <a:off x="0" y="0"/>
                      <a:ext cx="5223193" cy="3729577"/>
                    </a:xfrm>
                    <a:prstGeom prst="rect">
                      <a:avLst/>
                    </a:prstGeom>
                    <a:ln/>
                  </pic:spPr>
                </pic:pic>
              </a:graphicData>
            </a:graphic>
          </wp:inline>
        </w:drawing>
      </w:r>
    </w:p>
    <w:p w14:paraId="02768164" w14:textId="77777777" w:rsidR="003F0AB7" w:rsidRDefault="0073180B">
      <w:pPr>
        <w:jc w:val="both"/>
        <w:rPr>
          <w:rFonts w:ascii="Arial" w:eastAsia="Arial" w:hAnsi="Arial" w:cs="Arial"/>
          <w:b/>
          <w:highlight w:val="white"/>
        </w:rPr>
      </w:pPr>
      <w:r>
        <w:rPr>
          <w:rFonts w:ascii="Arial" w:eastAsia="Arial" w:hAnsi="Arial" w:cs="Arial"/>
          <w:b/>
          <w:highlight w:val="white"/>
        </w:rPr>
        <w:t xml:space="preserve">Figure 5. Characteristics of ovaries of mice from the naïve group (A), treated with dexamethasone and without periodontitis (B), with periodontitis (C), or with periodontitis and treated with dexamethasone (D) groups. Star indicates corpus luteum and arrow indicates follicles at different stages of development. </w:t>
      </w:r>
    </w:p>
    <w:p w14:paraId="174E7EF2" w14:textId="77777777" w:rsidR="003F0AB7" w:rsidRDefault="003F0AB7">
      <w:pPr>
        <w:spacing w:line="480" w:lineRule="auto"/>
        <w:jc w:val="both"/>
        <w:rPr>
          <w:rFonts w:ascii="Arial" w:eastAsia="Arial" w:hAnsi="Arial" w:cs="Arial"/>
          <w:b/>
        </w:rPr>
      </w:pPr>
    </w:p>
    <w:p w14:paraId="3968C470" w14:textId="77777777" w:rsidR="003F0AB7" w:rsidRDefault="0073180B">
      <w:pPr>
        <w:spacing w:line="480" w:lineRule="auto"/>
        <w:jc w:val="both"/>
        <w:rPr>
          <w:rFonts w:ascii="Arial" w:eastAsia="Arial" w:hAnsi="Arial" w:cs="Arial"/>
          <w:b/>
        </w:rPr>
      </w:pPr>
      <w:r>
        <w:rPr>
          <w:noProof/>
          <w:lang w:eastAsia="en-US"/>
        </w:rPr>
        <w:lastRenderedPageBreak/>
        <w:drawing>
          <wp:inline distT="0" distB="0" distL="0" distR="0" wp14:anchorId="509491FC" wp14:editId="6EB14643">
            <wp:extent cx="5214317" cy="4156183"/>
            <wp:effectExtent l="0" t="0" r="0" b="0"/>
            <wp:docPr id="206334828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0"/>
                    <a:srcRect/>
                    <a:stretch>
                      <a:fillRect/>
                    </a:stretch>
                  </pic:blipFill>
                  <pic:spPr>
                    <a:xfrm>
                      <a:off x="0" y="0"/>
                      <a:ext cx="5214317" cy="4156183"/>
                    </a:xfrm>
                    <a:prstGeom prst="rect">
                      <a:avLst/>
                    </a:prstGeom>
                    <a:ln/>
                  </pic:spPr>
                </pic:pic>
              </a:graphicData>
            </a:graphic>
          </wp:inline>
        </w:drawing>
      </w:r>
    </w:p>
    <w:p w14:paraId="0344C1DA" w14:textId="77777777" w:rsidR="003F0AB7" w:rsidRDefault="0073180B">
      <w:pPr>
        <w:jc w:val="both"/>
        <w:rPr>
          <w:rFonts w:ascii="Arial" w:eastAsia="Arial" w:hAnsi="Arial" w:cs="Arial"/>
          <w:b/>
        </w:rPr>
      </w:pPr>
      <w:r>
        <w:rPr>
          <w:rFonts w:ascii="Arial" w:eastAsia="Arial" w:hAnsi="Arial" w:cs="Arial"/>
          <w:b/>
        </w:rPr>
        <w:t>Figure 6: Ovarian sections showing follicles at different stages of development (arrows). (A) Primordial follicle with oocyte surrounded by a layer of squamous-shaped granulosa cells, (B) primary follicles with oocytes surrounded by a layer of cubic-shaped granulosa cells, (C) secondary follicle with oocyte surrounded by several layers of cells cubic-shaped granulosa and (D) tertiary follicle with oocyte surrounded by several layers of cumulus cells and the presence of a well-developed antral cavity (D). O; oocyte, GC: granulosa cells, T: theca cells.</w:t>
      </w:r>
    </w:p>
    <w:p w14:paraId="7FCD6E68" w14:textId="77777777" w:rsidR="003F0AB7" w:rsidRDefault="003F0AB7">
      <w:pPr>
        <w:spacing w:line="480" w:lineRule="auto"/>
        <w:jc w:val="both"/>
        <w:rPr>
          <w:rFonts w:ascii="Arial" w:eastAsia="Arial" w:hAnsi="Arial" w:cs="Arial"/>
          <w:b/>
        </w:rPr>
      </w:pPr>
    </w:p>
    <w:p w14:paraId="07117E0E" w14:textId="77777777" w:rsidR="003F0AB7" w:rsidRDefault="0073180B">
      <w:pPr>
        <w:keepNext/>
        <w:pBdr>
          <w:top w:val="nil"/>
          <w:left w:val="nil"/>
          <w:bottom w:val="nil"/>
          <w:right w:val="nil"/>
          <w:between w:val="nil"/>
        </w:pBdr>
        <w:jc w:val="both"/>
        <w:rPr>
          <w:rFonts w:ascii="Arial" w:eastAsia="Arial" w:hAnsi="Arial" w:cs="Arial"/>
          <w:b/>
          <w:smallCaps/>
          <w:color w:val="000000"/>
          <w:sz w:val="22"/>
          <w:szCs w:val="22"/>
        </w:rPr>
      </w:pPr>
      <w:r>
        <w:rPr>
          <w:rFonts w:ascii="Arial" w:eastAsia="Arial" w:hAnsi="Arial" w:cs="Arial"/>
          <w:b/>
          <w:smallCaps/>
          <w:color w:val="000000"/>
          <w:sz w:val="22"/>
          <w:szCs w:val="22"/>
        </w:rPr>
        <w:t>4. discussion</w:t>
      </w:r>
    </w:p>
    <w:p w14:paraId="451D8347" w14:textId="77777777" w:rsidR="003F0AB7" w:rsidRDefault="003F0AB7">
      <w:pPr>
        <w:keepNext/>
        <w:pBdr>
          <w:top w:val="nil"/>
          <w:left w:val="nil"/>
          <w:bottom w:val="nil"/>
          <w:right w:val="nil"/>
          <w:between w:val="nil"/>
        </w:pBdr>
        <w:jc w:val="both"/>
        <w:rPr>
          <w:rFonts w:ascii="Arial" w:eastAsia="Arial" w:hAnsi="Arial" w:cs="Arial"/>
          <w:b/>
          <w:smallCaps/>
          <w:color w:val="000000"/>
          <w:sz w:val="22"/>
          <w:szCs w:val="22"/>
        </w:rPr>
      </w:pPr>
    </w:p>
    <w:p w14:paraId="18420A5F" w14:textId="49F60BCC" w:rsidR="003F0AB7" w:rsidRDefault="0073180B" w:rsidP="00972984">
      <w:pPr>
        <w:spacing w:line="480" w:lineRule="auto"/>
        <w:ind w:firstLine="426"/>
        <w:jc w:val="both"/>
        <w:rPr>
          <w:rFonts w:ascii="Arial" w:eastAsia="Arial" w:hAnsi="Arial" w:cs="Arial"/>
          <w:color w:val="000000"/>
        </w:rPr>
      </w:pPr>
      <w:r>
        <w:rPr>
          <w:rFonts w:ascii="Arial" w:eastAsia="Arial" w:hAnsi="Arial" w:cs="Arial"/>
        </w:rPr>
        <w:t xml:space="preserve"> </w:t>
      </w:r>
      <w:r>
        <w:rPr>
          <w:rFonts w:ascii="Arial" w:eastAsia="Arial" w:hAnsi="Arial" w:cs="Arial"/>
          <w:color w:val="000000"/>
        </w:rPr>
        <w:t xml:space="preserve">This study shows for the first time that periodontitis associated or not with dexamethasone treatment causes degeneration of secondary and tertiary follicles, but does not influence primordial and primary follicles. Secondary and tertiary follicles have a large number of granulosa and theca cells and are surrounded by blood vessels that directly supply nutrients and hormones (Fraser and Duncan, 2005; Fraser, 2006). Probably, cytokines arising from the periodontitis process, as well as hormonal changes, are involved in the death of ovarian follicles from the secondary follicle stage onwards. On the other hand, primordial and </w:t>
      </w:r>
      <w:r>
        <w:rPr>
          <w:rFonts w:ascii="Arial" w:eastAsia="Arial" w:hAnsi="Arial" w:cs="Arial"/>
          <w:color w:val="000000"/>
        </w:rPr>
        <w:lastRenderedPageBreak/>
        <w:t xml:space="preserve">primary follicles are located in poorly vascularized regions and receive nutrients through diffusion through the extracellular matrix (Fraser, 2006). Varley et al., (1991) demonstrated that high plasma concentrations of cortisol in the period preceding ovulation reduce LH levels. Complete follicular development and ovulation depend on the stimulation of the ovary by FSH and LH from the pituitary gland. It is important to </w:t>
      </w:r>
      <w:r>
        <w:rPr>
          <w:rFonts w:ascii="Arial" w:eastAsia="Arial" w:hAnsi="Arial" w:cs="Arial"/>
        </w:rPr>
        <w:t>highlight that tertiary</w:t>
      </w:r>
      <w:r>
        <w:rPr>
          <w:rFonts w:ascii="Arial" w:eastAsia="Arial" w:hAnsi="Arial" w:cs="Arial"/>
          <w:color w:val="000000"/>
        </w:rPr>
        <w:t xml:space="preserve"> follicles </w:t>
      </w:r>
      <w:r>
        <w:rPr>
          <w:rFonts w:ascii="Arial" w:eastAsia="Arial" w:hAnsi="Arial" w:cs="Arial"/>
        </w:rPr>
        <w:t>produce</w:t>
      </w:r>
      <w:r>
        <w:rPr>
          <w:rFonts w:ascii="Arial" w:eastAsia="Arial" w:hAnsi="Arial" w:cs="Arial"/>
          <w:color w:val="000000"/>
        </w:rPr>
        <w:t xml:space="preserve"> estradiol and that, after ovulation, the follicular cells of the dominant follicle remain in the ovary and undergo transformation into the corpus luteum. This structure is responsible for the production of progesterone, which creates suitable uterine conditions for pregnancy, such as the maturation of the endometrium for the secretory phase. Therefore, changes in survival of secondary and tertiary follicles can deregulate production of estradiol and progesterone and have negative consequences on estrous cycle. Previously, it was reported that dexamethasone influenced the growth, viability and antrum formation of secondary and tertiary follicles in mice, but had no impact on primary follicles (</w:t>
      </w:r>
      <w:proofErr w:type="spellStart"/>
      <w:r>
        <w:rPr>
          <w:rFonts w:ascii="Arial" w:eastAsia="Arial" w:hAnsi="Arial" w:cs="Arial"/>
        </w:rPr>
        <w:t>Ristić</w:t>
      </w:r>
      <w:proofErr w:type="spellEnd"/>
      <w:r>
        <w:rPr>
          <w:rFonts w:ascii="Arial" w:eastAsia="Arial" w:hAnsi="Arial" w:cs="Arial"/>
        </w:rPr>
        <w:t xml:space="preserve"> et al., 2008)</w:t>
      </w:r>
      <w:r>
        <w:rPr>
          <w:rFonts w:ascii="Arial" w:eastAsia="Arial" w:hAnsi="Arial" w:cs="Arial"/>
          <w:color w:val="000000"/>
        </w:rPr>
        <w:t>.</w:t>
      </w:r>
    </w:p>
    <w:p w14:paraId="7ABDEFCE" w14:textId="77777777" w:rsidR="00972984" w:rsidRDefault="0073180B" w:rsidP="00972984">
      <w:pPr>
        <w:shd w:val="clear" w:color="auto" w:fill="FFFFFF"/>
        <w:spacing w:line="480" w:lineRule="auto"/>
        <w:ind w:firstLine="426"/>
        <w:jc w:val="both"/>
        <w:rPr>
          <w:rFonts w:ascii="Arial" w:eastAsia="Arial" w:hAnsi="Arial" w:cs="Arial"/>
          <w:color w:val="000000"/>
        </w:rPr>
      </w:pPr>
      <w:r>
        <w:rPr>
          <w:rFonts w:ascii="Arial" w:eastAsia="Arial" w:hAnsi="Arial" w:cs="Arial"/>
          <w:color w:val="000000"/>
        </w:rPr>
        <w:t>The periodontitis did not negatively influence mice estrous cycle, however, dexamethasone did. This data can be explained when it is taken into account that the application of corticosterone in mice interrupts the ovarian cycle, in part, by interrupting the positive feedback mechanism in both the hypothalamus and pituitary gland, which is necessary to generate the pre-ovulatory LH surge (Luo et al., 2016). Thus, it is understood that dexamethasone affects the production of gonadotropins and also estradiol, which plays a fundamental role in regulating the reproductive cycle (</w:t>
      </w:r>
      <w:proofErr w:type="spellStart"/>
      <w:r>
        <w:rPr>
          <w:rFonts w:ascii="Arial" w:eastAsia="Arial" w:hAnsi="Arial" w:cs="Arial"/>
          <w:color w:val="000000"/>
        </w:rPr>
        <w:t>Maciel</w:t>
      </w:r>
      <w:proofErr w:type="spellEnd"/>
      <w:r>
        <w:rPr>
          <w:rFonts w:ascii="Arial" w:eastAsia="Arial" w:hAnsi="Arial" w:cs="Arial"/>
          <w:color w:val="000000"/>
        </w:rPr>
        <w:t xml:space="preserve"> et al., 2001). Dexamethasone causes cyclical change through affecting hypothalamus and pituitary gland, in addition to change ovarian physiology by regulating the function of granulosa cells, oocytes, cumulus and luteal cells (Luo et al., 2016). This hormone also causes apoptosis of granulosa cells (</w:t>
      </w:r>
      <w:proofErr w:type="spellStart"/>
      <w:r>
        <w:rPr>
          <w:rFonts w:ascii="Arial" w:eastAsia="Arial" w:hAnsi="Arial" w:cs="Arial"/>
          <w:color w:val="000000"/>
        </w:rPr>
        <w:t>Sasson</w:t>
      </w:r>
      <w:proofErr w:type="spellEnd"/>
      <w:r>
        <w:rPr>
          <w:rFonts w:ascii="Arial" w:eastAsia="Arial" w:hAnsi="Arial" w:cs="Arial"/>
          <w:color w:val="000000"/>
        </w:rPr>
        <w:t xml:space="preserve"> et al., 2002; Yuan et al., 2014).</w:t>
      </w:r>
    </w:p>
    <w:p w14:paraId="24237808" w14:textId="2F3DA204" w:rsidR="00972984" w:rsidRDefault="0073180B" w:rsidP="00972984">
      <w:pPr>
        <w:shd w:val="clear" w:color="auto" w:fill="FFFFFF"/>
        <w:spacing w:line="480" w:lineRule="auto"/>
        <w:ind w:firstLine="426"/>
        <w:jc w:val="both"/>
        <w:rPr>
          <w:rFonts w:ascii="Arial" w:eastAsia="Arial" w:hAnsi="Arial" w:cs="Arial"/>
          <w:color w:val="000000"/>
        </w:rPr>
      </w:pPr>
      <w:r>
        <w:rPr>
          <w:rFonts w:ascii="Arial" w:eastAsia="Arial" w:hAnsi="Arial" w:cs="Arial"/>
          <w:color w:val="000000"/>
        </w:rPr>
        <w:t xml:space="preserve">The dexamethasone treatment did not influence bone resorption in mice in which periodontitis was not induced. Furthermore, administration of dexamethasone to mice undergoing periodontitis did not prevent the increase in alveolar bone loss caused by </w:t>
      </w:r>
      <w:r>
        <w:rPr>
          <w:rFonts w:ascii="Arial" w:eastAsia="Arial" w:hAnsi="Arial" w:cs="Arial"/>
          <w:color w:val="000000"/>
        </w:rPr>
        <w:lastRenderedPageBreak/>
        <w:t>periodontitis. In a previous study, dexamethasone aggravated periodontitis and induced spontaneous alveolar bone loss in healthy periodontium (</w:t>
      </w:r>
      <w:proofErr w:type="spellStart"/>
      <w:r>
        <w:rPr>
          <w:rFonts w:ascii="Arial" w:eastAsia="Arial" w:hAnsi="Arial" w:cs="Arial"/>
          <w:color w:val="000000"/>
        </w:rPr>
        <w:t>Cavagni</w:t>
      </w:r>
      <w:proofErr w:type="spellEnd"/>
      <w:r>
        <w:rPr>
          <w:rFonts w:ascii="Arial" w:eastAsia="Arial" w:hAnsi="Arial" w:cs="Arial"/>
          <w:color w:val="000000"/>
        </w:rPr>
        <w:t xml:space="preserve"> et al., 2005). Periodontitis is a complex multifactorial disease characterized by dysregulated host immune response against the </w:t>
      </w:r>
      <w:proofErr w:type="spellStart"/>
      <w:r>
        <w:rPr>
          <w:rFonts w:ascii="Arial" w:eastAsia="Arial" w:hAnsi="Arial" w:cs="Arial"/>
          <w:color w:val="000000"/>
        </w:rPr>
        <w:t>d</w:t>
      </w:r>
      <w:r w:rsidR="008D534A">
        <w:rPr>
          <w:rFonts w:ascii="Arial" w:eastAsia="Arial" w:hAnsi="Arial" w:cs="Arial"/>
          <w:color w:val="000000"/>
        </w:rPr>
        <w:t>y</w:t>
      </w:r>
      <w:r>
        <w:rPr>
          <w:rFonts w:ascii="Arial" w:eastAsia="Arial" w:hAnsi="Arial" w:cs="Arial"/>
          <w:color w:val="000000"/>
        </w:rPr>
        <w:t>sbiotic</w:t>
      </w:r>
      <w:proofErr w:type="spellEnd"/>
      <w:r>
        <w:rPr>
          <w:rFonts w:ascii="Arial" w:eastAsia="Arial" w:hAnsi="Arial" w:cs="Arial"/>
          <w:color w:val="000000"/>
        </w:rPr>
        <w:t xml:space="preserve"> </w:t>
      </w:r>
      <w:proofErr w:type="spellStart"/>
      <w:r>
        <w:rPr>
          <w:rFonts w:ascii="Arial" w:eastAsia="Arial" w:hAnsi="Arial" w:cs="Arial"/>
          <w:color w:val="000000"/>
        </w:rPr>
        <w:t>polymicrobial</w:t>
      </w:r>
      <w:proofErr w:type="spellEnd"/>
      <w:r>
        <w:rPr>
          <w:rFonts w:ascii="Arial" w:eastAsia="Arial" w:hAnsi="Arial" w:cs="Arial"/>
          <w:color w:val="000000"/>
        </w:rPr>
        <w:t xml:space="preserve"> community that colonizes the periodontal environment. Alveolar bone resorption is a direct consequence of the chronic inflammatory process and one of the main characteristics of disease progression (Alvarez et al., 2020). Within the progression of periodontitis, the role of cytokines is extremely important. Cytokines are key modulators of homeostasis and inflammatory processes that act in the first wave of responses against pathogens (Pan, Wang and Chen, 2019</w:t>
      </w:r>
      <w:r w:rsidRPr="009273BB">
        <w:rPr>
          <w:rFonts w:ascii="Arial" w:eastAsia="Arial" w:hAnsi="Arial" w:cs="Arial"/>
          <w:color w:val="000000"/>
        </w:rPr>
        <w:t xml:space="preserve">). </w:t>
      </w:r>
      <w:r w:rsidRPr="009273BB">
        <w:rPr>
          <w:rFonts w:ascii="Arial" w:eastAsia="Arial" w:hAnsi="Arial" w:cs="Arial"/>
          <w:color w:val="000000"/>
          <w:highlight w:val="yellow"/>
        </w:rPr>
        <w:t>In a previous study, it was demonstrated that dexamethasone reduced the production of cytokines induced by bacterial lipopolysaccharides in the cells of the periodontal ligament (Nilsson 2020)</w:t>
      </w:r>
      <w:r w:rsidRPr="009273BB">
        <w:rPr>
          <w:rFonts w:ascii="Arial" w:eastAsia="Arial" w:hAnsi="Arial" w:cs="Arial"/>
          <w:highlight w:val="yellow"/>
        </w:rPr>
        <w:t>.</w:t>
      </w:r>
      <w:r>
        <w:rPr>
          <w:rFonts w:ascii="Arial" w:eastAsia="Arial" w:hAnsi="Arial" w:cs="Arial"/>
        </w:rPr>
        <w:t xml:space="preserve"> </w:t>
      </w:r>
      <w:r>
        <w:rPr>
          <w:rFonts w:ascii="Arial" w:eastAsia="Arial" w:hAnsi="Arial" w:cs="Arial"/>
          <w:color w:val="000000"/>
        </w:rPr>
        <w:t>Therefore, periodontitis can contribute to increased systemic inflammation and potentially cause damage to other organs, including the reproductive system (</w:t>
      </w:r>
      <w:proofErr w:type="spellStart"/>
      <w:r>
        <w:rPr>
          <w:rFonts w:ascii="Arial" w:eastAsia="Arial" w:hAnsi="Arial" w:cs="Arial"/>
          <w:color w:val="000000"/>
        </w:rPr>
        <w:t>Jaglan</w:t>
      </w:r>
      <w:proofErr w:type="spellEnd"/>
      <w:r>
        <w:rPr>
          <w:rFonts w:ascii="Arial" w:eastAsia="Arial" w:hAnsi="Arial" w:cs="Arial"/>
          <w:color w:val="000000"/>
        </w:rPr>
        <w:t xml:space="preserve"> et al., 2024). </w:t>
      </w:r>
    </w:p>
    <w:p w14:paraId="24C431FF" w14:textId="4BCDB23F" w:rsidR="00972984" w:rsidRDefault="0073180B" w:rsidP="00972984">
      <w:pPr>
        <w:shd w:val="clear" w:color="auto" w:fill="FFFFFF"/>
        <w:spacing w:line="480" w:lineRule="auto"/>
        <w:ind w:firstLine="426"/>
        <w:jc w:val="both"/>
        <w:rPr>
          <w:rFonts w:ascii="Arial" w:eastAsia="Arial" w:hAnsi="Arial" w:cs="Arial"/>
        </w:rPr>
      </w:pPr>
      <w:r w:rsidRPr="009273BB">
        <w:rPr>
          <w:rFonts w:ascii="Arial" w:eastAsia="Arial" w:hAnsi="Arial" w:cs="Arial"/>
          <w:highlight w:val="yellow"/>
        </w:rPr>
        <w:t xml:space="preserve">Periodontitis can cause an increase in oxidative stress in </w:t>
      </w:r>
      <w:proofErr w:type="spellStart"/>
      <w:r w:rsidRPr="009273BB">
        <w:rPr>
          <w:rFonts w:ascii="Arial" w:eastAsia="Arial" w:hAnsi="Arial" w:cs="Arial"/>
          <w:highlight w:val="yellow"/>
        </w:rPr>
        <w:t>Wistar</w:t>
      </w:r>
      <w:proofErr w:type="spellEnd"/>
      <w:r w:rsidRPr="009273BB">
        <w:rPr>
          <w:rFonts w:ascii="Arial" w:eastAsia="Arial" w:hAnsi="Arial" w:cs="Arial"/>
          <w:highlight w:val="yellow"/>
        </w:rPr>
        <w:t xml:space="preserve"> rats with experimental periodontitis (</w:t>
      </w:r>
      <w:proofErr w:type="spellStart"/>
      <w:r w:rsidRPr="009273BB">
        <w:rPr>
          <w:rFonts w:ascii="Arial" w:eastAsia="Arial" w:hAnsi="Arial" w:cs="Arial"/>
          <w:highlight w:val="yellow"/>
        </w:rPr>
        <w:t>Mester</w:t>
      </w:r>
      <w:proofErr w:type="spellEnd"/>
      <w:r w:rsidRPr="009273BB">
        <w:rPr>
          <w:rFonts w:ascii="Arial" w:eastAsia="Arial" w:hAnsi="Arial" w:cs="Arial"/>
          <w:highlight w:val="yellow"/>
        </w:rPr>
        <w:t xml:space="preserve"> et al., 2018), the reactive oxygen species, related to this oxidative stress, can increase the production of cytokines (Higashi, 2022). Wang et al. (2023) demonstrated that injections of tumor necrosis factor alpha (TNF-α) and interleukin 1beta (IL-1β) into the gums of mice caused both increased local periodontal destruction and increased gene expression of IL-1 and TNF-α in the hippocampus of these animals, suggesting that periodontitis could have systemic implications through this pathway of inflammation. Similarly, the production of these cytokines by the host with periodontitis (</w:t>
      </w:r>
      <w:proofErr w:type="spellStart"/>
      <w:r w:rsidRPr="009273BB">
        <w:rPr>
          <w:rFonts w:ascii="Arial" w:eastAsia="Arial" w:hAnsi="Arial" w:cs="Arial"/>
          <w:highlight w:val="yellow"/>
        </w:rPr>
        <w:t>Krejci</w:t>
      </w:r>
      <w:proofErr w:type="spellEnd"/>
      <w:r w:rsidRPr="009273BB">
        <w:rPr>
          <w:rFonts w:ascii="Arial" w:eastAsia="Arial" w:hAnsi="Arial" w:cs="Arial"/>
          <w:highlight w:val="yellow"/>
        </w:rPr>
        <w:t xml:space="preserve"> and </w:t>
      </w:r>
      <w:proofErr w:type="spellStart"/>
      <w:r w:rsidRPr="009273BB">
        <w:rPr>
          <w:rFonts w:ascii="Arial" w:eastAsia="Arial" w:hAnsi="Arial" w:cs="Arial"/>
          <w:highlight w:val="yellow"/>
        </w:rPr>
        <w:t>Bissada</w:t>
      </w:r>
      <w:proofErr w:type="spellEnd"/>
      <w:r w:rsidRPr="009273BB">
        <w:rPr>
          <w:rFonts w:ascii="Arial" w:eastAsia="Arial" w:hAnsi="Arial" w:cs="Arial"/>
          <w:highlight w:val="yellow"/>
        </w:rPr>
        <w:t>, 2002) may mean an increase in follicular effects linked to TNF-α and IL-1β, such as apoptosis in granulosa cells (</w:t>
      </w:r>
      <w:proofErr w:type="spellStart"/>
      <w:r w:rsidRPr="009273BB">
        <w:rPr>
          <w:rFonts w:ascii="Arial" w:eastAsia="Arial" w:hAnsi="Arial" w:cs="Arial"/>
          <w:highlight w:val="yellow"/>
        </w:rPr>
        <w:t>Sasson</w:t>
      </w:r>
      <w:proofErr w:type="spellEnd"/>
      <w:r w:rsidRPr="009273BB">
        <w:rPr>
          <w:rFonts w:ascii="Arial" w:eastAsia="Arial" w:hAnsi="Arial" w:cs="Arial"/>
          <w:highlight w:val="yellow"/>
        </w:rPr>
        <w:t xml:space="preserve"> et al., 2002) </w:t>
      </w:r>
      <w:r w:rsidR="00C17087">
        <w:rPr>
          <w:rFonts w:ascii="Arial" w:eastAsia="Arial" w:hAnsi="Arial" w:cs="Arial"/>
          <w:highlight w:val="yellow"/>
        </w:rPr>
        <w:t>as well as</w:t>
      </w:r>
      <w:r w:rsidRPr="009273BB">
        <w:rPr>
          <w:rFonts w:ascii="Arial" w:eastAsia="Arial" w:hAnsi="Arial" w:cs="Arial"/>
          <w:highlight w:val="yellow"/>
        </w:rPr>
        <w:t xml:space="preserve"> effects in the nuclear and/or cytoplasmic oocyte maturation process (Silva et al., 2020). </w:t>
      </w:r>
    </w:p>
    <w:p w14:paraId="09FEAA2E" w14:textId="77777777" w:rsidR="002F4D7D" w:rsidRDefault="0073180B" w:rsidP="002F4D7D">
      <w:pPr>
        <w:shd w:val="clear" w:color="auto" w:fill="FFFFFF"/>
        <w:spacing w:line="480" w:lineRule="auto"/>
        <w:ind w:firstLine="426"/>
        <w:jc w:val="both"/>
        <w:rPr>
          <w:rFonts w:ascii="Arial" w:eastAsia="Arial" w:hAnsi="Arial" w:cs="Arial"/>
          <w:color w:val="000000"/>
        </w:rPr>
      </w:pPr>
      <w:r>
        <w:rPr>
          <w:rFonts w:ascii="Arial" w:eastAsia="Arial" w:hAnsi="Arial" w:cs="Arial"/>
          <w:color w:val="000000"/>
        </w:rPr>
        <w:t xml:space="preserve">The pharmacology of dexamethasone is given by its anti-inflammatory action that results from the inhibition of phospholipase A2, which inhibits the arachidonic acid cascade, preventing the formation of prostaglandin, leukotrienes and thromboxane. Furthermore, it has </w:t>
      </w:r>
      <w:r>
        <w:rPr>
          <w:rFonts w:ascii="Arial" w:eastAsia="Arial" w:hAnsi="Arial" w:cs="Arial"/>
          <w:color w:val="000000"/>
        </w:rPr>
        <w:lastRenderedPageBreak/>
        <w:t>an effect on reducing leukocyte migration and adhesion, reducing inflammation (Williams, 2018). However, dexamethasone is a glucocorticoid, as cortisol, which is related to the control and regulation of inflammatory and lymphocyte responses, but when e cortisol levels remain elevated for a certain period of time (</w:t>
      </w:r>
      <w:proofErr w:type="spellStart"/>
      <w:r>
        <w:rPr>
          <w:rFonts w:ascii="Arial" w:eastAsia="Arial" w:hAnsi="Arial" w:cs="Arial"/>
          <w:color w:val="000000"/>
        </w:rPr>
        <w:t>Ayub</w:t>
      </w:r>
      <w:proofErr w:type="spellEnd"/>
      <w:r>
        <w:rPr>
          <w:rFonts w:ascii="Arial" w:eastAsia="Arial" w:hAnsi="Arial" w:cs="Arial"/>
          <w:color w:val="000000"/>
        </w:rPr>
        <w:t xml:space="preserve"> et al., 2010), immunosuppression is observed, as glucocorticoids lose their ability to inhibit the inflammatory response, thus causing periodontal disease to develop without adequate control. In this context, it would be expected that animals with periodontitis and treated with dexamethasone would have greater bone resorption (Varley, 1991). Paradoxically, when taking into account the data measured in the histopathological analysis, there was a significant difference between the groups of animals with periodontitis and those with periodontitis treated with dexamethasone, indicating that dexamethasone caused protection in the periodontal tissue, reducing the loss of clinical insertion. When comparing the result with that of other studies, it is suggested that dexamethasone impairs wound healing and decreases bone mineralization (</w:t>
      </w:r>
      <w:proofErr w:type="spellStart"/>
      <w:r>
        <w:rPr>
          <w:rFonts w:ascii="Arial" w:eastAsia="Arial" w:hAnsi="Arial" w:cs="Arial"/>
          <w:color w:val="000000"/>
        </w:rPr>
        <w:t>Cavagni</w:t>
      </w:r>
      <w:proofErr w:type="spellEnd"/>
      <w:r>
        <w:rPr>
          <w:rFonts w:ascii="Arial" w:eastAsia="Arial" w:hAnsi="Arial" w:cs="Arial"/>
          <w:color w:val="000000"/>
        </w:rPr>
        <w:t xml:space="preserve"> et al., 2005). However, our results of this study showed that dexamethasone was not a factor in the progression of periodontitis. There are some relevant factors that can corroborate with this result, including the period of treatment, the amount of drug administered and the methodology of the experiment. </w:t>
      </w:r>
    </w:p>
    <w:p w14:paraId="42DA9CD9" w14:textId="4D6B7DE5" w:rsidR="002F4D7D" w:rsidRPr="002F4D7D" w:rsidRDefault="00C17087" w:rsidP="002F4D7D">
      <w:pPr>
        <w:shd w:val="clear" w:color="auto" w:fill="FFFFFF"/>
        <w:spacing w:line="480" w:lineRule="auto"/>
        <w:ind w:firstLine="426"/>
        <w:jc w:val="both"/>
        <w:rPr>
          <w:rFonts w:ascii="Arial" w:eastAsia="Arial" w:hAnsi="Arial" w:cs="Arial"/>
          <w:color w:val="000000"/>
        </w:rPr>
      </w:pPr>
      <w:r>
        <w:rPr>
          <w:highlight w:val="yellow"/>
        </w:rPr>
        <w:t>T</w:t>
      </w:r>
      <w:r w:rsidR="0074157C" w:rsidRPr="006855B1">
        <w:rPr>
          <w:highlight w:val="yellow"/>
        </w:rPr>
        <w:t xml:space="preserve">he degeneration observed in ovarian follicles may provide a physiological explanation for the clinical correlation between patients with periodontitis and other diseases, such as PCOS (Machado et al., 2020; </w:t>
      </w:r>
      <w:proofErr w:type="spellStart"/>
      <w:r w:rsidR="0074157C" w:rsidRPr="006855B1">
        <w:rPr>
          <w:highlight w:val="yellow"/>
        </w:rPr>
        <w:t>Márquez-Arrico</w:t>
      </w:r>
      <w:proofErr w:type="spellEnd"/>
      <w:r w:rsidR="0074157C" w:rsidRPr="006855B1">
        <w:rPr>
          <w:highlight w:val="yellow"/>
        </w:rPr>
        <w:t xml:space="preserve"> et al., 2020). This study establishes a basis for future studies that address the more precise analysis of inflammation markers with an emphasis on ovarian follicles analysis in models of experimental periodontitis.</w:t>
      </w:r>
      <w:r w:rsidR="0074157C">
        <w:t xml:space="preserve"> </w:t>
      </w:r>
      <w:r w:rsidR="007B2649" w:rsidRPr="009273BB">
        <w:rPr>
          <w:rFonts w:ascii="Arial" w:eastAsia="Arial" w:hAnsi="Arial" w:cs="Arial"/>
          <w:highlight w:val="yellow"/>
        </w:rPr>
        <w:t xml:space="preserve">This study provides new perspectives on the interactions between inflammatory diseases, immunosuppressive drugs and reproductive health. It opens doors to a deeper understanding of the mechanisms of ovarian function and fertility, as well as guidance on the clinical management of patients with inflammatory conditions such as periodontitis. </w:t>
      </w:r>
      <w:r w:rsidR="002F4D7D" w:rsidRPr="002F4D7D">
        <w:rPr>
          <w:highlight w:val="yellow"/>
        </w:rPr>
        <w:t>In future studies, other markers of inflammatory cytokines such as IL-6, IL-1, IL-11, TN</w:t>
      </w:r>
      <w:r w:rsidR="005A04BF">
        <w:rPr>
          <w:highlight w:val="yellow"/>
        </w:rPr>
        <w:t>F</w:t>
      </w:r>
      <w:r w:rsidR="002F4D7D" w:rsidRPr="002F4D7D">
        <w:rPr>
          <w:highlight w:val="yellow"/>
        </w:rPr>
        <w:t xml:space="preserve">α and TGFβ can be </w:t>
      </w:r>
      <w:r w:rsidR="002F4D7D" w:rsidRPr="002F4D7D">
        <w:rPr>
          <w:highlight w:val="yellow"/>
        </w:rPr>
        <w:lastRenderedPageBreak/>
        <w:t>evaluated. Additionally, different period of dexamethasone administration can be analyzed, since the dosage and time of use directly influence the side effects of this drug.</w:t>
      </w:r>
    </w:p>
    <w:p w14:paraId="319D7401" w14:textId="77777777" w:rsidR="003F0AB7" w:rsidRDefault="003F0AB7">
      <w:pPr>
        <w:pBdr>
          <w:top w:val="nil"/>
          <w:left w:val="nil"/>
          <w:bottom w:val="nil"/>
          <w:right w:val="nil"/>
          <w:between w:val="nil"/>
        </w:pBdr>
        <w:jc w:val="both"/>
        <w:rPr>
          <w:rFonts w:ascii="Arial" w:eastAsia="Arial" w:hAnsi="Arial" w:cs="Arial"/>
          <w:color w:val="000000"/>
        </w:rPr>
      </w:pPr>
    </w:p>
    <w:p w14:paraId="00782AA6" w14:textId="77777777" w:rsidR="003F0AB7" w:rsidRDefault="0073180B">
      <w:pPr>
        <w:keepNext/>
        <w:pBdr>
          <w:top w:val="nil"/>
          <w:left w:val="nil"/>
          <w:bottom w:val="nil"/>
          <w:right w:val="nil"/>
          <w:between w:val="nil"/>
        </w:pBdr>
        <w:jc w:val="both"/>
        <w:rPr>
          <w:rFonts w:ascii="Arial" w:eastAsia="Arial" w:hAnsi="Arial" w:cs="Arial"/>
          <w:b/>
          <w:smallCaps/>
          <w:color w:val="000000"/>
          <w:sz w:val="22"/>
          <w:szCs w:val="22"/>
        </w:rPr>
      </w:pPr>
      <w:r>
        <w:rPr>
          <w:rFonts w:ascii="Arial" w:eastAsia="Arial" w:hAnsi="Arial" w:cs="Arial"/>
          <w:b/>
          <w:smallCaps/>
          <w:color w:val="000000"/>
          <w:sz w:val="22"/>
          <w:szCs w:val="22"/>
        </w:rPr>
        <w:t>4. Conclusion</w:t>
      </w:r>
    </w:p>
    <w:p w14:paraId="1D08E571" w14:textId="77777777" w:rsidR="003F0AB7" w:rsidRDefault="003F0AB7">
      <w:pPr>
        <w:keepNext/>
        <w:pBdr>
          <w:top w:val="nil"/>
          <w:left w:val="nil"/>
          <w:bottom w:val="nil"/>
          <w:right w:val="nil"/>
          <w:between w:val="nil"/>
        </w:pBdr>
        <w:jc w:val="both"/>
        <w:rPr>
          <w:rFonts w:ascii="Arial" w:eastAsia="Arial" w:hAnsi="Arial" w:cs="Arial"/>
          <w:b/>
          <w:smallCaps/>
          <w:color w:val="000000"/>
          <w:sz w:val="22"/>
          <w:szCs w:val="22"/>
        </w:rPr>
      </w:pPr>
    </w:p>
    <w:p w14:paraId="7956F04C" w14:textId="785291AF" w:rsidR="003F0AB7" w:rsidRDefault="0073180B">
      <w:pPr>
        <w:spacing w:line="480" w:lineRule="auto"/>
        <w:ind w:firstLine="720"/>
        <w:jc w:val="both"/>
        <w:rPr>
          <w:rFonts w:ascii="Arial" w:eastAsia="Arial" w:hAnsi="Arial" w:cs="Arial"/>
          <w:color w:val="000000"/>
        </w:rPr>
      </w:pPr>
      <w:r>
        <w:rPr>
          <w:rFonts w:ascii="Arial" w:eastAsia="Arial" w:hAnsi="Arial" w:cs="Arial"/>
          <w:color w:val="000000"/>
        </w:rPr>
        <w:t>Periodontitis is associated with increased rates of degeneration of secondary and tertiary follicles in mice. Dexamethasone does not influence the progression of periodontal disease and also does not influence the morphology and development of ovarian follicles, but it deregulates mice estrous cycle.</w:t>
      </w:r>
    </w:p>
    <w:p w14:paraId="12ABF145" w14:textId="77777777" w:rsidR="00CB0C55" w:rsidRDefault="00CB0C55">
      <w:pPr>
        <w:spacing w:line="480" w:lineRule="auto"/>
        <w:ind w:firstLine="720"/>
        <w:jc w:val="both"/>
        <w:rPr>
          <w:rFonts w:ascii="Arial" w:eastAsia="Arial" w:hAnsi="Arial" w:cs="Arial"/>
          <w:color w:val="000000"/>
          <w:sz w:val="24"/>
          <w:szCs w:val="24"/>
        </w:rPr>
      </w:pPr>
    </w:p>
    <w:p w14:paraId="05ED7A31" w14:textId="77777777" w:rsidR="00CB0C55" w:rsidRPr="009273BB" w:rsidRDefault="00CB0C55" w:rsidP="00CB0C55">
      <w:pPr>
        <w:spacing w:line="480" w:lineRule="auto"/>
        <w:rPr>
          <w:rFonts w:ascii="Arial" w:eastAsia="Arial" w:hAnsi="Arial" w:cs="Arial"/>
          <w:sz w:val="22"/>
          <w:szCs w:val="22"/>
          <w:highlight w:val="yellow"/>
        </w:rPr>
      </w:pPr>
      <w:r w:rsidRPr="009273BB">
        <w:rPr>
          <w:rFonts w:ascii="Arial" w:eastAsia="Arial" w:hAnsi="Arial" w:cs="Arial"/>
          <w:sz w:val="22"/>
          <w:szCs w:val="22"/>
          <w:highlight w:val="yellow"/>
        </w:rPr>
        <w:t xml:space="preserve">Highlights: - Periodontitis increases the rate of degeneration in secondary and tertiary follicles. </w:t>
      </w:r>
    </w:p>
    <w:p w14:paraId="027564C6" w14:textId="77777777" w:rsidR="00CB0C55" w:rsidRPr="009273BB" w:rsidRDefault="00CB0C55" w:rsidP="00CB0C55">
      <w:pPr>
        <w:spacing w:line="480" w:lineRule="auto"/>
        <w:rPr>
          <w:rFonts w:ascii="Arial" w:eastAsia="Arial" w:hAnsi="Arial" w:cs="Arial"/>
          <w:sz w:val="22"/>
          <w:szCs w:val="22"/>
          <w:highlight w:val="yellow"/>
        </w:rPr>
      </w:pPr>
      <w:r w:rsidRPr="009273BB">
        <w:rPr>
          <w:rFonts w:ascii="Arial" w:eastAsia="Arial" w:hAnsi="Arial" w:cs="Arial"/>
          <w:sz w:val="22"/>
          <w:szCs w:val="22"/>
          <w:highlight w:val="yellow"/>
        </w:rPr>
        <w:t xml:space="preserve">                  - Dexamethasone does not influence the progression of periodontal disease in mice.</w:t>
      </w:r>
    </w:p>
    <w:p w14:paraId="6CA7B188" w14:textId="3496DAC2" w:rsidR="00CB0C55" w:rsidRDefault="00CB0C55" w:rsidP="00CB0C55">
      <w:pPr>
        <w:spacing w:line="480" w:lineRule="auto"/>
        <w:rPr>
          <w:rFonts w:ascii="Arial" w:eastAsia="Arial" w:hAnsi="Arial" w:cs="Arial"/>
          <w:b/>
          <w:sz w:val="22"/>
          <w:szCs w:val="22"/>
          <w:highlight w:val="yellow"/>
        </w:rPr>
      </w:pPr>
      <w:r w:rsidRPr="009273BB">
        <w:rPr>
          <w:rFonts w:ascii="Arial" w:eastAsia="Arial" w:hAnsi="Arial" w:cs="Arial"/>
          <w:sz w:val="22"/>
          <w:szCs w:val="22"/>
          <w:highlight w:val="yellow"/>
        </w:rPr>
        <w:t xml:space="preserve">                  - Dexamethasone disrupts the estrous cycle of mice</w:t>
      </w:r>
      <w:r w:rsidRPr="009273BB">
        <w:rPr>
          <w:rFonts w:ascii="Arial" w:eastAsia="Arial" w:hAnsi="Arial" w:cs="Arial"/>
          <w:b/>
          <w:sz w:val="22"/>
          <w:szCs w:val="22"/>
          <w:highlight w:val="yellow"/>
        </w:rPr>
        <w:t>.</w:t>
      </w:r>
    </w:p>
    <w:p w14:paraId="1A531939" w14:textId="2B46B341" w:rsidR="0093255B" w:rsidRPr="009273BB" w:rsidRDefault="0093255B" w:rsidP="00CB0C55">
      <w:pPr>
        <w:spacing w:line="480" w:lineRule="auto"/>
        <w:rPr>
          <w:rFonts w:ascii="Arial" w:eastAsia="Arial" w:hAnsi="Arial" w:cs="Arial"/>
          <w:smallCaps/>
          <w:sz w:val="24"/>
          <w:szCs w:val="24"/>
          <w:highlight w:val="yellow"/>
        </w:rPr>
      </w:pPr>
      <w:r>
        <w:rPr>
          <w:rFonts w:ascii="Arial" w:eastAsia="Arial" w:hAnsi="Arial" w:cs="Arial"/>
          <w:b/>
          <w:sz w:val="22"/>
          <w:szCs w:val="22"/>
          <w:highlight w:val="yellow"/>
        </w:rPr>
        <w:t>Ethical Approval</w:t>
      </w:r>
      <w:bookmarkStart w:id="2" w:name="_GoBack"/>
      <w:bookmarkEnd w:id="2"/>
    </w:p>
    <w:p w14:paraId="27D0F3F2" w14:textId="6ECC744F" w:rsidR="00972984" w:rsidRDefault="0093255B">
      <w:pPr>
        <w:keepNext/>
        <w:pBdr>
          <w:top w:val="nil"/>
          <w:left w:val="nil"/>
          <w:bottom w:val="nil"/>
          <w:right w:val="nil"/>
          <w:between w:val="nil"/>
        </w:pBdr>
        <w:spacing w:after="240" w:line="480" w:lineRule="auto"/>
        <w:jc w:val="both"/>
        <w:rPr>
          <w:rFonts w:ascii="Arial" w:eastAsia="Arial" w:hAnsi="Arial" w:cs="Arial"/>
          <w:b/>
          <w:color w:val="000000"/>
        </w:rPr>
      </w:pPr>
      <w:r w:rsidRPr="0093255B">
        <w:rPr>
          <w:rFonts w:ascii="Arial" w:eastAsia="Arial" w:hAnsi="Arial" w:cs="Arial"/>
          <w:b/>
          <w:color w:val="000000"/>
        </w:rPr>
        <w:t xml:space="preserve">The experiments were started only after approval by the Ethics Committee on the Use of Animals (CEUA) of the Federal University of </w:t>
      </w:r>
      <w:proofErr w:type="spellStart"/>
      <w:r w:rsidRPr="0093255B">
        <w:rPr>
          <w:rFonts w:ascii="Arial" w:eastAsia="Arial" w:hAnsi="Arial" w:cs="Arial"/>
          <w:b/>
          <w:color w:val="000000"/>
        </w:rPr>
        <w:t>Ceara</w:t>
      </w:r>
      <w:proofErr w:type="spellEnd"/>
      <w:r w:rsidRPr="0093255B">
        <w:rPr>
          <w:rFonts w:ascii="Arial" w:eastAsia="Arial" w:hAnsi="Arial" w:cs="Arial"/>
          <w:b/>
          <w:color w:val="000000"/>
        </w:rPr>
        <w:t xml:space="preserve"> (Approval number: 12/20).</w:t>
      </w:r>
    </w:p>
    <w:p w14:paraId="48181140" w14:textId="48D4D3DF" w:rsidR="003F0AB7" w:rsidRDefault="0073180B">
      <w:pPr>
        <w:keepNext/>
        <w:pBdr>
          <w:top w:val="nil"/>
          <w:left w:val="nil"/>
          <w:bottom w:val="nil"/>
          <w:right w:val="nil"/>
          <w:between w:val="nil"/>
        </w:pBdr>
        <w:spacing w:after="240" w:line="480" w:lineRule="auto"/>
        <w:jc w:val="both"/>
        <w:rPr>
          <w:rFonts w:ascii="Arial" w:eastAsia="Arial" w:hAnsi="Arial" w:cs="Arial"/>
          <w:color w:val="000000"/>
        </w:rPr>
      </w:pPr>
      <w:r>
        <w:rPr>
          <w:rFonts w:ascii="Arial" w:eastAsia="Arial" w:hAnsi="Arial" w:cs="Arial"/>
          <w:b/>
          <w:color w:val="000000"/>
        </w:rPr>
        <w:t>COMPETING INTERESTS DISCLAIMER</w:t>
      </w:r>
      <w:r>
        <w:rPr>
          <w:rFonts w:ascii="Arial" w:eastAsia="Arial" w:hAnsi="Arial" w:cs="Arial"/>
          <w:color w:val="000000"/>
        </w:rPr>
        <w:t>:</w:t>
      </w:r>
    </w:p>
    <w:p w14:paraId="5E5AAAAD" w14:textId="149907DD" w:rsidR="003F0AB7" w:rsidRDefault="0073180B">
      <w:pPr>
        <w:keepNext/>
        <w:pBdr>
          <w:top w:val="nil"/>
          <w:left w:val="nil"/>
          <w:bottom w:val="nil"/>
          <w:right w:val="nil"/>
          <w:between w:val="nil"/>
        </w:pBdr>
        <w:spacing w:after="240" w:line="480" w:lineRule="auto"/>
        <w:jc w:val="both"/>
        <w:rPr>
          <w:rFonts w:ascii="Arial" w:eastAsia="Arial" w:hAnsi="Arial" w:cs="Arial"/>
          <w:color w:val="000000"/>
        </w:rPr>
      </w:pPr>
      <w:r>
        <w:rPr>
          <w:rFonts w:ascii="Arial" w:eastAsia="Arial" w:hAnsi="Arial" w:cs="Arial"/>
          <w:color w:val="000000"/>
        </w:rPr>
        <w:t>Authors have declared that they have no known competing financial interests or non-financial interests or personal relationships that could have appeared to influence the work reported in this paper.</w:t>
      </w:r>
    </w:p>
    <w:p w14:paraId="4DCF7689" w14:textId="64EB38CC" w:rsidR="00017C54" w:rsidRPr="00017C54" w:rsidRDefault="00017C54">
      <w:pPr>
        <w:keepNext/>
        <w:pBdr>
          <w:top w:val="nil"/>
          <w:left w:val="nil"/>
          <w:bottom w:val="nil"/>
          <w:right w:val="nil"/>
          <w:between w:val="nil"/>
        </w:pBdr>
        <w:spacing w:after="240" w:line="480" w:lineRule="auto"/>
        <w:jc w:val="both"/>
        <w:rPr>
          <w:rFonts w:ascii="Arial" w:eastAsia="Arial" w:hAnsi="Arial" w:cs="Arial"/>
          <w:b/>
          <w:color w:val="000000"/>
        </w:rPr>
      </w:pPr>
      <w:r w:rsidRPr="00017C54">
        <w:rPr>
          <w:rFonts w:ascii="Arial" w:eastAsia="Arial" w:hAnsi="Arial" w:cs="Arial"/>
          <w:b/>
          <w:color w:val="000000"/>
        </w:rPr>
        <w:t>AI DISCLAIMER</w:t>
      </w:r>
    </w:p>
    <w:p w14:paraId="047DEC1E" w14:textId="601959BB" w:rsidR="003F0AB7" w:rsidRPr="005F45BF" w:rsidRDefault="00C17087" w:rsidP="005F45BF">
      <w:pPr>
        <w:spacing w:after="200" w:line="276" w:lineRule="auto"/>
        <w:jc w:val="both"/>
        <w:rPr>
          <w:rFonts w:ascii="Arial" w:eastAsia="Calibri" w:hAnsi="Arial" w:cs="Arial"/>
          <w:highlight w:val="yellow"/>
        </w:rPr>
      </w:pPr>
      <w:bookmarkStart w:id="3" w:name="_heading=h.dw5wmwlvpjng" w:colFirst="0" w:colLast="0"/>
      <w:bookmarkEnd w:id="3"/>
      <w:r>
        <w:rPr>
          <w:rFonts w:ascii="Arial" w:eastAsia="Calibri" w:hAnsi="Arial" w:cs="Arial"/>
          <w:highlight w:val="yellow"/>
        </w:rPr>
        <w:t xml:space="preserve">The </w:t>
      </w:r>
      <w:r w:rsidR="0073180B" w:rsidRPr="005F45BF">
        <w:rPr>
          <w:rFonts w:ascii="Arial" w:eastAsia="Calibri" w:hAnsi="Arial" w:cs="Arial"/>
          <w:highlight w:val="yellow"/>
        </w:rPr>
        <w:t>Author</w:t>
      </w:r>
      <w:r>
        <w:rPr>
          <w:rFonts w:ascii="Arial" w:eastAsia="Calibri" w:hAnsi="Arial" w:cs="Arial"/>
          <w:highlight w:val="yellow"/>
        </w:rPr>
        <w:t>s</w:t>
      </w:r>
      <w:r w:rsidR="0073180B" w:rsidRPr="005F45BF">
        <w:rPr>
          <w:rFonts w:ascii="Arial" w:eastAsia="Calibri" w:hAnsi="Arial" w:cs="Arial"/>
          <w:highlight w:val="yellow"/>
        </w:rPr>
        <w:t xml:space="preserve"> hereby declare that NO generative AI technologies such as Large Language Models (</w:t>
      </w:r>
      <w:proofErr w:type="spellStart"/>
      <w:r w:rsidR="0073180B" w:rsidRPr="005F45BF">
        <w:rPr>
          <w:rFonts w:ascii="Arial" w:eastAsia="Calibri" w:hAnsi="Arial" w:cs="Arial"/>
          <w:highlight w:val="yellow"/>
        </w:rPr>
        <w:t>ChatGPT</w:t>
      </w:r>
      <w:proofErr w:type="spellEnd"/>
      <w:r w:rsidR="0073180B" w:rsidRPr="005F45BF">
        <w:rPr>
          <w:rFonts w:ascii="Arial" w:eastAsia="Calibri" w:hAnsi="Arial" w:cs="Arial"/>
          <w:highlight w:val="yellow"/>
        </w:rPr>
        <w:t xml:space="preserve">, COPILOT, etc.) and text-to-image generators have been used during the writing or editing of this manuscript. </w:t>
      </w:r>
      <w:bookmarkStart w:id="4" w:name="_heading=h.r2k84kla0bxm" w:colFirst="0" w:colLast="0"/>
      <w:bookmarkEnd w:id="4"/>
    </w:p>
    <w:p w14:paraId="6DD7F677" w14:textId="77777777" w:rsidR="003F0AB7" w:rsidRDefault="003F0AB7">
      <w:pPr>
        <w:rPr>
          <w:rFonts w:ascii="Arial" w:eastAsia="Arial" w:hAnsi="Arial" w:cs="Arial"/>
        </w:rPr>
      </w:pPr>
    </w:p>
    <w:p w14:paraId="11171C95" w14:textId="77777777" w:rsidR="003F0AB7" w:rsidRDefault="0073180B">
      <w:pPr>
        <w:keepNext/>
        <w:pBdr>
          <w:top w:val="nil"/>
          <w:left w:val="nil"/>
          <w:bottom w:val="nil"/>
          <w:right w:val="nil"/>
          <w:between w:val="nil"/>
        </w:pBdr>
        <w:jc w:val="both"/>
        <w:rPr>
          <w:rFonts w:ascii="Arial" w:eastAsia="Arial" w:hAnsi="Arial" w:cs="Arial"/>
          <w:b/>
          <w:smallCaps/>
          <w:color w:val="000000"/>
          <w:sz w:val="22"/>
          <w:szCs w:val="22"/>
        </w:rPr>
      </w:pPr>
      <w:r>
        <w:rPr>
          <w:rFonts w:ascii="Arial" w:eastAsia="Arial" w:hAnsi="Arial" w:cs="Arial"/>
          <w:b/>
          <w:smallCaps/>
          <w:color w:val="000000"/>
          <w:sz w:val="22"/>
          <w:szCs w:val="22"/>
        </w:rPr>
        <w:t>References</w:t>
      </w:r>
    </w:p>
    <w:p w14:paraId="3EB04297" w14:textId="77777777" w:rsidR="003F0AB7" w:rsidRDefault="003F0AB7">
      <w:pPr>
        <w:keepNext/>
        <w:pBdr>
          <w:top w:val="nil"/>
          <w:left w:val="nil"/>
          <w:bottom w:val="nil"/>
          <w:right w:val="nil"/>
          <w:between w:val="nil"/>
        </w:pBdr>
        <w:jc w:val="both"/>
        <w:rPr>
          <w:rFonts w:ascii="Arial" w:eastAsia="Arial" w:hAnsi="Arial" w:cs="Arial"/>
          <w:b/>
          <w:smallCaps/>
          <w:color w:val="000000"/>
          <w:sz w:val="22"/>
          <w:szCs w:val="22"/>
        </w:rPr>
      </w:pPr>
    </w:p>
    <w:p w14:paraId="0AF7791E" w14:textId="77777777" w:rsidR="003F0AB7" w:rsidRDefault="0073180B">
      <w:pPr>
        <w:numPr>
          <w:ilvl w:val="0"/>
          <w:numId w:val="1"/>
        </w:numPr>
        <w:pBdr>
          <w:top w:val="nil"/>
          <w:left w:val="nil"/>
          <w:bottom w:val="nil"/>
          <w:right w:val="nil"/>
          <w:between w:val="nil"/>
        </w:pBdr>
        <w:spacing w:line="480" w:lineRule="auto"/>
        <w:ind w:right="79"/>
        <w:jc w:val="both"/>
        <w:rPr>
          <w:rFonts w:ascii="Arial" w:eastAsia="Arial" w:hAnsi="Arial" w:cs="Arial"/>
          <w:color w:val="000000"/>
        </w:rPr>
      </w:pPr>
      <w:r w:rsidRPr="00947D56">
        <w:rPr>
          <w:rFonts w:ascii="Arial" w:eastAsia="Arial" w:hAnsi="Arial" w:cs="Arial"/>
          <w:color w:val="000000"/>
          <w:lang w:val="pt-BR"/>
        </w:rPr>
        <w:t xml:space="preserve">Alvarez, C., Suliman, S., Almarhoumi, R., Vega, M. E., Rojas, C., Monasterio, G., et al. </w:t>
      </w:r>
      <w:r>
        <w:rPr>
          <w:rFonts w:ascii="Arial" w:eastAsia="Arial" w:hAnsi="Arial" w:cs="Arial"/>
          <w:color w:val="000000"/>
        </w:rPr>
        <w:t>(2020). Regulatory T cell phenotype and anti-</w:t>
      </w:r>
      <w:proofErr w:type="spellStart"/>
      <w:r>
        <w:rPr>
          <w:rFonts w:ascii="Arial" w:eastAsia="Arial" w:hAnsi="Arial" w:cs="Arial"/>
          <w:color w:val="000000"/>
        </w:rPr>
        <w:t>osteoclastogenic</w:t>
      </w:r>
      <w:proofErr w:type="spellEnd"/>
      <w:r>
        <w:rPr>
          <w:rFonts w:ascii="Arial" w:eastAsia="Arial" w:hAnsi="Arial" w:cs="Arial"/>
          <w:color w:val="000000"/>
        </w:rPr>
        <w:t xml:space="preserve"> function in experimental periodontitis. </w:t>
      </w:r>
      <w:r>
        <w:rPr>
          <w:rFonts w:ascii="Arial" w:eastAsia="Arial" w:hAnsi="Arial" w:cs="Arial"/>
          <w:i/>
          <w:color w:val="000000"/>
        </w:rPr>
        <w:t>Scientific Reports</w:t>
      </w:r>
      <w:r>
        <w:rPr>
          <w:rFonts w:ascii="Arial" w:eastAsia="Arial" w:hAnsi="Arial" w:cs="Arial"/>
          <w:color w:val="000000"/>
        </w:rPr>
        <w:t>, </w:t>
      </w:r>
      <w:r>
        <w:rPr>
          <w:rFonts w:ascii="Arial" w:eastAsia="Arial" w:hAnsi="Arial" w:cs="Arial"/>
          <w:i/>
          <w:color w:val="000000"/>
        </w:rPr>
        <w:t>10</w:t>
      </w:r>
      <w:r>
        <w:rPr>
          <w:rFonts w:ascii="Arial" w:eastAsia="Arial" w:hAnsi="Arial" w:cs="Arial"/>
          <w:color w:val="000000"/>
        </w:rPr>
        <w:t xml:space="preserve">(1), 19018. </w:t>
      </w:r>
      <w:hyperlink r:id="rId21">
        <w:r w:rsidR="003F0AB7">
          <w:rPr>
            <w:rFonts w:ascii="Arial" w:eastAsia="Arial" w:hAnsi="Arial" w:cs="Arial"/>
            <w:color w:val="FF0080"/>
            <w:u w:val="single"/>
          </w:rPr>
          <w:t>https://doi.org/10.1038/s41598-020-76038-w</w:t>
        </w:r>
      </w:hyperlink>
      <w:r>
        <w:rPr>
          <w:rFonts w:ascii="Arial" w:eastAsia="Arial" w:hAnsi="Arial" w:cs="Arial"/>
          <w:color w:val="000000"/>
        </w:rPr>
        <w:t xml:space="preserve"> </w:t>
      </w:r>
    </w:p>
    <w:p w14:paraId="52EE3AB4" w14:textId="77777777" w:rsidR="003F0AB7" w:rsidRDefault="0073180B">
      <w:pPr>
        <w:numPr>
          <w:ilvl w:val="0"/>
          <w:numId w:val="1"/>
        </w:numPr>
        <w:pBdr>
          <w:top w:val="nil"/>
          <w:left w:val="nil"/>
          <w:bottom w:val="nil"/>
          <w:right w:val="nil"/>
          <w:between w:val="nil"/>
        </w:pBdr>
        <w:spacing w:line="480" w:lineRule="auto"/>
        <w:ind w:right="79"/>
        <w:jc w:val="both"/>
        <w:rPr>
          <w:rFonts w:ascii="Arial" w:eastAsia="Arial" w:hAnsi="Arial" w:cs="Arial"/>
          <w:color w:val="000000"/>
        </w:rPr>
      </w:pPr>
      <w:r>
        <w:rPr>
          <w:rFonts w:ascii="Arial" w:eastAsia="Arial" w:hAnsi="Arial" w:cs="Arial"/>
          <w:color w:val="000000"/>
        </w:rPr>
        <w:t xml:space="preserve">Andersen, C. L., Liu, M., Wang, Z., Ye, X., &amp; Xiao, S. (2019). Chemotherapeutic agent doxorubicin alters uterine gene expression in response to estrogen in </w:t>
      </w:r>
      <w:proofErr w:type="spellStart"/>
      <w:r>
        <w:rPr>
          <w:rFonts w:ascii="Arial" w:eastAsia="Arial" w:hAnsi="Arial" w:cs="Arial"/>
          <w:color w:val="000000"/>
        </w:rPr>
        <w:t>ovariectomized</w:t>
      </w:r>
      <w:proofErr w:type="spellEnd"/>
      <w:r>
        <w:rPr>
          <w:rFonts w:ascii="Arial" w:eastAsia="Arial" w:hAnsi="Arial" w:cs="Arial"/>
          <w:color w:val="000000"/>
        </w:rPr>
        <w:t xml:space="preserve"> CD-1 adult mice. </w:t>
      </w:r>
      <w:r>
        <w:rPr>
          <w:rFonts w:ascii="Arial" w:eastAsia="Arial" w:hAnsi="Arial" w:cs="Arial"/>
          <w:i/>
          <w:color w:val="000000"/>
        </w:rPr>
        <w:t>Biology of reproduction</w:t>
      </w:r>
      <w:r>
        <w:rPr>
          <w:rFonts w:ascii="Arial" w:eastAsia="Arial" w:hAnsi="Arial" w:cs="Arial"/>
          <w:color w:val="000000"/>
        </w:rPr>
        <w:t>, </w:t>
      </w:r>
      <w:r>
        <w:rPr>
          <w:rFonts w:ascii="Arial" w:eastAsia="Arial" w:hAnsi="Arial" w:cs="Arial"/>
          <w:i/>
          <w:color w:val="000000"/>
        </w:rPr>
        <w:t>100</w:t>
      </w:r>
      <w:r>
        <w:rPr>
          <w:rFonts w:ascii="Arial" w:eastAsia="Arial" w:hAnsi="Arial" w:cs="Arial"/>
          <w:color w:val="000000"/>
        </w:rPr>
        <w:t xml:space="preserve">(4), 869-871. </w:t>
      </w:r>
      <w:hyperlink r:id="rId22">
        <w:r w:rsidR="003F0AB7">
          <w:rPr>
            <w:rFonts w:ascii="Arial" w:eastAsia="Arial" w:hAnsi="Arial" w:cs="Arial"/>
            <w:color w:val="FF0080"/>
            <w:u w:val="single"/>
          </w:rPr>
          <w:t>https://doi.org/10.1093/biolre/ioy259</w:t>
        </w:r>
      </w:hyperlink>
    </w:p>
    <w:p w14:paraId="184EFE2F" w14:textId="77777777" w:rsidR="003F0AB7" w:rsidRDefault="0073180B">
      <w:pPr>
        <w:numPr>
          <w:ilvl w:val="0"/>
          <w:numId w:val="1"/>
        </w:numPr>
        <w:pBdr>
          <w:top w:val="nil"/>
          <w:left w:val="nil"/>
          <w:bottom w:val="nil"/>
          <w:right w:val="nil"/>
          <w:between w:val="nil"/>
        </w:pBdr>
        <w:spacing w:line="480" w:lineRule="auto"/>
        <w:ind w:right="79"/>
        <w:jc w:val="both"/>
        <w:rPr>
          <w:rFonts w:ascii="Arial" w:eastAsia="Arial" w:hAnsi="Arial" w:cs="Arial"/>
          <w:color w:val="000000"/>
        </w:rPr>
      </w:pPr>
      <w:proofErr w:type="spellStart"/>
      <w:r>
        <w:rPr>
          <w:rFonts w:ascii="Arial" w:eastAsia="Arial" w:hAnsi="Arial" w:cs="Arial"/>
          <w:color w:val="000000"/>
        </w:rPr>
        <w:t>Aufdemorte</w:t>
      </w:r>
      <w:proofErr w:type="spellEnd"/>
      <w:r>
        <w:rPr>
          <w:rFonts w:ascii="Arial" w:eastAsia="Arial" w:hAnsi="Arial" w:cs="Arial"/>
          <w:color w:val="000000"/>
        </w:rPr>
        <w:t>, T. B., &amp; Sheridan, P. J. (1981). Nuclear uptake of sex steroids in gingiva of the baboon. </w:t>
      </w:r>
      <w:r>
        <w:rPr>
          <w:rFonts w:ascii="Arial" w:eastAsia="Arial" w:hAnsi="Arial" w:cs="Arial"/>
          <w:i/>
          <w:color w:val="000000"/>
        </w:rPr>
        <w:t>Journal of periodontology</w:t>
      </w:r>
      <w:r>
        <w:rPr>
          <w:rFonts w:ascii="Arial" w:eastAsia="Arial" w:hAnsi="Arial" w:cs="Arial"/>
          <w:color w:val="000000"/>
        </w:rPr>
        <w:t>, </w:t>
      </w:r>
      <w:r>
        <w:rPr>
          <w:rFonts w:ascii="Arial" w:eastAsia="Arial" w:hAnsi="Arial" w:cs="Arial"/>
          <w:i/>
          <w:color w:val="000000"/>
        </w:rPr>
        <w:t>52</w:t>
      </w:r>
      <w:r>
        <w:rPr>
          <w:rFonts w:ascii="Arial" w:eastAsia="Arial" w:hAnsi="Arial" w:cs="Arial"/>
          <w:color w:val="000000"/>
        </w:rPr>
        <w:t>(8), 430-434.  </w:t>
      </w:r>
      <w:hyperlink r:id="rId23">
        <w:r w:rsidR="003F0AB7">
          <w:rPr>
            <w:rFonts w:ascii="Arial" w:eastAsia="Arial" w:hAnsi="Arial" w:cs="Arial"/>
            <w:color w:val="FF0080"/>
            <w:u w:val="single"/>
          </w:rPr>
          <w:t>https://doi.org/10.1902/jop.1981.52.8.430</w:t>
        </w:r>
      </w:hyperlink>
    </w:p>
    <w:p w14:paraId="297A0F0B" w14:textId="77777777" w:rsidR="003F0AB7" w:rsidRDefault="0073180B">
      <w:pPr>
        <w:numPr>
          <w:ilvl w:val="0"/>
          <w:numId w:val="1"/>
        </w:numPr>
        <w:pBdr>
          <w:top w:val="nil"/>
          <w:left w:val="nil"/>
          <w:bottom w:val="nil"/>
          <w:right w:val="nil"/>
          <w:between w:val="nil"/>
        </w:pBdr>
        <w:spacing w:line="480" w:lineRule="auto"/>
        <w:ind w:right="79"/>
        <w:jc w:val="both"/>
        <w:rPr>
          <w:rFonts w:ascii="Arial" w:eastAsia="Arial" w:hAnsi="Arial" w:cs="Arial"/>
          <w:color w:val="000000"/>
        </w:rPr>
      </w:pPr>
      <w:r w:rsidRPr="00947D56">
        <w:rPr>
          <w:rFonts w:ascii="Arial" w:eastAsia="Arial" w:hAnsi="Arial" w:cs="Arial"/>
          <w:color w:val="000000"/>
          <w:lang w:val="pt-BR"/>
        </w:rPr>
        <w:t xml:space="preserve">Ayub, L. G., Novaes Júnior, A. B., Grisi, M. F. D. M., Souza, S. L. S. D., Palioto, D. B., Leite-Panissi, C. R. A., et al. </w:t>
      </w:r>
      <w:r>
        <w:rPr>
          <w:rFonts w:ascii="Arial" w:eastAsia="Arial" w:hAnsi="Arial" w:cs="Arial"/>
          <w:color w:val="000000"/>
        </w:rPr>
        <w:t xml:space="preserve">(2010). </w:t>
      </w:r>
      <w:r w:rsidRPr="00947D56">
        <w:rPr>
          <w:rFonts w:ascii="Arial" w:eastAsia="Arial" w:hAnsi="Arial" w:cs="Arial"/>
          <w:color w:val="000000"/>
          <w:lang w:val="pt-BR"/>
        </w:rPr>
        <w:t>Estresse como possível fator de risco para a doença periodontal: revisão da literatura. </w:t>
      </w:r>
      <w:proofErr w:type="spellStart"/>
      <w:r>
        <w:rPr>
          <w:rFonts w:ascii="Arial" w:eastAsia="Arial" w:hAnsi="Arial" w:cs="Arial"/>
          <w:i/>
          <w:color w:val="000000"/>
        </w:rPr>
        <w:t>Periodontia</w:t>
      </w:r>
      <w:proofErr w:type="spellEnd"/>
      <w:r>
        <w:rPr>
          <w:rFonts w:ascii="Arial" w:eastAsia="Arial" w:hAnsi="Arial" w:cs="Arial"/>
          <w:color w:val="000000"/>
        </w:rPr>
        <w:t xml:space="preserve">, 28-36. </w:t>
      </w:r>
    </w:p>
    <w:p w14:paraId="4A9FD4CA" w14:textId="77777777" w:rsidR="003F0AB7" w:rsidRDefault="0073180B">
      <w:pPr>
        <w:numPr>
          <w:ilvl w:val="0"/>
          <w:numId w:val="1"/>
        </w:numPr>
        <w:pBdr>
          <w:top w:val="nil"/>
          <w:left w:val="nil"/>
          <w:bottom w:val="nil"/>
          <w:right w:val="nil"/>
          <w:between w:val="nil"/>
        </w:pBdr>
        <w:spacing w:line="480" w:lineRule="auto"/>
        <w:ind w:right="79"/>
        <w:jc w:val="both"/>
        <w:rPr>
          <w:rFonts w:ascii="Arial" w:eastAsia="Arial" w:hAnsi="Arial" w:cs="Arial"/>
          <w:color w:val="000000"/>
        </w:rPr>
      </w:pPr>
      <w:r w:rsidRPr="00947D56">
        <w:rPr>
          <w:rFonts w:ascii="Arial" w:eastAsia="Arial" w:hAnsi="Arial" w:cs="Arial"/>
          <w:color w:val="000000"/>
          <w:lang w:val="pt-BR"/>
        </w:rPr>
        <w:t xml:space="preserve">Cavagni, J., Soletti, A. C., Gaio, E. J., &amp; Rösing, C. K. (2005). </w:t>
      </w:r>
      <w:r>
        <w:rPr>
          <w:rFonts w:ascii="Arial" w:eastAsia="Arial" w:hAnsi="Arial" w:cs="Arial"/>
          <w:color w:val="000000"/>
        </w:rPr>
        <w:t xml:space="preserve">The effect of dexamethasone in the pathogenesis of ligature-induced periodontal disease in </w:t>
      </w:r>
      <w:proofErr w:type="spellStart"/>
      <w:r>
        <w:rPr>
          <w:rFonts w:ascii="Arial" w:eastAsia="Arial" w:hAnsi="Arial" w:cs="Arial"/>
          <w:color w:val="000000"/>
        </w:rPr>
        <w:t>Wistar</w:t>
      </w:r>
      <w:proofErr w:type="spellEnd"/>
      <w:r>
        <w:rPr>
          <w:rFonts w:ascii="Arial" w:eastAsia="Arial" w:hAnsi="Arial" w:cs="Arial"/>
          <w:color w:val="000000"/>
        </w:rPr>
        <w:t xml:space="preserve"> rats. </w:t>
      </w:r>
      <w:r>
        <w:rPr>
          <w:rFonts w:ascii="Arial" w:eastAsia="Arial" w:hAnsi="Arial" w:cs="Arial"/>
          <w:i/>
          <w:color w:val="000000"/>
        </w:rPr>
        <w:t>Brazilian oral research</w:t>
      </w:r>
      <w:r>
        <w:rPr>
          <w:rFonts w:ascii="Arial" w:eastAsia="Arial" w:hAnsi="Arial" w:cs="Arial"/>
          <w:color w:val="000000"/>
        </w:rPr>
        <w:t>, </w:t>
      </w:r>
      <w:r>
        <w:rPr>
          <w:rFonts w:ascii="Arial" w:eastAsia="Arial" w:hAnsi="Arial" w:cs="Arial"/>
          <w:i/>
          <w:color w:val="000000"/>
        </w:rPr>
        <w:t>19</w:t>
      </w:r>
      <w:r>
        <w:rPr>
          <w:rFonts w:ascii="Arial" w:eastAsia="Arial" w:hAnsi="Arial" w:cs="Arial"/>
          <w:color w:val="000000"/>
        </w:rPr>
        <w:t xml:space="preserve">, 290-294. </w:t>
      </w:r>
      <w:hyperlink r:id="rId24">
        <w:r w:rsidR="003F0AB7">
          <w:rPr>
            <w:rFonts w:ascii="Arial" w:eastAsia="Arial" w:hAnsi="Arial" w:cs="Arial"/>
            <w:color w:val="FF0080"/>
            <w:u w:val="single"/>
          </w:rPr>
          <w:t>https://doi.org/10.1590/S1806-83242005000400010</w:t>
        </w:r>
      </w:hyperlink>
    </w:p>
    <w:p w14:paraId="70B32145" w14:textId="77777777" w:rsidR="003F0AB7" w:rsidRDefault="0073180B">
      <w:pPr>
        <w:numPr>
          <w:ilvl w:val="0"/>
          <w:numId w:val="1"/>
        </w:numPr>
        <w:pBdr>
          <w:top w:val="nil"/>
          <w:left w:val="nil"/>
          <w:bottom w:val="nil"/>
          <w:right w:val="nil"/>
          <w:between w:val="nil"/>
        </w:pBdr>
        <w:spacing w:line="480" w:lineRule="auto"/>
        <w:ind w:right="79"/>
        <w:jc w:val="both"/>
        <w:rPr>
          <w:rFonts w:ascii="Arial" w:eastAsia="Arial" w:hAnsi="Arial" w:cs="Arial"/>
          <w:color w:val="000000"/>
        </w:rPr>
      </w:pPr>
      <w:r>
        <w:rPr>
          <w:rFonts w:ascii="Arial" w:eastAsia="Arial" w:hAnsi="Arial" w:cs="Arial"/>
          <w:color w:val="000000"/>
        </w:rPr>
        <w:t>Fortune, J. E. (2003). The early stages of follicular development: activation of primordial follicles and growth of preantral follicles. </w:t>
      </w:r>
      <w:r>
        <w:rPr>
          <w:rFonts w:ascii="Arial" w:eastAsia="Arial" w:hAnsi="Arial" w:cs="Arial"/>
          <w:i/>
          <w:color w:val="000000"/>
        </w:rPr>
        <w:t>Animal reproduction science</w:t>
      </w:r>
      <w:r>
        <w:rPr>
          <w:rFonts w:ascii="Arial" w:eastAsia="Arial" w:hAnsi="Arial" w:cs="Arial"/>
          <w:color w:val="000000"/>
        </w:rPr>
        <w:t>, </w:t>
      </w:r>
      <w:r>
        <w:rPr>
          <w:rFonts w:ascii="Arial" w:eastAsia="Arial" w:hAnsi="Arial" w:cs="Arial"/>
          <w:i/>
          <w:color w:val="000000"/>
        </w:rPr>
        <w:t>78</w:t>
      </w:r>
      <w:r>
        <w:rPr>
          <w:rFonts w:ascii="Arial" w:eastAsia="Arial" w:hAnsi="Arial" w:cs="Arial"/>
          <w:color w:val="000000"/>
        </w:rPr>
        <w:t xml:space="preserve">(3-4), 135-163. </w:t>
      </w:r>
      <w:hyperlink r:id="rId25">
        <w:r w:rsidR="003F0AB7">
          <w:rPr>
            <w:rFonts w:ascii="Arial" w:eastAsia="Arial" w:hAnsi="Arial" w:cs="Arial"/>
            <w:color w:val="FF0080"/>
            <w:u w:val="single"/>
          </w:rPr>
          <w:t>https://doi.org/10.1016/S0378-4320(03)00088-5</w:t>
        </w:r>
      </w:hyperlink>
    </w:p>
    <w:p w14:paraId="231056BE" w14:textId="77777777" w:rsidR="003F0AB7" w:rsidRDefault="0073180B">
      <w:pPr>
        <w:numPr>
          <w:ilvl w:val="0"/>
          <w:numId w:val="1"/>
        </w:numPr>
        <w:pBdr>
          <w:top w:val="nil"/>
          <w:left w:val="nil"/>
          <w:bottom w:val="nil"/>
          <w:right w:val="nil"/>
          <w:between w:val="nil"/>
        </w:pBdr>
        <w:spacing w:line="480" w:lineRule="auto"/>
        <w:ind w:right="79"/>
        <w:jc w:val="both"/>
        <w:rPr>
          <w:rFonts w:ascii="Arial" w:eastAsia="Arial" w:hAnsi="Arial" w:cs="Arial"/>
          <w:color w:val="000000"/>
        </w:rPr>
      </w:pPr>
      <w:r>
        <w:rPr>
          <w:rFonts w:ascii="Arial" w:eastAsia="Arial" w:hAnsi="Arial" w:cs="Arial"/>
          <w:color w:val="000000"/>
        </w:rPr>
        <w:t>Fraser, H. M. (2006). Regulation of the ovarian follicular vasculature. </w:t>
      </w:r>
      <w:r>
        <w:rPr>
          <w:rFonts w:ascii="Arial" w:eastAsia="Arial" w:hAnsi="Arial" w:cs="Arial"/>
          <w:i/>
          <w:color w:val="000000"/>
        </w:rPr>
        <w:t>Reproductive Biology and Endocrinology</w:t>
      </w:r>
      <w:r>
        <w:rPr>
          <w:rFonts w:ascii="Arial" w:eastAsia="Arial" w:hAnsi="Arial" w:cs="Arial"/>
          <w:color w:val="000000"/>
        </w:rPr>
        <w:t>, </w:t>
      </w:r>
      <w:r>
        <w:rPr>
          <w:rFonts w:ascii="Arial" w:eastAsia="Arial" w:hAnsi="Arial" w:cs="Arial"/>
          <w:i/>
          <w:color w:val="000000"/>
        </w:rPr>
        <w:t>4</w:t>
      </w:r>
      <w:r>
        <w:rPr>
          <w:rFonts w:ascii="Arial" w:eastAsia="Arial" w:hAnsi="Arial" w:cs="Arial"/>
          <w:color w:val="000000"/>
        </w:rPr>
        <w:t xml:space="preserve">, 1-9. </w:t>
      </w:r>
      <w:hyperlink r:id="rId26">
        <w:r w:rsidR="003F0AB7">
          <w:rPr>
            <w:rFonts w:ascii="Arial" w:eastAsia="Arial" w:hAnsi="Arial" w:cs="Arial"/>
            <w:color w:val="FF0080"/>
            <w:u w:val="single"/>
          </w:rPr>
          <w:t>https://doi.org/10.1186/1477-7827-4-18</w:t>
        </w:r>
      </w:hyperlink>
      <w:r>
        <w:rPr>
          <w:rFonts w:ascii="Arial" w:eastAsia="Arial" w:hAnsi="Arial" w:cs="Arial"/>
          <w:color w:val="000000"/>
        </w:rPr>
        <w:t xml:space="preserve"> </w:t>
      </w:r>
    </w:p>
    <w:p w14:paraId="44DC8878" w14:textId="77777777" w:rsidR="003F0AB7" w:rsidRDefault="0073180B">
      <w:pPr>
        <w:numPr>
          <w:ilvl w:val="0"/>
          <w:numId w:val="1"/>
        </w:numPr>
        <w:pBdr>
          <w:top w:val="nil"/>
          <w:left w:val="nil"/>
          <w:bottom w:val="nil"/>
          <w:right w:val="nil"/>
          <w:between w:val="nil"/>
        </w:pBdr>
        <w:spacing w:line="480" w:lineRule="auto"/>
        <w:ind w:right="79"/>
        <w:jc w:val="both"/>
        <w:rPr>
          <w:rFonts w:ascii="Arial" w:eastAsia="Arial" w:hAnsi="Arial" w:cs="Arial"/>
          <w:color w:val="000000"/>
        </w:rPr>
      </w:pPr>
      <w:r w:rsidRPr="00947D56">
        <w:rPr>
          <w:rFonts w:ascii="Arial" w:eastAsia="Arial" w:hAnsi="Arial" w:cs="Arial"/>
          <w:color w:val="000000"/>
          <w:lang w:val="pt-BR"/>
        </w:rPr>
        <w:t xml:space="preserve">Fraser, H. M., &amp; Duncan, W. C. (2005). </w:t>
      </w:r>
      <w:r>
        <w:rPr>
          <w:rFonts w:ascii="Arial" w:eastAsia="Arial" w:hAnsi="Arial" w:cs="Arial"/>
          <w:color w:val="000000"/>
        </w:rPr>
        <w:t>Vascular morphogenesis in the primate ovary. </w:t>
      </w:r>
      <w:r>
        <w:rPr>
          <w:rFonts w:ascii="Arial" w:eastAsia="Arial" w:hAnsi="Arial" w:cs="Arial"/>
          <w:i/>
          <w:color w:val="000000"/>
        </w:rPr>
        <w:t>Angiogenesis</w:t>
      </w:r>
      <w:r>
        <w:rPr>
          <w:rFonts w:ascii="Arial" w:eastAsia="Arial" w:hAnsi="Arial" w:cs="Arial"/>
          <w:color w:val="000000"/>
        </w:rPr>
        <w:t>, </w:t>
      </w:r>
      <w:r>
        <w:rPr>
          <w:rFonts w:ascii="Arial" w:eastAsia="Arial" w:hAnsi="Arial" w:cs="Arial"/>
          <w:i/>
          <w:color w:val="000000"/>
        </w:rPr>
        <w:t>8</w:t>
      </w:r>
      <w:r>
        <w:rPr>
          <w:rFonts w:ascii="Arial" w:eastAsia="Arial" w:hAnsi="Arial" w:cs="Arial"/>
          <w:color w:val="000000"/>
        </w:rPr>
        <w:t xml:space="preserve">, 101-116. </w:t>
      </w:r>
      <w:hyperlink r:id="rId27">
        <w:r w:rsidR="003F0AB7">
          <w:rPr>
            <w:rFonts w:ascii="Arial" w:eastAsia="Arial" w:hAnsi="Arial" w:cs="Arial"/>
            <w:color w:val="FF0080"/>
            <w:u w:val="single"/>
          </w:rPr>
          <w:t>https://doi.org/10.1007/s10456-005-9004-y</w:t>
        </w:r>
      </w:hyperlink>
      <w:r>
        <w:rPr>
          <w:rFonts w:ascii="Arial" w:eastAsia="Arial" w:hAnsi="Arial" w:cs="Arial"/>
          <w:color w:val="000000"/>
        </w:rPr>
        <w:t xml:space="preserve"> </w:t>
      </w:r>
    </w:p>
    <w:p w14:paraId="5B6C4E71" w14:textId="77777777" w:rsidR="003F0AB7" w:rsidRPr="00947D56" w:rsidRDefault="0073180B">
      <w:pPr>
        <w:numPr>
          <w:ilvl w:val="0"/>
          <w:numId w:val="1"/>
        </w:numPr>
        <w:pBdr>
          <w:top w:val="nil"/>
          <w:left w:val="nil"/>
          <w:bottom w:val="nil"/>
          <w:right w:val="nil"/>
          <w:between w:val="nil"/>
        </w:pBdr>
        <w:spacing w:line="480" w:lineRule="auto"/>
        <w:ind w:right="79"/>
        <w:jc w:val="both"/>
        <w:rPr>
          <w:rFonts w:ascii="Arial" w:eastAsia="Arial" w:hAnsi="Arial" w:cs="Arial"/>
          <w:color w:val="000000"/>
          <w:lang w:val="pt-BR"/>
        </w:rPr>
      </w:pPr>
      <w:r w:rsidRPr="00947D56">
        <w:rPr>
          <w:rFonts w:ascii="Arial" w:eastAsia="Arial" w:hAnsi="Arial" w:cs="Arial"/>
          <w:color w:val="000000"/>
          <w:lang w:val="pt-BR"/>
        </w:rPr>
        <w:lastRenderedPageBreak/>
        <w:t>Freitas, T. H. P. D., &amp; Souza, D. A. F. D. (2007). Corticosteróides sistêmicos na prática dermatológica. Parte I: Principais efeitos adversos. </w:t>
      </w:r>
      <w:r w:rsidRPr="00947D56">
        <w:rPr>
          <w:rFonts w:ascii="Arial" w:eastAsia="Arial" w:hAnsi="Arial" w:cs="Arial"/>
          <w:i/>
          <w:color w:val="000000"/>
          <w:lang w:val="pt-BR"/>
        </w:rPr>
        <w:t>Anais Brasileiros de Dermatologia</w:t>
      </w:r>
      <w:r w:rsidRPr="00947D56">
        <w:rPr>
          <w:rFonts w:ascii="Arial" w:eastAsia="Arial" w:hAnsi="Arial" w:cs="Arial"/>
          <w:color w:val="000000"/>
          <w:lang w:val="pt-BR"/>
        </w:rPr>
        <w:t>, </w:t>
      </w:r>
      <w:r w:rsidRPr="00947D56">
        <w:rPr>
          <w:rFonts w:ascii="Arial" w:eastAsia="Arial" w:hAnsi="Arial" w:cs="Arial"/>
          <w:i/>
          <w:color w:val="000000"/>
          <w:lang w:val="pt-BR"/>
        </w:rPr>
        <w:t>82</w:t>
      </w:r>
      <w:r w:rsidRPr="00947D56">
        <w:rPr>
          <w:rFonts w:ascii="Arial" w:eastAsia="Arial" w:hAnsi="Arial" w:cs="Arial"/>
          <w:color w:val="000000"/>
          <w:lang w:val="pt-BR"/>
        </w:rPr>
        <w:t xml:space="preserve">, 63-70. </w:t>
      </w:r>
      <w:hyperlink r:id="rId28">
        <w:r w:rsidR="003F0AB7" w:rsidRPr="00947D56">
          <w:rPr>
            <w:rFonts w:ascii="Arial" w:eastAsia="Arial" w:hAnsi="Arial" w:cs="Arial"/>
            <w:color w:val="FF0080"/>
            <w:u w:val="single"/>
            <w:lang w:val="pt-BR"/>
          </w:rPr>
          <w:t>https://doi.org/10.1590/S0365-05962007000100009</w:t>
        </w:r>
      </w:hyperlink>
    </w:p>
    <w:p w14:paraId="650A1FA3" w14:textId="77777777" w:rsidR="003F0AB7" w:rsidRDefault="0073180B">
      <w:pPr>
        <w:numPr>
          <w:ilvl w:val="0"/>
          <w:numId w:val="1"/>
        </w:numPr>
        <w:pBdr>
          <w:top w:val="nil"/>
          <w:left w:val="nil"/>
          <w:bottom w:val="nil"/>
          <w:right w:val="nil"/>
          <w:between w:val="nil"/>
        </w:pBdr>
        <w:spacing w:line="480" w:lineRule="auto"/>
        <w:ind w:right="79"/>
        <w:jc w:val="both"/>
        <w:rPr>
          <w:rFonts w:ascii="Arial" w:eastAsia="Arial" w:hAnsi="Arial" w:cs="Arial"/>
          <w:color w:val="000000"/>
        </w:rPr>
      </w:pPr>
      <w:proofErr w:type="spellStart"/>
      <w:r>
        <w:rPr>
          <w:rFonts w:ascii="Arial" w:eastAsia="Arial" w:hAnsi="Arial" w:cs="Arial"/>
          <w:color w:val="000000"/>
        </w:rPr>
        <w:t>Hajishengallis</w:t>
      </w:r>
      <w:proofErr w:type="spellEnd"/>
      <w:r>
        <w:rPr>
          <w:rFonts w:ascii="Arial" w:eastAsia="Arial" w:hAnsi="Arial" w:cs="Arial"/>
          <w:color w:val="000000"/>
        </w:rPr>
        <w:t xml:space="preserve">, G., &amp; </w:t>
      </w:r>
      <w:proofErr w:type="spellStart"/>
      <w:r>
        <w:rPr>
          <w:rFonts w:ascii="Arial" w:eastAsia="Arial" w:hAnsi="Arial" w:cs="Arial"/>
          <w:color w:val="000000"/>
        </w:rPr>
        <w:t>Chavakis</w:t>
      </w:r>
      <w:proofErr w:type="spellEnd"/>
      <w:r>
        <w:rPr>
          <w:rFonts w:ascii="Arial" w:eastAsia="Arial" w:hAnsi="Arial" w:cs="Arial"/>
          <w:color w:val="000000"/>
        </w:rPr>
        <w:t>, T. (2021). Local and systemic mechanisms linking periodontal disease and inflammatory comorbidities. </w:t>
      </w:r>
      <w:r>
        <w:rPr>
          <w:rFonts w:ascii="Arial" w:eastAsia="Arial" w:hAnsi="Arial" w:cs="Arial"/>
          <w:i/>
          <w:color w:val="000000"/>
        </w:rPr>
        <w:t>Nature Reviews Immunology</w:t>
      </w:r>
      <w:r>
        <w:rPr>
          <w:rFonts w:ascii="Arial" w:eastAsia="Arial" w:hAnsi="Arial" w:cs="Arial"/>
          <w:color w:val="000000"/>
        </w:rPr>
        <w:t>, </w:t>
      </w:r>
      <w:r>
        <w:rPr>
          <w:rFonts w:ascii="Arial" w:eastAsia="Arial" w:hAnsi="Arial" w:cs="Arial"/>
          <w:i/>
          <w:color w:val="000000"/>
        </w:rPr>
        <w:t>21</w:t>
      </w:r>
      <w:r>
        <w:rPr>
          <w:rFonts w:ascii="Arial" w:eastAsia="Arial" w:hAnsi="Arial" w:cs="Arial"/>
          <w:color w:val="000000"/>
        </w:rPr>
        <w:t xml:space="preserve">(7), 426-440. </w:t>
      </w:r>
      <w:hyperlink r:id="rId29">
        <w:r w:rsidR="003F0AB7">
          <w:rPr>
            <w:rFonts w:ascii="Arial" w:eastAsia="Arial" w:hAnsi="Arial" w:cs="Arial"/>
            <w:color w:val="FF0080"/>
            <w:u w:val="single"/>
          </w:rPr>
          <w:t>https://doi.org/10.1038/s41577-020-00488-6</w:t>
        </w:r>
      </w:hyperlink>
      <w:r>
        <w:rPr>
          <w:rFonts w:ascii="Arial" w:eastAsia="Arial" w:hAnsi="Arial" w:cs="Arial"/>
          <w:color w:val="000000"/>
        </w:rPr>
        <w:t xml:space="preserve"> </w:t>
      </w:r>
    </w:p>
    <w:p w14:paraId="506CA135" w14:textId="77777777" w:rsidR="003F0AB7" w:rsidRDefault="007040BE">
      <w:pPr>
        <w:numPr>
          <w:ilvl w:val="0"/>
          <w:numId w:val="1"/>
        </w:numPr>
        <w:spacing w:line="480" w:lineRule="auto"/>
        <w:ind w:right="79"/>
        <w:jc w:val="both"/>
        <w:rPr>
          <w:rFonts w:ascii="Arial" w:eastAsia="Arial" w:hAnsi="Arial" w:cs="Arial"/>
        </w:rPr>
      </w:pPr>
      <w:r w:rsidRPr="007040BE">
        <w:rPr>
          <w:rFonts w:ascii="Arial" w:eastAsia="Arial" w:hAnsi="Arial" w:cs="Arial"/>
          <w:color w:val="212121"/>
          <w:highlight w:val="yellow"/>
        </w:rPr>
        <w:t>Higashi, Y. (2022). Roles of oxidative stress and inflammation in vascular endothelial dysfunction-related disease. </w:t>
      </w:r>
      <w:r w:rsidRPr="007040BE">
        <w:rPr>
          <w:rFonts w:ascii="Arial" w:eastAsia="Arial" w:hAnsi="Arial" w:cs="Arial"/>
          <w:i/>
          <w:iCs/>
          <w:color w:val="212121"/>
          <w:highlight w:val="yellow"/>
        </w:rPr>
        <w:t>Antioxidants</w:t>
      </w:r>
      <w:r w:rsidRPr="007040BE">
        <w:rPr>
          <w:rFonts w:ascii="Arial" w:eastAsia="Arial" w:hAnsi="Arial" w:cs="Arial"/>
          <w:color w:val="212121"/>
          <w:highlight w:val="yellow"/>
        </w:rPr>
        <w:t>, </w:t>
      </w:r>
      <w:r w:rsidRPr="007040BE">
        <w:rPr>
          <w:rFonts w:ascii="Arial" w:eastAsia="Arial" w:hAnsi="Arial" w:cs="Arial"/>
          <w:i/>
          <w:iCs/>
          <w:color w:val="212121"/>
          <w:highlight w:val="yellow"/>
        </w:rPr>
        <w:t>11</w:t>
      </w:r>
      <w:r w:rsidRPr="007040BE">
        <w:rPr>
          <w:rFonts w:ascii="Arial" w:eastAsia="Arial" w:hAnsi="Arial" w:cs="Arial"/>
          <w:color w:val="212121"/>
          <w:highlight w:val="yellow"/>
        </w:rPr>
        <w:t>(10), 1958.</w:t>
      </w:r>
      <w:r>
        <w:rPr>
          <w:rFonts w:ascii="Arial" w:eastAsia="Arial" w:hAnsi="Arial" w:cs="Arial"/>
          <w:color w:val="212121"/>
          <w:highlight w:val="yellow"/>
        </w:rPr>
        <w:t xml:space="preserve"> </w:t>
      </w:r>
      <w:proofErr w:type="spellStart"/>
      <w:proofErr w:type="gramStart"/>
      <w:r>
        <w:rPr>
          <w:rFonts w:ascii="Arial" w:eastAsia="Arial" w:hAnsi="Arial" w:cs="Arial"/>
          <w:color w:val="212121"/>
          <w:highlight w:val="yellow"/>
        </w:rPr>
        <w:t>doi</w:t>
      </w:r>
      <w:proofErr w:type="spellEnd"/>
      <w:proofErr w:type="gramEnd"/>
      <w:r>
        <w:rPr>
          <w:rFonts w:ascii="Arial" w:eastAsia="Arial" w:hAnsi="Arial" w:cs="Arial"/>
          <w:color w:val="212121"/>
          <w:highlight w:val="yellow"/>
        </w:rPr>
        <w:t>: 10.3390/antiox11101958..</w:t>
      </w:r>
    </w:p>
    <w:p w14:paraId="727144CB" w14:textId="77777777" w:rsidR="003F0AB7" w:rsidRDefault="0073180B">
      <w:pPr>
        <w:numPr>
          <w:ilvl w:val="0"/>
          <w:numId w:val="1"/>
        </w:numPr>
        <w:pBdr>
          <w:top w:val="nil"/>
          <w:left w:val="nil"/>
          <w:bottom w:val="nil"/>
          <w:right w:val="nil"/>
          <w:between w:val="nil"/>
        </w:pBdr>
        <w:spacing w:line="480" w:lineRule="auto"/>
        <w:ind w:right="79"/>
        <w:jc w:val="both"/>
        <w:rPr>
          <w:rFonts w:ascii="Arial" w:eastAsia="Arial" w:hAnsi="Arial" w:cs="Arial"/>
          <w:color w:val="000000"/>
        </w:rPr>
      </w:pPr>
      <w:proofErr w:type="spellStart"/>
      <w:r>
        <w:rPr>
          <w:rFonts w:ascii="Arial" w:eastAsia="Arial" w:hAnsi="Arial" w:cs="Arial"/>
          <w:color w:val="000000"/>
        </w:rPr>
        <w:t>Hułas-Stasiak</w:t>
      </w:r>
      <w:proofErr w:type="spellEnd"/>
      <w:r>
        <w:rPr>
          <w:rFonts w:ascii="Arial" w:eastAsia="Arial" w:hAnsi="Arial" w:cs="Arial"/>
          <w:color w:val="000000"/>
        </w:rPr>
        <w:t xml:space="preserve">, M., </w:t>
      </w:r>
      <w:proofErr w:type="spellStart"/>
      <w:r>
        <w:rPr>
          <w:rFonts w:ascii="Arial" w:eastAsia="Arial" w:hAnsi="Arial" w:cs="Arial"/>
          <w:color w:val="000000"/>
        </w:rPr>
        <w:t>Dobrowolski</w:t>
      </w:r>
      <w:proofErr w:type="spellEnd"/>
      <w:r>
        <w:rPr>
          <w:rFonts w:ascii="Arial" w:eastAsia="Arial" w:hAnsi="Arial" w:cs="Arial"/>
          <w:color w:val="000000"/>
        </w:rPr>
        <w:t xml:space="preserve">, P., &amp; </w:t>
      </w:r>
      <w:proofErr w:type="spellStart"/>
      <w:r>
        <w:rPr>
          <w:rFonts w:ascii="Arial" w:eastAsia="Arial" w:hAnsi="Arial" w:cs="Arial"/>
          <w:color w:val="000000"/>
        </w:rPr>
        <w:t>Tomaszewska</w:t>
      </w:r>
      <w:proofErr w:type="spellEnd"/>
      <w:r>
        <w:rPr>
          <w:rFonts w:ascii="Arial" w:eastAsia="Arial" w:hAnsi="Arial" w:cs="Arial"/>
          <w:color w:val="000000"/>
        </w:rPr>
        <w:t xml:space="preserve">, E. (2016). Prenatally administered dexamethasone impairs </w:t>
      </w:r>
      <w:proofErr w:type="spellStart"/>
      <w:r>
        <w:rPr>
          <w:rFonts w:ascii="Arial" w:eastAsia="Arial" w:hAnsi="Arial" w:cs="Arial"/>
          <w:color w:val="000000"/>
        </w:rPr>
        <w:t>folliculogenesis</w:t>
      </w:r>
      <w:proofErr w:type="spellEnd"/>
      <w:r>
        <w:rPr>
          <w:rFonts w:ascii="Arial" w:eastAsia="Arial" w:hAnsi="Arial" w:cs="Arial"/>
          <w:color w:val="000000"/>
        </w:rPr>
        <w:t xml:space="preserve"> in spiny mouse offspring. </w:t>
      </w:r>
      <w:r>
        <w:rPr>
          <w:rFonts w:ascii="Arial" w:eastAsia="Arial" w:hAnsi="Arial" w:cs="Arial"/>
          <w:i/>
          <w:color w:val="000000"/>
        </w:rPr>
        <w:t>Reproduction, Fertility and Development</w:t>
      </w:r>
      <w:r>
        <w:rPr>
          <w:rFonts w:ascii="Arial" w:eastAsia="Arial" w:hAnsi="Arial" w:cs="Arial"/>
          <w:color w:val="000000"/>
        </w:rPr>
        <w:t>, </w:t>
      </w:r>
      <w:r>
        <w:rPr>
          <w:rFonts w:ascii="Arial" w:eastAsia="Arial" w:hAnsi="Arial" w:cs="Arial"/>
          <w:i/>
          <w:color w:val="000000"/>
        </w:rPr>
        <w:t>28</w:t>
      </w:r>
      <w:r>
        <w:rPr>
          <w:rFonts w:ascii="Arial" w:eastAsia="Arial" w:hAnsi="Arial" w:cs="Arial"/>
          <w:color w:val="000000"/>
        </w:rPr>
        <w:t xml:space="preserve">(7), 1038-1048. </w:t>
      </w:r>
      <w:hyperlink r:id="rId30">
        <w:r w:rsidR="003F0AB7">
          <w:rPr>
            <w:rFonts w:ascii="Arial" w:eastAsia="Arial" w:hAnsi="Arial" w:cs="Arial"/>
            <w:color w:val="FF0080"/>
            <w:u w:val="single"/>
          </w:rPr>
          <w:t>https://doi.org/10.1071/RD14224</w:t>
        </w:r>
      </w:hyperlink>
      <w:r>
        <w:rPr>
          <w:rFonts w:ascii="Arial" w:eastAsia="Arial" w:hAnsi="Arial" w:cs="Arial"/>
          <w:color w:val="000000"/>
        </w:rPr>
        <w:t xml:space="preserve"> </w:t>
      </w:r>
    </w:p>
    <w:p w14:paraId="7E691814" w14:textId="77777777" w:rsidR="003F0AB7" w:rsidRDefault="0073180B">
      <w:pPr>
        <w:numPr>
          <w:ilvl w:val="0"/>
          <w:numId w:val="1"/>
        </w:numPr>
        <w:pBdr>
          <w:top w:val="nil"/>
          <w:left w:val="nil"/>
          <w:bottom w:val="nil"/>
          <w:right w:val="nil"/>
          <w:between w:val="nil"/>
        </w:pBdr>
        <w:spacing w:line="480" w:lineRule="auto"/>
        <w:jc w:val="both"/>
        <w:rPr>
          <w:rFonts w:ascii="Arial" w:eastAsia="Arial" w:hAnsi="Arial" w:cs="Arial"/>
          <w:color w:val="000000"/>
        </w:rPr>
      </w:pPr>
      <w:proofErr w:type="spellStart"/>
      <w:r>
        <w:rPr>
          <w:rFonts w:ascii="Arial" w:eastAsia="Arial" w:hAnsi="Arial" w:cs="Arial"/>
          <w:color w:val="000000"/>
        </w:rPr>
        <w:t>Jaglan</w:t>
      </w:r>
      <w:proofErr w:type="spellEnd"/>
      <w:r>
        <w:rPr>
          <w:rFonts w:ascii="Arial" w:eastAsia="Arial" w:hAnsi="Arial" w:cs="Arial"/>
          <w:color w:val="000000"/>
        </w:rPr>
        <w:t xml:space="preserve">, S., </w:t>
      </w:r>
      <w:proofErr w:type="spellStart"/>
      <w:r>
        <w:rPr>
          <w:rFonts w:ascii="Arial" w:eastAsia="Arial" w:hAnsi="Arial" w:cs="Arial"/>
          <w:color w:val="000000"/>
        </w:rPr>
        <w:t>Tewari</w:t>
      </w:r>
      <w:proofErr w:type="spellEnd"/>
      <w:r>
        <w:rPr>
          <w:rFonts w:ascii="Arial" w:eastAsia="Arial" w:hAnsi="Arial" w:cs="Arial"/>
          <w:color w:val="000000"/>
        </w:rPr>
        <w:t xml:space="preserve">, S., </w:t>
      </w:r>
      <w:proofErr w:type="spellStart"/>
      <w:r>
        <w:rPr>
          <w:rFonts w:ascii="Arial" w:eastAsia="Arial" w:hAnsi="Arial" w:cs="Arial"/>
          <w:color w:val="000000"/>
        </w:rPr>
        <w:t>Singhal</w:t>
      </w:r>
      <w:proofErr w:type="spellEnd"/>
      <w:r>
        <w:rPr>
          <w:rFonts w:ascii="Arial" w:eastAsia="Arial" w:hAnsi="Arial" w:cs="Arial"/>
          <w:color w:val="000000"/>
        </w:rPr>
        <w:t>, S. R., &amp; Sharma, R. K. (2024). Impact of Polycystic Ovary Syndrome on Periodontal Status of Women of Adolescent and Adult Age Groups: A Cross-Sectional Study. </w:t>
      </w:r>
      <w:r>
        <w:rPr>
          <w:rFonts w:ascii="Arial" w:eastAsia="Arial" w:hAnsi="Arial" w:cs="Arial"/>
          <w:i/>
          <w:color w:val="000000"/>
        </w:rPr>
        <w:t>Medical Principles and Practice: International Journal of the Kuwait University, Health Science Centre</w:t>
      </w:r>
      <w:r>
        <w:rPr>
          <w:rFonts w:ascii="Arial" w:eastAsia="Arial" w:hAnsi="Arial" w:cs="Arial"/>
          <w:color w:val="000000"/>
        </w:rPr>
        <w:t>, </w:t>
      </w:r>
      <w:r>
        <w:rPr>
          <w:rFonts w:ascii="Arial" w:eastAsia="Arial" w:hAnsi="Arial" w:cs="Arial"/>
          <w:i/>
          <w:color w:val="000000"/>
        </w:rPr>
        <w:t>33</w:t>
      </w:r>
      <w:r>
        <w:rPr>
          <w:rFonts w:ascii="Arial" w:eastAsia="Arial" w:hAnsi="Arial" w:cs="Arial"/>
          <w:color w:val="000000"/>
        </w:rPr>
        <w:t xml:space="preserve">(2), 148-156. </w:t>
      </w:r>
      <w:hyperlink r:id="rId31">
        <w:r w:rsidR="003F0AB7">
          <w:rPr>
            <w:rFonts w:ascii="Arial" w:eastAsia="Arial" w:hAnsi="Arial" w:cs="Arial"/>
            <w:color w:val="FF0080"/>
            <w:u w:val="single"/>
          </w:rPr>
          <w:t>https://doi.org/10.1159/000536223</w:t>
        </w:r>
      </w:hyperlink>
      <w:r>
        <w:rPr>
          <w:rFonts w:ascii="Arial" w:eastAsia="Arial" w:hAnsi="Arial" w:cs="Arial"/>
          <w:color w:val="000000"/>
        </w:rPr>
        <w:t xml:space="preserve"> </w:t>
      </w:r>
    </w:p>
    <w:p w14:paraId="20CDACAE" w14:textId="77777777" w:rsidR="003F0AB7" w:rsidRDefault="0073180B">
      <w:pPr>
        <w:numPr>
          <w:ilvl w:val="0"/>
          <w:numId w:val="1"/>
        </w:numPr>
        <w:pBdr>
          <w:top w:val="nil"/>
          <w:left w:val="nil"/>
          <w:bottom w:val="nil"/>
          <w:right w:val="nil"/>
          <w:between w:val="nil"/>
        </w:pBdr>
        <w:spacing w:line="480" w:lineRule="auto"/>
        <w:ind w:right="79"/>
        <w:jc w:val="both"/>
        <w:rPr>
          <w:rFonts w:ascii="Arial" w:eastAsia="Arial" w:hAnsi="Arial" w:cs="Arial"/>
          <w:color w:val="000000"/>
        </w:rPr>
      </w:pPr>
      <w:proofErr w:type="spellStart"/>
      <w:r>
        <w:rPr>
          <w:rFonts w:ascii="Arial" w:eastAsia="Arial" w:hAnsi="Arial" w:cs="Arial"/>
          <w:color w:val="000000"/>
        </w:rPr>
        <w:t>Kaipia</w:t>
      </w:r>
      <w:proofErr w:type="spellEnd"/>
      <w:r>
        <w:rPr>
          <w:rFonts w:ascii="Arial" w:eastAsia="Arial" w:hAnsi="Arial" w:cs="Arial"/>
          <w:color w:val="000000"/>
        </w:rPr>
        <w:t>, A., &amp; Hsueh, A. J. (1997). Regulation of ovarian follicle atresia. </w:t>
      </w:r>
      <w:r>
        <w:rPr>
          <w:rFonts w:ascii="Arial" w:eastAsia="Arial" w:hAnsi="Arial" w:cs="Arial"/>
          <w:i/>
          <w:color w:val="000000"/>
        </w:rPr>
        <w:t>Annual review of physiology</w:t>
      </w:r>
      <w:r>
        <w:rPr>
          <w:rFonts w:ascii="Arial" w:eastAsia="Arial" w:hAnsi="Arial" w:cs="Arial"/>
          <w:color w:val="000000"/>
        </w:rPr>
        <w:t>, </w:t>
      </w:r>
      <w:r>
        <w:rPr>
          <w:rFonts w:ascii="Arial" w:eastAsia="Arial" w:hAnsi="Arial" w:cs="Arial"/>
          <w:i/>
          <w:color w:val="000000"/>
        </w:rPr>
        <w:t>59</w:t>
      </w:r>
      <w:r>
        <w:rPr>
          <w:rFonts w:ascii="Arial" w:eastAsia="Arial" w:hAnsi="Arial" w:cs="Arial"/>
          <w:color w:val="000000"/>
        </w:rPr>
        <w:t xml:space="preserve">(1), 349-363. </w:t>
      </w:r>
      <w:hyperlink r:id="rId32">
        <w:r w:rsidR="003F0AB7">
          <w:rPr>
            <w:rFonts w:ascii="Arial" w:eastAsia="Arial" w:hAnsi="Arial" w:cs="Arial"/>
            <w:color w:val="FF0080"/>
            <w:u w:val="single"/>
          </w:rPr>
          <w:t>https://doi.org/10.1146/annurev.physiol.59.1.349</w:t>
        </w:r>
      </w:hyperlink>
      <w:r>
        <w:rPr>
          <w:rFonts w:ascii="Arial" w:eastAsia="Arial" w:hAnsi="Arial" w:cs="Arial"/>
          <w:color w:val="000000"/>
        </w:rPr>
        <w:t xml:space="preserve"> </w:t>
      </w:r>
    </w:p>
    <w:p w14:paraId="0D665AF8" w14:textId="77777777" w:rsidR="003F0AB7" w:rsidRDefault="0073180B">
      <w:pPr>
        <w:numPr>
          <w:ilvl w:val="0"/>
          <w:numId w:val="1"/>
        </w:numPr>
        <w:pBdr>
          <w:top w:val="nil"/>
          <w:left w:val="nil"/>
          <w:bottom w:val="nil"/>
          <w:right w:val="nil"/>
          <w:between w:val="nil"/>
        </w:pBdr>
        <w:spacing w:line="480" w:lineRule="auto"/>
        <w:ind w:right="79"/>
        <w:jc w:val="both"/>
        <w:rPr>
          <w:rFonts w:ascii="Arial" w:eastAsia="Arial" w:hAnsi="Arial" w:cs="Arial"/>
          <w:color w:val="000000"/>
        </w:rPr>
      </w:pPr>
      <w:r w:rsidRPr="00947D56">
        <w:rPr>
          <w:rFonts w:ascii="Arial" w:eastAsia="Arial" w:hAnsi="Arial" w:cs="Arial"/>
          <w:color w:val="000000"/>
          <w:lang w:val="pt-BR"/>
        </w:rPr>
        <w:t xml:space="preserve">Krejci, C. B., &amp; Bissada, N. F. (2002). </w:t>
      </w:r>
      <w:r>
        <w:rPr>
          <w:rFonts w:ascii="Arial" w:eastAsia="Arial" w:hAnsi="Arial" w:cs="Arial"/>
          <w:color w:val="000000"/>
        </w:rPr>
        <w:t>Women's health issues and their relationship to periodontitis. </w:t>
      </w:r>
      <w:r>
        <w:rPr>
          <w:rFonts w:ascii="Arial" w:eastAsia="Arial" w:hAnsi="Arial" w:cs="Arial"/>
          <w:i/>
          <w:color w:val="000000"/>
        </w:rPr>
        <w:t>The Journal of the American Dental Association</w:t>
      </w:r>
      <w:r>
        <w:rPr>
          <w:rFonts w:ascii="Arial" w:eastAsia="Arial" w:hAnsi="Arial" w:cs="Arial"/>
          <w:color w:val="000000"/>
        </w:rPr>
        <w:t>, </w:t>
      </w:r>
      <w:r>
        <w:rPr>
          <w:rFonts w:ascii="Arial" w:eastAsia="Arial" w:hAnsi="Arial" w:cs="Arial"/>
          <w:i/>
          <w:color w:val="000000"/>
        </w:rPr>
        <w:t>133</w:t>
      </w:r>
      <w:r>
        <w:rPr>
          <w:rFonts w:ascii="Arial" w:eastAsia="Arial" w:hAnsi="Arial" w:cs="Arial"/>
          <w:color w:val="000000"/>
        </w:rPr>
        <w:t xml:space="preserve">(3), 323-329. </w:t>
      </w:r>
      <w:hyperlink r:id="rId33">
        <w:r w:rsidR="003F0AB7">
          <w:rPr>
            <w:rFonts w:ascii="Arial" w:eastAsia="Arial" w:hAnsi="Arial" w:cs="Arial"/>
            <w:color w:val="FF0080"/>
            <w:u w:val="single"/>
          </w:rPr>
          <w:t>https://doi.org/10.14219/jada.archive.2002.0171</w:t>
        </w:r>
      </w:hyperlink>
    </w:p>
    <w:p w14:paraId="2ABC81B6" w14:textId="77777777" w:rsidR="003F0AB7" w:rsidRDefault="0073180B">
      <w:pPr>
        <w:numPr>
          <w:ilvl w:val="0"/>
          <w:numId w:val="1"/>
        </w:numPr>
        <w:pBdr>
          <w:top w:val="nil"/>
          <w:left w:val="nil"/>
          <w:bottom w:val="nil"/>
          <w:right w:val="nil"/>
          <w:between w:val="nil"/>
        </w:pBdr>
        <w:spacing w:line="480" w:lineRule="auto"/>
        <w:ind w:right="79"/>
        <w:jc w:val="both"/>
        <w:rPr>
          <w:rFonts w:ascii="Arial" w:eastAsia="Arial" w:hAnsi="Arial" w:cs="Arial"/>
          <w:color w:val="000000"/>
        </w:rPr>
      </w:pPr>
      <w:proofErr w:type="spellStart"/>
      <w:r>
        <w:rPr>
          <w:rFonts w:ascii="Arial" w:eastAsia="Arial" w:hAnsi="Arial" w:cs="Arial"/>
          <w:color w:val="000000"/>
        </w:rPr>
        <w:t>Kuhr</w:t>
      </w:r>
      <w:proofErr w:type="spellEnd"/>
      <w:r>
        <w:rPr>
          <w:rFonts w:ascii="Arial" w:eastAsia="Arial" w:hAnsi="Arial" w:cs="Arial"/>
          <w:color w:val="000000"/>
        </w:rPr>
        <w:t xml:space="preserve">, A., </w:t>
      </w:r>
      <w:proofErr w:type="spellStart"/>
      <w:r>
        <w:rPr>
          <w:rFonts w:ascii="Arial" w:eastAsia="Arial" w:hAnsi="Arial" w:cs="Arial"/>
          <w:color w:val="000000"/>
        </w:rPr>
        <w:t>Popa</w:t>
      </w:r>
      <w:proofErr w:type="spellEnd"/>
      <w:r>
        <w:rPr>
          <w:rFonts w:ascii="Cambria Math" w:eastAsia="Cambria Math" w:hAnsi="Cambria Math" w:cs="Cambria Math"/>
          <w:color w:val="000000"/>
        </w:rPr>
        <w:t>‐</w:t>
      </w:r>
      <w:r>
        <w:rPr>
          <w:rFonts w:ascii="Arial" w:eastAsia="Arial" w:hAnsi="Arial" w:cs="Arial"/>
          <w:color w:val="000000"/>
        </w:rPr>
        <w:t xml:space="preserve">Wagner, A., </w:t>
      </w:r>
      <w:proofErr w:type="spellStart"/>
      <w:r>
        <w:rPr>
          <w:rFonts w:ascii="Arial" w:eastAsia="Arial" w:hAnsi="Arial" w:cs="Arial"/>
          <w:color w:val="000000"/>
        </w:rPr>
        <w:t>Schmoll</w:t>
      </w:r>
      <w:proofErr w:type="spellEnd"/>
      <w:r>
        <w:rPr>
          <w:rFonts w:ascii="Arial" w:eastAsia="Arial" w:hAnsi="Arial" w:cs="Arial"/>
          <w:color w:val="000000"/>
        </w:rPr>
        <w:t xml:space="preserve">, H., </w:t>
      </w:r>
      <w:proofErr w:type="spellStart"/>
      <w:r>
        <w:rPr>
          <w:rFonts w:ascii="Arial" w:eastAsia="Arial" w:hAnsi="Arial" w:cs="Arial"/>
          <w:color w:val="000000"/>
        </w:rPr>
        <w:t>Schwahn</w:t>
      </w:r>
      <w:proofErr w:type="spellEnd"/>
      <w:r>
        <w:rPr>
          <w:rFonts w:ascii="Arial" w:eastAsia="Arial" w:hAnsi="Arial" w:cs="Arial"/>
          <w:color w:val="000000"/>
        </w:rPr>
        <w:t>, C., &amp; Kocher, T. (2004). Observations on experimental marginal periodontitis in rats. </w:t>
      </w:r>
      <w:r>
        <w:rPr>
          <w:rFonts w:ascii="Arial" w:eastAsia="Arial" w:hAnsi="Arial" w:cs="Arial"/>
          <w:i/>
          <w:color w:val="000000"/>
        </w:rPr>
        <w:t>Journal of periodontal research</w:t>
      </w:r>
      <w:r>
        <w:rPr>
          <w:rFonts w:ascii="Arial" w:eastAsia="Arial" w:hAnsi="Arial" w:cs="Arial"/>
          <w:color w:val="000000"/>
        </w:rPr>
        <w:t>, </w:t>
      </w:r>
      <w:r>
        <w:rPr>
          <w:rFonts w:ascii="Arial" w:eastAsia="Arial" w:hAnsi="Arial" w:cs="Arial"/>
          <w:i/>
          <w:color w:val="000000"/>
        </w:rPr>
        <w:t>39</w:t>
      </w:r>
      <w:r>
        <w:rPr>
          <w:rFonts w:ascii="Arial" w:eastAsia="Arial" w:hAnsi="Arial" w:cs="Arial"/>
          <w:color w:val="000000"/>
        </w:rPr>
        <w:t xml:space="preserve">(2), 101-106. </w:t>
      </w:r>
      <w:hyperlink r:id="rId34">
        <w:r w:rsidR="003F0AB7">
          <w:rPr>
            <w:rFonts w:ascii="Arial" w:eastAsia="Arial" w:hAnsi="Arial" w:cs="Arial"/>
            <w:color w:val="FF0080"/>
            <w:u w:val="single"/>
          </w:rPr>
          <w:t>https://doi.org/10.1111/j.1600-0765.2004.00710.x</w:t>
        </w:r>
      </w:hyperlink>
      <w:r>
        <w:rPr>
          <w:rFonts w:ascii="Arial" w:eastAsia="Arial" w:hAnsi="Arial" w:cs="Arial"/>
          <w:color w:val="000000"/>
        </w:rPr>
        <w:t xml:space="preserve"> </w:t>
      </w:r>
    </w:p>
    <w:p w14:paraId="1CC8DDA3" w14:textId="77777777" w:rsidR="003F0AB7" w:rsidRDefault="0073180B">
      <w:pPr>
        <w:numPr>
          <w:ilvl w:val="0"/>
          <w:numId w:val="1"/>
        </w:numPr>
        <w:pBdr>
          <w:top w:val="nil"/>
          <w:left w:val="nil"/>
          <w:bottom w:val="nil"/>
          <w:right w:val="nil"/>
          <w:between w:val="nil"/>
        </w:pBdr>
        <w:spacing w:line="480" w:lineRule="auto"/>
        <w:ind w:right="79"/>
        <w:jc w:val="both"/>
        <w:rPr>
          <w:rFonts w:ascii="Arial" w:eastAsia="Arial" w:hAnsi="Arial" w:cs="Arial"/>
          <w:color w:val="000000"/>
        </w:rPr>
      </w:pPr>
      <w:r>
        <w:rPr>
          <w:rFonts w:ascii="Arial" w:eastAsia="Arial" w:hAnsi="Arial" w:cs="Arial"/>
          <w:color w:val="000000"/>
        </w:rPr>
        <w:lastRenderedPageBreak/>
        <w:t xml:space="preserve">Kwon, T., </w:t>
      </w:r>
      <w:proofErr w:type="spellStart"/>
      <w:r>
        <w:rPr>
          <w:rFonts w:ascii="Arial" w:eastAsia="Arial" w:hAnsi="Arial" w:cs="Arial"/>
          <w:color w:val="000000"/>
        </w:rPr>
        <w:t>Lamster</w:t>
      </w:r>
      <w:proofErr w:type="spellEnd"/>
      <w:r>
        <w:rPr>
          <w:rFonts w:ascii="Arial" w:eastAsia="Arial" w:hAnsi="Arial" w:cs="Arial"/>
          <w:color w:val="000000"/>
        </w:rPr>
        <w:t>, I. B., &amp; Levin, L. (2021). Current concepts in the management of periodontitis. </w:t>
      </w:r>
      <w:r>
        <w:rPr>
          <w:rFonts w:ascii="Arial" w:eastAsia="Arial" w:hAnsi="Arial" w:cs="Arial"/>
          <w:i/>
          <w:color w:val="000000"/>
        </w:rPr>
        <w:t>International dental journal</w:t>
      </w:r>
      <w:r>
        <w:rPr>
          <w:rFonts w:ascii="Arial" w:eastAsia="Arial" w:hAnsi="Arial" w:cs="Arial"/>
          <w:color w:val="000000"/>
        </w:rPr>
        <w:t>, </w:t>
      </w:r>
      <w:r>
        <w:rPr>
          <w:rFonts w:ascii="Arial" w:eastAsia="Arial" w:hAnsi="Arial" w:cs="Arial"/>
          <w:i/>
          <w:color w:val="000000"/>
        </w:rPr>
        <w:t>71</w:t>
      </w:r>
      <w:r>
        <w:rPr>
          <w:rFonts w:ascii="Arial" w:eastAsia="Arial" w:hAnsi="Arial" w:cs="Arial"/>
          <w:color w:val="000000"/>
        </w:rPr>
        <w:t xml:space="preserve">(6), 462-476. </w:t>
      </w:r>
      <w:hyperlink r:id="rId35">
        <w:r w:rsidR="003F0AB7">
          <w:rPr>
            <w:rFonts w:ascii="Arial" w:eastAsia="Arial" w:hAnsi="Arial" w:cs="Arial"/>
            <w:color w:val="FF0080"/>
            <w:u w:val="single"/>
          </w:rPr>
          <w:t>https://doi.org/10.1111/idj.12630</w:t>
        </w:r>
      </w:hyperlink>
      <w:r>
        <w:rPr>
          <w:rFonts w:ascii="Arial" w:eastAsia="Arial" w:hAnsi="Arial" w:cs="Arial"/>
          <w:color w:val="000000"/>
        </w:rPr>
        <w:t xml:space="preserve"> </w:t>
      </w:r>
    </w:p>
    <w:p w14:paraId="60EB8ABB" w14:textId="77777777" w:rsidR="003F0AB7" w:rsidRDefault="0073180B">
      <w:pPr>
        <w:numPr>
          <w:ilvl w:val="0"/>
          <w:numId w:val="1"/>
        </w:numPr>
        <w:pBdr>
          <w:top w:val="nil"/>
          <w:left w:val="nil"/>
          <w:bottom w:val="nil"/>
          <w:right w:val="nil"/>
          <w:between w:val="nil"/>
        </w:pBdr>
        <w:spacing w:line="480" w:lineRule="auto"/>
        <w:ind w:right="79"/>
        <w:jc w:val="both"/>
        <w:rPr>
          <w:rFonts w:ascii="Arial" w:eastAsia="Arial" w:hAnsi="Arial" w:cs="Arial"/>
          <w:color w:val="000000"/>
        </w:rPr>
      </w:pPr>
      <w:r>
        <w:rPr>
          <w:rFonts w:ascii="Arial" w:eastAsia="Arial" w:hAnsi="Arial" w:cs="Arial"/>
          <w:color w:val="000000"/>
        </w:rPr>
        <w:t xml:space="preserve">Luo, E., Stephens, S. B., </w:t>
      </w:r>
      <w:proofErr w:type="spellStart"/>
      <w:r>
        <w:rPr>
          <w:rFonts w:ascii="Arial" w:eastAsia="Arial" w:hAnsi="Arial" w:cs="Arial"/>
          <w:color w:val="000000"/>
        </w:rPr>
        <w:t>Chaing</w:t>
      </w:r>
      <w:proofErr w:type="spellEnd"/>
      <w:r>
        <w:rPr>
          <w:rFonts w:ascii="Arial" w:eastAsia="Arial" w:hAnsi="Arial" w:cs="Arial"/>
          <w:color w:val="000000"/>
        </w:rPr>
        <w:t xml:space="preserve">, S., </w:t>
      </w:r>
      <w:proofErr w:type="spellStart"/>
      <w:r>
        <w:rPr>
          <w:rFonts w:ascii="Arial" w:eastAsia="Arial" w:hAnsi="Arial" w:cs="Arial"/>
          <w:color w:val="000000"/>
        </w:rPr>
        <w:t>Munaganuru</w:t>
      </w:r>
      <w:proofErr w:type="spellEnd"/>
      <w:r>
        <w:rPr>
          <w:rFonts w:ascii="Arial" w:eastAsia="Arial" w:hAnsi="Arial" w:cs="Arial"/>
          <w:color w:val="000000"/>
        </w:rPr>
        <w:t xml:space="preserve">, N., Kauffman, A. S., &amp; Breen, K. M. (2016). Corticosterone blocks ovarian </w:t>
      </w:r>
      <w:proofErr w:type="spellStart"/>
      <w:r>
        <w:rPr>
          <w:rFonts w:ascii="Arial" w:eastAsia="Arial" w:hAnsi="Arial" w:cs="Arial"/>
          <w:color w:val="000000"/>
        </w:rPr>
        <w:t>cyclicity</w:t>
      </w:r>
      <w:proofErr w:type="spellEnd"/>
      <w:r>
        <w:rPr>
          <w:rFonts w:ascii="Arial" w:eastAsia="Arial" w:hAnsi="Arial" w:cs="Arial"/>
          <w:color w:val="000000"/>
        </w:rPr>
        <w:t xml:space="preserve"> and the LH surge via decreased </w:t>
      </w:r>
      <w:proofErr w:type="spellStart"/>
      <w:r>
        <w:rPr>
          <w:rFonts w:ascii="Arial" w:eastAsia="Arial" w:hAnsi="Arial" w:cs="Arial"/>
          <w:color w:val="000000"/>
        </w:rPr>
        <w:t>kisspeptin</w:t>
      </w:r>
      <w:proofErr w:type="spellEnd"/>
      <w:r>
        <w:rPr>
          <w:rFonts w:ascii="Arial" w:eastAsia="Arial" w:hAnsi="Arial" w:cs="Arial"/>
          <w:color w:val="000000"/>
        </w:rPr>
        <w:t xml:space="preserve"> neuron activation in female mice. </w:t>
      </w:r>
      <w:r>
        <w:rPr>
          <w:rFonts w:ascii="Arial" w:eastAsia="Arial" w:hAnsi="Arial" w:cs="Arial"/>
          <w:i/>
          <w:color w:val="000000"/>
        </w:rPr>
        <w:t>Endocrinology</w:t>
      </w:r>
      <w:r>
        <w:rPr>
          <w:rFonts w:ascii="Arial" w:eastAsia="Arial" w:hAnsi="Arial" w:cs="Arial"/>
          <w:color w:val="000000"/>
        </w:rPr>
        <w:t>, </w:t>
      </w:r>
      <w:r>
        <w:rPr>
          <w:rFonts w:ascii="Arial" w:eastAsia="Arial" w:hAnsi="Arial" w:cs="Arial"/>
          <w:i/>
          <w:color w:val="000000"/>
        </w:rPr>
        <w:t>157</w:t>
      </w:r>
      <w:r>
        <w:rPr>
          <w:rFonts w:ascii="Arial" w:eastAsia="Arial" w:hAnsi="Arial" w:cs="Arial"/>
          <w:color w:val="000000"/>
        </w:rPr>
        <w:t xml:space="preserve">(3), 1187-1199. </w:t>
      </w:r>
      <w:hyperlink r:id="rId36">
        <w:r w:rsidR="003F0AB7">
          <w:rPr>
            <w:rFonts w:ascii="Arial" w:eastAsia="Arial" w:hAnsi="Arial" w:cs="Arial"/>
            <w:color w:val="FF0080"/>
            <w:u w:val="single"/>
          </w:rPr>
          <w:t>https://doi.org/10.1210/en.2015-1711</w:t>
        </w:r>
      </w:hyperlink>
    </w:p>
    <w:p w14:paraId="473623F1" w14:textId="77777777" w:rsidR="009273BB" w:rsidRDefault="000451B5" w:rsidP="009273BB">
      <w:pPr>
        <w:numPr>
          <w:ilvl w:val="0"/>
          <w:numId w:val="1"/>
        </w:numPr>
        <w:spacing w:line="480" w:lineRule="auto"/>
        <w:ind w:right="79"/>
        <w:jc w:val="both"/>
        <w:rPr>
          <w:rFonts w:ascii="Arial" w:eastAsia="Arial" w:hAnsi="Arial" w:cs="Arial"/>
          <w:color w:val="212121"/>
          <w:highlight w:val="yellow"/>
        </w:rPr>
      </w:pPr>
      <w:r w:rsidRPr="000451B5">
        <w:rPr>
          <w:rFonts w:ascii="Arial" w:eastAsia="Arial" w:hAnsi="Arial" w:cs="Arial"/>
          <w:color w:val="212121"/>
          <w:highlight w:val="yellow"/>
          <w:lang w:val="pt-BR"/>
        </w:rPr>
        <w:t xml:space="preserve">Machado, V., Escalda, C., Proença, L., Mendes, J. J., &amp; Botelho, J. (2020). </w:t>
      </w:r>
      <w:r w:rsidRPr="000451B5">
        <w:rPr>
          <w:rFonts w:ascii="Arial" w:eastAsia="Arial" w:hAnsi="Arial" w:cs="Arial"/>
          <w:color w:val="212121"/>
          <w:highlight w:val="yellow"/>
        </w:rPr>
        <w:t>Is there a bidirectional association between polycystic ovarian syndrome and periodontitis? A systematic review and meta-analysis. </w:t>
      </w:r>
      <w:r w:rsidRPr="000451B5">
        <w:rPr>
          <w:rFonts w:ascii="Arial" w:eastAsia="Arial" w:hAnsi="Arial" w:cs="Arial"/>
          <w:i/>
          <w:iCs/>
          <w:color w:val="212121"/>
          <w:highlight w:val="yellow"/>
        </w:rPr>
        <w:t>Journal of clinical medicine</w:t>
      </w:r>
      <w:r w:rsidRPr="000451B5">
        <w:rPr>
          <w:rFonts w:ascii="Arial" w:eastAsia="Arial" w:hAnsi="Arial" w:cs="Arial"/>
          <w:color w:val="212121"/>
          <w:highlight w:val="yellow"/>
        </w:rPr>
        <w:t>, </w:t>
      </w:r>
      <w:r w:rsidRPr="000451B5">
        <w:rPr>
          <w:rFonts w:ascii="Arial" w:eastAsia="Arial" w:hAnsi="Arial" w:cs="Arial"/>
          <w:i/>
          <w:iCs/>
          <w:color w:val="212121"/>
          <w:highlight w:val="yellow"/>
        </w:rPr>
        <w:t>9</w:t>
      </w:r>
      <w:r w:rsidRPr="000451B5">
        <w:rPr>
          <w:rFonts w:ascii="Arial" w:eastAsia="Arial" w:hAnsi="Arial" w:cs="Arial"/>
          <w:color w:val="212121"/>
          <w:highlight w:val="yellow"/>
        </w:rPr>
        <w:t>(6), 1961</w:t>
      </w:r>
      <w:r w:rsidR="009273BB">
        <w:rPr>
          <w:rFonts w:ascii="Arial" w:eastAsia="Arial" w:hAnsi="Arial" w:cs="Arial"/>
          <w:color w:val="212121"/>
          <w:highlight w:val="yellow"/>
        </w:rPr>
        <w:t xml:space="preserve">. </w:t>
      </w:r>
      <w:proofErr w:type="spellStart"/>
      <w:r w:rsidR="009273BB">
        <w:rPr>
          <w:rFonts w:ascii="Arial" w:eastAsia="Arial" w:hAnsi="Arial" w:cs="Arial"/>
          <w:color w:val="212121"/>
          <w:highlight w:val="yellow"/>
        </w:rPr>
        <w:t>doi</w:t>
      </w:r>
      <w:proofErr w:type="spellEnd"/>
      <w:r w:rsidR="009273BB">
        <w:rPr>
          <w:rFonts w:ascii="Arial" w:eastAsia="Arial" w:hAnsi="Arial" w:cs="Arial"/>
          <w:color w:val="212121"/>
          <w:highlight w:val="yellow"/>
        </w:rPr>
        <w:t>: 10.3390/jcm9061961.</w:t>
      </w:r>
    </w:p>
    <w:p w14:paraId="030D9FA2" w14:textId="77777777" w:rsidR="003F0AB7" w:rsidRDefault="0073180B">
      <w:pPr>
        <w:numPr>
          <w:ilvl w:val="0"/>
          <w:numId w:val="1"/>
        </w:numPr>
        <w:pBdr>
          <w:top w:val="nil"/>
          <w:left w:val="nil"/>
          <w:bottom w:val="nil"/>
          <w:right w:val="nil"/>
          <w:between w:val="nil"/>
        </w:pBdr>
        <w:spacing w:line="480" w:lineRule="auto"/>
        <w:ind w:right="79"/>
        <w:jc w:val="both"/>
        <w:rPr>
          <w:rFonts w:ascii="Arial" w:eastAsia="Arial" w:hAnsi="Arial" w:cs="Arial"/>
          <w:color w:val="000000"/>
        </w:rPr>
      </w:pPr>
      <w:proofErr w:type="spellStart"/>
      <w:r>
        <w:rPr>
          <w:rFonts w:ascii="Arial" w:eastAsia="Arial" w:hAnsi="Arial" w:cs="Arial"/>
          <w:color w:val="000000"/>
        </w:rPr>
        <w:t>Maciel</w:t>
      </w:r>
      <w:proofErr w:type="spellEnd"/>
      <w:r>
        <w:rPr>
          <w:rFonts w:ascii="Arial" w:eastAsia="Arial" w:hAnsi="Arial" w:cs="Arial"/>
          <w:color w:val="000000"/>
        </w:rPr>
        <w:t xml:space="preserve">, S. M., Chamberlain, C. S., </w:t>
      </w:r>
      <w:proofErr w:type="spellStart"/>
      <w:r>
        <w:rPr>
          <w:rFonts w:ascii="Arial" w:eastAsia="Arial" w:hAnsi="Arial" w:cs="Arial"/>
          <w:color w:val="000000"/>
        </w:rPr>
        <w:t>Wettemann</w:t>
      </w:r>
      <w:proofErr w:type="spellEnd"/>
      <w:r>
        <w:rPr>
          <w:rFonts w:ascii="Arial" w:eastAsia="Arial" w:hAnsi="Arial" w:cs="Arial"/>
          <w:color w:val="000000"/>
        </w:rPr>
        <w:t>, R. P., &amp; Spicer, L. J. (2001). Dexamethasone influences endocrine and ovarian function in dairy cattle. </w:t>
      </w:r>
      <w:r>
        <w:rPr>
          <w:rFonts w:ascii="Arial" w:eastAsia="Arial" w:hAnsi="Arial" w:cs="Arial"/>
          <w:i/>
          <w:color w:val="000000"/>
        </w:rPr>
        <w:t>Journal of dairy science</w:t>
      </w:r>
      <w:r>
        <w:rPr>
          <w:rFonts w:ascii="Arial" w:eastAsia="Arial" w:hAnsi="Arial" w:cs="Arial"/>
          <w:color w:val="000000"/>
        </w:rPr>
        <w:t>, </w:t>
      </w:r>
      <w:r>
        <w:rPr>
          <w:rFonts w:ascii="Arial" w:eastAsia="Arial" w:hAnsi="Arial" w:cs="Arial"/>
          <w:i/>
          <w:color w:val="000000"/>
        </w:rPr>
        <w:t>84</w:t>
      </w:r>
      <w:r>
        <w:rPr>
          <w:rFonts w:ascii="Arial" w:eastAsia="Arial" w:hAnsi="Arial" w:cs="Arial"/>
          <w:color w:val="000000"/>
        </w:rPr>
        <w:t xml:space="preserve">(9), 1998-2009. </w:t>
      </w:r>
      <w:hyperlink r:id="rId37">
        <w:r w:rsidR="003F0AB7">
          <w:rPr>
            <w:rFonts w:ascii="Arial" w:eastAsia="Arial" w:hAnsi="Arial" w:cs="Arial"/>
            <w:color w:val="FF0080"/>
            <w:u w:val="single"/>
          </w:rPr>
          <w:t>https://doi.org/10.3168/jds.S0022-0302(01)74643-7</w:t>
        </w:r>
      </w:hyperlink>
      <w:r>
        <w:rPr>
          <w:rFonts w:ascii="Arial" w:eastAsia="Arial" w:hAnsi="Arial" w:cs="Arial"/>
          <w:color w:val="000000"/>
        </w:rPr>
        <w:t xml:space="preserve"> </w:t>
      </w:r>
    </w:p>
    <w:p w14:paraId="3CB1BD7A" w14:textId="77777777" w:rsidR="003F0AB7" w:rsidRDefault="0073180B">
      <w:pPr>
        <w:numPr>
          <w:ilvl w:val="0"/>
          <w:numId w:val="1"/>
        </w:numPr>
        <w:pBdr>
          <w:top w:val="nil"/>
          <w:left w:val="nil"/>
          <w:bottom w:val="nil"/>
          <w:right w:val="nil"/>
          <w:between w:val="nil"/>
        </w:pBdr>
        <w:spacing w:line="480" w:lineRule="auto"/>
        <w:ind w:right="79"/>
        <w:jc w:val="both"/>
        <w:rPr>
          <w:rFonts w:ascii="Arial" w:eastAsia="Arial" w:hAnsi="Arial" w:cs="Arial"/>
          <w:color w:val="000000"/>
        </w:rPr>
      </w:pPr>
      <w:r w:rsidRPr="00947D56">
        <w:rPr>
          <w:rFonts w:ascii="Arial" w:eastAsia="Arial" w:hAnsi="Arial" w:cs="Arial"/>
          <w:color w:val="000000"/>
          <w:lang w:val="pt-BR"/>
        </w:rPr>
        <w:t>Marcondes, F. K., Bianchi, F. J., &amp; Tanno, A. P. (2002). Determinação das fases do ciclo estral em ratas: considerações úteis. </w:t>
      </w:r>
      <w:r>
        <w:rPr>
          <w:rFonts w:ascii="Arial" w:eastAsia="Arial" w:hAnsi="Arial" w:cs="Arial"/>
          <w:i/>
          <w:color w:val="000000"/>
        </w:rPr>
        <w:t>Brazilian Journal of Biology</w:t>
      </w:r>
      <w:r>
        <w:rPr>
          <w:rFonts w:ascii="Arial" w:eastAsia="Arial" w:hAnsi="Arial" w:cs="Arial"/>
          <w:color w:val="000000"/>
        </w:rPr>
        <w:t>, </w:t>
      </w:r>
      <w:r>
        <w:rPr>
          <w:rFonts w:ascii="Arial" w:eastAsia="Arial" w:hAnsi="Arial" w:cs="Arial"/>
          <w:i/>
          <w:color w:val="000000"/>
        </w:rPr>
        <w:t>62</w:t>
      </w:r>
      <w:r>
        <w:rPr>
          <w:rFonts w:ascii="Arial" w:eastAsia="Arial" w:hAnsi="Arial" w:cs="Arial"/>
          <w:color w:val="000000"/>
        </w:rPr>
        <w:t xml:space="preserve">, 609-614. </w:t>
      </w:r>
      <w:hyperlink r:id="rId38">
        <w:r w:rsidR="003F0AB7">
          <w:rPr>
            <w:rFonts w:ascii="Arial" w:eastAsia="Arial" w:hAnsi="Arial" w:cs="Arial"/>
            <w:color w:val="FF0080"/>
            <w:u w:val="single"/>
          </w:rPr>
          <w:t>https://doi.org/10.1590/S1519-69842002000400008</w:t>
        </w:r>
      </w:hyperlink>
      <w:r>
        <w:rPr>
          <w:rFonts w:ascii="Arial" w:eastAsia="Arial" w:hAnsi="Arial" w:cs="Arial"/>
          <w:color w:val="000000"/>
        </w:rPr>
        <w:t> </w:t>
      </w:r>
    </w:p>
    <w:p w14:paraId="09BED0EF" w14:textId="77777777" w:rsidR="003F0AB7" w:rsidRPr="00A97769" w:rsidRDefault="00A97769">
      <w:pPr>
        <w:numPr>
          <w:ilvl w:val="0"/>
          <w:numId w:val="1"/>
        </w:numPr>
        <w:spacing w:line="480" w:lineRule="auto"/>
        <w:ind w:right="79"/>
        <w:jc w:val="both"/>
        <w:rPr>
          <w:rFonts w:ascii="Arial" w:eastAsia="Arial" w:hAnsi="Arial" w:cs="Arial"/>
          <w:color w:val="212121"/>
          <w:highlight w:val="yellow"/>
          <w:lang w:val="pt-BR"/>
        </w:rPr>
      </w:pPr>
      <w:r w:rsidRPr="00A97769">
        <w:rPr>
          <w:rFonts w:ascii="Arial" w:eastAsia="Arial" w:hAnsi="Arial" w:cs="Arial"/>
          <w:color w:val="212121"/>
          <w:highlight w:val="yellow"/>
          <w:lang w:val="pt-BR"/>
        </w:rPr>
        <w:t xml:space="preserve">Márquez-Arrico, C. F., Silvestre, F. J., Fernández-Reyes, M., Silvestre-Rangil, J., &amp; Rocha, M. (2024). </w:t>
      </w:r>
      <w:r w:rsidRPr="00A97769">
        <w:rPr>
          <w:rFonts w:ascii="Arial" w:eastAsia="Arial" w:hAnsi="Arial" w:cs="Arial"/>
          <w:color w:val="212121"/>
          <w:highlight w:val="yellow"/>
        </w:rPr>
        <w:t>Is there an association between periodontal disease and infertility? A systematic review. </w:t>
      </w:r>
      <w:r w:rsidRPr="00A97769">
        <w:rPr>
          <w:rFonts w:ascii="Arial" w:eastAsia="Arial" w:hAnsi="Arial" w:cs="Arial"/>
          <w:i/>
          <w:iCs/>
          <w:color w:val="212121"/>
          <w:highlight w:val="yellow"/>
          <w:lang w:val="pt-BR"/>
        </w:rPr>
        <w:t>Medicina Oral, Patología Oral y Cirugía Bucal</w:t>
      </w:r>
      <w:r w:rsidRPr="00A97769">
        <w:rPr>
          <w:rFonts w:ascii="Arial" w:eastAsia="Arial" w:hAnsi="Arial" w:cs="Arial"/>
          <w:color w:val="212121"/>
          <w:highlight w:val="yellow"/>
          <w:lang w:val="pt-BR"/>
        </w:rPr>
        <w:t>, </w:t>
      </w:r>
      <w:r w:rsidRPr="00A97769">
        <w:rPr>
          <w:rFonts w:ascii="Arial" w:eastAsia="Arial" w:hAnsi="Arial" w:cs="Arial"/>
          <w:i/>
          <w:iCs/>
          <w:color w:val="212121"/>
          <w:highlight w:val="yellow"/>
          <w:lang w:val="pt-BR"/>
        </w:rPr>
        <w:t>29</w:t>
      </w:r>
      <w:r w:rsidRPr="00A97769">
        <w:rPr>
          <w:rFonts w:ascii="Arial" w:eastAsia="Arial" w:hAnsi="Arial" w:cs="Arial"/>
          <w:color w:val="212121"/>
          <w:highlight w:val="yellow"/>
          <w:lang w:val="pt-BR"/>
        </w:rPr>
        <w:t>(6), e866. doi: 10.4317/medoral.26831.</w:t>
      </w:r>
    </w:p>
    <w:p w14:paraId="7862229C" w14:textId="77777777" w:rsidR="003F0AB7" w:rsidRDefault="00A97769">
      <w:pPr>
        <w:numPr>
          <w:ilvl w:val="0"/>
          <w:numId w:val="1"/>
        </w:numPr>
        <w:spacing w:line="480" w:lineRule="auto"/>
        <w:ind w:right="79"/>
        <w:jc w:val="both"/>
        <w:rPr>
          <w:rFonts w:ascii="Arial" w:eastAsia="Arial" w:hAnsi="Arial" w:cs="Arial"/>
          <w:color w:val="212121"/>
          <w:highlight w:val="yellow"/>
        </w:rPr>
      </w:pPr>
      <w:r w:rsidRPr="00A97769">
        <w:rPr>
          <w:rFonts w:ascii="Arial" w:eastAsia="Arial" w:hAnsi="Arial" w:cs="Arial"/>
          <w:color w:val="212121"/>
          <w:highlight w:val="yellow"/>
          <w:lang w:val="pt-BR"/>
        </w:rPr>
        <w:t xml:space="preserve">Márquez-Arrico, C. F., Silvestre-Rangil, J., Gutiérrez-Castillo, L., Martinez-Herrera, M., Silvestre, F. J., &amp; Rocha, M. (2020). </w:t>
      </w:r>
      <w:r w:rsidRPr="00A97769">
        <w:rPr>
          <w:rFonts w:ascii="Arial" w:eastAsia="Arial" w:hAnsi="Arial" w:cs="Arial"/>
          <w:color w:val="212121"/>
          <w:highlight w:val="yellow"/>
        </w:rPr>
        <w:t>Association between periodontal diseases and polycystic ovary syndrome: a systematic review. </w:t>
      </w:r>
      <w:r w:rsidRPr="00A97769">
        <w:rPr>
          <w:rFonts w:ascii="Arial" w:eastAsia="Arial" w:hAnsi="Arial" w:cs="Arial"/>
          <w:i/>
          <w:iCs/>
          <w:color w:val="212121"/>
          <w:highlight w:val="yellow"/>
        </w:rPr>
        <w:t>Journal of clinical medicine</w:t>
      </w:r>
      <w:r w:rsidRPr="00A97769">
        <w:rPr>
          <w:rFonts w:ascii="Arial" w:eastAsia="Arial" w:hAnsi="Arial" w:cs="Arial"/>
          <w:color w:val="212121"/>
          <w:highlight w:val="yellow"/>
        </w:rPr>
        <w:t>, </w:t>
      </w:r>
      <w:r w:rsidRPr="00A97769">
        <w:rPr>
          <w:rFonts w:ascii="Arial" w:eastAsia="Arial" w:hAnsi="Arial" w:cs="Arial"/>
          <w:i/>
          <w:iCs/>
          <w:color w:val="212121"/>
          <w:highlight w:val="yellow"/>
        </w:rPr>
        <w:t>9</w:t>
      </w:r>
      <w:r w:rsidRPr="00A97769">
        <w:rPr>
          <w:rFonts w:ascii="Arial" w:eastAsia="Arial" w:hAnsi="Arial" w:cs="Arial"/>
          <w:color w:val="212121"/>
          <w:highlight w:val="yellow"/>
        </w:rPr>
        <w:t xml:space="preserve">(5), 1586. </w:t>
      </w:r>
      <w:proofErr w:type="spellStart"/>
      <w:r>
        <w:rPr>
          <w:rFonts w:ascii="Arial" w:eastAsia="Arial" w:hAnsi="Arial" w:cs="Arial"/>
          <w:color w:val="212121"/>
          <w:highlight w:val="yellow"/>
        </w:rPr>
        <w:t>doi</w:t>
      </w:r>
      <w:proofErr w:type="spellEnd"/>
      <w:r>
        <w:rPr>
          <w:rFonts w:ascii="Arial" w:eastAsia="Arial" w:hAnsi="Arial" w:cs="Arial"/>
          <w:color w:val="212121"/>
          <w:highlight w:val="yellow"/>
        </w:rPr>
        <w:t>: 10.3390/jcm9051586.</w:t>
      </w:r>
    </w:p>
    <w:p w14:paraId="67D6A6F1" w14:textId="77777777" w:rsidR="009273BB" w:rsidRPr="009273BB" w:rsidRDefault="009273BB" w:rsidP="009273BB">
      <w:pPr>
        <w:numPr>
          <w:ilvl w:val="0"/>
          <w:numId w:val="1"/>
        </w:numPr>
        <w:pBdr>
          <w:top w:val="nil"/>
          <w:left w:val="nil"/>
          <w:bottom w:val="nil"/>
          <w:right w:val="nil"/>
          <w:between w:val="nil"/>
        </w:pBdr>
        <w:spacing w:line="480" w:lineRule="auto"/>
        <w:ind w:right="79"/>
        <w:jc w:val="both"/>
        <w:rPr>
          <w:rFonts w:ascii="Arial" w:eastAsia="Arial" w:hAnsi="Arial" w:cs="Arial"/>
          <w:color w:val="000000"/>
        </w:rPr>
      </w:pPr>
      <w:r w:rsidRPr="00947D56">
        <w:rPr>
          <w:rFonts w:ascii="Arial" w:eastAsia="Arial" w:hAnsi="Arial" w:cs="Arial"/>
          <w:color w:val="000000"/>
          <w:lang w:val="pt-BR"/>
        </w:rPr>
        <w:lastRenderedPageBreak/>
        <w:t xml:space="preserve">Matsubara, H., Ikuta, K., Ozaki, Y., Suzuki, Y., Suzuki, N., Sato, T., et al. </w:t>
      </w:r>
      <w:r w:rsidRPr="009273BB">
        <w:rPr>
          <w:rFonts w:ascii="Arial" w:eastAsia="Arial" w:hAnsi="Arial" w:cs="Arial"/>
          <w:color w:val="000000"/>
          <w:lang w:val="pt-BR"/>
        </w:rPr>
        <w:t xml:space="preserve">(2000). </w:t>
      </w:r>
      <w:r>
        <w:rPr>
          <w:rFonts w:ascii="Arial" w:eastAsia="Arial" w:hAnsi="Arial" w:cs="Arial"/>
          <w:color w:val="000000"/>
        </w:rPr>
        <w:t>Gonadotropins and cytokines affect luteal function through control of apoptosis in human luteinized granulosa cells. </w:t>
      </w:r>
      <w:r>
        <w:rPr>
          <w:rFonts w:ascii="Arial" w:eastAsia="Arial" w:hAnsi="Arial" w:cs="Arial"/>
          <w:i/>
          <w:color w:val="000000"/>
        </w:rPr>
        <w:t>The Journal of Clinical Endocrinology &amp; Metabolism</w:t>
      </w:r>
      <w:r>
        <w:rPr>
          <w:rFonts w:ascii="Arial" w:eastAsia="Arial" w:hAnsi="Arial" w:cs="Arial"/>
          <w:color w:val="000000"/>
        </w:rPr>
        <w:t>, </w:t>
      </w:r>
      <w:r>
        <w:rPr>
          <w:rFonts w:ascii="Arial" w:eastAsia="Arial" w:hAnsi="Arial" w:cs="Arial"/>
          <w:i/>
          <w:color w:val="000000"/>
        </w:rPr>
        <w:t>85</w:t>
      </w:r>
      <w:r>
        <w:rPr>
          <w:rFonts w:ascii="Arial" w:eastAsia="Arial" w:hAnsi="Arial" w:cs="Arial"/>
          <w:color w:val="000000"/>
        </w:rPr>
        <w:t xml:space="preserve">(4), 1620-1626. </w:t>
      </w:r>
      <w:hyperlink r:id="rId39">
        <w:r>
          <w:rPr>
            <w:rFonts w:ascii="Arial" w:eastAsia="Arial" w:hAnsi="Arial" w:cs="Arial"/>
            <w:color w:val="FF0080"/>
            <w:u w:val="single"/>
          </w:rPr>
          <w:t>https://doi.org/10.1210/jcem.85.4.6509</w:t>
        </w:r>
      </w:hyperlink>
    </w:p>
    <w:p w14:paraId="30CF5786" w14:textId="77777777" w:rsidR="003F0AB7" w:rsidRDefault="00A97769">
      <w:pPr>
        <w:numPr>
          <w:ilvl w:val="0"/>
          <w:numId w:val="1"/>
        </w:numPr>
        <w:spacing w:line="480" w:lineRule="auto"/>
        <w:ind w:right="79"/>
        <w:jc w:val="both"/>
        <w:rPr>
          <w:rFonts w:ascii="Arial" w:eastAsia="Arial" w:hAnsi="Arial" w:cs="Arial"/>
          <w:color w:val="212121"/>
          <w:highlight w:val="yellow"/>
        </w:rPr>
      </w:pPr>
      <w:r w:rsidRPr="00A97769">
        <w:rPr>
          <w:rFonts w:ascii="Arial" w:eastAsia="Arial" w:hAnsi="Arial" w:cs="Arial"/>
          <w:color w:val="212121"/>
          <w:highlight w:val="yellow"/>
          <w:lang w:val="pt-BR"/>
        </w:rPr>
        <w:t xml:space="preserve">Mester, A., Ciobanu, L., Taulescu, M., Apostu, D., Lucaciu, O., Filip, G. A., ... </w:t>
      </w:r>
      <w:r w:rsidRPr="00A97769">
        <w:rPr>
          <w:rFonts w:ascii="Arial" w:eastAsia="Arial" w:hAnsi="Arial" w:cs="Arial"/>
          <w:color w:val="212121"/>
          <w:highlight w:val="yellow"/>
        </w:rPr>
        <w:t xml:space="preserve">&amp; </w:t>
      </w:r>
      <w:proofErr w:type="spellStart"/>
      <w:r w:rsidRPr="00A97769">
        <w:rPr>
          <w:rFonts w:ascii="Arial" w:eastAsia="Arial" w:hAnsi="Arial" w:cs="Arial"/>
          <w:color w:val="212121"/>
          <w:highlight w:val="yellow"/>
        </w:rPr>
        <w:t>Campian</w:t>
      </w:r>
      <w:proofErr w:type="spellEnd"/>
      <w:r w:rsidRPr="00A97769">
        <w:rPr>
          <w:rFonts w:ascii="Arial" w:eastAsia="Arial" w:hAnsi="Arial" w:cs="Arial"/>
          <w:color w:val="212121"/>
          <w:highlight w:val="yellow"/>
        </w:rPr>
        <w:t xml:space="preserve">, R. S. (2019). Periodontal disease may induce liver fibrosis in an experimental study on </w:t>
      </w:r>
      <w:proofErr w:type="spellStart"/>
      <w:r w:rsidRPr="00A97769">
        <w:rPr>
          <w:rFonts w:ascii="Arial" w:eastAsia="Arial" w:hAnsi="Arial" w:cs="Arial"/>
          <w:color w:val="212121"/>
          <w:highlight w:val="yellow"/>
        </w:rPr>
        <w:t>Wistar</w:t>
      </w:r>
      <w:proofErr w:type="spellEnd"/>
      <w:r w:rsidRPr="00A97769">
        <w:rPr>
          <w:rFonts w:ascii="Arial" w:eastAsia="Arial" w:hAnsi="Arial" w:cs="Arial"/>
          <w:color w:val="212121"/>
          <w:highlight w:val="yellow"/>
        </w:rPr>
        <w:t xml:space="preserve"> rats. </w:t>
      </w:r>
      <w:r w:rsidRPr="00A97769">
        <w:rPr>
          <w:rFonts w:ascii="Arial" w:eastAsia="Arial" w:hAnsi="Arial" w:cs="Arial"/>
          <w:i/>
          <w:iCs/>
          <w:color w:val="212121"/>
          <w:highlight w:val="yellow"/>
        </w:rPr>
        <w:t>Journal of Periodontology</w:t>
      </w:r>
      <w:r w:rsidRPr="00A97769">
        <w:rPr>
          <w:rFonts w:ascii="Arial" w:eastAsia="Arial" w:hAnsi="Arial" w:cs="Arial"/>
          <w:color w:val="212121"/>
          <w:highlight w:val="yellow"/>
        </w:rPr>
        <w:t>, </w:t>
      </w:r>
      <w:r w:rsidRPr="00A97769">
        <w:rPr>
          <w:rFonts w:ascii="Arial" w:eastAsia="Arial" w:hAnsi="Arial" w:cs="Arial"/>
          <w:i/>
          <w:iCs/>
          <w:color w:val="212121"/>
          <w:highlight w:val="yellow"/>
        </w:rPr>
        <w:t>90</w:t>
      </w:r>
      <w:r w:rsidRPr="00A97769">
        <w:rPr>
          <w:rFonts w:ascii="Arial" w:eastAsia="Arial" w:hAnsi="Arial" w:cs="Arial"/>
          <w:color w:val="212121"/>
          <w:highlight w:val="yellow"/>
        </w:rPr>
        <w:t>(8), 911-919.</w:t>
      </w:r>
      <w:r>
        <w:rPr>
          <w:rFonts w:ascii="Arial" w:eastAsia="Arial" w:hAnsi="Arial" w:cs="Arial"/>
          <w:color w:val="212121"/>
          <w:highlight w:val="yellow"/>
        </w:rPr>
        <w:t xml:space="preserve"> </w:t>
      </w:r>
      <w:proofErr w:type="spellStart"/>
      <w:r>
        <w:rPr>
          <w:rFonts w:ascii="Arial" w:eastAsia="Arial" w:hAnsi="Arial" w:cs="Arial"/>
          <w:color w:val="212121"/>
          <w:highlight w:val="yellow"/>
        </w:rPr>
        <w:t>doi</w:t>
      </w:r>
      <w:proofErr w:type="spellEnd"/>
      <w:r>
        <w:rPr>
          <w:rFonts w:ascii="Arial" w:eastAsia="Arial" w:hAnsi="Arial" w:cs="Arial"/>
          <w:color w:val="212121"/>
          <w:highlight w:val="yellow"/>
        </w:rPr>
        <w:t>: 10.1002/JPER.18-0585.</w:t>
      </w:r>
    </w:p>
    <w:p w14:paraId="1D5D7FB5" w14:textId="77777777" w:rsidR="003F0AB7" w:rsidRDefault="0073180B">
      <w:pPr>
        <w:numPr>
          <w:ilvl w:val="0"/>
          <w:numId w:val="1"/>
        </w:numPr>
        <w:pBdr>
          <w:top w:val="nil"/>
          <w:left w:val="nil"/>
          <w:bottom w:val="nil"/>
          <w:right w:val="nil"/>
          <w:between w:val="nil"/>
        </w:pBdr>
        <w:spacing w:line="480" w:lineRule="auto"/>
        <w:ind w:right="79"/>
        <w:jc w:val="both"/>
        <w:rPr>
          <w:rFonts w:ascii="Arial" w:eastAsia="Arial" w:hAnsi="Arial" w:cs="Arial"/>
          <w:color w:val="000000"/>
        </w:rPr>
      </w:pPr>
      <w:r w:rsidRPr="00947D56">
        <w:rPr>
          <w:rFonts w:ascii="Arial" w:eastAsia="Arial" w:hAnsi="Arial" w:cs="Arial"/>
          <w:color w:val="000000"/>
          <w:lang w:val="pt-BR"/>
        </w:rPr>
        <w:t xml:space="preserve">Nakagawa, S., Fujii, H., Machida, Y., &amp; Okuda, K. (1994). </w:t>
      </w:r>
      <w:r>
        <w:rPr>
          <w:rFonts w:ascii="Arial" w:eastAsia="Arial" w:hAnsi="Arial" w:cs="Arial"/>
          <w:color w:val="000000"/>
        </w:rPr>
        <w:t xml:space="preserve">A longitudinal study from </w:t>
      </w:r>
      <w:proofErr w:type="spellStart"/>
      <w:r>
        <w:rPr>
          <w:rFonts w:ascii="Arial" w:eastAsia="Arial" w:hAnsi="Arial" w:cs="Arial"/>
          <w:color w:val="000000"/>
        </w:rPr>
        <w:t>prepuberty</w:t>
      </w:r>
      <w:proofErr w:type="spellEnd"/>
      <w:r>
        <w:rPr>
          <w:rFonts w:ascii="Arial" w:eastAsia="Arial" w:hAnsi="Arial" w:cs="Arial"/>
          <w:color w:val="000000"/>
        </w:rPr>
        <w:t xml:space="preserve"> to puberty of gingivitis: correlation between the occurrence of </w:t>
      </w:r>
      <w:proofErr w:type="spellStart"/>
      <w:r>
        <w:rPr>
          <w:rFonts w:ascii="Arial" w:eastAsia="Arial" w:hAnsi="Arial" w:cs="Arial"/>
          <w:color w:val="000000"/>
        </w:rPr>
        <w:t>Prevotella</w:t>
      </w:r>
      <w:proofErr w:type="spellEnd"/>
      <w:r>
        <w:rPr>
          <w:rFonts w:ascii="Arial" w:eastAsia="Arial" w:hAnsi="Arial" w:cs="Arial"/>
          <w:color w:val="000000"/>
        </w:rPr>
        <w:t xml:space="preserve"> intermedia and sex hormones. </w:t>
      </w:r>
      <w:r>
        <w:rPr>
          <w:rFonts w:ascii="Arial" w:eastAsia="Arial" w:hAnsi="Arial" w:cs="Arial"/>
          <w:i/>
          <w:color w:val="000000"/>
        </w:rPr>
        <w:t>Journal of clinical periodontology</w:t>
      </w:r>
      <w:r>
        <w:rPr>
          <w:rFonts w:ascii="Arial" w:eastAsia="Arial" w:hAnsi="Arial" w:cs="Arial"/>
          <w:color w:val="000000"/>
        </w:rPr>
        <w:t>, </w:t>
      </w:r>
      <w:r>
        <w:rPr>
          <w:rFonts w:ascii="Arial" w:eastAsia="Arial" w:hAnsi="Arial" w:cs="Arial"/>
          <w:i/>
          <w:color w:val="000000"/>
        </w:rPr>
        <w:t>21</w:t>
      </w:r>
      <w:r>
        <w:rPr>
          <w:rFonts w:ascii="Arial" w:eastAsia="Arial" w:hAnsi="Arial" w:cs="Arial"/>
          <w:color w:val="000000"/>
        </w:rPr>
        <w:t>(10), 658-665.  </w:t>
      </w:r>
      <w:hyperlink r:id="rId40">
        <w:r w:rsidR="003F0AB7">
          <w:rPr>
            <w:rFonts w:ascii="Arial" w:eastAsia="Arial" w:hAnsi="Arial" w:cs="Arial"/>
            <w:color w:val="FF0080"/>
            <w:u w:val="single"/>
          </w:rPr>
          <w:t>https://doi.org/10.1111/j.1600-051X.1994.tb00783.x</w:t>
        </w:r>
      </w:hyperlink>
    </w:p>
    <w:p w14:paraId="26F8F5EF" w14:textId="77777777" w:rsidR="00A97769" w:rsidRPr="00A97769" w:rsidRDefault="00A97769" w:rsidP="00A97769">
      <w:pPr>
        <w:numPr>
          <w:ilvl w:val="0"/>
          <w:numId w:val="1"/>
        </w:numPr>
        <w:pBdr>
          <w:top w:val="nil"/>
          <w:left w:val="nil"/>
          <w:bottom w:val="nil"/>
          <w:right w:val="nil"/>
          <w:between w:val="nil"/>
        </w:pBdr>
        <w:spacing w:line="480" w:lineRule="auto"/>
        <w:ind w:right="79"/>
        <w:jc w:val="both"/>
        <w:rPr>
          <w:rFonts w:ascii="Arial" w:eastAsia="Arial" w:hAnsi="Arial" w:cs="Arial"/>
          <w:color w:val="212121"/>
          <w:highlight w:val="yellow"/>
          <w:lang w:val="pt-BR"/>
        </w:rPr>
      </w:pPr>
      <w:r w:rsidRPr="00A97769">
        <w:rPr>
          <w:rFonts w:ascii="Arial" w:eastAsia="Arial" w:hAnsi="Arial" w:cs="Arial"/>
          <w:color w:val="212121"/>
          <w:highlight w:val="yellow"/>
        </w:rPr>
        <w:t>Nilsson, B. O. (2021). Mechanisms involved in regulation of periodontal ligament cell production of pro</w:t>
      </w:r>
      <w:r w:rsidRPr="00A97769">
        <w:rPr>
          <w:rFonts w:ascii="Cambria Math" w:eastAsia="Arial" w:hAnsi="Cambria Math" w:cs="Cambria Math"/>
          <w:color w:val="212121"/>
          <w:highlight w:val="yellow"/>
        </w:rPr>
        <w:t>‐</w:t>
      </w:r>
      <w:r w:rsidRPr="00A97769">
        <w:rPr>
          <w:rFonts w:ascii="Arial" w:eastAsia="Arial" w:hAnsi="Arial" w:cs="Arial"/>
          <w:color w:val="212121"/>
          <w:highlight w:val="yellow"/>
        </w:rPr>
        <w:t>inflammatory cytokines: Implications in periodontitis. </w:t>
      </w:r>
      <w:r w:rsidRPr="00A97769">
        <w:rPr>
          <w:rFonts w:ascii="Arial" w:eastAsia="Arial" w:hAnsi="Arial" w:cs="Arial"/>
          <w:i/>
          <w:iCs/>
          <w:color w:val="212121"/>
          <w:highlight w:val="yellow"/>
        </w:rPr>
        <w:t>Journal of periodontal research</w:t>
      </w:r>
      <w:r w:rsidRPr="00A97769">
        <w:rPr>
          <w:rFonts w:ascii="Arial" w:eastAsia="Arial" w:hAnsi="Arial" w:cs="Arial"/>
          <w:color w:val="212121"/>
          <w:highlight w:val="yellow"/>
        </w:rPr>
        <w:t>, </w:t>
      </w:r>
      <w:r w:rsidRPr="00A97769">
        <w:rPr>
          <w:rFonts w:ascii="Arial" w:eastAsia="Arial" w:hAnsi="Arial" w:cs="Arial"/>
          <w:i/>
          <w:iCs/>
          <w:color w:val="212121"/>
          <w:highlight w:val="yellow"/>
        </w:rPr>
        <w:t>56</w:t>
      </w:r>
      <w:r w:rsidRPr="00A97769">
        <w:rPr>
          <w:rFonts w:ascii="Arial" w:eastAsia="Arial" w:hAnsi="Arial" w:cs="Arial"/>
          <w:color w:val="212121"/>
          <w:highlight w:val="yellow"/>
        </w:rPr>
        <w:t xml:space="preserve">(2), 249-255. </w:t>
      </w:r>
      <w:r w:rsidRPr="00A97769">
        <w:rPr>
          <w:rFonts w:ascii="Arial" w:eastAsia="Arial" w:hAnsi="Arial" w:cs="Arial"/>
          <w:color w:val="212121"/>
          <w:highlight w:val="yellow"/>
          <w:lang w:val="pt-BR"/>
        </w:rPr>
        <w:t> </w:t>
      </w:r>
      <w:hyperlink r:id="rId41" w:history="1">
        <w:r w:rsidRPr="00A97769">
          <w:rPr>
            <w:rStyle w:val="Hyperlink"/>
            <w:rFonts w:ascii="Arial" w:eastAsia="Arial" w:hAnsi="Arial" w:cs="Arial"/>
            <w:highlight w:val="yellow"/>
            <w:lang w:val="pt-BR"/>
          </w:rPr>
          <w:t>https://doi.org/10.1111/jre.12823</w:t>
        </w:r>
      </w:hyperlink>
    </w:p>
    <w:p w14:paraId="37FF87A0" w14:textId="77777777" w:rsidR="003F0AB7" w:rsidRDefault="0073180B">
      <w:pPr>
        <w:numPr>
          <w:ilvl w:val="0"/>
          <w:numId w:val="1"/>
        </w:numPr>
        <w:pBdr>
          <w:top w:val="nil"/>
          <w:left w:val="nil"/>
          <w:bottom w:val="nil"/>
          <w:right w:val="nil"/>
          <w:between w:val="nil"/>
        </w:pBdr>
        <w:spacing w:line="480" w:lineRule="auto"/>
        <w:ind w:right="79"/>
        <w:jc w:val="both"/>
        <w:rPr>
          <w:rFonts w:ascii="Arial" w:eastAsia="Arial" w:hAnsi="Arial" w:cs="Arial"/>
          <w:color w:val="000000"/>
        </w:rPr>
      </w:pPr>
      <w:r>
        <w:rPr>
          <w:rFonts w:ascii="Arial" w:eastAsia="Arial" w:hAnsi="Arial" w:cs="Arial"/>
          <w:color w:val="000000"/>
        </w:rPr>
        <w:t>Pan, W., Wang, Q., &amp; Chen, Q. (2019). The cytokine network involved in the host immune response to periodontitis. </w:t>
      </w:r>
      <w:r>
        <w:rPr>
          <w:rFonts w:ascii="Arial" w:eastAsia="Arial" w:hAnsi="Arial" w:cs="Arial"/>
          <w:i/>
          <w:color w:val="000000"/>
        </w:rPr>
        <w:t>International journal of oral science</w:t>
      </w:r>
      <w:r>
        <w:rPr>
          <w:rFonts w:ascii="Arial" w:eastAsia="Arial" w:hAnsi="Arial" w:cs="Arial"/>
          <w:color w:val="000000"/>
        </w:rPr>
        <w:t>, </w:t>
      </w:r>
      <w:r>
        <w:rPr>
          <w:rFonts w:ascii="Arial" w:eastAsia="Arial" w:hAnsi="Arial" w:cs="Arial"/>
          <w:i/>
          <w:color w:val="000000"/>
        </w:rPr>
        <w:t>11</w:t>
      </w:r>
      <w:r>
        <w:rPr>
          <w:rFonts w:ascii="Arial" w:eastAsia="Arial" w:hAnsi="Arial" w:cs="Arial"/>
          <w:color w:val="000000"/>
        </w:rPr>
        <w:t xml:space="preserve">(3), 30. </w:t>
      </w:r>
      <w:hyperlink r:id="rId42">
        <w:r w:rsidR="003F0AB7">
          <w:rPr>
            <w:rFonts w:ascii="Arial" w:eastAsia="Arial" w:hAnsi="Arial" w:cs="Arial"/>
            <w:color w:val="FF0080"/>
            <w:u w:val="single"/>
          </w:rPr>
          <w:t>https://doi.org/10.1038/s41368-019-0064-z</w:t>
        </w:r>
      </w:hyperlink>
      <w:r>
        <w:rPr>
          <w:rFonts w:ascii="Arial" w:eastAsia="Arial" w:hAnsi="Arial" w:cs="Arial"/>
          <w:color w:val="000000"/>
        </w:rPr>
        <w:t xml:space="preserve"> </w:t>
      </w:r>
    </w:p>
    <w:p w14:paraId="6102C8A2" w14:textId="77777777" w:rsidR="003F0AB7" w:rsidRDefault="0073180B">
      <w:pPr>
        <w:numPr>
          <w:ilvl w:val="0"/>
          <w:numId w:val="1"/>
        </w:numPr>
        <w:pBdr>
          <w:top w:val="nil"/>
          <w:left w:val="nil"/>
          <w:bottom w:val="nil"/>
          <w:right w:val="nil"/>
          <w:between w:val="nil"/>
        </w:pBdr>
        <w:spacing w:line="480" w:lineRule="auto"/>
        <w:ind w:right="79"/>
        <w:jc w:val="both"/>
        <w:rPr>
          <w:rFonts w:ascii="Arial" w:eastAsia="Arial" w:hAnsi="Arial" w:cs="Arial"/>
          <w:color w:val="000000"/>
        </w:rPr>
      </w:pPr>
      <w:proofErr w:type="spellStart"/>
      <w:r>
        <w:rPr>
          <w:rFonts w:ascii="Arial" w:eastAsia="Arial" w:hAnsi="Arial" w:cs="Arial"/>
          <w:color w:val="000000"/>
        </w:rPr>
        <w:t>Poulain</w:t>
      </w:r>
      <w:proofErr w:type="spellEnd"/>
      <w:r>
        <w:rPr>
          <w:rFonts w:ascii="Arial" w:eastAsia="Arial" w:hAnsi="Arial" w:cs="Arial"/>
          <w:color w:val="000000"/>
        </w:rPr>
        <w:t xml:space="preserve">, M., </w:t>
      </w:r>
      <w:proofErr w:type="spellStart"/>
      <w:r>
        <w:rPr>
          <w:rFonts w:ascii="Arial" w:eastAsia="Arial" w:hAnsi="Arial" w:cs="Arial"/>
          <w:color w:val="000000"/>
        </w:rPr>
        <w:t>Frydman</w:t>
      </w:r>
      <w:proofErr w:type="spellEnd"/>
      <w:r>
        <w:rPr>
          <w:rFonts w:ascii="Arial" w:eastAsia="Arial" w:hAnsi="Arial" w:cs="Arial"/>
          <w:color w:val="000000"/>
        </w:rPr>
        <w:t xml:space="preserve">, N., </w:t>
      </w:r>
      <w:proofErr w:type="spellStart"/>
      <w:r>
        <w:rPr>
          <w:rFonts w:ascii="Arial" w:eastAsia="Arial" w:hAnsi="Arial" w:cs="Arial"/>
          <w:color w:val="000000"/>
        </w:rPr>
        <w:t>Duquenne</w:t>
      </w:r>
      <w:proofErr w:type="spellEnd"/>
      <w:r>
        <w:rPr>
          <w:rFonts w:ascii="Arial" w:eastAsia="Arial" w:hAnsi="Arial" w:cs="Arial"/>
          <w:color w:val="000000"/>
        </w:rPr>
        <w:t xml:space="preserve">, C., N′ </w:t>
      </w:r>
      <w:proofErr w:type="spellStart"/>
      <w:r>
        <w:rPr>
          <w:rFonts w:ascii="Arial" w:eastAsia="Arial" w:hAnsi="Arial" w:cs="Arial"/>
          <w:color w:val="000000"/>
        </w:rPr>
        <w:t>Tumba-Byn</w:t>
      </w:r>
      <w:proofErr w:type="spellEnd"/>
      <w:r>
        <w:rPr>
          <w:rFonts w:ascii="Arial" w:eastAsia="Arial" w:hAnsi="Arial" w:cs="Arial"/>
          <w:color w:val="000000"/>
        </w:rPr>
        <w:t xml:space="preserve">, T., </w:t>
      </w:r>
      <w:proofErr w:type="spellStart"/>
      <w:r>
        <w:rPr>
          <w:rFonts w:ascii="Arial" w:eastAsia="Arial" w:hAnsi="Arial" w:cs="Arial"/>
          <w:color w:val="000000"/>
        </w:rPr>
        <w:t>Benachi</w:t>
      </w:r>
      <w:proofErr w:type="spellEnd"/>
      <w:r>
        <w:rPr>
          <w:rFonts w:ascii="Arial" w:eastAsia="Arial" w:hAnsi="Arial" w:cs="Arial"/>
          <w:color w:val="000000"/>
        </w:rPr>
        <w:t xml:space="preserve">, A., </w:t>
      </w:r>
      <w:proofErr w:type="spellStart"/>
      <w:r>
        <w:rPr>
          <w:rFonts w:ascii="Arial" w:eastAsia="Arial" w:hAnsi="Arial" w:cs="Arial"/>
          <w:color w:val="000000"/>
        </w:rPr>
        <w:t>Habert</w:t>
      </w:r>
      <w:proofErr w:type="spellEnd"/>
      <w:r>
        <w:rPr>
          <w:rFonts w:ascii="Arial" w:eastAsia="Arial" w:hAnsi="Arial" w:cs="Arial"/>
          <w:color w:val="000000"/>
        </w:rPr>
        <w:t>, R., et al. (2012). Dexamethasone induces germ cell apoptosis in the human fetal ovary. </w:t>
      </w:r>
      <w:r>
        <w:rPr>
          <w:rFonts w:ascii="Arial" w:eastAsia="Arial" w:hAnsi="Arial" w:cs="Arial"/>
          <w:i/>
          <w:color w:val="000000"/>
        </w:rPr>
        <w:t>The Journal of Clinical Endocrinology &amp; Metabolism</w:t>
      </w:r>
      <w:r>
        <w:rPr>
          <w:rFonts w:ascii="Arial" w:eastAsia="Arial" w:hAnsi="Arial" w:cs="Arial"/>
          <w:color w:val="000000"/>
        </w:rPr>
        <w:t>, </w:t>
      </w:r>
      <w:r>
        <w:rPr>
          <w:rFonts w:ascii="Arial" w:eastAsia="Arial" w:hAnsi="Arial" w:cs="Arial"/>
          <w:i/>
          <w:color w:val="000000"/>
        </w:rPr>
        <w:t>97</w:t>
      </w:r>
      <w:r>
        <w:rPr>
          <w:rFonts w:ascii="Arial" w:eastAsia="Arial" w:hAnsi="Arial" w:cs="Arial"/>
          <w:color w:val="000000"/>
        </w:rPr>
        <w:t xml:space="preserve">(10), E1890-E1897. </w:t>
      </w:r>
      <w:hyperlink r:id="rId43">
        <w:r w:rsidR="003F0AB7">
          <w:rPr>
            <w:rFonts w:ascii="Arial" w:eastAsia="Arial" w:hAnsi="Arial" w:cs="Arial"/>
            <w:color w:val="FF0080"/>
            <w:u w:val="single"/>
          </w:rPr>
          <w:t>https://doi.org/10.1210/jc.2012-1681</w:t>
        </w:r>
      </w:hyperlink>
    </w:p>
    <w:p w14:paraId="42D7E1F1" w14:textId="77777777" w:rsidR="003F0AB7" w:rsidRDefault="0073180B">
      <w:pPr>
        <w:numPr>
          <w:ilvl w:val="0"/>
          <w:numId w:val="1"/>
        </w:numPr>
        <w:pBdr>
          <w:top w:val="nil"/>
          <w:left w:val="nil"/>
          <w:bottom w:val="nil"/>
          <w:right w:val="nil"/>
          <w:between w:val="nil"/>
        </w:pBdr>
        <w:spacing w:line="480" w:lineRule="auto"/>
        <w:ind w:right="79"/>
        <w:jc w:val="both"/>
        <w:rPr>
          <w:rFonts w:ascii="Arial" w:eastAsia="Arial" w:hAnsi="Arial" w:cs="Arial"/>
          <w:color w:val="000000"/>
        </w:rPr>
      </w:pPr>
      <w:r w:rsidRPr="00947D56">
        <w:rPr>
          <w:rFonts w:ascii="Arial" w:eastAsia="Arial" w:hAnsi="Arial" w:cs="Arial"/>
          <w:color w:val="000000"/>
          <w:lang w:val="pt-BR"/>
        </w:rPr>
        <w:t xml:space="preserve">Qiao, J., &amp; Feng, H. L. (2011). </w:t>
      </w:r>
      <w:r>
        <w:rPr>
          <w:rFonts w:ascii="Arial" w:eastAsia="Arial" w:hAnsi="Arial" w:cs="Arial"/>
          <w:color w:val="000000"/>
        </w:rPr>
        <w:t>Extra-and intra-ovarian factors in polycystic ovary syndrome: impact on oocyte maturation and embryo developmental competence. </w:t>
      </w:r>
      <w:r>
        <w:rPr>
          <w:rFonts w:ascii="Arial" w:eastAsia="Arial" w:hAnsi="Arial" w:cs="Arial"/>
          <w:i/>
          <w:color w:val="000000"/>
        </w:rPr>
        <w:t>Human reproduction update</w:t>
      </w:r>
      <w:r>
        <w:rPr>
          <w:rFonts w:ascii="Arial" w:eastAsia="Arial" w:hAnsi="Arial" w:cs="Arial"/>
          <w:color w:val="000000"/>
        </w:rPr>
        <w:t>, </w:t>
      </w:r>
      <w:r>
        <w:rPr>
          <w:rFonts w:ascii="Arial" w:eastAsia="Arial" w:hAnsi="Arial" w:cs="Arial"/>
          <w:i/>
          <w:color w:val="000000"/>
        </w:rPr>
        <w:t>17</w:t>
      </w:r>
      <w:r>
        <w:rPr>
          <w:rFonts w:ascii="Arial" w:eastAsia="Arial" w:hAnsi="Arial" w:cs="Arial"/>
          <w:color w:val="000000"/>
        </w:rPr>
        <w:t xml:space="preserve">(1), 17-33. </w:t>
      </w:r>
      <w:hyperlink r:id="rId44">
        <w:r w:rsidR="003F0AB7">
          <w:rPr>
            <w:rFonts w:ascii="Arial" w:eastAsia="Arial" w:hAnsi="Arial" w:cs="Arial"/>
            <w:color w:val="FF0080"/>
            <w:u w:val="single"/>
          </w:rPr>
          <w:t>https://doi.org/10.1093/humupd/dmq032</w:t>
        </w:r>
      </w:hyperlink>
    </w:p>
    <w:p w14:paraId="6F03B463" w14:textId="77777777" w:rsidR="003F0AB7" w:rsidRDefault="0073180B">
      <w:pPr>
        <w:numPr>
          <w:ilvl w:val="0"/>
          <w:numId w:val="1"/>
        </w:numPr>
        <w:pBdr>
          <w:top w:val="nil"/>
          <w:left w:val="nil"/>
          <w:bottom w:val="nil"/>
          <w:right w:val="nil"/>
          <w:between w:val="nil"/>
        </w:pBdr>
        <w:spacing w:line="480" w:lineRule="auto"/>
        <w:ind w:right="79"/>
        <w:jc w:val="both"/>
        <w:rPr>
          <w:rFonts w:ascii="Arial" w:eastAsia="Arial" w:hAnsi="Arial" w:cs="Arial"/>
          <w:color w:val="000000"/>
        </w:rPr>
      </w:pPr>
      <w:r>
        <w:rPr>
          <w:rFonts w:ascii="Arial" w:eastAsia="Arial" w:hAnsi="Arial" w:cs="Arial"/>
          <w:color w:val="000000"/>
        </w:rPr>
        <w:lastRenderedPageBreak/>
        <w:t xml:space="preserve">Quirk, S. M., Porter, D. A., Huber, S. C., &amp; Cowan, R. G. (1998). Potentiation of </w:t>
      </w:r>
      <w:proofErr w:type="spellStart"/>
      <w:r>
        <w:rPr>
          <w:rFonts w:ascii="Arial" w:eastAsia="Arial" w:hAnsi="Arial" w:cs="Arial"/>
          <w:color w:val="000000"/>
        </w:rPr>
        <w:t>Fas</w:t>
      </w:r>
      <w:proofErr w:type="spellEnd"/>
      <w:r>
        <w:rPr>
          <w:rFonts w:ascii="Arial" w:eastAsia="Arial" w:hAnsi="Arial" w:cs="Arial"/>
          <w:color w:val="000000"/>
        </w:rPr>
        <w:t xml:space="preserve">-mediated apoptosis of murine granulosa cells by interferon-γ, tumor necrosis factor-α, and </w:t>
      </w:r>
      <w:proofErr w:type="spellStart"/>
      <w:r>
        <w:rPr>
          <w:rFonts w:ascii="Arial" w:eastAsia="Arial" w:hAnsi="Arial" w:cs="Arial"/>
          <w:color w:val="000000"/>
        </w:rPr>
        <w:t>cycloheximide</w:t>
      </w:r>
      <w:proofErr w:type="spellEnd"/>
      <w:r>
        <w:rPr>
          <w:rFonts w:ascii="Arial" w:eastAsia="Arial" w:hAnsi="Arial" w:cs="Arial"/>
          <w:color w:val="000000"/>
        </w:rPr>
        <w:t>. </w:t>
      </w:r>
      <w:r>
        <w:rPr>
          <w:rFonts w:ascii="Arial" w:eastAsia="Arial" w:hAnsi="Arial" w:cs="Arial"/>
          <w:i/>
          <w:color w:val="000000"/>
        </w:rPr>
        <w:t>Endocrinology</w:t>
      </w:r>
      <w:r>
        <w:rPr>
          <w:rFonts w:ascii="Arial" w:eastAsia="Arial" w:hAnsi="Arial" w:cs="Arial"/>
          <w:color w:val="000000"/>
        </w:rPr>
        <w:t>, </w:t>
      </w:r>
      <w:r>
        <w:rPr>
          <w:rFonts w:ascii="Arial" w:eastAsia="Arial" w:hAnsi="Arial" w:cs="Arial"/>
          <w:i/>
          <w:color w:val="000000"/>
        </w:rPr>
        <w:t>139</w:t>
      </w:r>
      <w:r>
        <w:rPr>
          <w:rFonts w:ascii="Arial" w:eastAsia="Arial" w:hAnsi="Arial" w:cs="Arial"/>
          <w:color w:val="000000"/>
        </w:rPr>
        <w:t xml:space="preserve">(12), 4860-4869.  </w:t>
      </w:r>
      <w:hyperlink r:id="rId45">
        <w:r w:rsidR="003F0AB7">
          <w:rPr>
            <w:rFonts w:ascii="Arial" w:eastAsia="Arial" w:hAnsi="Arial" w:cs="Arial"/>
            <w:color w:val="FF0080"/>
            <w:u w:val="single"/>
          </w:rPr>
          <w:t>https://doi.org/10.1210/endo.139.12.6353</w:t>
        </w:r>
      </w:hyperlink>
    </w:p>
    <w:p w14:paraId="7C2C31FF" w14:textId="77777777" w:rsidR="003F0AB7" w:rsidRDefault="0073180B">
      <w:pPr>
        <w:numPr>
          <w:ilvl w:val="0"/>
          <w:numId w:val="1"/>
        </w:numPr>
        <w:pBdr>
          <w:top w:val="nil"/>
          <w:left w:val="nil"/>
          <w:bottom w:val="nil"/>
          <w:right w:val="nil"/>
          <w:between w:val="nil"/>
        </w:pBdr>
        <w:spacing w:line="480" w:lineRule="auto"/>
        <w:ind w:right="79"/>
        <w:jc w:val="both"/>
        <w:rPr>
          <w:rFonts w:ascii="Arial" w:eastAsia="Arial" w:hAnsi="Arial" w:cs="Arial"/>
          <w:color w:val="000000"/>
        </w:rPr>
      </w:pPr>
      <w:proofErr w:type="spellStart"/>
      <w:r>
        <w:rPr>
          <w:rFonts w:ascii="Arial" w:eastAsia="Arial" w:hAnsi="Arial" w:cs="Arial"/>
          <w:color w:val="000000"/>
        </w:rPr>
        <w:t>Reichardt</w:t>
      </w:r>
      <w:proofErr w:type="spellEnd"/>
      <w:r>
        <w:rPr>
          <w:rFonts w:ascii="Arial" w:eastAsia="Arial" w:hAnsi="Arial" w:cs="Arial"/>
          <w:color w:val="000000"/>
        </w:rPr>
        <w:t xml:space="preserve">, S. D., </w:t>
      </w:r>
      <w:proofErr w:type="spellStart"/>
      <w:r>
        <w:rPr>
          <w:rFonts w:ascii="Arial" w:eastAsia="Arial" w:hAnsi="Arial" w:cs="Arial"/>
          <w:color w:val="000000"/>
        </w:rPr>
        <w:t>Amouret</w:t>
      </w:r>
      <w:proofErr w:type="spellEnd"/>
      <w:r>
        <w:rPr>
          <w:rFonts w:ascii="Arial" w:eastAsia="Arial" w:hAnsi="Arial" w:cs="Arial"/>
          <w:color w:val="000000"/>
        </w:rPr>
        <w:t xml:space="preserve">, A., </w:t>
      </w:r>
      <w:proofErr w:type="spellStart"/>
      <w:r>
        <w:rPr>
          <w:rFonts w:ascii="Arial" w:eastAsia="Arial" w:hAnsi="Arial" w:cs="Arial"/>
          <w:color w:val="000000"/>
        </w:rPr>
        <w:t>Muzzi</w:t>
      </w:r>
      <w:proofErr w:type="spellEnd"/>
      <w:r>
        <w:rPr>
          <w:rFonts w:ascii="Arial" w:eastAsia="Arial" w:hAnsi="Arial" w:cs="Arial"/>
          <w:color w:val="000000"/>
        </w:rPr>
        <w:t xml:space="preserve">, C., </w:t>
      </w:r>
      <w:proofErr w:type="spellStart"/>
      <w:r>
        <w:rPr>
          <w:rFonts w:ascii="Arial" w:eastAsia="Arial" w:hAnsi="Arial" w:cs="Arial"/>
          <w:color w:val="000000"/>
        </w:rPr>
        <w:t>Vettorazzi</w:t>
      </w:r>
      <w:proofErr w:type="spellEnd"/>
      <w:r>
        <w:rPr>
          <w:rFonts w:ascii="Arial" w:eastAsia="Arial" w:hAnsi="Arial" w:cs="Arial"/>
          <w:color w:val="000000"/>
        </w:rPr>
        <w:t xml:space="preserve">, S., </w:t>
      </w:r>
      <w:proofErr w:type="spellStart"/>
      <w:r>
        <w:rPr>
          <w:rFonts w:ascii="Arial" w:eastAsia="Arial" w:hAnsi="Arial" w:cs="Arial"/>
          <w:color w:val="000000"/>
        </w:rPr>
        <w:t>Tuckermann</w:t>
      </w:r>
      <w:proofErr w:type="spellEnd"/>
      <w:r>
        <w:rPr>
          <w:rFonts w:ascii="Arial" w:eastAsia="Arial" w:hAnsi="Arial" w:cs="Arial"/>
          <w:color w:val="000000"/>
        </w:rPr>
        <w:t xml:space="preserve">, J. P., </w:t>
      </w:r>
      <w:proofErr w:type="spellStart"/>
      <w:r>
        <w:rPr>
          <w:rFonts w:ascii="Arial" w:eastAsia="Arial" w:hAnsi="Arial" w:cs="Arial"/>
          <w:color w:val="000000"/>
        </w:rPr>
        <w:t>Lühder</w:t>
      </w:r>
      <w:proofErr w:type="spellEnd"/>
      <w:r>
        <w:rPr>
          <w:rFonts w:ascii="Arial" w:eastAsia="Arial" w:hAnsi="Arial" w:cs="Arial"/>
          <w:color w:val="000000"/>
        </w:rPr>
        <w:t>, F., et al. (2021). The role of glucocorticoids in inflammatory diseases. </w:t>
      </w:r>
      <w:r>
        <w:rPr>
          <w:rFonts w:ascii="Arial" w:eastAsia="Arial" w:hAnsi="Arial" w:cs="Arial"/>
          <w:i/>
          <w:color w:val="000000"/>
        </w:rPr>
        <w:t>Cells</w:t>
      </w:r>
      <w:r>
        <w:rPr>
          <w:rFonts w:ascii="Arial" w:eastAsia="Arial" w:hAnsi="Arial" w:cs="Arial"/>
          <w:color w:val="000000"/>
        </w:rPr>
        <w:t>, </w:t>
      </w:r>
      <w:r>
        <w:rPr>
          <w:rFonts w:ascii="Arial" w:eastAsia="Arial" w:hAnsi="Arial" w:cs="Arial"/>
          <w:i/>
          <w:color w:val="000000"/>
        </w:rPr>
        <w:t>10</w:t>
      </w:r>
      <w:r>
        <w:rPr>
          <w:rFonts w:ascii="Arial" w:eastAsia="Arial" w:hAnsi="Arial" w:cs="Arial"/>
          <w:color w:val="000000"/>
        </w:rPr>
        <w:t xml:space="preserve">(11), 2921. </w:t>
      </w:r>
      <w:hyperlink r:id="rId46">
        <w:r w:rsidR="003F0AB7">
          <w:rPr>
            <w:rFonts w:ascii="Arial" w:eastAsia="Arial" w:hAnsi="Arial" w:cs="Arial"/>
            <w:color w:val="FF0080"/>
            <w:u w:val="single"/>
          </w:rPr>
          <w:t>https://doi.org/10.3390/cells10112921</w:t>
        </w:r>
      </w:hyperlink>
      <w:r>
        <w:rPr>
          <w:rFonts w:ascii="Arial" w:eastAsia="Arial" w:hAnsi="Arial" w:cs="Arial"/>
          <w:color w:val="000000"/>
        </w:rPr>
        <w:t xml:space="preserve"> </w:t>
      </w:r>
    </w:p>
    <w:p w14:paraId="4687038A" w14:textId="77777777" w:rsidR="003F0AB7" w:rsidRDefault="0073180B">
      <w:pPr>
        <w:numPr>
          <w:ilvl w:val="0"/>
          <w:numId w:val="1"/>
        </w:numPr>
        <w:pBdr>
          <w:top w:val="nil"/>
          <w:left w:val="nil"/>
          <w:bottom w:val="nil"/>
          <w:right w:val="nil"/>
          <w:between w:val="nil"/>
        </w:pBdr>
        <w:spacing w:line="480" w:lineRule="auto"/>
        <w:ind w:right="79"/>
        <w:jc w:val="both"/>
        <w:rPr>
          <w:rFonts w:ascii="Arial" w:eastAsia="Arial" w:hAnsi="Arial" w:cs="Arial"/>
          <w:color w:val="000000"/>
        </w:rPr>
      </w:pPr>
      <w:r>
        <w:rPr>
          <w:rFonts w:ascii="Arial" w:eastAsia="Arial" w:hAnsi="Arial" w:cs="Arial"/>
          <w:color w:val="000000"/>
        </w:rPr>
        <w:t xml:space="preserve">Richards, J. S., &amp; </w:t>
      </w:r>
      <w:proofErr w:type="spellStart"/>
      <w:r>
        <w:rPr>
          <w:rFonts w:ascii="Arial" w:eastAsia="Arial" w:hAnsi="Arial" w:cs="Arial"/>
          <w:color w:val="000000"/>
        </w:rPr>
        <w:t>Pangas</w:t>
      </w:r>
      <w:proofErr w:type="spellEnd"/>
      <w:r>
        <w:rPr>
          <w:rFonts w:ascii="Arial" w:eastAsia="Arial" w:hAnsi="Arial" w:cs="Arial"/>
          <w:color w:val="000000"/>
        </w:rPr>
        <w:t>, S. A. (2010). The ovary: basic biology and clinical implications. </w:t>
      </w:r>
      <w:r>
        <w:rPr>
          <w:rFonts w:ascii="Arial" w:eastAsia="Arial" w:hAnsi="Arial" w:cs="Arial"/>
          <w:i/>
          <w:color w:val="000000"/>
        </w:rPr>
        <w:t>The Journal of clinical investigation</w:t>
      </w:r>
      <w:r>
        <w:rPr>
          <w:rFonts w:ascii="Arial" w:eastAsia="Arial" w:hAnsi="Arial" w:cs="Arial"/>
          <w:color w:val="000000"/>
        </w:rPr>
        <w:t>, </w:t>
      </w:r>
      <w:r>
        <w:rPr>
          <w:rFonts w:ascii="Arial" w:eastAsia="Arial" w:hAnsi="Arial" w:cs="Arial"/>
          <w:i/>
          <w:color w:val="000000"/>
        </w:rPr>
        <w:t>120</w:t>
      </w:r>
      <w:r>
        <w:rPr>
          <w:rFonts w:ascii="Arial" w:eastAsia="Arial" w:hAnsi="Arial" w:cs="Arial"/>
          <w:color w:val="000000"/>
        </w:rPr>
        <w:t xml:space="preserve">(4), 963-972. </w:t>
      </w:r>
      <w:hyperlink r:id="rId47">
        <w:r w:rsidR="003F0AB7">
          <w:rPr>
            <w:rFonts w:ascii="Arial" w:eastAsia="Arial" w:hAnsi="Arial" w:cs="Arial"/>
            <w:color w:val="FF0080"/>
            <w:u w:val="single"/>
          </w:rPr>
          <w:t>https://doi.org/10.1172/JCI41350</w:t>
        </w:r>
      </w:hyperlink>
    </w:p>
    <w:p w14:paraId="449FA15F" w14:textId="77777777" w:rsidR="003F0AB7" w:rsidRDefault="0073180B">
      <w:pPr>
        <w:numPr>
          <w:ilvl w:val="0"/>
          <w:numId w:val="1"/>
        </w:numPr>
        <w:pBdr>
          <w:top w:val="nil"/>
          <w:left w:val="nil"/>
          <w:bottom w:val="nil"/>
          <w:right w:val="nil"/>
          <w:between w:val="nil"/>
        </w:pBdr>
        <w:spacing w:line="480" w:lineRule="auto"/>
        <w:ind w:right="79"/>
        <w:jc w:val="both"/>
        <w:rPr>
          <w:rFonts w:ascii="Arial" w:eastAsia="Arial" w:hAnsi="Arial" w:cs="Arial"/>
          <w:color w:val="000000"/>
        </w:rPr>
      </w:pPr>
      <w:proofErr w:type="spellStart"/>
      <w:r>
        <w:rPr>
          <w:rFonts w:ascii="Arial" w:eastAsia="Arial" w:hAnsi="Arial" w:cs="Arial"/>
          <w:color w:val="000000"/>
        </w:rPr>
        <w:t>Ristić</w:t>
      </w:r>
      <w:proofErr w:type="spellEnd"/>
      <w:r>
        <w:rPr>
          <w:rFonts w:ascii="Arial" w:eastAsia="Arial" w:hAnsi="Arial" w:cs="Arial"/>
          <w:color w:val="000000"/>
        </w:rPr>
        <w:t xml:space="preserve">, N., </w:t>
      </w:r>
      <w:proofErr w:type="spellStart"/>
      <w:r>
        <w:rPr>
          <w:rFonts w:ascii="Arial" w:eastAsia="Arial" w:hAnsi="Arial" w:cs="Arial"/>
          <w:color w:val="000000"/>
        </w:rPr>
        <w:t>Nestorović</w:t>
      </w:r>
      <w:proofErr w:type="spellEnd"/>
      <w:r>
        <w:rPr>
          <w:rFonts w:ascii="Arial" w:eastAsia="Arial" w:hAnsi="Arial" w:cs="Arial"/>
          <w:color w:val="000000"/>
        </w:rPr>
        <w:t xml:space="preserve">, N., </w:t>
      </w:r>
      <w:proofErr w:type="spellStart"/>
      <w:r>
        <w:rPr>
          <w:rFonts w:ascii="Arial" w:eastAsia="Arial" w:hAnsi="Arial" w:cs="Arial"/>
          <w:color w:val="000000"/>
        </w:rPr>
        <w:t>Manojlović</w:t>
      </w:r>
      <w:r>
        <w:rPr>
          <w:rFonts w:ascii="Cambria Math" w:eastAsia="Cambria Math" w:hAnsi="Cambria Math" w:cs="Cambria Math"/>
          <w:color w:val="000000"/>
        </w:rPr>
        <w:t>‐</w:t>
      </w:r>
      <w:r>
        <w:rPr>
          <w:rFonts w:ascii="Arial" w:eastAsia="Arial" w:hAnsi="Arial" w:cs="Arial"/>
          <w:color w:val="000000"/>
        </w:rPr>
        <w:t>Stojanoski</w:t>
      </w:r>
      <w:proofErr w:type="spellEnd"/>
      <w:r>
        <w:rPr>
          <w:rFonts w:ascii="Arial" w:eastAsia="Arial" w:hAnsi="Arial" w:cs="Arial"/>
          <w:color w:val="000000"/>
        </w:rPr>
        <w:t xml:space="preserve">, M., </w:t>
      </w:r>
      <w:proofErr w:type="spellStart"/>
      <w:r>
        <w:rPr>
          <w:rFonts w:ascii="Arial" w:eastAsia="Arial" w:hAnsi="Arial" w:cs="Arial"/>
          <w:color w:val="000000"/>
        </w:rPr>
        <w:t>Filipović</w:t>
      </w:r>
      <w:proofErr w:type="spellEnd"/>
      <w:r>
        <w:rPr>
          <w:rFonts w:ascii="Arial" w:eastAsia="Arial" w:hAnsi="Arial" w:cs="Arial"/>
          <w:color w:val="000000"/>
        </w:rPr>
        <w:t xml:space="preserve">, B., </w:t>
      </w:r>
      <w:proofErr w:type="spellStart"/>
      <w:r>
        <w:rPr>
          <w:rFonts w:ascii="Arial" w:eastAsia="Arial" w:hAnsi="Arial" w:cs="Arial"/>
          <w:color w:val="000000"/>
        </w:rPr>
        <w:t>Šošić</w:t>
      </w:r>
      <w:r>
        <w:rPr>
          <w:rFonts w:ascii="Cambria Math" w:eastAsia="Cambria Math" w:hAnsi="Cambria Math" w:cs="Cambria Math"/>
          <w:color w:val="000000"/>
        </w:rPr>
        <w:t>‐</w:t>
      </w:r>
      <w:r>
        <w:rPr>
          <w:rFonts w:ascii="Arial" w:eastAsia="Arial" w:hAnsi="Arial" w:cs="Arial"/>
          <w:color w:val="000000"/>
        </w:rPr>
        <w:t>Jurjević</w:t>
      </w:r>
      <w:proofErr w:type="spellEnd"/>
      <w:r>
        <w:rPr>
          <w:rFonts w:ascii="Arial" w:eastAsia="Arial" w:hAnsi="Arial" w:cs="Arial"/>
          <w:color w:val="000000"/>
        </w:rPr>
        <w:t xml:space="preserve">, B., </w:t>
      </w:r>
      <w:proofErr w:type="spellStart"/>
      <w:r>
        <w:rPr>
          <w:rFonts w:ascii="Arial" w:eastAsia="Arial" w:hAnsi="Arial" w:cs="Arial"/>
          <w:color w:val="000000"/>
        </w:rPr>
        <w:t>Milošević</w:t>
      </w:r>
      <w:proofErr w:type="spellEnd"/>
      <w:r>
        <w:rPr>
          <w:rFonts w:ascii="Arial" w:eastAsia="Arial" w:hAnsi="Arial" w:cs="Arial"/>
          <w:color w:val="000000"/>
        </w:rPr>
        <w:t>, V., et al. (2008). Maternal dexamethasone treatment reduces ovarian follicle number in neonatal rat offspring. </w:t>
      </w:r>
      <w:r>
        <w:rPr>
          <w:rFonts w:ascii="Arial" w:eastAsia="Arial" w:hAnsi="Arial" w:cs="Arial"/>
          <w:i/>
          <w:color w:val="000000"/>
        </w:rPr>
        <w:t>Journal of microscopy</w:t>
      </w:r>
      <w:r>
        <w:rPr>
          <w:rFonts w:ascii="Arial" w:eastAsia="Arial" w:hAnsi="Arial" w:cs="Arial"/>
          <w:color w:val="000000"/>
        </w:rPr>
        <w:t>, </w:t>
      </w:r>
      <w:r>
        <w:rPr>
          <w:rFonts w:ascii="Arial" w:eastAsia="Arial" w:hAnsi="Arial" w:cs="Arial"/>
          <w:i/>
          <w:color w:val="000000"/>
        </w:rPr>
        <w:t>232</w:t>
      </w:r>
      <w:r>
        <w:rPr>
          <w:rFonts w:ascii="Arial" w:eastAsia="Arial" w:hAnsi="Arial" w:cs="Arial"/>
          <w:color w:val="000000"/>
        </w:rPr>
        <w:t xml:space="preserve">(3), 549-557. </w:t>
      </w:r>
      <w:hyperlink r:id="rId48">
        <w:r w:rsidR="003F0AB7">
          <w:rPr>
            <w:rFonts w:ascii="Arial" w:eastAsia="Arial" w:hAnsi="Arial" w:cs="Arial"/>
            <w:color w:val="FF0080"/>
            <w:u w:val="single"/>
          </w:rPr>
          <w:t>https://doi.org/10.1111/j.1365-2818.2008.02117.x</w:t>
        </w:r>
      </w:hyperlink>
      <w:r>
        <w:rPr>
          <w:rFonts w:ascii="Arial" w:eastAsia="Arial" w:hAnsi="Arial" w:cs="Arial"/>
          <w:color w:val="000000"/>
        </w:rPr>
        <w:t xml:space="preserve"> </w:t>
      </w:r>
    </w:p>
    <w:p w14:paraId="3AFE83FE" w14:textId="77777777" w:rsidR="003F0AB7" w:rsidRDefault="0073180B">
      <w:pPr>
        <w:numPr>
          <w:ilvl w:val="0"/>
          <w:numId w:val="1"/>
        </w:numPr>
        <w:pBdr>
          <w:top w:val="nil"/>
          <w:left w:val="nil"/>
          <w:bottom w:val="nil"/>
          <w:right w:val="nil"/>
          <w:between w:val="nil"/>
        </w:pBdr>
        <w:spacing w:line="480" w:lineRule="auto"/>
        <w:ind w:right="79"/>
        <w:jc w:val="both"/>
        <w:rPr>
          <w:rFonts w:ascii="Arial" w:eastAsia="Arial" w:hAnsi="Arial" w:cs="Arial"/>
          <w:color w:val="000000"/>
        </w:rPr>
      </w:pPr>
      <w:r w:rsidRPr="00947D56">
        <w:rPr>
          <w:rFonts w:ascii="Arial" w:eastAsia="Arial" w:hAnsi="Arial" w:cs="Arial"/>
          <w:color w:val="000000"/>
          <w:lang w:val="pt-BR"/>
        </w:rPr>
        <w:t xml:space="preserve">Santos K. R. P. D., et al. </w:t>
      </w:r>
      <w:r>
        <w:rPr>
          <w:rFonts w:ascii="Arial" w:eastAsia="Arial" w:hAnsi="Arial" w:cs="Arial"/>
          <w:color w:val="000000"/>
        </w:rPr>
        <w:t xml:space="preserve">(2021). </w:t>
      </w:r>
      <w:r w:rsidRPr="00947D56">
        <w:rPr>
          <w:rFonts w:ascii="Arial" w:eastAsia="Arial" w:hAnsi="Arial" w:cs="Arial"/>
          <w:color w:val="000000"/>
          <w:lang w:val="pt-BR"/>
        </w:rPr>
        <w:t xml:space="preserve">Manual de técnica histológica de rotina e de colorações. </w:t>
      </w:r>
      <w:proofErr w:type="spellStart"/>
      <w:r>
        <w:rPr>
          <w:rFonts w:ascii="Arial" w:eastAsia="Arial" w:hAnsi="Arial" w:cs="Arial"/>
          <w:color w:val="000000"/>
        </w:rPr>
        <w:t>Universidade</w:t>
      </w:r>
      <w:proofErr w:type="spellEnd"/>
      <w:r>
        <w:rPr>
          <w:rFonts w:ascii="Arial" w:eastAsia="Arial" w:hAnsi="Arial" w:cs="Arial"/>
          <w:color w:val="000000"/>
        </w:rPr>
        <w:t xml:space="preserve"> Federal de Pernambuco.  </w:t>
      </w:r>
    </w:p>
    <w:p w14:paraId="511A6FE1" w14:textId="77777777" w:rsidR="003F0AB7" w:rsidRDefault="0073180B">
      <w:pPr>
        <w:numPr>
          <w:ilvl w:val="0"/>
          <w:numId w:val="1"/>
        </w:numPr>
        <w:pBdr>
          <w:top w:val="nil"/>
          <w:left w:val="nil"/>
          <w:bottom w:val="nil"/>
          <w:right w:val="nil"/>
          <w:between w:val="nil"/>
        </w:pBdr>
        <w:spacing w:line="480" w:lineRule="auto"/>
        <w:ind w:right="79"/>
        <w:jc w:val="both"/>
        <w:rPr>
          <w:rFonts w:ascii="Arial" w:eastAsia="Arial" w:hAnsi="Arial" w:cs="Arial"/>
          <w:color w:val="000000"/>
        </w:rPr>
      </w:pPr>
      <w:proofErr w:type="spellStart"/>
      <w:r>
        <w:rPr>
          <w:rFonts w:ascii="Arial" w:eastAsia="Arial" w:hAnsi="Arial" w:cs="Arial"/>
          <w:color w:val="000000"/>
        </w:rPr>
        <w:t>Sasson</w:t>
      </w:r>
      <w:proofErr w:type="spellEnd"/>
      <w:r>
        <w:rPr>
          <w:rFonts w:ascii="Arial" w:eastAsia="Arial" w:hAnsi="Arial" w:cs="Arial"/>
          <w:color w:val="000000"/>
        </w:rPr>
        <w:t xml:space="preserve">, R., Winder, N., </w:t>
      </w:r>
      <w:proofErr w:type="spellStart"/>
      <w:r>
        <w:rPr>
          <w:rFonts w:ascii="Arial" w:eastAsia="Arial" w:hAnsi="Arial" w:cs="Arial"/>
          <w:color w:val="000000"/>
        </w:rPr>
        <w:t>Kees</w:t>
      </w:r>
      <w:proofErr w:type="spellEnd"/>
      <w:r>
        <w:rPr>
          <w:rFonts w:ascii="Arial" w:eastAsia="Arial" w:hAnsi="Arial" w:cs="Arial"/>
          <w:color w:val="000000"/>
        </w:rPr>
        <w:t>, S., &amp; Amsterdam, A. (2002). Induction of apoptosis in granulosa cells by TNFα and its attenuation by glucocorticoids involve modulation of Bcl-2. </w:t>
      </w:r>
      <w:r>
        <w:rPr>
          <w:rFonts w:ascii="Arial" w:eastAsia="Arial" w:hAnsi="Arial" w:cs="Arial"/>
          <w:i/>
          <w:color w:val="000000"/>
        </w:rPr>
        <w:t>Biochemical and biophysical research communications</w:t>
      </w:r>
      <w:r>
        <w:rPr>
          <w:rFonts w:ascii="Arial" w:eastAsia="Arial" w:hAnsi="Arial" w:cs="Arial"/>
          <w:color w:val="000000"/>
        </w:rPr>
        <w:t>, </w:t>
      </w:r>
      <w:r>
        <w:rPr>
          <w:rFonts w:ascii="Arial" w:eastAsia="Arial" w:hAnsi="Arial" w:cs="Arial"/>
          <w:i/>
          <w:color w:val="000000"/>
        </w:rPr>
        <w:t>294</w:t>
      </w:r>
      <w:r>
        <w:rPr>
          <w:rFonts w:ascii="Arial" w:eastAsia="Arial" w:hAnsi="Arial" w:cs="Arial"/>
          <w:color w:val="000000"/>
        </w:rPr>
        <w:t xml:space="preserve">(1), 51-59. </w:t>
      </w:r>
      <w:hyperlink r:id="rId49">
        <w:r w:rsidR="003F0AB7">
          <w:rPr>
            <w:rFonts w:ascii="Arial" w:eastAsia="Arial" w:hAnsi="Arial" w:cs="Arial"/>
            <w:color w:val="FF0080"/>
            <w:u w:val="single"/>
          </w:rPr>
          <w:t>https://doi.org/10.1016/S0006-291X(02)00431-X</w:t>
        </w:r>
      </w:hyperlink>
    </w:p>
    <w:p w14:paraId="7E42E4F3" w14:textId="77777777" w:rsidR="003F0AB7" w:rsidRDefault="0073180B">
      <w:pPr>
        <w:numPr>
          <w:ilvl w:val="0"/>
          <w:numId w:val="1"/>
        </w:numPr>
        <w:pBdr>
          <w:top w:val="nil"/>
          <w:left w:val="nil"/>
          <w:bottom w:val="nil"/>
          <w:right w:val="nil"/>
          <w:between w:val="nil"/>
        </w:pBdr>
        <w:spacing w:line="480" w:lineRule="auto"/>
        <w:ind w:right="79"/>
        <w:jc w:val="both"/>
        <w:rPr>
          <w:rFonts w:ascii="Arial" w:eastAsia="Arial" w:hAnsi="Arial" w:cs="Arial"/>
          <w:color w:val="000000"/>
        </w:rPr>
      </w:pPr>
      <w:proofErr w:type="spellStart"/>
      <w:r>
        <w:rPr>
          <w:rFonts w:ascii="Arial" w:eastAsia="Arial" w:hAnsi="Arial" w:cs="Arial"/>
          <w:color w:val="000000"/>
        </w:rPr>
        <w:t>Shorr</w:t>
      </w:r>
      <w:proofErr w:type="spellEnd"/>
      <w:r>
        <w:rPr>
          <w:rFonts w:ascii="Arial" w:eastAsia="Arial" w:hAnsi="Arial" w:cs="Arial"/>
          <w:color w:val="000000"/>
        </w:rPr>
        <w:t>, E. (1941). A new technic for staining vaginal smears: III, a single differential stain. </w:t>
      </w:r>
      <w:r>
        <w:rPr>
          <w:rFonts w:ascii="Arial" w:eastAsia="Arial" w:hAnsi="Arial" w:cs="Arial"/>
          <w:i/>
          <w:color w:val="000000"/>
        </w:rPr>
        <w:t>Science</w:t>
      </w:r>
      <w:r>
        <w:rPr>
          <w:rFonts w:ascii="Arial" w:eastAsia="Arial" w:hAnsi="Arial" w:cs="Arial"/>
          <w:color w:val="000000"/>
        </w:rPr>
        <w:t>, </w:t>
      </w:r>
      <w:r>
        <w:rPr>
          <w:rFonts w:ascii="Arial" w:eastAsia="Arial" w:hAnsi="Arial" w:cs="Arial"/>
          <w:i/>
          <w:color w:val="000000"/>
        </w:rPr>
        <w:t>94</w:t>
      </w:r>
      <w:r>
        <w:rPr>
          <w:rFonts w:ascii="Arial" w:eastAsia="Arial" w:hAnsi="Arial" w:cs="Arial"/>
          <w:color w:val="000000"/>
        </w:rPr>
        <w:t xml:space="preserve">(2449), 545-546. </w:t>
      </w:r>
      <w:hyperlink r:id="rId50">
        <w:r w:rsidR="003F0AB7">
          <w:rPr>
            <w:rFonts w:ascii="Arial" w:eastAsia="Arial" w:hAnsi="Arial" w:cs="Arial"/>
            <w:color w:val="000000"/>
          </w:rPr>
          <w:t xml:space="preserve"> </w:t>
        </w:r>
      </w:hyperlink>
      <w:hyperlink r:id="rId51">
        <w:r w:rsidR="003F0AB7">
          <w:rPr>
            <w:rFonts w:ascii="Arial" w:eastAsia="Arial" w:hAnsi="Arial" w:cs="Arial"/>
            <w:color w:val="FF0080"/>
            <w:u w:val="single"/>
          </w:rPr>
          <w:t>https://doi.org/10.1126/science.94.2449.545.</w:t>
        </w:r>
      </w:hyperlink>
    </w:p>
    <w:p w14:paraId="675632CA" w14:textId="77777777" w:rsidR="008D534A" w:rsidRDefault="008D534A" w:rsidP="008D534A">
      <w:pPr>
        <w:numPr>
          <w:ilvl w:val="0"/>
          <w:numId w:val="1"/>
        </w:numPr>
        <w:spacing w:line="480" w:lineRule="auto"/>
        <w:ind w:right="79"/>
        <w:jc w:val="both"/>
        <w:rPr>
          <w:rFonts w:ascii="Arial" w:eastAsia="Arial" w:hAnsi="Arial" w:cs="Arial"/>
          <w:color w:val="212121"/>
          <w:highlight w:val="yellow"/>
        </w:rPr>
      </w:pPr>
      <w:r w:rsidRPr="00A97769">
        <w:rPr>
          <w:rFonts w:ascii="Arial" w:eastAsia="Arial" w:hAnsi="Arial" w:cs="Arial"/>
          <w:color w:val="212121"/>
          <w:highlight w:val="yellow"/>
          <w:lang w:val="pt-BR"/>
        </w:rPr>
        <w:t xml:space="preserve">Silva, J. R., Lima, F. E., Souza, A. L., &amp; Silva, A. W. (2020). </w:t>
      </w:r>
      <w:r w:rsidRPr="00A97769">
        <w:rPr>
          <w:rFonts w:ascii="Arial" w:eastAsia="Arial" w:hAnsi="Arial" w:cs="Arial"/>
          <w:color w:val="212121"/>
          <w:highlight w:val="yellow"/>
        </w:rPr>
        <w:t>Interleukin-1β and TNF-α systems in ovarian follicles and their roles during follicular development, oocyte maturation and ovulation. </w:t>
      </w:r>
      <w:r w:rsidRPr="00A97769">
        <w:rPr>
          <w:rFonts w:ascii="Arial" w:eastAsia="Arial" w:hAnsi="Arial" w:cs="Arial"/>
          <w:i/>
          <w:iCs/>
          <w:color w:val="212121"/>
          <w:highlight w:val="yellow"/>
        </w:rPr>
        <w:t>Zygote</w:t>
      </w:r>
      <w:r w:rsidRPr="00A97769">
        <w:rPr>
          <w:rFonts w:ascii="Arial" w:eastAsia="Arial" w:hAnsi="Arial" w:cs="Arial"/>
          <w:color w:val="212121"/>
          <w:highlight w:val="yellow"/>
        </w:rPr>
        <w:t>, </w:t>
      </w:r>
      <w:r w:rsidRPr="00A97769">
        <w:rPr>
          <w:rFonts w:ascii="Arial" w:eastAsia="Arial" w:hAnsi="Arial" w:cs="Arial"/>
          <w:i/>
          <w:iCs/>
          <w:color w:val="212121"/>
          <w:highlight w:val="yellow"/>
        </w:rPr>
        <w:t>28</w:t>
      </w:r>
      <w:r w:rsidRPr="00A97769">
        <w:rPr>
          <w:rFonts w:ascii="Arial" w:eastAsia="Arial" w:hAnsi="Arial" w:cs="Arial"/>
          <w:color w:val="212121"/>
          <w:highlight w:val="yellow"/>
        </w:rPr>
        <w:t xml:space="preserve">(4), 270-277. </w:t>
      </w:r>
      <w:hyperlink r:id="rId52">
        <w:r>
          <w:rPr>
            <w:rFonts w:ascii="Arial" w:eastAsia="Arial" w:hAnsi="Arial" w:cs="Arial"/>
            <w:color w:val="1155CC"/>
            <w:highlight w:val="yellow"/>
            <w:u w:val="single"/>
          </w:rPr>
          <w:t>https://doi.org/10.1017/s0967199420000222</w:t>
        </w:r>
      </w:hyperlink>
      <w:r>
        <w:rPr>
          <w:rFonts w:ascii="Arial" w:eastAsia="Arial" w:hAnsi="Arial" w:cs="Arial"/>
          <w:color w:val="212121"/>
          <w:highlight w:val="yellow"/>
        </w:rPr>
        <w:t>.</w:t>
      </w:r>
    </w:p>
    <w:p w14:paraId="70E75A9A" w14:textId="77777777" w:rsidR="003F0AB7" w:rsidRDefault="0073180B">
      <w:pPr>
        <w:numPr>
          <w:ilvl w:val="0"/>
          <w:numId w:val="1"/>
        </w:numPr>
        <w:pBdr>
          <w:top w:val="nil"/>
          <w:left w:val="nil"/>
          <w:bottom w:val="nil"/>
          <w:right w:val="nil"/>
          <w:between w:val="nil"/>
        </w:pBdr>
        <w:spacing w:line="480" w:lineRule="auto"/>
        <w:ind w:right="79"/>
        <w:jc w:val="both"/>
        <w:rPr>
          <w:rFonts w:ascii="Arial" w:eastAsia="Arial" w:hAnsi="Arial" w:cs="Arial"/>
          <w:color w:val="000000"/>
        </w:rPr>
      </w:pPr>
      <w:proofErr w:type="spellStart"/>
      <w:r>
        <w:rPr>
          <w:rFonts w:ascii="Arial" w:eastAsia="Arial" w:hAnsi="Arial" w:cs="Arial"/>
          <w:color w:val="000000"/>
        </w:rPr>
        <w:lastRenderedPageBreak/>
        <w:t>Sima</w:t>
      </w:r>
      <w:proofErr w:type="spellEnd"/>
      <w:r>
        <w:rPr>
          <w:rFonts w:ascii="Arial" w:eastAsia="Arial" w:hAnsi="Arial" w:cs="Arial"/>
          <w:color w:val="000000"/>
        </w:rPr>
        <w:t xml:space="preserve">, C., </w:t>
      </w:r>
      <w:proofErr w:type="spellStart"/>
      <w:r>
        <w:rPr>
          <w:rFonts w:ascii="Arial" w:eastAsia="Arial" w:hAnsi="Arial" w:cs="Arial"/>
          <w:color w:val="000000"/>
        </w:rPr>
        <w:t>Aboodi</w:t>
      </w:r>
      <w:proofErr w:type="spellEnd"/>
      <w:r>
        <w:rPr>
          <w:rFonts w:ascii="Arial" w:eastAsia="Arial" w:hAnsi="Arial" w:cs="Arial"/>
          <w:color w:val="000000"/>
        </w:rPr>
        <w:t xml:space="preserve">, G. M., </w:t>
      </w:r>
      <w:proofErr w:type="spellStart"/>
      <w:r>
        <w:rPr>
          <w:rFonts w:ascii="Arial" w:eastAsia="Arial" w:hAnsi="Arial" w:cs="Arial"/>
          <w:color w:val="000000"/>
        </w:rPr>
        <w:t>Lakschevitz</w:t>
      </w:r>
      <w:proofErr w:type="spellEnd"/>
      <w:r>
        <w:rPr>
          <w:rFonts w:ascii="Arial" w:eastAsia="Arial" w:hAnsi="Arial" w:cs="Arial"/>
          <w:color w:val="000000"/>
        </w:rPr>
        <w:t xml:space="preserve">, F. S., Sun, C., Goldberg, M. B., &amp; </w:t>
      </w:r>
      <w:proofErr w:type="spellStart"/>
      <w:r>
        <w:rPr>
          <w:rFonts w:ascii="Arial" w:eastAsia="Arial" w:hAnsi="Arial" w:cs="Arial"/>
          <w:color w:val="000000"/>
        </w:rPr>
        <w:t>Glogauer</w:t>
      </w:r>
      <w:proofErr w:type="spellEnd"/>
      <w:r>
        <w:rPr>
          <w:rFonts w:ascii="Arial" w:eastAsia="Arial" w:hAnsi="Arial" w:cs="Arial"/>
          <w:color w:val="000000"/>
        </w:rPr>
        <w:t>, M. (2016). Nuclear factor erythroid 2-related factor 2 down-regulation in oral neutrophils is associated with periodontal oxidative damage and severe chronic periodontitis. </w:t>
      </w:r>
      <w:r>
        <w:rPr>
          <w:rFonts w:ascii="Arial" w:eastAsia="Arial" w:hAnsi="Arial" w:cs="Arial"/>
          <w:i/>
          <w:color w:val="000000"/>
        </w:rPr>
        <w:t>The American journal of pathology</w:t>
      </w:r>
      <w:r>
        <w:rPr>
          <w:rFonts w:ascii="Arial" w:eastAsia="Arial" w:hAnsi="Arial" w:cs="Arial"/>
          <w:color w:val="000000"/>
        </w:rPr>
        <w:t>, </w:t>
      </w:r>
      <w:r>
        <w:rPr>
          <w:rFonts w:ascii="Arial" w:eastAsia="Arial" w:hAnsi="Arial" w:cs="Arial"/>
          <w:i/>
          <w:color w:val="000000"/>
        </w:rPr>
        <w:t>186</w:t>
      </w:r>
      <w:r>
        <w:rPr>
          <w:rFonts w:ascii="Arial" w:eastAsia="Arial" w:hAnsi="Arial" w:cs="Arial"/>
          <w:color w:val="000000"/>
        </w:rPr>
        <w:t xml:space="preserve">(6), 1417-1426. </w:t>
      </w:r>
      <w:hyperlink r:id="rId53">
        <w:r w:rsidR="003F0AB7">
          <w:rPr>
            <w:rFonts w:ascii="Arial" w:eastAsia="Arial" w:hAnsi="Arial" w:cs="Arial"/>
            <w:color w:val="FF0080"/>
            <w:u w:val="single"/>
          </w:rPr>
          <w:t>https://doi.org/10.1016/j.ajpath.2016.01.013</w:t>
        </w:r>
      </w:hyperlink>
    </w:p>
    <w:p w14:paraId="768BC35F" w14:textId="77777777" w:rsidR="003F0AB7" w:rsidRDefault="0073180B">
      <w:pPr>
        <w:numPr>
          <w:ilvl w:val="0"/>
          <w:numId w:val="1"/>
        </w:numPr>
        <w:pBdr>
          <w:top w:val="nil"/>
          <w:left w:val="nil"/>
          <w:bottom w:val="nil"/>
          <w:right w:val="nil"/>
          <w:between w:val="nil"/>
        </w:pBdr>
        <w:spacing w:line="480" w:lineRule="auto"/>
        <w:ind w:right="79"/>
        <w:jc w:val="both"/>
        <w:rPr>
          <w:rFonts w:ascii="Arial" w:eastAsia="Arial" w:hAnsi="Arial" w:cs="Arial"/>
          <w:color w:val="000000"/>
        </w:rPr>
      </w:pPr>
      <w:r w:rsidRPr="00947D56">
        <w:rPr>
          <w:rFonts w:ascii="Arial" w:eastAsia="Arial" w:hAnsi="Arial" w:cs="Arial"/>
          <w:color w:val="000000"/>
          <w:lang w:val="pt-BR"/>
        </w:rPr>
        <w:t xml:space="preserve">Tavares, S. J. S., Pereira, C. R., Fortes, R. A. M., Alves, B. E. S., Fonteles, C. S. R., Wong, D. V. T., et al. </w:t>
      </w:r>
      <w:r>
        <w:rPr>
          <w:rFonts w:ascii="Arial" w:eastAsia="Arial" w:hAnsi="Arial" w:cs="Arial"/>
          <w:color w:val="000000"/>
        </w:rPr>
        <w:t xml:space="preserve">(2024). </w:t>
      </w:r>
      <w:proofErr w:type="spellStart"/>
      <w:r>
        <w:rPr>
          <w:rFonts w:ascii="Arial" w:eastAsia="Arial" w:hAnsi="Arial" w:cs="Arial"/>
          <w:color w:val="000000"/>
        </w:rPr>
        <w:t>Umbelliferone</w:t>
      </w:r>
      <w:proofErr w:type="spellEnd"/>
      <w:r>
        <w:rPr>
          <w:rFonts w:ascii="Arial" w:eastAsia="Arial" w:hAnsi="Arial" w:cs="Arial"/>
          <w:color w:val="000000"/>
        </w:rPr>
        <w:t xml:space="preserve"> reduces inflammation and ligature</w:t>
      </w:r>
      <w:r>
        <w:rPr>
          <w:rFonts w:ascii="Cambria Math" w:eastAsia="Cambria Math" w:hAnsi="Cambria Math" w:cs="Cambria Math"/>
          <w:color w:val="000000"/>
        </w:rPr>
        <w:t>‐</w:t>
      </w:r>
      <w:r>
        <w:rPr>
          <w:rFonts w:ascii="Arial" w:eastAsia="Arial" w:hAnsi="Arial" w:cs="Arial"/>
          <w:color w:val="000000"/>
        </w:rPr>
        <w:t xml:space="preserve">induced </w:t>
      </w:r>
      <w:proofErr w:type="spellStart"/>
      <w:r>
        <w:rPr>
          <w:rFonts w:ascii="Arial" w:eastAsia="Arial" w:hAnsi="Arial" w:cs="Arial"/>
          <w:color w:val="000000"/>
        </w:rPr>
        <w:t>osteoclastic</w:t>
      </w:r>
      <w:proofErr w:type="spellEnd"/>
      <w:r>
        <w:rPr>
          <w:rFonts w:ascii="Arial" w:eastAsia="Arial" w:hAnsi="Arial" w:cs="Arial"/>
          <w:color w:val="000000"/>
        </w:rPr>
        <w:t xml:space="preserve"> alveolar bone resorption in mice. </w:t>
      </w:r>
      <w:r>
        <w:rPr>
          <w:rFonts w:ascii="Arial" w:eastAsia="Arial" w:hAnsi="Arial" w:cs="Arial"/>
          <w:i/>
          <w:color w:val="000000"/>
        </w:rPr>
        <w:t>Journal of Periodontal Research</w:t>
      </w:r>
      <w:r>
        <w:rPr>
          <w:rFonts w:ascii="Arial" w:eastAsia="Arial" w:hAnsi="Arial" w:cs="Arial"/>
          <w:color w:val="000000"/>
        </w:rPr>
        <w:t xml:space="preserve">, 59, 982-992. </w:t>
      </w:r>
      <w:hyperlink r:id="rId54">
        <w:r w:rsidR="003F0AB7">
          <w:rPr>
            <w:rFonts w:ascii="Arial" w:eastAsia="Arial" w:hAnsi="Arial" w:cs="Arial"/>
            <w:color w:val="FF0080"/>
            <w:u w:val="single"/>
          </w:rPr>
          <w:t>https://doi.org/10.1111/jre.13277</w:t>
        </w:r>
      </w:hyperlink>
      <w:r>
        <w:rPr>
          <w:rFonts w:ascii="Arial" w:eastAsia="Arial" w:hAnsi="Arial" w:cs="Arial"/>
          <w:color w:val="000000"/>
        </w:rPr>
        <w:t xml:space="preserve"> </w:t>
      </w:r>
    </w:p>
    <w:p w14:paraId="6AD31669" w14:textId="77777777" w:rsidR="003F0AB7" w:rsidRDefault="0073180B">
      <w:pPr>
        <w:numPr>
          <w:ilvl w:val="0"/>
          <w:numId w:val="1"/>
        </w:numPr>
        <w:pBdr>
          <w:top w:val="nil"/>
          <w:left w:val="nil"/>
          <w:bottom w:val="nil"/>
          <w:right w:val="nil"/>
          <w:between w:val="nil"/>
        </w:pBdr>
        <w:spacing w:line="480" w:lineRule="auto"/>
        <w:ind w:right="79"/>
        <w:jc w:val="both"/>
        <w:rPr>
          <w:rFonts w:ascii="Arial" w:eastAsia="Arial" w:hAnsi="Arial" w:cs="Arial"/>
          <w:color w:val="000000"/>
        </w:rPr>
      </w:pPr>
      <w:r w:rsidRPr="00947D56">
        <w:rPr>
          <w:rFonts w:ascii="Arial" w:eastAsia="Arial" w:hAnsi="Arial" w:cs="Arial"/>
          <w:color w:val="000000"/>
          <w:lang w:val="pt-BR"/>
        </w:rPr>
        <w:t xml:space="preserve">Torres, R. C., Insuela, D. B. R., &amp; Carvalho, V. D. F. (2012). Mecanismos celulares e moleculares da ação antiinflamatória dos glicocorticoides. </w:t>
      </w:r>
      <w:r>
        <w:rPr>
          <w:rFonts w:ascii="Arial" w:eastAsia="Arial" w:hAnsi="Arial" w:cs="Arial"/>
          <w:i/>
          <w:color w:val="000000"/>
        </w:rPr>
        <w:t xml:space="preserve">Corpus et </w:t>
      </w:r>
      <w:proofErr w:type="spellStart"/>
      <w:r>
        <w:rPr>
          <w:rFonts w:ascii="Arial" w:eastAsia="Arial" w:hAnsi="Arial" w:cs="Arial"/>
          <w:i/>
          <w:color w:val="000000"/>
        </w:rPr>
        <w:t>Scientia</w:t>
      </w:r>
      <w:proofErr w:type="spellEnd"/>
      <w:r>
        <w:rPr>
          <w:rFonts w:ascii="Arial" w:eastAsia="Arial" w:hAnsi="Arial" w:cs="Arial"/>
          <w:color w:val="000000"/>
        </w:rPr>
        <w:t>, 8(2), 36-51.</w:t>
      </w:r>
    </w:p>
    <w:p w14:paraId="3F0FA092" w14:textId="77777777" w:rsidR="003F0AB7" w:rsidRDefault="0073180B">
      <w:pPr>
        <w:numPr>
          <w:ilvl w:val="0"/>
          <w:numId w:val="1"/>
        </w:numPr>
        <w:pBdr>
          <w:top w:val="nil"/>
          <w:left w:val="nil"/>
          <w:bottom w:val="nil"/>
          <w:right w:val="nil"/>
          <w:between w:val="nil"/>
        </w:pBdr>
        <w:spacing w:line="480" w:lineRule="auto"/>
        <w:ind w:right="79"/>
        <w:jc w:val="both"/>
        <w:rPr>
          <w:rFonts w:ascii="Arial" w:eastAsia="Arial" w:hAnsi="Arial" w:cs="Arial"/>
          <w:color w:val="000000"/>
        </w:rPr>
      </w:pPr>
      <w:r>
        <w:rPr>
          <w:rFonts w:ascii="Arial" w:eastAsia="Arial" w:hAnsi="Arial" w:cs="Arial"/>
          <w:color w:val="000000"/>
        </w:rPr>
        <w:t>Varley M. Stress and reproduction (1991). Pig News and Information (United Kingdom), 2(4), 567-571.</w:t>
      </w:r>
    </w:p>
    <w:p w14:paraId="558FE691" w14:textId="77777777" w:rsidR="003F0AB7" w:rsidRDefault="0073180B">
      <w:pPr>
        <w:numPr>
          <w:ilvl w:val="0"/>
          <w:numId w:val="1"/>
        </w:numPr>
        <w:pBdr>
          <w:top w:val="nil"/>
          <w:left w:val="nil"/>
          <w:bottom w:val="nil"/>
          <w:right w:val="nil"/>
          <w:between w:val="nil"/>
        </w:pBdr>
        <w:spacing w:line="480" w:lineRule="auto"/>
        <w:ind w:right="79"/>
        <w:jc w:val="both"/>
        <w:rPr>
          <w:rFonts w:ascii="Arial" w:eastAsia="Arial" w:hAnsi="Arial" w:cs="Arial"/>
          <w:color w:val="000000"/>
        </w:rPr>
      </w:pPr>
      <w:proofErr w:type="spellStart"/>
      <w:r>
        <w:rPr>
          <w:rFonts w:ascii="Arial" w:eastAsia="Arial" w:hAnsi="Arial" w:cs="Arial"/>
          <w:color w:val="000000"/>
        </w:rPr>
        <w:t>Waage</w:t>
      </w:r>
      <w:proofErr w:type="spellEnd"/>
      <w:r>
        <w:rPr>
          <w:rFonts w:ascii="Arial" w:eastAsia="Arial" w:hAnsi="Arial" w:cs="Arial"/>
          <w:color w:val="000000"/>
        </w:rPr>
        <w:t xml:space="preserve">, A., &amp; Bakke, O. (1988). Glucocorticoids suppress the production of </w:t>
      </w:r>
      <w:proofErr w:type="spellStart"/>
      <w:r>
        <w:rPr>
          <w:rFonts w:ascii="Arial" w:eastAsia="Arial" w:hAnsi="Arial" w:cs="Arial"/>
          <w:color w:val="000000"/>
        </w:rPr>
        <w:t>tumour</w:t>
      </w:r>
      <w:proofErr w:type="spellEnd"/>
      <w:r>
        <w:rPr>
          <w:rFonts w:ascii="Arial" w:eastAsia="Arial" w:hAnsi="Arial" w:cs="Arial"/>
          <w:color w:val="000000"/>
        </w:rPr>
        <w:t xml:space="preserve"> necrosis factor by lipopolysaccharide-stimulated human monocytes. </w:t>
      </w:r>
      <w:r>
        <w:rPr>
          <w:rFonts w:ascii="Arial" w:eastAsia="Arial" w:hAnsi="Arial" w:cs="Arial"/>
          <w:i/>
          <w:color w:val="000000"/>
        </w:rPr>
        <w:t>Immunology</w:t>
      </w:r>
      <w:r>
        <w:rPr>
          <w:rFonts w:ascii="Arial" w:eastAsia="Arial" w:hAnsi="Arial" w:cs="Arial"/>
          <w:color w:val="000000"/>
        </w:rPr>
        <w:t>, </w:t>
      </w:r>
      <w:r>
        <w:rPr>
          <w:rFonts w:ascii="Arial" w:eastAsia="Arial" w:hAnsi="Arial" w:cs="Arial"/>
          <w:i/>
          <w:color w:val="000000"/>
        </w:rPr>
        <w:t>63</w:t>
      </w:r>
      <w:r>
        <w:rPr>
          <w:rFonts w:ascii="Arial" w:eastAsia="Arial" w:hAnsi="Arial" w:cs="Arial"/>
          <w:color w:val="000000"/>
        </w:rPr>
        <w:t>(2), 299-302.</w:t>
      </w:r>
    </w:p>
    <w:p w14:paraId="0C8D273D" w14:textId="77777777" w:rsidR="003F0AB7" w:rsidRDefault="00A97769">
      <w:pPr>
        <w:numPr>
          <w:ilvl w:val="0"/>
          <w:numId w:val="1"/>
        </w:numPr>
        <w:spacing w:line="480" w:lineRule="auto"/>
        <w:ind w:right="79"/>
        <w:jc w:val="both"/>
        <w:rPr>
          <w:rFonts w:ascii="Arial" w:eastAsia="Arial" w:hAnsi="Arial" w:cs="Arial"/>
          <w:color w:val="212121"/>
          <w:highlight w:val="yellow"/>
        </w:rPr>
      </w:pPr>
      <w:r w:rsidRPr="00A97769">
        <w:rPr>
          <w:rFonts w:ascii="Arial" w:eastAsia="Arial" w:hAnsi="Arial" w:cs="Arial"/>
          <w:color w:val="212121"/>
          <w:highlight w:val="yellow"/>
        </w:rPr>
        <w:t xml:space="preserve">Wang, R. P. H., Huang, J., Chan, K. W. Y., Leung, W. K., </w:t>
      </w:r>
      <w:proofErr w:type="spellStart"/>
      <w:r w:rsidRPr="00A97769">
        <w:rPr>
          <w:rFonts w:ascii="Arial" w:eastAsia="Arial" w:hAnsi="Arial" w:cs="Arial"/>
          <w:color w:val="212121"/>
          <w:highlight w:val="yellow"/>
        </w:rPr>
        <w:t>Goto</w:t>
      </w:r>
      <w:proofErr w:type="spellEnd"/>
      <w:r w:rsidRPr="00A97769">
        <w:rPr>
          <w:rFonts w:ascii="Arial" w:eastAsia="Arial" w:hAnsi="Arial" w:cs="Arial"/>
          <w:color w:val="212121"/>
          <w:highlight w:val="yellow"/>
        </w:rPr>
        <w:t>, T., Ho, Y. S., &amp; Chang, R. C. C. (2023). IL-1β and TNF-α play an important role in modulating the risk of periodontitis and Alzheimer’s disease. </w:t>
      </w:r>
      <w:r w:rsidRPr="00A97769">
        <w:rPr>
          <w:rFonts w:ascii="Arial" w:eastAsia="Arial" w:hAnsi="Arial" w:cs="Arial"/>
          <w:i/>
          <w:iCs/>
          <w:color w:val="212121"/>
          <w:highlight w:val="yellow"/>
        </w:rPr>
        <w:t xml:space="preserve">Journal of </w:t>
      </w:r>
      <w:proofErr w:type="spellStart"/>
      <w:r w:rsidRPr="00A97769">
        <w:rPr>
          <w:rFonts w:ascii="Arial" w:eastAsia="Arial" w:hAnsi="Arial" w:cs="Arial"/>
          <w:i/>
          <w:iCs/>
          <w:color w:val="212121"/>
          <w:highlight w:val="yellow"/>
        </w:rPr>
        <w:t>neuroinflammation</w:t>
      </w:r>
      <w:proofErr w:type="spellEnd"/>
      <w:r w:rsidRPr="00A97769">
        <w:rPr>
          <w:rFonts w:ascii="Arial" w:eastAsia="Arial" w:hAnsi="Arial" w:cs="Arial"/>
          <w:color w:val="212121"/>
          <w:highlight w:val="yellow"/>
        </w:rPr>
        <w:t>, </w:t>
      </w:r>
      <w:r w:rsidRPr="00A97769">
        <w:rPr>
          <w:rFonts w:ascii="Arial" w:eastAsia="Arial" w:hAnsi="Arial" w:cs="Arial"/>
          <w:i/>
          <w:iCs/>
          <w:color w:val="212121"/>
          <w:highlight w:val="yellow"/>
        </w:rPr>
        <w:t>20</w:t>
      </w:r>
      <w:r w:rsidRPr="00A97769">
        <w:rPr>
          <w:rFonts w:ascii="Arial" w:eastAsia="Arial" w:hAnsi="Arial" w:cs="Arial"/>
          <w:color w:val="212121"/>
          <w:highlight w:val="yellow"/>
        </w:rPr>
        <w:t xml:space="preserve">(1), 71. </w:t>
      </w:r>
      <w:hyperlink r:id="rId55">
        <w:r>
          <w:rPr>
            <w:rFonts w:ascii="Arial" w:eastAsia="Arial" w:hAnsi="Arial" w:cs="Arial"/>
            <w:color w:val="1155CC"/>
            <w:highlight w:val="yellow"/>
            <w:u w:val="single"/>
          </w:rPr>
          <w:t>https://doi.org/10.1186/s12974-023-02747-4</w:t>
        </w:r>
      </w:hyperlink>
      <w:r>
        <w:rPr>
          <w:rFonts w:ascii="Arial" w:eastAsia="Arial" w:hAnsi="Arial" w:cs="Arial"/>
          <w:color w:val="212121"/>
          <w:highlight w:val="yellow"/>
        </w:rPr>
        <w:t>.</w:t>
      </w:r>
    </w:p>
    <w:p w14:paraId="1E270B7B" w14:textId="77777777" w:rsidR="003F0AB7" w:rsidRDefault="0073180B">
      <w:pPr>
        <w:numPr>
          <w:ilvl w:val="0"/>
          <w:numId w:val="1"/>
        </w:numPr>
        <w:pBdr>
          <w:top w:val="nil"/>
          <w:left w:val="nil"/>
          <w:bottom w:val="nil"/>
          <w:right w:val="nil"/>
          <w:between w:val="nil"/>
        </w:pBdr>
        <w:spacing w:line="480" w:lineRule="auto"/>
        <w:jc w:val="both"/>
        <w:rPr>
          <w:rFonts w:ascii="Arial" w:eastAsia="Arial" w:hAnsi="Arial" w:cs="Arial"/>
          <w:color w:val="000000"/>
        </w:rPr>
      </w:pPr>
      <w:r>
        <w:rPr>
          <w:rFonts w:ascii="Arial" w:eastAsia="Arial" w:hAnsi="Arial" w:cs="Arial"/>
          <w:color w:val="000000"/>
        </w:rPr>
        <w:t>Williams, D. M. (2018). Clinical pharmacology of corticosteroids. </w:t>
      </w:r>
      <w:r>
        <w:rPr>
          <w:rFonts w:ascii="Arial" w:eastAsia="Arial" w:hAnsi="Arial" w:cs="Arial"/>
          <w:i/>
          <w:color w:val="000000"/>
        </w:rPr>
        <w:t>Respiratory care</w:t>
      </w:r>
      <w:r>
        <w:rPr>
          <w:rFonts w:ascii="Arial" w:eastAsia="Arial" w:hAnsi="Arial" w:cs="Arial"/>
          <w:color w:val="000000"/>
        </w:rPr>
        <w:t>, </w:t>
      </w:r>
      <w:r>
        <w:rPr>
          <w:rFonts w:ascii="Arial" w:eastAsia="Arial" w:hAnsi="Arial" w:cs="Arial"/>
          <w:i/>
          <w:color w:val="000000"/>
        </w:rPr>
        <w:t>63</w:t>
      </w:r>
      <w:r>
        <w:rPr>
          <w:rFonts w:ascii="Arial" w:eastAsia="Arial" w:hAnsi="Arial" w:cs="Arial"/>
          <w:color w:val="000000"/>
        </w:rPr>
        <w:t xml:space="preserve">(6), 655-670. </w:t>
      </w:r>
      <w:hyperlink r:id="rId56">
        <w:r w:rsidR="003F0AB7">
          <w:rPr>
            <w:rFonts w:ascii="Arial" w:eastAsia="Arial" w:hAnsi="Arial" w:cs="Arial"/>
            <w:color w:val="FF0080"/>
            <w:u w:val="single"/>
          </w:rPr>
          <w:t>https://doi.org/10.4187/respcare.06314</w:t>
        </w:r>
      </w:hyperlink>
      <w:r>
        <w:rPr>
          <w:rFonts w:ascii="Arial" w:eastAsia="Arial" w:hAnsi="Arial" w:cs="Arial"/>
          <w:color w:val="000000"/>
        </w:rPr>
        <w:t xml:space="preserve"> </w:t>
      </w:r>
    </w:p>
    <w:p w14:paraId="5AF029A0" w14:textId="77777777" w:rsidR="003F0AB7" w:rsidRDefault="0073180B">
      <w:pPr>
        <w:numPr>
          <w:ilvl w:val="0"/>
          <w:numId w:val="1"/>
        </w:numPr>
        <w:spacing w:line="480" w:lineRule="auto"/>
        <w:ind w:right="79"/>
        <w:jc w:val="both"/>
        <w:rPr>
          <w:rFonts w:ascii="Arial" w:eastAsia="Arial" w:hAnsi="Arial" w:cs="Arial"/>
        </w:rPr>
      </w:pPr>
      <w:r>
        <w:rPr>
          <w:rFonts w:ascii="Arial" w:eastAsia="Arial" w:hAnsi="Arial" w:cs="Arial"/>
          <w:color w:val="212121"/>
          <w:highlight w:val="yellow"/>
        </w:rPr>
        <w:t xml:space="preserve">World Health Organization. (2024, November 6). Oral health. World Health Organization. </w:t>
      </w:r>
      <w:hyperlink r:id="rId57">
        <w:r w:rsidR="003F0AB7">
          <w:rPr>
            <w:rFonts w:ascii="Arial" w:eastAsia="Arial" w:hAnsi="Arial" w:cs="Arial"/>
            <w:color w:val="1155CC"/>
            <w:highlight w:val="yellow"/>
            <w:u w:val="single"/>
          </w:rPr>
          <w:t>https://www.who.int/news-room/fact-sheets/detail/oral-health</w:t>
        </w:r>
      </w:hyperlink>
      <w:r>
        <w:rPr>
          <w:rFonts w:ascii="Arial" w:eastAsia="Arial" w:hAnsi="Arial" w:cs="Arial"/>
          <w:color w:val="212121"/>
          <w:highlight w:val="yellow"/>
        </w:rPr>
        <w:t>. Accessed: March 24, 2025.</w:t>
      </w:r>
    </w:p>
    <w:p w14:paraId="4A79C4F4" w14:textId="77777777" w:rsidR="003F0AB7" w:rsidRDefault="0073180B">
      <w:pPr>
        <w:numPr>
          <w:ilvl w:val="0"/>
          <w:numId w:val="1"/>
        </w:numPr>
        <w:pBdr>
          <w:top w:val="nil"/>
          <w:left w:val="nil"/>
          <w:bottom w:val="nil"/>
          <w:right w:val="nil"/>
          <w:between w:val="nil"/>
        </w:pBdr>
        <w:spacing w:line="480" w:lineRule="auto"/>
        <w:ind w:right="79"/>
        <w:jc w:val="both"/>
        <w:rPr>
          <w:rFonts w:ascii="Arial" w:eastAsia="Arial" w:hAnsi="Arial" w:cs="Arial"/>
          <w:color w:val="000000"/>
        </w:rPr>
      </w:pPr>
      <w:r>
        <w:rPr>
          <w:rFonts w:ascii="Arial" w:eastAsia="Arial" w:hAnsi="Arial" w:cs="Arial"/>
          <w:color w:val="000000"/>
        </w:rPr>
        <w:lastRenderedPageBreak/>
        <w:t>Yuan, X. H., Yang, B. Q., Hu, Y., Fan, Y. Y., Zhang, L. X., Zhou, J. C., et al. (2014). Dexamethasone altered steroidogenesis and changed redox status of granulosa cells. </w:t>
      </w:r>
      <w:r>
        <w:rPr>
          <w:rFonts w:ascii="Arial" w:eastAsia="Arial" w:hAnsi="Arial" w:cs="Arial"/>
          <w:i/>
          <w:color w:val="000000"/>
        </w:rPr>
        <w:t>Endocrine</w:t>
      </w:r>
      <w:r>
        <w:rPr>
          <w:rFonts w:ascii="Arial" w:eastAsia="Arial" w:hAnsi="Arial" w:cs="Arial"/>
          <w:color w:val="000000"/>
        </w:rPr>
        <w:t>, </w:t>
      </w:r>
      <w:r>
        <w:rPr>
          <w:rFonts w:ascii="Arial" w:eastAsia="Arial" w:hAnsi="Arial" w:cs="Arial"/>
          <w:i/>
          <w:color w:val="000000"/>
        </w:rPr>
        <w:t>47</w:t>
      </w:r>
      <w:r>
        <w:rPr>
          <w:rFonts w:ascii="Arial" w:eastAsia="Arial" w:hAnsi="Arial" w:cs="Arial"/>
          <w:color w:val="000000"/>
        </w:rPr>
        <w:t xml:space="preserve">, 639-647. </w:t>
      </w:r>
      <w:hyperlink r:id="rId58">
        <w:r w:rsidR="003F0AB7">
          <w:rPr>
            <w:rFonts w:ascii="Arial" w:eastAsia="Arial" w:hAnsi="Arial" w:cs="Arial"/>
            <w:color w:val="FF0080"/>
            <w:u w:val="single"/>
          </w:rPr>
          <w:t>https://doi.org/10.1007/s12020-014-0250-x</w:t>
        </w:r>
      </w:hyperlink>
      <w:r>
        <w:rPr>
          <w:rFonts w:ascii="Arial" w:eastAsia="Arial" w:hAnsi="Arial" w:cs="Arial"/>
          <w:color w:val="000000"/>
        </w:rPr>
        <w:t xml:space="preserve"> </w:t>
      </w:r>
    </w:p>
    <w:p w14:paraId="3C8598B6" w14:textId="77777777" w:rsidR="003F0AB7" w:rsidRDefault="003F0AB7">
      <w:pPr>
        <w:pBdr>
          <w:top w:val="nil"/>
          <w:left w:val="nil"/>
          <w:bottom w:val="nil"/>
          <w:right w:val="nil"/>
          <w:between w:val="nil"/>
        </w:pBdr>
        <w:spacing w:line="480" w:lineRule="auto"/>
        <w:ind w:right="79"/>
        <w:jc w:val="both"/>
        <w:rPr>
          <w:rFonts w:ascii="Arial" w:eastAsia="Arial" w:hAnsi="Arial" w:cs="Arial"/>
        </w:rPr>
      </w:pPr>
    </w:p>
    <w:p w14:paraId="6C405050" w14:textId="77777777" w:rsidR="003F0AB7" w:rsidRDefault="003F0AB7">
      <w:pPr>
        <w:pBdr>
          <w:top w:val="nil"/>
          <w:left w:val="nil"/>
          <w:bottom w:val="nil"/>
          <w:right w:val="nil"/>
          <w:between w:val="nil"/>
        </w:pBdr>
        <w:jc w:val="both"/>
        <w:rPr>
          <w:rFonts w:ascii="Times New Roman" w:eastAsia="Times New Roman" w:hAnsi="Times New Roman" w:cs="Times New Roman"/>
          <w:color w:val="000000"/>
        </w:rPr>
        <w:sectPr w:rsidR="003F0AB7">
          <w:headerReference w:type="even" r:id="rId59"/>
          <w:headerReference w:type="default" r:id="rId60"/>
          <w:footerReference w:type="default" r:id="rId61"/>
          <w:headerReference w:type="first" r:id="rId62"/>
          <w:type w:val="continuous"/>
          <w:pgSz w:w="12240" w:h="15840"/>
          <w:pgMar w:top="1440" w:right="2016" w:bottom="2016" w:left="2016" w:header="720" w:footer="1123" w:gutter="0"/>
          <w:cols w:space="720"/>
        </w:sectPr>
      </w:pPr>
    </w:p>
    <w:p w14:paraId="62AD66C7" w14:textId="521ED21B" w:rsidR="003F0AB7" w:rsidRPr="009273BB" w:rsidRDefault="003F0AB7" w:rsidP="00CB0C55">
      <w:pPr>
        <w:spacing w:line="480" w:lineRule="auto"/>
        <w:rPr>
          <w:rFonts w:ascii="Arial" w:eastAsia="Arial" w:hAnsi="Arial" w:cs="Arial"/>
          <w:smallCaps/>
          <w:sz w:val="24"/>
          <w:szCs w:val="24"/>
          <w:highlight w:val="yellow"/>
        </w:rPr>
      </w:pPr>
    </w:p>
    <w:sectPr w:rsidR="003F0AB7" w:rsidRPr="009273BB">
      <w:type w:val="continuous"/>
      <w:pgSz w:w="12240" w:h="15840"/>
      <w:pgMar w:top="720" w:right="720" w:bottom="720"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F81B4EC" w14:textId="77777777" w:rsidR="00FC56DC" w:rsidRDefault="00FC56DC">
      <w:r>
        <w:separator/>
      </w:r>
    </w:p>
  </w:endnote>
  <w:endnote w:type="continuationSeparator" w:id="0">
    <w:p w14:paraId="40E3ED0C" w14:textId="77777777" w:rsidR="00FC56DC" w:rsidRDefault="00FC56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Helvetica Neue">
    <w:charset w:val="00"/>
    <w:family w:val="auto"/>
    <w:pitch w:val="default"/>
    <w:embedRegular r:id="rId1" w:fontKey="{D0C988A3-3823-4CF3-B201-655D67920CD4}"/>
    <w:embedBold r:id="rId2" w:fontKey="{C25B36F7-B9BB-4A75-97F5-E5569FF64A82}"/>
    <w:embedItalic r:id="rId3" w:fontKey="{C7204381-3582-4EFF-A803-4A21922419C7}"/>
  </w:font>
  <w:font w:name="Helvetica">
    <w:panose1 w:val="020B0604020202020204"/>
    <w:charset w:val="00"/>
    <w:family w:val="swiss"/>
    <w:pitch w:val="variable"/>
    <w:sig w:usb0="E0002EFF" w:usb1="C000785B" w:usb2="00000009" w:usb3="00000000" w:csb0="000001FF" w:csb1="00000000"/>
    <w:embedRegular r:id="rId4" w:fontKey="{189EE585-63B5-48BB-A225-CDA8D92E5E28}"/>
    <w:embedBold r:id="rId5" w:fontKey="{615C7859-29F6-42B2-80D7-2E94EFFC938B}"/>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6" w:fontKey="{C7B0DE68-4BB2-406F-96A6-2D00A36E7A2E}"/>
  </w:font>
  <w:font w:name="Tahoma">
    <w:panose1 w:val="020B0604030504040204"/>
    <w:charset w:val="00"/>
    <w:family w:val="swiss"/>
    <w:pitch w:val="variable"/>
    <w:sig w:usb0="E1002EFF" w:usb1="C000605B" w:usb2="00000029" w:usb3="00000000" w:csb0="000101FF" w:csb1="00000000"/>
    <w:embedRegular r:id="rId7" w:fontKey="{4D8599E8-BEA4-468C-8ACD-DE134EC58F3E}"/>
  </w:font>
  <w:font w:name="Cambria Math">
    <w:panose1 w:val="02040503050406030204"/>
    <w:charset w:val="01"/>
    <w:family w:val="roman"/>
    <w:pitch w:val="variable"/>
    <w:sig w:usb0="E00006FF" w:usb1="420024FF" w:usb2="02000000" w:usb3="00000000" w:csb0="0000019F" w:csb1="00000000"/>
    <w:embedRegular r:id="rId8" w:fontKey="{41A57577-18B0-42DD-9DD9-B26FC8BC6463}"/>
    <w:embedItalic r:id="rId9" w:fontKey="{5299FF6C-25FF-4026-8A2B-5303DA6774FB}"/>
  </w:font>
  <w:font w:name="Cambria">
    <w:panose1 w:val="02040503050406030204"/>
    <w:charset w:val="00"/>
    <w:family w:val="roman"/>
    <w:pitch w:val="variable"/>
    <w:sig w:usb0="E00006FF" w:usb1="420024FF" w:usb2="02000000" w:usb3="00000000" w:csb0="0000019F" w:csb1="00000000"/>
    <w:embedRegular r:id="rId10" w:fontKey="{666005A2-E2B2-41B9-9EE2-95F59EFF58F3}"/>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A375F3" w14:textId="77777777" w:rsidR="003F0AB7" w:rsidRDefault="003F0AB7">
    <w:pPr>
      <w:pBdr>
        <w:top w:val="nil"/>
        <w:left w:val="nil"/>
        <w:bottom w:val="nil"/>
        <w:right w:val="nil"/>
        <w:between w:val="nil"/>
      </w:pBdr>
      <w:tabs>
        <w:tab w:val="center" w:pos="4320"/>
        <w:tab w:val="right" w:pos="8640"/>
      </w:tabs>
      <w:rPr>
        <w:rFonts w:ascii="Helvetica Neue" w:hAnsi="Helvetica Neue"/>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B090A6" w14:textId="77777777" w:rsidR="003F0AB7" w:rsidRDefault="003F0AB7">
    <w:pPr>
      <w:pBdr>
        <w:top w:val="nil"/>
        <w:left w:val="nil"/>
        <w:bottom w:val="nil"/>
        <w:right w:val="nil"/>
        <w:between w:val="nil"/>
      </w:pBdr>
      <w:tabs>
        <w:tab w:val="center" w:pos="4320"/>
        <w:tab w:val="right" w:pos="8640"/>
      </w:tabs>
      <w:rPr>
        <w:rFonts w:ascii="Helvetica Neue" w:hAnsi="Helvetica Neue"/>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E30E42" w14:textId="77777777" w:rsidR="003F0AB7" w:rsidRDefault="003F0AB7">
    <w:pPr>
      <w:pBdr>
        <w:top w:val="nil"/>
        <w:left w:val="nil"/>
        <w:bottom w:val="nil"/>
        <w:right w:val="nil"/>
        <w:between w:val="nil"/>
      </w:pBdr>
      <w:tabs>
        <w:tab w:val="center" w:pos="4320"/>
        <w:tab w:val="right" w:pos="8640"/>
      </w:tabs>
      <w:rPr>
        <w:rFonts w:ascii="Helvetica Neue" w:hAnsi="Helvetica Neue"/>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27D9A6" w14:textId="77777777" w:rsidR="003F0AB7" w:rsidRDefault="003F0AB7">
    <w:pPr>
      <w:pBdr>
        <w:top w:val="nil"/>
        <w:left w:val="nil"/>
        <w:bottom w:val="nil"/>
        <w:right w:val="nil"/>
        <w:between w:val="nil"/>
      </w:pBdr>
      <w:tabs>
        <w:tab w:val="center" w:pos="4320"/>
        <w:tab w:val="right" w:pos="8640"/>
      </w:tabs>
      <w:rPr>
        <w:rFonts w:ascii="Helvetica Neue" w:hAnsi="Helvetica Neue"/>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E7B2763" w14:textId="77777777" w:rsidR="00FC56DC" w:rsidRDefault="00FC56DC">
      <w:r>
        <w:separator/>
      </w:r>
    </w:p>
  </w:footnote>
  <w:footnote w:type="continuationSeparator" w:id="0">
    <w:p w14:paraId="568821CA" w14:textId="77777777" w:rsidR="00FC56DC" w:rsidRDefault="00FC56D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138CE7" w14:textId="77777777" w:rsidR="003F0AB7" w:rsidRDefault="0073180B">
    <w:pPr>
      <w:pBdr>
        <w:top w:val="nil"/>
        <w:left w:val="nil"/>
        <w:bottom w:val="nil"/>
        <w:right w:val="nil"/>
        <w:between w:val="nil"/>
      </w:pBdr>
      <w:tabs>
        <w:tab w:val="center" w:pos="4320"/>
        <w:tab w:val="right" w:pos="8640"/>
      </w:tabs>
      <w:rPr>
        <w:rFonts w:ascii="Helvetica Neue" w:hAnsi="Helvetica Neue"/>
        <w:color w:val="000000"/>
      </w:rPr>
    </w:pPr>
    <w:r>
      <w:rPr>
        <w:rFonts w:ascii="Helvetica Neue" w:hAnsi="Helvetica Neue"/>
        <w:noProof/>
        <w:color w:val="000000"/>
        <w:lang w:eastAsia="en-US"/>
      </w:rPr>
      <mc:AlternateContent>
        <mc:Choice Requires="wps">
          <w:drawing>
            <wp:anchor distT="0" distB="0" distL="114300" distR="114300" simplePos="0" relativeHeight="251656192" behindDoc="1" locked="0" layoutInCell="1" hidden="0" allowOverlap="1" wp14:anchorId="26943C44" wp14:editId="1FD8D173">
              <wp:simplePos x="0" y="0"/>
              <wp:positionH relativeFrom="margin">
                <wp:align>center</wp:align>
              </wp:positionH>
              <wp:positionV relativeFrom="margin">
                <wp:align>center</wp:align>
              </wp:positionV>
              <wp:extent cx="5208549" cy="5208549"/>
              <wp:effectExtent l="0" t="0" r="0" b="0"/>
              <wp:wrapNone/>
              <wp:docPr id="2063348277" name="Retângulo 2063348277"/>
              <wp:cNvGraphicFramePr/>
              <a:graphic xmlns:a="http://schemas.openxmlformats.org/drawingml/2006/main">
                <a:graphicData uri="http://schemas.microsoft.com/office/word/2010/wordprocessingShape">
                  <wps:wsp>
                    <wps:cNvSpPr/>
                    <wps:spPr>
                      <a:xfrm rot="-2700000">
                        <a:off x="2039873" y="3412653"/>
                        <a:ext cx="6612255" cy="734695"/>
                      </a:xfrm>
                      <a:prstGeom prst="rect">
                        <a:avLst/>
                      </a:prstGeom>
                    </wps:spPr>
                    <wps:txbx>
                      <w:txbxContent>
                        <w:p w14:paraId="07B33066" w14:textId="77777777" w:rsidR="003F0AB7" w:rsidRDefault="0073180B">
                          <w:pPr>
                            <w:jc w:val="center"/>
                            <w:textDirection w:val="btLr"/>
                          </w:pPr>
                          <w:r>
                            <w:rPr>
                              <w:rFonts w:eastAsia="Helvetica" w:cs="Helvetica"/>
                              <w:color w:val="C0C0C0"/>
                              <w:sz w:val="144"/>
                            </w:rPr>
                            <w:t>UNDER PEER REVIEW</w:t>
                          </w:r>
                        </w:p>
                      </w:txbxContent>
                    </wps:txbx>
                    <wps:bodyPr spcFirstLastPara="1" wrap="square" lIns="91425" tIns="91425" rIns="91425" bIns="91425" anchor="ctr" anchorCtr="0">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6943C44" id="Retângulo 2063348277" o:spid="_x0000_s1026" style="position:absolute;margin-left:0;margin-top:0;width:410.1pt;height:410.1pt;rotation:-45;z-index:-251660288;visibility:visible;mso-wrap-style:square;mso-wrap-distance-left:9pt;mso-wrap-distance-top:0;mso-wrap-distance-right:9pt;mso-wrap-distance-bottom:0;mso-position-horizontal:center;mso-position-horizontal-relative:margin;mso-position-vertical:center;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" filled="f" stroked="f">
              <v:textbox inset="2.53958mm,2.53958mm,2.53958mm,2.53958mm">
                <w:txbxContent>
                  <w:p w14:paraId="07B33066" w14:textId="77777777" w:rsidR="003F0AB7" w:rsidRDefault="00000000">
                    <w:pPr>
                      <w:jc w:val="center"/>
                      <w:textDirection w:val="btLr"/>
                    </w:pPr>
                    <w:r>
                      <w:rPr>
                        <w:rFonts w:eastAsia="Helvetica" w:cs="Helvetica"/>
                        <w:color w:val="C0C0C0"/>
                        <w:sz w:val="144"/>
                      </w:rPr>
                      <w:t>UNDER PEER REVIEW</w:t>
                    </w:r>
                  </w:p>
                </w:txbxContent>
              </v:textbox>
              <w10:wrap anchorx="margin" anchory="margin"/>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513074" w14:textId="77777777" w:rsidR="003F0AB7" w:rsidRDefault="0073180B">
    <w:pPr>
      <w:pBdr>
        <w:top w:val="nil"/>
        <w:left w:val="nil"/>
        <w:bottom w:val="nil"/>
        <w:right w:val="nil"/>
        <w:between w:val="nil"/>
      </w:pBdr>
      <w:tabs>
        <w:tab w:val="center" w:pos="4320"/>
        <w:tab w:val="right" w:pos="8640"/>
      </w:tabs>
      <w:rPr>
        <w:rFonts w:ascii="Helvetica Neue" w:hAnsi="Helvetica Neue"/>
        <w:color w:val="000000"/>
      </w:rPr>
    </w:pPr>
    <w:r>
      <w:rPr>
        <w:rFonts w:ascii="Helvetica Neue" w:hAnsi="Helvetica Neue"/>
        <w:noProof/>
        <w:color w:val="000000"/>
        <w:lang w:eastAsia="en-US"/>
      </w:rPr>
      <mc:AlternateContent>
        <mc:Choice Requires="wps">
          <w:drawing>
            <wp:anchor distT="0" distB="0" distL="114300" distR="114300" simplePos="0" relativeHeight="251655168" behindDoc="1" locked="0" layoutInCell="1" hidden="0" allowOverlap="1" wp14:anchorId="5BE7ECF6" wp14:editId="6B7A7E71">
              <wp:simplePos x="0" y="0"/>
              <wp:positionH relativeFrom="margin">
                <wp:align>center</wp:align>
              </wp:positionH>
              <wp:positionV relativeFrom="margin">
                <wp:align>center</wp:align>
              </wp:positionV>
              <wp:extent cx="5208549" cy="5208549"/>
              <wp:effectExtent l="0" t="0" r="0" b="0"/>
              <wp:wrapNone/>
              <wp:docPr id="2063348281" name="Retângulo 2063348281"/>
              <wp:cNvGraphicFramePr/>
              <a:graphic xmlns:a="http://schemas.openxmlformats.org/drawingml/2006/main">
                <a:graphicData uri="http://schemas.microsoft.com/office/word/2010/wordprocessingShape">
                  <wps:wsp>
                    <wps:cNvSpPr/>
                    <wps:spPr>
                      <a:xfrm rot="-2700000">
                        <a:off x="2039873" y="3412653"/>
                        <a:ext cx="6612255" cy="734695"/>
                      </a:xfrm>
                      <a:prstGeom prst="rect">
                        <a:avLst/>
                      </a:prstGeom>
                    </wps:spPr>
                    <wps:txbx>
                      <w:txbxContent>
                        <w:p w14:paraId="42196BF9" w14:textId="77777777" w:rsidR="003F0AB7" w:rsidRDefault="0073180B">
                          <w:pPr>
                            <w:jc w:val="center"/>
                            <w:textDirection w:val="btLr"/>
                          </w:pPr>
                          <w:r>
                            <w:rPr>
                              <w:rFonts w:eastAsia="Helvetica" w:cs="Helvetica"/>
                              <w:color w:val="C0C0C0"/>
                              <w:sz w:val="144"/>
                            </w:rPr>
                            <w:t>UNDER PEER REVIEW</w:t>
                          </w:r>
                        </w:p>
                      </w:txbxContent>
                    </wps:txbx>
                    <wps:bodyPr spcFirstLastPara="1" wrap="square" lIns="91425" tIns="91425" rIns="91425" bIns="91425" anchor="ctr" anchorCtr="0">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BE7ECF6" id="Retângulo 2063348281" o:spid="_x0000_s1027" style="position:absolute;margin-left:0;margin-top:0;width:410.1pt;height:410.1pt;rotation:-45;z-index:-251661312;visibility:visible;mso-wrap-style:square;mso-wrap-distance-left:9pt;mso-wrap-distance-top:0;mso-wrap-distance-right:9pt;mso-wrap-distance-bottom:0;mso-position-horizontal:center;mso-position-horizontal-relative:margin;mso-position-vertical:center;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" filled="f" stroked="f">
              <v:textbox inset="2.53958mm,2.53958mm,2.53958mm,2.53958mm">
                <w:txbxContent>
                  <w:p w14:paraId="42196BF9" w14:textId="77777777" w:rsidR="003F0AB7" w:rsidRDefault="00000000">
                    <w:pPr>
                      <w:jc w:val="center"/>
                      <w:textDirection w:val="btLr"/>
                    </w:pPr>
                    <w:r>
                      <w:rPr>
                        <w:rFonts w:eastAsia="Helvetica" w:cs="Helvetica"/>
                        <w:color w:val="C0C0C0"/>
                        <w:sz w:val="144"/>
                      </w:rPr>
                      <w:t>UNDER PEER REVIEW</w:t>
                    </w:r>
                  </w:p>
                </w:txbxContent>
              </v:textbox>
              <w10:wrap anchorx="margin" anchory="margin"/>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187B60" w14:textId="77777777" w:rsidR="003F0AB7" w:rsidRDefault="00FC56DC">
    <w:pPr>
      <w:ind w:left="2160"/>
      <w:jc w:val="center"/>
      <w:rPr>
        <w:rFonts w:ascii="Times New Roman" w:eastAsia="Times New Roman" w:hAnsi="Times New Roman" w:cs="Times New Roman"/>
        <w:i/>
        <w:sz w:val="18"/>
        <w:szCs w:val="18"/>
      </w:rPr>
    </w:pPr>
    <w:r>
      <w:pict w14:anchorId="5551B68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2049" type="#_x0000_t136" style="position:absolute;left:0;text-align:left;margin-left:0;margin-top:0;width:520.65pt;height:57.85pt;rotation:315;z-index:-251656192;visibility:visible;mso-position-horizontal:center;mso-position-horizontal-relative:margin;mso-position-vertical:center;mso-position-vertical-relative:margin" fillcolor="silver" stroked="f">
          <v:fill opacity=".5"/>
          <v:textpath style="font-family:&quot;&amp;quot&quot;;font-size:1pt" string="UNDER PEER REVIEW"/>
          <w10:wrap anchorx="margin" anchory="margin"/>
        </v:shape>
      </w:pict>
    </w:r>
  </w:p>
  <w:p w14:paraId="764213DF" w14:textId="77777777" w:rsidR="003F0AB7" w:rsidRDefault="0073180B">
    <w:pPr>
      <w:ind w:left="4320"/>
      <w:rPr>
        <w:rFonts w:ascii="Times New Roman" w:eastAsia="Times New Roman" w:hAnsi="Times New Roman" w:cs="Times New Roman"/>
        <w:i/>
        <w:sz w:val="18"/>
        <w:szCs w:val="18"/>
      </w:rPr>
    </w:pPr>
    <w:r>
      <w:rPr>
        <w:rFonts w:ascii="Times New Roman" w:eastAsia="Times New Roman" w:hAnsi="Times New Roman" w:cs="Times New Roman"/>
        <w:i/>
        <w:sz w:val="18"/>
        <w:szCs w:val="18"/>
      </w:rPr>
      <w:t xml:space="preserve">.     </w:t>
    </w:r>
  </w:p>
  <w:p w14:paraId="600157E8" w14:textId="77777777" w:rsidR="003F0AB7" w:rsidRDefault="0073180B">
    <w:pPr>
      <w:jc w:val="center"/>
      <w:rPr>
        <w:rFonts w:ascii="Times New Roman" w:eastAsia="Times New Roman" w:hAnsi="Times New Roman" w:cs="Times New Roman"/>
        <w:i/>
        <w:sz w:val="18"/>
        <w:szCs w:val="18"/>
      </w:rPr>
    </w:pPr>
    <w:r>
      <w:rPr>
        <w:rFonts w:ascii="Times New Roman" w:eastAsia="Times New Roman" w:hAnsi="Times New Roman" w:cs="Times New Roman"/>
        <w:i/>
        <w:sz w:val="18"/>
        <w:szCs w:val="18"/>
      </w:rPr>
      <w:t>.</w:t>
    </w:r>
  </w:p>
  <w:p w14:paraId="2E964FE6" w14:textId="77777777" w:rsidR="003F0AB7" w:rsidRDefault="0073180B">
    <w:pPr>
      <w:spacing w:after="200"/>
      <w:jc w:val="center"/>
      <w:rPr>
        <w:rFonts w:ascii="Times New Roman" w:eastAsia="Times New Roman" w:hAnsi="Times New Roman" w:cs="Times New Roman"/>
        <w:b/>
        <w:i/>
        <w:sz w:val="32"/>
        <w:szCs w:val="32"/>
      </w:rPr>
    </w:pPr>
    <w:r>
      <w:rPr>
        <w:rFonts w:ascii="Times New Roman" w:eastAsia="Times New Roman" w:hAnsi="Times New Roman" w:cs="Times New Roman"/>
        <w:b/>
        <w:i/>
        <w:sz w:val="32"/>
        <w:szCs w:val="32"/>
      </w:rPr>
      <w:t xml:space="preserve">              . </w:t>
    </w:r>
  </w:p>
  <w:p w14:paraId="5784049E" w14:textId="77777777" w:rsidR="003F0AB7" w:rsidRDefault="0073180B">
    <w:pPr>
      <w:jc w:val="center"/>
      <w:rPr>
        <w:rFonts w:ascii="Times New Roman" w:eastAsia="Times New Roman" w:hAnsi="Times New Roman" w:cs="Times New Roman"/>
        <w:i/>
        <w:sz w:val="18"/>
        <w:szCs w:val="18"/>
      </w:rPr>
    </w:pPr>
    <w:r>
      <w:rPr>
        <w:rFonts w:ascii="Times New Roman" w:eastAsia="Times New Roman" w:hAnsi="Times New Roman" w:cs="Times New Roman"/>
        <w:i/>
        <w:sz w:val="18"/>
        <w:szCs w:val="18"/>
      </w:rPr>
      <w:t xml:space="preserve">                     </w:t>
    </w:r>
  </w:p>
  <w:p w14:paraId="7EB207F9" w14:textId="77777777" w:rsidR="003F0AB7" w:rsidRDefault="0073180B">
    <w:pPr>
      <w:tabs>
        <w:tab w:val="left" w:pos="2145"/>
      </w:tabs>
      <w:rPr>
        <w:rFonts w:ascii="Times New Roman" w:eastAsia="Times New Roman" w:hAnsi="Times New Roman" w:cs="Times New Roman"/>
        <w:i/>
        <w:sz w:val="18"/>
        <w:szCs w:val="18"/>
      </w:rPr>
    </w:pPr>
    <w:r>
      <w:rPr>
        <w:rFonts w:ascii="Times New Roman" w:eastAsia="Times New Roman" w:hAnsi="Times New Roman" w:cs="Times New Roman"/>
        <w:i/>
        <w:sz w:val="18"/>
        <w:szCs w:val="18"/>
      </w:rPr>
      <w:tab/>
      <w:t>.</w:t>
    </w:r>
  </w:p>
  <w:p w14:paraId="0EE8CEDA" w14:textId="77777777" w:rsidR="003F0AB7" w:rsidRDefault="0073180B">
    <w:pPr>
      <w:pBdr>
        <w:top w:val="nil"/>
        <w:left w:val="nil"/>
        <w:bottom w:val="nil"/>
        <w:right w:val="nil"/>
        <w:between w:val="nil"/>
      </w:pBdr>
      <w:tabs>
        <w:tab w:val="center" w:pos="4320"/>
        <w:tab w:val="right" w:pos="8640"/>
      </w:tabs>
      <w:rPr>
        <w:rFonts w:ascii="Helvetica Neue" w:hAnsi="Helvetica Neue"/>
        <w:color w:val="000000"/>
      </w:rPr>
    </w:pPr>
    <w:r>
      <w:rPr>
        <w:rFonts w:ascii="Helvetica Neue" w:hAnsi="Helvetica Neue"/>
        <w:color w:val="000000"/>
      </w:rPr>
      <w:t>..</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00C6A6" w14:textId="77777777" w:rsidR="003F0AB7" w:rsidRDefault="0073180B">
    <w:pPr>
      <w:pBdr>
        <w:top w:val="nil"/>
        <w:left w:val="nil"/>
        <w:bottom w:val="nil"/>
        <w:right w:val="nil"/>
        <w:between w:val="nil"/>
      </w:pBdr>
      <w:tabs>
        <w:tab w:val="center" w:pos="4320"/>
        <w:tab w:val="right" w:pos="8640"/>
      </w:tabs>
      <w:rPr>
        <w:rFonts w:ascii="Helvetica Neue" w:hAnsi="Helvetica Neue"/>
        <w:color w:val="000000"/>
      </w:rPr>
    </w:pPr>
    <w:r>
      <w:rPr>
        <w:rFonts w:ascii="Helvetica Neue" w:hAnsi="Helvetica Neue"/>
        <w:noProof/>
        <w:color w:val="000000"/>
        <w:lang w:eastAsia="en-US"/>
      </w:rPr>
      <mc:AlternateContent>
        <mc:Choice Requires="wps">
          <w:drawing>
            <wp:anchor distT="0" distB="0" distL="114300" distR="114300" simplePos="0" relativeHeight="251659264" behindDoc="1" locked="0" layoutInCell="1" hidden="0" allowOverlap="1" wp14:anchorId="3AD42E16" wp14:editId="78F8E20C">
              <wp:simplePos x="0" y="0"/>
              <wp:positionH relativeFrom="margin">
                <wp:align>center</wp:align>
              </wp:positionH>
              <wp:positionV relativeFrom="margin">
                <wp:align>center</wp:align>
              </wp:positionV>
              <wp:extent cx="5208549" cy="5208549"/>
              <wp:effectExtent l="0" t="0" r="0" b="0"/>
              <wp:wrapNone/>
              <wp:docPr id="2063348279" name="Retângulo 2063348279"/>
              <wp:cNvGraphicFramePr/>
              <a:graphic xmlns:a="http://schemas.openxmlformats.org/drawingml/2006/main">
                <a:graphicData uri="http://schemas.microsoft.com/office/word/2010/wordprocessingShape">
                  <wps:wsp>
                    <wps:cNvSpPr/>
                    <wps:spPr>
                      <a:xfrm rot="-2700000">
                        <a:off x="2039873" y="3412653"/>
                        <a:ext cx="6612255" cy="734695"/>
                      </a:xfrm>
                      <a:prstGeom prst="rect">
                        <a:avLst/>
                      </a:prstGeom>
                    </wps:spPr>
                    <wps:txbx>
                      <w:txbxContent>
                        <w:p w14:paraId="6FDD2D82" w14:textId="77777777" w:rsidR="003F0AB7" w:rsidRDefault="0073180B">
                          <w:pPr>
                            <w:jc w:val="center"/>
                            <w:textDirection w:val="btLr"/>
                          </w:pPr>
                          <w:r>
                            <w:rPr>
                              <w:rFonts w:eastAsia="Helvetica" w:cs="Helvetica"/>
                              <w:color w:val="C0C0C0"/>
                              <w:sz w:val="144"/>
                            </w:rPr>
                            <w:t>UNDER PEER REVIEW</w:t>
                          </w:r>
                        </w:p>
                      </w:txbxContent>
                    </wps:txbx>
                    <wps:bodyPr spcFirstLastPara="1" wrap="square" lIns="91425" tIns="91425" rIns="91425" bIns="91425" anchor="ctr" anchorCtr="0">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AD42E16" id="Retângulo 2063348279" o:spid="_x0000_s1028" style="position:absolute;margin-left:0;margin-top:0;width:410.1pt;height:410.1pt;rotation:-45;z-index:-251657216;visibility:visible;mso-wrap-style:square;mso-wrap-distance-left:9pt;mso-wrap-distance-top:0;mso-wrap-distance-right:9pt;mso-wrap-distance-bottom:0;mso-position-horizontal:center;mso-position-horizontal-relative:margin;mso-position-vertical:center;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" filled="f" stroked="f">
              <v:textbox inset="2.53958mm,2.53958mm,2.53958mm,2.53958mm">
                <w:txbxContent>
                  <w:p w14:paraId="6FDD2D82" w14:textId="77777777" w:rsidR="003F0AB7" w:rsidRDefault="00000000">
                    <w:pPr>
                      <w:jc w:val="center"/>
                      <w:textDirection w:val="btLr"/>
                    </w:pPr>
                    <w:r>
                      <w:rPr>
                        <w:rFonts w:eastAsia="Helvetica" w:cs="Helvetica"/>
                        <w:color w:val="C0C0C0"/>
                        <w:sz w:val="144"/>
                      </w:rPr>
                      <w:t>UNDER PEER REVIEW</w:t>
                    </w:r>
                  </w:p>
                </w:txbxContent>
              </v:textbox>
              <w10:wrap anchorx="margin" anchory="margin"/>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40DB3A" w14:textId="77777777" w:rsidR="003F0AB7" w:rsidRDefault="0073180B">
    <w:pPr>
      <w:pBdr>
        <w:top w:val="nil"/>
        <w:left w:val="nil"/>
        <w:bottom w:val="nil"/>
        <w:right w:val="nil"/>
        <w:between w:val="nil"/>
      </w:pBdr>
      <w:tabs>
        <w:tab w:val="center" w:pos="4320"/>
        <w:tab w:val="right" w:pos="8640"/>
      </w:tabs>
      <w:rPr>
        <w:rFonts w:ascii="Helvetica Neue" w:hAnsi="Helvetica Neue"/>
        <w:color w:val="000000"/>
      </w:rPr>
    </w:pPr>
    <w:r>
      <w:rPr>
        <w:rFonts w:ascii="Helvetica Neue" w:hAnsi="Helvetica Neue"/>
        <w:noProof/>
        <w:color w:val="000000"/>
        <w:lang w:eastAsia="en-US"/>
      </w:rPr>
      <mc:AlternateContent>
        <mc:Choice Requires="wps">
          <w:drawing>
            <wp:anchor distT="0" distB="0" distL="114300" distR="114300" simplePos="0" relativeHeight="251657216" behindDoc="1" locked="0" layoutInCell="1" hidden="0" allowOverlap="1" wp14:anchorId="7F04E150" wp14:editId="7944BD1C">
              <wp:simplePos x="0" y="0"/>
              <wp:positionH relativeFrom="margin">
                <wp:align>center</wp:align>
              </wp:positionH>
              <wp:positionV relativeFrom="margin">
                <wp:align>center</wp:align>
              </wp:positionV>
              <wp:extent cx="5208549" cy="5208549"/>
              <wp:effectExtent l="0" t="0" r="0" b="0"/>
              <wp:wrapNone/>
              <wp:docPr id="2063348276" name="Retângulo 2063348276"/>
              <wp:cNvGraphicFramePr/>
              <a:graphic xmlns:a="http://schemas.openxmlformats.org/drawingml/2006/main">
                <a:graphicData uri="http://schemas.microsoft.com/office/word/2010/wordprocessingShape">
                  <wps:wsp>
                    <wps:cNvSpPr/>
                    <wps:spPr>
                      <a:xfrm rot="-2700000">
                        <a:off x="2039873" y="3412653"/>
                        <a:ext cx="6612255" cy="734695"/>
                      </a:xfrm>
                      <a:prstGeom prst="rect">
                        <a:avLst/>
                      </a:prstGeom>
                    </wps:spPr>
                    <wps:txbx>
                      <w:txbxContent>
                        <w:p w14:paraId="760DFFBF" w14:textId="77777777" w:rsidR="003F0AB7" w:rsidRDefault="0073180B">
                          <w:pPr>
                            <w:jc w:val="center"/>
                            <w:textDirection w:val="btLr"/>
                          </w:pPr>
                          <w:r>
                            <w:rPr>
                              <w:rFonts w:eastAsia="Helvetica" w:cs="Helvetica"/>
                              <w:color w:val="C0C0C0"/>
                              <w:sz w:val="144"/>
                            </w:rPr>
                            <w:t>UNDER PEER REVIEW</w:t>
                          </w:r>
                        </w:p>
                      </w:txbxContent>
                    </wps:txbx>
                    <wps:bodyPr spcFirstLastPara="1" wrap="square" lIns="91425" tIns="91425" rIns="91425" bIns="91425" anchor="ctr" anchorCtr="0">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F04E150" id="Retângulo 2063348276" o:spid="_x0000_s1029" style="position:absolute;margin-left:0;margin-top:0;width:410.1pt;height:410.1pt;rotation:-45;z-index:-251659264;visibility:visible;mso-wrap-style:square;mso-wrap-distance-left:9pt;mso-wrap-distance-top:0;mso-wrap-distance-right:9pt;mso-wrap-distance-bottom:0;mso-position-horizontal:center;mso-position-horizontal-relative:margin;mso-position-vertical:center;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" filled="f" stroked="f">
              <v:textbox inset="2.53958mm,2.53958mm,2.53958mm,2.53958mm">
                <w:txbxContent>
                  <w:p w14:paraId="760DFFBF" w14:textId="77777777" w:rsidR="003F0AB7" w:rsidRDefault="00000000">
                    <w:pPr>
                      <w:jc w:val="center"/>
                      <w:textDirection w:val="btLr"/>
                    </w:pPr>
                    <w:r>
                      <w:rPr>
                        <w:rFonts w:eastAsia="Helvetica" w:cs="Helvetica"/>
                        <w:color w:val="C0C0C0"/>
                        <w:sz w:val="144"/>
                      </w:rPr>
                      <w:t>UNDER PEER REVIEW</w:t>
                    </w:r>
                  </w:p>
                </w:txbxContent>
              </v:textbox>
              <w10:wrap anchorx="margin" anchory="margin"/>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C71A43" w14:textId="77777777" w:rsidR="003F0AB7" w:rsidRDefault="0073180B">
    <w:pPr>
      <w:pBdr>
        <w:top w:val="nil"/>
        <w:left w:val="nil"/>
        <w:bottom w:val="nil"/>
        <w:right w:val="nil"/>
        <w:between w:val="nil"/>
      </w:pBdr>
      <w:tabs>
        <w:tab w:val="center" w:pos="4320"/>
        <w:tab w:val="right" w:pos="8640"/>
      </w:tabs>
      <w:rPr>
        <w:rFonts w:ascii="Helvetica Neue" w:hAnsi="Helvetica Neue"/>
        <w:color w:val="000000"/>
      </w:rPr>
    </w:pPr>
    <w:r>
      <w:rPr>
        <w:rFonts w:ascii="Helvetica Neue" w:hAnsi="Helvetica Neue"/>
        <w:noProof/>
        <w:color w:val="000000"/>
        <w:lang w:eastAsia="en-US"/>
      </w:rPr>
      <mc:AlternateContent>
        <mc:Choice Requires="wps">
          <w:drawing>
            <wp:anchor distT="0" distB="0" distL="114300" distR="114300" simplePos="0" relativeHeight="251658240" behindDoc="1" locked="0" layoutInCell="1" hidden="0" allowOverlap="1" wp14:anchorId="5D17CF89" wp14:editId="7581980D">
              <wp:simplePos x="0" y="0"/>
              <wp:positionH relativeFrom="margin">
                <wp:align>center</wp:align>
              </wp:positionH>
              <wp:positionV relativeFrom="margin">
                <wp:align>center</wp:align>
              </wp:positionV>
              <wp:extent cx="5208549" cy="5208549"/>
              <wp:effectExtent l="0" t="0" r="0" b="0"/>
              <wp:wrapNone/>
              <wp:docPr id="2063348280" name="Retângulo 2063348280"/>
              <wp:cNvGraphicFramePr/>
              <a:graphic xmlns:a="http://schemas.openxmlformats.org/drawingml/2006/main">
                <a:graphicData uri="http://schemas.microsoft.com/office/word/2010/wordprocessingShape">
                  <wps:wsp>
                    <wps:cNvSpPr/>
                    <wps:spPr>
                      <a:xfrm rot="-2700000">
                        <a:off x="2039873" y="3412653"/>
                        <a:ext cx="6612255" cy="734695"/>
                      </a:xfrm>
                      <a:prstGeom prst="rect">
                        <a:avLst/>
                      </a:prstGeom>
                    </wps:spPr>
                    <wps:txbx>
                      <w:txbxContent>
                        <w:p w14:paraId="6ABB339A" w14:textId="77777777" w:rsidR="003F0AB7" w:rsidRDefault="0073180B">
                          <w:pPr>
                            <w:jc w:val="center"/>
                            <w:textDirection w:val="btLr"/>
                          </w:pPr>
                          <w:r>
                            <w:rPr>
                              <w:rFonts w:eastAsia="Helvetica" w:cs="Helvetica"/>
                              <w:color w:val="C0C0C0"/>
                              <w:sz w:val="144"/>
                            </w:rPr>
                            <w:t>UNDER PEER REVIEW</w:t>
                          </w:r>
                        </w:p>
                      </w:txbxContent>
                    </wps:txbx>
                    <wps:bodyPr spcFirstLastPara="1" wrap="square" lIns="91425" tIns="91425" rIns="91425" bIns="91425" anchor="ctr" anchorCtr="0">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D17CF89" id="Retângulo 2063348280" o:spid="_x0000_s1030" style="position:absolute;margin-left:0;margin-top:0;width:410.1pt;height:410.1pt;rotation:-45;z-index:-251658240;visibility:visible;mso-wrap-style:square;mso-wrap-distance-left:9pt;mso-wrap-distance-top:0;mso-wrap-distance-right:9pt;mso-wrap-distance-bottom:0;mso-position-horizontal:center;mso-position-horizontal-relative:margin;mso-position-vertical:center;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" filled="f" stroked="f">
              <v:textbox inset="2.53958mm,2.53958mm,2.53958mm,2.53958mm">
                <w:txbxContent>
                  <w:p w14:paraId="6ABB339A" w14:textId="77777777" w:rsidR="003F0AB7" w:rsidRDefault="00000000">
                    <w:pPr>
                      <w:jc w:val="center"/>
                      <w:textDirection w:val="btLr"/>
                    </w:pPr>
                    <w:r>
                      <w:rPr>
                        <w:rFonts w:eastAsia="Helvetica" w:cs="Helvetica"/>
                        <w:color w:val="C0C0C0"/>
                        <w:sz w:val="144"/>
                      </w:rPr>
                      <w:t>UNDER PEER REVIEW</w:t>
                    </w:r>
                  </w:p>
                </w:txbxContent>
              </v:textbox>
              <w10:wrap anchorx="margin" anchory="margin"/>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ED134AF"/>
    <w:multiLevelType w:val="multilevel"/>
    <w:tmpl w:val="A3D81B32"/>
    <w:lvl w:ilvl="0">
      <w:start w:val="1"/>
      <w:numFmt w:val="decimal"/>
      <w:pStyle w:val="Reference"/>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55AE3DE7"/>
    <w:multiLevelType w:val="multilevel"/>
    <w:tmpl w:val="35208A4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embedTrueTypeFonts/>
  <w:proofState w:spelling="clean" w:grammar="clean"/>
  <w:defaultTabStop w:val="720"/>
  <w:hyphenationZone w:val="425"/>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0AB7"/>
    <w:rsid w:val="00017C54"/>
    <w:rsid w:val="000451B5"/>
    <w:rsid w:val="00096835"/>
    <w:rsid w:val="0014518F"/>
    <w:rsid w:val="001C3EA5"/>
    <w:rsid w:val="001E34A0"/>
    <w:rsid w:val="002033F5"/>
    <w:rsid w:val="002B35A0"/>
    <w:rsid w:val="002F4D7D"/>
    <w:rsid w:val="003F0AB7"/>
    <w:rsid w:val="00437EC4"/>
    <w:rsid w:val="004F046A"/>
    <w:rsid w:val="0054758B"/>
    <w:rsid w:val="0059250A"/>
    <w:rsid w:val="005A04BF"/>
    <w:rsid w:val="005F45BF"/>
    <w:rsid w:val="00682852"/>
    <w:rsid w:val="006855B1"/>
    <w:rsid w:val="007040BE"/>
    <w:rsid w:val="0073180B"/>
    <w:rsid w:val="0074157C"/>
    <w:rsid w:val="00755BDA"/>
    <w:rsid w:val="00770B93"/>
    <w:rsid w:val="00774AC3"/>
    <w:rsid w:val="007A301B"/>
    <w:rsid w:val="007B2649"/>
    <w:rsid w:val="00894358"/>
    <w:rsid w:val="008D534A"/>
    <w:rsid w:val="008E62A7"/>
    <w:rsid w:val="009273BB"/>
    <w:rsid w:val="0093255B"/>
    <w:rsid w:val="00947D56"/>
    <w:rsid w:val="009509F1"/>
    <w:rsid w:val="00972984"/>
    <w:rsid w:val="009928FD"/>
    <w:rsid w:val="009B5145"/>
    <w:rsid w:val="009E5AFB"/>
    <w:rsid w:val="00A97769"/>
    <w:rsid w:val="00AA2DEA"/>
    <w:rsid w:val="00B05FE7"/>
    <w:rsid w:val="00BD6249"/>
    <w:rsid w:val="00C17087"/>
    <w:rsid w:val="00C654F9"/>
    <w:rsid w:val="00CB0C55"/>
    <w:rsid w:val="00D0141B"/>
    <w:rsid w:val="00E564FB"/>
    <w:rsid w:val="00E7378B"/>
    <w:rsid w:val="00ED109A"/>
    <w:rsid w:val="00F6301B"/>
    <w:rsid w:val="00FB7651"/>
    <w:rsid w:val="00FC56DC"/>
    <w:rsid w:val="00FF59DF"/>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324C82B3"/>
  <w15:docId w15:val="{8EC6978F-8BD9-40F0-A74A-8E6193FAC3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Helvetica Neue" w:eastAsia="Helvetica Neue" w:hAnsi="Helvetica Neue" w:cs="Helvetica Neue"/>
        <w:lang w:val="en-US" w:eastAsia="pt-B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23789"/>
    <w:rPr>
      <w:rFonts w:ascii="Helvetica" w:hAnsi="Helvetica"/>
    </w:rPr>
  </w:style>
  <w:style w:type="paragraph" w:styleId="Heading1">
    <w:name w:val="heading 1"/>
    <w:basedOn w:val="Normal"/>
    <w:next w:val="Normal"/>
    <w:uiPriority w:val="9"/>
    <w:qFormat/>
    <w:rsid w:val="00423789"/>
    <w:pPr>
      <w:keepNext/>
      <w:spacing w:before="240" w:after="60"/>
      <w:outlineLvl w:val="0"/>
    </w:pPr>
    <w:rPr>
      <w:rFonts w:ascii="Arial" w:hAnsi="Arial"/>
      <w:b/>
      <w:kern w:val="28"/>
      <w:sz w:val="2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uiPriority w:val="10"/>
    <w:qFormat/>
    <w:rsid w:val="00423789"/>
    <w:pPr>
      <w:spacing w:after="360"/>
      <w:jc w:val="right"/>
    </w:pPr>
    <w:rPr>
      <w:b/>
      <w:kern w:val="28"/>
      <w:sz w:val="36"/>
    </w:rPr>
  </w:style>
  <w:style w:type="paragraph" w:customStyle="1" w:styleId="Author">
    <w:name w:val="Author"/>
    <w:basedOn w:val="Normal"/>
    <w:rsid w:val="00423789"/>
    <w:pPr>
      <w:spacing w:line="280" w:lineRule="exact"/>
      <w:jc w:val="right"/>
    </w:pPr>
    <w:rPr>
      <w:b/>
      <w:sz w:val="24"/>
    </w:rPr>
  </w:style>
  <w:style w:type="paragraph" w:customStyle="1" w:styleId="Affiliation">
    <w:name w:val="Affiliation"/>
    <w:basedOn w:val="Normal"/>
    <w:rsid w:val="00423789"/>
    <w:pPr>
      <w:spacing w:after="240" w:line="240" w:lineRule="exact"/>
      <w:jc w:val="right"/>
    </w:pPr>
  </w:style>
  <w:style w:type="paragraph" w:customStyle="1" w:styleId="Body">
    <w:name w:val="Body"/>
    <w:basedOn w:val="Normal"/>
    <w:rsid w:val="00423789"/>
    <w:pPr>
      <w:spacing w:after="240"/>
      <w:jc w:val="both"/>
    </w:pPr>
  </w:style>
  <w:style w:type="paragraph" w:customStyle="1" w:styleId="AbstHead">
    <w:name w:val="Abst Head"/>
    <w:basedOn w:val="MainHead"/>
    <w:rsid w:val="00423789"/>
    <w:rPr>
      <w:sz w:val="22"/>
    </w:rPr>
  </w:style>
  <w:style w:type="paragraph" w:customStyle="1" w:styleId="IntroHead">
    <w:name w:val="Intro Head"/>
    <w:basedOn w:val="MainHead"/>
    <w:rsid w:val="00423789"/>
    <w:rPr>
      <w:sz w:val="22"/>
    </w:rPr>
  </w:style>
  <w:style w:type="paragraph" w:customStyle="1" w:styleId="PaperNumber">
    <w:name w:val="Paper Number"/>
    <w:basedOn w:val="Normal"/>
    <w:rsid w:val="00423789"/>
    <w:pPr>
      <w:spacing w:after="280" w:line="280" w:lineRule="exact"/>
      <w:jc w:val="right"/>
    </w:pPr>
    <w:rPr>
      <w:b/>
      <w:sz w:val="28"/>
    </w:rPr>
  </w:style>
  <w:style w:type="paragraph" w:customStyle="1" w:styleId="ConcHead">
    <w:name w:val="Conc Head"/>
    <w:basedOn w:val="MainHead"/>
    <w:rsid w:val="00423789"/>
    <w:rPr>
      <w:sz w:val="22"/>
    </w:rPr>
  </w:style>
  <w:style w:type="paragraph" w:customStyle="1" w:styleId="AcknHead">
    <w:name w:val="Ackn Head"/>
    <w:basedOn w:val="MainHead"/>
    <w:rsid w:val="00423789"/>
    <w:rPr>
      <w:sz w:val="22"/>
    </w:rPr>
  </w:style>
  <w:style w:type="paragraph" w:customStyle="1" w:styleId="ReferHead">
    <w:name w:val="Refer Head"/>
    <w:basedOn w:val="MainHead"/>
    <w:rsid w:val="00423789"/>
    <w:rPr>
      <w:sz w:val="22"/>
    </w:rPr>
  </w:style>
  <w:style w:type="paragraph" w:customStyle="1" w:styleId="AddSrcHead">
    <w:name w:val="AddSrc Head"/>
    <w:basedOn w:val="MainHead"/>
    <w:rsid w:val="00423789"/>
    <w:rPr>
      <w:sz w:val="22"/>
    </w:rPr>
  </w:style>
  <w:style w:type="paragraph" w:customStyle="1" w:styleId="DefAcrHead">
    <w:name w:val="DefAcrHead"/>
    <w:basedOn w:val="MainHead"/>
    <w:rsid w:val="00423789"/>
    <w:rPr>
      <w:sz w:val="22"/>
    </w:rPr>
  </w:style>
  <w:style w:type="paragraph" w:customStyle="1" w:styleId="Copyright">
    <w:name w:val="Copyright"/>
    <w:basedOn w:val="Normal"/>
    <w:rsid w:val="00423789"/>
    <w:pPr>
      <w:spacing w:after="960" w:line="200" w:lineRule="exact"/>
    </w:pPr>
    <w:rPr>
      <w:sz w:val="16"/>
    </w:rPr>
  </w:style>
  <w:style w:type="paragraph" w:customStyle="1" w:styleId="Reference">
    <w:name w:val="Reference"/>
    <w:basedOn w:val="Body"/>
    <w:rsid w:val="00423789"/>
    <w:pPr>
      <w:numPr>
        <w:numId w:val="2"/>
      </w:numPr>
      <w:spacing w:after="0" w:line="240" w:lineRule="exact"/>
    </w:pPr>
  </w:style>
  <w:style w:type="paragraph" w:customStyle="1" w:styleId="Head1">
    <w:name w:val="Head1"/>
    <w:basedOn w:val="MainHead"/>
    <w:rsid w:val="00423789"/>
    <w:rPr>
      <w:sz w:val="22"/>
    </w:rPr>
  </w:style>
  <w:style w:type="paragraph" w:customStyle="1" w:styleId="ContactHead">
    <w:name w:val="Contact Head"/>
    <w:basedOn w:val="MainHead"/>
    <w:rsid w:val="00423789"/>
    <w:rPr>
      <w:sz w:val="22"/>
    </w:rPr>
  </w:style>
  <w:style w:type="paragraph" w:customStyle="1" w:styleId="Head3">
    <w:name w:val="Head3"/>
    <w:basedOn w:val="Head2"/>
    <w:rsid w:val="00423789"/>
    <w:rPr>
      <w:caps w:val="0"/>
      <w:u w:val="single"/>
    </w:rPr>
  </w:style>
  <w:style w:type="paragraph" w:customStyle="1" w:styleId="Head4">
    <w:name w:val="Head4"/>
    <w:basedOn w:val="Head3"/>
    <w:rsid w:val="00423789"/>
    <w:rPr>
      <w:u w:val="none"/>
    </w:rPr>
  </w:style>
  <w:style w:type="paragraph" w:customStyle="1" w:styleId="UnordList">
    <w:name w:val="Unord List"/>
    <w:basedOn w:val="Body"/>
    <w:rsid w:val="00423789"/>
    <w:pPr>
      <w:spacing w:after="0"/>
      <w:ind w:left="360" w:hanging="360"/>
    </w:pPr>
  </w:style>
  <w:style w:type="paragraph" w:customStyle="1" w:styleId="OrdList">
    <w:name w:val="Ord List"/>
    <w:basedOn w:val="UnordList"/>
    <w:rsid w:val="00423789"/>
    <w:pPr>
      <w:jc w:val="left"/>
    </w:pPr>
  </w:style>
  <w:style w:type="paragraph" w:customStyle="1" w:styleId="Appendix">
    <w:name w:val="Appendix"/>
    <w:basedOn w:val="MainHead"/>
    <w:rsid w:val="00423789"/>
    <w:rPr>
      <w:sz w:val="22"/>
    </w:rPr>
  </w:style>
  <w:style w:type="paragraph" w:customStyle="1" w:styleId="Term">
    <w:name w:val="Term"/>
    <w:basedOn w:val="Body"/>
    <w:rsid w:val="00423789"/>
    <w:pPr>
      <w:spacing w:after="0"/>
    </w:pPr>
    <w:rPr>
      <w:b/>
    </w:rPr>
  </w:style>
  <w:style w:type="paragraph" w:customStyle="1" w:styleId="Definition">
    <w:name w:val="Definition"/>
    <w:basedOn w:val="Body"/>
    <w:rsid w:val="00423789"/>
  </w:style>
  <w:style w:type="paragraph" w:customStyle="1" w:styleId="Head2">
    <w:name w:val="Head2"/>
    <w:basedOn w:val="Normal"/>
    <w:next w:val="Body"/>
    <w:rsid w:val="00423789"/>
    <w:pPr>
      <w:keepNext/>
      <w:spacing w:after="240"/>
    </w:pPr>
    <w:rPr>
      <w:caps/>
    </w:rPr>
  </w:style>
  <w:style w:type="character" w:customStyle="1" w:styleId="Bold">
    <w:name w:val="Bold"/>
    <w:rsid w:val="00423789"/>
    <w:rPr>
      <w:b/>
    </w:rPr>
  </w:style>
  <w:style w:type="character" w:customStyle="1" w:styleId="Italic">
    <w:name w:val="Italic"/>
    <w:rsid w:val="00423789"/>
    <w:rPr>
      <w:i/>
    </w:rPr>
  </w:style>
  <w:style w:type="character" w:customStyle="1" w:styleId="Underline">
    <w:name w:val="Underline"/>
    <w:rsid w:val="00423789"/>
    <w:rPr>
      <w:u w:val="single"/>
    </w:rPr>
  </w:style>
  <w:style w:type="paragraph" w:customStyle="1" w:styleId="MainHead">
    <w:name w:val="Main Head"/>
    <w:basedOn w:val="Normal"/>
    <w:rsid w:val="00423789"/>
    <w:pPr>
      <w:keepNext/>
      <w:spacing w:after="240"/>
    </w:pPr>
    <w:rPr>
      <w:b/>
      <w:caps/>
    </w:rPr>
  </w:style>
  <w:style w:type="paragraph" w:customStyle="1" w:styleId="Equation">
    <w:name w:val="Equation"/>
    <w:basedOn w:val="Body"/>
    <w:rsid w:val="0053056E"/>
  </w:style>
  <w:style w:type="paragraph" w:customStyle="1" w:styleId="Figure">
    <w:name w:val="Figure"/>
    <w:basedOn w:val="Copyright"/>
    <w:rsid w:val="00030174"/>
    <w:pPr>
      <w:spacing w:after="240"/>
    </w:pPr>
    <w:rPr>
      <w:sz w:val="20"/>
    </w:rPr>
  </w:style>
  <w:style w:type="paragraph" w:styleId="Footer">
    <w:name w:val="footer"/>
    <w:basedOn w:val="Normal"/>
    <w:rsid w:val="00423789"/>
    <w:pPr>
      <w:tabs>
        <w:tab w:val="center" w:pos="4320"/>
        <w:tab w:val="right" w:pos="8640"/>
      </w:tabs>
    </w:pPr>
  </w:style>
  <w:style w:type="paragraph" w:customStyle="1" w:styleId="Head40">
    <w:name w:val="Head 4"/>
    <w:basedOn w:val="Head3"/>
    <w:rsid w:val="00423789"/>
    <w:rPr>
      <w:u w:val="none"/>
    </w:rPr>
  </w:style>
  <w:style w:type="paragraph" w:styleId="Header">
    <w:name w:val="header"/>
    <w:basedOn w:val="Normal"/>
    <w:rsid w:val="00423789"/>
    <w:pPr>
      <w:tabs>
        <w:tab w:val="center" w:pos="4320"/>
        <w:tab w:val="right" w:pos="8640"/>
      </w:tabs>
    </w:pPr>
  </w:style>
  <w:style w:type="paragraph" w:customStyle="1" w:styleId="Paper">
    <w:name w:val="Paper"/>
    <w:basedOn w:val="Normal"/>
    <w:rsid w:val="00423789"/>
    <w:pPr>
      <w:spacing w:after="360" w:line="440" w:lineRule="exact"/>
      <w:jc w:val="right"/>
    </w:pPr>
    <w:rPr>
      <w:b/>
      <w:sz w:val="36"/>
    </w:rPr>
  </w:style>
  <w:style w:type="paragraph" w:styleId="Signature">
    <w:name w:val="Signature"/>
    <w:basedOn w:val="Normal"/>
    <w:rsid w:val="00423789"/>
    <w:pPr>
      <w:ind w:left="4320"/>
    </w:pPr>
  </w:style>
  <w:style w:type="character" w:customStyle="1" w:styleId="Subscript">
    <w:name w:val="Subscript"/>
    <w:rsid w:val="00423789"/>
    <w:rPr>
      <w:vertAlign w:val="subscript"/>
    </w:rPr>
  </w:style>
  <w:style w:type="character" w:customStyle="1" w:styleId="Superscript">
    <w:name w:val="Superscript"/>
    <w:rsid w:val="00423789"/>
    <w:rPr>
      <w:vertAlign w:val="superscript"/>
    </w:rPr>
  </w:style>
  <w:style w:type="character" w:customStyle="1" w:styleId="Symbol">
    <w:name w:val="Symbol"/>
    <w:rsid w:val="00423789"/>
    <w:rPr>
      <w:rFonts w:ascii="Symbol" w:hAnsi="Symbol"/>
    </w:rPr>
  </w:style>
  <w:style w:type="paragraph" w:customStyle="1" w:styleId="SymbolP">
    <w:name w:val="Symbol P"/>
    <w:basedOn w:val="Body"/>
    <w:rsid w:val="00423789"/>
    <w:pPr>
      <w:tabs>
        <w:tab w:val="left" w:pos="720"/>
        <w:tab w:val="left" w:pos="3780"/>
      </w:tabs>
      <w:spacing w:after="0"/>
    </w:pPr>
    <w:rPr>
      <w:sz w:val="24"/>
    </w:rPr>
  </w:style>
  <w:style w:type="character" w:customStyle="1" w:styleId="BoldItal">
    <w:name w:val="BoldItal"/>
    <w:basedOn w:val="DefaultParagraphFont"/>
    <w:rsid w:val="00423789"/>
    <w:rPr>
      <w:b/>
      <w:i/>
    </w:rPr>
  </w:style>
  <w:style w:type="character" w:customStyle="1" w:styleId="SubItal">
    <w:name w:val="SubItal"/>
    <w:rsid w:val="00423789"/>
    <w:rPr>
      <w:i/>
      <w:vertAlign w:val="subscript"/>
    </w:rPr>
  </w:style>
  <w:style w:type="character" w:customStyle="1" w:styleId="SuperItal">
    <w:name w:val="SuperItal"/>
    <w:rsid w:val="00423789"/>
    <w:rPr>
      <w:i/>
      <w:vertAlign w:val="superscript"/>
    </w:rPr>
  </w:style>
  <w:style w:type="character" w:customStyle="1" w:styleId="SymItal">
    <w:name w:val="SymItal"/>
    <w:rsid w:val="00423789"/>
    <w:rPr>
      <w:rFonts w:ascii="Symbol" w:hAnsi="Symbol"/>
      <w:i/>
    </w:rPr>
  </w:style>
  <w:style w:type="character" w:styleId="Hyperlink">
    <w:name w:val="Hyperlink"/>
    <w:basedOn w:val="DefaultParagraphFont"/>
    <w:rsid w:val="00030174"/>
    <w:rPr>
      <w:color w:val="FF0080"/>
      <w:u w:val="single"/>
    </w:rPr>
  </w:style>
  <w:style w:type="character" w:styleId="FollowedHyperlink">
    <w:name w:val="FollowedHyperlink"/>
    <w:basedOn w:val="DefaultParagraphFont"/>
    <w:rsid w:val="00FB3A86"/>
    <w:rPr>
      <w:color w:val="800080"/>
      <w:u w:val="single"/>
    </w:rPr>
  </w:style>
  <w:style w:type="table" w:styleId="TableGrid">
    <w:name w:val="Table Grid"/>
    <w:basedOn w:val="TableNormal"/>
    <w:uiPriority w:val="59"/>
    <w:rsid w:val="00296529"/>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2">
    <w:name w:val="Body Text 2"/>
    <w:basedOn w:val="Normal"/>
    <w:link w:val="BodyText2Char"/>
    <w:rsid w:val="00EF7FD8"/>
    <w:pPr>
      <w:spacing w:after="120" w:line="480" w:lineRule="auto"/>
    </w:pPr>
  </w:style>
  <w:style w:type="character" w:customStyle="1" w:styleId="BodyText2Char">
    <w:name w:val="Body Text 2 Char"/>
    <w:basedOn w:val="DefaultParagraphFont"/>
    <w:link w:val="BodyText2"/>
    <w:rsid w:val="00EF7FD8"/>
    <w:rPr>
      <w:rFonts w:ascii="Helvetica" w:hAnsi="Helvetica"/>
    </w:rPr>
  </w:style>
  <w:style w:type="character" w:styleId="CommentReference">
    <w:name w:val="annotation reference"/>
    <w:basedOn w:val="DefaultParagraphFont"/>
    <w:uiPriority w:val="99"/>
    <w:unhideWhenUsed/>
    <w:rsid w:val="00746E59"/>
    <w:rPr>
      <w:sz w:val="16"/>
      <w:szCs w:val="16"/>
    </w:rPr>
  </w:style>
  <w:style w:type="paragraph" w:styleId="CommentText">
    <w:name w:val="annotation text"/>
    <w:basedOn w:val="Normal"/>
    <w:link w:val="CommentTextChar"/>
    <w:uiPriority w:val="99"/>
    <w:unhideWhenUsed/>
    <w:rsid w:val="00746E59"/>
    <w:rPr>
      <w:rFonts w:ascii="Times New Roman" w:hAnsi="Times New Roman"/>
      <w:lang w:val="nb-NO" w:eastAsia="nb-NO"/>
    </w:rPr>
  </w:style>
  <w:style w:type="character" w:customStyle="1" w:styleId="CommentTextChar">
    <w:name w:val="Comment Text Char"/>
    <w:basedOn w:val="DefaultParagraphFont"/>
    <w:link w:val="CommentText"/>
    <w:uiPriority w:val="99"/>
    <w:rsid w:val="00746E59"/>
    <w:rPr>
      <w:lang w:val="nb-NO" w:eastAsia="nb-NO"/>
    </w:rPr>
  </w:style>
  <w:style w:type="paragraph" w:styleId="BalloonText">
    <w:name w:val="Balloon Text"/>
    <w:basedOn w:val="Normal"/>
    <w:link w:val="BalloonTextChar"/>
    <w:rsid w:val="00746E59"/>
    <w:rPr>
      <w:rFonts w:ascii="Tahoma" w:hAnsi="Tahoma" w:cs="Tahoma"/>
      <w:sz w:val="16"/>
      <w:szCs w:val="16"/>
    </w:rPr>
  </w:style>
  <w:style w:type="character" w:customStyle="1" w:styleId="BalloonTextChar">
    <w:name w:val="Balloon Text Char"/>
    <w:basedOn w:val="DefaultParagraphFont"/>
    <w:link w:val="BalloonText"/>
    <w:rsid w:val="00746E59"/>
    <w:rPr>
      <w:rFonts w:ascii="Tahoma" w:hAnsi="Tahoma" w:cs="Tahoma"/>
      <w:sz w:val="16"/>
      <w:szCs w:val="16"/>
    </w:rPr>
  </w:style>
  <w:style w:type="paragraph" w:styleId="BodyText3">
    <w:name w:val="Body Text 3"/>
    <w:basedOn w:val="Normal"/>
    <w:link w:val="BodyText3Char"/>
    <w:rsid w:val="00231920"/>
    <w:pPr>
      <w:spacing w:after="120"/>
    </w:pPr>
    <w:rPr>
      <w:sz w:val="16"/>
      <w:szCs w:val="16"/>
    </w:rPr>
  </w:style>
  <w:style w:type="character" w:customStyle="1" w:styleId="BodyText3Char">
    <w:name w:val="Body Text 3 Char"/>
    <w:basedOn w:val="DefaultParagraphFont"/>
    <w:link w:val="BodyText3"/>
    <w:rsid w:val="00231920"/>
    <w:rPr>
      <w:rFonts w:ascii="Helvetica" w:hAnsi="Helvetica"/>
      <w:sz w:val="16"/>
      <w:szCs w:val="16"/>
    </w:rPr>
  </w:style>
  <w:style w:type="character" w:styleId="LineNumber">
    <w:name w:val="line number"/>
    <w:basedOn w:val="DefaultParagraphFont"/>
    <w:rsid w:val="00412475"/>
  </w:style>
  <w:style w:type="character" w:styleId="Emphasis">
    <w:name w:val="Emphasis"/>
    <w:basedOn w:val="DefaultParagraphFont"/>
    <w:uiPriority w:val="20"/>
    <w:qFormat/>
    <w:rsid w:val="0024282C"/>
    <w:rPr>
      <w:i/>
      <w:iCs/>
    </w:rPr>
  </w:style>
  <w:style w:type="character" w:customStyle="1" w:styleId="UnresolvedMention1">
    <w:name w:val="Unresolved Mention1"/>
    <w:basedOn w:val="DefaultParagraphFont"/>
    <w:uiPriority w:val="99"/>
    <w:semiHidden/>
    <w:unhideWhenUsed/>
    <w:rsid w:val="00287E68"/>
    <w:rPr>
      <w:color w:val="605E5C"/>
      <w:shd w:val="clear" w:color="auto" w:fill="E1DFDD"/>
    </w:rPr>
  </w:style>
  <w:style w:type="paragraph" w:styleId="Subtitle">
    <w:name w:val="Subtitle"/>
    <w:basedOn w:val="Normal"/>
    <w:next w:val="Normal"/>
    <w:link w:val="SubtitleChar"/>
    <w:uiPriority w:val="11"/>
    <w:qFormat/>
    <w:pPr>
      <w:keepNext/>
      <w:keepLines/>
      <w:spacing w:after="320" w:line="276" w:lineRule="auto"/>
    </w:pPr>
    <w:rPr>
      <w:rFonts w:ascii="Arial" w:eastAsia="Arial" w:hAnsi="Arial" w:cs="Arial"/>
      <w:color w:val="666666"/>
      <w:sz w:val="30"/>
      <w:szCs w:val="30"/>
    </w:rPr>
  </w:style>
  <w:style w:type="character" w:customStyle="1" w:styleId="SubtitleChar">
    <w:name w:val="Subtitle Char"/>
    <w:basedOn w:val="DefaultParagraphFont"/>
    <w:link w:val="Subtitle"/>
    <w:rsid w:val="00290BDD"/>
    <w:rPr>
      <w:rFonts w:ascii="Arial" w:eastAsia="Arial" w:hAnsi="Arial" w:cs="Arial"/>
      <w:color w:val="666666"/>
      <w:sz w:val="30"/>
      <w:szCs w:val="30"/>
      <w:lang w:eastAsia="pt-BR"/>
    </w:rPr>
  </w:style>
  <w:style w:type="character" w:customStyle="1" w:styleId="UnresolvedMention">
    <w:name w:val="Unresolved Mention"/>
    <w:basedOn w:val="DefaultParagraphFont"/>
    <w:uiPriority w:val="99"/>
    <w:semiHidden/>
    <w:unhideWhenUsed/>
    <w:rsid w:val="0096443D"/>
    <w:rPr>
      <w:color w:val="605E5C"/>
      <w:shd w:val="clear" w:color="auto" w:fill="E1DFDD"/>
    </w:rPr>
  </w:style>
  <w:style w:type="paragraph" w:styleId="ListParagraph">
    <w:name w:val="List Paragraph"/>
    <w:basedOn w:val="Normal"/>
    <w:uiPriority w:val="34"/>
    <w:qFormat/>
    <w:rsid w:val="00F46276"/>
    <w:pPr>
      <w:ind w:left="720"/>
      <w:contextualSpacing/>
    </w:p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44134645">
      <w:bodyDiv w:val="1"/>
      <w:marLeft w:val="0"/>
      <w:marRight w:val="0"/>
      <w:marTop w:val="0"/>
      <w:marBottom w:val="0"/>
      <w:divBdr>
        <w:top w:val="none" w:sz="0" w:space="0" w:color="auto"/>
        <w:left w:val="none" w:sz="0" w:space="0" w:color="auto"/>
        <w:bottom w:val="none" w:sz="0" w:space="0" w:color="auto"/>
        <w:right w:val="none" w:sz="0" w:space="0" w:color="auto"/>
      </w:divBdr>
      <w:divsChild>
        <w:div w:id="653070502">
          <w:marLeft w:val="0"/>
          <w:marRight w:val="0"/>
          <w:marTop w:val="0"/>
          <w:marBottom w:val="0"/>
          <w:divBdr>
            <w:top w:val="none" w:sz="0" w:space="0" w:color="auto"/>
            <w:left w:val="none" w:sz="0" w:space="0" w:color="auto"/>
            <w:bottom w:val="none" w:sz="0" w:space="0" w:color="auto"/>
            <w:right w:val="none" w:sz="0" w:space="0" w:color="auto"/>
          </w:divBdr>
        </w:div>
      </w:divsChild>
    </w:div>
    <w:div w:id="2124032201">
      <w:bodyDiv w:val="1"/>
      <w:marLeft w:val="0"/>
      <w:marRight w:val="0"/>
      <w:marTop w:val="0"/>
      <w:marBottom w:val="0"/>
      <w:divBdr>
        <w:top w:val="none" w:sz="0" w:space="0" w:color="auto"/>
        <w:left w:val="none" w:sz="0" w:space="0" w:color="auto"/>
        <w:bottom w:val="none" w:sz="0" w:space="0" w:color="auto"/>
        <w:right w:val="none" w:sz="0" w:space="0" w:color="auto"/>
      </w:divBdr>
      <w:divsChild>
        <w:div w:id="1304699429">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4.png"/><Relationship Id="rId26" Type="http://schemas.openxmlformats.org/officeDocument/2006/relationships/hyperlink" Target="https://doi.org/10.1186/1477-7827-4-18" TargetMode="External"/><Relationship Id="rId39" Type="http://schemas.openxmlformats.org/officeDocument/2006/relationships/hyperlink" Target="https://doi.org/10.1210/jcem.85.4.6509" TargetMode="External"/><Relationship Id="rId21" Type="http://schemas.openxmlformats.org/officeDocument/2006/relationships/hyperlink" Target="https://doi.org/10.1038/s41598-020-76038-w" TargetMode="External"/><Relationship Id="rId34" Type="http://schemas.openxmlformats.org/officeDocument/2006/relationships/hyperlink" Target="https://doi.org/10.1111/j.1600-0765.2004.00710.x" TargetMode="External"/><Relationship Id="rId42" Type="http://schemas.openxmlformats.org/officeDocument/2006/relationships/hyperlink" Target="https://doi.org/10.1038/s41368-019-0064-z" TargetMode="External"/><Relationship Id="rId47" Type="http://schemas.openxmlformats.org/officeDocument/2006/relationships/hyperlink" Target="https://doi.org/10.1172/JCI41350" TargetMode="External"/><Relationship Id="rId50" Type="http://schemas.openxmlformats.org/officeDocument/2006/relationships/hyperlink" Target="https://doi.org/10.1126/science.94.2449.545.b" TargetMode="External"/><Relationship Id="rId55" Type="http://schemas.openxmlformats.org/officeDocument/2006/relationships/hyperlink" Target="https://doi.org/10.1186/s12974-023-02747-4" TargetMode="External"/><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hyperlink" Target="https://doi.org/10.1038/s41577-020-00488-6" TargetMode="External"/><Relationship Id="rId11" Type="http://schemas.openxmlformats.org/officeDocument/2006/relationships/footer" Target="footer2.xml"/><Relationship Id="rId24" Type="http://schemas.openxmlformats.org/officeDocument/2006/relationships/hyperlink" Target="https://doi.org/10.1590/S1806-83242005000400010" TargetMode="External"/><Relationship Id="rId32" Type="http://schemas.openxmlformats.org/officeDocument/2006/relationships/hyperlink" Target="https://doi.org/10.1146/annurev.physiol.59.1.349" TargetMode="External"/><Relationship Id="rId37" Type="http://schemas.openxmlformats.org/officeDocument/2006/relationships/hyperlink" Target="https://doi.org/10.3168/jds.S0022-0302(01)74643-7" TargetMode="External"/><Relationship Id="rId40" Type="http://schemas.openxmlformats.org/officeDocument/2006/relationships/hyperlink" Target="https://doi.org/10.1111/j.1600-051X.1994.tb00783.x" TargetMode="External"/><Relationship Id="rId45" Type="http://schemas.openxmlformats.org/officeDocument/2006/relationships/hyperlink" Target="https://doi.org/10.1210/endo.139.12.6353" TargetMode="External"/><Relationship Id="rId53" Type="http://schemas.openxmlformats.org/officeDocument/2006/relationships/hyperlink" Target="https://doi.org/10.1016/j.ajpath.2016.01.013" TargetMode="External"/><Relationship Id="rId58" Type="http://schemas.openxmlformats.org/officeDocument/2006/relationships/hyperlink" Target="https://doi.org/10.1007/s12020-014-0250-x" TargetMode="External"/><Relationship Id="rId5" Type="http://schemas.openxmlformats.org/officeDocument/2006/relationships/webSettings" Target="webSettings.xml"/><Relationship Id="rId61" Type="http://schemas.openxmlformats.org/officeDocument/2006/relationships/footer" Target="footer4.xml"/><Relationship Id="rId19" Type="http://schemas.openxmlformats.org/officeDocument/2006/relationships/image" Target="media/image5.png"/><Relationship Id="rId14" Type="http://schemas.openxmlformats.org/officeDocument/2006/relationships/image" Target="media/image8.png"/><Relationship Id="rId22" Type="http://schemas.openxmlformats.org/officeDocument/2006/relationships/hyperlink" Target="https://doi.org/10.1093/biolre/ioy259" TargetMode="External"/><Relationship Id="rId27" Type="http://schemas.openxmlformats.org/officeDocument/2006/relationships/hyperlink" Target="https://doi.org/10.1007/s10456-005-9004-y" TargetMode="External"/><Relationship Id="rId30" Type="http://schemas.openxmlformats.org/officeDocument/2006/relationships/hyperlink" Target="https://doi.org/10.1071/RD14224" TargetMode="External"/><Relationship Id="rId35" Type="http://schemas.openxmlformats.org/officeDocument/2006/relationships/hyperlink" Target="https://doi.org/10.1111/idj.12630" TargetMode="External"/><Relationship Id="rId43" Type="http://schemas.openxmlformats.org/officeDocument/2006/relationships/hyperlink" Target="https://doi.org/10.1210/jc.2012-1681" TargetMode="External"/><Relationship Id="rId48" Type="http://schemas.openxmlformats.org/officeDocument/2006/relationships/hyperlink" Target="https://doi.org/10.1111/j.1365-2818.2008.02117.x" TargetMode="External"/><Relationship Id="rId56" Type="http://schemas.openxmlformats.org/officeDocument/2006/relationships/hyperlink" Target="https://doi.org/10.4187/respcare.06314" TargetMode="External"/><Relationship Id="rId64"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hyperlink" Target="https://doi.org/10.1126/science.94.2449.545.b"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3.png"/><Relationship Id="rId25" Type="http://schemas.openxmlformats.org/officeDocument/2006/relationships/hyperlink" Target="https://doi.org/10.1016/S0378-4320(03)00088-5" TargetMode="External"/><Relationship Id="rId33" Type="http://schemas.openxmlformats.org/officeDocument/2006/relationships/hyperlink" Target="https://doi.org/10.14219/jada.archive.2002.0171" TargetMode="External"/><Relationship Id="rId38" Type="http://schemas.openxmlformats.org/officeDocument/2006/relationships/hyperlink" Target="https://doi.org/10.1590/S1519-69842002000400008" TargetMode="External"/><Relationship Id="rId46" Type="http://schemas.openxmlformats.org/officeDocument/2006/relationships/hyperlink" Target="https://doi.org/10.3390/cells10112921" TargetMode="External"/><Relationship Id="rId59" Type="http://schemas.openxmlformats.org/officeDocument/2006/relationships/header" Target="header4.xml"/><Relationship Id="rId20" Type="http://schemas.openxmlformats.org/officeDocument/2006/relationships/image" Target="media/image6.png"/><Relationship Id="rId41" Type="http://schemas.openxmlformats.org/officeDocument/2006/relationships/hyperlink" Target="https://doi.org/10.1111/jre.12823" TargetMode="External"/><Relationship Id="rId54" Type="http://schemas.openxmlformats.org/officeDocument/2006/relationships/hyperlink" Target="https://doi.org/10.1111/jre.13277" TargetMode="External"/><Relationship Id="rId62"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png"/><Relationship Id="rId23" Type="http://schemas.openxmlformats.org/officeDocument/2006/relationships/hyperlink" Target="https://doi.org/10.1902/jop.1981.52.8.430" TargetMode="External"/><Relationship Id="rId28" Type="http://schemas.openxmlformats.org/officeDocument/2006/relationships/hyperlink" Target="https://doi.org/10.1590/S0365-05962007000100009" TargetMode="External"/><Relationship Id="rId36" Type="http://schemas.openxmlformats.org/officeDocument/2006/relationships/hyperlink" Target="https://doi.org/10.1210/en.2015-1711" TargetMode="External"/><Relationship Id="rId49" Type="http://schemas.openxmlformats.org/officeDocument/2006/relationships/hyperlink" Target="https://doi.org/10.1016/S0006-291X(02)00431-X" TargetMode="External"/><Relationship Id="rId57" Type="http://schemas.openxmlformats.org/officeDocument/2006/relationships/hyperlink" Target="https://www.who.int/news-room/fact-sheets/detail/oral-health" TargetMode="External"/><Relationship Id="rId10" Type="http://schemas.openxmlformats.org/officeDocument/2006/relationships/footer" Target="footer1.xml"/><Relationship Id="rId31" Type="http://schemas.openxmlformats.org/officeDocument/2006/relationships/hyperlink" Target="https://doi.org/10.1159/000536223" TargetMode="External"/><Relationship Id="rId44" Type="http://schemas.openxmlformats.org/officeDocument/2006/relationships/hyperlink" Target="https://doi.org/10.1093/humupd/dmq032" TargetMode="External"/><Relationship Id="rId52" Type="http://schemas.openxmlformats.org/officeDocument/2006/relationships/hyperlink" Target="https://doi.org/10.1017/s0967199420000222" TargetMode="External"/><Relationship Id="rId60" Type="http://schemas.openxmlformats.org/officeDocument/2006/relationships/header" Target="header5.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0UgvVlPSjqFrc2XPjEXaSUTmTGA==">CgMxLjAyDmguNGtxa20zNHNxYWhuMg5oLnM3YWtzMnU1MjRyMDIOaC5kdzV3bXdsdnBqbmcyDmgucjJrODRrbGEwYnhtOAByITFVbVNxQXFSUXlqa21yWVdYY2tTQkpZMjI3LWtNWXB4Wg==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158</TotalTime>
  <Pages>26</Pages>
  <Words>6901</Words>
  <Characters>39342</Characters>
  <Application>Microsoft Office Word</Application>
  <DocSecurity>0</DocSecurity>
  <Lines>327</Lines>
  <Paragraphs>92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46151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SDI</dc:creator>
  <cp:lastModifiedBy>SDI CPU 1127</cp:lastModifiedBy>
  <cp:revision>27</cp:revision>
  <dcterms:created xsi:type="dcterms:W3CDTF">2014-10-25T14:34:00Z</dcterms:created>
  <dcterms:modified xsi:type="dcterms:W3CDTF">2025-04-01T07:47:00Z</dcterms:modified>
</cp:coreProperties>
</file>