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BCF37" w14:textId="77777777" w:rsidR="001B66FE" w:rsidRPr="00574B9E" w:rsidRDefault="001B66FE" w:rsidP="00B240C0">
      <w:pPr>
        <w:spacing w:before="120" w:after="120" w:line="360" w:lineRule="auto"/>
        <w:jc w:val="both"/>
        <w:rPr>
          <w:rFonts w:ascii="Arial" w:eastAsia="Times New Roman" w:hAnsi="Arial" w:cs="Arial"/>
          <w:sz w:val="20"/>
          <w:szCs w:val="20"/>
        </w:rPr>
      </w:pPr>
    </w:p>
    <w:p w14:paraId="6D491A57" w14:textId="77777777" w:rsidR="00574B9E" w:rsidRPr="00574B9E" w:rsidRDefault="001B66FE" w:rsidP="00574B9E">
      <w:pPr>
        <w:spacing w:before="120" w:after="120" w:line="360" w:lineRule="auto"/>
        <w:jc w:val="center"/>
        <w:rPr>
          <w:rFonts w:ascii="Arial" w:eastAsia="Times New Roman" w:hAnsi="Arial" w:cs="Arial"/>
          <w:b/>
          <w:sz w:val="20"/>
          <w:szCs w:val="20"/>
        </w:rPr>
      </w:pPr>
      <w:r w:rsidRPr="00574B9E">
        <w:rPr>
          <w:rFonts w:ascii="Arial" w:eastAsia="Times New Roman" w:hAnsi="Arial" w:cs="Arial"/>
          <w:b/>
          <w:sz w:val="20"/>
          <w:szCs w:val="20"/>
        </w:rPr>
        <w:t>Examining the Decision-Making Process of Public Tendering and Acquisition</w:t>
      </w:r>
      <w:r w:rsidR="00574B9E" w:rsidRPr="00574B9E">
        <w:rPr>
          <w:rFonts w:ascii="Arial" w:eastAsia="Times New Roman" w:hAnsi="Arial" w:cs="Arial"/>
          <w:b/>
          <w:sz w:val="20"/>
          <w:szCs w:val="20"/>
        </w:rPr>
        <w:t xml:space="preserve"> -</w:t>
      </w:r>
      <w:r w:rsidRPr="00574B9E">
        <w:rPr>
          <w:rFonts w:ascii="Arial" w:eastAsia="Times New Roman" w:hAnsi="Arial" w:cs="Arial"/>
          <w:b/>
          <w:sz w:val="20"/>
          <w:szCs w:val="20"/>
        </w:rPr>
        <w:t xml:space="preserve">The case of National Tender Board, Hargeisa, </w:t>
      </w:r>
      <w:commentRangeStart w:id="0"/>
      <w:commentRangeStart w:id="1"/>
      <w:commentRangeStart w:id="2"/>
      <w:r w:rsidRPr="00574B9E">
        <w:rPr>
          <w:rFonts w:ascii="Arial" w:eastAsia="Times New Roman" w:hAnsi="Arial" w:cs="Arial"/>
          <w:b/>
          <w:sz w:val="20"/>
          <w:szCs w:val="20"/>
        </w:rPr>
        <w:t>Somaliland</w:t>
      </w:r>
      <w:bookmarkStart w:id="3" w:name="_Toc173413857"/>
      <w:commentRangeEnd w:id="0"/>
      <w:r w:rsidR="00127807">
        <w:rPr>
          <w:rStyle w:val="ae"/>
        </w:rPr>
        <w:commentReference w:id="0"/>
      </w:r>
      <w:commentRangeEnd w:id="2"/>
      <w:r w:rsidR="00127807">
        <w:rPr>
          <w:rStyle w:val="ae"/>
        </w:rPr>
        <w:commentReference w:id="2"/>
      </w:r>
      <w:r w:rsidR="00574B9E" w:rsidRPr="00574B9E">
        <w:rPr>
          <w:rFonts w:ascii="Arial" w:eastAsia="Times New Roman" w:hAnsi="Arial" w:cs="Arial"/>
          <w:b/>
          <w:sz w:val="20"/>
          <w:szCs w:val="20"/>
        </w:rPr>
        <w:t>.</w:t>
      </w:r>
      <w:commentRangeEnd w:id="1"/>
      <w:r w:rsidR="00127807">
        <w:rPr>
          <w:rStyle w:val="ae"/>
        </w:rPr>
        <w:commentReference w:id="1"/>
      </w:r>
    </w:p>
    <w:p w14:paraId="28845FA3" w14:textId="77777777" w:rsidR="00574B9E" w:rsidRPr="00574B9E" w:rsidRDefault="00574B9E" w:rsidP="00574B9E">
      <w:pPr>
        <w:spacing w:before="120" w:after="120" w:line="360" w:lineRule="auto"/>
        <w:jc w:val="center"/>
        <w:rPr>
          <w:rFonts w:ascii="Arial" w:eastAsia="Times New Roman" w:hAnsi="Arial" w:cs="Arial"/>
          <w:b/>
          <w:sz w:val="20"/>
          <w:szCs w:val="20"/>
        </w:rPr>
      </w:pPr>
    </w:p>
    <w:p w14:paraId="381E736D" w14:textId="77777777" w:rsidR="00A61E00" w:rsidRDefault="00A61E00" w:rsidP="00B240C0">
      <w:pPr>
        <w:spacing w:line="360" w:lineRule="auto"/>
        <w:jc w:val="both"/>
        <w:rPr>
          <w:rFonts w:ascii="Arial" w:hAnsi="Arial" w:cs="Arial"/>
          <w:b/>
          <w:bCs/>
          <w:lang w:bidi="en-US"/>
        </w:rPr>
      </w:pPr>
    </w:p>
    <w:p w14:paraId="1470B871" w14:textId="7683C4B6" w:rsidR="001B66FE" w:rsidRPr="00574B9E" w:rsidRDefault="001B66FE" w:rsidP="00B240C0">
      <w:pPr>
        <w:spacing w:line="360" w:lineRule="auto"/>
        <w:jc w:val="both"/>
        <w:rPr>
          <w:rFonts w:ascii="Arial" w:hAnsi="Arial" w:cs="Arial"/>
          <w:b/>
          <w:bCs/>
          <w:lang w:bidi="en-US"/>
        </w:rPr>
      </w:pPr>
      <w:r w:rsidRPr="00574B9E">
        <w:rPr>
          <w:rFonts w:ascii="Arial" w:hAnsi="Arial" w:cs="Arial"/>
          <w:b/>
          <w:bCs/>
          <w:lang w:bidi="en-US"/>
        </w:rPr>
        <w:t>ABSTRACT</w:t>
      </w:r>
      <w:bookmarkEnd w:id="3"/>
      <w:r w:rsidRPr="00574B9E">
        <w:rPr>
          <w:rFonts w:ascii="Arial" w:hAnsi="Arial" w:cs="Arial"/>
          <w:b/>
          <w:bCs/>
          <w:lang w:bidi="en-US"/>
        </w:rPr>
        <w:t xml:space="preserve"> </w:t>
      </w:r>
    </w:p>
    <w:p w14:paraId="43607E20" w14:textId="77777777" w:rsidR="00576B21" w:rsidRPr="00574B9E" w:rsidRDefault="00576B21" w:rsidP="00B240C0">
      <w:pPr>
        <w:spacing w:line="360" w:lineRule="auto"/>
        <w:jc w:val="both"/>
        <w:rPr>
          <w:rFonts w:ascii="Arial" w:hAnsi="Arial" w:cs="Arial"/>
          <w:sz w:val="20"/>
          <w:szCs w:val="20"/>
          <w:lang w:bidi="en-US"/>
        </w:rPr>
      </w:pPr>
      <w:r w:rsidRPr="00574B9E">
        <w:rPr>
          <w:rFonts w:ascii="Arial" w:hAnsi="Arial" w:cs="Arial"/>
          <w:sz w:val="20"/>
          <w:szCs w:val="20"/>
          <w:lang w:bidi="en-US"/>
        </w:rPr>
        <w:t>This study investigates the decision-making processes within the Somaliland National Tender Board (SNTB) concerning public tendering and acquisition. Employing a quantitative approach and a comprehensive questionnaire survey, the research examines the impact of evaluation criteria, decision-making styles, and transparency levels on procurement outcomes. The findings underscore the critical role of transparency and accountability in ensuring equitable and efficient public procurement. Notably, the study identifies specific areas for improvement, including the need for enhanced standardization of evaluation criteria and the promotion of multi-criteria decision-making techniques.</w:t>
      </w:r>
    </w:p>
    <w:p w14:paraId="67D35881" w14:textId="77777777" w:rsidR="00576B21" w:rsidRPr="00574B9E" w:rsidRDefault="00576B21" w:rsidP="00B240C0">
      <w:pPr>
        <w:spacing w:line="360" w:lineRule="auto"/>
        <w:jc w:val="both"/>
        <w:rPr>
          <w:rFonts w:ascii="Arial" w:hAnsi="Arial" w:cs="Arial"/>
          <w:sz w:val="20"/>
          <w:szCs w:val="20"/>
          <w:lang w:bidi="en-US"/>
        </w:rPr>
      </w:pPr>
      <w:r w:rsidRPr="00574B9E">
        <w:rPr>
          <w:rFonts w:ascii="Arial" w:hAnsi="Arial" w:cs="Arial"/>
          <w:sz w:val="20"/>
          <w:szCs w:val="20"/>
          <w:lang w:bidi="en-US"/>
        </w:rPr>
        <w:t>Given Somaliland's unique socio-political context and its ongoing efforts to build robust public institutions, this research holds significant implications for strengthening governance and promoting sustainable development. By providing empirical evidence on the factors influencing procurement outcomes, this study offers valuable guidance for policymakers seeking to optimize resource allocation, enhance transparency, and foster public trust. Ultimately, the findings contribute to the broader goal of improving public service delivery and promoting responsible fiscal management within Somaliland.</w:t>
      </w:r>
    </w:p>
    <w:p w14:paraId="31F7469F" w14:textId="77777777" w:rsidR="001B66FE" w:rsidRPr="00526F3B" w:rsidRDefault="00576B21" w:rsidP="00526F3B">
      <w:pPr>
        <w:spacing w:line="360" w:lineRule="auto"/>
        <w:jc w:val="both"/>
        <w:rPr>
          <w:rFonts w:ascii="Arial" w:hAnsi="Arial" w:cs="Arial"/>
          <w:i/>
          <w:iCs/>
          <w:sz w:val="20"/>
          <w:szCs w:val="20"/>
          <w:lang w:bidi="en-US"/>
        </w:rPr>
      </w:pPr>
      <w:r w:rsidRPr="00574B9E">
        <w:rPr>
          <w:rFonts w:ascii="Arial" w:hAnsi="Arial" w:cs="Arial"/>
          <w:b/>
          <w:bCs/>
          <w:sz w:val="20"/>
          <w:szCs w:val="20"/>
          <w:lang w:bidi="en-US"/>
        </w:rPr>
        <w:t>Keywords</w:t>
      </w:r>
      <w:r w:rsidRPr="00526F3B">
        <w:rPr>
          <w:rFonts w:ascii="Arial" w:hAnsi="Arial" w:cs="Arial"/>
          <w:b/>
          <w:bCs/>
          <w:i/>
          <w:iCs/>
          <w:sz w:val="20"/>
          <w:szCs w:val="20"/>
          <w:lang w:bidi="en-US"/>
        </w:rPr>
        <w:t>:</w:t>
      </w:r>
      <w:r w:rsidRPr="00526F3B">
        <w:rPr>
          <w:rFonts w:ascii="Arial" w:hAnsi="Arial" w:cs="Arial"/>
          <w:i/>
          <w:iCs/>
          <w:sz w:val="20"/>
          <w:szCs w:val="20"/>
          <w:lang w:bidi="en-US"/>
        </w:rPr>
        <w:t xml:space="preserve"> Public Procurement, Decision-Making, Evaluation Criteria, Transparency, Accountability, Multi-Criteria Decision Making (MCDM), Somaliland National Tender Board,</w:t>
      </w:r>
    </w:p>
    <w:p w14:paraId="765D21F7" w14:textId="77777777" w:rsidR="00511F32" w:rsidRPr="00574B9E" w:rsidRDefault="00962684" w:rsidP="00B240C0">
      <w:pPr>
        <w:spacing w:line="360" w:lineRule="auto"/>
        <w:jc w:val="both"/>
        <w:rPr>
          <w:rFonts w:ascii="Arial" w:hAnsi="Arial" w:cs="Arial"/>
          <w:b/>
          <w:bCs/>
          <w:sz w:val="20"/>
          <w:szCs w:val="20"/>
          <w:lang w:bidi="en-US"/>
        </w:rPr>
      </w:pPr>
      <w:r w:rsidRPr="00574B9E">
        <w:rPr>
          <w:rFonts w:ascii="Arial" w:hAnsi="Arial" w:cs="Arial"/>
          <w:b/>
          <w:bCs/>
          <w:sz w:val="20"/>
          <w:szCs w:val="20"/>
          <w:lang w:bidi="en-US"/>
        </w:rPr>
        <w:t xml:space="preserve">1.1 </w:t>
      </w:r>
      <w:r w:rsidR="00526F3B">
        <w:rPr>
          <w:rFonts w:ascii="Arial" w:hAnsi="Arial" w:cs="Arial"/>
          <w:b/>
          <w:bCs/>
          <w:lang w:bidi="en-US"/>
        </w:rPr>
        <w:t>INTRODUCTION</w:t>
      </w:r>
      <w:r w:rsidRPr="00526F3B">
        <w:rPr>
          <w:rFonts w:ascii="Arial" w:hAnsi="Arial" w:cs="Arial"/>
          <w:b/>
          <w:bCs/>
          <w:lang w:bidi="en-US"/>
        </w:rPr>
        <w:t xml:space="preserve"> </w:t>
      </w:r>
    </w:p>
    <w:p w14:paraId="6DED099F"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Public procurement, the process by which governments acquire goods, works, and services, is a cornerstone of public administration and fiscal management (Johnson et al., 2003). It's not merely a transactional activity; it's a strategic function that significantly influences the efficient delivery of public services and the overall economic health of a nation (Hughes, 2005). Governments, as major economic actors, are responsible for substantial public expenditures, making effective procurement practices paramount (Knight et al., 2003).</w:t>
      </w:r>
    </w:p>
    <w:p w14:paraId="39971392"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The complexities of public procurement extend beyond simple purchasing. It involves a multifaceted decision-making process, often requiring the balancing of competing objectives, such as cost-effectiveness, quality, sustainability, and social responsibility (Neely et al., 2018). Moreover, public procurement operates within a framework of legal and regulatory constraints designed to ensure transparency, fairness, and </w:t>
      </w:r>
      <w:r w:rsidRPr="00574B9E">
        <w:rPr>
          <w:rFonts w:ascii="Arial" w:eastAsiaTheme="majorEastAsia" w:hAnsi="Arial" w:cs="Arial"/>
          <w:sz w:val="20"/>
          <w:szCs w:val="20"/>
          <w:lang w:bidi="en-US"/>
        </w:rPr>
        <w:lastRenderedPageBreak/>
        <w:t xml:space="preserve">accountability. For instance, the European Union has established directives (EC, 2004a and </w:t>
      </w:r>
      <w:commentRangeStart w:id="4"/>
      <w:r w:rsidRPr="00574B9E">
        <w:rPr>
          <w:rFonts w:ascii="Arial" w:eastAsiaTheme="majorEastAsia" w:hAnsi="Arial" w:cs="Arial"/>
          <w:sz w:val="20"/>
          <w:szCs w:val="20"/>
          <w:lang w:bidi="en-US"/>
        </w:rPr>
        <w:t>2004b</w:t>
      </w:r>
      <w:commentRangeEnd w:id="4"/>
      <w:r w:rsidR="00566259">
        <w:rPr>
          <w:rStyle w:val="ae"/>
        </w:rPr>
        <w:commentReference w:id="4"/>
      </w:r>
      <w:r w:rsidRPr="00574B9E">
        <w:rPr>
          <w:rFonts w:ascii="Arial" w:eastAsiaTheme="majorEastAsia" w:hAnsi="Arial" w:cs="Arial"/>
          <w:sz w:val="20"/>
          <w:szCs w:val="20"/>
          <w:lang w:bidi="en-US"/>
        </w:rPr>
        <w:t>) that set standards for member states' procurement procedures, highlighting the importance of standardized and regulated practices.</w:t>
      </w:r>
    </w:p>
    <w:p w14:paraId="73D696C9"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However, the implementation of these regulations can pose challenges for procurement professionals (</w:t>
      </w:r>
      <w:proofErr w:type="spellStart"/>
      <w:r w:rsidRPr="00574B9E">
        <w:rPr>
          <w:rFonts w:ascii="Arial" w:eastAsiaTheme="majorEastAsia" w:hAnsi="Arial" w:cs="Arial"/>
          <w:sz w:val="20"/>
          <w:szCs w:val="20"/>
          <w:lang w:bidi="en-US"/>
        </w:rPr>
        <w:t>Krüger</w:t>
      </w:r>
      <w:proofErr w:type="spellEnd"/>
      <w:r w:rsidRPr="00574B9E">
        <w:rPr>
          <w:rFonts w:ascii="Arial" w:eastAsiaTheme="majorEastAsia" w:hAnsi="Arial" w:cs="Arial"/>
          <w:sz w:val="20"/>
          <w:szCs w:val="20"/>
          <w:lang w:bidi="en-US"/>
        </w:rPr>
        <w:t>, 2006; Lian and Laing, 2004; Harland et al., 2000). Decision-makers must navigate complex legal requirements while striving to achieve value for money and meet the needs of their communities. This necessitates a deep understanding of procurement principles, market dynamics, and the specific context in which they operate.</w:t>
      </w:r>
    </w:p>
    <w:p w14:paraId="0A63998E"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Furthermore, the advent of e-procurement systems (McManus, 2002; Knight et al., 2003; Thai, 2005; Vaidya et al., 2009) has transformed procurement practices, offering opportunities for increased efficiency and transparency. However, these systems primarily focus on administrative and transactional aspects, leaving a gap in comprehensive decision support for procurement professionals.</w:t>
      </w:r>
    </w:p>
    <w:p w14:paraId="2A068BDE"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The absence of a robust decision support system is partly attributed to the lack of a comprehensive model of the public procurement decision-making process (de Boer et al., 20011). This deficiency hinders the development of tools that can effectively guide decision-makers in navigating the complexities of procurement regulations and achieving optimal outcomes. Moreover, the recognition that public agencies are subject to the same cognitive biases as individuals (Rajala &amp; </w:t>
      </w:r>
      <w:proofErr w:type="spellStart"/>
      <w:r w:rsidRPr="00574B9E">
        <w:rPr>
          <w:rFonts w:ascii="Arial" w:eastAsiaTheme="majorEastAsia" w:hAnsi="Arial" w:cs="Arial"/>
          <w:sz w:val="20"/>
          <w:szCs w:val="20"/>
          <w:lang w:bidi="en-US"/>
        </w:rPr>
        <w:t>Tidström</w:t>
      </w:r>
      <w:proofErr w:type="spellEnd"/>
      <w:r w:rsidRPr="00574B9E">
        <w:rPr>
          <w:rFonts w:ascii="Arial" w:eastAsiaTheme="majorEastAsia" w:hAnsi="Arial" w:cs="Arial"/>
          <w:sz w:val="20"/>
          <w:szCs w:val="20"/>
          <w:lang w:bidi="en-US"/>
        </w:rPr>
        <w:t>, 2017) further underscores the need for a more nuanced understanding of the decision-making process in public procurement.</w:t>
      </w:r>
    </w:p>
    <w:p w14:paraId="58308EBA" w14:textId="77777777" w:rsidR="00511F32" w:rsidRPr="0052047A" w:rsidRDefault="00511F32" w:rsidP="00B240C0">
      <w:pPr>
        <w:spacing w:line="360" w:lineRule="auto"/>
        <w:jc w:val="both"/>
        <w:rPr>
          <w:rFonts w:ascii="Arial" w:eastAsiaTheme="majorEastAsia" w:hAnsi="Arial" w:cs="Arial"/>
          <w:lang w:bidi="en-US"/>
        </w:rPr>
      </w:pPr>
      <w:r w:rsidRPr="0052047A">
        <w:rPr>
          <w:rFonts w:ascii="Arial" w:eastAsiaTheme="majorEastAsia" w:hAnsi="Arial" w:cs="Arial"/>
          <w:b/>
          <w:bCs/>
          <w:lang w:bidi="en-US"/>
        </w:rPr>
        <w:t>1.2 Statement of the Problem: Decision-Making in Somaliland's Public Procurement</w:t>
      </w:r>
    </w:p>
    <w:p w14:paraId="59E04F8F"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The </w:t>
      </w:r>
      <w:r w:rsidR="00295452" w:rsidRPr="00574B9E">
        <w:rPr>
          <w:rFonts w:ascii="Arial" w:eastAsiaTheme="majorEastAsia" w:hAnsi="Arial" w:cs="Arial"/>
          <w:sz w:val="20"/>
          <w:szCs w:val="20"/>
          <w:lang w:bidi="en-US"/>
        </w:rPr>
        <w:t>study</w:t>
      </w:r>
      <w:r w:rsidRPr="00574B9E">
        <w:rPr>
          <w:rFonts w:ascii="Arial" w:eastAsiaTheme="majorEastAsia" w:hAnsi="Arial" w:cs="Arial"/>
          <w:sz w:val="20"/>
          <w:szCs w:val="20"/>
          <w:lang w:bidi="en-US"/>
        </w:rPr>
        <w:t xml:space="preserve"> then narrows its focus to the specific problem being addressed by the research: the need for a deeper understanding of the decision-making process within public tendering and acquisition in Somaliland. While international research provides valuable context (</w:t>
      </w:r>
      <w:proofErr w:type="spellStart"/>
      <w:r w:rsidRPr="00574B9E">
        <w:rPr>
          <w:rFonts w:ascii="Arial" w:eastAsiaTheme="majorEastAsia" w:hAnsi="Arial" w:cs="Arial"/>
          <w:sz w:val="20"/>
          <w:szCs w:val="20"/>
          <w:lang w:bidi="en-US"/>
        </w:rPr>
        <w:t>Csáki</w:t>
      </w:r>
      <w:proofErr w:type="spellEnd"/>
      <w:r w:rsidRPr="00574B9E">
        <w:rPr>
          <w:rFonts w:ascii="Arial" w:eastAsiaTheme="majorEastAsia" w:hAnsi="Arial" w:cs="Arial"/>
          <w:sz w:val="20"/>
          <w:szCs w:val="20"/>
          <w:lang w:bidi="en-US"/>
        </w:rPr>
        <w:t xml:space="preserve">, 2006; </w:t>
      </w:r>
      <w:proofErr w:type="spellStart"/>
      <w:r w:rsidRPr="00574B9E">
        <w:rPr>
          <w:rFonts w:ascii="Arial" w:eastAsiaTheme="majorEastAsia" w:hAnsi="Arial" w:cs="Arial"/>
          <w:sz w:val="20"/>
          <w:szCs w:val="20"/>
          <w:lang w:bidi="en-US"/>
        </w:rPr>
        <w:t>Forssberg</w:t>
      </w:r>
      <w:proofErr w:type="spellEnd"/>
      <w:r w:rsidRPr="00574B9E">
        <w:rPr>
          <w:rFonts w:ascii="Arial" w:eastAsiaTheme="majorEastAsia" w:hAnsi="Arial" w:cs="Arial"/>
          <w:sz w:val="20"/>
          <w:szCs w:val="20"/>
          <w:lang w:bidi="en-US"/>
        </w:rPr>
        <w:t xml:space="preserve"> &amp; </w:t>
      </w:r>
      <w:proofErr w:type="spellStart"/>
      <w:r w:rsidRPr="00574B9E">
        <w:rPr>
          <w:rFonts w:ascii="Arial" w:eastAsiaTheme="majorEastAsia" w:hAnsi="Arial" w:cs="Arial"/>
          <w:sz w:val="20"/>
          <w:szCs w:val="20"/>
          <w:lang w:bidi="en-US"/>
        </w:rPr>
        <w:t>Erdmark</w:t>
      </w:r>
      <w:proofErr w:type="spellEnd"/>
      <w:r w:rsidRPr="00574B9E">
        <w:rPr>
          <w:rFonts w:ascii="Arial" w:eastAsiaTheme="majorEastAsia" w:hAnsi="Arial" w:cs="Arial"/>
          <w:sz w:val="20"/>
          <w:szCs w:val="20"/>
          <w:lang w:bidi="en-US"/>
        </w:rPr>
        <w:t>, 2018), the unique political, economic, and social environment of Somaliland necessitates a dedicated investigation. The absence of such research creates a critical knowledge gap, hindering the development of tailored solutions to improve public procurement practices in the country. Somaliland's lack of international recognition and a yet-to-be-passed procurement law (SNTB, 2018) further underscores the need for this study. This study aims to address this gap by examining the factors influencing decision-making in Somaliland's public tendering and acquisition processes, including transparency, evaluation criteria, and decision-making styles. By focusing on Somaliland, the research seeks to offer concrete recommendations for enhancing transparency, efficiency, and equity in public procurement, contributing to responsible fiscal management and public trust.</w:t>
      </w:r>
    </w:p>
    <w:p w14:paraId="0D590090"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 xml:space="preserve">1.3 Research Objectives </w:t>
      </w:r>
    </w:p>
    <w:p w14:paraId="2A773F19" w14:textId="77777777" w:rsidR="004A476D"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lastRenderedPageBreak/>
        <w:t>Th</w:t>
      </w:r>
      <w:r w:rsidR="00295452" w:rsidRPr="00574B9E">
        <w:rPr>
          <w:rFonts w:ascii="Arial" w:eastAsiaTheme="majorEastAsia" w:hAnsi="Arial" w:cs="Arial"/>
          <w:sz w:val="20"/>
          <w:szCs w:val="20"/>
          <w:lang w:bidi="en-US"/>
        </w:rPr>
        <w:t>is</w:t>
      </w:r>
      <w:r w:rsidRPr="00574B9E">
        <w:rPr>
          <w:rFonts w:ascii="Arial" w:eastAsiaTheme="majorEastAsia" w:hAnsi="Arial" w:cs="Arial"/>
          <w:sz w:val="20"/>
          <w:szCs w:val="20"/>
          <w:lang w:bidi="en-US"/>
        </w:rPr>
        <w:t xml:space="preserve"> outlines the research objectives and questions, which are designed to guide the investigation. The general objective is to examine the decision-making process in public tendering and acquisition at the Somaliland National Tender Board (SNTB) in Hargeisa.   </w:t>
      </w:r>
    </w:p>
    <w:p w14:paraId="3BBC710F"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1.3.1 Specific Objectives</w:t>
      </w:r>
    </w:p>
    <w:p w14:paraId="474A1129"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examine whether public procurement decision-making practice is in line with the evaluation criteria attribute.</w:t>
      </w:r>
    </w:p>
    <w:p w14:paraId="7F811B05"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identify the level of Multi-Criteria Decision Making (MCDM) techniques employed.</w:t>
      </w:r>
    </w:p>
    <w:p w14:paraId="16F699D0"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examine whether public procurement decision-making practice is done within the transparency attribute.</w:t>
      </w:r>
    </w:p>
    <w:p w14:paraId="0D7771F2"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assess the association between the variables with Public Tendering and Acquisition.</w:t>
      </w:r>
    </w:p>
    <w:p w14:paraId="3A5AF8ED"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1.4 Scope and Limitations</w:t>
      </w:r>
    </w:p>
    <w:p w14:paraId="4F0C75C9" w14:textId="77777777" w:rsidR="00511F32" w:rsidRPr="0052047A"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Finally, </w:t>
      </w:r>
      <w:r w:rsidR="00295452" w:rsidRPr="00574B9E">
        <w:rPr>
          <w:rFonts w:ascii="Arial" w:eastAsiaTheme="majorEastAsia" w:hAnsi="Arial" w:cs="Arial"/>
          <w:sz w:val="20"/>
          <w:szCs w:val="20"/>
          <w:lang w:bidi="en-US"/>
        </w:rPr>
        <w:t>this is to</w:t>
      </w:r>
      <w:r w:rsidRPr="00574B9E">
        <w:rPr>
          <w:rFonts w:ascii="Arial" w:eastAsiaTheme="majorEastAsia" w:hAnsi="Arial" w:cs="Arial"/>
          <w:sz w:val="20"/>
          <w:szCs w:val="20"/>
          <w:lang w:bidi="en-US"/>
        </w:rPr>
        <w:t xml:space="preserve"> define the scope and limitations of the study. The research focuses on the level of the decision-making process related to public tendering and acquisition at the SNTB in Hargeisa between March and August 2024. Limitations of the study include potential information bias, the lack of appropriate secondary data, and the absence of quantitative analysis. However, the researcher notes efforts to mitigate these limitations through the use of secondary data and assurances of the research's educational purpose. Key terms, such as decision-making process (Simon, H. A. 1960), public tendering (Rotich, Muma and </w:t>
      </w:r>
      <w:proofErr w:type="spellStart"/>
      <w:r w:rsidRPr="00574B9E">
        <w:rPr>
          <w:rFonts w:ascii="Arial" w:eastAsiaTheme="majorEastAsia" w:hAnsi="Arial" w:cs="Arial"/>
          <w:sz w:val="20"/>
          <w:szCs w:val="20"/>
          <w:lang w:bidi="en-US"/>
        </w:rPr>
        <w:t>Waruguru</w:t>
      </w:r>
      <w:proofErr w:type="spellEnd"/>
      <w:r w:rsidRPr="00574B9E">
        <w:rPr>
          <w:rFonts w:ascii="Arial" w:eastAsiaTheme="majorEastAsia" w:hAnsi="Arial" w:cs="Arial"/>
          <w:sz w:val="20"/>
          <w:szCs w:val="20"/>
          <w:lang w:bidi="en-US"/>
        </w:rPr>
        <w:t>, 2015), and procurement (Hughes, 20015), are operationally defined.</w:t>
      </w:r>
    </w:p>
    <w:p w14:paraId="2C0F8A1F" w14:textId="77777777" w:rsidR="00962684" w:rsidRPr="0052047A" w:rsidRDefault="00295452" w:rsidP="00B240C0">
      <w:pPr>
        <w:spacing w:line="360" w:lineRule="auto"/>
        <w:jc w:val="both"/>
        <w:rPr>
          <w:rFonts w:ascii="Arial" w:hAnsi="Arial" w:cs="Arial"/>
          <w:b/>
          <w:bCs/>
        </w:rPr>
      </w:pPr>
      <w:bookmarkStart w:id="5" w:name="_Toc173413871"/>
      <w:r w:rsidRPr="0052047A">
        <w:rPr>
          <w:rFonts w:ascii="Arial" w:hAnsi="Arial" w:cs="Arial"/>
          <w:b/>
          <w:bCs/>
        </w:rPr>
        <w:t xml:space="preserve">2. </w:t>
      </w:r>
      <w:r w:rsidR="001B66FE" w:rsidRPr="0052047A">
        <w:rPr>
          <w:rFonts w:ascii="Arial" w:hAnsi="Arial" w:cs="Arial"/>
          <w:b/>
          <w:bCs/>
        </w:rPr>
        <w:t>REVIEW</w:t>
      </w:r>
      <w:bookmarkEnd w:id="5"/>
      <w:r w:rsidR="0073592F" w:rsidRPr="0052047A">
        <w:rPr>
          <w:rFonts w:ascii="Arial" w:hAnsi="Arial" w:cs="Arial"/>
          <w:b/>
          <w:bCs/>
        </w:rPr>
        <w:t xml:space="preserve"> OF LITERATURE</w:t>
      </w:r>
      <w:bookmarkStart w:id="6" w:name="_Toc173413887"/>
      <w:bookmarkStart w:id="7" w:name="_Toc10609"/>
      <w:bookmarkStart w:id="8" w:name="_Toc11019"/>
      <w:bookmarkStart w:id="9" w:name="_Toc26342"/>
      <w:bookmarkStart w:id="10" w:name="_Toc141002252"/>
    </w:p>
    <w:p w14:paraId="6B328287" w14:textId="77777777" w:rsidR="004B0101" w:rsidRPr="00574B9E" w:rsidRDefault="004B0101" w:rsidP="00B240C0">
      <w:pPr>
        <w:spacing w:line="360" w:lineRule="auto"/>
        <w:jc w:val="both"/>
        <w:rPr>
          <w:rFonts w:ascii="Arial" w:hAnsi="Arial" w:cs="Arial"/>
          <w:sz w:val="20"/>
          <w:szCs w:val="20"/>
        </w:rPr>
      </w:pPr>
      <w:bookmarkStart w:id="11" w:name="_Toc173413888"/>
      <w:bookmarkEnd w:id="6"/>
      <w:r w:rsidRPr="00574B9E">
        <w:rPr>
          <w:rFonts w:ascii="Arial" w:hAnsi="Arial" w:cs="Arial"/>
          <w:sz w:val="20"/>
          <w:szCs w:val="20"/>
        </w:rPr>
        <w:t>Public procurement, the process by which public sector entities acquire goods, services, works, and other supplies, is a critical function that ensures the efficient use of public funds (Odhiambo &amp; Kamau, 2013). This process encompasses a broad range of activities, from identifying needs and developing specifications to contract administration and performance evaluation (United Nations Development Program, 2007). The strategic importance of public procurement lies in its ability to influence not only the cost-effectiveness of government operations but also the broader economic and social outcomes. Public procurement can be conducted through various methods, each with its own advantages and disadvantages. Open procedures, which invite all interested suppliers to bid, promote transparency and competition, but can be time-consuming and resource-intensive. Restricted procedures, which involve pre-qualification and shortlisting of suppliers (</w:t>
      </w:r>
      <w:proofErr w:type="spellStart"/>
      <w:r w:rsidRPr="00574B9E">
        <w:rPr>
          <w:rFonts w:ascii="Arial" w:hAnsi="Arial" w:cs="Arial"/>
          <w:sz w:val="20"/>
          <w:szCs w:val="20"/>
        </w:rPr>
        <w:t>Domberger</w:t>
      </w:r>
      <w:proofErr w:type="spellEnd"/>
      <w:r w:rsidRPr="00574B9E">
        <w:rPr>
          <w:rFonts w:ascii="Arial" w:hAnsi="Arial" w:cs="Arial"/>
          <w:sz w:val="20"/>
          <w:szCs w:val="20"/>
        </w:rPr>
        <w:t xml:space="preserve"> and </w:t>
      </w:r>
      <w:proofErr w:type="spellStart"/>
      <w:r w:rsidRPr="00574B9E">
        <w:rPr>
          <w:rFonts w:ascii="Arial" w:hAnsi="Arial" w:cs="Arial"/>
          <w:sz w:val="20"/>
          <w:szCs w:val="20"/>
        </w:rPr>
        <w:t>Rimmer</w:t>
      </w:r>
      <w:proofErr w:type="spellEnd"/>
      <w:r w:rsidRPr="00574B9E">
        <w:rPr>
          <w:rFonts w:ascii="Arial" w:hAnsi="Arial" w:cs="Arial"/>
          <w:sz w:val="20"/>
          <w:szCs w:val="20"/>
        </w:rPr>
        <w:t>, 2014), can streamline the process but may limit competition. Competitive dialogue, used for complex procurements where solutions are not readily defined (</w:t>
      </w:r>
      <w:proofErr w:type="spellStart"/>
      <w:r w:rsidRPr="00574B9E">
        <w:rPr>
          <w:rFonts w:ascii="Arial" w:hAnsi="Arial" w:cs="Arial"/>
          <w:sz w:val="20"/>
          <w:szCs w:val="20"/>
        </w:rPr>
        <w:t>Dzuke</w:t>
      </w:r>
      <w:proofErr w:type="spellEnd"/>
      <w:r w:rsidRPr="00574B9E">
        <w:rPr>
          <w:rFonts w:ascii="Arial" w:hAnsi="Arial" w:cs="Arial"/>
          <w:sz w:val="20"/>
          <w:szCs w:val="20"/>
        </w:rPr>
        <w:t xml:space="preserve"> and Naude, 2015), allows for iterative engagement with potential suppliers but requires careful management. Negotiated procedures, which are typically used in exceptional circumstances (Rasheed, 2015), offer flexibility but may raise concerns about transparency and fairness.</w:t>
      </w:r>
    </w:p>
    <w:p w14:paraId="0BC668E3" w14:textId="77777777" w:rsidR="004B0101"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lastRenderedPageBreak/>
        <w:t>At the core of effective public procurement are several key principles that guide decision-making and ensure accountability. Value for money (VFM) is paramount, requiring that procurement decisions consider not only the initial cost but also the whole-life cost, quality, and associated risks (Chapman and Rainey, 2020). This holistic approach ensures that public funds are used efficiently and that the procured goods and services meet the intended objectives. Ethical conduct is also essential, demanding that procurement professionals avoid conflicts of interest and make fair and impartial decisions (International Chamber of Commerce, 2023). This principle is crucial for maintaining public trust and preventing corruption. Fairness and competition are crucial for ensuring that all qualified suppliers have equal opportunities, fostering innovation, and securing the best possible value (The Chartered Institute of Procurement &amp; Supply (CIPS), 2023). This principle promotes a level playing field and encourages suppliers to offer competitive prices and innovative solutions. Transparency, involving clear communication and readily accessible information, is vital for building trust and accountability (World Bank's "Open Contracting Data Standard," 2023). This principle enables stakeholders to monitor the procurement process and hold public entities accountable. Finally, accountability ensures that public resources are used responsibly, with mechanisms like internal controls, audits, and public reporting (International Organization for Standardization (ISO) 2014). This principle is fundamental for ensuring that procurement activities are conducted in a manner that is consistent with public interest.</w:t>
      </w:r>
    </w:p>
    <w:p w14:paraId="55B2790C" w14:textId="77777777" w:rsidR="004B0101"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t xml:space="preserve">Historically, tendering practices have evolved from a primary focus on cost reduction to a more comprehensive approach that considers quality, long-term partnerships, and performance standards (Abdullahi, Ibrahim, Ibrahim and </w:t>
      </w:r>
      <w:proofErr w:type="spellStart"/>
      <w:r w:rsidRPr="00574B9E">
        <w:rPr>
          <w:rFonts w:ascii="Arial" w:hAnsi="Arial" w:cs="Arial"/>
          <w:sz w:val="20"/>
          <w:szCs w:val="20"/>
        </w:rPr>
        <w:t>Bala</w:t>
      </w:r>
      <w:proofErr w:type="spellEnd"/>
      <w:r w:rsidRPr="00574B9E">
        <w:rPr>
          <w:rFonts w:ascii="Arial" w:hAnsi="Arial" w:cs="Arial"/>
          <w:sz w:val="20"/>
          <w:szCs w:val="20"/>
        </w:rPr>
        <w:t xml:space="preserve">, 2019; Khan and Khan, 2015). This evolution reflects a growing recognition that the lowest bid does not always represent the best value. Globally, the use of public tendering and acquisition has been subject to various debates, particularly concerning transparency and market access. International organizations like the World Trade Organization (WTO) have played a significant role in shaping these discussions, with varying perspectives from developed and developing nations (World Trade Organization, 1996, 1999, 2003, 2012; </w:t>
      </w:r>
      <w:proofErr w:type="spellStart"/>
      <w:r w:rsidRPr="00574B9E">
        <w:rPr>
          <w:rFonts w:ascii="Arial" w:hAnsi="Arial" w:cs="Arial"/>
          <w:sz w:val="20"/>
          <w:szCs w:val="20"/>
        </w:rPr>
        <w:t>Linarelli</w:t>
      </w:r>
      <w:proofErr w:type="spellEnd"/>
      <w:r w:rsidRPr="00574B9E">
        <w:rPr>
          <w:rFonts w:ascii="Arial" w:hAnsi="Arial" w:cs="Arial"/>
          <w:sz w:val="20"/>
          <w:szCs w:val="20"/>
        </w:rPr>
        <w:t>, 2013). The tension between promoting open markets and protecting domestic industries has been a recurring theme in these debates.</w:t>
      </w:r>
    </w:p>
    <w:p w14:paraId="3ADA9E1F" w14:textId="77777777" w:rsidR="00295452"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t xml:space="preserve">In developing countries, particularly in Africa, the reform of public procurement systems is crucial for ensuring value for money and combating corruption (Hodge &amp; Gregson, 2020; </w:t>
      </w:r>
      <w:proofErr w:type="spellStart"/>
      <w:r w:rsidRPr="00574B9E">
        <w:rPr>
          <w:rFonts w:ascii="Arial" w:hAnsi="Arial" w:cs="Arial"/>
          <w:sz w:val="20"/>
          <w:szCs w:val="20"/>
        </w:rPr>
        <w:t>Mbabazi</w:t>
      </w:r>
      <w:proofErr w:type="spellEnd"/>
      <w:r w:rsidRPr="00574B9E">
        <w:rPr>
          <w:rFonts w:ascii="Arial" w:hAnsi="Arial" w:cs="Arial"/>
          <w:sz w:val="20"/>
          <w:szCs w:val="20"/>
        </w:rPr>
        <w:t xml:space="preserve"> et al. 2009). Efforts have been made to align procurement practices with international standards and improve transparency and accountability. These reforms are essential for attracting investment, promoting economic development, and improving public service delivery. In the Somaliland context, specific procurement methods are preferred, including International Competitive Bidding (ICB) for goods, works, and non-consulting services, and Quality and Cost-Based Selection (QCBS) for consultants (Somaliland Public Procurement Manual, 2024). Provisions exist for waiving competitive procurement in exceptional cases, subject to rigorous justification and oversight (World Bank - Open Contracting Data Standard, 2023). These specific practices are put in place to ensure fair, transparent, and efficient processes in the Somaliland public sector, </w:t>
      </w:r>
      <w:r w:rsidRPr="00574B9E">
        <w:rPr>
          <w:rFonts w:ascii="Arial" w:hAnsi="Arial" w:cs="Arial"/>
          <w:sz w:val="20"/>
          <w:szCs w:val="20"/>
        </w:rPr>
        <w:lastRenderedPageBreak/>
        <w:t>addressing the unique challenges and opportunities of its socio-economic and political landscape. The lack of international recognition adds an additional layer of complexity to the Somaliland procurement system.</w:t>
      </w:r>
    </w:p>
    <w:p w14:paraId="6FF0E027" w14:textId="77777777" w:rsidR="001B66FE" w:rsidRPr="00A436CD" w:rsidRDefault="00295452" w:rsidP="00B240C0">
      <w:pPr>
        <w:spacing w:line="360" w:lineRule="auto"/>
        <w:jc w:val="both"/>
        <w:rPr>
          <w:rFonts w:ascii="Arial" w:hAnsi="Arial" w:cs="Arial"/>
          <w:b/>
          <w:bCs/>
        </w:rPr>
      </w:pPr>
      <w:r w:rsidRPr="00A436CD">
        <w:rPr>
          <w:rFonts w:ascii="Arial" w:hAnsi="Arial" w:cs="Arial"/>
        </w:rPr>
        <w:t>3.</w:t>
      </w:r>
      <w:r w:rsidR="003D5745" w:rsidRPr="00A436CD">
        <w:rPr>
          <w:rFonts w:ascii="Arial" w:hAnsi="Arial" w:cs="Arial"/>
          <w:b/>
          <w:bCs/>
        </w:rPr>
        <w:t xml:space="preserve">RESEARCH </w:t>
      </w:r>
      <w:bookmarkStart w:id="12" w:name="_Toc448"/>
      <w:bookmarkStart w:id="13" w:name="_Toc28479"/>
      <w:bookmarkStart w:id="14" w:name="_Toc23797"/>
      <w:bookmarkEnd w:id="7"/>
      <w:bookmarkEnd w:id="8"/>
      <w:bookmarkEnd w:id="9"/>
      <w:bookmarkEnd w:id="10"/>
      <w:r w:rsidR="003D5745" w:rsidRPr="00A436CD">
        <w:rPr>
          <w:rFonts w:ascii="Arial" w:hAnsi="Arial" w:cs="Arial"/>
          <w:b/>
          <w:bCs/>
        </w:rPr>
        <w:t>METHODOLOGY</w:t>
      </w:r>
      <w:bookmarkEnd w:id="11"/>
    </w:p>
    <w:bookmarkEnd w:id="12"/>
    <w:bookmarkEnd w:id="13"/>
    <w:bookmarkEnd w:id="14"/>
    <w:p w14:paraId="06D430A8" w14:textId="77777777" w:rsidR="00057C35"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This </w:t>
      </w:r>
      <w:r w:rsidR="00295452" w:rsidRPr="00574B9E">
        <w:rPr>
          <w:rFonts w:ascii="Arial" w:eastAsiaTheme="majorEastAsia" w:hAnsi="Arial" w:cs="Arial"/>
          <w:sz w:val="20"/>
          <w:szCs w:val="20"/>
        </w:rPr>
        <w:t>section</w:t>
      </w:r>
      <w:r w:rsidRPr="00574B9E">
        <w:rPr>
          <w:rFonts w:ascii="Arial" w:eastAsiaTheme="majorEastAsia" w:hAnsi="Arial" w:cs="Arial"/>
          <w:sz w:val="20"/>
          <w:szCs w:val="20"/>
        </w:rPr>
        <w:t xml:space="preserve"> outlines the methodology used to study the decision-making process in public tendering and acquisition at the Somaliland National Tender Board (SNTB) in Hargeisa. The study was conducted in Hargeisa, the capital of Somaliland, between March 15th and August 1st, 2024. A descriptive research design, employing quantitative data collection and analysis, was chosen to explore the relationships between variables. This design was deemed appropriate due to time and cost constraints, allowing for the measurement of independent and dependent variables (decision-making process, transparency, evaluation criteria, and public tendering/acquisition) at a single point in time using a questionnaire. Multi-regression and Chi-square tests were used as statistical tools to analyze the relationships.</w:t>
      </w:r>
    </w:p>
    <w:p w14:paraId="155B5382" w14:textId="77777777" w:rsidR="00057C35"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The study population consisted of 101 individuals involved in the SNTB's procurement system, including employees in the tender office and suppliers closely involved in bid offers and awards. Specific inclusion criteria were defined (concerned suppliers, tender committee members, and SNTB employees), while lower-level employees and suppliers who did not receive offer awards were excluded. A sample size of 81 participants was determined using Slovene's formula with a 5% margin of error. Simple random sampling, a probability sampling method, ensured that each member of the target population had an equal chance of being selected.</w:t>
      </w:r>
    </w:p>
    <w:p w14:paraId="6B9F57B9" w14:textId="77777777" w:rsidR="00295452"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A structured questionnaire, translated from English to Somali and back to English for consistency, was used to collect data on socio-demographic characteristics and research objectives. Data quality was assured through pretesting the questionnaire with 5% of the participants, training data collectors, and daily review of completed questionnaires. Data was then processed, cleaned, coded, and analyzed using SPSS version 20. Descriptive analysis summarized information on the level of the decision-making process, while regression analysis and Chi-square tests assessed the associations between variables. A p-value of less than 0.05 was considered statistically significant. Ethical considerations were addressed by obtaining ethical clearance and informed consent from participants, and maintaining privacy and confidentiality. The study results were disseminated through presentations to the University of Hargeisa and the SNTB, a report to the School of Post-Graduate Studies, and efforts to publish in national and international journals.</w:t>
      </w:r>
    </w:p>
    <w:p w14:paraId="5AF54892" w14:textId="77777777" w:rsidR="001B66FE" w:rsidRPr="00A436CD" w:rsidRDefault="00295452" w:rsidP="00B240C0">
      <w:pPr>
        <w:spacing w:line="360" w:lineRule="auto"/>
        <w:jc w:val="both"/>
        <w:rPr>
          <w:rFonts w:ascii="Arial" w:hAnsi="Arial" w:cs="Arial"/>
          <w:b/>
          <w:bCs/>
        </w:rPr>
      </w:pPr>
      <w:bookmarkStart w:id="15" w:name="_Toc173413909"/>
      <w:r w:rsidRPr="00A436CD">
        <w:rPr>
          <w:rFonts w:ascii="Arial" w:hAnsi="Arial" w:cs="Arial"/>
          <w:b/>
          <w:bCs/>
        </w:rPr>
        <w:t xml:space="preserve">4. </w:t>
      </w:r>
      <w:r w:rsidR="003D5745" w:rsidRPr="00A436CD">
        <w:rPr>
          <w:rFonts w:ascii="Arial" w:hAnsi="Arial" w:cs="Arial"/>
          <w:b/>
          <w:bCs/>
        </w:rPr>
        <w:t>RESULTS</w:t>
      </w:r>
      <w:bookmarkEnd w:id="15"/>
      <w:r w:rsidR="003D5745" w:rsidRPr="00A436CD">
        <w:rPr>
          <w:rFonts w:ascii="Arial" w:hAnsi="Arial" w:cs="Arial"/>
          <w:b/>
          <w:bCs/>
        </w:rPr>
        <w:t xml:space="preserve"> AND DISCUSSION </w:t>
      </w:r>
    </w:p>
    <w:p w14:paraId="0EEDE654" w14:textId="77777777" w:rsidR="001B66FE" w:rsidRPr="00574B9E" w:rsidRDefault="001B66FE" w:rsidP="00B240C0">
      <w:pPr>
        <w:spacing w:line="360" w:lineRule="auto"/>
        <w:jc w:val="both"/>
        <w:rPr>
          <w:rFonts w:ascii="Arial" w:eastAsia="SimSun" w:hAnsi="Arial" w:cs="Arial"/>
          <w:sz w:val="20"/>
          <w:szCs w:val="20"/>
        </w:rPr>
      </w:pPr>
      <w:r w:rsidRPr="00574B9E">
        <w:rPr>
          <w:rFonts w:ascii="Arial" w:eastAsia="SimSun" w:hAnsi="Arial" w:cs="Arial"/>
          <w:sz w:val="20"/>
          <w:szCs w:val="20"/>
        </w:rPr>
        <w:t xml:space="preserve">This chapter presents the analysis and details of the findings from the study. The results </w:t>
      </w:r>
      <w:r w:rsidRPr="00574B9E">
        <w:rPr>
          <w:rFonts w:ascii="Arial" w:eastAsia="SimSun" w:hAnsi="Arial" w:cs="Arial"/>
          <w:sz w:val="20"/>
          <w:szCs w:val="20"/>
          <w:lang w:val="en-GB"/>
        </w:rPr>
        <w:t xml:space="preserve">were </w:t>
      </w:r>
      <w:r w:rsidRPr="00574B9E">
        <w:rPr>
          <w:rFonts w:ascii="Arial" w:eastAsia="SimSun" w:hAnsi="Arial" w:cs="Arial"/>
          <w:sz w:val="20"/>
          <w:szCs w:val="20"/>
        </w:rPr>
        <w:t xml:space="preserve">based on the responses of 81 of respondents from </w:t>
      </w:r>
      <w:r w:rsidRPr="00574B9E">
        <w:rPr>
          <w:rFonts w:ascii="Arial" w:eastAsia="SimSun" w:hAnsi="Arial" w:cs="Arial"/>
          <w:sz w:val="20"/>
          <w:szCs w:val="20"/>
          <w:lang w:val="en-GB"/>
        </w:rPr>
        <w:t>Somaliland National Tender Board “SNTB”</w:t>
      </w:r>
      <w:r w:rsidRPr="00574B9E">
        <w:rPr>
          <w:rFonts w:ascii="Arial" w:eastAsia="SimSun" w:hAnsi="Arial" w:cs="Arial"/>
          <w:sz w:val="20"/>
          <w:szCs w:val="20"/>
        </w:rPr>
        <w:t xml:space="preserve"> at district Hargeisa Somaliland to assess t</w:t>
      </w:r>
      <w:r w:rsidRPr="00574B9E">
        <w:rPr>
          <w:rFonts w:ascii="Arial" w:eastAsia="SimSun" w:hAnsi="Arial" w:cs="Arial"/>
          <w:sz w:val="20"/>
          <w:szCs w:val="20"/>
          <w:lang w:val="en-GB"/>
        </w:rPr>
        <w:t xml:space="preserve">heir </w:t>
      </w:r>
      <w:r w:rsidRPr="00574B9E">
        <w:rPr>
          <w:rFonts w:ascii="Arial" w:eastAsia="SimSun" w:hAnsi="Arial" w:cs="Arial"/>
          <w:sz w:val="20"/>
          <w:szCs w:val="20"/>
        </w:rPr>
        <w:t xml:space="preserve">Decision-making process towards public tendering and acquisition among the sample employees. The chapter also presents the characteristics of the sample that was used in the collection of the primary data. Furthermore, the presentation has been done in line with the study objectives. </w:t>
      </w:r>
      <w:r w:rsidRPr="00574B9E">
        <w:rPr>
          <w:rFonts w:ascii="Arial" w:eastAsia="SimSun" w:hAnsi="Arial" w:cs="Arial"/>
          <w:sz w:val="20"/>
          <w:szCs w:val="20"/>
        </w:rPr>
        <w:lastRenderedPageBreak/>
        <w:t>The result was illustrated in by Statistical package for social sciences (SPSS) and Microsoft Excel. A table was used to aggregate and analyze the data presented in this chapter.</w:t>
      </w:r>
    </w:p>
    <w:p w14:paraId="57A9DD76" w14:textId="77777777" w:rsidR="001B66FE" w:rsidRPr="00574B9E" w:rsidRDefault="001B66FE" w:rsidP="00B240C0">
      <w:pPr>
        <w:spacing w:line="360" w:lineRule="auto"/>
        <w:jc w:val="both"/>
        <w:rPr>
          <w:rFonts w:ascii="Arial" w:hAnsi="Arial" w:cs="Arial"/>
          <w:b/>
          <w:bCs/>
          <w:sz w:val="20"/>
          <w:szCs w:val="20"/>
        </w:rPr>
      </w:pPr>
      <w:bookmarkStart w:id="16" w:name="_Toc141002278"/>
      <w:bookmarkStart w:id="17" w:name="_Toc173413911"/>
      <w:r w:rsidRPr="00574B9E">
        <w:rPr>
          <w:rFonts w:ascii="Arial" w:hAnsi="Arial" w:cs="Arial"/>
          <w:b/>
          <w:bCs/>
          <w:sz w:val="20"/>
          <w:szCs w:val="20"/>
        </w:rPr>
        <w:t>Socio demographic characteristics of the respondents</w:t>
      </w:r>
      <w:bookmarkEnd w:id="16"/>
      <w:bookmarkEnd w:id="17"/>
    </w:p>
    <w:p w14:paraId="2AA1D38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The study reveals significant socio-demographic characteristics among respondents, with a notable gender disparity: 57 males (70.4%) and 24 females (29.6%). This imbalance highlights the need for targeted recruitment strategies in future research to achieve better gender representation. The age distribution shows that the majority of respondents are within working-age brackets, particularly 40.7% aged 25-35 and 38% aged 36-45, reflecting views primarily from actively employed individuals. Educationally, the sample is well-educated, with 53.1% holding a bachelor's degree and 33.3% a master's degree, providing a solid foundation for insights into public procurement perspectives. </w:t>
      </w:r>
    </w:p>
    <w:p w14:paraId="1D3BDB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Most respondents (80.2%) are part-time employees, suggesting a potential influence of employment type on responses, particularly within the context of the Somaliland government agency. This prevalence of part-time work and the gender gap indicate critical factors for future research, which should aim for improved gender balance and explore the high percentage of part-time workers. Addressing these elements can lead to a deeper understanding of public opinions and perceptions of the SNTB's procurement procedures, ultimately strengthening the study's findings.</w:t>
      </w:r>
      <w:r w:rsidRPr="00574B9E">
        <w:rPr>
          <w:rFonts w:ascii="Arial" w:hAnsi="Arial" w:cs="Arial"/>
          <w:vanish/>
          <w:sz w:val="20"/>
          <w:szCs w:val="20"/>
        </w:rPr>
        <w:t>Top of Form</w:t>
      </w:r>
    </w:p>
    <w:p w14:paraId="1C59C25E" w14:textId="777777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Table 1: Socio demographic characteristics of the respondents.</w:t>
      </w:r>
    </w:p>
    <w:tbl>
      <w:tblPr>
        <w:tblStyle w:val="af2"/>
        <w:tblW w:w="0" w:type="auto"/>
        <w:tblLook w:val="04A0" w:firstRow="1" w:lastRow="0" w:firstColumn="1" w:lastColumn="0" w:noHBand="0" w:noVBand="1"/>
      </w:tblPr>
      <w:tblGrid>
        <w:gridCol w:w="2254"/>
        <w:gridCol w:w="2254"/>
        <w:gridCol w:w="2254"/>
        <w:gridCol w:w="2254"/>
      </w:tblGrid>
      <w:tr w:rsidR="00B240C0" w:rsidRPr="00574B9E" w14:paraId="29E5727C" w14:textId="77777777">
        <w:tc>
          <w:tcPr>
            <w:tcW w:w="2254" w:type="dxa"/>
          </w:tcPr>
          <w:p w14:paraId="3A82410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Variables</w:t>
            </w:r>
          </w:p>
        </w:tc>
        <w:tc>
          <w:tcPr>
            <w:tcW w:w="2254" w:type="dxa"/>
          </w:tcPr>
          <w:p w14:paraId="320487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Category</w:t>
            </w:r>
          </w:p>
        </w:tc>
        <w:tc>
          <w:tcPr>
            <w:tcW w:w="2254" w:type="dxa"/>
          </w:tcPr>
          <w:p w14:paraId="72C84B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Frequency</w:t>
            </w:r>
          </w:p>
        </w:tc>
        <w:tc>
          <w:tcPr>
            <w:tcW w:w="2254" w:type="dxa"/>
          </w:tcPr>
          <w:p w14:paraId="08FE96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Percentage</w:t>
            </w:r>
          </w:p>
        </w:tc>
      </w:tr>
      <w:tr w:rsidR="00B240C0" w:rsidRPr="00574B9E" w14:paraId="250C2E6D" w14:textId="77777777">
        <w:trPr>
          <w:trHeight w:val="420"/>
        </w:trPr>
        <w:tc>
          <w:tcPr>
            <w:tcW w:w="2254" w:type="dxa"/>
            <w:vMerge w:val="restart"/>
          </w:tcPr>
          <w:p w14:paraId="6265CA46" w14:textId="77777777" w:rsidR="001B66FE" w:rsidRPr="00574B9E" w:rsidRDefault="001B66FE" w:rsidP="00B240C0">
            <w:pPr>
              <w:spacing w:line="360" w:lineRule="auto"/>
              <w:jc w:val="both"/>
              <w:rPr>
                <w:rFonts w:ascii="Arial" w:hAnsi="Arial" w:cs="Arial"/>
                <w:sz w:val="20"/>
                <w:szCs w:val="20"/>
              </w:rPr>
            </w:pPr>
          </w:p>
          <w:p w14:paraId="760DC75A" w14:textId="77777777" w:rsidR="001B66FE" w:rsidRPr="00574B9E" w:rsidRDefault="001B66FE" w:rsidP="00B240C0">
            <w:pPr>
              <w:spacing w:line="360" w:lineRule="auto"/>
              <w:jc w:val="both"/>
              <w:rPr>
                <w:rFonts w:ascii="Arial" w:hAnsi="Arial" w:cs="Arial"/>
                <w:sz w:val="20"/>
                <w:szCs w:val="20"/>
              </w:rPr>
            </w:pPr>
          </w:p>
          <w:p w14:paraId="09A5C5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Gender</w:t>
            </w:r>
          </w:p>
          <w:p w14:paraId="3793B8A5" w14:textId="77777777" w:rsidR="001B66FE" w:rsidRPr="00574B9E" w:rsidRDefault="001B66FE" w:rsidP="00B240C0">
            <w:pPr>
              <w:spacing w:line="360" w:lineRule="auto"/>
              <w:jc w:val="both"/>
              <w:rPr>
                <w:rFonts w:ascii="Arial" w:hAnsi="Arial" w:cs="Arial"/>
                <w:sz w:val="20"/>
                <w:szCs w:val="20"/>
              </w:rPr>
            </w:pPr>
          </w:p>
        </w:tc>
        <w:tc>
          <w:tcPr>
            <w:tcW w:w="2254" w:type="dxa"/>
          </w:tcPr>
          <w:p w14:paraId="391F67C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Male</w:t>
            </w:r>
          </w:p>
          <w:p w14:paraId="04DE5030" w14:textId="77777777" w:rsidR="001B66FE" w:rsidRPr="00574B9E" w:rsidRDefault="001B66FE" w:rsidP="00B240C0">
            <w:pPr>
              <w:spacing w:line="360" w:lineRule="auto"/>
              <w:jc w:val="both"/>
              <w:rPr>
                <w:rFonts w:ascii="Arial" w:hAnsi="Arial" w:cs="Arial"/>
                <w:sz w:val="20"/>
                <w:szCs w:val="20"/>
              </w:rPr>
            </w:pPr>
          </w:p>
        </w:tc>
        <w:tc>
          <w:tcPr>
            <w:tcW w:w="2254" w:type="dxa"/>
            <w:vAlign w:val="bottom"/>
          </w:tcPr>
          <w:p w14:paraId="5FB6E8B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57</w:t>
            </w:r>
          </w:p>
        </w:tc>
        <w:tc>
          <w:tcPr>
            <w:tcW w:w="2254" w:type="dxa"/>
            <w:vAlign w:val="bottom"/>
          </w:tcPr>
          <w:p w14:paraId="0709FBC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70.4%</w:t>
            </w:r>
          </w:p>
        </w:tc>
      </w:tr>
      <w:tr w:rsidR="00B240C0" w:rsidRPr="00574B9E" w14:paraId="4D8B6023" w14:textId="77777777">
        <w:trPr>
          <w:trHeight w:val="580"/>
        </w:trPr>
        <w:tc>
          <w:tcPr>
            <w:tcW w:w="2254" w:type="dxa"/>
            <w:vMerge/>
          </w:tcPr>
          <w:p w14:paraId="5F5DC31E" w14:textId="77777777" w:rsidR="001B66FE" w:rsidRPr="00574B9E" w:rsidRDefault="001B66FE" w:rsidP="00B240C0">
            <w:pPr>
              <w:spacing w:line="360" w:lineRule="auto"/>
              <w:jc w:val="both"/>
              <w:rPr>
                <w:rFonts w:ascii="Arial" w:hAnsi="Arial" w:cs="Arial"/>
                <w:sz w:val="20"/>
                <w:szCs w:val="20"/>
              </w:rPr>
            </w:pPr>
          </w:p>
        </w:tc>
        <w:tc>
          <w:tcPr>
            <w:tcW w:w="2254" w:type="dxa"/>
          </w:tcPr>
          <w:p w14:paraId="2B13469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Female</w:t>
            </w:r>
          </w:p>
        </w:tc>
        <w:tc>
          <w:tcPr>
            <w:tcW w:w="2254" w:type="dxa"/>
            <w:vAlign w:val="bottom"/>
          </w:tcPr>
          <w:p w14:paraId="1D87EFE4"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24</w:t>
            </w:r>
          </w:p>
        </w:tc>
        <w:tc>
          <w:tcPr>
            <w:tcW w:w="2254" w:type="dxa"/>
            <w:vAlign w:val="bottom"/>
          </w:tcPr>
          <w:p w14:paraId="030AB9ED"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29.6%</w:t>
            </w:r>
          </w:p>
        </w:tc>
      </w:tr>
      <w:tr w:rsidR="00B240C0" w:rsidRPr="00574B9E" w14:paraId="3D0D5FA6" w14:textId="77777777">
        <w:trPr>
          <w:trHeight w:val="405"/>
        </w:trPr>
        <w:tc>
          <w:tcPr>
            <w:tcW w:w="2254" w:type="dxa"/>
            <w:vMerge/>
          </w:tcPr>
          <w:p w14:paraId="76F3EA8B" w14:textId="77777777" w:rsidR="001B66FE" w:rsidRPr="00574B9E" w:rsidRDefault="001B66FE" w:rsidP="00B240C0">
            <w:pPr>
              <w:spacing w:line="360" w:lineRule="auto"/>
              <w:jc w:val="both"/>
              <w:rPr>
                <w:rFonts w:ascii="Arial" w:hAnsi="Arial" w:cs="Arial"/>
                <w:sz w:val="20"/>
                <w:szCs w:val="20"/>
              </w:rPr>
            </w:pPr>
          </w:p>
        </w:tc>
        <w:tc>
          <w:tcPr>
            <w:tcW w:w="2254" w:type="dxa"/>
          </w:tcPr>
          <w:p w14:paraId="0679C073" w14:textId="77777777" w:rsidR="001B66FE" w:rsidRPr="00574B9E" w:rsidRDefault="001B66FE" w:rsidP="00B240C0">
            <w:pPr>
              <w:spacing w:line="360" w:lineRule="auto"/>
              <w:jc w:val="both"/>
              <w:rPr>
                <w:rFonts w:ascii="Arial" w:hAnsi="Arial" w:cs="Arial"/>
                <w:sz w:val="20"/>
                <w:szCs w:val="20"/>
              </w:rPr>
            </w:pPr>
          </w:p>
          <w:p w14:paraId="07D8A94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Total</w:t>
            </w:r>
          </w:p>
        </w:tc>
        <w:tc>
          <w:tcPr>
            <w:tcW w:w="2254" w:type="dxa"/>
            <w:vAlign w:val="bottom"/>
          </w:tcPr>
          <w:p w14:paraId="1DE22CA2"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81</w:t>
            </w:r>
          </w:p>
        </w:tc>
        <w:tc>
          <w:tcPr>
            <w:tcW w:w="2254" w:type="dxa"/>
            <w:vAlign w:val="bottom"/>
          </w:tcPr>
          <w:p w14:paraId="08D70CA9"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100%</w:t>
            </w:r>
          </w:p>
        </w:tc>
      </w:tr>
      <w:tr w:rsidR="00B240C0" w:rsidRPr="00574B9E" w14:paraId="5614EB41" w14:textId="77777777">
        <w:trPr>
          <w:trHeight w:val="276"/>
        </w:trPr>
        <w:tc>
          <w:tcPr>
            <w:tcW w:w="2254" w:type="dxa"/>
            <w:vMerge w:val="restart"/>
          </w:tcPr>
          <w:p w14:paraId="451B3C3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Age</w:t>
            </w:r>
          </w:p>
          <w:p w14:paraId="40E307AA" w14:textId="77777777" w:rsidR="001B66FE" w:rsidRPr="00574B9E" w:rsidRDefault="001B66FE" w:rsidP="00B240C0">
            <w:pPr>
              <w:spacing w:line="360" w:lineRule="auto"/>
              <w:jc w:val="both"/>
              <w:rPr>
                <w:rFonts w:ascii="Arial" w:hAnsi="Arial" w:cs="Arial"/>
                <w:sz w:val="20"/>
                <w:szCs w:val="20"/>
              </w:rPr>
            </w:pPr>
          </w:p>
          <w:p w14:paraId="60A9E93C" w14:textId="77777777" w:rsidR="001B66FE" w:rsidRPr="00574B9E" w:rsidRDefault="001B66FE" w:rsidP="00B240C0">
            <w:pPr>
              <w:spacing w:line="360" w:lineRule="auto"/>
              <w:jc w:val="both"/>
              <w:rPr>
                <w:rFonts w:ascii="Arial" w:hAnsi="Arial" w:cs="Arial"/>
                <w:sz w:val="20"/>
                <w:szCs w:val="20"/>
              </w:rPr>
            </w:pPr>
          </w:p>
          <w:p w14:paraId="716592E3" w14:textId="77777777" w:rsidR="001B66FE" w:rsidRPr="00574B9E" w:rsidRDefault="001B66FE" w:rsidP="00B240C0">
            <w:pPr>
              <w:spacing w:line="360" w:lineRule="auto"/>
              <w:jc w:val="both"/>
              <w:rPr>
                <w:rFonts w:ascii="Arial" w:hAnsi="Arial" w:cs="Arial"/>
                <w:sz w:val="20"/>
                <w:szCs w:val="20"/>
              </w:rPr>
            </w:pPr>
          </w:p>
        </w:tc>
        <w:tc>
          <w:tcPr>
            <w:tcW w:w="2254" w:type="dxa"/>
          </w:tcPr>
          <w:p w14:paraId="60C1047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25-35</w:t>
            </w:r>
          </w:p>
        </w:tc>
        <w:tc>
          <w:tcPr>
            <w:tcW w:w="2254" w:type="dxa"/>
          </w:tcPr>
          <w:p w14:paraId="67D5997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33</w:t>
            </w:r>
          </w:p>
        </w:tc>
        <w:tc>
          <w:tcPr>
            <w:tcW w:w="2254" w:type="dxa"/>
          </w:tcPr>
          <w:p w14:paraId="086CEEE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40.7%</w:t>
            </w:r>
          </w:p>
        </w:tc>
      </w:tr>
      <w:tr w:rsidR="00B240C0" w:rsidRPr="00574B9E" w14:paraId="42444847" w14:textId="77777777">
        <w:trPr>
          <w:trHeight w:val="345"/>
        </w:trPr>
        <w:tc>
          <w:tcPr>
            <w:tcW w:w="2254" w:type="dxa"/>
            <w:vMerge/>
          </w:tcPr>
          <w:p w14:paraId="7B91FB52" w14:textId="77777777" w:rsidR="001B66FE" w:rsidRPr="00574B9E" w:rsidRDefault="001B66FE" w:rsidP="00B240C0">
            <w:pPr>
              <w:spacing w:line="360" w:lineRule="auto"/>
              <w:jc w:val="both"/>
              <w:rPr>
                <w:rFonts w:ascii="Arial" w:hAnsi="Arial" w:cs="Arial"/>
                <w:sz w:val="20"/>
                <w:szCs w:val="20"/>
              </w:rPr>
            </w:pPr>
          </w:p>
        </w:tc>
        <w:tc>
          <w:tcPr>
            <w:tcW w:w="2254" w:type="dxa"/>
          </w:tcPr>
          <w:p w14:paraId="2A63696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36-45</w:t>
            </w:r>
          </w:p>
        </w:tc>
        <w:tc>
          <w:tcPr>
            <w:tcW w:w="2254" w:type="dxa"/>
          </w:tcPr>
          <w:p w14:paraId="42CF94E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31</w:t>
            </w:r>
          </w:p>
        </w:tc>
        <w:tc>
          <w:tcPr>
            <w:tcW w:w="2254" w:type="dxa"/>
          </w:tcPr>
          <w:p w14:paraId="3090E8EB"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38%</w:t>
            </w:r>
          </w:p>
        </w:tc>
      </w:tr>
      <w:tr w:rsidR="00B240C0" w:rsidRPr="00574B9E" w14:paraId="56932324" w14:textId="77777777">
        <w:trPr>
          <w:trHeight w:val="390"/>
        </w:trPr>
        <w:tc>
          <w:tcPr>
            <w:tcW w:w="2254" w:type="dxa"/>
            <w:vMerge/>
          </w:tcPr>
          <w:p w14:paraId="50959B84" w14:textId="77777777" w:rsidR="001B66FE" w:rsidRPr="00574B9E" w:rsidRDefault="001B66FE" w:rsidP="00B240C0">
            <w:pPr>
              <w:spacing w:line="360" w:lineRule="auto"/>
              <w:jc w:val="both"/>
              <w:rPr>
                <w:rFonts w:ascii="Arial" w:hAnsi="Arial" w:cs="Arial"/>
                <w:sz w:val="20"/>
                <w:szCs w:val="20"/>
              </w:rPr>
            </w:pPr>
          </w:p>
        </w:tc>
        <w:tc>
          <w:tcPr>
            <w:tcW w:w="2254" w:type="dxa"/>
          </w:tcPr>
          <w:p w14:paraId="167BFAF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46-55</w:t>
            </w:r>
          </w:p>
        </w:tc>
        <w:tc>
          <w:tcPr>
            <w:tcW w:w="2254" w:type="dxa"/>
          </w:tcPr>
          <w:p w14:paraId="2D585BD5"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13</w:t>
            </w:r>
          </w:p>
        </w:tc>
        <w:tc>
          <w:tcPr>
            <w:tcW w:w="2254" w:type="dxa"/>
          </w:tcPr>
          <w:p w14:paraId="31C7BC6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16%</w:t>
            </w:r>
          </w:p>
        </w:tc>
      </w:tr>
      <w:tr w:rsidR="00B240C0" w:rsidRPr="00574B9E" w14:paraId="62159098" w14:textId="77777777">
        <w:trPr>
          <w:trHeight w:val="270"/>
        </w:trPr>
        <w:tc>
          <w:tcPr>
            <w:tcW w:w="2254" w:type="dxa"/>
            <w:vMerge/>
          </w:tcPr>
          <w:p w14:paraId="65B7FB9C" w14:textId="77777777" w:rsidR="001B66FE" w:rsidRPr="00574B9E" w:rsidRDefault="001B66FE" w:rsidP="00B240C0">
            <w:pPr>
              <w:spacing w:line="360" w:lineRule="auto"/>
              <w:jc w:val="both"/>
              <w:rPr>
                <w:rFonts w:ascii="Arial" w:hAnsi="Arial" w:cs="Arial"/>
                <w:sz w:val="20"/>
                <w:szCs w:val="20"/>
              </w:rPr>
            </w:pPr>
          </w:p>
        </w:tc>
        <w:tc>
          <w:tcPr>
            <w:tcW w:w="2254" w:type="dxa"/>
          </w:tcPr>
          <w:p w14:paraId="5E3C803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56-above</w:t>
            </w:r>
          </w:p>
        </w:tc>
        <w:tc>
          <w:tcPr>
            <w:tcW w:w="2254" w:type="dxa"/>
          </w:tcPr>
          <w:p w14:paraId="520F911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w:t>
            </w:r>
          </w:p>
        </w:tc>
        <w:tc>
          <w:tcPr>
            <w:tcW w:w="2254" w:type="dxa"/>
          </w:tcPr>
          <w:p w14:paraId="3A3D709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4.9%</w:t>
            </w:r>
          </w:p>
        </w:tc>
      </w:tr>
      <w:tr w:rsidR="00B240C0" w:rsidRPr="00574B9E" w14:paraId="7AD50E71" w14:textId="77777777">
        <w:trPr>
          <w:trHeight w:val="360"/>
        </w:trPr>
        <w:tc>
          <w:tcPr>
            <w:tcW w:w="2254" w:type="dxa"/>
            <w:vMerge/>
          </w:tcPr>
          <w:p w14:paraId="70591073" w14:textId="77777777" w:rsidR="001B66FE" w:rsidRPr="00574B9E" w:rsidRDefault="001B66FE" w:rsidP="00B240C0">
            <w:pPr>
              <w:spacing w:line="360" w:lineRule="auto"/>
              <w:jc w:val="both"/>
              <w:rPr>
                <w:rFonts w:ascii="Arial" w:hAnsi="Arial" w:cs="Arial"/>
                <w:sz w:val="20"/>
                <w:szCs w:val="20"/>
              </w:rPr>
            </w:pPr>
          </w:p>
        </w:tc>
        <w:tc>
          <w:tcPr>
            <w:tcW w:w="2254" w:type="dxa"/>
          </w:tcPr>
          <w:p w14:paraId="23D907F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Total</w:t>
            </w:r>
          </w:p>
        </w:tc>
        <w:tc>
          <w:tcPr>
            <w:tcW w:w="2254" w:type="dxa"/>
          </w:tcPr>
          <w:p w14:paraId="581234E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4D84CDB9"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r w:rsidR="00B240C0" w:rsidRPr="00574B9E" w14:paraId="1623B1D0" w14:textId="77777777">
        <w:trPr>
          <w:trHeight w:val="330"/>
        </w:trPr>
        <w:tc>
          <w:tcPr>
            <w:tcW w:w="2254" w:type="dxa"/>
            <w:vMerge w:val="restart"/>
          </w:tcPr>
          <w:p w14:paraId="5A97F5E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Education</w:t>
            </w:r>
          </w:p>
          <w:p w14:paraId="12C11AF3" w14:textId="77777777" w:rsidR="001B66FE" w:rsidRPr="00574B9E" w:rsidRDefault="001B66FE" w:rsidP="00B240C0">
            <w:pPr>
              <w:spacing w:line="360" w:lineRule="auto"/>
              <w:jc w:val="both"/>
              <w:rPr>
                <w:rFonts w:ascii="Arial" w:hAnsi="Arial" w:cs="Arial"/>
                <w:sz w:val="20"/>
                <w:szCs w:val="20"/>
              </w:rPr>
            </w:pPr>
          </w:p>
          <w:p w14:paraId="15339E11" w14:textId="77777777" w:rsidR="001B66FE" w:rsidRPr="00574B9E" w:rsidRDefault="001B66FE" w:rsidP="00B240C0">
            <w:pPr>
              <w:spacing w:line="360" w:lineRule="auto"/>
              <w:jc w:val="both"/>
              <w:rPr>
                <w:rFonts w:ascii="Arial" w:hAnsi="Arial" w:cs="Arial"/>
                <w:sz w:val="20"/>
                <w:szCs w:val="20"/>
              </w:rPr>
            </w:pPr>
          </w:p>
          <w:p w14:paraId="7843B815" w14:textId="77777777" w:rsidR="001B66FE" w:rsidRPr="00574B9E" w:rsidRDefault="001B66FE" w:rsidP="00B240C0">
            <w:pPr>
              <w:spacing w:line="360" w:lineRule="auto"/>
              <w:jc w:val="both"/>
              <w:rPr>
                <w:rFonts w:ascii="Arial" w:hAnsi="Arial" w:cs="Arial"/>
                <w:sz w:val="20"/>
                <w:szCs w:val="20"/>
              </w:rPr>
            </w:pPr>
          </w:p>
        </w:tc>
        <w:tc>
          <w:tcPr>
            <w:tcW w:w="2254" w:type="dxa"/>
          </w:tcPr>
          <w:p w14:paraId="58F9E98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Diploma</w:t>
            </w:r>
          </w:p>
        </w:tc>
        <w:tc>
          <w:tcPr>
            <w:tcW w:w="2254" w:type="dxa"/>
          </w:tcPr>
          <w:p w14:paraId="0680A91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9</w:t>
            </w:r>
          </w:p>
        </w:tc>
        <w:tc>
          <w:tcPr>
            <w:tcW w:w="2254" w:type="dxa"/>
          </w:tcPr>
          <w:p w14:paraId="10E401B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11%</w:t>
            </w:r>
          </w:p>
        </w:tc>
      </w:tr>
      <w:tr w:rsidR="00B240C0" w:rsidRPr="00574B9E" w14:paraId="7F6B460F" w14:textId="77777777">
        <w:trPr>
          <w:trHeight w:val="315"/>
        </w:trPr>
        <w:tc>
          <w:tcPr>
            <w:tcW w:w="2254" w:type="dxa"/>
            <w:vMerge/>
          </w:tcPr>
          <w:p w14:paraId="72693F97" w14:textId="77777777" w:rsidR="001B66FE" w:rsidRPr="00574B9E" w:rsidRDefault="001B66FE" w:rsidP="00B240C0">
            <w:pPr>
              <w:spacing w:line="360" w:lineRule="auto"/>
              <w:jc w:val="both"/>
              <w:rPr>
                <w:rFonts w:ascii="Arial" w:hAnsi="Arial" w:cs="Arial"/>
                <w:sz w:val="20"/>
                <w:szCs w:val="20"/>
              </w:rPr>
            </w:pPr>
          </w:p>
        </w:tc>
        <w:tc>
          <w:tcPr>
            <w:tcW w:w="2254" w:type="dxa"/>
          </w:tcPr>
          <w:p w14:paraId="4AB98B8D"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Certificate</w:t>
            </w:r>
          </w:p>
        </w:tc>
        <w:tc>
          <w:tcPr>
            <w:tcW w:w="2254" w:type="dxa"/>
          </w:tcPr>
          <w:p w14:paraId="4B2B784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w:t>
            </w:r>
          </w:p>
        </w:tc>
        <w:tc>
          <w:tcPr>
            <w:tcW w:w="2254" w:type="dxa"/>
          </w:tcPr>
          <w:p w14:paraId="5DB18C9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2.5%</w:t>
            </w:r>
          </w:p>
        </w:tc>
      </w:tr>
      <w:tr w:rsidR="00B240C0" w:rsidRPr="00574B9E" w14:paraId="7DB3EA8F" w14:textId="77777777">
        <w:trPr>
          <w:trHeight w:val="465"/>
        </w:trPr>
        <w:tc>
          <w:tcPr>
            <w:tcW w:w="2254" w:type="dxa"/>
            <w:vMerge/>
          </w:tcPr>
          <w:p w14:paraId="516B990C" w14:textId="77777777" w:rsidR="001B66FE" w:rsidRPr="00574B9E" w:rsidRDefault="001B66FE" w:rsidP="00B240C0">
            <w:pPr>
              <w:spacing w:line="360" w:lineRule="auto"/>
              <w:jc w:val="both"/>
              <w:rPr>
                <w:rFonts w:ascii="Arial" w:hAnsi="Arial" w:cs="Arial"/>
                <w:sz w:val="20"/>
                <w:szCs w:val="20"/>
              </w:rPr>
            </w:pPr>
          </w:p>
        </w:tc>
        <w:tc>
          <w:tcPr>
            <w:tcW w:w="2254" w:type="dxa"/>
          </w:tcPr>
          <w:p w14:paraId="27DB34E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Bachelor’s degree</w:t>
            </w:r>
          </w:p>
        </w:tc>
        <w:tc>
          <w:tcPr>
            <w:tcW w:w="2254" w:type="dxa"/>
          </w:tcPr>
          <w:p w14:paraId="1F89701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43</w:t>
            </w:r>
          </w:p>
        </w:tc>
        <w:tc>
          <w:tcPr>
            <w:tcW w:w="2254" w:type="dxa"/>
          </w:tcPr>
          <w:p w14:paraId="769CF019"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53.1%</w:t>
            </w:r>
          </w:p>
        </w:tc>
      </w:tr>
      <w:tr w:rsidR="00B240C0" w:rsidRPr="00574B9E" w14:paraId="2DB05A93" w14:textId="77777777">
        <w:trPr>
          <w:trHeight w:val="360"/>
        </w:trPr>
        <w:tc>
          <w:tcPr>
            <w:tcW w:w="2254" w:type="dxa"/>
            <w:vMerge/>
          </w:tcPr>
          <w:p w14:paraId="7A3A7D56" w14:textId="77777777" w:rsidR="001B66FE" w:rsidRPr="00574B9E" w:rsidRDefault="001B66FE" w:rsidP="00B240C0">
            <w:pPr>
              <w:spacing w:line="360" w:lineRule="auto"/>
              <w:jc w:val="both"/>
              <w:rPr>
                <w:rFonts w:ascii="Arial" w:hAnsi="Arial" w:cs="Arial"/>
                <w:sz w:val="20"/>
                <w:szCs w:val="20"/>
              </w:rPr>
            </w:pPr>
          </w:p>
        </w:tc>
        <w:tc>
          <w:tcPr>
            <w:tcW w:w="2254" w:type="dxa"/>
          </w:tcPr>
          <w:p w14:paraId="30E7432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Master</w:t>
            </w:r>
          </w:p>
        </w:tc>
        <w:tc>
          <w:tcPr>
            <w:tcW w:w="2254" w:type="dxa"/>
          </w:tcPr>
          <w:p w14:paraId="3308133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27</w:t>
            </w:r>
          </w:p>
        </w:tc>
        <w:tc>
          <w:tcPr>
            <w:tcW w:w="2254" w:type="dxa"/>
          </w:tcPr>
          <w:p w14:paraId="57D551C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33.3%</w:t>
            </w:r>
          </w:p>
        </w:tc>
      </w:tr>
      <w:tr w:rsidR="00B240C0" w:rsidRPr="00574B9E" w14:paraId="37B4661D" w14:textId="77777777">
        <w:trPr>
          <w:trHeight w:val="480"/>
        </w:trPr>
        <w:tc>
          <w:tcPr>
            <w:tcW w:w="2254" w:type="dxa"/>
            <w:vMerge/>
          </w:tcPr>
          <w:p w14:paraId="618F9437" w14:textId="77777777" w:rsidR="001B66FE" w:rsidRPr="00574B9E" w:rsidRDefault="001B66FE" w:rsidP="00B240C0">
            <w:pPr>
              <w:spacing w:line="360" w:lineRule="auto"/>
              <w:jc w:val="both"/>
              <w:rPr>
                <w:rFonts w:ascii="Arial" w:hAnsi="Arial" w:cs="Arial"/>
                <w:sz w:val="20"/>
                <w:szCs w:val="20"/>
              </w:rPr>
            </w:pPr>
          </w:p>
        </w:tc>
        <w:tc>
          <w:tcPr>
            <w:tcW w:w="2254" w:type="dxa"/>
          </w:tcPr>
          <w:p w14:paraId="5C35E18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Total</w:t>
            </w:r>
          </w:p>
        </w:tc>
        <w:tc>
          <w:tcPr>
            <w:tcW w:w="2254" w:type="dxa"/>
          </w:tcPr>
          <w:p w14:paraId="1A194F2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57FD9E72"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r w:rsidR="00B240C0" w:rsidRPr="00574B9E" w14:paraId="1A9C3B8F" w14:textId="77777777">
        <w:trPr>
          <w:trHeight w:val="300"/>
        </w:trPr>
        <w:tc>
          <w:tcPr>
            <w:tcW w:w="2254" w:type="dxa"/>
            <w:vMerge w:val="restart"/>
          </w:tcPr>
          <w:p w14:paraId="1EBE333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Occupation</w:t>
            </w:r>
          </w:p>
          <w:p w14:paraId="01BE8B50" w14:textId="77777777" w:rsidR="001B66FE" w:rsidRPr="00574B9E" w:rsidRDefault="001B66FE" w:rsidP="00B240C0">
            <w:pPr>
              <w:spacing w:line="360" w:lineRule="auto"/>
              <w:jc w:val="both"/>
              <w:rPr>
                <w:rFonts w:ascii="Arial" w:hAnsi="Arial" w:cs="Arial"/>
                <w:sz w:val="20"/>
                <w:szCs w:val="20"/>
              </w:rPr>
            </w:pPr>
          </w:p>
          <w:p w14:paraId="05F32B7F" w14:textId="77777777" w:rsidR="001B66FE" w:rsidRPr="00574B9E" w:rsidRDefault="001B66FE" w:rsidP="00B240C0">
            <w:pPr>
              <w:spacing w:line="360" w:lineRule="auto"/>
              <w:jc w:val="both"/>
              <w:rPr>
                <w:rFonts w:ascii="Arial" w:hAnsi="Arial" w:cs="Arial"/>
                <w:sz w:val="20"/>
                <w:szCs w:val="20"/>
              </w:rPr>
            </w:pPr>
          </w:p>
          <w:p w14:paraId="5CD859CA" w14:textId="77777777" w:rsidR="001B66FE" w:rsidRPr="00574B9E" w:rsidRDefault="001B66FE" w:rsidP="00B240C0">
            <w:pPr>
              <w:spacing w:line="360" w:lineRule="auto"/>
              <w:jc w:val="both"/>
              <w:rPr>
                <w:rFonts w:ascii="Arial" w:hAnsi="Arial" w:cs="Arial"/>
                <w:sz w:val="20"/>
                <w:szCs w:val="20"/>
              </w:rPr>
            </w:pPr>
          </w:p>
          <w:p w14:paraId="72F9831F" w14:textId="77777777" w:rsidR="001B66FE" w:rsidRPr="00574B9E" w:rsidRDefault="001B66FE" w:rsidP="00B240C0">
            <w:pPr>
              <w:spacing w:line="360" w:lineRule="auto"/>
              <w:jc w:val="both"/>
              <w:rPr>
                <w:rFonts w:ascii="Arial" w:hAnsi="Arial" w:cs="Arial"/>
                <w:sz w:val="20"/>
                <w:szCs w:val="20"/>
              </w:rPr>
            </w:pPr>
          </w:p>
        </w:tc>
        <w:tc>
          <w:tcPr>
            <w:tcW w:w="2254" w:type="dxa"/>
          </w:tcPr>
          <w:p w14:paraId="69282AA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Full employment</w:t>
            </w:r>
          </w:p>
        </w:tc>
        <w:tc>
          <w:tcPr>
            <w:tcW w:w="2254" w:type="dxa"/>
          </w:tcPr>
          <w:p w14:paraId="44F851C2"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15</w:t>
            </w:r>
          </w:p>
        </w:tc>
        <w:tc>
          <w:tcPr>
            <w:tcW w:w="2254" w:type="dxa"/>
          </w:tcPr>
          <w:p w14:paraId="05654F3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18.5%</w:t>
            </w:r>
          </w:p>
        </w:tc>
      </w:tr>
      <w:tr w:rsidR="00B240C0" w:rsidRPr="00574B9E" w14:paraId="04B4A633" w14:textId="77777777">
        <w:trPr>
          <w:trHeight w:val="420"/>
        </w:trPr>
        <w:tc>
          <w:tcPr>
            <w:tcW w:w="2254" w:type="dxa"/>
            <w:vMerge/>
          </w:tcPr>
          <w:p w14:paraId="76A5A33B" w14:textId="77777777" w:rsidR="001B66FE" w:rsidRPr="00574B9E" w:rsidRDefault="001B66FE" w:rsidP="00B240C0">
            <w:pPr>
              <w:spacing w:line="360" w:lineRule="auto"/>
              <w:jc w:val="both"/>
              <w:rPr>
                <w:rFonts w:ascii="Arial" w:hAnsi="Arial" w:cs="Arial"/>
                <w:sz w:val="20"/>
                <w:szCs w:val="20"/>
              </w:rPr>
            </w:pPr>
          </w:p>
        </w:tc>
        <w:tc>
          <w:tcPr>
            <w:tcW w:w="2254" w:type="dxa"/>
          </w:tcPr>
          <w:p w14:paraId="4B73F6C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Part-time employment</w:t>
            </w:r>
          </w:p>
        </w:tc>
        <w:tc>
          <w:tcPr>
            <w:tcW w:w="2254" w:type="dxa"/>
          </w:tcPr>
          <w:p w14:paraId="3AD03E1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65</w:t>
            </w:r>
          </w:p>
        </w:tc>
        <w:tc>
          <w:tcPr>
            <w:tcW w:w="2254" w:type="dxa"/>
          </w:tcPr>
          <w:p w14:paraId="61EAB87E"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80.2%</w:t>
            </w:r>
          </w:p>
        </w:tc>
      </w:tr>
      <w:tr w:rsidR="00B240C0" w:rsidRPr="00574B9E" w14:paraId="29B6BA27" w14:textId="77777777">
        <w:trPr>
          <w:trHeight w:val="315"/>
        </w:trPr>
        <w:tc>
          <w:tcPr>
            <w:tcW w:w="2254" w:type="dxa"/>
            <w:vMerge/>
          </w:tcPr>
          <w:p w14:paraId="21589FA3" w14:textId="77777777" w:rsidR="001B66FE" w:rsidRPr="00574B9E" w:rsidRDefault="001B66FE" w:rsidP="00B240C0">
            <w:pPr>
              <w:spacing w:line="360" w:lineRule="auto"/>
              <w:jc w:val="both"/>
              <w:rPr>
                <w:rFonts w:ascii="Arial" w:hAnsi="Arial" w:cs="Arial"/>
                <w:sz w:val="20"/>
                <w:szCs w:val="20"/>
              </w:rPr>
            </w:pPr>
          </w:p>
        </w:tc>
        <w:tc>
          <w:tcPr>
            <w:tcW w:w="2254" w:type="dxa"/>
          </w:tcPr>
          <w:p w14:paraId="5FF0F10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Other</w:t>
            </w:r>
          </w:p>
        </w:tc>
        <w:tc>
          <w:tcPr>
            <w:tcW w:w="2254" w:type="dxa"/>
          </w:tcPr>
          <w:p w14:paraId="395B77F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w:t>
            </w:r>
          </w:p>
        </w:tc>
        <w:tc>
          <w:tcPr>
            <w:tcW w:w="2254" w:type="dxa"/>
          </w:tcPr>
          <w:p w14:paraId="0515A06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1.2%</w:t>
            </w:r>
          </w:p>
        </w:tc>
      </w:tr>
      <w:tr w:rsidR="00B240C0" w:rsidRPr="00574B9E" w14:paraId="0CC816C2" w14:textId="77777777">
        <w:trPr>
          <w:trHeight w:val="300"/>
        </w:trPr>
        <w:tc>
          <w:tcPr>
            <w:tcW w:w="2254" w:type="dxa"/>
            <w:vMerge/>
          </w:tcPr>
          <w:p w14:paraId="621028E2" w14:textId="77777777" w:rsidR="001B66FE" w:rsidRPr="00574B9E" w:rsidRDefault="001B66FE" w:rsidP="00B240C0">
            <w:pPr>
              <w:spacing w:line="360" w:lineRule="auto"/>
              <w:jc w:val="both"/>
              <w:rPr>
                <w:rFonts w:ascii="Arial" w:hAnsi="Arial" w:cs="Arial"/>
                <w:sz w:val="20"/>
                <w:szCs w:val="20"/>
              </w:rPr>
            </w:pPr>
          </w:p>
        </w:tc>
        <w:tc>
          <w:tcPr>
            <w:tcW w:w="2254" w:type="dxa"/>
          </w:tcPr>
          <w:p w14:paraId="20FD413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Total</w:t>
            </w:r>
          </w:p>
        </w:tc>
        <w:tc>
          <w:tcPr>
            <w:tcW w:w="2254" w:type="dxa"/>
          </w:tcPr>
          <w:p w14:paraId="2EBBB00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715CB63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bl>
    <w:p w14:paraId="613260A4" w14:textId="77777777" w:rsidR="008666F3" w:rsidRDefault="008666F3" w:rsidP="00B240C0">
      <w:pPr>
        <w:spacing w:line="360" w:lineRule="auto"/>
        <w:jc w:val="both"/>
        <w:rPr>
          <w:rFonts w:ascii="Arial" w:hAnsi="Arial" w:cs="Arial"/>
          <w:sz w:val="20"/>
          <w:szCs w:val="20"/>
        </w:rPr>
      </w:pPr>
      <w:bookmarkStart w:id="18" w:name="_Toc173413912"/>
    </w:p>
    <w:p w14:paraId="58607466" w14:textId="6CCBCADD"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The evaluation Criteria of Public Tendering and acquisition.</w:t>
      </w:r>
      <w:bookmarkEnd w:id="18"/>
    </w:p>
    <w:p w14:paraId="075E434D" w14:textId="2DC5745A"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Table </w:t>
      </w:r>
      <w:r w:rsidR="00052ABD">
        <w:rPr>
          <w:rFonts w:ascii="Arial" w:eastAsia="Times New Roman" w:hAnsi="Arial" w:cs="Arial"/>
          <w:sz w:val="20"/>
          <w:szCs w:val="20"/>
          <w:lang w:eastAsia="en-GB"/>
        </w:rPr>
        <w:t>1</w:t>
      </w:r>
      <w:r w:rsidRPr="00574B9E">
        <w:rPr>
          <w:rFonts w:ascii="Arial" w:eastAsia="Times New Roman" w:hAnsi="Arial" w:cs="Arial"/>
          <w:sz w:val="20"/>
          <w:szCs w:val="20"/>
          <w:lang w:eastAsia="en-GB"/>
        </w:rPr>
        <w:t xml:space="preserve"> provides valuable insights into public perceptions of the National Tender Board's (SNTB) evaluation criteria attribute for public tenders and acquisitions in Hargeisa, Somaliland. The data is based on responses from 81 participants (n=81) using a Likert scale (1= Strongly Agree, 5= Strongly Disagree). Here's a breakdown of key findings for each statement:</w:t>
      </w:r>
    </w:p>
    <w:p w14:paraId="46489712"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Public perception of the Somaliland National Tender Board's (SNTB) evaluation criteria in Hargeisa suggests a generally positive view of its processes, though some concerns remain. While price is considered a significant factor in awarding tenders, respondents largely believe (low mean scores of 1.73 and 1.91 for related statements) that it is not the </w:t>
      </w:r>
      <w:r w:rsidRPr="00574B9E">
        <w:rPr>
          <w:rFonts w:ascii="Arial" w:eastAsia="Times New Roman" w:hAnsi="Arial" w:cs="Arial"/>
          <w:i/>
          <w:iCs/>
          <w:sz w:val="20"/>
          <w:szCs w:val="20"/>
          <w:lang w:eastAsia="en-GB"/>
        </w:rPr>
        <w:t>only</w:t>
      </w:r>
      <w:r w:rsidRPr="00574B9E">
        <w:rPr>
          <w:rFonts w:ascii="Arial" w:eastAsia="Times New Roman" w:hAnsi="Arial" w:cs="Arial"/>
          <w:sz w:val="20"/>
          <w:szCs w:val="20"/>
          <w:lang w:eastAsia="en-GB"/>
        </w:rPr>
        <w:t xml:space="preserve"> factor, with technical competence also playing a role (mean score of 1.86). A strong majority (mean score of 1.75) agrees that the SNTB adheres to legal processes and formalities. However, the data indicates a perception that the SNTB may give special consideration to minimum passing marks during prequalification (mean score of 3.72), a point of concern for some.</w:t>
      </w:r>
    </w:p>
    <w:p w14:paraId="69D86CEC"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While most respondents disagree with the notion that high officials exert undue influence on contractor selection or that abnormally low bids are accepted (higher mean scores of 3.47 and 4.06, respectively), a notable minority remained neutral, highlighting the need for continued transparency. Similarly, while the majority believes the SNTB avoids selecting incapable contractors (mean score of 2.43), a sizable portion still agreed, suggesting room for improvement in public confidence regarding contractor capability. Overall, the mean score of 2.62 across all criteria indicates a generally positive, but not entirely unblemished, view of the SNTB's evaluation processes.</w:t>
      </w:r>
    </w:p>
    <w:p w14:paraId="2ED77C57" w14:textId="77777777" w:rsidR="003D5745" w:rsidRPr="00574B9E" w:rsidRDefault="003D5745" w:rsidP="00B240C0">
      <w:pPr>
        <w:spacing w:line="360" w:lineRule="auto"/>
        <w:jc w:val="both"/>
        <w:rPr>
          <w:rFonts w:ascii="Arial" w:hAnsi="Arial" w:cs="Arial"/>
          <w:sz w:val="20"/>
          <w:szCs w:val="20"/>
        </w:rPr>
      </w:pPr>
    </w:p>
    <w:p w14:paraId="1BC9F0F2" w14:textId="77777777" w:rsidR="003D5745" w:rsidRPr="00574B9E" w:rsidRDefault="003D5745" w:rsidP="00B240C0">
      <w:pPr>
        <w:spacing w:line="360" w:lineRule="auto"/>
        <w:jc w:val="both"/>
        <w:rPr>
          <w:rFonts w:ascii="Arial" w:hAnsi="Arial" w:cs="Arial"/>
          <w:sz w:val="20"/>
          <w:szCs w:val="20"/>
        </w:rPr>
      </w:pPr>
    </w:p>
    <w:p w14:paraId="2D2D3780" w14:textId="77777777" w:rsidR="001B66FE" w:rsidRPr="00574B9E" w:rsidRDefault="001B66FE" w:rsidP="00B240C0">
      <w:pPr>
        <w:spacing w:line="360" w:lineRule="auto"/>
        <w:jc w:val="both"/>
        <w:rPr>
          <w:rFonts w:ascii="Arial" w:hAnsi="Arial" w:cs="Arial"/>
          <w:i/>
          <w:iCs/>
          <w:sz w:val="20"/>
          <w:szCs w:val="20"/>
        </w:rPr>
      </w:pPr>
      <w:r w:rsidRPr="00574B9E">
        <w:rPr>
          <w:rFonts w:ascii="Arial" w:hAnsi="Arial" w:cs="Arial"/>
          <w:i/>
          <w:iCs/>
          <w:sz w:val="20"/>
          <w:szCs w:val="20"/>
        </w:rPr>
        <w:t>Table</w:t>
      </w:r>
      <w:r w:rsidR="0073592F" w:rsidRPr="00574B9E">
        <w:rPr>
          <w:rFonts w:ascii="Arial" w:hAnsi="Arial" w:cs="Arial"/>
          <w:i/>
          <w:iCs/>
          <w:sz w:val="20"/>
          <w:szCs w:val="20"/>
        </w:rPr>
        <w:t xml:space="preserve"> 2</w:t>
      </w:r>
      <w:r w:rsidRPr="00574B9E">
        <w:rPr>
          <w:rFonts w:ascii="Arial" w:hAnsi="Arial" w:cs="Arial"/>
          <w:i/>
          <w:iCs/>
          <w:sz w:val="20"/>
          <w:szCs w:val="20"/>
        </w:rPr>
        <w:t>: Whether public procurement decision making practice is done and in line within the evaluation criteria attribute, SNTB at Hargeisa City, Somaliland. (n=81)</w:t>
      </w:r>
    </w:p>
    <w:tbl>
      <w:tblPr>
        <w:tblStyle w:val="1-1"/>
        <w:tblW w:w="10174" w:type="dxa"/>
        <w:tblInd w:w="-600" w:type="dxa"/>
        <w:tblLayout w:type="fixed"/>
        <w:tblLook w:val="04A0" w:firstRow="1" w:lastRow="0" w:firstColumn="1" w:lastColumn="0" w:noHBand="0" w:noVBand="1"/>
      </w:tblPr>
      <w:tblGrid>
        <w:gridCol w:w="3406"/>
        <w:gridCol w:w="985"/>
        <w:gridCol w:w="1406"/>
        <w:gridCol w:w="843"/>
        <w:gridCol w:w="701"/>
        <w:gridCol w:w="1126"/>
        <w:gridCol w:w="843"/>
        <w:gridCol w:w="864"/>
      </w:tblGrid>
      <w:tr w:rsidR="00B240C0" w:rsidRPr="00574B9E" w14:paraId="37B45975" w14:textId="77777777">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406" w:type="dxa"/>
          </w:tcPr>
          <w:p w14:paraId="3AB6FD3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Statements </w:t>
            </w:r>
          </w:p>
        </w:tc>
        <w:tc>
          <w:tcPr>
            <w:tcW w:w="985" w:type="dxa"/>
          </w:tcPr>
          <w:p w14:paraId="191C3CE2"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Mean</w:t>
            </w:r>
          </w:p>
        </w:tc>
        <w:tc>
          <w:tcPr>
            <w:tcW w:w="1406" w:type="dxa"/>
          </w:tcPr>
          <w:p w14:paraId="6B587C25"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Std. Deviation</w:t>
            </w:r>
          </w:p>
        </w:tc>
        <w:tc>
          <w:tcPr>
            <w:tcW w:w="843" w:type="dxa"/>
          </w:tcPr>
          <w:p w14:paraId="3C9F93AC"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SA</w:t>
            </w:r>
          </w:p>
        </w:tc>
        <w:tc>
          <w:tcPr>
            <w:tcW w:w="701" w:type="dxa"/>
          </w:tcPr>
          <w:p w14:paraId="50F10D9E"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A</w:t>
            </w:r>
          </w:p>
        </w:tc>
        <w:tc>
          <w:tcPr>
            <w:tcW w:w="1126" w:type="dxa"/>
          </w:tcPr>
          <w:p w14:paraId="4AA441F6"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Neutral</w:t>
            </w:r>
          </w:p>
        </w:tc>
        <w:tc>
          <w:tcPr>
            <w:tcW w:w="843" w:type="dxa"/>
          </w:tcPr>
          <w:p w14:paraId="1A8352DC"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DA</w:t>
            </w:r>
          </w:p>
        </w:tc>
        <w:tc>
          <w:tcPr>
            <w:tcW w:w="864" w:type="dxa"/>
          </w:tcPr>
          <w:p w14:paraId="3B0E8941"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SDA</w:t>
            </w:r>
          </w:p>
        </w:tc>
      </w:tr>
      <w:tr w:rsidR="00B240C0" w:rsidRPr="00574B9E" w14:paraId="08593DAC" w14:textId="77777777">
        <w:trPr>
          <w:trHeight w:val="710"/>
        </w:trPr>
        <w:tc>
          <w:tcPr>
            <w:cnfStyle w:val="001000000000" w:firstRow="0" w:lastRow="0" w:firstColumn="1" w:lastColumn="0" w:oddVBand="0" w:evenVBand="0" w:oddHBand="0" w:evenHBand="0" w:firstRowFirstColumn="0" w:firstRowLastColumn="0" w:lastRowFirstColumn="0" w:lastRowLastColumn="0"/>
            <w:tcW w:w="3406" w:type="dxa"/>
          </w:tcPr>
          <w:p w14:paraId="1CD8A4FD"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lastRenderedPageBreak/>
              <w:t>Tenders are always awarded to the bidder who quotes lower than the selling price set by client.</w:t>
            </w:r>
          </w:p>
        </w:tc>
        <w:tc>
          <w:tcPr>
            <w:tcW w:w="985" w:type="dxa"/>
          </w:tcPr>
          <w:p w14:paraId="3E3E3C5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1.73</w:t>
            </w:r>
          </w:p>
        </w:tc>
        <w:tc>
          <w:tcPr>
            <w:tcW w:w="1406" w:type="dxa"/>
          </w:tcPr>
          <w:p w14:paraId="749D21C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.707</w:t>
            </w:r>
          </w:p>
        </w:tc>
        <w:tc>
          <w:tcPr>
            <w:tcW w:w="843" w:type="dxa"/>
          </w:tcPr>
          <w:p w14:paraId="4B24CEA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33</w:t>
            </w:r>
          </w:p>
        </w:tc>
        <w:tc>
          <w:tcPr>
            <w:tcW w:w="701" w:type="dxa"/>
          </w:tcPr>
          <w:p w14:paraId="5E18483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39</w:t>
            </w:r>
          </w:p>
        </w:tc>
        <w:tc>
          <w:tcPr>
            <w:tcW w:w="1126" w:type="dxa"/>
          </w:tcPr>
          <w:p w14:paraId="6497294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9</w:t>
            </w:r>
          </w:p>
        </w:tc>
        <w:tc>
          <w:tcPr>
            <w:tcW w:w="843" w:type="dxa"/>
          </w:tcPr>
          <w:p w14:paraId="1616F3E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w:t>
            </w:r>
          </w:p>
        </w:tc>
        <w:tc>
          <w:tcPr>
            <w:tcW w:w="864" w:type="dxa"/>
          </w:tcPr>
          <w:p w14:paraId="099731A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o</w:t>
            </w:r>
          </w:p>
        </w:tc>
      </w:tr>
      <w:tr w:rsidR="00B240C0" w:rsidRPr="00574B9E" w14:paraId="7072FFD7" w14:textId="77777777">
        <w:trPr>
          <w:trHeight w:val="622"/>
        </w:trPr>
        <w:tc>
          <w:tcPr>
            <w:cnfStyle w:val="001000000000" w:firstRow="0" w:lastRow="0" w:firstColumn="1" w:lastColumn="0" w:oddVBand="0" w:evenVBand="0" w:oddHBand="0" w:evenHBand="0" w:firstRowFirstColumn="0" w:firstRowLastColumn="0" w:lastRowFirstColumn="0" w:lastRowLastColumn="0"/>
            <w:tcW w:w="3406" w:type="dxa"/>
          </w:tcPr>
          <w:p w14:paraId="629FAD13"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Public tenders follow strict legal processes and formalities in the tendering and procurement.</w:t>
            </w:r>
          </w:p>
        </w:tc>
        <w:tc>
          <w:tcPr>
            <w:tcW w:w="985" w:type="dxa"/>
          </w:tcPr>
          <w:p w14:paraId="22BF979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1.75</w:t>
            </w:r>
          </w:p>
        </w:tc>
        <w:tc>
          <w:tcPr>
            <w:tcW w:w="1406" w:type="dxa"/>
          </w:tcPr>
          <w:p w14:paraId="2B26F54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.623</w:t>
            </w:r>
          </w:p>
        </w:tc>
        <w:tc>
          <w:tcPr>
            <w:tcW w:w="843" w:type="dxa"/>
          </w:tcPr>
          <w:p w14:paraId="109BE5C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28</w:t>
            </w:r>
          </w:p>
        </w:tc>
        <w:tc>
          <w:tcPr>
            <w:tcW w:w="701" w:type="dxa"/>
          </w:tcPr>
          <w:p w14:paraId="47CAE65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45</w:t>
            </w:r>
          </w:p>
        </w:tc>
        <w:tc>
          <w:tcPr>
            <w:tcW w:w="1126" w:type="dxa"/>
          </w:tcPr>
          <w:p w14:paraId="4DF3C3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w:t>
            </w:r>
          </w:p>
        </w:tc>
        <w:tc>
          <w:tcPr>
            <w:tcW w:w="843" w:type="dxa"/>
          </w:tcPr>
          <w:p w14:paraId="1B91272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c>
          <w:tcPr>
            <w:tcW w:w="864" w:type="dxa"/>
          </w:tcPr>
          <w:p w14:paraId="2A96A63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48982D79"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06CDCAFA"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Your organization selects contractors based on the lowest bid price.</w:t>
            </w:r>
          </w:p>
        </w:tc>
        <w:tc>
          <w:tcPr>
            <w:tcW w:w="985" w:type="dxa"/>
          </w:tcPr>
          <w:p w14:paraId="1FF093A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1.91</w:t>
            </w:r>
          </w:p>
        </w:tc>
        <w:tc>
          <w:tcPr>
            <w:tcW w:w="1406" w:type="dxa"/>
          </w:tcPr>
          <w:p w14:paraId="6B5CC49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.728</w:t>
            </w:r>
          </w:p>
        </w:tc>
        <w:tc>
          <w:tcPr>
            <w:tcW w:w="843" w:type="dxa"/>
          </w:tcPr>
          <w:p w14:paraId="60EF59D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23</w:t>
            </w:r>
          </w:p>
        </w:tc>
        <w:tc>
          <w:tcPr>
            <w:tcW w:w="701" w:type="dxa"/>
          </w:tcPr>
          <w:p w14:paraId="59560D0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44</w:t>
            </w:r>
          </w:p>
        </w:tc>
        <w:tc>
          <w:tcPr>
            <w:tcW w:w="1126" w:type="dxa"/>
          </w:tcPr>
          <w:p w14:paraId="553EBEC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12</w:t>
            </w:r>
          </w:p>
        </w:tc>
        <w:tc>
          <w:tcPr>
            <w:tcW w:w="843" w:type="dxa"/>
          </w:tcPr>
          <w:p w14:paraId="6329AE1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864" w:type="dxa"/>
          </w:tcPr>
          <w:p w14:paraId="51085B02"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227F5122"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11155B51"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Your organization selects contractors based on the technical and price criteria</w:t>
            </w:r>
          </w:p>
        </w:tc>
        <w:tc>
          <w:tcPr>
            <w:tcW w:w="985" w:type="dxa"/>
          </w:tcPr>
          <w:p w14:paraId="7B5CFC8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1.86</w:t>
            </w:r>
          </w:p>
        </w:tc>
        <w:tc>
          <w:tcPr>
            <w:tcW w:w="1406" w:type="dxa"/>
          </w:tcPr>
          <w:p w14:paraId="3950B98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.720</w:t>
            </w:r>
          </w:p>
        </w:tc>
        <w:tc>
          <w:tcPr>
            <w:tcW w:w="843" w:type="dxa"/>
          </w:tcPr>
          <w:p w14:paraId="68EA853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25</w:t>
            </w:r>
          </w:p>
        </w:tc>
        <w:tc>
          <w:tcPr>
            <w:tcW w:w="701" w:type="dxa"/>
          </w:tcPr>
          <w:p w14:paraId="0805CE5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44</w:t>
            </w:r>
          </w:p>
        </w:tc>
        <w:tc>
          <w:tcPr>
            <w:tcW w:w="1126" w:type="dxa"/>
          </w:tcPr>
          <w:p w14:paraId="61CA02B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10</w:t>
            </w:r>
          </w:p>
        </w:tc>
        <w:tc>
          <w:tcPr>
            <w:tcW w:w="843" w:type="dxa"/>
          </w:tcPr>
          <w:p w14:paraId="1DD75D9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864" w:type="dxa"/>
          </w:tcPr>
          <w:p w14:paraId="6A2EDA7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5B1E8D33"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095859A6"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There is no special consideration for setting minimum passing marks during the prequalification stage</w:t>
            </w:r>
          </w:p>
        </w:tc>
        <w:tc>
          <w:tcPr>
            <w:tcW w:w="985" w:type="dxa"/>
          </w:tcPr>
          <w:p w14:paraId="1D73F60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3.72</w:t>
            </w:r>
          </w:p>
        </w:tc>
        <w:tc>
          <w:tcPr>
            <w:tcW w:w="1406" w:type="dxa"/>
          </w:tcPr>
          <w:p w14:paraId="04B2DB7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.869</w:t>
            </w:r>
          </w:p>
        </w:tc>
        <w:tc>
          <w:tcPr>
            <w:tcW w:w="843" w:type="dxa"/>
          </w:tcPr>
          <w:p w14:paraId="5C99308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701" w:type="dxa"/>
          </w:tcPr>
          <w:p w14:paraId="7BE87B6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c>
          <w:tcPr>
            <w:tcW w:w="1126" w:type="dxa"/>
          </w:tcPr>
          <w:p w14:paraId="20D2BA4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24</w:t>
            </w:r>
          </w:p>
        </w:tc>
        <w:tc>
          <w:tcPr>
            <w:tcW w:w="843" w:type="dxa"/>
          </w:tcPr>
          <w:p w14:paraId="4F41989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39</w:t>
            </w:r>
          </w:p>
        </w:tc>
        <w:tc>
          <w:tcPr>
            <w:tcW w:w="864" w:type="dxa"/>
          </w:tcPr>
          <w:p w14:paraId="22881F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13</w:t>
            </w:r>
          </w:p>
        </w:tc>
      </w:tr>
      <w:tr w:rsidR="00B240C0" w:rsidRPr="00574B9E" w14:paraId="3FD6A3BB"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3E1BCC6C"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Contractors are sometimes rejected due to the influence of high officials.</w:t>
            </w:r>
          </w:p>
        </w:tc>
        <w:tc>
          <w:tcPr>
            <w:tcW w:w="985" w:type="dxa"/>
          </w:tcPr>
          <w:p w14:paraId="4B7E1E7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3.47</w:t>
            </w:r>
          </w:p>
        </w:tc>
        <w:tc>
          <w:tcPr>
            <w:tcW w:w="1406" w:type="dxa"/>
          </w:tcPr>
          <w:p w14:paraId="406426F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.963</w:t>
            </w:r>
          </w:p>
        </w:tc>
        <w:tc>
          <w:tcPr>
            <w:tcW w:w="843" w:type="dxa"/>
          </w:tcPr>
          <w:p w14:paraId="5D37496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w:t>
            </w:r>
          </w:p>
        </w:tc>
        <w:tc>
          <w:tcPr>
            <w:tcW w:w="701" w:type="dxa"/>
          </w:tcPr>
          <w:p w14:paraId="2D083B2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16</w:t>
            </w:r>
          </w:p>
        </w:tc>
        <w:tc>
          <w:tcPr>
            <w:tcW w:w="1126" w:type="dxa"/>
          </w:tcPr>
          <w:p w14:paraId="2FD12FB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16</w:t>
            </w:r>
          </w:p>
        </w:tc>
        <w:tc>
          <w:tcPr>
            <w:tcW w:w="843" w:type="dxa"/>
          </w:tcPr>
          <w:p w14:paraId="07213BD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40</w:t>
            </w:r>
          </w:p>
        </w:tc>
        <w:tc>
          <w:tcPr>
            <w:tcW w:w="864" w:type="dxa"/>
          </w:tcPr>
          <w:p w14:paraId="2101098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w:t>
            </w:r>
          </w:p>
        </w:tc>
      </w:tr>
      <w:tr w:rsidR="00B240C0" w:rsidRPr="00574B9E" w14:paraId="4B9EB04E"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28541F2B"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The SNTB committee accepts abnormally low bids from contractors.</w:t>
            </w:r>
          </w:p>
        </w:tc>
        <w:tc>
          <w:tcPr>
            <w:tcW w:w="985" w:type="dxa"/>
          </w:tcPr>
          <w:p w14:paraId="3E3C6D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4.06</w:t>
            </w:r>
          </w:p>
        </w:tc>
        <w:tc>
          <w:tcPr>
            <w:tcW w:w="1406" w:type="dxa"/>
          </w:tcPr>
          <w:p w14:paraId="2F32F01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.747</w:t>
            </w:r>
          </w:p>
        </w:tc>
        <w:tc>
          <w:tcPr>
            <w:tcW w:w="843" w:type="dxa"/>
          </w:tcPr>
          <w:p w14:paraId="5031742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c>
          <w:tcPr>
            <w:tcW w:w="701" w:type="dxa"/>
          </w:tcPr>
          <w:p w14:paraId="1442C9A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c>
          <w:tcPr>
            <w:tcW w:w="1126" w:type="dxa"/>
          </w:tcPr>
          <w:p w14:paraId="613FB7D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11</w:t>
            </w:r>
          </w:p>
        </w:tc>
        <w:tc>
          <w:tcPr>
            <w:tcW w:w="843" w:type="dxa"/>
          </w:tcPr>
          <w:p w14:paraId="647C32E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45</w:t>
            </w:r>
          </w:p>
        </w:tc>
        <w:tc>
          <w:tcPr>
            <w:tcW w:w="864" w:type="dxa"/>
          </w:tcPr>
          <w:p w14:paraId="0BB8CD0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22</w:t>
            </w:r>
          </w:p>
        </w:tc>
      </w:tr>
      <w:tr w:rsidR="00B240C0" w:rsidRPr="00574B9E" w14:paraId="5F11B90B" w14:textId="77777777">
        <w:trPr>
          <w:trHeight w:val="347"/>
        </w:trPr>
        <w:tc>
          <w:tcPr>
            <w:cnfStyle w:val="001000000000" w:firstRow="0" w:lastRow="0" w:firstColumn="1" w:lastColumn="0" w:oddVBand="0" w:evenVBand="0" w:oddHBand="0" w:evenHBand="0" w:firstRowFirstColumn="0" w:firstRowLastColumn="0" w:lastRowFirstColumn="0" w:lastRowLastColumn="0"/>
            <w:tcW w:w="3406" w:type="dxa"/>
          </w:tcPr>
          <w:p w14:paraId="21DE789B"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Public tenders fail due to the selection of incapable contractors.</w:t>
            </w:r>
          </w:p>
        </w:tc>
        <w:tc>
          <w:tcPr>
            <w:tcW w:w="985" w:type="dxa"/>
          </w:tcPr>
          <w:p w14:paraId="6EC584B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2.43</w:t>
            </w:r>
          </w:p>
        </w:tc>
        <w:tc>
          <w:tcPr>
            <w:tcW w:w="1406" w:type="dxa"/>
          </w:tcPr>
          <w:p w14:paraId="2A82038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.865</w:t>
            </w:r>
          </w:p>
        </w:tc>
        <w:tc>
          <w:tcPr>
            <w:tcW w:w="843" w:type="dxa"/>
          </w:tcPr>
          <w:p w14:paraId="58CD323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5</w:t>
            </w:r>
          </w:p>
        </w:tc>
        <w:tc>
          <w:tcPr>
            <w:tcW w:w="701" w:type="dxa"/>
          </w:tcPr>
          <w:p w14:paraId="530C7DB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48</w:t>
            </w:r>
          </w:p>
        </w:tc>
        <w:tc>
          <w:tcPr>
            <w:tcW w:w="1126" w:type="dxa"/>
          </w:tcPr>
          <w:p w14:paraId="213E9FA2"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19</w:t>
            </w:r>
          </w:p>
        </w:tc>
        <w:tc>
          <w:tcPr>
            <w:tcW w:w="843" w:type="dxa"/>
          </w:tcPr>
          <w:p w14:paraId="7A7EC36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6</w:t>
            </w:r>
          </w:p>
        </w:tc>
        <w:tc>
          <w:tcPr>
            <w:tcW w:w="864" w:type="dxa"/>
          </w:tcPr>
          <w:p w14:paraId="6C1AE6B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r>
      <w:tr w:rsidR="00B240C0" w:rsidRPr="00574B9E" w14:paraId="6ABFD976" w14:textId="77777777">
        <w:trPr>
          <w:trHeight w:val="154"/>
        </w:trPr>
        <w:tc>
          <w:tcPr>
            <w:cnfStyle w:val="001000000000" w:firstRow="0" w:lastRow="0" w:firstColumn="1" w:lastColumn="0" w:oddVBand="0" w:evenVBand="0" w:oddHBand="0" w:evenHBand="0" w:firstRowFirstColumn="0" w:firstRowLastColumn="0" w:lastRowFirstColumn="0" w:lastRowLastColumn="0"/>
            <w:tcW w:w="3406" w:type="dxa"/>
          </w:tcPr>
          <w:p w14:paraId="45F4CE9C"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Overall mean</w:t>
            </w:r>
          </w:p>
        </w:tc>
        <w:tc>
          <w:tcPr>
            <w:tcW w:w="985" w:type="dxa"/>
          </w:tcPr>
          <w:p w14:paraId="5BA71AE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2.62</w:t>
            </w:r>
          </w:p>
        </w:tc>
        <w:tc>
          <w:tcPr>
            <w:tcW w:w="1406" w:type="dxa"/>
          </w:tcPr>
          <w:p w14:paraId="34C0D14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43" w:type="dxa"/>
          </w:tcPr>
          <w:p w14:paraId="6429B98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1" w:type="dxa"/>
          </w:tcPr>
          <w:p w14:paraId="2FBF725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6" w:type="dxa"/>
          </w:tcPr>
          <w:p w14:paraId="5E926EF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43" w:type="dxa"/>
          </w:tcPr>
          <w:p w14:paraId="32B6C64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64" w:type="dxa"/>
          </w:tcPr>
          <w:p w14:paraId="28E16A8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D0674B5" w14:textId="77777777" w:rsidR="001B66FE" w:rsidRPr="00574B9E" w:rsidRDefault="001B66FE" w:rsidP="00B240C0">
      <w:pPr>
        <w:spacing w:line="360" w:lineRule="auto"/>
        <w:jc w:val="both"/>
        <w:rPr>
          <w:rFonts w:ascii="Arial" w:hAnsi="Arial" w:cs="Arial"/>
          <w:sz w:val="20"/>
          <w:szCs w:val="20"/>
        </w:rPr>
      </w:pPr>
      <w:bookmarkStart w:id="19" w:name="_Toc173413125"/>
      <w:bookmarkStart w:id="20" w:name="_Toc173412082"/>
      <w:r w:rsidRPr="00574B9E">
        <w:rPr>
          <w:rFonts w:ascii="Arial" w:hAnsi="Arial" w:cs="Arial"/>
          <w:sz w:val="20"/>
          <w:szCs w:val="20"/>
        </w:rPr>
        <w:t xml:space="preserve">Table </w:t>
      </w:r>
      <w:r w:rsidR="0073592F" w:rsidRPr="00574B9E">
        <w:rPr>
          <w:rFonts w:ascii="Arial" w:hAnsi="Arial" w:cs="Arial"/>
          <w:sz w:val="20"/>
          <w:szCs w:val="20"/>
        </w:rPr>
        <w:t>2</w:t>
      </w:r>
      <w:bookmarkEnd w:id="19"/>
    </w:p>
    <w:bookmarkEnd w:id="20"/>
    <w:p w14:paraId="5BB832B9" w14:textId="77777777" w:rsidR="001B66FE" w:rsidRPr="00574B9E" w:rsidRDefault="001B66FE" w:rsidP="00B240C0">
      <w:pPr>
        <w:spacing w:line="360" w:lineRule="auto"/>
        <w:jc w:val="both"/>
        <w:rPr>
          <w:rFonts w:ascii="Arial" w:hAnsi="Arial" w:cs="Arial"/>
          <w:sz w:val="20"/>
          <w:szCs w:val="20"/>
        </w:rPr>
      </w:pPr>
    </w:p>
    <w:p w14:paraId="447EBD6C" w14:textId="77777777" w:rsidR="001B66FE" w:rsidRPr="00574B9E" w:rsidRDefault="001B66FE" w:rsidP="00B240C0">
      <w:pPr>
        <w:spacing w:line="360" w:lineRule="auto"/>
        <w:jc w:val="both"/>
        <w:rPr>
          <w:rFonts w:ascii="Arial" w:hAnsi="Arial" w:cs="Arial"/>
          <w:sz w:val="20"/>
          <w:szCs w:val="20"/>
          <w:u w:val="single"/>
        </w:rPr>
      </w:pPr>
      <w:bookmarkStart w:id="21" w:name="_Toc173413913"/>
      <w:r w:rsidRPr="00574B9E">
        <w:rPr>
          <w:rFonts w:ascii="Arial" w:hAnsi="Arial" w:cs="Arial"/>
          <w:sz w:val="20"/>
          <w:szCs w:val="20"/>
        </w:rPr>
        <w:t xml:space="preserve"> </w:t>
      </w:r>
      <w:r w:rsidRPr="00574B9E">
        <w:rPr>
          <w:rFonts w:ascii="Arial" w:hAnsi="Arial" w:cs="Arial"/>
          <w:b/>
          <w:bCs/>
          <w:sz w:val="20"/>
          <w:szCs w:val="20"/>
        </w:rPr>
        <w:t>The decision-making style of Public Tendering and acquisition</w:t>
      </w:r>
      <w:r w:rsidRPr="00574B9E">
        <w:rPr>
          <w:rFonts w:ascii="Arial" w:hAnsi="Arial" w:cs="Arial"/>
          <w:sz w:val="20"/>
          <w:szCs w:val="20"/>
          <w:u w:val="single"/>
        </w:rPr>
        <w:t>.</w:t>
      </w:r>
      <w:bookmarkEnd w:id="21"/>
    </w:p>
    <w:p w14:paraId="4D35A662" w14:textId="77777777" w:rsidR="005A1175" w:rsidRPr="00574B9E" w:rsidRDefault="005A1175" w:rsidP="00B240C0">
      <w:pPr>
        <w:spacing w:line="360" w:lineRule="auto"/>
        <w:jc w:val="both"/>
        <w:rPr>
          <w:rFonts w:ascii="Arial" w:eastAsia="Times New Roman" w:hAnsi="Arial" w:cs="Arial"/>
          <w:sz w:val="20"/>
          <w:szCs w:val="20"/>
        </w:rPr>
      </w:pPr>
      <w:r w:rsidRPr="00574B9E">
        <w:rPr>
          <w:rFonts w:ascii="Arial" w:eastAsia="Times New Roman" w:hAnsi="Arial" w:cs="Arial"/>
          <w:sz w:val="20"/>
          <w:szCs w:val="20"/>
        </w:rPr>
        <w:t>Public perception of the Somaliland National Tender Board's (SNTB) decision-making process reveals both strengths and areas for potential improvement. A key finding is the perceived lack of public influence on procurement decisions (mean score of 3.70), raising questions about transparency and public engagement. Conversely, the SNTB is seen as strongly adhering to national regulations (mean score of 4.25), suggesting a robust legal framework. The data also indicates a generally competitive tendering process, with most respondents believing multiple suppliers are considered (mean score of 1.98).</w:t>
      </w:r>
    </w:p>
    <w:p w14:paraId="1E3CE8C0" w14:textId="77777777" w:rsidR="005A1175" w:rsidRPr="00574B9E" w:rsidRDefault="005A1175" w:rsidP="00B240C0">
      <w:pPr>
        <w:spacing w:line="360" w:lineRule="auto"/>
        <w:jc w:val="both"/>
        <w:rPr>
          <w:rFonts w:ascii="Arial" w:eastAsia="Times New Roman" w:hAnsi="Arial" w:cs="Arial"/>
          <w:sz w:val="20"/>
          <w:szCs w:val="20"/>
        </w:rPr>
      </w:pPr>
      <w:r w:rsidRPr="00574B9E">
        <w:rPr>
          <w:rFonts w:ascii="Arial" w:eastAsia="Times New Roman" w:hAnsi="Arial" w:cs="Arial"/>
          <w:sz w:val="20"/>
          <w:szCs w:val="20"/>
        </w:rPr>
        <w:t xml:space="preserve">However, some concerns emerge regarding post-award transparency, as a portion of respondents were unsure about the fairness and transparency perceived by unsuccessful bidders (mean score of 2.40). </w:t>
      </w:r>
      <w:r w:rsidRPr="00574B9E">
        <w:rPr>
          <w:rFonts w:ascii="Arial" w:eastAsia="Times New Roman" w:hAnsi="Arial" w:cs="Arial"/>
          <w:sz w:val="20"/>
          <w:szCs w:val="20"/>
        </w:rPr>
        <w:lastRenderedPageBreak/>
        <w:t>Additionally, the data suggests potential challenges faced by the SNTB committee during the final decision-making stage (mean score of 2.41), indicating a need to investigate and address these difficulties.</w:t>
      </w:r>
    </w:p>
    <w:p w14:paraId="21B9DD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Table </w:t>
      </w:r>
      <w:r w:rsidR="0073592F" w:rsidRPr="00574B9E">
        <w:rPr>
          <w:rFonts w:ascii="Arial" w:hAnsi="Arial" w:cs="Arial"/>
          <w:sz w:val="20"/>
          <w:szCs w:val="20"/>
        </w:rPr>
        <w:t>3</w:t>
      </w:r>
      <w:r w:rsidRPr="00574B9E">
        <w:rPr>
          <w:rFonts w:ascii="Arial" w:hAnsi="Arial" w:cs="Arial"/>
          <w:sz w:val="20"/>
          <w:szCs w:val="20"/>
        </w:rPr>
        <w:t xml:space="preserve">: </w:t>
      </w:r>
      <w:r w:rsidRPr="00574B9E">
        <w:rPr>
          <w:rFonts w:ascii="Arial" w:eastAsia="Arial" w:hAnsi="Arial" w:cs="Arial"/>
          <w:sz w:val="20"/>
          <w:szCs w:val="20"/>
        </w:rPr>
        <w:t xml:space="preserve">Identifying the level of </w:t>
      </w:r>
      <w:r w:rsidRPr="00574B9E">
        <w:rPr>
          <w:rFonts w:ascii="Arial" w:hAnsi="Arial" w:cs="Arial"/>
          <w:sz w:val="20"/>
          <w:szCs w:val="20"/>
        </w:rPr>
        <w:t>Multi-Criteria Decision Making (MCDM) techniques for Public</w:t>
      </w:r>
      <w:r w:rsidRPr="00574B9E">
        <w:rPr>
          <w:rFonts w:ascii="Arial" w:eastAsia="Arial" w:hAnsi="Arial" w:cs="Arial"/>
          <w:sz w:val="20"/>
          <w:szCs w:val="20"/>
        </w:rPr>
        <w:t xml:space="preserve"> </w:t>
      </w:r>
      <w:r w:rsidRPr="00574B9E">
        <w:rPr>
          <w:rFonts w:ascii="Arial" w:hAnsi="Arial" w:cs="Arial"/>
          <w:sz w:val="20"/>
          <w:szCs w:val="20"/>
        </w:rPr>
        <w:t>Procurement in the attribute of decision-making style, SNTB at Hargeisa City, Somaliland. (n=81).</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5"/>
        <w:gridCol w:w="694"/>
        <w:gridCol w:w="850"/>
        <w:gridCol w:w="1134"/>
        <w:gridCol w:w="851"/>
        <w:gridCol w:w="992"/>
        <w:gridCol w:w="851"/>
        <w:gridCol w:w="851"/>
        <w:gridCol w:w="851"/>
      </w:tblGrid>
      <w:tr w:rsidR="00B240C0" w:rsidRPr="00574B9E" w14:paraId="5FD5AD07" w14:textId="77777777">
        <w:trPr>
          <w:cantSplit/>
        </w:trPr>
        <w:tc>
          <w:tcPr>
            <w:tcW w:w="5103" w:type="dxa"/>
            <w:gridSpan w:val="4"/>
            <w:shd w:val="clear" w:color="auto" w:fill="FFFFFF"/>
            <w:tcMar>
              <w:top w:w="0" w:type="dxa"/>
              <w:left w:w="0" w:type="dxa"/>
              <w:bottom w:w="0" w:type="dxa"/>
              <w:right w:w="0" w:type="dxa"/>
            </w:tcMar>
          </w:tcPr>
          <w:p w14:paraId="7280AE5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Descriptive Statistics</w:t>
            </w:r>
          </w:p>
        </w:tc>
        <w:tc>
          <w:tcPr>
            <w:tcW w:w="851" w:type="dxa"/>
            <w:shd w:val="clear" w:color="auto" w:fill="FFFFFF"/>
          </w:tcPr>
          <w:p w14:paraId="4DAD17A5"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470FF45"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7DFDA3DF"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0684AFDB"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2B5B1231" w14:textId="77777777" w:rsidR="001B66FE" w:rsidRPr="00574B9E" w:rsidRDefault="001B66FE" w:rsidP="00B240C0">
            <w:pPr>
              <w:spacing w:line="360" w:lineRule="auto"/>
              <w:jc w:val="both"/>
              <w:rPr>
                <w:rFonts w:ascii="Arial" w:hAnsi="Arial" w:cs="Arial"/>
                <w:sz w:val="20"/>
                <w:szCs w:val="20"/>
              </w:rPr>
            </w:pPr>
          </w:p>
        </w:tc>
      </w:tr>
      <w:tr w:rsidR="00B240C0" w:rsidRPr="00574B9E" w14:paraId="5C4DF846" w14:textId="77777777">
        <w:trPr>
          <w:cantSplit/>
        </w:trPr>
        <w:tc>
          <w:tcPr>
            <w:tcW w:w="2425" w:type="dxa"/>
            <w:shd w:val="clear" w:color="auto" w:fill="FFFFFF"/>
            <w:tcMar>
              <w:top w:w="0" w:type="dxa"/>
              <w:left w:w="0" w:type="dxa"/>
              <w:bottom w:w="0" w:type="dxa"/>
              <w:right w:w="0" w:type="dxa"/>
            </w:tcMar>
          </w:tcPr>
          <w:p w14:paraId="235BCD7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Statements - 2</w:t>
            </w:r>
          </w:p>
        </w:tc>
        <w:tc>
          <w:tcPr>
            <w:tcW w:w="694" w:type="dxa"/>
            <w:shd w:val="clear" w:color="auto" w:fill="FFFFFF"/>
            <w:tcMar>
              <w:top w:w="0" w:type="dxa"/>
              <w:left w:w="0" w:type="dxa"/>
              <w:bottom w:w="0" w:type="dxa"/>
              <w:right w:w="0" w:type="dxa"/>
            </w:tcMar>
          </w:tcPr>
          <w:p w14:paraId="13E64BF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w:t>
            </w:r>
          </w:p>
        </w:tc>
        <w:tc>
          <w:tcPr>
            <w:tcW w:w="850" w:type="dxa"/>
            <w:shd w:val="clear" w:color="auto" w:fill="FFFFFF"/>
            <w:tcMar>
              <w:top w:w="0" w:type="dxa"/>
              <w:left w:w="0" w:type="dxa"/>
              <w:bottom w:w="0" w:type="dxa"/>
              <w:right w:w="0" w:type="dxa"/>
            </w:tcMar>
          </w:tcPr>
          <w:p w14:paraId="04FCEE4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Mean</w:t>
            </w:r>
          </w:p>
        </w:tc>
        <w:tc>
          <w:tcPr>
            <w:tcW w:w="1134" w:type="dxa"/>
            <w:shd w:val="clear" w:color="auto" w:fill="FFFFFF"/>
            <w:tcMar>
              <w:top w:w="0" w:type="dxa"/>
              <w:left w:w="0" w:type="dxa"/>
              <w:bottom w:w="0" w:type="dxa"/>
              <w:right w:w="0" w:type="dxa"/>
            </w:tcMar>
          </w:tcPr>
          <w:p w14:paraId="764D6E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Deviation</w:t>
            </w:r>
          </w:p>
        </w:tc>
        <w:tc>
          <w:tcPr>
            <w:tcW w:w="851" w:type="dxa"/>
            <w:shd w:val="clear" w:color="auto" w:fill="FFFFFF"/>
          </w:tcPr>
          <w:p w14:paraId="139A251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SA</w:t>
            </w:r>
          </w:p>
        </w:tc>
        <w:tc>
          <w:tcPr>
            <w:tcW w:w="992" w:type="dxa"/>
            <w:shd w:val="clear" w:color="auto" w:fill="FFFFFF"/>
          </w:tcPr>
          <w:p w14:paraId="1B8D3D3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w:t>
            </w:r>
          </w:p>
        </w:tc>
        <w:tc>
          <w:tcPr>
            <w:tcW w:w="851" w:type="dxa"/>
            <w:shd w:val="clear" w:color="auto" w:fill="FFFFFF"/>
          </w:tcPr>
          <w:p w14:paraId="147255B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Neutral</w:t>
            </w:r>
          </w:p>
        </w:tc>
        <w:tc>
          <w:tcPr>
            <w:tcW w:w="851" w:type="dxa"/>
            <w:shd w:val="clear" w:color="auto" w:fill="FFFFFF"/>
          </w:tcPr>
          <w:p w14:paraId="014F85E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DA</w:t>
            </w:r>
          </w:p>
        </w:tc>
        <w:tc>
          <w:tcPr>
            <w:tcW w:w="851" w:type="dxa"/>
            <w:shd w:val="clear" w:color="auto" w:fill="FFFFFF"/>
          </w:tcPr>
          <w:p w14:paraId="62CFE34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SDA</w:t>
            </w:r>
          </w:p>
        </w:tc>
      </w:tr>
      <w:tr w:rsidR="00B240C0" w:rsidRPr="00574B9E" w14:paraId="43DF3345" w14:textId="77777777">
        <w:trPr>
          <w:cantSplit/>
        </w:trPr>
        <w:tc>
          <w:tcPr>
            <w:tcW w:w="2425" w:type="dxa"/>
            <w:shd w:val="clear" w:color="auto" w:fill="FFFFFF"/>
            <w:tcMar>
              <w:top w:w="0" w:type="dxa"/>
              <w:left w:w="0" w:type="dxa"/>
              <w:bottom w:w="0" w:type="dxa"/>
              <w:right w:w="0" w:type="dxa"/>
            </w:tcMar>
            <w:vAlign w:val="center"/>
          </w:tcPr>
          <w:p w14:paraId="363A7B8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beneficiaries have an influence on public procurement decisions.</w:t>
            </w:r>
          </w:p>
        </w:tc>
        <w:tc>
          <w:tcPr>
            <w:tcW w:w="694" w:type="dxa"/>
            <w:shd w:val="clear" w:color="auto" w:fill="FFFFFF"/>
            <w:tcMar>
              <w:top w:w="0" w:type="dxa"/>
              <w:left w:w="0" w:type="dxa"/>
              <w:bottom w:w="0" w:type="dxa"/>
              <w:right w:w="0" w:type="dxa"/>
            </w:tcMar>
            <w:vAlign w:val="center"/>
          </w:tcPr>
          <w:p w14:paraId="7CA2E68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81</w:t>
            </w:r>
          </w:p>
        </w:tc>
        <w:tc>
          <w:tcPr>
            <w:tcW w:w="850" w:type="dxa"/>
            <w:shd w:val="clear" w:color="auto" w:fill="FFFFFF"/>
            <w:tcMar>
              <w:top w:w="0" w:type="dxa"/>
              <w:left w:w="0" w:type="dxa"/>
              <w:bottom w:w="0" w:type="dxa"/>
              <w:right w:w="0" w:type="dxa"/>
            </w:tcMar>
            <w:vAlign w:val="center"/>
          </w:tcPr>
          <w:p w14:paraId="1072B11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3.70</w:t>
            </w:r>
          </w:p>
        </w:tc>
        <w:tc>
          <w:tcPr>
            <w:tcW w:w="1134" w:type="dxa"/>
            <w:shd w:val="clear" w:color="auto" w:fill="FFFFFF"/>
            <w:tcMar>
              <w:top w:w="0" w:type="dxa"/>
              <w:left w:w="0" w:type="dxa"/>
              <w:bottom w:w="0" w:type="dxa"/>
              <w:right w:w="0" w:type="dxa"/>
            </w:tcMar>
            <w:vAlign w:val="center"/>
          </w:tcPr>
          <w:p w14:paraId="1B01B14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.928</w:t>
            </w:r>
          </w:p>
        </w:tc>
        <w:tc>
          <w:tcPr>
            <w:tcW w:w="851" w:type="dxa"/>
            <w:shd w:val="clear" w:color="auto" w:fill="FFFFFF"/>
          </w:tcPr>
          <w:p w14:paraId="2AFAC16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w:t>
            </w:r>
          </w:p>
        </w:tc>
        <w:tc>
          <w:tcPr>
            <w:tcW w:w="992" w:type="dxa"/>
            <w:shd w:val="clear" w:color="auto" w:fill="FFFFFF"/>
          </w:tcPr>
          <w:p w14:paraId="70DAEA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w:t>
            </w:r>
          </w:p>
        </w:tc>
        <w:tc>
          <w:tcPr>
            <w:tcW w:w="851" w:type="dxa"/>
            <w:shd w:val="clear" w:color="auto" w:fill="FFFFFF"/>
          </w:tcPr>
          <w:p w14:paraId="19605F8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20</w:t>
            </w:r>
          </w:p>
        </w:tc>
        <w:tc>
          <w:tcPr>
            <w:tcW w:w="851" w:type="dxa"/>
            <w:shd w:val="clear" w:color="auto" w:fill="FFFFFF"/>
          </w:tcPr>
          <w:p w14:paraId="213D37F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39</w:t>
            </w:r>
          </w:p>
        </w:tc>
        <w:tc>
          <w:tcPr>
            <w:tcW w:w="851" w:type="dxa"/>
            <w:shd w:val="clear" w:color="auto" w:fill="FFFFFF"/>
          </w:tcPr>
          <w:p w14:paraId="4499305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14</w:t>
            </w:r>
          </w:p>
        </w:tc>
      </w:tr>
      <w:tr w:rsidR="00B240C0" w:rsidRPr="00574B9E" w14:paraId="0785CFE2" w14:textId="77777777">
        <w:trPr>
          <w:cantSplit/>
        </w:trPr>
        <w:tc>
          <w:tcPr>
            <w:tcW w:w="2425" w:type="dxa"/>
            <w:shd w:val="clear" w:color="auto" w:fill="FFFFFF"/>
            <w:tcMar>
              <w:top w:w="0" w:type="dxa"/>
              <w:left w:w="0" w:type="dxa"/>
              <w:bottom w:w="0" w:type="dxa"/>
              <w:right w:w="0" w:type="dxa"/>
            </w:tcMar>
            <w:vAlign w:val="center"/>
          </w:tcPr>
          <w:p w14:paraId="64BEBF7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decision-making style of your institution contradicts the national rules.</w:t>
            </w:r>
          </w:p>
        </w:tc>
        <w:tc>
          <w:tcPr>
            <w:tcW w:w="694" w:type="dxa"/>
            <w:shd w:val="clear" w:color="auto" w:fill="FFFFFF"/>
            <w:tcMar>
              <w:top w:w="0" w:type="dxa"/>
              <w:left w:w="0" w:type="dxa"/>
              <w:bottom w:w="0" w:type="dxa"/>
              <w:right w:w="0" w:type="dxa"/>
            </w:tcMar>
            <w:vAlign w:val="center"/>
          </w:tcPr>
          <w:p w14:paraId="04C463E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7D3900F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4.25</w:t>
            </w:r>
          </w:p>
        </w:tc>
        <w:tc>
          <w:tcPr>
            <w:tcW w:w="1134" w:type="dxa"/>
            <w:shd w:val="clear" w:color="auto" w:fill="FFFFFF"/>
            <w:tcMar>
              <w:top w:w="0" w:type="dxa"/>
              <w:left w:w="0" w:type="dxa"/>
              <w:bottom w:w="0" w:type="dxa"/>
              <w:right w:w="0" w:type="dxa"/>
            </w:tcMar>
            <w:vAlign w:val="center"/>
          </w:tcPr>
          <w:p w14:paraId="0EE7B79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.662</w:t>
            </w:r>
          </w:p>
        </w:tc>
        <w:tc>
          <w:tcPr>
            <w:tcW w:w="851" w:type="dxa"/>
            <w:shd w:val="clear" w:color="auto" w:fill="FFFFFF"/>
          </w:tcPr>
          <w:p w14:paraId="6A7BC37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c>
          <w:tcPr>
            <w:tcW w:w="992" w:type="dxa"/>
            <w:shd w:val="clear" w:color="auto" w:fill="FFFFFF"/>
          </w:tcPr>
          <w:p w14:paraId="2905DC3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851" w:type="dxa"/>
            <w:shd w:val="clear" w:color="auto" w:fill="FFFFFF"/>
          </w:tcPr>
          <w:p w14:paraId="60DDB76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w:t>
            </w:r>
          </w:p>
        </w:tc>
        <w:tc>
          <w:tcPr>
            <w:tcW w:w="851" w:type="dxa"/>
            <w:shd w:val="clear" w:color="auto" w:fill="FFFFFF"/>
          </w:tcPr>
          <w:p w14:paraId="34D164E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44</w:t>
            </w:r>
          </w:p>
        </w:tc>
        <w:tc>
          <w:tcPr>
            <w:tcW w:w="851" w:type="dxa"/>
            <w:shd w:val="clear" w:color="auto" w:fill="FFFFFF"/>
          </w:tcPr>
          <w:p w14:paraId="6017AE4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r>
      <w:tr w:rsidR="00B240C0" w:rsidRPr="00574B9E" w14:paraId="0CCAD1AD" w14:textId="77777777">
        <w:trPr>
          <w:cantSplit/>
        </w:trPr>
        <w:tc>
          <w:tcPr>
            <w:tcW w:w="2425" w:type="dxa"/>
            <w:shd w:val="clear" w:color="auto" w:fill="FFFFFF"/>
            <w:tcMar>
              <w:top w:w="0" w:type="dxa"/>
              <w:left w:w="0" w:type="dxa"/>
              <w:bottom w:w="0" w:type="dxa"/>
              <w:right w:w="0" w:type="dxa"/>
            </w:tcMar>
            <w:vAlign w:val="center"/>
          </w:tcPr>
          <w:p w14:paraId="3384CE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Some of the public beneficiaries believe that there is a one potential supplier/contractor for a particular contract.</w:t>
            </w:r>
          </w:p>
        </w:tc>
        <w:tc>
          <w:tcPr>
            <w:tcW w:w="694" w:type="dxa"/>
            <w:shd w:val="clear" w:color="auto" w:fill="FFFFFF"/>
            <w:tcMar>
              <w:top w:w="0" w:type="dxa"/>
              <w:left w:w="0" w:type="dxa"/>
              <w:bottom w:w="0" w:type="dxa"/>
              <w:right w:w="0" w:type="dxa"/>
            </w:tcMar>
            <w:vAlign w:val="center"/>
          </w:tcPr>
          <w:p w14:paraId="08FD21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72086A3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1.98</w:t>
            </w:r>
          </w:p>
        </w:tc>
        <w:tc>
          <w:tcPr>
            <w:tcW w:w="1134" w:type="dxa"/>
            <w:shd w:val="clear" w:color="auto" w:fill="FFFFFF"/>
            <w:tcMar>
              <w:top w:w="0" w:type="dxa"/>
              <w:left w:w="0" w:type="dxa"/>
              <w:bottom w:w="0" w:type="dxa"/>
              <w:right w:w="0" w:type="dxa"/>
            </w:tcMar>
            <w:vAlign w:val="center"/>
          </w:tcPr>
          <w:p w14:paraId="47DF4E1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.570</w:t>
            </w:r>
          </w:p>
        </w:tc>
        <w:tc>
          <w:tcPr>
            <w:tcW w:w="851" w:type="dxa"/>
            <w:shd w:val="clear" w:color="auto" w:fill="FFFFFF"/>
          </w:tcPr>
          <w:p w14:paraId="5CC2C1B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13</w:t>
            </w:r>
          </w:p>
        </w:tc>
        <w:tc>
          <w:tcPr>
            <w:tcW w:w="992" w:type="dxa"/>
            <w:shd w:val="clear" w:color="auto" w:fill="FFFFFF"/>
          </w:tcPr>
          <w:p w14:paraId="368E2D4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58</w:t>
            </w:r>
          </w:p>
        </w:tc>
        <w:tc>
          <w:tcPr>
            <w:tcW w:w="851" w:type="dxa"/>
            <w:shd w:val="clear" w:color="auto" w:fill="FFFFFF"/>
          </w:tcPr>
          <w:p w14:paraId="076C8FB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9</w:t>
            </w:r>
          </w:p>
        </w:tc>
        <w:tc>
          <w:tcPr>
            <w:tcW w:w="851" w:type="dxa"/>
            <w:shd w:val="clear" w:color="auto" w:fill="FFFFFF"/>
          </w:tcPr>
          <w:p w14:paraId="6AD1D71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851" w:type="dxa"/>
            <w:shd w:val="clear" w:color="auto" w:fill="FFFFFF"/>
          </w:tcPr>
          <w:p w14:paraId="0F355A0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4E0BC4BE" w14:textId="77777777">
        <w:trPr>
          <w:cantSplit/>
        </w:trPr>
        <w:tc>
          <w:tcPr>
            <w:tcW w:w="2425" w:type="dxa"/>
            <w:shd w:val="clear" w:color="auto" w:fill="FFFFFF"/>
            <w:tcMar>
              <w:top w:w="0" w:type="dxa"/>
              <w:left w:w="0" w:type="dxa"/>
              <w:bottom w:w="0" w:type="dxa"/>
              <w:right w:w="0" w:type="dxa"/>
            </w:tcMar>
            <w:vAlign w:val="center"/>
          </w:tcPr>
          <w:p w14:paraId="5BDA903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After contract awards, unawarded competitors feel the process was fair and transparency.</w:t>
            </w:r>
          </w:p>
        </w:tc>
        <w:tc>
          <w:tcPr>
            <w:tcW w:w="694" w:type="dxa"/>
            <w:shd w:val="clear" w:color="auto" w:fill="FFFFFF"/>
            <w:tcMar>
              <w:top w:w="0" w:type="dxa"/>
              <w:left w:w="0" w:type="dxa"/>
              <w:bottom w:w="0" w:type="dxa"/>
              <w:right w:w="0" w:type="dxa"/>
            </w:tcMar>
            <w:vAlign w:val="center"/>
          </w:tcPr>
          <w:p w14:paraId="6ADC95C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2B6AEBC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2.40</w:t>
            </w:r>
          </w:p>
        </w:tc>
        <w:tc>
          <w:tcPr>
            <w:tcW w:w="1134" w:type="dxa"/>
            <w:shd w:val="clear" w:color="auto" w:fill="FFFFFF"/>
            <w:tcMar>
              <w:top w:w="0" w:type="dxa"/>
              <w:left w:w="0" w:type="dxa"/>
              <w:bottom w:w="0" w:type="dxa"/>
              <w:right w:w="0" w:type="dxa"/>
            </w:tcMar>
            <w:vAlign w:val="center"/>
          </w:tcPr>
          <w:p w14:paraId="3FE40E2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.876</w:t>
            </w:r>
          </w:p>
        </w:tc>
        <w:tc>
          <w:tcPr>
            <w:tcW w:w="851" w:type="dxa"/>
            <w:shd w:val="clear" w:color="auto" w:fill="FFFFFF"/>
          </w:tcPr>
          <w:p w14:paraId="2AFEE3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0F77F03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36</w:t>
            </w:r>
          </w:p>
        </w:tc>
        <w:tc>
          <w:tcPr>
            <w:tcW w:w="851" w:type="dxa"/>
            <w:shd w:val="clear" w:color="auto" w:fill="FFFFFF"/>
          </w:tcPr>
          <w:p w14:paraId="07468B6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26</w:t>
            </w:r>
          </w:p>
        </w:tc>
        <w:tc>
          <w:tcPr>
            <w:tcW w:w="851" w:type="dxa"/>
            <w:shd w:val="clear" w:color="auto" w:fill="FFFFFF"/>
          </w:tcPr>
          <w:p w14:paraId="385DBA3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w:t>
            </w:r>
          </w:p>
        </w:tc>
        <w:tc>
          <w:tcPr>
            <w:tcW w:w="851" w:type="dxa"/>
            <w:shd w:val="clear" w:color="auto" w:fill="FFFFFF"/>
          </w:tcPr>
          <w:p w14:paraId="7EBDAFB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r>
    </w:tbl>
    <w:p w14:paraId="00FC0368" w14:textId="77777777" w:rsidR="00D36ED8" w:rsidRDefault="00D36ED8" w:rsidP="00B240C0">
      <w:pPr>
        <w:spacing w:line="360" w:lineRule="auto"/>
        <w:jc w:val="both"/>
        <w:rPr>
          <w:rFonts w:ascii="Arial" w:hAnsi="Arial" w:cs="Arial"/>
          <w:sz w:val="20"/>
          <w:szCs w:val="20"/>
        </w:rPr>
      </w:pPr>
      <w:bookmarkStart w:id="22" w:name="_Toc173413914"/>
    </w:p>
    <w:p w14:paraId="51333C97" w14:textId="258BD8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The Transparency attribute of Public Tendering and acquisition.</w:t>
      </w:r>
      <w:bookmarkEnd w:id="22"/>
    </w:p>
    <w:p w14:paraId="35A8512F"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Table 4: offers insightful information about how the public views the National Tender Board's (SNTB) transparency for open tenders and acquisitions in Hargeisa, Somaliland, in terms of openness. A showing of public trust in the SNTB's transparency promise is provided by the data, which was gathered from a sample of 81 people (n = 81) using a Likert scale (1 = Strongly Agree to 5 = Strongly Disagree).</w:t>
      </w:r>
    </w:p>
    <w:p w14:paraId="153F5A3C"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Public perception of the Somaliland National Tender Board's (SNTB) transparency in public tendering and acquisition is generally positive, though some areas require attention. Respondents largely agree (mean score of 1.88) that the SNTB handles complaints from potential suppliers/contractors fairly, transparently, </w:t>
      </w:r>
      <w:r w:rsidRPr="00574B9E">
        <w:rPr>
          <w:rFonts w:ascii="Arial" w:eastAsia="Times New Roman" w:hAnsi="Arial" w:cs="Arial"/>
          <w:sz w:val="20"/>
          <w:szCs w:val="20"/>
          <w:lang w:eastAsia="en-GB"/>
        </w:rPr>
        <w:lastRenderedPageBreak/>
        <w:t>and in a timely manner. While there is also agreement (mean score of 2.01) that the SNTB provides mechanisms for monitoring public procurement and sanctioning misconduct, a sizable portion of respondents remained neutral, suggesting a need for greater visibility and communication regarding these mechanisms.</w:t>
      </w:r>
    </w:p>
    <w:p w14:paraId="3A756153"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Transparency itself is highly valued by the public (mean score of 1.80), with a strong belief that it is essential for meeting public expectations and responsibility. Concerns about the potential negative economic and social consequences of a lack of transparency exist (mean score of 2.12), highlighting the importance of the SNTB's commitment to open processes. Finally, a majority of respondents (mean score of 1.96) agree that prequalified suppliers have equal access to public tenders, indicating confidence in the fairness of the bidding process. The overall mean score of 1.95 across all transparency indicators suggests a generally positive view of the SNTB's efforts in this area.</w:t>
      </w:r>
    </w:p>
    <w:p w14:paraId="44238977" w14:textId="77777777" w:rsidR="00295452" w:rsidRPr="00574B9E" w:rsidRDefault="00295452" w:rsidP="00B240C0">
      <w:pPr>
        <w:spacing w:line="360" w:lineRule="auto"/>
        <w:jc w:val="both"/>
        <w:rPr>
          <w:rFonts w:ascii="Arial" w:eastAsia="Times New Roman" w:hAnsi="Arial" w:cs="Arial"/>
          <w:sz w:val="20"/>
          <w:szCs w:val="20"/>
          <w:lang w:eastAsia="en-GB"/>
        </w:rPr>
      </w:pPr>
    </w:p>
    <w:p w14:paraId="225D6BAE" w14:textId="77777777" w:rsidR="00295452" w:rsidRPr="00574B9E" w:rsidRDefault="00295452" w:rsidP="00B240C0">
      <w:pPr>
        <w:spacing w:line="360" w:lineRule="auto"/>
        <w:jc w:val="both"/>
        <w:rPr>
          <w:rFonts w:ascii="Arial" w:eastAsia="Times New Roman" w:hAnsi="Arial" w:cs="Arial"/>
          <w:sz w:val="20"/>
          <w:szCs w:val="20"/>
          <w:lang w:eastAsia="en-GB"/>
        </w:rPr>
      </w:pPr>
    </w:p>
    <w:p w14:paraId="74F8B6B1" w14:textId="77777777" w:rsidR="00295452" w:rsidRPr="00574B9E" w:rsidRDefault="00295452" w:rsidP="00B240C0">
      <w:pPr>
        <w:spacing w:line="360" w:lineRule="auto"/>
        <w:jc w:val="both"/>
        <w:rPr>
          <w:rFonts w:ascii="Arial" w:eastAsia="Times New Roman" w:hAnsi="Arial" w:cs="Arial"/>
          <w:sz w:val="20"/>
          <w:szCs w:val="20"/>
          <w:lang w:eastAsia="en-GB"/>
        </w:rPr>
      </w:pPr>
    </w:p>
    <w:p w14:paraId="0485A542" w14:textId="77777777" w:rsidR="001B66FE" w:rsidRPr="00574B9E" w:rsidRDefault="001B66FE" w:rsidP="00B240C0">
      <w:pPr>
        <w:spacing w:line="360" w:lineRule="auto"/>
        <w:jc w:val="both"/>
        <w:rPr>
          <w:rFonts w:ascii="Arial" w:hAnsi="Arial" w:cs="Arial"/>
          <w:i/>
          <w:iCs/>
          <w:sz w:val="20"/>
          <w:szCs w:val="20"/>
        </w:rPr>
      </w:pPr>
      <w:r w:rsidRPr="00574B9E">
        <w:rPr>
          <w:rFonts w:ascii="Arial" w:hAnsi="Arial" w:cs="Arial"/>
          <w:i/>
          <w:iCs/>
          <w:sz w:val="20"/>
          <w:szCs w:val="20"/>
        </w:rPr>
        <w:t>Table 4: Examining whether public procurement decision making practice is done within the transparency attribute, SNTB at Hargeisa City, Somaliland. (n=81).</w:t>
      </w:r>
    </w:p>
    <w:tbl>
      <w:tblPr>
        <w:tblW w:w="1032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5"/>
        <w:gridCol w:w="669"/>
        <w:gridCol w:w="992"/>
        <w:gridCol w:w="1276"/>
        <w:gridCol w:w="992"/>
        <w:gridCol w:w="851"/>
        <w:gridCol w:w="1134"/>
        <w:gridCol w:w="992"/>
        <w:gridCol w:w="992"/>
      </w:tblGrid>
      <w:tr w:rsidR="00B240C0" w:rsidRPr="00574B9E" w14:paraId="49DBFC60" w14:textId="77777777">
        <w:trPr>
          <w:cantSplit/>
        </w:trPr>
        <w:tc>
          <w:tcPr>
            <w:tcW w:w="5362" w:type="dxa"/>
            <w:gridSpan w:val="4"/>
            <w:shd w:val="clear" w:color="auto" w:fill="FFFFFF"/>
            <w:tcMar>
              <w:top w:w="0" w:type="dxa"/>
              <w:left w:w="0" w:type="dxa"/>
              <w:bottom w:w="0" w:type="dxa"/>
              <w:right w:w="0" w:type="dxa"/>
            </w:tcMar>
          </w:tcPr>
          <w:p w14:paraId="1621795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Descriptive Statistics</w:t>
            </w:r>
          </w:p>
        </w:tc>
        <w:tc>
          <w:tcPr>
            <w:tcW w:w="992" w:type="dxa"/>
            <w:shd w:val="clear" w:color="auto" w:fill="FFFFFF"/>
          </w:tcPr>
          <w:p w14:paraId="1D37F5F0"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06E2C60B" w14:textId="77777777" w:rsidR="001B66FE" w:rsidRPr="00574B9E" w:rsidRDefault="001B66FE" w:rsidP="00B240C0">
            <w:pPr>
              <w:spacing w:line="360" w:lineRule="auto"/>
              <w:jc w:val="both"/>
              <w:rPr>
                <w:rFonts w:ascii="Arial" w:hAnsi="Arial" w:cs="Arial"/>
                <w:sz w:val="20"/>
                <w:szCs w:val="20"/>
              </w:rPr>
            </w:pPr>
          </w:p>
        </w:tc>
        <w:tc>
          <w:tcPr>
            <w:tcW w:w="1134" w:type="dxa"/>
            <w:shd w:val="clear" w:color="auto" w:fill="FFFFFF"/>
          </w:tcPr>
          <w:p w14:paraId="44D43CE8"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1D3170DE"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CC3AD4C" w14:textId="77777777" w:rsidR="001B66FE" w:rsidRPr="00574B9E" w:rsidRDefault="001B66FE" w:rsidP="00B240C0">
            <w:pPr>
              <w:spacing w:line="360" w:lineRule="auto"/>
              <w:jc w:val="both"/>
              <w:rPr>
                <w:rFonts w:ascii="Arial" w:hAnsi="Arial" w:cs="Arial"/>
                <w:sz w:val="20"/>
                <w:szCs w:val="20"/>
              </w:rPr>
            </w:pPr>
          </w:p>
        </w:tc>
      </w:tr>
      <w:tr w:rsidR="00B240C0" w:rsidRPr="00574B9E" w14:paraId="50B58ABD" w14:textId="77777777">
        <w:trPr>
          <w:cantSplit/>
        </w:trPr>
        <w:tc>
          <w:tcPr>
            <w:tcW w:w="2425" w:type="dxa"/>
            <w:shd w:val="clear" w:color="auto" w:fill="FFFFFF"/>
            <w:tcMar>
              <w:top w:w="0" w:type="dxa"/>
              <w:left w:w="0" w:type="dxa"/>
              <w:bottom w:w="0" w:type="dxa"/>
              <w:right w:w="0" w:type="dxa"/>
            </w:tcMar>
          </w:tcPr>
          <w:p w14:paraId="176DB87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Statements - 3</w:t>
            </w:r>
          </w:p>
        </w:tc>
        <w:tc>
          <w:tcPr>
            <w:tcW w:w="669" w:type="dxa"/>
            <w:shd w:val="clear" w:color="auto" w:fill="FFFFFF"/>
            <w:tcMar>
              <w:top w:w="0" w:type="dxa"/>
              <w:left w:w="0" w:type="dxa"/>
              <w:bottom w:w="0" w:type="dxa"/>
              <w:right w:w="0" w:type="dxa"/>
            </w:tcMar>
          </w:tcPr>
          <w:p w14:paraId="674A223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w:t>
            </w:r>
          </w:p>
        </w:tc>
        <w:tc>
          <w:tcPr>
            <w:tcW w:w="992" w:type="dxa"/>
            <w:shd w:val="clear" w:color="auto" w:fill="FFFFFF"/>
            <w:tcMar>
              <w:top w:w="0" w:type="dxa"/>
              <w:left w:w="0" w:type="dxa"/>
              <w:bottom w:w="0" w:type="dxa"/>
              <w:right w:w="0" w:type="dxa"/>
            </w:tcMar>
          </w:tcPr>
          <w:p w14:paraId="220F7D4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Mean</w:t>
            </w:r>
          </w:p>
        </w:tc>
        <w:tc>
          <w:tcPr>
            <w:tcW w:w="1276" w:type="dxa"/>
            <w:shd w:val="clear" w:color="auto" w:fill="FFFFFF"/>
            <w:tcMar>
              <w:top w:w="0" w:type="dxa"/>
              <w:left w:w="0" w:type="dxa"/>
              <w:bottom w:w="0" w:type="dxa"/>
              <w:right w:w="0" w:type="dxa"/>
            </w:tcMar>
          </w:tcPr>
          <w:p w14:paraId="4746232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Deviation</w:t>
            </w:r>
          </w:p>
        </w:tc>
        <w:tc>
          <w:tcPr>
            <w:tcW w:w="992" w:type="dxa"/>
            <w:shd w:val="clear" w:color="auto" w:fill="FFFFFF"/>
          </w:tcPr>
          <w:p w14:paraId="68C03E0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SA</w:t>
            </w:r>
          </w:p>
        </w:tc>
        <w:tc>
          <w:tcPr>
            <w:tcW w:w="851" w:type="dxa"/>
            <w:shd w:val="clear" w:color="auto" w:fill="FFFFFF"/>
          </w:tcPr>
          <w:p w14:paraId="321873B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w:t>
            </w:r>
          </w:p>
        </w:tc>
        <w:tc>
          <w:tcPr>
            <w:tcW w:w="1134" w:type="dxa"/>
            <w:shd w:val="clear" w:color="auto" w:fill="FFFFFF"/>
          </w:tcPr>
          <w:p w14:paraId="6F1C709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Neutral</w:t>
            </w:r>
          </w:p>
        </w:tc>
        <w:tc>
          <w:tcPr>
            <w:tcW w:w="992" w:type="dxa"/>
            <w:shd w:val="clear" w:color="auto" w:fill="FFFFFF"/>
          </w:tcPr>
          <w:p w14:paraId="3118891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DA</w:t>
            </w:r>
          </w:p>
        </w:tc>
        <w:tc>
          <w:tcPr>
            <w:tcW w:w="992" w:type="dxa"/>
            <w:shd w:val="clear" w:color="auto" w:fill="FFFFFF"/>
          </w:tcPr>
          <w:p w14:paraId="15509D7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SDA</w:t>
            </w:r>
          </w:p>
        </w:tc>
      </w:tr>
      <w:tr w:rsidR="00B240C0" w:rsidRPr="00574B9E" w14:paraId="745047A8" w14:textId="77777777">
        <w:trPr>
          <w:cantSplit/>
        </w:trPr>
        <w:tc>
          <w:tcPr>
            <w:tcW w:w="2425" w:type="dxa"/>
            <w:shd w:val="clear" w:color="auto" w:fill="FFFFFF"/>
            <w:tcMar>
              <w:top w:w="0" w:type="dxa"/>
              <w:left w:w="0" w:type="dxa"/>
              <w:bottom w:w="0" w:type="dxa"/>
              <w:right w:w="0" w:type="dxa"/>
            </w:tcMar>
            <w:vAlign w:val="center"/>
          </w:tcPr>
          <w:p w14:paraId="5F984A7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Complaints from potential suppliers/contractors are handled fairly, transparently and timely manner.</w:t>
            </w:r>
          </w:p>
        </w:tc>
        <w:tc>
          <w:tcPr>
            <w:tcW w:w="669" w:type="dxa"/>
            <w:shd w:val="clear" w:color="auto" w:fill="FFFFFF"/>
            <w:tcMar>
              <w:top w:w="0" w:type="dxa"/>
              <w:left w:w="0" w:type="dxa"/>
              <w:bottom w:w="0" w:type="dxa"/>
              <w:right w:w="0" w:type="dxa"/>
            </w:tcMar>
            <w:vAlign w:val="center"/>
          </w:tcPr>
          <w:p w14:paraId="706D1D2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2504594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1.88</w:t>
            </w:r>
          </w:p>
        </w:tc>
        <w:tc>
          <w:tcPr>
            <w:tcW w:w="1276" w:type="dxa"/>
            <w:shd w:val="clear" w:color="auto" w:fill="FFFFFF"/>
            <w:tcMar>
              <w:top w:w="0" w:type="dxa"/>
              <w:left w:w="0" w:type="dxa"/>
              <w:bottom w:w="0" w:type="dxa"/>
              <w:right w:w="0" w:type="dxa"/>
            </w:tcMar>
            <w:vAlign w:val="center"/>
          </w:tcPr>
          <w:p w14:paraId="32E1D93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.659</w:t>
            </w:r>
          </w:p>
        </w:tc>
        <w:tc>
          <w:tcPr>
            <w:tcW w:w="992" w:type="dxa"/>
            <w:shd w:val="clear" w:color="auto" w:fill="FFFFFF"/>
          </w:tcPr>
          <w:p w14:paraId="1D57572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22</w:t>
            </w:r>
          </w:p>
        </w:tc>
        <w:tc>
          <w:tcPr>
            <w:tcW w:w="851" w:type="dxa"/>
            <w:shd w:val="clear" w:color="auto" w:fill="FFFFFF"/>
          </w:tcPr>
          <w:p w14:paraId="3AB6EE7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48</w:t>
            </w:r>
          </w:p>
        </w:tc>
        <w:tc>
          <w:tcPr>
            <w:tcW w:w="1134" w:type="dxa"/>
            <w:shd w:val="clear" w:color="auto" w:fill="FFFFFF"/>
          </w:tcPr>
          <w:p w14:paraId="16E67A9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10</w:t>
            </w:r>
          </w:p>
        </w:tc>
        <w:tc>
          <w:tcPr>
            <w:tcW w:w="992" w:type="dxa"/>
            <w:shd w:val="clear" w:color="auto" w:fill="FFFFFF"/>
          </w:tcPr>
          <w:p w14:paraId="22FA7B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992" w:type="dxa"/>
            <w:shd w:val="clear" w:color="auto" w:fill="FFFFFF"/>
          </w:tcPr>
          <w:p w14:paraId="7E5DECB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7B0E4ACB" w14:textId="77777777">
        <w:trPr>
          <w:cantSplit/>
        </w:trPr>
        <w:tc>
          <w:tcPr>
            <w:tcW w:w="2425" w:type="dxa"/>
            <w:shd w:val="clear" w:color="auto" w:fill="FFFFFF"/>
            <w:tcMar>
              <w:top w:w="0" w:type="dxa"/>
              <w:left w:w="0" w:type="dxa"/>
              <w:bottom w:w="0" w:type="dxa"/>
              <w:right w:w="0" w:type="dxa"/>
            </w:tcMar>
            <w:vAlign w:val="center"/>
          </w:tcPr>
          <w:p w14:paraId="46D9E40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SNTB Provides mechanisms for monitoring public procurement and sanctioning misconduct.</w:t>
            </w:r>
          </w:p>
        </w:tc>
        <w:tc>
          <w:tcPr>
            <w:tcW w:w="669" w:type="dxa"/>
            <w:shd w:val="clear" w:color="auto" w:fill="FFFFFF"/>
            <w:tcMar>
              <w:top w:w="0" w:type="dxa"/>
              <w:left w:w="0" w:type="dxa"/>
              <w:bottom w:w="0" w:type="dxa"/>
              <w:right w:w="0" w:type="dxa"/>
            </w:tcMar>
            <w:vAlign w:val="center"/>
          </w:tcPr>
          <w:p w14:paraId="300CCA7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75BFF15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2.01</w:t>
            </w:r>
          </w:p>
        </w:tc>
        <w:tc>
          <w:tcPr>
            <w:tcW w:w="1276" w:type="dxa"/>
            <w:shd w:val="clear" w:color="auto" w:fill="FFFFFF"/>
            <w:tcMar>
              <w:top w:w="0" w:type="dxa"/>
              <w:left w:w="0" w:type="dxa"/>
              <w:bottom w:w="0" w:type="dxa"/>
              <w:right w:w="0" w:type="dxa"/>
            </w:tcMar>
            <w:vAlign w:val="center"/>
          </w:tcPr>
          <w:p w14:paraId="5F9BC7E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.733</w:t>
            </w:r>
          </w:p>
        </w:tc>
        <w:tc>
          <w:tcPr>
            <w:tcW w:w="992" w:type="dxa"/>
            <w:shd w:val="clear" w:color="auto" w:fill="FFFFFF"/>
          </w:tcPr>
          <w:p w14:paraId="7651465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21</w:t>
            </w:r>
          </w:p>
        </w:tc>
        <w:tc>
          <w:tcPr>
            <w:tcW w:w="851" w:type="dxa"/>
            <w:shd w:val="clear" w:color="auto" w:fill="FFFFFF"/>
          </w:tcPr>
          <w:p w14:paraId="2703FB0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38</w:t>
            </w:r>
          </w:p>
        </w:tc>
        <w:tc>
          <w:tcPr>
            <w:tcW w:w="1134" w:type="dxa"/>
            <w:shd w:val="clear" w:color="auto" w:fill="FFFFFF"/>
          </w:tcPr>
          <w:p w14:paraId="5EC3095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22</w:t>
            </w:r>
          </w:p>
        </w:tc>
        <w:tc>
          <w:tcPr>
            <w:tcW w:w="992" w:type="dxa"/>
            <w:shd w:val="clear" w:color="auto" w:fill="FFFFFF"/>
          </w:tcPr>
          <w:p w14:paraId="7B4A7D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c>
          <w:tcPr>
            <w:tcW w:w="992" w:type="dxa"/>
            <w:shd w:val="clear" w:color="auto" w:fill="FFFFFF"/>
          </w:tcPr>
          <w:p w14:paraId="73B17CD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7901E4FB" w14:textId="77777777">
        <w:trPr>
          <w:cantSplit/>
        </w:trPr>
        <w:tc>
          <w:tcPr>
            <w:tcW w:w="2425" w:type="dxa"/>
            <w:shd w:val="clear" w:color="auto" w:fill="FFFFFF"/>
            <w:tcMar>
              <w:top w:w="0" w:type="dxa"/>
              <w:left w:w="0" w:type="dxa"/>
              <w:bottom w:w="0" w:type="dxa"/>
              <w:right w:w="0" w:type="dxa"/>
            </w:tcMar>
            <w:vAlign w:val="center"/>
          </w:tcPr>
          <w:p w14:paraId="6E584B1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Transparency is essential for meeting public expectations and responsibility</w:t>
            </w:r>
          </w:p>
        </w:tc>
        <w:tc>
          <w:tcPr>
            <w:tcW w:w="669" w:type="dxa"/>
            <w:shd w:val="clear" w:color="auto" w:fill="FFFFFF"/>
            <w:tcMar>
              <w:top w:w="0" w:type="dxa"/>
              <w:left w:w="0" w:type="dxa"/>
              <w:bottom w:w="0" w:type="dxa"/>
              <w:right w:w="0" w:type="dxa"/>
            </w:tcMar>
            <w:vAlign w:val="center"/>
          </w:tcPr>
          <w:p w14:paraId="4C45F9F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33924F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1.80</w:t>
            </w:r>
          </w:p>
        </w:tc>
        <w:tc>
          <w:tcPr>
            <w:tcW w:w="1276" w:type="dxa"/>
            <w:shd w:val="clear" w:color="auto" w:fill="FFFFFF"/>
            <w:tcMar>
              <w:top w:w="0" w:type="dxa"/>
              <w:left w:w="0" w:type="dxa"/>
              <w:bottom w:w="0" w:type="dxa"/>
              <w:right w:w="0" w:type="dxa"/>
            </w:tcMar>
            <w:vAlign w:val="center"/>
          </w:tcPr>
          <w:p w14:paraId="0F0AFB6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.714</w:t>
            </w:r>
          </w:p>
        </w:tc>
        <w:tc>
          <w:tcPr>
            <w:tcW w:w="992" w:type="dxa"/>
            <w:shd w:val="clear" w:color="auto" w:fill="FFFFFF"/>
          </w:tcPr>
          <w:p w14:paraId="335B792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c>
          <w:tcPr>
            <w:tcW w:w="851" w:type="dxa"/>
            <w:shd w:val="clear" w:color="auto" w:fill="FFFFFF"/>
          </w:tcPr>
          <w:p w14:paraId="5743CC1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40</w:t>
            </w:r>
          </w:p>
        </w:tc>
        <w:tc>
          <w:tcPr>
            <w:tcW w:w="1134" w:type="dxa"/>
            <w:shd w:val="clear" w:color="auto" w:fill="FFFFFF"/>
          </w:tcPr>
          <w:p w14:paraId="5EF9A96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2AE3E7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992" w:type="dxa"/>
            <w:shd w:val="clear" w:color="auto" w:fill="FFFFFF"/>
          </w:tcPr>
          <w:p w14:paraId="042E230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0CAA5BFF" w14:textId="77777777">
        <w:trPr>
          <w:cantSplit/>
        </w:trPr>
        <w:tc>
          <w:tcPr>
            <w:tcW w:w="2425" w:type="dxa"/>
            <w:shd w:val="clear" w:color="auto" w:fill="FFFFFF"/>
            <w:tcMar>
              <w:top w:w="0" w:type="dxa"/>
              <w:left w:w="0" w:type="dxa"/>
              <w:bottom w:w="0" w:type="dxa"/>
              <w:right w:w="0" w:type="dxa"/>
            </w:tcMar>
            <w:vAlign w:val="center"/>
          </w:tcPr>
          <w:p w14:paraId="58BA688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A lack of transparency in the public contributes to economic issues and inequalities. .</w:t>
            </w:r>
          </w:p>
        </w:tc>
        <w:tc>
          <w:tcPr>
            <w:tcW w:w="669" w:type="dxa"/>
            <w:shd w:val="clear" w:color="auto" w:fill="FFFFFF"/>
            <w:tcMar>
              <w:top w:w="0" w:type="dxa"/>
              <w:left w:w="0" w:type="dxa"/>
              <w:bottom w:w="0" w:type="dxa"/>
              <w:right w:w="0" w:type="dxa"/>
            </w:tcMar>
            <w:vAlign w:val="center"/>
          </w:tcPr>
          <w:p w14:paraId="024983F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5958BB6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2.12</w:t>
            </w:r>
          </w:p>
        </w:tc>
        <w:tc>
          <w:tcPr>
            <w:tcW w:w="1276" w:type="dxa"/>
            <w:shd w:val="clear" w:color="auto" w:fill="FFFFFF"/>
            <w:tcMar>
              <w:top w:w="0" w:type="dxa"/>
              <w:left w:w="0" w:type="dxa"/>
              <w:bottom w:w="0" w:type="dxa"/>
              <w:right w:w="0" w:type="dxa"/>
            </w:tcMar>
            <w:vAlign w:val="center"/>
          </w:tcPr>
          <w:p w14:paraId="3C193C8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.812</w:t>
            </w:r>
          </w:p>
        </w:tc>
        <w:tc>
          <w:tcPr>
            <w:tcW w:w="992" w:type="dxa"/>
            <w:shd w:val="clear" w:color="auto" w:fill="FFFFFF"/>
          </w:tcPr>
          <w:p w14:paraId="2F32D73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15</w:t>
            </w:r>
          </w:p>
        </w:tc>
        <w:tc>
          <w:tcPr>
            <w:tcW w:w="851" w:type="dxa"/>
            <w:shd w:val="clear" w:color="auto" w:fill="FFFFFF"/>
          </w:tcPr>
          <w:p w14:paraId="4C761A5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47</w:t>
            </w:r>
          </w:p>
        </w:tc>
        <w:tc>
          <w:tcPr>
            <w:tcW w:w="1134" w:type="dxa"/>
            <w:shd w:val="clear" w:color="auto" w:fill="FFFFFF"/>
          </w:tcPr>
          <w:p w14:paraId="69DE380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14</w:t>
            </w:r>
          </w:p>
        </w:tc>
        <w:tc>
          <w:tcPr>
            <w:tcW w:w="992" w:type="dxa"/>
            <w:shd w:val="clear" w:color="auto" w:fill="FFFFFF"/>
          </w:tcPr>
          <w:p w14:paraId="0D18410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w:t>
            </w:r>
          </w:p>
        </w:tc>
        <w:tc>
          <w:tcPr>
            <w:tcW w:w="992" w:type="dxa"/>
            <w:shd w:val="clear" w:color="auto" w:fill="FFFFFF"/>
          </w:tcPr>
          <w:p w14:paraId="7682A2B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r>
      <w:tr w:rsidR="00B240C0" w:rsidRPr="00574B9E" w14:paraId="37403093" w14:textId="77777777">
        <w:trPr>
          <w:cantSplit/>
        </w:trPr>
        <w:tc>
          <w:tcPr>
            <w:tcW w:w="2425" w:type="dxa"/>
            <w:shd w:val="clear" w:color="auto" w:fill="FFFFFF"/>
            <w:tcMar>
              <w:top w:w="0" w:type="dxa"/>
              <w:left w:w="0" w:type="dxa"/>
              <w:bottom w:w="0" w:type="dxa"/>
              <w:right w:w="0" w:type="dxa"/>
            </w:tcMar>
            <w:vAlign w:val="center"/>
          </w:tcPr>
          <w:p w14:paraId="7E97FA9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Prequalified suppliers have equal access to public tenders</w:t>
            </w:r>
          </w:p>
        </w:tc>
        <w:tc>
          <w:tcPr>
            <w:tcW w:w="669" w:type="dxa"/>
            <w:shd w:val="clear" w:color="auto" w:fill="FFFFFF"/>
            <w:tcMar>
              <w:top w:w="0" w:type="dxa"/>
              <w:left w:w="0" w:type="dxa"/>
              <w:bottom w:w="0" w:type="dxa"/>
              <w:right w:w="0" w:type="dxa"/>
            </w:tcMar>
            <w:vAlign w:val="center"/>
          </w:tcPr>
          <w:p w14:paraId="27761C9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7934D39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1.96</w:t>
            </w:r>
          </w:p>
        </w:tc>
        <w:tc>
          <w:tcPr>
            <w:tcW w:w="1276" w:type="dxa"/>
            <w:shd w:val="clear" w:color="auto" w:fill="FFFFFF"/>
            <w:tcMar>
              <w:top w:w="0" w:type="dxa"/>
              <w:left w:w="0" w:type="dxa"/>
              <w:bottom w:w="0" w:type="dxa"/>
              <w:right w:w="0" w:type="dxa"/>
            </w:tcMar>
            <w:vAlign w:val="center"/>
          </w:tcPr>
          <w:p w14:paraId="7AA6C4F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1.066</w:t>
            </w:r>
          </w:p>
        </w:tc>
        <w:tc>
          <w:tcPr>
            <w:tcW w:w="992" w:type="dxa"/>
            <w:shd w:val="clear" w:color="auto" w:fill="FFFFFF"/>
          </w:tcPr>
          <w:p w14:paraId="6ADF01A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33</w:t>
            </w:r>
          </w:p>
        </w:tc>
        <w:tc>
          <w:tcPr>
            <w:tcW w:w="851" w:type="dxa"/>
            <w:shd w:val="clear" w:color="auto" w:fill="FFFFFF"/>
          </w:tcPr>
          <w:p w14:paraId="08507B3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c>
          <w:tcPr>
            <w:tcW w:w="1134" w:type="dxa"/>
            <w:shd w:val="clear" w:color="auto" w:fill="FFFFFF"/>
          </w:tcPr>
          <w:p w14:paraId="129351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38AF823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w:t>
            </w:r>
          </w:p>
        </w:tc>
        <w:tc>
          <w:tcPr>
            <w:tcW w:w="992" w:type="dxa"/>
            <w:shd w:val="clear" w:color="auto" w:fill="FFFFFF"/>
          </w:tcPr>
          <w:p w14:paraId="4023C4C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w:t>
            </w:r>
          </w:p>
        </w:tc>
      </w:tr>
      <w:tr w:rsidR="00B240C0" w:rsidRPr="00574B9E" w14:paraId="7B4DB531" w14:textId="77777777">
        <w:trPr>
          <w:cantSplit/>
        </w:trPr>
        <w:tc>
          <w:tcPr>
            <w:tcW w:w="2425" w:type="dxa"/>
            <w:shd w:val="clear" w:color="auto" w:fill="FFFFFF"/>
            <w:tcMar>
              <w:top w:w="0" w:type="dxa"/>
              <w:left w:w="0" w:type="dxa"/>
              <w:bottom w:w="0" w:type="dxa"/>
              <w:right w:w="0" w:type="dxa"/>
            </w:tcMar>
            <w:vAlign w:val="center"/>
          </w:tcPr>
          <w:p w14:paraId="3494590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Overall mean</w:t>
            </w:r>
          </w:p>
        </w:tc>
        <w:tc>
          <w:tcPr>
            <w:tcW w:w="669" w:type="dxa"/>
            <w:shd w:val="clear" w:color="auto" w:fill="FFFFFF"/>
            <w:tcMar>
              <w:top w:w="0" w:type="dxa"/>
              <w:left w:w="0" w:type="dxa"/>
              <w:bottom w:w="0" w:type="dxa"/>
              <w:right w:w="0" w:type="dxa"/>
            </w:tcMar>
            <w:vAlign w:val="center"/>
          </w:tcPr>
          <w:p w14:paraId="3A287BB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tcPr>
          <w:p w14:paraId="3E2021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1.95</w:t>
            </w:r>
          </w:p>
        </w:tc>
        <w:tc>
          <w:tcPr>
            <w:tcW w:w="1276" w:type="dxa"/>
            <w:shd w:val="clear" w:color="auto" w:fill="FFFFFF"/>
            <w:tcMar>
              <w:top w:w="0" w:type="dxa"/>
              <w:left w:w="0" w:type="dxa"/>
              <w:bottom w:w="0" w:type="dxa"/>
              <w:right w:w="0" w:type="dxa"/>
            </w:tcMar>
          </w:tcPr>
          <w:p w14:paraId="71A5D6E5"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23212B2"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5603E1BF" w14:textId="77777777" w:rsidR="001B66FE" w:rsidRPr="00574B9E" w:rsidRDefault="001B66FE" w:rsidP="00B240C0">
            <w:pPr>
              <w:spacing w:line="360" w:lineRule="auto"/>
              <w:jc w:val="both"/>
              <w:rPr>
                <w:rFonts w:ascii="Arial" w:hAnsi="Arial" w:cs="Arial"/>
                <w:sz w:val="20"/>
                <w:szCs w:val="20"/>
              </w:rPr>
            </w:pPr>
          </w:p>
        </w:tc>
        <w:tc>
          <w:tcPr>
            <w:tcW w:w="1134" w:type="dxa"/>
            <w:shd w:val="clear" w:color="auto" w:fill="FFFFFF"/>
          </w:tcPr>
          <w:p w14:paraId="6DF8473C"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68D1BA63"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50E84FE4" w14:textId="77777777" w:rsidR="001B66FE" w:rsidRPr="00574B9E" w:rsidRDefault="001B66FE" w:rsidP="00B240C0">
            <w:pPr>
              <w:spacing w:line="360" w:lineRule="auto"/>
              <w:jc w:val="both"/>
              <w:rPr>
                <w:rFonts w:ascii="Arial" w:hAnsi="Arial" w:cs="Arial"/>
                <w:sz w:val="20"/>
                <w:szCs w:val="20"/>
              </w:rPr>
            </w:pPr>
          </w:p>
        </w:tc>
      </w:tr>
    </w:tbl>
    <w:p w14:paraId="5B551BE1" w14:textId="77777777" w:rsidR="007D186A" w:rsidRDefault="007D186A" w:rsidP="00B240C0">
      <w:pPr>
        <w:spacing w:line="360" w:lineRule="auto"/>
        <w:jc w:val="both"/>
        <w:rPr>
          <w:rFonts w:ascii="Arial" w:hAnsi="Arial" w:cs="Arial"/>
          <w:sz w:val="20"/>
          <w:szCs w:val="20"/>
        </w:rPr>
      </w:pPr>
      <w:bookmarkStart w:id="23" w:name="_Toc173413915"/>
    </w:p>
    <w:p w14:paraId="2EF45AD2" w14:textId="3F7DE208"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4.6 Regression Analysis</w:t>
      </w:r>
      <w:bookmarkEnd w:id="23"/>
      <w:r w:rsidRPr="00574B9E">
        <w:rPr>
          <w:rFonts w:ascii="Arial" w:hAnsi="Arial" w:cs="Arial"/>
          <w:b/>
          <w:bCs/>
          <w:sz w:val="20"/>
          <w:szCs w:val="20"/>
        </w:rPr>
        <w:t xml:space="preserve">                                                           </w:t>
      </w:r>
    </w:p>
    <w:p w14:paraId="6F4CF33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Regression analysis is utilized to assess the extent to which it can effectively explain the dependent variable. Additionally, it is employed to assess the extent to which the independent variables (Evaluation criteria attribute, decision making style attribute and Transparency attribute) accurately explain the dependent variable, namely acquisition.</w:t>
      </w:r>
    </w:p>
    <w:p w14:paraId="761A94E3" w14:textId="1F533899" w:rsidR="001B66FE" w:rsidRPr="00574B9E" w:rsidRDefault="008167DC" w:rsidP="00B240C0">
      <w:pPr>
        <w:spacing w:line="360" w:lineRule="auto"/>
        <w:jc w:val="both"/>
        <w:rPr>
          <w:rFonts w:ascii="Arial" w:hAnsi="Arial" w:cs="Arial"/>
          <w:sz w:val="20"/>
          <w:szCs w:val="20"/>
        </w:rPr>
      </w:pPr>
      <w:r w:rsidRPr="008167DC">
        <w:rPr>
          <w:rFonts w:ascii="Arial" w:hAnsi="Arial" w:cs="Arial"/>
          <w:sz w:val="20"/>
          <w:szCs w:val="20"/>
        </w:rPr>
        <w:t>Table 5</w:t>
      </w:r>
      <w:r>
        <w:rPr>
          <w:rFonts w:ascii="Arial" w:hAnsi="Arial" w:cs="Arial"/>
          <w:sz w:val="20"/>
          <w:szCs w:val="20"/>
        </w:rPr>
        <w:t xml:space="preserve">- </w:t>
      </w:r>
      <w:r w:rsidR="001B66FE" w:rsidRPr="00574B9E">
        <w:rPr>
          <w:rFonts w:ascii="Arial" w:hAnsi="Arial" w:cs="Arial"/>
          <w:sz w:val="20"/>
          <w:szCs w:val="20"/>
        </w:rPr>
        <w:t>Model summary -</w:t>
      </w:r>
      <w:r w:rsidR="0073592F" w:rsidRPr="00574B9E">
        <w:rPr>
          <w:rFonts w:ascii="Arial" w:hAnsi="Arial" w:cs="Arial"/>
          <w:sz w:val="20"/>
          <w:szCs w:val="20"/>
        </w:rPr>
        <w:t>.</w:t>
      </w:r>
    </w:p>
    <w:tbl>
      <w:tblPr>
        <w:tblStyle w:val="af2"/>
        <w:tblW w:w="9258" w:type="dxa"/>
        <w:tblInd w:w="-5" w:type="dxa"/>
        <w:tblLook w:val="04A0" w:firstRow="1" w:lastRow="0" w:firstColumn="1" w:lastColumn="0" w:noHBand="0" w:noVBand="1"/>
      </w:tblPr>
      <w:tblGrid>
        <w:gridCol w:w="1874"/>
        <w:gridCol w:w="1813"/>
        <w:gridCol w:w="1135"/>
        <w:gridCol w:w="2124"/>
        <w:gridCol w:w="2312"/>
      </w:tblGrid>
      <w:tr w:rsidR="00B240C0" w:rsidRPr="00574B9E" w14:paraId="5F1E3210" w14:textId="77777777">
        <w:trPr>
          <w:trHeight w:val="770"/>
        </w:trPr>
        <w:tc>
          <w:tcPr>
            <w:tcW w:w="1874" w:type="dxa"/>
          </w:tcPr>
          <w:p w14:paraId="74CEAC7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Model</w:t>
            </w:r>
          </w:p>
        </w:tc>
        <w:tc>
          <w:tcPr>
            <w:tcW w:w="1813" w:type="dxa"/>
          </w:tcPr>
          <w:p w14:paraId="37BC4A7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w:t>
            </w:r>
          </w:p>
        </w:tc>
        <w:tc>
          <w:tcPr>
            <w:tcW w:w="1135" w:type="dxa"/>
          </w:tcPr>
          <w:p w14:paraId="4D82B33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 square</w:t>
            </w:r>
          </w:p>
        </w:tc>
        <w:tc>
          <w:tcPr>
            <w:tcW w:w="2124" w:type="dxa"/>
          </w:tcPr>
          <w:p w14:paraId="2A213C7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Adjusted R square</w:t>
            </w:r>
          </w:p>
        </w:tc>
        <w:tc>
          <w:tcPr>
            <w:tcW w:w="2312" w:type="dxa"/>
          </w:tcPr>
          <w:p w14:paraId="581956A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error estimate</w:t>
            </w:r>
          </w:p>
        </w:tc>
      </w:tr>
      <w:tr w:rsidR="00B240C0" w:rsidRPr="00574B9E" w14:paraId="4A85F525" w14:textId="77777777">
        <w:trPr>
          <w:trHeight w:val="770"/>
        </w:trPr>
        <w:tc>
          <w:tcPr>
            <w:tcW w:w="1874" w:type="dxa"/>
          </w:tcPr>
          <w:p w14:paraId="24737125" w14:textId="77777777" w:rsidR="001B66FE" w:rsidRPr="00574B9E" w:rsidRDefault="001B66FE" w:rsidP="00B240C0">
            <w:pPr>
              <w:spacing w:line="360" w:lineRule="auto"/>
              <w:jc w:val="both"/>
              <w:rPr>
                <w:rFonts w:ascii="Arial" w:hAnsi="Arial" w:cs="Arial"/>
                <w:sz w:val="20"/>
                <w:szCs w:val="20"/>
              </w:rPr>
            </w:pPr>
          </w:p>
        </w:tc>
        <w:tc>
          <w:tcPr>
            <w:tcW w:w="1813" w:type="dxa"/>
          </w:tcPr>
          <w:p w14:paraId="7BC8706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0.685</w:t>
            </w:r>
          </w:p>
        </w:tc>
        <w:tc>
          <w:tcPr>
            <w:tcW w:w="1135" w:type="dxa"/>
          </w:tcPr>
          <w:p w14:paraId="538D290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0.535</w:t>
            </w:r>
          </w:p>
        </w:tc>
        <w:tc>
          <w:tcPr>
            <w:tcW w:w="2124" w:type="dxa"/>
          </w:tcPr>
          <w:p w14:paraId="696D183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0.605</w:t>
            </w:r>
          </w:p>
        </w:tc>
        <w:tc>
          <w:tcPr>
            <w:tcW w:w="2312" w:type="dxa"/>
          </w:tcPr>
          <w:p w14:paraId="1946C1D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0.556</w:t>
            </w:r>
          </w:p>
        </w:tc>
      </w:tr>
    </w:tbl>
    <w:p w14:paraId="152D5CBD" w14:textId="77777777" w:rsidR="008167DC" w:rsidRDefault="008167DC" w:rsidP="00B240C0">
      <w:pPr>
        <w:spacing w:line="360" w:lineRule="auto"/>
        <w:jc w:val="both"/>
        <w:rPr>
          <w:rFonts w:ascii="Arial" w:hAnsi="Arial" w:cs="Arial"/>
          <w:sz w:val="20"/>
          <w:szCs w:val="20"/>
        </w:rPr>
      </w:pPr>
    </w:p>
    <w:p w14:paraId="6042C4C8" w14:textId="56AF1109"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Source: own survey, 2024 – Table 1</w:t>
      </w:r>
    </w:p>
    <w:p w14:paraId="7C84252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table shows a value of 0.685 for R. The R values mean that an independent variable Decision-Making Process of Public Tendering will estimate 68.5 percent of the variance in acquisition. A minimum variance of at least 60 per cent is considered a best fit for the model.</w:t>
      </w:r>
    </w:p>
    <w:p w14:paraId="7491B2E9" w14:textId="77777777" w:rsidR="001B66FE" w:rsidRPr="00574B9E" w:rsidRDefault="001B66FE" w:rsidP="00B240C0">
      <w:pPr>
        <w:spacing w:line="360" w:lineRule="auto"/>
        <w:jc w:val="both"/>
        <w:rPr>
          <w:rFonts w:ascii="Arial" w:hAnsi="Arial" w:cs="Arial"/>
          <w:b/>
          <w:bCs/>
          <w:i/>
          <w:iCs/>
          <w:sz w:val="20"/>
          <w:szCs w:val="20"/>
        </w:rPr>
      </w:pPr>
      <w:r w:rsidRPr="00574B9E">
        <w:rPr>
          <w:rFonts w:ascii="Arial" w:hAnsi="Arial" w:cs="Arial"/>
          <w:b/>
          <w:bCs/>
          <w:sz w:val="20"/>
          <w:szCs w:val="20"/>
        </w:rPr>
        <w:t xml:space="preserve">ANOVA </w:t>
      </w:r>
    </w:p>
    <w:tbl>
      <w:tblPr>
        <w:tblStyle w:val="TableGrid"/>
        <w:tblW w:w="9955" w:type="dxa"/>
        <w:tblInd w:w="75" w:type="dxa"/>
        <w:tblCellMar>
          <w:bottom w:w="196" w:type="dxa"/>
          <w:right w:w="54" w:type="dxa"/>
        </w:tblCellMar>
        <w:tblLook w:val="04A0" w:firstRow="1" w:lastRow="0" w:firstColumn="1" w:lastColumn="0" w:noHBand="0" w:noVBand="1"/>
      </w:tblPr>
      <w:tblGrid>
        <w:gridCol w:w="2478"/>
        <w:gridCol w:w="1121"/>
        <w:gridCol w:w="2141"/>
        <w:gridCol w:w="977"/>
        <w:gridCol w:w="1152"/>
        <w:gridCol w:w="1054"/>
        <w:gridCol w:w="1032"/>
      </w:tblGrid>
      <w:tr w:rsidR="00B240C0" w:rsidRPr="00574B9E" w14:paraId="69B5B2F2" w14:textId="77777777">
        <w:trPr>
          <w:trHeight w:val="663"/>
        </w:trPr>
        <w:tc>
          <w:tcPr>
            <w:tcW w:w="2478" w:type="dxa"/>
            <w:tcBorders>
              <w:top w:val="single" w:sz="11" w:space="0" w:color="000000"/>
              <w:left w:val="single" w:sz="12" w:space="0" w:color="000000"/>
              <w:bottom w:val="single" w:sz="12" w:space="0" w:color="000000"/>
              <w:right w:val="nil"/>
            </w:tcBorders>
            <w:shd w:val="clear" w:color="auto" w:fill="00B050"/>
            <w:vAlign w:val="center"/>
          </w:tcPr>
          <w:p w14:paraId="148996F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Model </w:t>
            </w:r>
          </w:p>
        </w:tc>
        <w:tc>
          <w:tcPr>
            <w:tcW w:w="1121" w:type="dxa"/>
            <w:tcBorders>
              <w:top w:val="single" w:sz="11" w:space="0" w:color="000000"/>
              <w:left w:val="nil"/>
              <w:bottom w:val="single" w:sz="12" w:space="0" w:color="000000"/>
              <w:right w:val="single" w:sz="12" w:space="0" w:color="000000"/>
            </w:tcBorders>
            <w:shd w:val="clear" w:color="auto" w:fill="00B050"/>
          </w:tcPr>
          <w:p w14:paraId="7D7096F4"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1" w:space="0" w:color="000000"/>
              <w:left w:val="single" w:sz="12" w:space="0" w:color="000000"/>
              <w:bottom w:val="single" w:sz="12" w:space="0" w:color="000000"/>
              <w:right w:val="single" w:sz="8" w:space="0" w:color="000000"/>
            </w:tcBorders>
            <w:shd w:val="clear" w:color="auto" w:fill="00B050"/>
            <w:vAlign w:val="center"/>
          </w:tcPr>
          <w:p w14:paraId="635C150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Sum </w:t>
            </w:r>
            <w:r w:rsidRPr="00574B9E">
              <w:rPr>
                <w:rFonts w:ascii="Arial" w:hAnsi="Arial" w:cs="Arial"/>
                <w:sz w:val="20"/>
                <w:szCs w:val="20"/>
              </w:rPr>
              <w:tab/>
              <w:t xml:space="preserve">of Squares </w:t>
            </w:r>
          </w:p>
        </w:tc>
        <w:tc>
          <w:tcPr>
            <w:tcW w:w="977"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5EA0DB8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Df </w:t>
            </w:r>
          </w:p>
        </w:tc>
        <w:tc>
          <w:tcPr>
            <w:tcW w:w="1152"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5C13C12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Mean Square </w:t>
            </w:r>
          </w:p>
        </w:tc>
        <w:tc>
          <w:tcPr>
            <w:tcW w:w="1054"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7CE51A6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F </w:t>
            </w:r>
          </w:p>
        </w:tc>
        <w:tc>
          <w:tcPr>
            <w:tcW w:w="1032" w:type="dxa"/>
            <w:tcBorders>
              <w:top w:val="single" w:sz="11" w:space="0" w:color="000000"/>
              <w:left w:val="single" w:sz="8" w:space="0" w:color="000000"/>
              <w:bottom w:val="single" w:sz="12" w:space="0" w:color="000000"/>
              <w:right w:val="single" w:sz="12" w:space="0" w:color="000000"/>
            </w:tcBorders>
            <w:shd w:val="clear" w:color="auto" w:fill="00B050"/>
            <w:vAlign w:val="center"/>
          </w:tcPr>
          <w:p w14:paraId="7C33C91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Sig. </w:t>
            </w:r>
          </w:p>
        </w:tc>
      </w:tr>
      <w:tr w:rsidR="00B240C0" w:rsidRPr="00574B9E" w14:paraId="0D89E7B3" w14:textId="77777777">
        <w:trPr>
          <w:trHeight w:val="656"/>
        </w:trPr>
        <w:tc>
          <w:tcPr>
            <w:tcW w:w="2478" w:type="dxa"/>
            <w:vMerge w:val="restart"/>
            <w:tcBorders>
              <w:top w:val="single" w:sz="12" w:space="0" w:color="000000"/>
              <w:left w:val="single" w:sz="12" w:space="0" w:color="000000"/>
              <w:bottom w:val="single" w:sz="11" w:space="0" w:color="000000"/>
              <w:right w:val="nil"/>
            </w:tcBorders>
            <w:vAlign w:val="center"/>
          </w:tcPr>
          <w:p w14:paraId="7A9ECE0B" w14:textId="77777777" w:rsidR="001B66FE" w:rsidRPr="00574B9E" w:rsidRDefault="001B66FE" w:rsidP="00B240C0">
            <w:pPr>
              <w:spacing w:line="360" w:lineRule="auto"/>
              <w:jc w:val="both"/>
              <w:rPr>
                <w:rFonts w:ascii="Arial" w:hAnsi="Arial" w:cs="Arial"/>
                <w:sz w:val="20"/>
                <w:szCs w:val="20"/>
              </w:rPr>
            </w:pPr>
          </w:p>
        </w:tc>
        <w:tc>
          <w:tcPr>
            <w:tcW w:w="1121" w:type="dxa"/>
            <w:vMerge w:val="restart"/>
            <w:tcBorders>
              <w:top w:val="single" w:sz="12" w:space="0" w:color="000000"/>
              <w:left w:val="nil"/>
              <w:bottom w:val="single" w:sz="11" w:space="0" w:color="000000"/>
              <w:right w:val="single" w:sz="12" w:space="0" w:color="000000"/>
            </w:tcBorders>
            <w:vAlign w:val="bottom"/>
          </w:tcPr>
          <w:p w14:paraId="39537DE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Regression </w:t>
            </w:r>
          </w:p>
          <w:p w14:paraId="53129F6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 xml:space="preserve">Residual </w:t>
            </w:r>
          </w:p>
          <w:p w14:paraId="0C78FB2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Total </w:t>
            </w:r>
          </w:p>
        </w:tc>
        <w:tc>
          <w:tcPr>
            <w:tcW w:w="2141" w:type="dxa"/>
            <w:tcBorders>
              <w:top w:val="single" w:sz="12" w:space="0" w:color="000000"/>
              <w:left w:val="single" w:sz="12" w:space="0" w:color="000000"/>
              <w:bottom w:val="single" w:sz="12" w:space="0" w:color="FFFFFF"/>
              <w:right w:val="single" w:sz="8" w:space="0" w:color="000000"/>
            </w:tcBorders>
            <w:vAlign w:val="center"/>
          </w:tcPr>
          <w:p w14:paraId="1847890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 xml:space="preserve">7.299 </w:t>
            </w:r>
          </w:p>
        </w:tc>
        <w:tc>
          <w:tcPr>
            <w:tcW w:w="977" w:type="dxa"/>
            <w:tcBorders>
              <w:top w:val="single" w:sz="12" w:space="0" w:color="000000"/>
              <w:left w:val="single" w:sz="8" w:space="0" w:color="000000"/>
              <w:bottom w:val="single" w:sz="12" w:space="0" w:color="FFFFFF"/>
              <w:right w:val="single" w:sz="8" w:space="0" w:color="000000"/>
            </w:tcBorders>
            <w:vAlign w:val="center"/>
          </w:tcPr>
          <w:p w14:paraId="0B61333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w:t>
            </w:r>
          </w:p>
        </w:tc>
        <w:tc>
          <w:tcPr>
            <w:tcW w:w="1152" w:type="dxa"/>
            <w:tcBorders>
              <w:top w:val="single" w:sz="12" w:space="0" w:color="000000"/>
              <w:left w:val="single" w:sz="8" w:space="0" w:color="000000"/>
              <w:bottom w:val="single" w:sz="12" w:space="0" w:color="FFFFFF"/>
              <w:right w:val="single" w:sz="8" w:space="0" w:color="000000"/>
            </w:tcBorders>
            <w:vAlign w:val="center"/>
          </w:tcPr>
          <w:p w14:paraId="2AF715C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2.433 </w:t>
            </w:r>
          </w:p>
        </w:tc>
        <w:tc>
          <w:tcPr>
            <w:tcW w:w="1054" w:type="dxa"/>
            <w:tcBorders>
              <w:top w:val="single" w:sz="12" w:space="0" w:color="000000"/>
              <w:left w:val="single" w:sz="8" w:space="0" w:color="000000"/>
              <w:bottom w:val="single" w:sz="12" w:space="0" w:color="FFFFFF"/>
              <w:right w:val="single" w:sz="8" w:space="0" w:color="000000"/>
            </w:tcBorders>
            <w:vAlign w:val="center"/>
          </w:tcPr>
          <w:p w14:paraId="640C629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7.884 </w:t>
            </w:r>
          </w:p>
        </w:tc>
        <w:tc>
          <w:tcPr>
            <w:tcW w:w="1032" w:type="dxa"/>
            <w:tcBorders>
              <w:top w:val="single" w:sz="12" w:space="0" w:color="000000"/>
              <w:left w:val="single" w:sz="8" w:space="0" w:color="000000"/>
              <w:bottom w:val="single" w:sz="12" w:space="0" w:color="FFFFFF"/>
              <w:right w:val="single" w:sz="12" w:space="0" w:color="000000"/>
            </w:tcBorders>
            <w:vAlign w:val="center"/>
          </w:tcPr>
          <w:p w14:paraId="4A2F242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.000</w:t>
            </w:r>
            <w:r w:rsidRPr="00574B9E">
              <w:rPr>
                <w:rFonts w:ascii="Arial" w:hAnsi="Arial" w:cs="Arial"/>
                <w:sz w:val="20"/>
                <w:szCs w:val="20"/>
                <w:vertAlign w:val="superscript"/>
              </w:rPr>
              <w:t>b</w:t>
            </w:r>
            <w:r w:rsidRPr="00574B9E">
              <w:rPr>
                <w:rFonts w:ascii="Arial" w:hAnsi="Arial" w:cs="Arial"/>
                <w:sz w:val="20"/>
                <w:szCs w:val="20"/>
              </w:rPr>
              <w:t xml:space="preserve"> </w:t>
            </w:r>
          </w:p>
        </w:tc>
      </w:tr>
      <w:tr w:rsidR="00B240C0" w:rsidRPr="00574B9E" w14:paraId="52362F56" w14:textId="77777777">
        <w:trPr>
          <w:trHeight w:val="364"/>
        </w:trPr>
        <w:tc>
          <w:tcPr>
            <w:tcW w:w="2478" w:type="dxa"/>
            <w:vMerge/>
            <w:tcBorders>
              <w:top w:val="nil"/>
              <w:left w:val="single" w:sz="12" w:space="0" w:color="000000"/>
              <w:bottom w:val="nil"/>
              <w:right w:val="nil"/>
            </w:tcBorders>
          </w:tcPr>
          <w:p w14:paraId="7E8A6C1B" w14:textId="77777777" w:rsidR="001B66FE" w:rsidRPr="00574B9E" w:rsidRDefault="001B66FE" w:rsidP="00B240C0">
            <w:pPr>
              <w:spacing w:line="360" w:lineRule="auto"/>
              <w:jc w:val="both"/>
              <w:rPr>
                <w:rFonts w:ascii="Arial" w:hAnsi="Arial" w:cs="Arial"/>
                <w:sz w:val="20"/>
                <w:szCs w:val="20"/>
              </w:rPr>
            </w:pPr>
          </w:p>
        </w:tc>
        <w:tc>
          <w:tcPr>
            <w:tcW w:w="1121" w:type="dxa"/>
            <w:vMerge/>
            <w:tcBorders>
              <w:top w:val="nil"/>
              <w:left w:val="nil"/>
              <w:bottom w:val="nil"/>
              <w:right w:val="single" w:sz="12" w:space="0" w:color="000000"/>
            </w:tcBorders>
          </w:tcPr>
          <w:p w14:paraId="1F623CD9"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2" w:space="0" w:color="FFFFFF"/>
              <w:left w:val="single" w:sz="12" w:space="0" w:color="000000"/>
              <w:bottom w:val="single" w:sz="12" w:space="0" w:color="FFFFFF"/>
              <w:right w:val="single" w:sz="8" w:space="0" w:color="000000"/>
            </w:tcBorders>
            <w:vAlign w:val="center"/>
          </w:tcPr>
          <w:p w14:paraId="16C520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23.763</w:t>
            </w:r>
          </w:p>
        </w:tc>
        <w:tc>
          <w:tcPr>
            <w:tcW w:w="977" w:type="dxa"/>
            <w:tcBorders>
              <w:top w:val="single" w:sz="12" w:space="0" w:color="FFFFFF"/>
              <w:left w:val="single" w:sz="8" w:space="0" w:color="000000"/>
              <w:bottom w:val="single" w:sz="12" w:space="0" w:color="FFFFFF"/>
              <w:right w:val="single" w:sz="8" w:space="0" w:color="000000"/>
            </w:tcBorders>
            <w:vAlign w:val="center"/>
          </w:tcPr>
          <w:p w14:paraId="23706C4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77 </w:t>
            </w:r>
          </w:p>
        </w:tc>
        <w:tc>
          <w:tcPr>
            <w:tcW w:w="1152" w:type="dxa"/>
            <w:tcBorders>
              <w:top w:val="single" w:sz="12" w:space="0" w:color="FFFFFF"/>
              <w:left w:val="single" w:sz="8" w:space="0" w:color="000000"/>
              <w:bottom w:val="single" w:sz="12" w:space="0" w:color="FFFFFF"/>
              <w:right w:val="single" w:sz="8" w:space="0" w:color="000000"/>
            </w:tcBorders>
            <w:vAlign w:val="center"/>
          </w:tcPr>
          <w:p w14:paraId="2AF6213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0.309 </w:t>
            </w:r>
          </w:p>
        </w:tc>
        <w:tc>
          <w:tcPr>
            <w:tcW w:w="1054" w:type="dxa"/>
            <w:tcBorders>
              <w:top w:val="single" w:sz="12" w:space="0" w:color="FFFFFF"/>
              <w:left w:val="single" w:sz="8" w:space="0" w:color="000000"/>
              <w:bottom w:val="single" w:sz="12" w:space="0" w:color="FFFFFF"/>
              <w:right w:val="single" w:sz="8" w:space="0" w:color="000000"/>
            </w:tcBorders>
            <w:vAlign w:val="center"/>
          </w:tcPr>
          <w:p w14:paraId="3F65949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32" w:type="dxa"/>
            <w:tcBorders>
              <w:top w:val="single" w:sz="12" w:space="0" w:color="FFFFFF"/>
              <w:left w:val="single" w:sz="8" w:space="0" w:color="000000"/>
              <w:bottom w:val="single" w:sz="12" w:space="0" w:color="FFFFFF"/>
              <w:right w:val="single" w:sz="12" w:space="0" w:color="000000"/>
            </w:tcBorders>
            <w:vAlign w:val="center"/>
          </w:tcPr>
          <w:p w14:paraId="3701917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r>
      <w:tr w:rsidR="00B240C0" w:rsidRPr="00574B9E" w14:paraId="662096D8" w14:textId="77777777">
        <w:trPr>
          <w:trHeight w:val="379"/>
        </w:trPr>
        <w:tc>
          <w:tcPr>
            <w:tcW w:w="2478" w:type="dxa"/>
            <w:vMerge/>
            <w:tcBorders>
              <w:top w:val="nil"/>
              <w:left w:val="single" w:sz="12" w:space="0" w:color="000000"/>
              <w:bottom w:val="single" w:sz="11" w:space="0" w:color="000000"/>
              <w:right w:val="nil"/>
            </w:tcBorders>
          </w:tcPr>
          <w:p w14:paraId="03C2DD6C" w14:textId="77777777" w:rsidR="001B66FE" w:rsidRPr="00574B9E" w:rsidRDefault="001B66FE" w:rsidP="00B240C0">
            <w:pPr>
              <w:spacing w:line="360" w:lineRule="auto"/>
              <w:jc w:val="both"/>
              <w:rPr>
                <w:rFonts w:ascii="Arial" w:hAnsi="Arial" w:cs="Arial"/>
                <w:sz w:val="20"/>
                <w:szCs w:val="20"/>
              </w:rPr>
            </w:pPr>
          </w:p>
        </w:tc>
        <w:tc>
          <w:tcPr>
            <w:tcW w:w="1121" w:type="dxa"/>
            <w:vMerge/>
            <w:tcBorders>
              <w:top w:val="nil"/>
              <w:left w:val="nil"/>
              <w:bottom w:val="single" w:sz="11" w:space="0" w:color="000000"/>
              <w:right w:val="single" w:sz="12" w:space="0" w:color="000000"/>
            </w:tcBorders>
          </w:tcPr>
          <w:p w14:paraId="65B53047"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2" w:space="0" w:color="FFFFFF"/>
              <w:left w:val="single" w:sz="12" w:space="0" w:color="000000"/>
              <w:bottom w:val="single" w:sz="11" w:space="0" w:color="000000"/>
              <w:right w:val="single" w:sz="8" w:space="0" w:color="000000"/>
            </w:tcBorders>
            <w:vAlign w:val="center"/>
          </w:tcPr>
          <w:p w14:paraId="730A0EE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31.062</w:t>
            </w:r>
          </w:p>
        </w:tc>
        <w:tc>
          <w:tcPr>
            <w:tcW w:w="977" w:type="dxa"/>
            <w:tcBorders>
              <w:top w:val="single" w:sz="12" w:space="0" w:color="FFFFFF"/>
              <w:left w:val="single" w:sz="8" w:space="0" w:color="000000"/>
              <w:bottom w:val="single" w:sz="11" w:space="0" w:color="000000"/>
              <w:right w:val="single" w:sz="8" w:space="0" w:color="000000"/>
            </w:tcBorders>
            <w:vAlign w:val="center"/>
          </w:tcPr>
          <w:p w14:paraId="63EA781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80 </w:t>
            </w:r>
          </w:p>
        </w:tc>
        <w:tc>
          <w:tcPr>
            <w:tcW w:w="1152" w:type="dxa"/>
            <w:tcBorders>
              <w:top w:val="single" w:sz="12" w:space="0" w:color="FFFFFF"/>
              <w:left w:val="single" w:sz="8" w:space="0" w:color="000000"/>
              <w:bottom w:val="single" w:sz="11" w:space="0" w:color="000000"/>
              <w:right w:val="single" w:sz="8" w:space="0" w:color="000000"/>
            </w:tcBorders>
            <w:vAlign w:val="center"/>
          </w:tcPr>
          <w:p w14:paraId="350E62A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54" w:type="dxa"/>
            <w:tcBorders>
              <w:top w:val="single" w:sz="12" w:space="0" w:color="FFFFFF"/>
              <w:left w:val="single" w:sz="8" w:space="0" w:color="000000"/>
              <w:bottom w:val="single" w:sz="11" w:space="0" w:color="000000"/>
              <w:right w:val="single" w:sz="8" w:space="0" w:color="000000"/>
            </w:tcBorders>
            <w:vAlign w:val="center"/>
          </w:tcPr>
          <w:p w14:paraId="03EC498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32" w:type="dxa"/>
            <w:tcBorders>
              <w:top w:val="single" w:sz="12" w:space="0" w:color="FFFFFF"/>
              <w:left w:val="single" w:sz="8" w:space="0" w:color="000000"/>
              <w:bottom w:val="single" w:sz="11" w:space="0" w:color="000000"/>
              <w:right w:val="single" w:sz="12" w:space="0" w:color="000000"/>
            </w:tcBorders>
            <w:vAlign w:val="center"/>
          </w:tcPr>
          <w:p w14:paraId="1ACDD99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r>
    </w:tbl>
    <w:p w14:paraId="5D12195D" w14:textId="777777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 xml:space="preserve">Table 6 ANOVA </w:t>
      </w:r>
    </w:p>
    <w:p w14:paraId="1A63F5D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Since the significant value of F statistics indicated a value of 7.884 and a value of p (.000), which is less than p&lt;0.05, the model is fit and significant. This means that the variability displayed by the model is not due to chance. </w:t>
      </w:r>
    </w:p>
    <w:p w14:paraId="07DB89B6" w14:textId="396C53F6" w:rsidR="001B66FE" w:rsidRPr="00574B9E" w:rsidRDefault="00154A4E" w:rsidP="00B240C0">
      <w:pPr>
        <w:spacing w:line="360" w:lineRule="auto"/>
        <w:jc w:val="both"/>
        <w:rPr>
          <w:rFonts w:ascii="Arial" w:hAnsi="Arial" w:cs="Arial"/>
          <w:b/>
          <w:bCs/>
          <w:sz w:val="20"/>
          <w:szCs w:val="20"/>
        </w:rPr>
      </w:pPr>
      <w:r w:rsidRPr="00154A4E">
        <w:rPr>
          <w:rFonts w:ascii="Arial" w:hAnsi="Arial" w:cs="Arial"/>
          <w:b/>
          <w:bCs/>
          <w:sz w:val="20"/>
          <w:szCs w:val="20"/>
        </w:rPr>
        <w:t>table 7</w:t>
      </w:r>
      <w:r>
        <w:rPr>
          <w:rFonts w:ascii="Arial" w:hAnsi="Arial" w:cs="Arial"/>
          <w:b/>
          <w:bCs/>
          <w:sz w:val="20"/>
          <w:szCs w:val="20"/>
        </w:rPr>
        <w:t xml:space="preserve">- </w:t>
      </w:r>
      <w:r w:rsidR="001B66FE" w:rsidRPr="00574B9E">
        <w:rPr>
          <w:rFonts w:ascii="Arial" w:hAnsi="Arial" w:cs="Arial"/>
          <w:b/>
          <w:bCs/>
          <w:sz w:val="20"/>
          <w:szCs w:val="20"/>
        </w:rPr>
        <w:t>Coefficients:</w:t>
      </w:r>
    </w:p>
    <w:tbl>
      <w:tblPr>
        <w:tblStyle w:val="af2"/>
        <w:tblW w:w="9379" w:type="dxa"/>
        <w:tblLook w:val="04A0" w:firstRow="1" w:lastRow="0" w:firstColumn="1" w:lastColumn="0" w:noHBand="0" w:noVBand="1"/>
      </w:tblPr>
      <w:tblGrid>
        <w:gridCol w:w="2523"/>
        <w:gridCol w:w="993"/>
        <w:gridCol w:w="1254"/>
        <w:gridCol w:w="1746"/>
        <w:gridCol w:w="1431"/>
        <w:gridCol w:w="1432"/>
      </w:tblGrid>
      <w:tr w:rsidR="00B240C0" w:rsidRPr="00574B9E" w14:paraId="10CF0C61" w14:textId="77777777">
        <w:trPr>
          <w:trHeight w:val="634"/>
        </w:trPr>
        <w:tc>
          <w:tcPr>
            <w:tcW w:w="2523" w:type="dxa"/>
          </w:tcPr>
          <w:p w14:paraId="0C3EB29C"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Model</w:t>
            </w:r>
          </w:p>
        </w:tc>
        <w:tc>
          <w:tcPr>
            <w:tcW w:w="2247" w:type="dxa"/>
            <w:gridSpan w:val="2"/>
          </w:tcPr>
          <w:p w14:paraId="5C56B395"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Unstandardized Coefficients</w:t>
            </w:r>
          </w:p>
          <w:p w14:paraId="05343BB7" w14:textId="77777777" w:rsidR="001B66FE" w:rsidRPr="00574B9E" w:rsidRDefault="001B66FE" w:rsidP="00B240C0">
            <w:pPr>
              <w:spacing w:line="360" w:lineRule="auto"/>
              <w:jc w:val="both"/>
              <w:rPr>
                <w:rFonts w:ascii="Arial" w:eastAsia="Calibri" w:hAnsi="Arial" w:cs="Arial"/>
                <w:i/>
                <w:iCs/>
                <w:sz w:val="20"/>
                <w:szCs w:val="20"/>
              </w:rPr>
            </w:pPr>
          </w:p>
        </w:tc>
        <w:tc>
          <w:tcPr>
            <w:tcW w:w="1746" w:type="dxa"/>
          </w:tcPr>
          <w:p w14:paraId="3FE39420"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Standardized Coefficients</w:t>
            </w:r>
          </w:p>
        </w:tc>
        <w:tc>
          <w:tcPr>
            <w:tcW w:w="1431" w:type="dxa"/>
          </w:tcPr>
          <w:p w14:paraId="18B675C1"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T</w:t>
            </w:r>
          </w:p>
        </w:tc>
        <w:tc>
          <w:tcPr>
            <w:tcW w:w="1431" w:type="dxa"/>
          </w:tcPr>
          <w:p w14:paraId="2AD036B2"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Sig.</w:t>
            </w:r>
          </w:p>
        </w:tc>
      </w:tr>
      <w:tr w:rsidR="00B240C0" w:rsidRPr="00574B9E" w14:paraId="17635F7B" w14:textId="77777777">
        <w:trPr>
          <w:trHeight w:val="537"/>
        </w:trPr>
        <w:tc>
          <w:tcPr>
            <w:tcW w:w="2523" w:type="dxa"/>
          </w:tcPr>
          <w:p w14:paraId="721AA42D" w14:textId="77777777" w:rsidR="001B66FE" w:rsidRPr="00574B9E" w:rsidRDefault="001B66FE" w:rsidP="00B240C0">
            <w:pPr>
              <w:spacing w:line="360" w:lineRule="auto"/>
              <w:jc w:val="both"/>
              <w:rPr>
                <w:rFonts w:ascii="Arial" w:eastAsia="Calibri" w:hAnsi="Arial" w:cs="Arial"/>
                <w:i/>
                <w:iCs/>
                <w:sz w:val="20"/>
                <w:szCs w:val="20"/>
              </w:rPr>
            </w:pPr>
          </w:p>
        </w:tc>
        <w:tc>
          <w:tcPr>
            <w:tcW w:w="993" w:type="dxa"/>
          </w:tcPr>
          <w:p w14:paraId="0319425F"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B</w:t>
            </w:r>
          </w:p>
        </w:tc>
        <w:tc>
          <w:tcPr>
            <w:tcW w:w="1254" w:type="dxa"/>
          </w:tcPr>
          <w:p w14:paraId="7B13D8E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Std. Error</w:t>
            </w:r>
          </w:p>
        </w:tc>
        <w:tc>
          <w:tcPr>
            <w:tcW w:w="1746" w:type="dxa"/>
          </w:tcPr>
          <w:p w14:paraId="4374FE12"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Beta</w:t>
            </w:r>
          </w:p>
        </w:tc>
        <w:tc>
          <w:tcPr>
            <w:tcW w:w="2863" w:type="dxa"/>
            <w:gridSpan w:val="2"/>
          </w:tcPr>
          <w:p w14:paraId="7A43D586" w14:textId="77777777" w:rsidR="001B66FE" w:rsidRPr="00574B9E" w:rsidRDefault="001B66FE" w:rsidP="00B240C0">
            <w:pPr>
              <w:spacing w:line="360" w:lineRule="auto"/>
              <w:jc w:val="both"/>
              <w:rPr>
                <w:rFonts w:ascii="Arial" w:eastAsia="Calibri" w:hAnsi="Arial" w:cs="Arial"/>
                <w:i/>
                <w:iCs/>
                <w:sz w:val="20"/>
                <w:szCs w:val="20"/>
              </w:rPr>
            </w:pPr>
          </w:p>
        </w:tc>
      </w:tr>
      <w:tr w:rsidR="00B240C0" w:rsidRPr="00574B9E" w14:paraId="3BFCA85C" w14:textId="77777777">
        <w:trPr>
          <w:trHeight w:val="2654"/>
        </w:trPr>
        <w:tc>
          <w:tcPr>
            <w:tcW w:w="2523" w:type="dxa"/>
          </w:tcPr>
          <w:p w14:paraId="5A52B771"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(Constant)</w:t>
            </w:r>
          </w:p>
          <w:p w14:paraId="32544803" w14:textId="77777777" w:rsidR="001B66FE" w:rsidRPr="00574B9E" w:rsidRDefault="001B66FE" w:rsidP="00B240C0">
            <w:pPr>
              <w:spacing w:line="360" w:lineRule="auto"/>
              <w:jc w:val="both"/>
              <w:rPr>
                <w:rFonts w:ascii="Arial" w:eastAsia="Calibri" w:hAnsi="Arial" w:cs="Arial"/>
                <w:sz w:val="20"/>
                <w:szCs w:val="20"/>
              </w:rPr>
            </w:pPr>
          </w:p>
          <w:p w14:paraId="665B6C63" w14:textId="77777777" w:rsidR="001B66FE" w:rsidRPr="00574B9E" w:rsidRDefault="001B66FE" w:rsidP="00B240C0">
            <w:pPr>
              <w:spacing w:line="360" w:lineRule="auto"/>
              <w:jc w:val="both"/>
              <w:rPr>
                <w:rFonts w:ascii="Arial" w:eastAsia="Calibri" w:hAnsi="Arial" w:cs="Arial"/>
                <w:sz w:val="20"/>
                <w:szCs w:val="20"/>
                <w:lang w:val="en-AU"/>
              </w:rPr>
            </w:pPr>
            <w:r w:rsidRPr="00574B9E">
              <w:rPr>
                <w:rFonts w:ascii="Arial" w:eastAsia="Calibri" w:hAnsi="Arial" w:cs="Arial"/>
                <w:sz w:val="20"/>
                <w:szCs w:val="20"/>
                <w:lang w:val="en-AU"/>
              </w:rPr>
              <w:t>Evaluation criteria</w:t>
            </w:r>
          </w:p>
          <w:p w14:paraId="5C59EEE0" w14:textId="77777777" w:rsidR="001B66FE" w:rsidRPr="00574B9E" w:rsidRDefault="001B66FE" w:rsidP="00B240C0">
            <w:pPr>
              <w:spacing w:line="360" w:lineRule="auto"/>
              <w:jc w:val="both"/>
              <w:rPr>
                <w:rFonts w:ascii="Arial" w:eastAsia="Calibri" w:hAnsi="Arial" w:cs="Arial"/>
                <w:sz w:val="20"/>
                <w:szCs w:val="20"/>
              </w:rPr>
            </w:pPr>
          </w:p>
          <w:p w14:paraId="012DEA3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Decision making style</w:t>
            </w:r>
          </w:p>
          <w:p w14:paraId="597EBD22"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 xml:space="preserve">Transparency attribute </w:t>
            </w:r>
          </w:p>
        </w:tc>
        <w:tc>
          <w:tcPr>
            <w:tcW w:w="993" w:type="dxa"/>
          </w:tcPr>
          <w:p w14:paraId="6E2A9EF0"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-1.289</w:t>
            </w:r>
          </w:p>
          <w:p w14:paraId="74203D78" w14:textId="77777777" w:rsidR="001B66FE" w:rsidRPr="00574B9E" w:rsidRDefault="001B66FE" w:rsidP="00B240C0">
            <w:pPr>
              <w:spacing w:line="360" w:lineRule="auto"/>
              <w:jc w:val="both"/>
              <w:rPr>
                <w:rFonts w:ascii="Arial" w:eastAsia="Calibri" w:hAnsi="Arial" w:cs="Arial"/>
                <w:sz w:val="20"/>
                <w:szCs w:val="20"/>
              </w:rPr>
            </w:pPr>
          </w:p>
          <w:p w14:paraId="13E30E2C"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.074</w:t>
            </w:r>
          </w:p>
          <w:p w14:paraId="08A35EEB" w14:textId="77777777" w:rsidR="001B66FE" w:rsidRPr="00574B9E" w:rsidRDefault="001B66FE" w:rsidP="00B240C0">
            <w:pPr>
              <w:spacing w:line="360" w:lineRule="auto"/>
              <w:jc w:val="both"/>
              <w:rPr>
                <w:rFonts w:ascii="Arial" w:eastAsia="Calibri" w:hAnsi="Arial" w:cs="Arial"/>
                <w:sz w:val="20"/>
                <w:szCs w:val="20"/>
              </w:rPr>
            </w:pPr>
          </w:p>
          <w:p w14:paraId="7E7D01EF"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.049</w:t>
            </w:r>
          </w:p>
          <w:p w14:paraId="1CC0203E"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.079</w:t>
            </w:r>
          </w:p>
        </w:tc>
        <w:tc>
          <w:tcPr>
            <w:tcW w:w="1254" w:type="dxa"/>
          </w:tcPr>
          <w:p w14:paraId="11A1AC1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.801</w:t>
            </w:r>
          </w:p>
          <w:p w14:paraId="02539F5D" w14:textId="77777777" w:rsidR="001B66FE" w:rsidRPr="00574B9E" w:rsidRDefault="001B66FE" w:rsidP="00B240C0">
            <w:pPr>
              <w:spacing w:line="360" w:lineRule="auto"/>
              <w:jc w:val="both"/>
              <w:rPr>
                <w:rFonts w:ascii="Arial" w:eastAsia="Calibri" w:hAnsi="Arial" w:cs="Arial"/>
                <w:sz w:val="20"/>
                <w:szCs w:val="20"/>
              </w:rPr>
            </w:pPr>
          </w:p>
          <w:p w14:paraId="5D155E51"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.029</w:t>
            </w:r>
          </w:p>
          <w:p w14:paraId="17D037BA" w14:textId="77777777" w:rsidR="001B66FE" w:rsidRPr="00574B9E" w:rsidRDefault="001B66FE" w:rsidP="00B240C0">
            <w:pPr>
              <w:spacing w:line="360" w:lineRule="auto"/>
              <w:jc w:val="both"/>
              <w:rPr>
                <w:rFonts w:ascii="Arial" w:eastAsia="Calibri" w:hAnsi="Arial" w:cs="Arial"/>
                <w:sz w:val="20"/>
                <w:szCs w:val="20"/>
              </w:rPr>
            </w:pPr>
          </w:p>
          <w:p w14:paraId="29F68D13"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.040</w:t>
            </w:r>
          </w:p>
          <w:p w14:paraId="728ED5B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.033</w:t>
            </w:r>
          </w:p>
        </w:tc>
        <w:tc>
          <w:tcPr>
            <w:tcW w:w="1746" w:type="dxa"/>
          </w:tcPr>
          <w:p w14:paraId="6CA98FB7" w14:textId="77777777" w:rsidR="001B66FE" w:rsidRPr="00574B9E" w:rsidRDefault="001B66FE" w:rsidP="00B240C0">
            <w:pPr>
              <w:spacing w:line="360" w:lineRule="auto"/>
              <w:jc w:val="both"/>
              <w:rPr>
                <w:rFonts w:ascii="Arial" w:eastAsia="Calibri" w:hAnsi="Arial" w:cs="Arial"/>
                <w:i/>
                <w:iCs/>
                <w:sz w:val="20"/>
                <w:szCs w:val="20"/>
              </w:rPr>
            </w:pPr>
          </w:p>
          <w:p w14:paraId="3FFB4F33" w14:textId="77777777" w:rsidR="001B66FE" w:rsidRPr="00574B9E" w:rsidRDefault="001B66FE" w:rsidP="00B240C0">
            <w:pPr>
              <w:spacing w:line="360" w:lineRule="auto"/>
              <w:jc w:val="both"/>
              <w:rPr>
                <w:rFonts w:ascii="Arial" w:eastAsia="Calibri" w:hAnsi="Arial" w:cs="Arial"/>
                <w:sz w:val="20"/>
                <w:szCs w:val="20"/>
              </w:rPr>
            </w:pPr>
          </w:p>
          <w:p w14:paraId="271A2AC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.284</w:t>
            </w:r>
          </w:p>
          <w:p w14:paraId="31E7C034" w14:textId="77777777" w:rsidR="001B66FE" w:rsidRPr="00574B9E" w:rsidRDefault="001B66FE" w:rsidP="00B240C0">
            <w:pPr>
              <w:spacing w:line="360" w:lineRule="auto"/>
              <w:jc w:val="both"/>
              <w:rPr>
                <w:rFonts w:ascii="Arial" w:eastAsia="Calibri" w:hAnsi="Arial" w:cs="Arial"/>
                <w:sz w:val="20"/>
                <w:szCs w:val="20"/>
              </w:rPr>
            </w:pPr>
          </w:p>
          <w:p w14:paraId="22C54F4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.125</w:t>
            </w:r>
          </w:p>
          <w:p w14:paraId="06801099"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.269</w:t>
            </w:r>
          </w:p>
        </w:tc>
        <w:tc>
          <w:tcPr>
            <w:tcW w:w="1431" w:type="dxa"/>
          </w:tcPr>
          <w:p w14:paraId="7A0965F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-1.608</w:t>
            </w:r>
          </w:p>
          <w:p w14:paraId="5599B143" w14:textId="77777777" w:rsidR="001B66FE" w:rsidRPr="00574B9E" w:rsidRDefault="001B66FE" w:rsidP="00B240C0">
            <w:pPr>
              <w:spacing w:line="360" w:lineRule="auto"/>
              <w:jc w:val="both"/>
              <w:rPr>
                <w:rFonts w:ascii="Arial" w:eastAsia="Calibri" w:hAnsi="Arial" w:cs="Arial"/>
                <w:sz w:val="20"/>
                <w:szCs w:val="20"/>
              </w:rPr>
            </w:pPr>
          </w:p>
          <w:p w14:paraId="04322CF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2.524</w:t>
            </w:r>
          </w:p>
          <w:p w14:paraId="13F48AA1" w14:textId="77777777" w:rsidR="001B66FE" w:rsidRPr="00574B9E" w:rsidRDefault="001B66FE" w:rsidP="00B240C0">
            <w:pPr>
              <w:spacing w:line="360" w:lineRule="auto"/>
              <w:jc w:val="both"/>
              <w:rPr>
                <w:rFonts w:ascii="Arial" w:eastAsia="Calibri" w:hAnsi="Arial" w:cs="Arial"/>
                <w:sz w:val="20"/>
                <w:szCs w:val="20"/>
              </w:rPr>
            </w:pPr>
          </w:p>
          <w:p w14:paraId="2776F61E"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1.247</w:t>
            </w:r>
          </w:p>
          <w:p w14:paraId="19CC9625"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2.390</w:t>
            </w:r>
          </w:p>
        </w:tc>
        <w:tc>
          <w:tcPr>
            <w:tcW w:w="1431" w:type="dxa"/>
          </w:tcPr>
          <w:p w14:paraId="58A8DA96"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.112</w:t>
            </w:r>
          </w:p>
          <w:p w14:paraId="60D6A1D4" w14:textId="77777777" w:rsidR="001B66FE" w:rsidRPr="00574B9E" w:rsidRDefault="001B66FE" w:rsidP="00B240C0">
            <w:pPr>
              <w:spacing w:line="360" w:lineRule="auto"/>
              <w:jc w:val="both"/>
              <w:rPr>
                <w:rFonts w:ascii="Arial" w:eastAsia="Calibri" w:hAnsi="Arial" w:cs="Arial"/>
                <w:sz w:val="20"/>
                <w:szCs w:val="20"/>
              </w:rPr>
            </w:pPr>
          </w:p>
          <w:p w14:paraId="250B2D17"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.014</w:t>
            </w:r>
          </w:p>
          <w:p w14:paraId="38CD947C" w14:textId="77777777" w:rsidR="001B66FE" w:rsidRPr="00574B9E" w:rsidRDefault="001B66FE" w:rsidP="00B240C0">
            <w:pPr>
              <w:spacing w:line="360" w:lineRule="auto"/>
              <w:jc w:val="both"/>
              <w:rPr>
                <w:rFonts w:ascii="Arial" w:eastAsia="Calibri" w:hAnsi="Arial" w:cs="Arial"/>
                <w:sz w:val="20"/>
                <w:szCs w:val="20"/>
              </w:rPr>
            </w:pPr>
          </w:p>
          <w:p w14:paraId="41C63DA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.216</w:t>
            </w:r>
          </w:p>
          <w:p w14:paraId="6D38ED83"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.019</w:t>
            </w:r>
          </w:p>
        </w:tc>
      </w:tr>
    </w:tbl>
    <w:p w14:paraId="66D3AF4E" w14:textId="77777777" w:rsidR="001B66FE" w:rsidRPr="00574B9E" w:rsidRDefault="001B66FE" w:rsidP="00B240C0">
      <w:pPr>
        <w:spacing w:line="360" w:lineRule="auto"/>
        <w:jc w:val="both"/>
        <w:rPr>
          <w:rFonts w:ascii="Arial" w:hAnsi="Arial" w:cs="Arial"/>
          <w:sz w:val="20"/>
          <w:szCs w:val="20"/>
        </w:rPr>
      </w:pPr>
      <w:r w:rsidRPr="00574B9E">
        <w:rPr>
          <w:rFonts w:ascii="Arial" w:eastAsia="Calibri" w:hAnsi="Arial" w:cs="Arial"/>
          <w:sz w:val="20"/>
          <w:szCs w:val="20"/>
        </w:rPr>
        <w:t xml:space="preserve">Dependent variable: Public Tendering and </w:t>
      </w:r>
      <w:r w:rsidRPr="00574B9E">
        <w:rPr>
          <w:rFonts w:ascii="Arial" w:hAnsi="Arial" w:cs="Arial"/>
          <w:sz w:val="20"/>
          <w:szCs w:val="20"/>
        </w:rPr>
        <w:t>acquisition</w:t>
      </w:r>
    </w:p>
    <w:p w14:paraId="61F93407" w14:textId="77777777" w:rsidR="001B66FE" w:rsidRPr="00574B9E" w:rsidRDefault="001B66FE" w:rsidP="00B240C0">
      <w:pPr>
        <w:spacing w:line="360" w:lineRule="auto"/>
        <w:jc w:val="both"/>
        <w:rPr>
          <w:rFonts w:ascii="Arial" w:hAnsi="Arial" w:cs="Arial"/>
          <w:b/>
          <w:bCs/>
          <w:i/>
          <w:iCs/>
          <w:sz w:val="20"/>
          <w:szCs w:val="20"/>
        </w:rPr>
      </w:pPr>
      <w:r w:rsidRPr="00574B9E">
        <w:rPr>
          <w:rFonts w:ascii="Arial" w:eastAsia="Calibri" w:hAnsi="Arial" w:cs="Arial"/>
          <w:b/>
          <w:bCs/>
          <w:sz w:val="20"/>
          <w:szCs w:val="20"/>
        </w:rPr>
        <w:t>Source: Own survey, 2024</w:t>
      </w:r>
    </w:p>
    <w:p w14:paraId="304DD19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According to Table above, the regression standardized coefficients of these independent variables, i.e., component of Evaluation criteria variable, decision making style attribute and transparency attribute with beta value 0.284, 0.125 and 0.269 respectively. Their significance levels are 0.014, 0.216 &amp; 0.019 respectively, which two of them are under 0.05. The only variable that is insignificant is decision making style attribute. This means that they have a positive interaction with the dependent variable.</w:t>
      </w:r>
    </w:p>
    <w:p w14:paraId="346DD6DC" w14:textId="77777777" w:rsidR="001B66FE" w:rsidRPr="00574B9E" w:rsidRDefault="00295452" w:rsidP="00B240C0">
      <w:pPr>
        <w:spacing w:line="360" w:lineRule="auto"/>
        <w:jc w:val="both"/>
        <w:rPr>
          <w:rFonts w:ascii="Arial" w:hAnsi="Arial" w:cs="Arial"/>
          <w:sz w:val="20"/>
          <w:szCs w:val="20"/>
        </w:rPr>
      </w:pPr>
      <w:bookmarkStart w:id="24" w:name="_Toc173413916"/>
      <w:r w:rsidRPr="00574B9E">
        <w:rPr>
          <w:rFonts w:ascii="Arial" w:hAnsi="Arial" w:cs="Arial"/>
          <w:b/>
          <w:bCs/>
          <w:sz w:val="20"/>
          <w:szCs w:val="20"/>
        </w:rPr>
        <w:t xml:space="preserve">5. </w:t>
      </w:r>
      <w:r w:rsidR="001B66FE" w:rsidRPr="00574B9E">
        <w:rPr>
          <w:rFonts w:ascii="Arial" w:hAnsi="Arial" w:cs="Arial"/>
          <w:b/>
          <w:bCs/>
          <w:sz w:val="20"/>
          <w:szCs w:val="20"/>
        </w:rPr>
        <w:t>CONCLUSION</w:t>
      </w:r>
      <w:r w:rsidR="001B66FE" w:rsidRPr="00574B9E">
        <w:rPr>
          <w:rFonts w:ascii="Arial" w:hAnsi="Arial" w:cs="Arial"/>
          <w:sz w:val="20"/>
          <w:szCs w:val="20"/>
        </w:rPr>
        <w:t>.</w:t>
      </w:r>
      <w:bookmarkEnd w:id="24"/>
    </w:p>
    <w:p w14:paraId="74D88352" w14:textId="77777777" w:rsidR="007B0297" w:rsidRPr="00574B9E"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This study examined the decision-making process in public tendering and acquisition at the Somaliland National Tender Board (SNTB), focusing on evaluation criteria, decision-making styles, and transparency. Demographic analysis revealed a predominantly young and well-educated workforce, suggesting strong potential for effective decision-making. While respondents generally perceived the SNTB as adhering to legal processes (mean score of 1.75), this aligns only partially with other research, such as </w:t>
      </w:r>
      <w:proofErr w:type="spellStart"/>
      <w:r w:rsidRPr="00574B9E">
        <w:rPr>
          <w:rFonts w:ascii="Arial" w:eastAsiaTheme="majorEastAsia" w:hAnsi="Arial" w:cs="Arial"/>
          <w:sz w:val="20"/>
          <w:szCs w:val="20"/>
        </w:rPr>
        <w:t>Oplew's</w:t>
      </w:r>
      <w:proofErr w:type="spellEnd"/>
      <w:r w:rsidRPr="00574B9E">
        <w:rPr>
          <w:rFonts w:ascii="Arial" w:eastAsiaTheme="majorEastAsia" w:hAnsi="Arial" w:cs="Arial"/>
          <w:sz w:val="20"/>
          <w:szCs w:val="20"/>
        </w:rPr>
        <w:t xml:space="preserve"> (2017) </w:t>
      </w:r>
      <w:r w:rsidRPr="00574B9E">
        <w:rPr>
          <w:rFonts w:ascii="Arial" w:eastAsiaTheme="majorEastAsia" w:hAnsi="Arial" w:cs="Arial"/>
          <w:sz w:val="20"/>
          <w:szCs w:val="20"/>
        </w:rPr>
        <w:lastRenderedPageBreak/>
        <w:t xml:space="preserve">work in the </w:t>
      </w:r>
      <w:proofErr w:type="spellStart"/>
      <w:r w:rsidRPr="00574B9E">
        <w:rPr>
          <w:rFonts w:ascii="Arial" w:eastAsiaTheme="majorEastAsia" w:hAnsi="Arial" w:cs="Arial"/>
          <w:sz w:val="20"/>
          <w:szCs w:val="20"/>
        </w:rPr>
        <w:t>Gambella</w:t>
      </w:r>
      <w:proofErr w:type="spellEnd"/>
      <w:r w:rsidRPr="00574B9E">
        <w:rPr>
          <w:rFonts w:ascii="Arial" w:eastAsiaTheme="majorEastAsia" w:hAnsi="Arial" w:cs="Arial"/>
          <w:sz w:val="20"/>
          <w:szCs w:val="20"/>
        </w:rPr>
        <w:t xml:space="preserve"> region, which found agreement on the </w:t>
      </w:r>
      <w:r w:rsidRPr="00574B9E">
        <w:rPr>
          <w:rFonts w:ascii="Arial" w:eastAsiaTheme="majorEastAsia" w:hAnsi="Arial" w:cs="Arial"/>
          <w:i/>
          <w:iCs/>
          <w:sz w:val="20"/>
          <w:szCs w:val="20"/>
        </w:rPr>
        <w:t>existence</w:t>
      </w:r>
      <w:r w:rsidRPr="00574B9E">
        <w:rPr>
          <w:rFonts w:ascii="Arial" w:eastAsiaTheme="majorEastAsia" w:hAnsi="Arial" w:cs="Arial"/>
          <w:sz w:val="20"/>
          <w:szCs w:val="20"/>
        </w:rPr>
        <w:t xml:space="preserve"> of legal frameworks but also implied gaps in their </w:t>
      </w:r>
      <w:r w:rsidRPr="00574B9E">
        <w:rPr>
          <w:rFonts w:ascii="Arial" w:eastAsiaTheme="majorEastAsia" w:hAnsi="Arial" w:cs="Arial"/>
          <w:i/>
          <w:iCs/>
          <w:sz w:val="20"/>
          <w:szCs w:val="20"/>
        </w:rPr>
        <w:t>effective implementation</w:t>
      </w:r>
      <w:r w:rsidRPr="00574B9E">
        <w:rPr>
          <w:rFonts w:ascii="Arial" w:eastAsiaTheme="majorEastAsia" w:hAnsi="Arial" w:cs="Arial"/>
          <w:sz w:val="20"/>
          <w:szCs w:val="20"/>
        </w:rPr>
        <w:t xml:space="preserve">. This suggests that while the SNTB </w:t>
      </w:r>
      <w:r w:rsidRPr="00574B9E">
        <w:rPr>
          <w:rFonts w:ascii="Arial" w:eastAsiaTheme="majorEastAsia" w:hAnsi="Arial" w:cs="Arial"/>
          <w:i/>
          <w:iCs/>
          <w:sz w:val="20"/>
          <w:szCs w:val="20"/>
        </w:rPr>
        <w:t>may</w:t>
      </w:r>
      <w:r w:rsidRPr="00574B9E">
        <w:rPr>
          <w:rFonts w:ascii="Arial" w:eastAsiaTheme="majorEastAsia" w:hAnsi="Arial" w:cs="Arial"/>
          <w:sz w:val="20"/>
          <w:szCs w:val="20"/>
        </w:rPr>
        <w:t xml:space="preserve"> have the necessary legal framework in place, there's room for improvement in ensuring consistent and comprehensive application of these procedures. Transparency emerged as a crucial factor, with a positive correlation between transparency and successful tendering outcomes. However, concerns about post-award transparency (mean score of 2.40) and the potential negative impacts of a lack of transparency (mean score of 2.12) highlight the need for enhanced communication and public engagement.</w:t>
      </w:r>
    </w:p>
    <w:p w14:paraId="3132D2FB" w14:textId="77777777" w:rsidR="007B0297" w:rsidRPr="00574B9E"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The study found a statistically significant relationship between public tendering success and both well-defined evaluation criteria and transparency. While evaluation criteria and transparency significantly predicted positive outcomes, the influence of decision-making styles, particularly the application of Multi-Criteria Decision Making (MCDM) techniques, was less clear. This suggests that while the SNTB </w:t>
      </w:r>
      <w:r w:rsidRPr="00574B9E">
        <w:rPr>
          <w:rFonts w:ascii="Arial" w:eastAsiaTheme="majorEastAsia" w:hAnsi="Arial" w:cs="Arial"/>
          <w:i/>
          <w:iCs/>
          <w:sz w:val="20"/>
          <w:szCs w:val="20"/>
        </w:rPr>
        <w:t>may</w:t>
      </w:r>
      <w:r w:rsidRPr="00574B9E">
        <w:rPr>
          <w:rFonts w:ascii="Arial" w:eastAsiaTheme="majorEastAsia" w:hAnsi="Arial" w:cs="Arial"/>
          <w:sz w:val="20"/>
          <w:szCs w:val="20"/>
        </w:rPr>
        <w:t xml:space="preserve"> be using MCDM, its impact on tender success requires further investigation. The research underscores the importance of clearly defined evaluation criteria, transparent processes, and continuous improvement for effective public tendering.</w:t>
      </w:r>
    </w:p>
    <w:p w14:paraId="05D4BA22" w14:textId="77777777" w:rsidR="00152903"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Recommendations for future research include a deeper examination of evaluation criteria, including the development of standardized methodologies and KPIs. Further exploration of the potential benefits and challenges of MCDM techniques in public procurement is also warranted. To enhance transparency and accountability, research should focus on developing effective communication strategies and platforms, such as dedicated procurement portals. Capacity building initiatives for public officials and ongoing stakeholder engagement are also crucial for optimizing public procurement practices and ensuring they remain responsive to evolving needs.</w:t>
      </w:r>
    </w:p>
    <w:p w14:paraId="6F17B39E" w14:textId="77777777" w:rsidR="00152903" w:rsidRPr="00574B9E" w:rsidRDefault="00152903" w:rsidP="00B240C0">
      <w:pPr>
        <w:spacing w:line="360" w:lineRule="auto"/>
        <w:jc w:val="both"/>
        <w:rPr>
          <w:rFonts w:ascii="Arial" w:eastAsiaTheme="majorEastAsia" w:hAnsi="Arial" w:cs="Arial"/>
          <w:sz w:val="20"/>
          <w:szCs w:val="20"/>
        </w:rPr>
      </w:pPr>
    </w:p>
    <w:p w14:paraId="7B52B7F8" w14:textId="77777777" w:rsidR="001B66FE" w:rsidRPr="00574B9E" w:rsidRDefault="001B66FE" w:rsidP="00B240C0">
      <w:pPr>
        <w:spacing w:line="360" w:lineRule="auto"/>
        <w:jc w:val="both"/>
        <w:rPr>
          <w:rFonts w:ascii="Arial" w:eastAsia="Calibri" w:hAnsi="Arial" w:cs="Arial"/>
          <w:b/>
          <w:bCs/>
          <w:sz w:val="20"/>
          <w:szCs w:val="20"/>
          <w:lang w:val="en-AU"/>
        </w:rPr>
      </w:pPr>
      <w:bookmarkStart w:id="25" w:name="_Toc173413920"/>
      <w:r w:rsidRPr="00574B9E">
        <w:rPr>
          <w:rFonts w:ascii="Arial" w:eastAsia="Calibri" w:hAnsi="Arial" w:cs="Arial"/>
          <w:sz w:val="20"/>
          <w:szCs w:val="20"/>
          <w:lang w:val="en-AU"/>
        </w:rPr>
        <w:t xml:space="preserve"> </w:t>
      </w:r>
      <w:r w:rsidR="006878E8" w:rsidRPr="00A436CD">
        <w:rPr>
          <w:rFonts w:ascii="Arial" w:eastAsia="Calibri" w:hAnsi="Arial" w:cs="Arial"/>
          <w:b/>
          <w:bCs/>
          <w:lang w:val="en-AU"/>
        </w:rPr>
        <w:t>REFERENCE</w:t>
      </w:r>
      <w:bookmarkEnd w:id="25"/>
    </w:p>
    <w:p w14:paraId="2F68A3CD" w14:textId="77777777" w:rsidR="001B66FE" w:rsidRPr="00574B9E" w:rsidRDefault="001B66FE" w:rsidP="00A436CD">
      <w:pPr>
        <w:spacing w:line="360" w:lineRule="auto"/>
        <w:rPr>
          <w:rFonts w:ascii="Arial" w:hAnsi="Arial" w:cs="Arial"/>
          <w:sz w:val="20"/>
          <w:szCs w:val="20"/>
        </w:rPr>
      </w:pPr>
      <w:proofErr w:type="spellStart"/>
      <w:r w:rsidRPr="00574B9E">
        <w:rPr>
          <w:rFonts w:ascii="Arial" w:hAnsi="Arial" w:cs="Arial"/>
          <w:sz w:val="20"/>
          <w:szCs w:val="20"/>
        </w:rPr>
        <w:t>Csáki</w:t>
      </w:r>
      <w:proofErr w:type="spellEnd"/>
      <w:r w:rsidRPr="00574B9E">
        <w:rPr>
          <w:rFonts w:ascii="Arial" w:hAnsi="Arial" w:cs="Arial"/>
          <w:sz w:val="20"/>
          <w:szCs w:val="20"/>
        </w:rPr>
        <w:t xml:space="preserve">, C. (2006). Investigating </w:t>
      </w:r>
      <w:proofErr w:type="gramStart"/>
      <w:r w:rsidRPr="00574B9E">
        <w:rPr>
          <w:rFonts w:ascii="Arial" w:hAnsi="Arial" w:cs="Arial"/>
          <w:sz w:val="20"/>
          <w:szCs w:val="20"/>
        </w:rPr>
        <w:t>The</w:t>
      </w:r>
      <w:proofErr w:type="gramEnd"/>
      <w:r w:rsidRPr="00574B9E">
        <w:rPr>
          <w:rFonts w:ascii="Arial" w:hAnsi="Arial" w:cs="Arial"/>
          <w:sz w:val="20"/>
          <w:szCs w:val="20"/>
        </w:rPr>
        <w:t xml:space="preserve"> Decision-Making Practice of Public Procurement Procedures. International Public Procurement Conference Proceedings. </w:t>
      </w:r>
    </w:p>
    <w:p w14:paraId="5C60A8F1"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Csáki</w:t>
      </w:r>
      <w:proofErr w:type="spellEnd"/>
      <w:r w:rsidRPr="00574B9E">
        <w:rPr>
          <w:rFonts w:ascii="Arial" w:hAnsi="Arial" w:cs="Arial"/>
          <w:sz w:val="20"/>
          <w:szCs w:val="20"/>
        </w:rPr>
        <w:t>, C., &amp; Adam, F. (2010). DSS requirements to support the regulated decision-making process of public procurement. Journal of Decision Systems, 19(4), 439–464. https://doi.org/10.3166/jds.19.439-464</w:t>
      </w:r>
    </w:p>
    <w:p w14:paraId="033E0B9B"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Forssberg</w:t>
      </w:r>
      <w:proofErr w:type="spellEnd"/>
      <w:r w:rsidRPr="00574B9E">
        <w:rPr>
          <w:rFonts w:ascii="Arial" w:hAnsi="Arial" w:cs="Arial"/>
          <w:sz w:val="20"/>
          <w:szCs w:val="20"/>
        </w:rPr>
        <w:t xml:space="preserve">, L., &amp; </w:t>
      </w:r>
      <w:proofErr w:type="spellStart"/>
      <w:r w:rsidRPr="00574B9E">
        <w:rPr>
          <w:rFonts w:ascii="Arial" w:hAnsi="Arial" w:cs="Arial"/>
          <w:sz w:val="20"/>
          <w:szCs w:val="20"/>
        </w:rPr>
        <w:t>Erdmark</w:t>
      </w:r>
      <w:proofErr w:type="spellEnd"/>
      <w:r w:rsidRPr="00574B9E">
        <w:rPr>
          <w:rFonts w:ascii="Arial" w:hAnsi="Arial" w:cs="Arial"/>
          <w:sz w:val="20"/>
          <w:szCs w:val="20"/>
        </w:rPr>
        <w:t xml:space="preserve">, A. (2018). Intuition - the inevitable side to decision making: A study of the public procurement process. Industrial and Management Engineering, master’s Level 2018 </w:t>
      </w:r>
      <w:proofErr w:type="spellStart"/>
      <w:r w:rsidRPr="00574B9E">
        <w:rPr>
          <w:rFonts w:ascii="Arial" w:hAnsi="Arial" w:cs="Arial"/>
          <w:sz w:val="20"/>
          <w:szCs w:val="20"/>
        </w:rPr>
        <w:t>Luleå</w:t>
      </w:r>
      <w:proofErr w:type="spellEnd"/>
      <w:r w:rsidRPr="00574B9E">
        <w:rPr>
          <w:rFonts w:ascii="Arial" w:hAnsi="Arial" w:cs="Arial"/>
          <w:sz w:val="20"/>
          <w:szCs w:val="20"/>
        </w:rPr>
        <w:t xml:space="preserve"> University of Technology Department of Business Administration, Technology and Social Sciences. http://ltu.diva-portal.org/smash/record.jsf?pid=diva2:1215217</w:t>
      </w:r>
    </w:p>
    <w:p w14:paraId="7E4FFBEB"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Komakech</w:t>
      </w:r>
      <w:proofErr w:type="spellEnd"/>
      <w:r w:rsidRPr="00574B9E">
        <w:rPr>
          <w:rFonts w:ascii="Arial" w:hAnsi="Arial" w:cs="Arial"/>
          <w:sz w:val="20"/>
          <w:szCs w:val="20"/>
        </w:rPr>
        <w:t>, R. A. (2016a). Public procurement in developing countries: Objectives, principles and required professional skills. Public Policy and Administration Research, 6(8), 20–29. https://www.iiste.org/Journals/index.php/PPAR/article/download/32151/33039</w:t>
      </w:r>
    </w:p>
    <w:p w14:paraId="5D805292"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lastRenderedPageBreak/>
        <w:t>Komakech</w:t>
      </w:r>
      <w:proofErr w:type="spellEnd"/>
      <w:r w:rsidRPr="00574B9E">
        <w:rPr>
          <w:rFonts w:ascii="Arial" w:hAnsi="Arial" w:cs="Arial"/>
          <w:sz w:val="20"/>
          <w:szCs w:val="20"/>
        </w:rPr>
        <w:t>, R. A. (2016b). Public procurement in developing countries: Objectives, principles and required professional skills. Public Policy and Administration Research, 6(8), 20–29. https://www.iiste.org/Journals/index.php/PPAR/article/download/32151/33039</w:t>
      </w:r>
    </w:p>
    <w:p w14:paraId="1EEC80A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Marino, G. (2023). International Negotiation Techniques and communication for the sale Contract: a special reference to the United Arab Emirates &amp;</w:t>
      </w:r>
      <w:proofErr w:type="spellStart"/>
      <w:proofErr w:type="gramStart"/>
      <w:r w:rsidRPr="00574B9E">
        <w:rPr>
          <w:rFonts w:ascii="Arial" w:hAnsi="Arial" w:cs="Arial"/>
          <w:sz w:val="20"/>
          <w:szCs w:val="20"/>
        </w:rPr>
        <w:t>amp;amp</w:t>
      </w:r>
      <w:proofErr w:type="spellEnd"/>
      <w:proofErr w:type="gramEnd"/>
      <w:r w:rsidRPr="00574B9E">
        <w:rPr>
          <w:rFonts w:ascii="Arial" w:hAnsi="Arial" w:cs="Arial"/>
          <w:sz w:val="20"/>
          <w:szCs w:val="20"/>
        </w:rPr>
        <w:t>; India. https://iccwbo.org/. https://doi.org/10.33774/coe-2023-0bf2f</w:t>
      </w:r>
    </w:p>
    <w:p w14:paraId="721184A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Procurement management for works | ITCILO. (n.d.). https://www.itcilo.org/it/courses/certification-programme-procurement-management-works</w:t>
      </w:r>
    </w:p>
    <w:p w14:paraId="251AD4A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PUBLIC PROCUREMENT IN INTERNATIONAL TRADE (October/ 2012). (2012). https://doi.org/10.2861/31371</w:t>
      </w:r>
    </w:p>
    <w:p w14:paraId="115D10B8"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Ruttoh</w:t>
      </w:r>
      <w:proofErr w:type="spellEnd"/>
      <w:r w:rsidRPr="00574B9E">
        <w:rPr>
          <w:rFonts w:ascii="Arial" w:hAnsi="Arial" w:cs="Arial"/>
          <w:sz w:val="20"/>
          <w:szCs w:val="20"/>
        </w:rPr>
        <w:t xml:space="preserve">, V., &amp; </w:t>
      </w:r>
      <w:proofErr w:type="spellStart"/>
      <w:r w:rsidRPr="00574B9E">
        <w:rPr>
          <w:rFonts w:ascii="Arial" w:hAnsi="Arial" w:cs="Arial"/>
          <w:sz w:val="20"/>
          <w:szCs w:val="20"/>
        </w:rPr>
        <w:t>Waruguru</w:t>
      </w:r>
      <w:proofErr w:type="spellEnd"/>
      <w:r w:rsidRPr="00574B9E">
        <w:rPr>
          <w:rFonts w:ascii="Arial" w:hAnsi="Arial" w:cs="Arial"/>
          <w:sz w:val="20"/>
          <w:szCs w:val="20"/>
        </w:rPr>
        <w:t>, M. (2022). Assessment of the social dimension of sustainable procurement management adoption in large commercial banks in Kenya. The International Journal of Business and Management. https://doi.org/10.24940/theijbm/2022/v10/i10/bm2210-031</w:t>
      </w:r>
    </w:p>
    <w:p w14:paraId="3A571499"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Siyal</w:t>
      </w:r>
      <w:proofErr w:type="spellEnd"/>
      <w:r w:rsidRPr="00574B9E">
        <w:rPr>
          <w:rFonts w:ascii="Arial" w:hAnsi="Arial" w:cs="Arial"/>
          <w:sz w:val="20"/>
          <w:szCs w:val="20"/>
        </w:rPr>
        <w:t>, S., &amp; Xin, C. (2019). Public procurement. In Springer eBooks (pp. 1–8). https://doi.org/10.1007/978-3-319-31816-5_344-1</w:t>
      </w:r>
    </w:p>
    <w:p w14:paraId="39BDFC7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Thompson, M. K., Moroni, G., </w:t>
      </w:r>
      <w:proofErr w:type="spellStart"/>
      <w:r w:rsidRPr="00574B9E">
        <w:rPr>
          <w:rFonts w:ascii="Arial" w:hAnsi="Arial" w:cs="Arial"/>
          <w:sz w:val="20"/>
          <w:szCs w:val="20"/>
        </w:rPr>
        <w:t>Vaneker</w:t>
      </w:r>
      <w:proofErr w:type="spellEnd"/>
      <w:r w:rsidRPr="00574B9E">
        <w:rPr>
          <w:rFonts w:ascii="Arial" w:hAnsi="Arial" w:cs="Arial"/>
          <w:sz w:val="20"/>
          <w:szCs w:val="20"/>
        </w:rPr>
        <w:t>, T. H., Fadel, G., Campbell, R., Gibson, I., Bernard, A., Schulz, J., Graf, P., Ahuja, B., &amp; Martina, F. (2016). Design for Additive Manufacturing: Trends, opportunities, considerations, and constraints. CIRP Annals, 65(2), 737–760. https://doi.org/10.1016/j.cirp.2016.05.004</w:t>
      </w:r>
    </w:p>
    <w:p w14:paraId="488A19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Values and Guiding Principles of Public Procurement | NIGP. (n.d.). https://www.nigp.org/our-profession/values-and-guiding-principles-of-public-procurement</w:t>
      </w:r>
      <w:bookmarkStart w:id="26" w:name="_GoBack"/>
      <w:bookmarkEnd w:id="26"/>
    </w:p>
    <w:p w14:paraId="750B8689" w14:textId="77777777" w:rsidR="001B66FE" w:rsidRPr="00574B9E" w:rsidRDefault="001B66FE" w:rsidP="00B240C0">
      <w:pPr>
        <w:spacing w:line="360" w:lineRule="auto"/>
        <w:jc w:val="both"/>
        <w:rPr>
          <w:rFonts w:ascii="Arial" w:hAnsi="Arial" w:cs="Arial"/>
          <w:sz w:val="20"/>
          <w:szCs w:val="20"/>
        </w:rPr>
      </w:pPr>
    </w:p>
    <w:p w14:paraId="56352C28" w14:textId="77777777" w:rsidR="001B66FE" w:rsidRPr="00574B9E" w:rsidRDefault="001B66FE" w:rsidP="00B240C0">
      <w:pPr>
        <w:spacing w:line="360" w:lineRule="auto"/>
        <w:jc w:val="both"/>
        <w:rPr>
          <w:rFonts w:ascii="Arial" w:hAnsi="Arial" w:cs="Arial"/>
          <w:sz w:val="20"/>
          <w:szCs w:val="20"/>
        </w:rPr>
      </w:pPr>
    </w:p>
    <w:p w14:paraId="50EBD412" w14:textId="77777777" w:rsidR="001B66FE" w:rsidRPr="00574B9E" w:rsidRDefault="001B66FE" w:rsidP="00B240C0">
      <w:pPr>
        <w:spacing w:line="360" w:lineRule="auto"/>
        <w:jc w:val="both"/>
        <w:rPr>
          <w:rFonts w:ascii="Arial" w:hAnsi="Arial" w:cs="Arial"/>
          <w:sz w:val="20"/>
          <w:szCs w:val="20"/>
        </w:rPr>
      </w:pPr>
    </w:p>
    <w:p w14:paraId="023392B4" w14:textId="77777777" w:rsidR="001B66FE" w:rsidRPr="00574B9E" w:rsidRDefault="00127807" w:rsidP="00B240C0">
      <w:pPr>
        <w:spacing w:line="360" w:lineRule="auto"/>
        <w:jc w:val="both"/>
        <w:rPr>
          <w:rFonts w:ascii="Arial" w:hAnsi="Arial" w:cs="Arial"/>
          <w:sz w:val="20"/>
          <w:szCs w:val="20"/>
        </w:rPr>
      </w:pPr>
      <w:r>
        <w:rPr>
          <w:rStyle w:val="ae"/>
        </w:rPr>
        <w:commentReference w:id="27"/>
      </w:r>
    </w:p>
    <w:p w14:paraId="0F8FC6E8" w14:textId="77777777" w:rsidR="001B66FE" w:rsidRPr="00574B9E" w:rsidRDefault="001B66FE" w:rsidP="00B240C0">
      <w:pPr>
        <w:spacing w:line="360" w:lineRule="auto"/>
        <w:jc w:val="both"/>
        <w:rPr>
          <w:rFonts w:ascii="Arial" w:hAnsi="Arial" w:cs="Arial"/>
          <w:sz w:val="20"/>
          <w:szCs w:val="20"/>
        </w:rPr>
      </w:pPr>
    </w:p>
    <w:p w14:paraId="19CE58A6" w14:textId="77777777" w:rsidR="001B66FE" w:rsidRPr="00574B9E" w:rsidRDefault="001B66FE" w:rsidP="00B240C0">
      <w:pPr>
        <w:spacing w:line="360" w:lineRule="auto"/>
        <w:jc w:val="both"/>
        <w:rPr>
          <w:rFonts w:ascii="Arial" w:hAnsi="Arial" w:cs="Arial"/>
          <w:sz w:val="20"/>
          <w:szCs w:val="20"/>
        </w:rPr>
      </w:pPr>
    </w:p>
    <w:p w14:paraId="1C2BA2C9" w14:textId="77777777" w:rsidR="00725B40" w:rsidRPr="00574B9E" w:rsidRDefault="00725B40" w:rsidP="00B240C0">
      <w:pPr>
        <w:spacing w:line="360" w:lineRule="auto"/>
        <w:jc w:val="both"/>
        <w:rPr>
          <w:rFonts w:ascii="Arial" w:hAnsi="Arial" w:cs="Arial"/>
          <w:sz w:val="20"/>
          <w:szCs w:val="20"/>
        </w:rPr>
      </w:pPr>
    </w:p>
    <w:sectPr w:rsidR="00725B40" w:rsidRPr="00574B9E" w:rsidSect="001B66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amprinidis Lampros" w:date="2025-03-19T09:56:00Z" w:initials="LL">
    <w:p w14:paraId="6A905937" w14:textId="29A945B6" w:rsidR="00127807" w:rsidRDefault="00127807">
      <w:pPr>
        <w:pStyle w:val="af"/>
      </w:pPr>
      <w:r>
        <w:rPr>
          <w:rStyle w:val="ae"/>
        </w:rPr>
        <w:annotationRef/>
      </w:r>
      <w:r>
        <w:t xml:space="preserve">Should </w:t>
      </w:r>
    </w:p>
  </w:comment>
  <w:comment w:id="2" w:author="Lamprinidis Lampros" w:date="2025-03-19T09:57:00Z" w:initials="LL">
    <w:p w14:paraId="6FA524D6" w14:textId="3E62AD1E" w:rsidR="00127807" w:rsidRDefault="00127807">
      <w:pPr>
        <w:pStyle w:val="af"/>
      </w:pPr>
      <w:r>
        <w:rPr>
          <w:rStyle w:val="ae"/>
        </w:rPr>
        <w:annotationRef/>
      </w:r>
      <w:r>
        <w:t>Should be a reference of the name of the author, his or her title (for example PhD Candidate), the School / University and contact details</w:t>
      </w:r>
    </w:p>
  </w:comment>
  <w:comment w:id="1" w:author="Lamprinidis Lampros" w:date="2025-03-19T09:56:00Z" w:initials="LL">
    <w:p w14:paraId="0010C90B" w14:textId="1EFD6E49" w:rsidR="00127807" w:rsidRDefault="00127807">
      <w:pPr>
        <w:pStyle w:val="af"/>
      </w:pPr>
      <w:r>
        <w:rPr>
          <w:rStyle w:val="ae"/>
        </w:rPr>
        <w:annotationRef/>
      </w:r>
    </w:p>
  </w:comment>
  <w:comment w:id="4" w:author="Lamprinidis Lampros" w:date="2025-03-19T09:37:00Z" w:initials="LL">
    <w:p w14:paraId="5774FA5B" w14:textId="56E2F3C3" w:rsidR="00566259" w:rsidRDefault="00566259">
      <w:pPr>
        <w:pStyle w:val="af"/>
      </w:pPr>
      <w:r>
        <w:rPr>
          <w:rStyle w:val="ae"/>
        </w:rPr>
        <w:annotationRef/>
      </w:r>
      <w:r>
        <w:t>There is also Directive 2014/24 of EU</w:t>
      </w:r>
    </w:p>
  </w:comment>
  <w:comment w:id="27" w:author="Lamprinidis Lampros" w:date="2025-03-19T09:58:00Z" w:initials="LL">
    <w:p w14:paraId="6A981F14" w14:textId="1372CCE8" w:rsidR="00127807" w:rsidRPr="009E0DFF" w:rsidRDefault="00127807">
      <w:pPr>
        <w:pStyle w:val="af"/>
      </w:pPr>
      <w:r>
        <w:rPr>
          <w:rStyle w:val="ae"/>
        </w:rPr>
        <w:annotationRef/>
      </w:r>
      <w:r>
        <w:t xml:space="preserve">In general, it is a good article with many </w:t>
      </w:r>
      <w:proofErr w:type="spellStart"/>
      <w:r>
        <w:t>informations</w:t>
      </w:r>
      <w:proofErr w:type="spellEnd"/>
      <w:r>
        <w:t xml:space="preserve"> and explanations about tendering in</w:t>
      </w:r>
      <w:r w:rsidR="009E0DFF">
        <w:t xml:space="preserve"> </w:t>
      </w:r>
      <w:r w:rsidR="009E0DFF" w:rsidRPr="00574B9E">
        <w:rPr>
          <w:rFonts w:ascii="Arial" w:eastAsia="Times New Roman" w:hAnsi="Arial" w:cs="Arial"/>
          <w:b/>
        </w:rPr>
        <w:t>Somaliland</w:t>
      </w:r>
      <w:r w:rsidR="009E0DFF">
        <w:rPr>
          <w:rStyle w:val="ae"/>
        </w:rPr>
        <w:annotationRef/>
      </w:r>
      <w:r w:rsidR="009E0DFF">
        <w:rPr>
          <w:rFonts w:ascii="Arial" w:eastAsia="Times New Roman" w:hAnsi="Arial" w:cs="Arial"/>
          <w:b/>
        </w:rPr>
        <w:t xml:space="preserve">. </w:t>
      </w:r>
      <w:r w:rsidR="009E0DFF">
        <w:rPr>
          <w:rFonts w:ascii="Arial" w:eastAsia="Times New Roman" w:hAnsi="Arial" w:cs="Arial"/>
        </w:rPr>
        <w:t>The use of English Language is very good and the explanations of the Research with the help of the Tables are more than helpful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905937" w15:done="1"/>
  <w15:commentEx w15:paraId="6FA524D6" w15:done="0"/>
  <w15:commentEx w15:paraId="0010C90B" w15:done="1"/>
  <w15:commentEx w15:paraId="5774FA5B" w15:done="0"/>
  <w15:commentEx w15:paraId="6A981F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905937" w16cid:durableId="2B85133A"/>
  <w16cid:commentId w16cid:paraId="6FA524D6" w16cid:durableId="2B851371"/>
  <w16cid:commentId w16cid:paraId="0010C90B" w16cid:durableId="2B851361"/>
  <w16cid:commentId w16cid:paraId="5774FA5B" w16cid:durableId="2B850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F98B" w14:textId="77777777" w:rsidR="00866A7B" w:rsidRDefault="00866A7B">
      <w:pPr>
        <w:spacing w:after="0" w:line="240" w:lineRule="auto"/>
      </w:pPr>
      <w:r>
        <w:separator/>
      </w:r>
    </w:p>
  </w:endnote>
  <w:endnote w:type="continuationSeparator" w:id="0">
    <w:p w14:paraId="10F20B79" w14:textId="77777777" w:rsidR="00866A7B" w:rsidRDefault="0086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1F4A" w14:textId="77777777" w:rsidR="00A61E00" w:rsidRDefault="00A61E0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882401"/>
      <w:docPartObj>
        <w:docPartGallery w:val="Page Numbers (Bottom of Page)"/>
        <w:docPartUnique/>
      </w:docPartObj>
    </w:sdtPr>
    <w:sdtEndPr>
      <w:rPr>
        <w:noProof/>
      </w:rPr>
    </w:sdtEndPr>
    <w:sdtContent>
      <w:p w14:paraId="4A4EBAA4" w14:textId="77777777" w:rsidR="005B7F32" w:rsidRDefault="000D127A">
        <w:pPr>
          <w:pStyle w:val="ad"/>
        </w:pPr>
        <w:r>
          <w:fldChar w:fldCharType="begin"/>
        </w:r>
        <w:r>
          <w:instrText xml:space="preserve"> PAGE   \* MERGEFORMAT </w:instrText>
        </w:r>
        <w:r>
          <w:fldChar w:fldCharType="separate"/>
        </w:r>
        <w:r>
          <w:rPr>
            <w:noProof/>
          </w:rPr>
          <w:t>2</w:t>
        </w:r>
        <w:r>
          <w:rPr>
            <w:noProof/>
          </w:rPr>
          <w:fldChar w:fldCharType="end"/>
        </w:r>
      </w:p>
    </w:sdtContent>
  </w:sdt>
  <w:p w14:paraId="495B03D6" w14:textId="77777777" w:rsidR="005B7F32" w:rsidRDefault="005B7F3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8629" w14:textId="77777777" w:rsidR="00A61E00" w:rsidRDefault="00A61E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A297D" w14:textId="77777777" w:rsidR="00866A7B" w:rsidRDefault="00866A7B">
      <w:pPr>
        <w:spacing w:after="0" w:line="240" w:lineRule="auto"/>
      </w:pPr>
      <w:r>
        <w:separator/>
      </w:r>
    </w:p>
  </w:footnote>
  <w:footnote w:type="continuationSeparator" w:id="0">
    <w:p w14:paraId="164BD2B8" w14:textId="77777777" w:rsidR="00866A7B" w:rsidRDefault="0086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6CB8" w14:textId="16CD6CFF" w:rsidR="00A61E00" w:rsidRDefault="00866A7B">
    <w:pPr>
      <w:pStyle w:val="ac"/>
    </w:pPr>
    <w:r>
      <w:rPr>
        <w:noProof/>
      </w:rPr>
      <w:pict w14:anchorId="0F1E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9C3A" w14:textId="477478FD" w:rsidR="00A61E00" w:rsidRDefault="00866A7B">
    <w:pPr>
      <w:pStyle w:val="ac"/>
    </w:pPr>
    <w:r>
      <w:rPr>
        <w:noProof/>
      </w:rPr>
      <w:pict w14:anchorId="60CD8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D088" w14:textId="6C8DEFE5" w:rsidR="00A61E00" w:rsidRDefault="00866A7B">
    <w:pPr>
      <w:pStyle w:val="ac"/>
    </w:pPr>
    <w:r>
      <w:rPr>
        <w:noProof/>
      </w:rPr>
      <w:pict w14:anchorId="29E5B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97D47"/>
    <w:multiLevelType w:val="multilevel"/>
    <w:tmpl w:val="B388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mprinidis Lampros">
    <w15:presenceInfo w15:providerId="AD" w15:userId="S-1-5-21-2965477428-4007506893-3402984382-15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FE"/>
    <w:rsid w:val="000045C0"/>
    <w:rsid w:val="00052ABD"/>
    <w:rsid w:val="00057C35"/>
    <w:rsid w:val="000D127A"/>
    <w:rsid w:val="001042EA"/>
    <w:rsid w:val="00127807"/>
    <w:rsid w:val="0014244A"/>
    <w:rsid w:val="00152718"/>
    <w:rsid w:val="00152903"/>
    <w:rsid w:val="00154A4E"/>
    <w:rsid w:val="00155FCF"/>
    <w:rsid w:val="001824E6"/>
    <w:rsid w:val="001B66FE"/>
    <w:rsid w:val="001F2C7D"/>
    <w:rsid w:val="001F3A37"/>
    <w:rsid w:val="00295452"/>
    <w:rsid w:val="003925C4"/>
    <w:rsid w:val="003B18C0"/>
    <w:rsid w:val="003D5745"/>
    <w:rsid w:val="00444FC2"/>
    <w:rsid w:val="00490771"/>
    <w:rsid w:val="004A476D"/>
    <w:rsid w:val="004B0101"/>
    <w:rsid w:val="004E1BD7"/>
    <w:rsid w:val="00511F32"/>
    <w:rsid w:val="0052047A"/>
    <w:rsid w:val="00526F3B"/>
    <w:rsid w:val="00562839"/>
    <w:rsid w:val="00566259"/>
    <w:rsid w:val="00574B9E"/>
    <w:rsid w:val="00576B21"/>
    <w:rsid w:val="005833AA"/>
    <w:rsid w:val="005A1175"/>
    <w:rsid w:val="005B751D"/>
    <w:rsid w:val="005B7F32"/>
    <w:rsid w:val="00661FAC"/>
    <w:rsid w:val="006878E8"/>
    <w:rsid w:val="00701381"/>
    <w:rsid w:val="00725B40"/>
    <w:rsid w:val="0073592F"/>
    <w:rsid w:val="00747147"/>
    <w:rsid w:val="00772004"/>
    <w:rsid w:val="007B0297"/>
    <w:rsid w:val="007D186A"/>
    <w:rsid w:val="008167DC"/>
    <w:rsid w:val="008218A7"/>
    <w:rsid w:val="008666F3"/>
    <w:rsid w:val="00866A7B"/>
    <w:rsid w:val="00881C3E"/>
    <w:rsid w:val="009060DF"/>
    <w:rsid w:val="00962684"/>
    <w:rsid w:val="00980A6D"/>
    <w:rsid w:val="00986A97"/>
    <w:rsid w:val="009E0DFF"/>
    <w:rsid w:val="009E1187"/>
    <w:rsid w:val="00A35EB2"/>
    <w:rsid w:val="00A436CD"/>
    <w:rsid w:val="00A47FDD"/>
    <w:rsid w:val="00A566D0"/>
    <w:rsid w:val="00A61E00"/>
    <w:rsid w:val="00B240C0"/>
    <w:rsid w:val="00BD50EA"/>
    <w:rsid w:val="00D36ED8"/>
    <w:rsid w:val="00DC6219"/>
    <w:rsid w:val="00E37E33"/>
    <w:rsid w:val="00E81002"/>
    <w:rsid w:val="00EC6C21"/>
    <w:rsid w:val="00FA0376"/>
    <w:rsid w:val="00FC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484D3"/>
  <w15:chartTrackingRefBased/>
  <w15:docId w15:val="{D63BDA22-9A99-4F20-96D6-3B9F1583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6FE"/>
    <w:rPr>
      <w:rFonts w:eastAsiaTheme="minorEastAsia"/>
    </w:rPr>
  </w:style>
  <w:style w:type="paragraph" w:styleId="1">
    <w:name w:val="heading 1"/>
    <w:basedOn w:val="a"/>
    <w:next w:val="a"/>
    <w:link w:val="1Char"/>
    <w:uiPriority w:val="9"/>
    <w:qFormat/>
    <w:rsid w:val="001B6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1B6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1B66F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B66F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B66F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B66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unhideWhenUsed/>
    <w:qFormat/>
    <w:rsid w:val="001B66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B66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B66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1B66F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rsid w:val="001B66F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1B66F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B66F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B66F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B66FE"/>
    <w:rPr>
      <w:rFonts w:eastAsiaTheme="majorEastAsia" w:cstheme="majorBidi"/>
      <w:i/>
      <w:iCs/>
      <w:color w:val="595959" w:themeColor="text1" w:themeTint="A6"/>
    </w:rPr>
  </w:style>
  <w:style w:type="character" w:customStyle="1" w:styleId="7Char">
    <w:name w:val="Επικεφαλίδα 7 Char"/>
    <w:basedOn w:val="a0"/>
    <w:link w:val="7"/>
    <w:uiPriority w:val="9"/>
    <w:rsid w:val="001B66F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B66F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B66FE"/>
    <w:rPr>
      <w:rFonts w:eastAsiaTheme="majorEastAsia" w:cstheme="majorBidi"/>
      <w:color w:val="272727" w:themeColor="text1" w:themeTint="D8"/>
    </w:rPr>
  </w:style>
  <w:style w:type="paragraph" w:styleId="a3">
    <w:name w:val="Title"/>
    <w:basedOn w:val="a"/>
    <w:next w:val="a"/>
    <w:link w:val="Char"/>
    <w:uiPriority w:val="10"/>
    <w:qFormat/>
    <w:rsid w:val="001B6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B66F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66F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B66F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B66FE"/>
    <w:pPr>
      <w:spacing w:before="160"/>
      <w:jc w:val="center"/>
    </w:pPr>
    <w:rPr>
      <w:i/>
      <w:iCs/>
      <w:color w:val="404040" w:themeColor="text1" w:themeTint="BF"/>
    </w:rPr>
  </w:style>
  <w:style w:type="character" w:customStyle="1" w:styleId="Char1">
    <w:name w:val="Απόσπασμα Char"/>
    <w:basedOn w:val="a0"/>
    <w:link w:val="a5"/>
    <w:uiPriority w:val="29"/>
    <w:rsid w:val="001B66FE"/>
    <w:rPr>
      <w:i/>
      <w:iCs/>
      <w:color w:val="404040" w:themeColor="text1" w:themeTint="BF"/>
    </w:rPr>
  </w:style>
  <w:style w:type="paragraph" w:styleId="a6">
    <w:name w:val="List Paragraph"/>
    <w:basedOn w:val="a"/>
    <w:qFormat/>
    <w:rsid w:val="001B66FE"/>
    <w:pPr>
      <w:ind w:left="720"/>
      <w:contextualSpacing/>
    </w:pPr>
  </w:style>
  <w:style w:type="character" w:styleId="a7">
    <w:name w:val="Intense Emphasis"/>
    <w:basedOn w:val="a0"/>
    <w:uiPriority w:val="21"/>
    <w:qFormat/>
    <w:rsid w:val="001B66FE"/>
    <w:rPr>
      <w:i/>
      <w:iCs/>
      <w:color w:val="2F5496" w:themeColor="accent1" w:themeShade="BF"/>
    </w:rPr>
  </w:style>
  <w:style w:type="paragraph" w:styleId="a8">
    <w:name w:val="Intense Quote"/>
    <w:basedOn w:val="a"/>
    <w:next w:val="a"/>
    <w:link w:val="Char2"/>
    <w:uiPriority w:val="30"/>
    <w:qFormat/>
    <w:rsid w:val="001B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B66FE"/>
    <w:rPr>
      <w:i/>
      <w:iCs/>
      <w:color w:val="2F5496" w:themeColor="accent1" w:themeShade="BF"/>
    </w:rPr>
  </w:style>
  <w:style w:type="character" w:styleId="a9">
    <w:name w:val="Intense Reference"/>
    <w:basedOn w:val="a0"/>
    <w:uiPriority w:val="32"/>
    <w:qFormat/>
    <w:rsid w:val="001B66FE"/>
    <w:rPr>
      <w:b/>
      <w:bCs/>
      <w:smallCaps/>
      <w:color w:val="2F5496" w:themeColor="accent1" w:themeShade="BF"/>
      <w:spacing w:val="5"/>
    </w:rPr>
  </w:style>
  <w:style w:type="paragraph" w:styleId="aa">
    <w:name w:val="Body Text"/>
    <w:basedOn w:val="a"/>
    <w:link w:val="Char3"/>
    <w:uiPriority w:val="1"/>
    <w:unhideWhenUsed/>
    <w:qFormat/>
    <w:rsid w:val="001B66FE"/>
    <w:pPr>
      <w:spacing w:after="120"/>
    </w:pPr>
    <w:rPr>
      <w:rFonts w:eastAsiaTheme="minorHAnsi"/>
    </w:rPr>
  </w:style>
  <w:style w:type="character" w:customStyle="1" w:styleId="Char3">
    <w:name w:val="Σώμα κειμένου Char"/>
    <w:basedOn w:val="a0"/>
    <w:link w:val="aa"/>
    <w:uiPriority w:val="1"/>
    <w:rsid w:val="001B66FE"/>
  </w:style>
  <w:style w:type="paragraph" w:styleId="ab">
    <w:name w:val="Bibliography"/>
    <w:basedOn w:val="a"/>
    <w:next w:val="a"/>
    <w:uiPriority w:val="37"/>
    <w:unhideWhenUsed/>
    <w:rsid w:val="001B66FE"/>
    <w:pPr>
      <w:spacing w:after="200" w:line="276" w:lineRule="auto"/>
    </w:pPr>
    <w:rPr>
      <w:rFonts w:eastAsiaTheme="minorHAnsi"/>
    </w:rPr>
  </w:style>
  <w:style w:type="character" w:customStyle="1" w:styleId="fontstyle01">
    <w:name w:val="fontstyle01"/>
    <w:basedOn w:val="a0"/>
    <w:rsid w:val="001B66FE"/>
    <w:rPr>
      <w:rFonts w:ascii="Garamond" w:hAnsi="Garamond" w:hint="default"/>
      <w:b w:val="0"/>
      <w:bCs w:val="0"/>
      <w:i w:val="0"/>
      <w:iCs w:val="0"/>
      <w:color w:val="000000"/>
      <w:sz w:val="22"/>
      <w:szCs w:val="22"/>
    </w:rPr>
  </w:style>
  <w:style w:type="character" w:customStyle="1" w:styleId="fontstyle21">
    <w:name w:val="fontstyle21"/>
    <w:basedOn w:val="a0"/>
    <w:rsid w:val="001B66FE"/>
    <w:rPr>
      <w:rFonts w:ascii="Garamond" w:hAnsi="Garamond" w:hint="default"/>
      <w:b w:val="0"/>
      <w:bCs w:val="0"/>
      <w:i/>
      <w:iCs/>
      <w:color w:val="000000"/>
      <w:sz w:val="22"/>
      <w:szCs w:val="22"/>
    </w:rPr>
  </w:style>
  <w:style w:type="paragraph" w:styleId="Web">
    <w:name w:val="Normal (Web)"/>
    <w:basedOn w:val="a"/>
    <w:uiPriority w:val="99"/>
    <w:unhideWhenUsed/>
    <w:rsid w:val="001B66F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Char4"/>
    <w:uiPriority w:val="99"/>
    <w:unhideWhenUsed/>
    <w:rsid w:val="001B66FE"/>
    <w:pPr>
      <w:tabs>
        <w:tab w:val="center" w:pos="4680"/>
        <w:tab w:val="right" w:pos="9360"/>
      </w:tabs>
      <w:spacing w:after="0" w:line="240" w:lineRule="auto"/>
    </w:pPr>
  </w:style>
  <w:style w:type="character" w:customStyle="1" w:styleId="Char4">
    <w:name w:val="Κεφαλίδα Char"/>
    <w:basedOn w:val="a0"/>
    <w:link w:val="ac"/>
    <w:uiPriority w:val="99"/>
    <w:rsid w:val="001B66FE"/>
    <w:rPr>
      <w:rFonts w:eastAsiaTheme="minorEastAsia"/>
    </w:rPr>
  </w:style>
  <w:style w:type="paragraph" w:styleId="ad">
    <w:name w:val="footer"/>
    <w:basedOn w:val="a"/>
    <w:link w:val="Char5"/>
    <w:uiPriority w:val="99"/>
    <w:unhideWhenUsed/>
    <w:rsid w:val="001B66FE"/>
    <w:pPr>
      <w:tabs>
        <w:tab w:val="center" w:pos="4680"/>
        <w:tab w:val="right" w:pos="9360"/>
      </w:tabs>
      <w:spacing w:after="0" w:line="240" w:lineRule="auto"/>
    </w:pPr>
  </w:style>
  <w:style w:type="character" w:customStyle="1" w:styleId="Char5">
    <w:name w:val="Υποσέλιδο Char"/>
    <w:basedOn w:val="a0"/>
    <w:link w:val="ad"/>
    <w:uiPriority w:val="99"/>
    <w:rsid w:val="001B66FE"/>
    <w:rPr>
      <w:rFonts w:eastAsiaTheme="minorEastAsia"/>
    </w:rPr>
  </w:style>
  <w:style w:type="character" w:styleId="ae">
    <w:name w:val="annotation reference"/>
    <w:basedOn w:val="a0"/>
    <w:unhideWhenUsed/>
    <w:rsid w:val="001B66FE"/>
    <w:rPr>
      <w:sz w:val="16"/>
      <w:szCs w:val="16"/>
    </w:rPr>
  </w:style>
  <w:style w:type="paragraph" w:styleId="af">
    <w:name w:val="annotation text"/>
    <w:basedOn w:val="a"/>
    <w:link w:val="Char6"/>
    <w:unhideWhenUsed/>
    <w:rsid w:val="001B66FE"/>
    <w:pPr>
      <w:spacing w:line="240" w:lineRule="auto"/>
    </w:pPr>
    <w:rPr>
      <w:sz w:val="20"/>
      <w:szCs w:val="20"/>
    </w:rPr>
  </w:style>
  <w:style w:type="character" w:customStyle="1" w:styleId="Char6">
    <w:name w:val="Κείμενο σχολίου Char"/>
    <w:basedOn w:val="a0"/>
    <w:link w:val="af"/>
    <w:rsid w:val="001B66FE"/>
    <w:rPr>
      <w:rFonts w:eastAsiaTheme="minorEastAsia"/>
      <w:sz w:val="20"/>
      <w:szCs w:val="20"/>
    </w:rPr>
  </w:style>
  <w:style w:type="paragraph" w:styleId="af0">
    <w:name w:val="annotation subject"/>
    <w:basedOn w:val="af"/>
    <w:next w:val="af"/>
    <w:link w:val="Char7"/>
    <w:uiPriority w:val="99"/>
    <w:semiHidden/>
    <w:unhideWhenUsed/>
    <w:rsid w:val="001B66FE"/>
    <w:rPr>
      <w:b/>
      <w:bCs/>
    </w:rPr>
  </w:style>
  <w:style w:type="character" w:customStyle="1" w:styleId="Char7">
    <w:name w:val="Θέμα σχολίου Char"/>
    <w:basedOn w:val="Char6"/>
    <w:link w:val="af0"/>
    <w:uiPriority w:val="99"/>
    <w:semiHidden/>
    <w:rsid w:val="001B66FE"/>
    <w:rPr>
      <w:rFonts w:eastAsiaTheme="minorEastAsia"/>
      <w:b/>
      <w:bCs/>
      <w:sz w:val="20"/>
      <w:szCs w:val="20"/>
    </w:rPr>
  </w:style>
  <w:style w:type="paragraph" w:styleId="af1">
    <w:name w:val="Balloon Text"/>
    <w:basedOn w:val="a"/>
    <w:link w:val="Char8"/>
    <w:uiPriority w:val="99"/>
    <w:semiHidden/>
    <w:unhideWhenUsed/>
    <w:rsid w:val="001B66FE"/>
    <w:pPr>
      <w:spacing w:after="0" w:line="240" w:lineRule="auto"/>
    </w:pPr>
    <w:rPr>
      <w:rFonts w:ascii="Segoe UI" w:hAnsi="Segoe UI" w:cs="Segoe UI"/>
      <w:sz w:val="18"/>
      <w:szCs w:val="18"/>
    </w:rPr>
  </w:style>
  <w:style w:type="character" w:customStyle="1" w:styleId="Char8">
    <w:name w:val="Κείμενο πλαισίου Char"/>
    <w:basedOn w:val="a0"/>
    <w:link w:val="af1"/>
    <w:uiPriority w:val="99"/>
    <w:semiHidden/>
    <w:rsid w:val="001B66FE"/>
    <w:rPr>
      <w:rFonts w:ascii="Segoe UI" w:eastAsiaTheme="minorEastAsia" w:hAnsi="Segoe UI" w:cs="Segoe UI"/>
      <w:sz w:val="18"/>
      <w:szCs w:val="18"/>
    </w:rPr>
  </w:style>
  <w:style w:type="character" w:customStyle="1" w:styleId="selectable">
    <w:name w:val="selectable"/>
    <w:basedOn w:val="a0"/>
    <w:rsid w:val="001B66FE"/>
  </w:style>
  <w:style w:type="character" w:styleId="-">
    <w:name w:val="Hyperlink"/>
    <w:basedOn w:val="a0"/>
    <w:uiPriority w:val="99"/>
    <w:unhideWhenUsed/>
    <w:rsid w:val="001B66FE"/>
    <w:rPr>
      <w:color w:val="0563C1" w:themeColor="hyperlink"/>
      <w:u w:val="single"/>
    </w:rPr>
  </w:style>
  <w:style w:type="table" w:styleId="af2">
    <w:name w:val="Table Grid"/>
    <w:basedOn w:val="a1"/>
    <w:uiPriority w:val="39"/>
    <w:rsid w:val="001B66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B66FE"/>
    <w:pPr>
      <w:autoSpaceDE w:val="0"/>
      <w:autoSpaceDN w:val="0"/>
      <w:adjustRightInd w:val="0"/>
      <w:spacing w:after="0" w:line="240" w:lineRule="auto"/>
    </w:pPr>
    <w:rPr>
      <w:rFonts w:ascii="EB Garamond" w:eastAsiaTheme="minorEastAsia" w:hAnsi="EB Garamond" w:cs="EB Garamond"/>
      <w:color w:val="000000"/>
      <w:sz w:val="24"/>
      <w:szCs w:val="24"/>
      <w:lang w:val="en-GB"/>
    </w:rPr>
  </w:style>
  <w:style w:type="paragraph" w:styleId="af3">
    <w:name w:val="TOC Heading"/>
    <w:basedOn w:val="1"/>
    <w:next w:val="a"/>
    <w:uiPriority w:val="39"/>
    <w:unhideWhenUsed/>
    <w:qFormat/>
    <w:rsid w:val="001B66FE"/>
    <w:pPr>
      <w:spacing w:before="240" w:after="0"/>
      <w:outlineLvl w:val="9"/>
    </w:pPr>
    <w:rPr>
      <w:sz w:val="32"/>
      <w:szCs w:val="32"/>
    </w:rPr>
  </w:style>
  <w:style w:type="paragraph" w:styleId="10">
    <w:name w:val="toc 1"/>
    <w:basedOn w:val="a"/>
    <w:next w:val="a"/>
    <w:autoRedefine/>
    <w:uiPriority w:val="39"/>
    <w:unhideWhenUsed/>
    <w:rsid w:val="001B66FE"/>
    <w:pPr>
      <w:spacing w:after="100"/>
    </w:pPr>
  </w:style>
  <w:style w:type="paragraph" w:styleId="20">
    <w:name w:val="toc 2"/>
    <w:basedOn w:val="a"/>
    <w:next w:val="a"/>
    <w:autoRedefine/>
    <w:uiPriority w:val="39"/>
    <w:unhideWhenUsed/>
    <w:rsid w:val="001B66FE"/>
    <w:pPr>
      <w:spacing w:after="100"/>
      <w:ind w:left="220"/>
    </w:pPr>
  </w:style>
  <w:style w:type="paragraph" w:styleId="30">
    <w:name w:val="toc 3"/>
    <w:basedOn w:val="a"/>
    <w:next w:val="a"/>
    <w:autoRedefine/>
    <w:uiPriority w:val="39"/>
    <w:unhideWhenUsed/>
    <w:rsid w:val="001B66FE"/>
    <w:pPr>
      <w:spacing w:after="100"/>
      <w:ind w:left="440"/>
    </w:pPr>
  </w:style>
  <w:style w:type="character" w:styleId="af4">
    <w:name w:val="Strong"/>
    <w:basedOn w:val="a0"/>
    <w:uiPriority w:val="22"/>
    <w:qFormat/>
    <w:rsid w:val="001B66FE"/>
    <w:rPr>
      <w:b/>
      <w:bCs/>
    </w:rPr>
  </w:style>
  <w:style w:type="paragraph" w:styleId="af5">
    <w:name w:val="Revision"/>
    <w:hidden/>
    <w:uiPriority w:val="99"/>
    <w:semiHidden/>
    <w:rsid w:val="001B66FE"/>
    <w:pPr>
      <w:spacing w:after="0" w:line="240" w:lineRule="auto"/>
    </w:pPr>
    <w:rPr>
      <w:rFonts w:eastAsiaTheme="minorEastAsia"/>
    </w:rPr>
  </w:style>
  <w:style w:type="table" w:styleId="1-1">
    <w:name w:val="Grid Table 1 Light Accent 1"/>
    <w:basedOn w:val="a1"/>
    <w:uiPriority w:val="46"/>
    <w:rsid w:val="001B66FE"/>
    <w:pPr>
      <w:autoSpaceDN w:val="0"/>
      <w:spacing w:after="0" w:line="240" w:lineRule="auto"/>
    </w:pPr>
    <w:rPr>
      <w:rFonts w:ascii="Aptos" w:eastAsia="Aptos" w:hAnsi="Aptos" w:cs="Times New Roman"/>
      <w:kern w:val="3"/>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
    <w:name w:val="TableGrid"/>
    <w:rsid w:val="001B66FE"/>
    <w:pPr>
      <w:spacing w:after="0" w:line="240" w:lineRule="auto"/>
    </w:pPr>
    <w:rPr>
      <w:rFonts w:eastAsiaTheme="minorEastAsia"/>
    </w:rPr>
    <w:tblPr>
      <w:tblCellMar>
        <w:top w:w="0" w:type="dxa"/>
        <w:left w:w="0" w:type="dxa"/>
        <w:bottom w:w="0" w:type="dxa"/>
        <w:right w:w="0" w:type="dxa"/>
      </w:tblCellMar>
    </w:tblPr>
  </w:style>
  <w:style w:type="paragraph" w:styleId="af6">
    <w:name w:val="caption"/>
    <w:basedOn w:val="a"/>
    <w:next w:val="a"/>
    <w:uiPriority w:val="35"/>
    <w:unhideWhenUsed/>
    <w:qFormat/>
    <w:rsid w:val="001B66FE"/>
    <w:pPr>
      <w:spacing w:after="200" w:line="240" w:lineRule="auto"/>
    </w:pPr>
    <w:rPr>
      <w:i/>
      <w:iCs/>
      <w:color w:val="44546A" w:themeColor="text2"/>
      <w:sz w:val="18"/>
      <w:szCs w:val="18"/>
    </w:rPr>
  </w:style>
  <w:style w:type="paragraph" w:styleId="af7">
    <w:name w:val="No Spacing"/>
    <w:uiPriority w:val="1"/>
    <w:qFormat/>
    <w:rsid w:val="001B66FE"/>
    <w:pPr>
      <w:spacing w:after="0" w:line="240" w:lineRule="auto"/>
    </w:pPr>
    <w:rPr>
      <w:rFonts w:eastAsiaTheme="minorEastAsia"/>
    </w:rPr>
  </w:style>
  <w:style w:type="paragraph" w:styleId="af8">
    <w:name w:val="table of figures"/>
    <w:basedOn w:val="a"/>
    <w:next w:val="a"/>
    <w:autoRedefine/>
    <w:uiPriority w:val="99"/>
    <w:unhideWhenUsed/>
    <w:rsid w:val="001B66FE"/>
    <w:pPr>
      <w:spacing w:after="0"/>
    </w:pPr>
    <w:rPr>
      <w:rFonts w:cstheme="minorHAnsi"/>
      <w:i/>
      <w:iCs/>
      <w:sz w:val="20"/>
      <w:szCs w:val="20"/>
    </w:rPr>
  </w:style>
  <w:style w:type="character" w:styleId="af9">
    <w:name w:val="Unresolved Mention"/>
    <w:basedOn w:val="a0"/>
    <w:uiPriority w:val="99"/>
    <w:semiHidden/>
    <w:unhideWhenUsed/>
    <w:rsid w:val="001B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768">
      <w:bodyDiv w:val="1"/>
      <w:marLeft w:val="0"/>
      <w:marRight w:val="0"/>
      <w:marTop w:val="0"/>
      <w:marBottom w:val="0"/>
      <w:divBdr>
        <w:top w:val="none" w:sz="0" w:space="0" w:color="auto"/>
        <w:left w:val="none" w:sz="0" w:space="0" w:color="auto"/>
        <w:bottom w:val="none" w:sz="0" w:space="0" w:color="auto"/>
        <w:right w:val="none" w:sz="0" w:space="0" w:color="auto"/>
      </w:divBdr>
    </w:div>
    <w:div w:id="99377532">
      <w:bodyDiv w:val="1"/>
      <w:marLeft w:val="0"/>
      <w:marRight w:val="0"/>
      <w:marTop w:val="0"/>
      <w:marBottom w:val="0"/>
      <w:divBdr>
        <w:top w:val="none" w:sz="0" w:space="0" w:color="auto"/>
        <w:left w:val="none" w:sz="0" w:space="0" w:color="auto"/>
        <w:bottom w:val="none" w:sz="0" w:space="0" w:color="auto"/>
        <w:right w:val="none" w:sz="0" w:space="0" w:color="auto"/>
      </w:divBdr>
    </w:div>
    <w:div w:id="134420204">
      <w:bodyDiv w:val="1"/>
      <w:marLeft w:val="0"/>
      <w:marRight w:val="0"/>
      <w:marTop w:val="0"/>
      <w:marBottom w:val="0"/>
      <w:divBdr>
        <w:top w:val="none" w:sz="0" w:space="0" w:color="auto"/>
        <w:left w:val="none" w:sz="0" w:space="0" w:color="auto"/>
        <w:bottom w:val="none" w:sz="0" w:space="0" w:color="auto"/>
        <w:right w:val="none" w:sz="0" w:space="0" w:color="auto"/>
      </w:divBdr>
    </w:div>
    <w:div w:id="204950318">
      <w:bodyDiv w:val="1"/>
      <w:marLeft w:val="0"/>
      <w:marRight w:val="0"/>
      <w:marTop w:val="0"/>
      <w:marBottom w:val="0"/>
      <w:divBdr>
        <w:top w:val="none" w:sz="0" w:space="0" w:color="auto"/>
        <w:left w:val="none" w:sz="0" w:space="0" w:color="auto"/>
        <w:bottom w:val="none" w:sz="0" w:space="0" w:color="auto"/>
        <w:right w:val="none" w:sz="0" w:space="0" w:color="auto"/>
      </w:divBdr>
    </w:div>
    <w:div w:id="289213891">
      <w:bodyDiv w:val="1"/>
      <w:marLeft w:val="0"/>
      <w:marRight w:val="0"/>
      <w:marTop w:val="0"/>
      <w:marBottom w:val="0"/>
      <w:divBdr>
        <w:top w:val="none" w:sz="0" w:space="0" w:color="auto"/>
        <w:left w:val="none" w:sz="0" w:space="0" w:color="auto"/>
        <w:bottom w:val="none" w:sz="0" w:space="0" w:color="auto"/>
        <w:right w:val="none" w:sz="0" w:space="0" w:color="auto"/>
      </w:divBdr>
    </w:div>
    <w:div w:id="304286643">
      <w:bodyDiv w:val="1"/>
      <w:marLeft w:val="0"/>
      <w:marRight w:val="0"/>
      <w:marTop w:val="0"/>
      <w:marBottom w:val="0"/>
      <w:divBdr>
        <w:top w:val="none" w:sz="0" w:space="0" w:color="auto"/>
        <w:left w:val="none" w:sz="0" w:space="0" w:color="auto"/>
        <w:bottom w:val="none" w:sz="0" w:space="0" w:color="auto"/>
        <w:right w:val="none" w:sz="0" w:space="0" w:color="auto"/>
      </w:divBdr>
      <w:divsChild>
        <w:div w:id="511647403">
          <w:marLeft w:val="0"/>
          <w:marRight w:val="0"/>
          <w:marTop w:val="0"/>
          <w:marBottom w:val="0"/>
          <w:divBdr>
            <w:top w:val="none" w:sz="0" w:space="0" w:color="auto"/>
            <w:left w:val="none" w:sz="0" w:space="0" w:color="auto"/>
            <w:bottom w:val="none" w:sz="0" w:space="0" w:color="auto"/>
            <w:right w:val="none" w:sz="0" w:space="0" w:color="auto"/>
          </w:divBdr>
          <w:divsChild>
            <w:div w:id="1960607287">
              <w:marLeft w:val="0"/>
              <w:marRight w:val="0"/>
              <w:marTop w:val="0"/>
              <w:marBottom w:val="0"/>
              <w:divBdr>
                <w:top w:val="none" w:sz="0" w:space="0" w:color="auto"/>
                <w:left w:val="none" w:sz="0" w:space="0" w:color="auto"/>
                <w:bottom w:val="none" w:sz="0" w:space="0" w:color="auto"/>
                <w:right w:val="none" w:sz="0" w:space="0" w:color="auto"/>
              </w:divBdr>
            </w:div>
          </w:divsChild>
        </w:div>
        <w:div w:id="804083606">
          <w:marLeft w:val="0"/>
          <w:marRight w:val="0"/>
          <w:marTop w:val="0"/>
          <w:marBottom w:val="0"/>
          <w:divBdr>
            <w:top w:val="none" w:sz="0" w:space="0" w:color="auto"/>
            <w:left w:val="none" w:sz="0" w:space="0" w:color="auto"/>
            <w:bottom w:val="none" w:sz="0" w:space="0" w:color="auto"/>
            <w:right w:val="none" w:sz="0" w:space="0" w:color="auto"/>
          </w:divBdr>
          <w:divsChild>
            <w:div w:id="1963875753">
              <w:marLeft w:val="0"/>
              <w:marRight w:val="0"/>
              <w:marTop w:val="0"/>
              <w:marBottom w:val="0"/>
              <w:divBdr>
                <w:top w:val="none" w:sz="0" w:space="0" w:color="auto"/>
                <w:left w:val="none" w:sz="0" w:space="0" w:color="auto"/>
                <w:bottom w:val="none" w:sz="0" w:space="0" w:color="auto"/>
                <w:right w:val="none" w:sz="0" w:space="0" w:color="auto"/>
              </w:divBdr>
              <w:divsChild>
                <w:div w:id="852258810">
                  <w:marLeft w:val="0"/>
                  <w:marRight w:val="0"/>
                  <w:marTop w:val="0"/>
                  <w:marBottom w:val="0"/>
                  <w:divBdr>
                    <w:top w:val="none" w:sz="0" w:space="0" w:color="auto"/>
                    <w:left w:val="none" w:sz="0" w:space="0" w:color="auto"/>
                    <w:bottom w:val="none" w:sz="0" w:space="0" w:color="auto"/>
                    <w:right w:val="none" w:sz="0" w:space="0" w:color="auto"/>
                  </w:divBdr>
                  <w:divsChild>
                    <w:div w:id="1997996423">
                      <w:marLeft w:val="0"/>
                      <w:marRight w:val="0"/>
                      <w:marTop w:val="0"/>
                      <w:marBottom w:val="0"/>
                      <w:divBdr>
                        <w:top w:val="none" w:sz="0" w:space="0" w:color="auto"/>
                        <w:left w:val="none" w:sz="0" w:space="0" w:color="auto"/>
                        <w:bottom w:val="none" w:sz="0" w:space="0" w:color="auto"/>
                        <w:right w:val="none" w:sz="0" w:space="0" w:color="auto"/>
                      </w:divBdr>
                      <w:divsChild>
                        <w:div w:id="1634092981">
                          <w:marLeft w:val="0"/>
                          <w:marRight w:val="0"/>
                          <w:marTop w:val="0"/>
                          <w:marBottom w:val="0"/>
                          <w:divBdr>
                            <w:top w:val="none" w:sz="0" w:space="0" w:color="auto"/>
                            <w:left w:val="none" w:sz="0" w:space="0" w:color="auto"/>
                            <w:bottom w:val="none" w:sz="0" w:space="0" w:color="auto"/>
                            <w:right w:val="none" w:sz="0" w:space="0" w:color="auto"/>
                          </w:divBdr>
                          <w:divsChild>
                            <w:div w:id="1333216954">
                              <w:marLeft w:val="0"/>
                              <w:marRight w:val="0"/>
                              <w:marTop w:val="0"/>
                              <w:marBottom w:val="0"/>
                              <w:divBdr>
                                <w:top w:val="none" w:sz="0" w:space="0" w:color="auto"/>
                                <w:left w:val="none" w:sz="0" w:space="0" w:color="auto"/>
                                <w:bottom w:val="none" w:sz="0" w:space="0" w:color="auto"/>
                                <w:right w:val="none" w:sz="0" w:space="0" w:color="auto"/>
                              </w:divBdr>
                              <w:divsChild>
                                <w:div w:id="288367323">
                                  <w:marLeft w:val="0"/>
                                  <w:marRight w:val="0"/>
                                  <w:marTop w:val="0"/>
                                  <w:marBottom w:val="0"/>
                                  <w:divBdr>
                                    <w:top w:val="none" w:sz="0" w:space="0" w:color="auto"/>
                                    <w:left w:val="none" w:sz="0" w:space="0" w:color="auto"/>
                                    <w:bottom w:val="none" w:sz="0" w:space="0" w:color="auto"/>
                                    <w:right w:val="none" w:sz="0" w:space="0" w:color="auto"/>
                                  </w:divBdr>
                                  <w:divsChild>
                                    <w:div w:id="272395959">
                                      <w:marLeft w:val="0"/>
                                      <w:marRight w:val="0"/>
                                      <w:marTop w:val="0"/>
                                      <w:marBottom w:val="0"/>
                                      <w:divBdr>
                                        <w:top w:val="none" w:sz="0" w:space="0" w:color="auto"/>
                                        <w:left w:val="none" w:sz="0" w:space="0" w:color="auto"/>
                                        <w:bottom w:val="none" w:sz="0" w:space="0" w:color="auto"/>
                                        <w:right w:val="none" w:sz="0" w:space="0" w:color="auto"/>
                                      </w:divBdr>
                                      <w:divsChild>
                                        <w:div w:id="204800401">
                                          <w:marLeft w:val="0"/>
                                          <w:marRight w:val="0"/>
                                          <w:marTop w:val="0"/>
                                          <w:marBottom w:val="0"/>
                                          <w:divBdr>
                                            <w:top w:val="none" w:sz="0" w:space="0" w:color="auto"/>
                                            <w:left w:val="none" w:sz="0" w:space="0" w:color="auto"/>
                                            <w:bottom w:val="none" w:sz="0" w:space="0" w:color="auto"/>
                                            <w:right w:val="none" w:sz="0" w:space="0" w:color="auto"/>
                                          </w:divBdr>
                                          <w:divsChild>
                                            <w:div w:id="1048146208">
                                              <w:marLeft w:val="0"/>
                                              <w:marRight w:val="0"/>
                                              <w:marTop w:val="0"/>
                                              <w:marBottom w:val="0"/>
                                              <w:divBdr>
                                                <w:top w:val="none" w:sz="0" w:space="0" w:color="auto"/>
                                                <w:left w:val="none" w:sz="0" w:space="0" w:color="auto"/>
                                                <w:bottom w:val="none" w:sz="0" w:space="0" w:color="auto"/>
                                                <w:right w:val="none" w:sz="0" w:space="0" w:color="auto"/>
                                              </w:divBdr>
                                              <w:divsChild>
                                                <w:div w:id="479542148">
                                                  <w:marLeft w:val="0"/>
                                                  <w:marRight w:val="0"/>
                                                  <w:marTop w:val="0"/>
                                                  <w:marBottom w:val="0"/>
                                                  <w:divBdr>
                                                    <w:top w:val="none" w:sz="0" w:space="0" w:color="auto"/>
                                                    <w:left w:val="none" w:sz="0" w:space="0" w:color="auto"/>
                                                    <w:bottom w:val="none" w:sz="0" w:space="0" w:color="auto"/>
                                                    <w:right w:val="none" w:sz="0" w:space="0" w:color="auto"/>
                                                  </w:divBdr>
                                                  <w:divsChild>
                                                    <w:div w:id="1453596093">
                                                      <w:marLeft w:val="0"/>
                                                      <w:marRight w:val="0"/>
                                                      <w:marTop w:val="0"/>
                                                      <w:marBottom w:val="0"/>
                                                      <w:divBdr>
                                                        <w:top w:val="none" w:sz="0" w:space="0" w:color="auto"/>
                                                        <w:left w:val="none" w:sz="0" w:space="0" w:color="auto"/>
                                                        <w:bottom w:val="none" w:sz="0" w:space="0" w:color="auto"/>
                                                        <w:right w:val="none" w:sz="0" w:space="0" w:color="auto"/>
                                                      </w:divBdr>
                                                      <w:divsChild>
                                                        <w:div w:id="1195071957">
                                                          <w:marLeft w:val="0"/>
                                                          <w:marRight w:val="0"/>
                                                          <w:marTop w:val="0"/>
                                                          <w:marBottom w:val="0"/>
                                                          <w:divBdr>
                                                            <w:top w:val="none" w:sz="0" w:space="0" w:color="auto"/>
                                                            <w:left w:val="none" w:sz="0" w:space="0" w:color="auto"/>
                                                            <w:bottom w:val="none" w:sz="0" w:space="0" w:color="auto"/>
                                                            <w:right w:val="none" w:sz="0" w:space="0" w:color="auto"/>
                                                          </w:divBdr>
                                                        </w:div>
                                                      </w:divsChild>
                                                    </w:div>
                                                    <w:div w:id="2055107686">
                                                      <w:marLeft w:val="0"/>
                                                      <w:marRight w:val="0"/>
                                                      <w:marTop w:val="0"/>
                                                      <w:marBottom w:val="0"/>
                                                      <w:divBdr>
                                                        <w:top w:val="none" w:sz="0" w:space="0" w:color="auto"/>
                                                        <w:left w:val="none" w:sz="0" w:space="0" w:color="auto"/>
                                                        <w:bottom w:val="none" w:sz="0" w:space="0" w:color="auto"/>
                                                        <w:right w:val="none" w:sz="0" w:space="0" w:color="auto"/>
                                                      </w:divBdr>
                                                    </w:div>
                                                  </w:divsChild>
                                                </w:div>
                                                <w:div w:id="12315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011034">
      <w:bodyDiv w:val="1"/>
      <w:marLeft w:val="0"/>
      <w:marRight w:val="0"/>
      <w:marTop w:val="0"/>
      <w:marBottom w:val="0"/>
      <w:divBdr>
        <w:top w:val="none" w:sz="0" w:space="0" w:color="auto"/>
        <w:left w:val="none" w:sz="0" w:space="0" w:color="auto"/>
        <w:bottom w:val="none" w:sz="0" w:space="0" w:color="auto"/>
        <w:right w:val="none" w:sz="0" w:space="0" w:color="auto"/>
      </w:divBdr>
    </w:div>
    <w:div w:id="435637590">
      <w:bodyDiv w:val="1"/>
      <w:marLeft w:val="0"/>
      <w:marRight w:val="0"/>
      <w:marTop w:val="0"/>
      <w:marBottom w:val="0"/>
      <w:divBdr>
        <w:top w:val="none" w:sz="0" w:space="0" w:color="auto"/>
        <w:left w:val="none" w:sz="0" w:space="0" w:color="auto"/>
        <w:bottom w:val="none" w:sz="0" w:space="0" w:color="auto"/>
        <w:right w:val="none" w:sz="0" w:space="0" w:color="auto"/>
      </w:divBdr>
    </w:div>
    <w:div w:id="673529789">
      <w:bodyDiv w:val="1"/>
      <w:marLeft w:val="0"/>
      <w:marRight w:val="0"/>
      <w:marTop w:val="0"/>
      <w:marBottom w:val="0"/>
      <w:divBdr>
        <w:top w:val="none" w:sz="0" w:space="0" w:color="auto"/>
        <w:left w:val="none" w:sz="0" w:space="0" w:color="auto"/>
        <w:bottom w:val="none" w:sz="0" w:space="0" w:color="auto"/>
        <w:right w:val="none" w:sz="0" w:space="0" w:color="auto"/>
      </w:divBdr>
    </w:div>
    <w:div w:id="898829663">
      <w:bodyDiv w:val="1"/>
      <w:marLeft w:val="0"/>
      <w:marRight w:val="0"/>
      <w:marTop w:val="0"/>
      <w:marBottom w:val="0"/>
      <w:divBdr>
        <w:top w:val="none" w:sz="0" w:space="0" w:color="auto"/>
        <w:left w:val="none" w:sz="0" w:space="0" w:color="auto"/>
        <w:bottom w:val="none" w:sz="0" w:space="0" w:color="auto"/>
        <w:right w:val="none" w:sz="0" w:space="0" w:color="auto"/>
      </w:divBdr>
    </w:div>
    <w:div w:id="1074400300">
      <w:bodyDiv w:val="1"/>
      <w:marLeft w:val="0"/>
      <w:marRight w:val="0"/>
      <w:marTop w:val="0"/>
      <w:marBottom w:val="0"/>
      <w:divBdr>
        <w:top w:val="none" w:sz="0" w:space="0" w:color="auto"/>
        <w:left w:val="none" w:sz="0" w:space="0" w:color="auto"/>
        <w:bottom w:val="none" w:sz="0" w:space="0" w:color="auto"/>
        <w:right w:val="none" w:sz="0" w:space="0" w:color="auto"/>
      </w:divBdr>
    </w:div>
    <w:div w:id="1160383688">
      <w:bodyDiv w:val="1"/>
      <w:marLeft w:val="0"/>
      <w:marRight w:val="0"/>
      <w:marTop w:val="0"/>
      <w:marBottom w:val="0"/>
      <w:divBdr>
        <w:top w:val="none" w:sz="0" w:space="0" w:color="auto"/>
        <w:left w:val="none" w:sz="0" w:space="0" w:color="auto"/>
        <w:bottom w:val="none" w:sz="0" w:space="0" w:color="auto"/>
        <w:right w:val="none" w:sz="0" w:space="0" w:color="auto"/>
      </w:divBdr>
    </w:div>
    <w:div w:id="1218205893">
      <w:bodyDiv w:val="1"/>
      <w:marLeft w:val="0"/>
      <w:marRight w:val="0"/>
      <w:marTop w:val="0"/>
      <w:marBottom w:val="0"/>
      <w:divBdr>
        <w:top w:val="none" w:sz="0" w:space="0" w:color="auto"/>
        <w:left w:val="none" w:sz="0" w:space="0" w:color="auto"/>
        <w:bottom w:val="none" w:sz="0" w:space="0" w:color="auto"/>
        <w:right w:val="none" w:sz="0" w:space="0" w:color="auto"/>
      </w:divBdr>
    </w:div>
    <w:div w:id="1272977382">
      <w:bodyDiv w:val="1"/>
      <w:marLeft w:val="0"/>
      <w:marRight w:val="0"/>
      <w:marTop w:val="0"/>
      <w:marBottom w:val="0"/>
      <w:divBdr>
        <w:top w:val="none" w:sz="0" w:space="0" w:color="auto"/>
        <w:left w:val="none" w:sz="0" w:space="0" w:color="auto"/>
        <w:bottom w:val="none" w:sz="0" w:space="0" w:color="auto"/>
        <w:right w:val="none" w:sz="0" w:space="0" w:color="auto"/>
      </w:divBdr>
      <w:divsChild>
        <w:div w:id="328606628">
          <w:marLeft w:val="0"/>
          <w:marRight w:val="0"/>
          <w:marTop w:val="0"/>
          <w:marBottom w:val="0"/>
          <w:divBdr>
            <w:top w:val="none" w:sz="0" w:space="0" w:color="auto"/>
            <w:left w:val="none" w:sz="0" w:space="0" w:color="auto"/>
            <w:bottom w:val="none" w:sz="0" w:space="0" w:color="auto"/>
            <w:right w:val="none" w:sz="0" w:space="0" w:color="auto"/>
          </w:divBdr>
          <w:divsChild>
            <w:div w:id="584729829">
              <w:marLeft w:val="0"/>
              <w:marRight w:val="0"/>
              <w:marTop w:val="0"/>
              <w:marBottom w:val="0"/>
              <w:divBdr>
                <w:top w:val="none" w:sz="0" w:space="0" w:color="auto"/>
                <w:left w:val="none" w:sz="0" w:space="0" w:color="auto"/>
                <w:bottom w:val="none" w:sz="0" w:space="0" w:color="auto"/>
                <w:right w:val="none" w:sz="0" w:space="0" w:color="auto"/>
              </w:divBdr>
            </w:div>
          </w:divsChild>
        </w:div>
        <w:div w:id="1769497002">
          <w:marLeft w:val="0"/>
          <w:marRight w:val="0"/>
          <w:marTop w:val="0"/>
          <w:marBottom w:val="0"/>
          <w:divBdr>
            <w:top w:val="none" w:sz="0" w:space="0" w:color="auto"/>
            <w:left w:val="none" w:sz="0" w:space="0" w:color="auto"/>
            <w:bottom w:val="none" w:sz="0" w:space="0" w:color="auto"/>
            <w:right w:val="none" w:sz="0" w:space="0" w:color="auto"/>
          </w:divBdr>
          <w:divsChild>
            <w:div w:id="547642507">
              <w:marLeft w:val="0"/>
              <w:marRight w:val="0"/>
              <w:marTop w:val="0"/>
              <w:marBottom w:val="0"/>
              <w:divBdr>
                <w:top w:val="none" w:sz="0" w:space="0" w:color="auto"/>
                <w:left w:val="none" w:sz="0" w:space="0" w:color="auto"/>
                <w:bottom w:val="none" w:sz="0" w:space="0" w:color="auto"/>
                <w:right w:val="none" w:sz="0" w:space="0" w:color="auto"/>
              </w:divBdr>
              <w:divsChild>
                <w:div w:id="1503201668">
                  <w:marLeft w:val="0"/>
                  <w:marRight w:val="0"/>
                  <w:marTop w:val="0"/>
                  <w:marBottom w:val="0"/>
                  <w:divBdr>
                    <w:top w:val="none" w:sz="0" w:space="0" w:color="auto"/>
                    <w:left w:val="none" w:sz="0" w:space="0" w:color="auto"/>
                    <w:bottom w:val="none" w:sz="0" w:space="0" w:color="auto"/>
                    <w:right w:val="none" w:sz="0" w:space="0" w:color="auto"/>
                  </w:divBdr>
                  <w:divsChild>
                    <w:div w:id="1486125897">
                      <w:marLeft w:val="0"/>
                      <w:marRight w:val="0"/>
                      <w:marTop w:val="0"/>
                      <w:marBottom w:val="0"/>
                      <w:divBdr>
                        <w:top w:val="none" w:sz="0" w:space="0" w:color="auto"/>
                        <w:left w:val="none" w:sz="0" w:space="0" w:color="auto"/>
                        <w:bottom w:val="none" w:sz="0" w:space="0" w:color="auto"/>
                        <w:right w:val="none" w:sz="0" w:space="0" w:color="auto"/>
                      </w:divBdr>
                      <w:divsChild>
                        <w:div w:id="1816602455">
                          <w:marLeft w:val="0"/>
                          <w:marRight w:val="0"/>
                          <w:marTop w:val="0"/>
                          <w:marBottom w:val="0"/>
                          <w:divBdr>
                            <w:top w:val="none" w:sz="0" w:space="0" w:color="auto"/>
                            <w:left w:val="none" w:sz="0" w:space="0" w:color="auto"/>
                            <w:bottom w:val="none" w:sz="0" w:space="0" w:color="auto"/>
                            <w:right w:val="none" w:sz="0" w:space="0" w:color="auto"/>
                          </w:divBdr>
                          <w:divsChild>
                            <w:div w:id="1301614205">
                              <w:marLeft w:val="0"/>
                              <w:marRight w:val="0"/>
                              <w:marTop w:val="0"/>
                              <w:marBottom w:val="0"/>
                              <w:divBdr>
                                <w:top w:val="none" w:sz="0" w:space="0" w:color="auto"/>
                                <w:left w:val="none" w:sz="0" w:space="0" w:color="auto"/>
                                <w:bottom w:val="none" w:sz="0" w:space="0" w:color="auto"/>
                                <w:right w:val="none" w:sz="0" w:space="0" w:color="auto"/>
                              </w:divBdr>
                              <w:divsChild>
                                <w:div w:id="1426531436">
                                  <w:marLeft w:val="0"/>
                                  <w:marRight w:val="0"/>
                                  <w:marTop w:val="0"/>
                                  <w:marBottom w:val="0"/>
                                  <w:divBdr>
                                    <w:top w:val="none" w:sz="0" w:space="0" w:color="auto"/>
                                    <w:left w:val="none" w:sz="0" w:space="0" w:color="auto"/>
                                    <w:bottom w:val="none" w:sz="0" w:space="0" w:color="auto"/>
                                    <w:right w:val="none" w:sz="0" w:space="0" w:color="auto"/>
                                  </w:divBdr>
                                  <w:divsChild>
                                    <w:div w:id="1162351823">
                                      <w:marLeft w:val="0"/>
                                      <w:marRight w:val="0"/>
                                      <w:marTop w:val="0"/>
                                      <w:marBottom w:val="0"/>
                                      <w:divBdr>
                                        <w:top w:val="none" w:sz="0" w:space="0" w:color="auto"/>
                                        <w:left w:val="none" w:sz="0" w:space="0" w:color="auto"/>
                                        <w:bottom w:val="none" w:sz="0" w:space="0" w:color="auto"/>
                                        <w:right w:val="none" w:sz="0" w:space="0" w:color="auto"/>
                                      </w:divBdr>
                                      <w:divsChild>
                                        <w:div w:id="678043258">
                                          <w:marLeft w:val="0"/>
                                          <w:marRight w:val="0"/>
                                          <w:marTop w:val="0"/>
                                          <w:marBottom w:val="0"/>
                                          <w:divBdr>
                                            <w:top w:val="none" w:sz="0" w:space="0" w:color="auto"/>
                                            <w:left w:val="none" w:sz="0" w:space="0" w:color="auto"/>
                                            <w:bottom w:val="none" w:sz="0" w:space="0" w:color="auto"/>
                                            <w:right w:val="none" w:sz="0" w:space="0" w:color="auto"/>
                                          </w:divBdr>
                                          <w:divsChild>
                                            <w:div w:id="1980383087">
                                              <w:marLeft w:val="0"/>
                                              <w:marRight w:val="0"/>
                                              <w:marTop w:val="0"/>
                                              <w:marBottom w:val="0"/>
                                              <w:divBdr>
                                                <w:top w:val="none" w:sz="0" w:space="0" w:color="auto"/>
                                                <w:left w:val="none" w:sz="0" w:space="0" w:color="auto"/>
                                                <w:bottom w:val="none" w:sz="0" w:space="0" w:color="auto"/>
                                                <w:right w:val="none" w:sz="0" w:space="0" w:color="auto"/>
                                              </w:divBdr>
                                              <w:divsChild>
                                                <w:div w:id="568539006">
                                                  <w:marLeft w:val="0"/>
                                                  <w:marRight w:val="0"/>
                                                  <w:marTop w:val="0"/>
                                                  <w:marBottom w:val="0"/>
                                                  <w:divBdr>
                                                    <w:top w:val="none" w:sz="0" w:space="0" w:color="auto"/>
                                                    <w:left w:val="none" w:sz="0" w:space="0" w:color="auto"/>
                                                    <w:bottom w:val="none" w:sz="0" w:space="0" w:color="auto"/>
                                                    <w:right w:val="none" w:sz="0" w:space="0" w:color="auto"/>
                                                  </w:divBdr>
                                                  <w:divsChild>
                                                    <w:div w:id="1117019705">
                                                      <w:marLeft w:val="0"/>
                                                      <w:marRight w:val="0"/>
                                                      <w:marTop w:val="0"/>
                                                      <w:marBottom w:val="0"/>
                                                      <w:divBdr>
                                                        <w:top w:val="none" w:sz="0" w:space="0" w:color="auto"/>
                                                        <w:left w:val="none" w:sz="0" w:space="0" w:color="auto"/>
                                                        <w:bottom w:val="none" w:sz="0" w:space="0" w:color="auto"/>
                                                        <w:right w:val="none" w:sz="0" w:space="0" w:color="auto"/>
                                                      </w:divBdr>
                                                      <w:divsChild>
                                                        <w:div w:id="763648635">
                                                          <w:marLeft w:val="0"/>
                                                          <w:marRight w:val="0"/>
                                                          <w:marTop w:val="0"/>
                                                          <w:marBottom w:val="0"/>
                                                          <w:divBdr>
                                                            <w:top w:val="none" w:sz="0" w:space="0" w:color="auto"/>
                                                            <w:left w:val="none" w:sz="0" w:space="0" w:color="auto"/>
                                                            <w:bottom w:val="none" w:sz="0" w:space="0" w:color="auto"/>
                                                            <w:right w:val="none" w:sz="0" w:space="0" w:color="auto"/>
                                                          </w:divBdr>
                                                        </w:div>
                                                      </w:divsChild>
                                                    </w:div>
                                                    <w:div w:id="1390688628">
                                                      <w:marLeft w:val="0"/>
                                                      <w:marRight w:val="0"/>
                                                      <w:marTop w:val="0"/>
                                                      <w:marBottom w:val="0"/>
                                                      <w:divBdr>
                                                        <w:top w:val="none" w:sz="0" w:space="0" w:color="auto"/>
                                                        <w:left w:val="none" w:sz="0" w:space="0" w:color="auto"/>
                                                        <w:bottom w:val="none" w:sz="0" w:space="0" w:color="auto"/>
                                                        <w:right w:val="none" w:sz="0" w:space="0" w:color="auto"/>
                                                      </w:divBdr>
                                                    </w:div>
                                                  </w:divsChild>
                                                </w:div>
                                                <w:div w:id="1902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135908">
      <w:bodyDiv w:val="1"/>
      <w:marLeft w:val="0"/>
      <w:marRight w:val="0"/>
      <w:marTop w:val="0"/>
      <w:marBottom w:val="0"/>
      <w:divBdr>
        <w:top w:val="none" w:sz="0" w:space="0" w:color="auto"/>
        <w:left w:val="none" w:sz="0" w:space="0" w:color="auto"/>
        <w:bottom w:val="none" w:sz="0" w:space="0" w:color="auto"/>
        <w:right w:val="none" w:sz="0" w:space="0" w:color="auto"/>
      </w:divBdr>
    </w:div>
    <w:div w:id="1338314234">
      <w:bodyDiv w:val="1"/>
      <w:marLeft w:val="0"/>
      <w:marRight w:val="0"/>
      <w:marTop w:val="0"/>
      <w:marBottom w:val="0"/>
      <w:divBdr>
        <w:top w:val="none" w:sz="0" w:space="0" w:color="auto"/>
        <w:left w:val="none" w:sz="0" w:space="0" w:color="auto"/>
        <w:bottom w:val="none" w:sz="0" w:space="0" w:color="auto"/>
        <w:right w:val="none" w:sz="0" w:space="0" w:color="auto"/>
      </w:divBdr>
    </w:div>
    <w:div w:id="1342662406">
      <w:bodyDiv w:val="1"/>
      <w:marLeft w:val="0"/>
      <w:marRight w:val="0"/>
      <w:marTop w:val="0"/>
      <w:marBottom w:val="0"/>
      <w:divBdr>
        <w:top w:val="none" w:sz="0" w:space="0" w:color="auto"/>
        <w:left w:val="none" w:sz="0" w:space="0" w:color="auto"/>
        <w:bottom w:val="none" w:sz="0" w:space="0" w:color="auto"/>
        <w:right w:val="none" w:sz="0" w:space="0" w:color="auto"/>
      </w:divBdr>
    </w:div>
    <w:div w:id="1365520667">
      <w:bodyDiv w:val="1"/>
      <w:marLeft w:val="0"/>
      <w:marRight w:val="0"/>
      <w:marTop w:val="0"/>
      <w:marBottom w:val="0"/>
      <w:divBdr>
        <w:top w:val="none" w:sz="0" w:space="0" w:color="auto"/>
        <w:left w:val="none" w:sz="0" w:space="0" w:color="auto"/>
        <w:bottom w:val="none" w:sz="0" w:space="0" w:color="auto"/>
        <w:right w:val="none" w:sz="0" w:space="0" w:color="auto"/>
      </w:divBdr>
    </w:div>
    <w:div w:id="1374428120">
      <w:bodyDiv w:val="1"/>
      <w:marLeft w:val="0"/>
      <w:marRight w:val="0"/>
      <w:marTop w:val="0"/>
      <w:marBottom w:val="0"/>
      <w:divBdr>
        <w:top w:val="none" w:sz="0" w:space="0" w:color="auto"/>
        <w:left w:val="none" w:sz="0" w:space="0" w:color="auto"/>
        <w:bottom w:val="none" w:sz="0" w:space="0" w:color="auto"/>
        <w:right w:val="none" w:sz="0" w:space="0" w:color="auto"/>
      </w:divBdr>
    </w:div>
    <w:div w:id="1376927636">
      <w:bodyDiv w:val="1"/>
      <w:marLeft w:val="0"/>
      <w:marRight w:val="0"/>
      <w:marTop w:val="0"/>
      <w:marBottom w:val="0"/>
      <w:divBdr>
        <w:top w:val="none" w:sz="0" w:space="0" w:color="auto"/>
        <w:left w:val="none" w:sz="0" w:space="0" w:color="auto"/>
        <w:bottom w:val="none" w:sz="0" w:space="0" w:color="auto"/>
        <w:right w:val="none" w:sz="0" w:space="0" w:color="auto"/>
      </w:divBdr>
    </w:div>
    <w:div w:id="1421172735">
      <w:bodyDiv w:val="1"/>
      <w:marLeft w:val="0"/>
      <w:marRight w:val="0"/>
      <w:marTop w:val="0"/>
      <w:marBottom w:val="0"/>
      <w:divBdr>
        <w:top w:val="none" w:sz="0" w:space="0" w:color="auto"/>
        <w:left w:val="none" w:sz="0" w:space="0" w:color="auto"/>
        <w:bottom w:val="none" w:sz="0" w:space="0" w:color="auto"/>
        <w:right w:val="none" w:sz="0" w:space="0" w:color="auto"/>
      </w:divBdr>
    </w:div>
    <w:div w:id="1462337033">
      <w:bodyDiv w:val="1"/>
      <w:marLeft w:val="0"/>
      <w:marRight w:val="0"/>
      <w:marTop w:val="0"/>
      <w:marBottom w:val="0"/>
      <w:divBdr>
        <w:top w:val="none" w:sz="0" w:space="0" w:color="auto"/>
        <w:left w:val="none" w:sz="0" w:space="0" w:color="auto"/>
        <w:bottom w:val="none" w:sz="0" w:space="0" w:color="auto"/>
        <w:right w:val="none" w:sz="0" w:space="0" w:color="auto"/>
      </w:divBdr>
    </w:div>
    <w:div w:id="1475221370">
      <w:bodyDiv w:val="1"/>
      <w:marLeft w:val="0"/>
      <w:marRight w:val="0"/>
      <w:marTop w:val="0"/>
      <w:marBottom w:val="0"/>
      <w:divBdr>
        <w:top w:val="none" w:sz="0" w:space="0" w:color="auto"/>
        <w:left w:val="none" w:sz="0" w:space="0" w:color="auto"/>
        <w:bottom w:val="none" w:sz="0" w:space="0" w:color="auto"/>
        <w:right w:val="none" w:sz="0" w:space="0" w:color="auto"/>
      </w:divBdr>
    </w:div>
    <w:div w:id="1678583253">
      <w:bodyDiv w:val="1"/>
      <w:marLeft w:val="0"/>
      <w:marRight w:val="0"/>
      <w:marTop w:val="0"/>
      <w:marBottom w:val="0"/>
      <w:divBdr>
        <w:top w:val="none" w:sz="0" w:space="0" w:color="auto"/>
        <w:left w:val="none" w:sz="0" w:space="0" w:color="auto"/>
        <w:bottom w:val="none" w:sz="0" w:space="0" w:color="auto"/>
        <w:right w:val="none" w:sz="0" w:space="0" w:color="auto"/>
      </w:divBdr>
    </w:div>
    <w:div w:id="1765954020">
      <w:bodyDiv w:val="1"/>
      <w:marLeft w:val="0"/>
      <w:marRight w:val="0"/>
      <w:marTop w:val="0"/>
      <w:marBottom w:val="0"/>
      <w:divBdr>
        <w:top w:val="none" w:sz="0" w:space="0" w:color="auto"/>
        <w:left w:val="none" w:sz="0" w:space="0" w:color="auto"/>
        <w:bottom w:val="none" w:sz="0" w:space="0" w:color="auto"/>
        <w:right w:val="none" w:sz="0" w:space="0" w:color="auto"/>
      </w:divBdr>
    </w:div>
    <w:div w:id="1845045116">
      <w:bodyDiv w:val="1"/>
      <w:marLeft w:val="0"/>
      <w:marRight w:val="0"/>
      <w:marTop w:val="0"/>
      <w:marBottom w:val="0"/>
      <w:divBdr>
        <w:top w:val="none" w:sz="0" w:space="0" w:color="auto"/>
        <w:left w:val="none" w:sz="0" w:space="0" w:color="auto"/>
        <w:bottom w:val="none" w:sz="0" w:space="0" w:color="auto"/>
        <w:right w:val="none" w:sz="0" w:space="0" w:color="auto"/>
      </w:divBdr>
    </w:div>
    <w:div w:id="1931044334">
      <w:bodyDiv w:val="1"/>
      <w:marLeft w:val="0"/>
      <w:marRight w:val="0"/>
      <w:marTop w:val="0"/>
      <w:marBottom w:val="0"/>
      <w:divBdr>
        <w:top w:val="none" w:sz="0" w:space="0" w:color="auto"/>
        <w:left w:val="none" w:sz="0" w:space="0" w:color="auto"/>
        <w:bottom w:val="none" w:sz="0" w:space="0" w:color="auto"/>
        <w:right w:val="none" w:sz="0" w:space="0" w:color="auto"/>
      </w:divBdr>
    </w:div>
    <w:div w:id="19358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F00A9-C1F9-4CC2-84D2-4807BE9D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4972</Words>
  <Characters>26851</Characters>
  <Application>Microsoft Office Word</Application>
  <DocSecurity>0</DocSecurity>
  <Lines>223</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Lamprinidis Lampros</cp:lastModifiedBy>
  <cp:revision>2</cp:revision>
  <dcterms:created xsi:type="dcterms:W3CDTF">2025-03-19T08:02:00Z</dcterms:created>
  <dcterms:modified xsi:type="dcterms:W3CDTF">2025-03-19T08:02:00Z</dcterms:modified>
</cp:coreProperties>
</file>