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C6D914" w14:textId="77777777" w:rsidR="00754C9A" w:rsidRPr="006B4197" w:rsidRDefault="00754C9A" w:rsidP="00441B6F">
      <w:pPr>
        <w:pStyle w:val="Title"/>
        <w:spacing w:after="0"/>
        <w:jc w:val="both"/>
        <w:rPr>
          <w:rFonts w:ascii="Arial" w:hAnsi="Arial" w:cs="Arial"/>
          <w:sz w:val="22"/>
          <w:szCs w:val="22"/>
        </w:rPr>
      </w:pPr>
    </w:p>
    <w:p w14:paraId="434795B7" w14:textId="77777777" w:rsidR="006B4197" w:rsidRDefault="006B4197" w:rsidP="006B4197">
      <w:pPr>
        <w:pStyle w:val="Author"/>
        <w:rPr>
          <w:rFonts w:ascii="Arial" w:hAnsi="Arial" w:cs="Arial"/>
          <w:bCs/>
          <w:i/>
          <w:iCs/>
          <w:kern w:val="28"/>
          <w:sz w:val="22"/>
          <w:szCs w:val="22"/>
          <w:u w:val="single"/>
        </w:rPr>
      </w:pPr>
      <w:r w:rsidRPr="006B4197">
        <w:rPr>
          <w:rFonts w:ascii="Arial" w:hAnsi="Arial" w:cs="Arial"/>
          <w:bCs/>
          <w:i/>
          <w:iCs/>
          <w:kern w:val="28"/>
          <w:sz w:val="22"/>
          <w:szCs w:val="22"/>
          <w:u w:val="single"/>
        </w:rPr>
        <w:t>Original Research Article</w:t>
      </w:r>
    </w:p>
    <w:p w14:paraId="5B4F3156" w14:textId="77777777" w:rsidR="006B4197" w:rsidRPr="006B4197" w:rsidRDefault="006B4197" w:rsidP="006B4197">
      <w:pPr>
        <w:pStyle w:val="Author"/>
        <w:rPr>
          <w:rFonts w:ascii="Arial" w:hAnsi="Arial" w:cs="Arial"/>
          <w:bCs/>
          <w:i/>
          <w:iCs/>
          <w:kern w:val="28"/>
          <w:sz w:val="22"/>
          <w:szCs w:val="22"/>
          <w:u w:val="single"/>
        </w:rPr>
      </w:pPr>
    </w:p>
    <w:p w14:paraId="2E82BB4B" w14:textId="77777777" w:rsidR="00163BC4" w:rsidRDefault="00D75246" w:rsidP="00441B6F">
      <w:pPr>
        <w:pStyle w:val="Author"/>
        <w:spacing w:line="240" w:lineRule="auto"/>
        <w:rPr>
          <w:rFonts w:ascii="Arial" w:hAnsi="Arial" w:cs="Arial"/>
          <w:bCs/>
          <w:iCs/>
          <w:kern w:val="28"/>
          <w:sz w:val="36"/>
        </w:rPr>
      </w:pPr>
      <w:r w:rsidRPr="00CF0C68">
        <w:rPr>
          <w:rFonts w:ascii="Arial" w:hAnsi="Arial" w:cs="Arial"/>
          <w:bCs/>
          <w:iCs/>
          <w:kern w:val="28"/>
          <w:sz w:val="36"/>
        </w:rPr>
        <w:t>INVESTMENT APPROACH FOR OPTIMIZING RISK</w:t>
      </w:r>
    </w:p>
    <w:p w14:paraId="6857FCCB" w14:textId="6B049D03" w:rsidR="00A258C3" w:rsidRPr="00ED5361" w:rsidRDefault="00CF0C68" w:rsidP="00ED5361">
      <w:pPr>
        <w:pStyle w:val="Author"/>
        <w:spacing w:line="240" w:lineRule="auto"/>
        <w:rPr>
          <w:rFonts w:ascii="Arial" w:hAnsi="Arial" w:cs="Arial"/>
          <w:bCs/>
          <w:iCs/>
          <w:kern w:val="28"/>
          <w:sz w:val="56"/>
          <w:szCs w:val="36"/>
        </w:rPr>
      </w:pPr>
      <w:r w:rsidRPr="00ED5361">
        <w:rPr>
          <w:bCs/>
          <w:sz w:val="36"/>
          <w:szCs w:val="36"/>
          <w:highlight w:val="yellow"/>
        </w:rPr>
        <w:t>Optimizing Portfolio Risk through Diversification: Application of the Black-</w:t>
      </w:r>
      <w:proofErr w:type="spellStart"/>
      <w:r w:rsidRPr="00ED5361">
        <w:rPr>
          <w:bCs/>
          <w:sz w:val="36"/>
          <w:szCs w:val="36"/>
          <w:highlight w:val="yellow"/>
        </w:rPr>
        <w:t>Litterman</w:t>
      </w:r>
      <w:proofErr w:type="spellEnd"/>
      <w:r w:rsidRPr="00ED5361">
        <w:rPr>
          <w:bCs/>
          <w:sz w:val="36"/>
          <w:szCs w:val="36"/>
          <w:highlight w:val="yellow"/>
        </w:rPr>
        <w:t xml:space="preserve"> Model</w:t>
      </w:r>
    </w:p>
    <w:p w14:paraId="00A50727" w14:textId="77777777" w:rsidR="00702D81" w:rsidRDefault="00702D81" w:rsidP="00441B6F">
      <w:pPr>
        <w:pStyle w:val="Affiliation"/>
        <w:spacing w:after="0" w:line="240" w:lineRule="auto"/>
        <w:jc w:val="both"/>
        <w:rPr>
          <w:rFonts w:ascii="Arial" w:hAnsi="Arial" w:cs="Arial"/>
        </w:rPr>
      </w:pPr>
    </w:p>
    <w:p w14:paraId="443B72DA" w14:textId="77777777" w:rsidR="00702D81" w:rsidRPr="00FB3A86" w:rsidRDefault="00702D81" w:rsidP="00441B6F">
      <w:pPr>
        <w:pStyle w:val="Affiliation"/>
        <w:spacing w:after="0" w:line="240" w:lineRule="auto"/>
        <w:jc w:val="both"/>
        <w:rPr>
          <w:rFonts w:ascii="Arial" w:hAnsi="Arial" w:cs="Arial"/>
        </w:rPr>
      </w:pPr>
    </w:p>
    <w:p w14:paraId="74BE6D3D" w14:textId="77777777" w:rsidR="00B01FCD" w:rsidRPr="00FB3A86" w:rsidRDefault="00E50562" w:rsidP="00441B6F">
      <w:pPr>
        <w:pStyle w:val="Copyright"/>
        <w:spacing w:after="0" w:line="240" w:lineRule="auto"/>
        <w:jc w:val="both"/>
        <w:rPr>
          <w:rFonts w:ascii="Arial" w:hAnsi="Arial" w:cs="Arial"/>
        </w:rPr>
        <w:sectPr w:rsidR="00B01FCD" w:rsidRPr="00FB3A86" w:rsidSect="00702D81">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noProof/>
          <w:lang w:val="en-AU" w:eastAsia="en-AU"/>
        </w:rPr>
        <mc:AlternateContent>
          <mc:Choice Requires="wps">
            <w:drawing>
              <wp:inline distT="0" distB="0" distL="0" distR="0" wp14:anchorId="31E4046F" wp14:editId="138AF14A">
                <wp:extent cx="5303520" cy="0"/>
                <wp:effectExtent l="13335" t="13335" r="17145" b="15240"/>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6CC00252" id="_x0000_t32" coordsize="21600,21600" o:spt="32" o:oned="t" path="m,l21600,21600e" filled="f">
                <v:path arrowok="t" fillok="f" o:connecttype="none"/>
                <o:lock v:ext="edit" shapetype="t"/>
              </v:shapetype>
              <v:shape id="AutoShape 2" o:spid="_x0000_s1026" type="#_x0000_t32" style="width:417.6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" strokeweight="1.5pt">
                <w10:anchorlock/>
              </v:shape>
            </w:pict>
          </mc:Fallback>
        </mc:AlternateContent>
      </w:r>
      <w:r w:rsidR="00FB3A86">
        <w:rPr>
          <w:rFonts w:ascii="Arial" w:hAnsi="Arial" w:cs="Arial"/>
        </w:rPr>
        <w:t>.</w:t>
      </w:r>
    </w:p>
    <w:p w14:paraId="4871B4BF" w14:textId="77777777" w:rsidR="00790ADA" w:rsidRPr="00FB3A86" w:rsidRDefault="00B01FCD" w:rsidP="00441B6F">
      <w:pPr>
        <w:pStyle w:val="AbstHead"/>
        <w:spacing w:after="0"/>
        <w:jc w:val="both"/>
        <w:rPr>
          <w:rFonts w:ascii="Arial" w:hAnsi="Arial" w:cs="Arial"/>
        </w:rPr>
      </w:pPr>
      <w:r w:rsidRPr="00FB3A86">
        <w:rPr>
          <w:rFonts w:ascii="Arial" w:hAnsi="Arial" w:cs="Arial"/>
        </w:rPr>
        <w:t>ABSTRACT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9576"/>
      </w:tblGrid>
      <w:tr w:rsidR="00296529" w:rsidRPr="001E44FE" w14:paraId="4029BAE1" w14:textId="77777777" w:rsidTr="001E44FE">
        <w:tc>
          <w:tcPr>
            <w:tcW w:w="9576" w:type="dxa"/>
            <w:shd w:val="clear" w:color="auto" w:fill="F2F2F2"/>
          </w:tcPr>
          <w:p w14:paraId="4D2FD954" w14:textId="77777777" w:rsidR="002C2B88" w:rsidRDefault="002C2B88" w:rsidP="00441B6F">
            <w:pPr>
              <w:pStyle w:val="Body"/>
              <w:spacing w:after="0"/>
            </w:pPr>
            <w:r>
              <w:rPr>
                <w:rFonts w:ascii="Arial" w:eastAsia="Calibri" w:hAnsi="Arial" w:cs="Arial"/>
                <w:b/>
                <w:szCs w:val="22"/>
              </w:rPr>
              <w:t xml:space="preserve">Aim: </w:t>
            </w:r>
            <w:r w:rsidR="00A163BA">
              <w:t>The study aims to investigate the risk reduction strength of different assets and their impact on minimizing portfolio risk. It seeks to recommend an optimal investment strategy using the Black-</w:t>
            </w:r>
            <w:proofErr w:type="spellStart"/>
            <w:r w:rsidR="00A163BA">
              <w:t>Litterman</w:t>
            </w:r>
            <w:proofErr w:type="spellEnd"/>
            <w:r w:rsidR="00A163BA">
              <w:t xml:space="preserve"> model to balance risk and return, helping investors make informed decisions to enhance portfolio stability and financial resilience.</w:t>
            </w:r>
          </w:p>
          <w:p w14:paraId="40F2742E" w14:textId="77777777" w:rsidR="003E54F3" w:rsidRDefault="003E54F3" w:rsidP="00441B6F">
            <w:pPr>
              <w:pStyle w:val="Body"/>
              <w:spacing w:after="0"/>
              <w:rPr>
                <w:rFonts w:eastAsia="Calibri" w:cs="Arial"/>
                <w:b/>
                <w:szCs w:val="22"/>
              </w:rPr>
            </w:pPr>
          </w:p>
          <w:p w14:paraId="6F67ECD4" w14:textId="77777777" w:rsidR="00B80DC5" w:rsidRPr="0094487C" w:rsidRDefault="00B80DC5" w:rsidP="00B80DC5">
            <w:pPr>
              <w:rPr>
                <w:b/>
                <w:bCs/>
                <w:i/>
                <w:iCs/>
                <w:lang w:val="en-GB"/>
              </w:rPr>
            </w:pPr>
            <w:r w:rsidRPr="00B80DC5">
              <w:rPr>
                <w:b/>
                <w:bCs/>
                <w:i/>
                <w:iCs/>
                <w:highlight w:val="yellow"/>
                <w:lang w:val="en-GB"/>
              </w:rPr>
              <w:t>This research study mainly investigates the risk reduction strength of unique assets, analyses their impact on decreasing portfolio risk, and suggests an optimal investment strategy using the Black-</w:t>
            </w:r>
            <w:proofErr w:type="spellStart"/>
            <w:r w:rsidRPr="00B80DC5">
              <w:rPr>
                <w:b/>
                <w:bCs/>
                <w:i/>
                <w:iCs/>
                <w:highlight w:val="yellow"/>
                <w:lang w:val="en-GB"/>
              </w:rPr>
              <w:t>Litterman</w:t>
            </w:r>
            <w:proofErr w:type="spellEnd"/>
            <w:r w:rsidRPr="00B80DC5">
              <w:rPr>
                <w:b/>
                <w:bCs/>
                <w:i/>
                <w:iCs/>
                <w:highlight w:val="yellow"/>
                <w:lang w:val="en-GB"/>
              </w:rPr>
              <w:t xml:space="preserve"> model. This model combines prior market information with investor views to balance risk &amp; return, enabling informed decision-making to boost portfolio stability and financial stability.</w:t>
            </w:r>
          </w:p>
          <w:p w14:paraId="00F57695" w14:textId="77777777" w:rsidR="00B80DC5" w:rsidRDefault="00B80DC5" w:rsidP="00B80DC5">
            <w:pPr>
              <w:rPr>
                <w:b/>
                <w:bCs/>
                <w:lang w:val="en-GB"/>
              </w:rPr>
            </w:pPr>
          </w:p>
          <w:p w14:paraId="67F0FD3E" w14:textId="77777777" w:rsidR="003E54F3" w:rsidRPr="002C2B88" w:rsidRDefault="003E54F3" w:rsidP="00441B6F">
            <w:pPr>
              <w:pStyle w:val="Body"/>
              <w:spacing w:after="0"/>
              <w:rPr>
                <w:rFonts w:ascii="Arial" w:eastAsia="Calibri" w:hAnsi="Arial" w:cs="Arial"/>
                <w:b/>
                <w:szCs w:val="22"/>
              </w:rPr>
            </w:pPr>
          </w:p>
          <w:p w14:paraId="3FB15278" w14:textId="77777777" w:rsidR="00BA1B01" w:rsidRDefault="00BA1B01" w:rsidP="00441B6F">
            <w:pPr>
              <w:pStyle w:val="Body"/>
              <w:spacing w:after="0"/>
              <w:rPr>
                <w:rFonts w:ascii="Arial" w:eastAsia="Calibri" w:hAnsi="Arial" w:cs="Arial"/>
                <w:szCs w:val="22"/>
              </w:rPr>
            </w:pPr>
            <w:r w:rsidRPr="00BA1B01">
              <w:rPr>
                <w:rFonts w:ascii="Arial" w:eastAsia="Calibri" w:hAnsi="Arial" w:cs="Arial"/>
                <w:b/>
                <w:szCs w:val="22"/>
              </w:rPr>
              <w:t>Study design:</w:t>
            </w:r>
            <w:r w:rsidRPr="00BA1B01">
              <w:rPr>
                <w:rFonts w:ascii="Arial" w:eastAsia="Calibri" w:hAnsi="Arial" w:cs="Arial"/>
                <w:szCs w:val="22"/>
              </w:rPr>
              <w:t xml:space="preserve">  </w:t>
            </w:r>
            <w:r w:rsidR="00DE2BDA">
              <w:t>We adopt</w:t>
            </w:r>
            <w:r w:rsidR="00A163BA">
              <w:t xml:space="preserve"> a quantitative approach, </w:t>
            </w:r>
            <w:r w:rsidR="00DE2BDA">
              <w:t xml:space="preserve">by </w:t>
            </w:r>
            <w:r w:rsidR="00A163BA">
              <w:t>employing the Black-</w:t>
            </w:r>
            <w:proofErr w:type="spellStart"/>
            <w:r w:rsidR="00A163BA">
              <w:t>Litterman</w:t>
            </w:r>
            <w:proofErr w:type="spellEnd"/>
            <w:r w:rsidR="00A163BA">
              <w:t xml:space="preserve"> model to analyze portfolio risk reduction. Monthly financial data from 2018 to 2022 is used to evaluate the impact of asset a</w:t>
            </w:r>
            <w:r w:rsidR="00DE2BDA">
              <w:t>llocation on risk minimization, focusing</w:t>
            </w:r>
            <w:r w:rsidR="00A163BA">
              <w:t xml:space="preserve"> on assessing various asset combinations to determine the most effective diversification strategy</w:t>
            </w:r>
            <w:r w:rsidRPr="00BA1B01">
              <w:rPr>
                <w:rFonts w:ascii="Arial" w:eastAsia="Calibri" w:hAnsi="Arial" w:cs="Arial"/>
                <w:szCs w:val="22"/>
              </w:rPr>
              <w:t>.</w:t>
            </w:r>
          </w:p>
          <w:p w14:paraId="32CEAD0E" w14:textId="77777777" w:rsidR="00B80DC5" w:rsidRDefault="00B80DC5" w:rsidP="00441B6F">
            <w:pPr>
              <w:pStyle w:val="Body"/>
              <w:spacing w:after="0"/>
              <w:rPr>
                <w:rFonts w:ascii="Arial" w:eastAsia="Calibri" w:hAnsi="Arial" w:cs="Arial"/>
                <w:szCs w:val="22"/>
              </w:rPr>
            </w:pPr>
          </w:p>
          <w:p w14:paraId="7807BF3E" w14:textId="77777777" w:rsidR="00B80DC5" w:rsidRPr="00B80DC5" w:rsidRDefault="00B80DC5" w:rsidP="00B80DC5">
            <w:pPr>
              <w:rPr>
                <w:b/>
                <w:bCs/>
                <w:i/>
                <w:iCs/>
              </w:rPr>
            </w:pPr>
            <w:r w:rsidRPr="00B80DC5">
              <w:rPr>
                <w:b/>
                <w:bCs/>
                <w:i/>
                <w:iCs/>
                <w:highlight w:val="yellow"/>
              </w:rPr>
              <w:t>Investors incorporated their personal opinions into the Black-</w:t>
            </w:r>
            <w:proofErr w:type="spellStart"/>
            <w:r w:rsidRPr="00B80DC5">
              <w:rPr>
                <w:b/>
                <w:bCs/>
                <w:i/>
                <w:iCs/>
                <w:highlight w:val="yellow"/>
              </w:rPr>
              <w:t>Litterman</w:t>
            </w:r>
            <w:proofErr w:type="spellEnd"/>
            <w:r w:rsidRPr="00B80DC5">
              <w:rPr>
                <w:b/>
                <w:bCs/>
                <w:i/>
                <w:iCs/>
                <w:highlight w:val="yellow"/>
              </w:rPr>
              <w:t xml:space="preserve"> model to improve asset allocation while also minimizing portfolio risk.</w:t>
            </w:r>
          </w:p>
          <w:p w14:paraId="5C40ACD3" w14:textId="77777777" w:rsidR="00B80DC5" w:rsidRPr="00B80DC5" w:rsidRDefault="00B80DC5" w:rsidP="00B80DC5">
            <w:pPr>
              <w:rPr>
                <w:b/>
                <w:bCs/>
                <w:i/>
                <w:iCs/>
              </w:rPr>
            </w:pPr>
          </w:p>
          <w:p w14:paraId="7920BD36" w14:textId="77777777" w:rsidR="00B80DC5" w:rsidRPr="00BA1B01" w:rsidRDefault="00B80DC5" w:rsidP="00441B6F">
            <w:pPr>
              <w:pStyle w:val="Body"/>
              <w:spacing w:after="0"/>
              <w:rPr>
                <w:rFonts w:ascii="Arial" w:eastAsia="Calibri" w:hAnsi="Arial" w:cs="Arial"/>
                <w:szCs w:val="22"/>
              </w:rPr>
            </w:pPr>
          </w:p>
          <w:p w14:paraId="10B58F1A" w14:textId="77777777" w:rsidR="00BA1B01" w:rsidRPr="00BA1B01" w:rsidRDefault="00BA1B01" w:rsidP="00441B6F">
            <w:pPr>
              <w:pStyle w:val="Body"/>
              <w:spacing w:after="0"/>
              <w:rPr>
                <w:rFonts w:ascii="Arial" w:eastAsia="Calibri" w:hAnsi="Arial" w:cs="Arial"/>
                <w:szCs w:val="22"/>
              </w:rPr>
            </w:pPr>
            <w:r w:rsidRPr="00BA1B01">
              <w:rPr>
                <w:rFonts w:ascii="Arial" w:eastAsia="Calibri" w:hAnsi="Arial" w:cs="Arial"/>
                <w:b/>
                <w:szCs w:val="22"/>
              </w:rPr>
              <w:t>Place and Duration of Study:</w:t>
            </w:r>
            <w:r w:rsidRPr="00BA1B01">
              <w:rPr>
                <w:rFonts w:ascii="Arial" w:eastAsia="Calibri" w:hAnsi="Arial" w:cs="Arial"/>
                <w:szCs w:val="22"/>
              </w:rPr>
              <w:t xml:space="preserve"> </w:t>
            </w:r>
            <w:r w:rsidR="00DE2BDA">
              <w:rPr>
                <w:rFonts w:ascii="Arial" w:eastAsia="Calibri" w:hAnsi="Arial" w:cs="Arial"/>
                <w:szCs w:val="22"/>
              </w:rPr>
              <w:t xml:space="preserve">The study took place at the Department of Mathematical Sciences, Adekunle Ajasin University, </w:t>
            </w:r>
            <w:proofErr w:type="spellStart"/>
            <w:r w:rsidR="00DE2BDA">
              <w:rPr>
                <w:rFonts w:ascii="Arial" w:eastAsia="Calibri" w:hAnsi="Arial" w:cs="Arial"/>
                <w:szCs w:val="22"/>
              </w:rPr>
              <w:t>Akungba</w:t>
            </w:r>
            <w:proofErr w:type="spellEnd"/>
            <w:r w:rsidR="00DE2BDA">
              <w:rPr>
                <w:rFonts w:ascii="Arial" w:eastAsia="Calibri" w:hAnsi="Arial" w:cs="Arial"/>
                <w:szCs w:val="22"/>
              </w:rPr>
              <w:t xml:space="preserve"> Akoko, Nigeria, where </w:t>
            </w:r>
            <w:r w:rsidR="00DE2BDA">
              <w:rPr>
                <w:rFonts w:ascii="Times New Roman" w:hAnsi="Times New Roman"/>
                <w:sz w:val="24"/>
                <w:szCs w:val="24"/>
              </w:rPr>
              <w:t>we explored data from Yahoo finance of Gold, Oil and Gas which span from 2018 to 2022.</w:t>
            </w:r>
          </w:p>
          <w:p w14:paraId="203F9331" w14:textId="77777777" w:rsidR="00BA1B01" w:rsidRDefault="00BA1B01" w:rsidP="00441B6F">
            <w:pPr>
              <w:pStyle w:val="Body"/>
              <w:spacing w:after="0"/>
            </w:pPr>
            <w:r w:rsidRPr="00BA1B01">
              <w:rPr>
                <w:rFonts w:ascii="Arial" w:eastAsia="Calibri" w:hAnsi="Arial" w:cs="Arial"/>
                <w:b/>
                <w:bCs/>
                <w:szCs w:val="22"/>
              </w:rPr>
              <w:t>Methodology:</w:t>
            </w:r>
            <w:r w:rsidRPr="00BA1B01">
              <w:rPr>
                <w:rFonts w:ascii="Arial" w:eastAsia="Calibri" w:hAnsi="Arial" w:cs="Arial"/>
                <w:szCs w:val="22"/>
              </w:rPr>
              <w:t xml:space="preserve"> </w:t>
            </w:r>
            <w:r w:rsidR="00314822">
              <w:t>Data from Yahoo Finance (2018-2022) covering Gold, Oil, and Natural Gas was analyzed. The Black-</w:t>
            </w:r>
            <w:proofErr w:type="spellStart"/>
            <w:r w:rsidR="00314822">
              <w:t>Litterman</w:t>
            </w:r>
            <w:proofErr w:type="spellEnd"/>
            <w:r w:rsidR="00314822">
              <w:t xml:space="preserve"> model was used to compute portfolio risk. Augmented Dickey-Fuller (ADF) test ensured stationarity. Mean-variance optimization techniques determined asset allocation. Various portfolios were compared to identify those with the lowest risk levels</w:t>
            </w:r>
            <w:r w:rsidR="00D4750D">
              <w:t>.</w:t>
            </w:r>
          </w:p>
          <w:p w14:paraId="1B40DD71" w14:textId="77777777" w:rsidR="00B80DC5" w:rsidRDefault="00B80DC5" w:rsidP="00441B6F">
            <w:pPr>
              <w:pStyle w:val="Body"/>
              <w:spacing w:after="0"/>
              <w:rPr>
                <w:rFonts w:eastAsia="Calibri" w:cs="Arial"/>
                <w:szCs w:val="22"/>
              </w:rPr>
            </w:pPr>
          </w:p>
          <w:p w14:paraId="26A64EB2" w14:textId="77777777" w:rsidR="00B80DC5" w:rsidRDefault="00B80DC5" w:rsidP="00B80DC5">
            <w:pPr>
              <w:rPr>
                <w:b/>
                <w:bCs/>
                <w:i/>
                <w:iCs/>
              </w:rPr>
            </w:pPr>
            <w:r w:rsidRPr="00B80DC5">
              <w:rPr>
                <w:b/>
                <w:bCs/>
                <w:i/>
                <w:iCs/>
                <w:highlight w:val="yellow"/>
              </w:rPr>
              <w:t>The Augmented Dickey-Fuller test verified stationary conditions of time series data before the model implementation.</w:t>
            </w:r>
          </w:p>
          <w:p w14:paraId="0A20C806" w14:textId="77777777" w:rsidR="00B80DC5" w:rsidRPr="00BA1B01" w:rsidRDefault="00B80DC5" w:rsidP="00441B6F">
            <w:pPr>
              <w:pStyle w:val="Body"/>
              <w:spacing w:after="0"/>
              <w:rPr>
                <w:rFonts w:ascii="Arial" w:eastAsia="Calibri" w:hAnsi="Arial" w:cs="Arial"/>
                <w:szCs w:val="22"/>
              </w:rPr>
            </w:pPr>
          </w:p>
          <w:p w14:paraId="41FE81DD" w14:textId="77777777" w:rsidR="00BA1B01" w:rsidRDefault="00BA1B01" w:rsidP="00441B6F">
            <w:pPr>
              <w:pStyle w:val="Body"/>
              <w:spacing w:after="0"/>
            </w:pPr>
            <w:r w:rsidRPr="00BA1B01">
              <w:rPr>
                <w:rFonts w:ascii="Arial" w:eastAsia="Calibri" w:hAnsi="Arial" w:cs="Arial"/>
                <w:b/>
                <w:bCs/>
                <w:szCs w:val="22"/>
              </w:rPr>
              <w:t>Results:</w:t>
            </w:r>
            <w:r w:rsidRPr="00BA1B01">
              <w:rPr>
                <w:rFonts w:ascii="Arial" w:eastAsia="Calibri" w:hAnsi="Arial" w:cs="Arial"/>
                <w:szCs w:val="22"/>
              </w:rPr>
              <w:t xml:space="preserve"> </w:t>
            </w:r>
            <w:r w:rsidR="00D4750D">
              <w:t>Gold exhibited the highest risk reduction strength (8.7%), followed by oil (8.37%) and natural gas (0.47%). Portfolios containing gold had significantly lower risk levels. The benchmark portfolio had 0.0038 risk, while portfolios excluding gold had higher risks, confirming gold’s effectiveness in minimizing overall portfolio risk</w:t>
            </w:r>
            <w:r w:rsidR="00F9149B">
              <w:t>.</w:t>
            </w:r>
          </w:p>
          <w:p w14:paraId="62247DA7" w14:textId="77777777" w:rsidR="00B80DC5" w:rsidRDefault="00B80DC5" w:rsidP="00441B6F">
            <w:pPr>
              <w:pStyle w:val="Body"/>
              <w:spacing w:after="0"/>
              <w:rPr>
                <w:rFonts w:eastAsia="Calibri" w:cs="Arial"/>
                <w:b/>
                <w:bCs/>
                <w:szCs w:val="22"/>
              </w:rPr>
            </w:pPr>
          </w:p>
          <w:p w14:paraId="600CAFDB" w14:textId="77777777" w:rsidR="00B80DC5" w:rsidRDefault="00B80DC5" w:rsidP="00B80DC5">
            <w:pPr>
              <w:rPr>
                <w:b/>
                <w:bCs/>
                <w:i/>
                <w:iCs/>
              </w:rPr>
            </w:pPr>
            <w:r w:rsidRPr="00B80DC5">
              <w:rPr>
                <w:b/>
                <w:bCs/>
                <w:i/>
                <w:iCs/>
                <w:highlight w:val="yellow"/>
              </w:rPr>
              <w:t>All portfolios that included gold exhibited reduced risk exposure compared to ones without gold as the benchmark standard reached 0.0038 but the exclusion of gold increased risk to 0.0908 thus confirming gold's remarkable role as a risk reducer.</w:t>
            </w:r>
          </w:p>
          <w:p w14:paraId="5BFD3046" w14:textId="77777777" w:rsidR="00B80DC5" w:rsidRPr="00BA1B01" w:rsidRDefault="00B80DC5" w:rsidP="00441B6F">
            <w:pPr>
              <w:pStyle w:val="Body"/>
              <w:spacing w:after="0"/>
              <w:rPr>
                <w:rFonts w:ascii="Arial" w:eastAsia="Calibri" w:hAnsi="Arial" w:cs="Arial"/>
                <w:b/>
                <w:bCs/>
                <w:szCs w:val="22"/>
              </w:rPr>
            </w:pPr>
          </w:p>
          <w:p w14:paraId="1D3E0A13" w14:textId="77777777" w:rsidR="00505F06" w:rsidRDefault="00BA1B01" w:rsidP="00441B6F">
            <w:pPr>
              <w:pStyle w:val="Body"/>
              <w:spacing w:after="0"/>
            </w:pPr>
            <w:r w:rsidRPr="00BA1B01">
              <w:rPr>
                <w:rFonts w:ascii="Arial" w:eastAsia="Calibri" w:hAnsi="Arial" w:cs="Arial"/>
                <w:b/>
                <w:bCs/>
                <w:szCs w:val="22"/>
              </w:rPr>
              <w:t>Conclusion:</w:t>
            </w:r>
            <w:r w:rsidRPr="00BA1B01">
              <w:rPr>
                <w:rFonts w:ascii="Arial" w:eastAsia="Calibri" w:hAnsi="Arial" w:cs="Arial"/>
                <w:szCs w:val="22"/>
              </w:rPr>
              <w:t xml:space="preserve"> </w:t>
            </w:r>
            <w:r w:rsidR="00F9149B">
              <w:t>The study confirms that diversification alone does not guarantee risk minimization unless optimal asset selection is applied. Portfolios with high-risk reduction assets like gold significantly lower overall risk. Investors should prioritize assets with strong risk reduction capabilities to enhance portfolio stability, particularly during economic downturns or financial crises.</w:t>
            </w:r>
          </w:p>
          <w:p w14:paraId="774DB4A8" w14:textId="77777777" w:rsidR="00B80DC5" w:rsidRDefault="00B80DC5" w:rsidP="00441B6F">
            <w:pPr>
              <w:pStyle w:val="Body"/>
              <w:spacing w:after="0"/>
              <w:rPr>
                <w:rFonts w:eastAsia="Calibri" w:cs="Arial"/>
                <w:szCs w:val="22"/>
              </w:rPr>
            </w:pPr>
          </w:p>
          <w:p w14:paraId="5BC8C490" w14:textId="237B777F" w:rsidR="00B80DC5" w:rsidRPr="00BA1B01" w:rsidRDefault="00B80DC5" w:rsidP="00441B6F">
            <w:pPr>
              <w:pStyle w:val="Body"/>
              <w:spacing w:after="0"/>
              <w:rPr>
                <w:rFonts w:ascii="Arial" w:eastAsia="Calibri" w:hAnsi="Arial" w:cs="Arial"/>
                <w:szCs w:val="22"/>
              </w:rPr>
            </w:pPr>
            <w:r w:rsidRPr="00B80DC5">
              <w:rPr>
                <w:b/>
                <w:bCs/>
                <w:i/>
                <w:iCs/>
                <w:highlight w:val="yellow"/>
              </w:rPr>
              <w:t xml:space="preserve">During times of economic </w:t>
            </w:r>
            <w:r>
              <w:rPr>
                <w:b/>
                <w:bCs/>
                <w:i/>
                <w:iCs/>
                <w:highlight w:val="yellow"/>
              </w:rPr>
              <w:t>turmoil</w:t>
            </w:r>
            <w:r w:rsidRPr="00B80DC5">
              <w:rPr>
                <w:b/>
                <w:bCs/>
                <w:i/>
                <w:iCs/>
                <w:highlight w:val="yellow"/>
              </w:rPr>
              <w:t xml:space="preserve"> investors should focus on gold alongside other high-risk reduction assets in order to build a more resilient portfolio for risk reduction</w:t>
            </w:r>
            <w:r w:rsidRPr="00B80DC5">
              <w:rPr>
                <w:b/>
                <w:bCs/>
                <w:highlight w:val="yellow"/>
              </w:rPr>
              <w:t>.</w:t>
            </w:r>
          </w:p>
        </w:tc>
      </w:tr>
    </w:tbl>
    <w:p w14:paraId="1BF3192A" w14:textId="77777777" w:rsidR="00636EB2" w:rsidRDefault="00636EB2" w:rsidP="00441B6F">
      <w:pPr>
        <w:pStyle w:val="Body"/>
        <w:spacing w:after="0"/>
        <w:rPr>
          <w:rFonts w:ascii="Arial" w:hAnsi="Arial" w:cs="Arial"/>
          <w:i/>
        </w:rPr>
      </w:pPr>
    </w:p>
    <w:p w14:paraId="5819286A" w14:textId="77777777" w:rsidR="00A24E7E" w:rsidRDefault="00A24E7E" w:rsidP="00441B6F">
      <w:pPr>
        <w:pStyle w:val="Body"/>
        <w:spacing w:after="0"/>
        <w:rPr>
          <w:rFonts w:ascii="Arial" w:hAnsi="Arial" w:cs="Arial"/>
          <w:i/>
        </w:rPr>
      </w:pPr>
      <w:r>
        <w:rPr>
          <w:rFonts w:ascii="Arial" w:hAnsi="Arial" w:cs="Arial"/>
          <w:i/>
        </w:rPr>
        <w:t xml:space="preserve">Keywords: </w:t>
      </w:r>
      <w:r w:rsidR="007564CC">
        <w:rPr>
          <w:rFonts w:ascii="Arial" w:hAnsi="Arial" w:cs="Arial"/>
          <w:i/>
        </w:rPr>
        <w:t xml:space="preserve">Portfolio, Diversification, Black </w:t>
      </w:r>
      <w:proofErr w:type="spellStart"/>
      <w:r w:rsidR="007564CC">
        <w:rPr>
          <w:rFonts w:ascii="Arial" w:hAnsi="Arial" w:cs="Arial"/>
          <w:i/>
        </w:rPr>
        <w:t>Litterman</w:t>
      </w:r>
      <w:proofErr w:type="spellEnd"/>
      <w:r w:rsidR="007564CC">
        <w:rPr>
          <w:rFonts w:ascii="Arial" w:hAnsi="Arial" w:cs="Arial"/>
          <w:i/>
        </w:rPr>
        <w:t>, Investment, Asset, Risk, Return</w:t>
      </w:r>
    </w:p>
    <w:p w14:paraId="58304146" w14:textId="77777777" w:rsidR="0024282C" w:rsidRDefault="0024282C" w:rsidP="00441B6F">
      <w:pPr>
        <w:pStyle w:val="Body"/>
        <w:spacing w:after="0"/>
        <w:rPr>
          <w:rFonts w:ascii="Arial" w:hAnsi="Arial" w:cs="Arial"/>
          <w:i/>
          <w:sz w:val="18"/>
        </w:rPr>
      </w:pPr>
    </w:p>
    <w:p w14:paraId="4E45014E" w14:textId="77777777" w:rsidR="00505F06" w:rsidRPr="00A24E7E" w:rsidRDefault="00505F06" w:rsidP="00441B6F">
      <w:pPr>
        <w:pStyle w:val="Body"/>
        <w:spacing w:after="0"/>
        <w:rPr>
          <w:rFonts w:ascii="Arial" w:hAnsi="Arial" w:cs="Arial"/>
          <w:i/>
        </w:rPr>
      </w:pPr>
    </w:p>
    <w:p w14:paraId="484FF63C" w14:textId="77777777" w:rsidR="00790ADA" w:rsidRPr="00FB3A86"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p>
    <w:p w14:paraId="3EA64107" w14:textId="77777777" w:rsidR="00925633" w:rsidRPr="001A365B" w:rsidRDefault="00925633" w:rsidP="00925633">
      <w:pPr>
        <w:jc w:val="both"/>
        <w:rPr>
          <w:rFonts w:ascii="Arial" w:hAnsi="Arial" w:cs="Arial"/>
        </w:rPr>
      </w:pPr>
      <w:r w:rsidRPr="001A365B">
        <w:rPr>
          <w:rFonts w:ascii="Arial" w:hAnsi="Arial" w:cs="Arial"/>
        </w:rPr>
        <w:t>Diversification is investing in many assets in order to minimize risk or maximize return in the portfolio. It is an opportunity by which investors develop from his small firm into other market products [1]. Study on diversification has caught the attention of many management scholars and is one of the vital areas of study in business. Among others, researchers have studied the antecedents of diversification and the financial performance [2]. Investors indeed would explore the benefit of diversification by investing on 10 to 15 securities as suggested by scholars of financial management. The benefit of investing in a large number of securities was visibly established in a more recent study [4].</w:t>
      </w:r>
    </w:p>
    <w:p w14:paraId="0B196C3C" w14:textId="77777777" w:rsidR="00925633" w:rsidRPr="001A365B" w:rsidRDefault="00925633" w:rsidP="00925633">
      <w:pPr>
        <w:jc w:val="both"/>
        <w:rPr>
          <w:rFonts w:ascii="Arial" w:hAnsi="Arial" w:cs="Arial"/>
        </w:rPr>
      </w:pPr>
      <w:r w:rsidRPr="001A365B">
        <w:rPr>
          <w:rFonts w:ascii="Arial" w:hAnsi="Arial" w:cs="Arial"/>
        </w:rPr>
        <w:t xml:space="preserve">Moreover, Diversification is an approach by which firm multiply from its main business into other product market [5]. Study reveals that corporate management strongly involved diversification activities and many scholars established this fact. Diversification advances debt capacity, reduce the chances of bankruptcy by introducing new products/markets [6] and improves asset placement and productivity. A diversified firm can move funds from a cash surplus unit to a deficit unit without taxes or transaction costs. Diversified firms pool unsystematic risk and reduce the variability of operating cash flow enjoy comparative benefit in hiring because key employees may have a higher sense of job security [7]. Black </w:t>
      </w:r>
      <w:proofErr w:type="spellStart"/>
      <w:r w:rsidRPr="001A365B">
        <w:rPr>
          <w:rFonts w:ascii="Arial" w:hAnsi="Arial" w:cs="Arial"/>
        </w:rPr>
        <w:t>Litterman</w:t>
      </w:r>
      <w:proofErr w:type="spellEnd"/>
      <w:r w:rsidRPr="001A365B">
        <w:rPr>
          <w:rFonts w:ascii="Arial" w:hAnsi="Arial" w:cs="Arial"/>
        </w:rPr>
        <w:t xml:space="preserve"> model was developed by [3]. It builds on the knowledge of two main theories of modern portfolio theory, the capital asset pricing model (CAPM) and Harry Markowitz mean-variance optimization theory (MPT).  Black </w:t>
      </w:r>
      <w:proofErr w:type="spellStart"/>
      <w:r w:rsidRPr="001A365B">
        <w:rPr>
          <w:rFonts w:ascii="Arial" w:hAnsi="Arial" w:cs="Arial"/>
        </w:rPr>
        <w:t>Litterman</w:t>
      </w:r>
      <w:proofErr w:type="spellEnd"/>
      <w:r w:rsidRPr="001A365B">
        <w:rPr>
          <w:rFonts w:ascii="Arial" w:hAnsi="Arial" w:cs="Arial"/>
        </w:rPr>
        <w:t xml:space="preserve"> model (BLM) is used in this research work to evaluate the risk and return of portfolio. BLM is a model that determines optimal asset allocation in a portfolio, it provides a clear way to specify investor’s views with prior information, BLM gives a quantitative framework for specifying the investor’s views, and a clear way to combine those investor’s views with an intuitive prior to arrive at a new combined distribution. The sample data is explored from monthly data of Gold, Copper and Oil from Yahoo finance DataStream. Augmented Dickey Fuller (ADF) test is adopted to transform non-stationary time series data to stationary time series data at first difference. The aim of this paper is to investigate the reduction strength of each asset and the effects of each asset in minimizing risk of portfolio. The remaining parts of this paper are organized as follow: section two reviews the literature, section three presents the methodology. Data analysis and results are considered in section four while section five concludes the paper. </w:t>
      </w:r>
    </w:p>
    <w:p w14:paraId="6959E03C" w14:textId="77777777" w:rsidR="00925633" w:rsidRPr="001A365B" w:rsidRDefault="00925633" w:rsidP="00925633">
      <w:pPr>
        <w:jc w:val="both"/>
        <w:rPr>
          <w:rFonts w:ascii="Arial" w:hAnsi="Arial" w:cs="Arial"/>
        </w:rPr>
      </w:pPr>
    </w:p>
    <w:p w14:paraId="37FC3E9B" w14:textId="77777777" w:rsidR="00925633" w:rsidRPr="006E7F6A" w:rsidRDefault="006E7F6A" w:rsidP="00925633">
      <w:pPr>
        <w:jc w:val="both"/>
        <w:rPr>
          <w:rFonts w:ascii="Arial" w:hAnsi="Arial" w:cs="Arial"/>
          <w:b/>
          <w:sz w:val="22"/>
          <w:szCs w:val="22"/>
        </w:rPr>
      </w:pPr>
      <w:r w:rsidRPr="006E7F6A">
        <w:rPr>
          <w:rFonts w:ascii="Arial" w:hAnsi="Arial" w:cs="Arial"/>
          <w:b/>
          <w:sz w:val="22"/>
          <w:szCs w:val="22"/>
        </w:rPr>
        <w:t xml:space="preserve">2.  LITERATURE REVIEW </w:t>
      </w:r>
    </w:p>
    <w:p w14:paraId="62FA8DDC" w14:textId="77777777" w:rsidR="00925633" w:rsidRPr="001A365B" w:rsidRDefault="00925633" w:rsidP="00925633">
      <w:pPr>
        <w:jc w:val="both"/>
        <w:rPr>
          <w:rFonts w:ascii="Arial" w:hAnsi="Arial" w:cs="Arial"/>
        </w:rPr>
      </w:pPr>
      <w:r w:rsidRPr="001A365B">
        <w:rPr>
          <w:rFonts w:ascii="Arial" w:hAnsi="Arial" w:cs="Arial"/>
        </w:rPr>
        <w:t xml:space="preserve">Modern Portfolio theory is a finance theory that attempts to minimize risk of the portfolio and maximize portfolio expected return. Harry Markowitz (1952) was the first to discover the theory of modern portfolio. His discovery was filled with insights and ideas that anticipated many of the subsequent growth in the field. He originated a portfolio problem as a choice of the mean variance portfolio of assets. He observed that risk encountering by investors was portfolio risk which would lead to a basic and important point that the risk of a stock should not only be estimated just by the variance of the stock but also by the covariance. Moreover, he also mentioned that the best (optimal) portfolio should consist of assets that are perfectly negatively correlated. He noted that there are many perfectly positively correlated assets in circulation. This observation gives rise to the theory of diversification [3].  The most important aspect of Markowitz model was his description of the impact on portfolio diversification by the number of securities within a portfolio and their covariance relationships [8]. They used data on sectoral level of employment and value added to generate new and robust evidence that economic growth through stages of diversification and that sectoral concentration follows a U-shaped pattern in relation to per capital income [9]. </w:t>
      </w:r>
    </w:p>
    <w:p w14:paraId="41210AB0" w14:textId="0D4F67E3" w:rsidR="00925633" w:rsidRPr="001A365B" w:rsidRDefault="00925633" w:rsidP="00925633">
      <w:pPr>
        <w:jc w:val="both"/>
        <w:rPr>
          <w:rFonts w:ascii="Arial" w:hAnsi="Arial" w:cs="Arial"/>
        </w:rPr>
      </w:pPr>
      <w:r w:rsidRPr="001A365B">
        <w:rPr>
          <w:rFonts w:ascii="Arial" w:hAnsi="Arial" w:cs="Arial"/>
        </w:rPr>
        <w:t xml:space="preserve">It is observed that mean-variance (MV) optimization is still the best theory of portfolio optimization but it is difficult to implement in practice. The asset weights are extremely sensitive to inputs and the inputs are difficult to achieve. </w:t>
      </w:r>
      <w:proofErr w:type="gramStart"/>
      <w:r w:rsidRPr="001A365B">
        <w:rPr>
          <w:rFonts w:ascii="Arial" w:hAnsi="Arial" w:cs="Arial"/>
        </w:rPr>
        <w:t>Furthermore</w:t>
      </w:r>
      <w:proofErr w:type="gramEnd"/>
      <w:r w:rsidRPr="001A365B">
        <w:rPr>
          <w:rFonts w:ascii="Arial" w:hAnsi="Arial" w:cs="Arial"/>
        </w:rPr>
        <w:t xml:space="preserve"> through MV it is not possible for investors to express their opinions on relative asset performance and their confidence in their selected expected asset returns Black and </w:t>
      </w:r>
      <w:proofErr w:type="spellStart"/>
      <w:r w:rsidRPr="001A365B">
        <w:rPr>
          <w:rFonts w:ascii="Arial" w:hAnsi="Arial" w:cs="Arial"/>
        </w:rPr>
        <w:t>Litterman</w:t>
      </w:r>
      <w:proofErr w:type="spellEnd"/>
      <w:r w:rsidRPr="001A365B">
        <w:rPr>
          <w:rFonts w:ascii="Arial" w:hAnsi="Arial" w:cs="Arial"/>
        </w:rPr>
        <w:t xml:space="preserve"> improved on the original MV model by combining mean-variance optimization of Markowitz and CAPM [3]. The original model was first developed in 1990 and a year later they elaborate on the strategic asset allocation that is embedded with investor’s views in a global sense. The model does not consider the </w:t>
      </w:r>
      <w:r w:rsidRPr="001A365B">
        <w:rPr>
          <w:rFonts w:ascii="Arial" w:hAnsi="Arial" w:cs="Arial"/>
        </w:rPr>
        <w:lastRenderedPageBreak/>
        <w:t>assumption that expected returns are always at equilibrium with CAPM. Rather as expected returns deviate from the mean, imbalances in the markets will attempt to drive them back. Therefore, it is observed that investors would make more returns by combining their views about returns with the information in the equilibrium [3</w:t>
      </w:r>
      <w:r w:rsidR="000A22EC" w:rsidRPr="001A365B">
        <w:rPr>
          <w:rFonts w:ascii="Arial" w:hAnsi="Arial" w:cs="Arial"/>
        </w:rPr>
        <w:t>] Moreover</w:t>
      </w:r>
      <w:r w:rsidRPr="001A365B">
        <w:rPr>
          <w:rFonts w:ascii="Arial" w:hAnsi="Arial" w:cs="Arial"/>
        </w:rPr>
        <w:t xml:space="preserve">, additional vital feature of the BL structure is that investors should be willing to take risk according to their views and this should be done when they have strong evidence to support their views [10]. </w:t>
      </w:r>
    </w:p>
    <w:p w14:paraId="2BA3CCA4" w14:textId="77777777" w:rsidR="00925633" w:rsidRPr="001A365B" w:rsidRDefault="00925633" w:rsidP="00925633">
      <w:pPr>
        <w:jc w:val="both"/>
        <w:rPr>
          <w:rFonts w:ascii="Arial" w:hAnsi="Arial" w:cs="Arial"/>
        </w:rPr>
      </w:pPr>
      <w:r w:rsidRPr="001A365B">
        <w:rPr>
          <w:rFonts w:ascii="Arial" w:hAnsi="Arial" w:cs="Arial"/>
        </w:rPr>
        <w:t xml:space="preserve">BLM uses Bayesian approach to syndicate the views from the investor with respect to the expected returns of one or more assets with the market equilibrium vector of expected returns to provide a new, mixed estimate of expected returns. The new vector of returns results to intuitive portfolio gives a reasonable portfolio weight [11]. Hence, the model produces better stable result than classical mean-variance optimization. Some researchers have tried to study the asset distribution and model simplification. [11] made effort to extend the model by demystifying it; they applied the conditional distribution theory straight to the return vector. The authors amended both the return vector and the covariance matrix. The outcome is the mean vector returns that are the same to those of Black </w:t>
      </w:r>
      <w:proofErr w:type="spellStart"/>
      <w:r w:rsidRPr="001A365B">
        <w:rPr>
          <w:rFonts w:ascii="Arial" w:hAnsi="Arial" w:cs="Arial"/>
        </w:rPr>
        <w:t>litterman</w:t>
      </w:r>
      <w:proofErr w:type="spellEnd"/>
      <w:r w:rsidRPr="001A365B">
        <w:rPr>
          <w:rFonts w:ascii="Arial" w:hAnsi="Arial" w:cs="Arial"/>
        </w:rPr>
        <w:t xml:space="preserve">, whereas the conditional covariance matrix is new. It also minimizes the sensitivity of the mean variance optimization to an investor’s volatility estimates. [12] introduced new method for quantitative views, taking the form of linear inequalities attached to MV portfolio optimization. The authors evaluated the risk-adjusted measure (expected alpha) conditioned on qualitative views that in turn can be combined with a degree of confidence. [13] criticized all the previous studies on BLM and included behavioral finance in her study. She explained that an investor with home bias would have less or no confidence in the views about foreign assets than domestic assets. This would make the weights of assets closer to the benchmark weights when compared with the weights of the domestic assets.  </w:t>
      </w:r>
    </w:p>
    <w:p w14:paraId="45EE8D17" w14:textId="77777777" w:rsidR="00925633" w:rsidRPr="001A365B" w:rsidRDefault="00925633" w:rsidP="00925633">
      <w:pPr>
        <w:jc w:val="both"/>
        <w:rPr>
          <w:rFonts w:ascii="Arial" w:hAnsi="Arial" w:cs="Arial"/>
        </w:rPr>
      </w:pPr>
      <w:r w:rsidRPr="001A365B">
        <w:rPr>
          <w:rFonts w:ascii="Arial" w:hAnsi="Arial" w:cs="Arial"/>
        </w:rPr>
        <w:t xml:space="preserve">[14] introduced another different method to measure the weight of the weights to the eigenvalues from the prior covariance matrix. [15] criticized the Alternative Reference Model. Actually, it is a combination of opinion and fact that the only valid prior estimate is from statistical model. The authors arguments only based on Alternative reference model which is not relevant to the canonical Reference Model. The focus of their article is on basic statistical properties of time series. [16] stressed that the generated views may ooze from fundamental analysis, quantitative models or blind belief.  </w:t>
      </w:r>
    </w:p>
    <w:p w14:paraId="6BA77934" w14:textId="77777777" w:rsidR="00925633" w:rsidRPr="001A365B" w:rsidRDefault="00925633" w:rsidP="00925633">
      <w:pPr>
        <w:jc w:val="both"/>
        <w:rPr>
          <w:rFonts w:ascii="Arial" w:hAnsi="Arial" w:cs="Arial"/>
        </w:rPr>
      </w:pPr>
    </w:p>
    <w:p w14:paraId="12E1B588" w14:textId="77777777" w:rsidR="00925633" w:rsidRPr="006E7F6A" w:rsidRDefault="006E7F6A" w:rsidP="00925633">
      <w:pPr>
        <w:jc w:val="both"/>
        <w:rPr>
          <w:rFonts w:ascii="Arial" w:hAnsi="Arial" w:cs="Arial"/>
          <w:b/>
          <w:sz w:val="22"/>
          <w:szCs w:val="22"/>
        </w:rPr>
      </w:pPr>
      <w:r w:rsidRPr="006E7F6A">
        <w:rPr>
          <w:rFonts w:ascii="Arial" w:hAnsi="Arial" w:cs="Arial"/>
          <w:b/>
          <w:sz w:val="22"/>
          <w:szCs w:val="22"/>
        </w:rPr>
        <w:t xml:space="preserve">3.  METHODOLOGY </w:t>
      </w:r>
    </w:p>
    <w:p w14:paraId="77FDDCC6" w14:textId="77777777" w:rsidR="00925633" w:rsidRPr="001A365B" w:rsidRDefault="00925633" w:rsidP="00925633">
      <w:pPr>
        <w:jc w:val="both"/>
        <w:rPr>
          <w:rFonts w:ascii="Arial" w:hAnsi="Arial" w:cs="Arial"/>
        </w:rPr>
      </w:pPr>
      <w:r w:rsidRPr="001A365B">
        <w:rPr>
          <w:rFonts w:ascii="Arial" w:hAnsi="Arial" w:cs="Arial"/>
        </w:rPr>
        <w:t xml:space="preserve">The methodologies adopted are Mean-Variance Optimization and Black </w:t>
      </w:r>
      <w:proofErr w:type="spellStart"/>
      <w:r w:rsidRPr="001A365B">
        <w:rPr>
          <w:rFonts w:ascii="Arial" w:hAnsi="Arial" w:cs="Arial"/>
        </w:rPr>
        <w:t>Litternan</w:t>
      </w:r>
      <w:proofErr w:type="spellEnd"/>
      <w:r w:rsidRPr="001A365B">
        <w:rPr>
          <w:rFonts w:ascii="Arial" w:hAnsi="Arial" w:cs="Arial"/>
        </w:rPr>
        <w:t xml:space="preserve"> model. Consider the following minimization constraint:</w:t>
      </w:r>
    </w:p>
    <w:p w14:paraId="610B84E0" w14:textId="77777777" w:rsidR="00925633" w:rsidRPr="001A365B" w:rsidRDefault="00925633" w:rsidP="00925633">
      <w:pPr>
        <w:jc w:val="both"/>
        <w:rPr>
          <w:rFonts w:ascii="Arial" w:hAnsi="Arial" w:cs="Arial"/>
        </w:rPr>
      </w:pPr>
      <w:r w:rsidRPr="001A365B">
        <w:rPr>
          <w:rFonts w:ascii="Arial" w:hAnsi="Arial" w:cs="Arial"/>
          <w:position w:val="-30"/>
        </w:rPr>
        <w:object w:dxaOrig="2740" w:dyaOrig="700" w14:anchorId="54576AF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7.4pt;height:35.4pt" o:ole="">
            <v:imagedata r:id="rId14" o:title=""/>
          </v:shape>
          <o:OLEObject Type="Embed" ProgID="Equation.3" ShapeID="_x0000_i1025" DrawAspect="Content" ObjectID="_1804070249" r:id="rId15"/>
        </w:object>
      </w:r>
    </w:p>
    <w:p w14:paraId="11F5636A" w14:textId="77777777" w:rsidR="00925633" w:rsidRPr="001A365B" w:rsidRDefault="00000000" w:rsidP="00925633">
      <w:pPr>
        <w:jc w:val="both"/>
        <w:rPr>
          <w:rFonts w:ascii="Arial" w:hAnsi="Arial" w:cs="Arial"/>
        </w:rPr>
      </w:pPr>
      <w:r>
        <w:rPr>
          <w:rFonts w:ascii="Arial" w:hAnsi="Arial" w:cs="Arial"/>
          <w:noProof/>
        </w:rPr>
        <w:object w:dxaOrig="1440" w:dyaOrig="1440" w14:anchorId="38B05436">
          <v:shape id="_x0000_s2051" type="#_x0000_t75" style="position:absolute;left:0;text-align:left;margin-left:0;margin-top:.3pt;width:59pt;height:30.65pt;z-index:251659264;mso-position-horizontal:left">
            <v:imagedata r:id="rId16" o:title=""/>
            <w10:wrap type="square" side="right"/>
          </v:shape>
          <o:OLEObject Type="Embed" ProgID="Equation.3" ShapeID="_x0000_s2051" DrawAspect="Content" ObjectID="_1804070305" r:id="rId17"/>
        </w:object>
      </w:r>
      <w:r w:rsidR="00925633" w:rsidRPr="001A365B">
        <w:rPr>
          <w:rFonts w:ascii="Arial" w:hAnsi="Arial" w:cs="Arial"/>
        </w:rPr>
        <w:tab/>
      </w:r>
      <w:r w:rsidR="00925633" w:rsidRPr="001A365B">
        <w:rPr>
          <w:rFonts w:ascii="Arial" w:hAnsi="Arial" w:cs="Arial"/>
        </w:rPr>
        <w:tab/>
      </w:r>
      <w:r w:rsidR="00925633" w:rsidRPr="001A365B">
        <w:rPr>
          <w:rFonts w:ascii="Arial" w:hAnsi="Arial" w:cs="Arial"/>
        </w:rPr>
        <w:tab/>
      </w:r>
      <w:r w:rsidR="00925633" w:rsidRPr="001A365B">
        <w:rPr>
          <w:rFonts w:ascii="Arial" w:hAnsi="Arial" w:cs="Arial"/>
        </w:rPr>
        <w:tab/>
      </w:r>
      <w:r w:rsidR="00925633" w:rsidRPr="001A365B">
        <w:rPr>
          <w:rFonts w:ascii="Arial" w:hAnsi="Arial" w:cs="Arial"/>
        </w:rPr>
        <w:tab/>
      </w:r>
      <w:r w:rsidR="00925633" w:rsidRPr="001A365B">
        <w:rPr>
          <w:rFonts w:ascii="Arial" w:hAnsi="Arial" w:cs="Arial"/>
        </w:rPr>
        <w:tab/>
      </w:r>
      <w:r w:rsidR="00925633" w:rsidRPr="001A365B">
        <w:rPr>
          <w:rFonts w:ascii="Arial" w:hAnsi="Arial" w:cs="Arial"/>
        </w:rPr>
        <w:tab/>
      </w:r>
      <w:r w:rsidR="00925633" w:rsidRPr="001A365B">
        <w:rPr>
          <w:rFonts w:ascii="Arial" w:hAnsi="Arial" w:cs="Arial"/>
        </w:rPr>
        <w:tab/>
      </w:r>
      <w:r w:rsidR="00925633" w:rsidRPr="001A365B">
        <w:rPr>
          <w:rFonts w:ascii="Arial" w:hAnsi="Arial" w:cs="Arial"/>
        </w:rPr>
        <w:tab/>
      </w:r>
      <w:r w:rsidR="00925633" w:rsidRPr="001A365B">
        <w:rPr>
          <w:rFonts w:ascii="Arial" w:hAnsi="Arial" w:cs="Arial"/>
        </w:rPr>
        <w:tab/>
        <w:t>(1)</w:t>
      </w:r>
    </w:p>
    <w:p w14:paraId="0DF38B6A" w14:textId="77777777" w:rsidR="00925633" w:rsidRPr="001A365B" w:rsidRDefault="00925633" w:rsidP="00925633">
      <w:pPr>
        <w:jc w:val="both"/>
        <w:rPr>
          <w:rFonts w:ascii="Arial" w:hAnsi="Arial" w:cs="Arial"/>
        </w:rPr>
      </w:pPr>
      <w:r w:rsidRPr="001A365B">
        <w:rPr>
          <w:rFonts w:ascii="Arial" w:hAnsi="Arial" w:cs="Arial"/>
        </w:rPr>
        <w:br w:type="textWrapping" w:clear="all"/>
        <w:t xml:space="preserve">where </w:t>
      </w:r>
      <w:r w:rsidRPr="001A365B">
        <w:rPr>
          <w:rFonts w:ascii="Arial" w:hAnsi="Arial" w:cs="Arial"/>
          <w:position w:val="-12"/>
        </w:rPr>
        <w:object w:dxaOrig="1900" w:dyaOrig="360" w14:anchorId="5F9B6F76">
          <v:shape id="_x0000_i1027" type="#_x0000_t75" style="width:95.4pt;height:19.2pt" o:ole="">
            <v:imagedata r:id="rId18" o:title=""/>
          </v:shape>
          <o:OLEObject Type="Embed" ProgID="Equation.3" ShapeID="_x0000_i1027" DrawAspect="Content" ObjectID="_1804070250" r:id="rId19"/>
        </w:object>
      </w:r>
      <w:r w:rsidRPr="001A365B">
        <w:rPr>
          <w:rFonts w:ascii="Arial" w:hAnsi="Arial" w:cs="Arial"/>
        </w:rPr>
        <w:t xml:space="preserve"> and </w:t>
      </w:r>
      <w:r w:rsidRPr="001A365B">
        <w:rPr>
          <w:rFonts w:ascii="Arial" w:hAnsi="Arial" w:cs="Arial"/>
          <w:position w:val="-4"/>
        </w:rPr>
        <w:object w:dxaOrig="260" w:dyaOrig="260" w14:anchorId="690FE585">
          <v:shape id="_x0000_i1028" type="#_x0000_t75" style="width:12.6pt;height:12.6pt" o:ole="">
            <v:imagedata r:id="rId20" o:title=""/>
          </v:shape>
          <o:OLEObject Type="Embed" ProgID="Equation.3" ShapeID="_x0000_i1028" DrawAspect="Content" ObjectID="_1804070251" r:id="rId21"/>
        </w:object>
      </w:r>
      <w:r w:rsidRPr="001A365B">
        <w:rPr>
          <w:rFonts w:ascii="Arial" w:hAnsi="Arial" w:cs="Arial"/>
        </w:rPr>
        <w:t xml:space="preserve"> is the  </w:t>
      </w:r>
      <w:r w:rsidRPr="001A365B">
        <w:rPr>
          <w:rFonts w:ascii="Arial" w:hAnsi="Arial" w:cs="Arial"/>
          <w:position w:val="-10"/>
        </w:rPr>
        <w:object w:dxaOrig="660" w:dyaOrig="340" w14:anchorId="21E50F7C">
          <v:shape id="_x0000_i1029" type="#_x0000_t75" style="width:32.4pt;height:16.8pt" o:ole="">
            <v:imagedata r:id="rId22" o:title=""/>
          </v:shape>
          <o:OLEObject Type="Embed" ProgID="Equation.3" ShapeID="_x0000_i1029" DrawAspect="Content" ObjectID="_1804070252" r:id="rId23"/>
        </w:object>
      </w:r>
      <w:r w:rsidRPr="001A365B">
        <w:rPr>
          <w:rFonts w:ascii="Arial" w:hAnsi="Arial" w:cs="Arial"/>
        </w:rPr>
        <w:t xml:space="preserve"> covariance matrix </w:t>
      </w:r>
      <w:r w:rsidRPr="001A365B">
        <w:rPr>
          <w:rFonts w:ascii="Arial" w:hAnsi="Arial" w:cs="Arial"/>
          <w:position w:val="-14"/>
        </w:rPr>
        <w:object w:dxaOrig="480" w:dyaOrig="380" w14:anchorId="6B8FDEA9">
          <v:shape id="_x0000_i1030" type="#_x0000_t75" style="width:24.6pt;height:19.2pt" o:ole="">
            <v:imagedata r:id="rId24" o:title=""/>
          </v:shape>
          <o:OLEObject Type="Embed" ProgID="Equation.3" ShapeID="_x0000_i1030" DrawAspect="Content" ObjectID="_1804070253" r:id="rId25"/>
        </w:object>
      </w:r>
      <w:r w:rsidRPr="001A365B">
        <w:rPr>
          <w:rFonts w:ascii="Arial" w:hAnsi="Arial" w:cs="Arial"/>
        </w:rPr>
        <w:t xml:space="preserve">. The constraints are </w:t>
      </w:r>
    </w:p>
    <w:p w14:paraId="533813EF" w14:textId="77777777" w:rsidR="00925633" w:rsidRPr="001A365B" w:rsidRDefault="00925633" w:rsidP="00925633">
      <w:pPr>
        <w:rPr>
          <w:rFonts w:ascii="Arial" w:hAnsi="Arial" w:cs="Arial"/>
        </w:rPr>
      </w:pPr>
      <w:r w:rsidRPr="001A365B">
        <w:rPr>
          <w:rFonts w:ascii="Arial" w:hAnsi="Arial" w:cs="Arial"/>
          <w:position w:val="-28"/>
        </w:rPr>
        <w:object w:dxaOrig="1880" w:dyaOrig="680" w14:anchorId="095DF8B4">
          <v:shape id="_x0000_i1031" type="#_x0000_t75" style="width:94.8pt;height:33.6pt" o:ole="">
            <v:imagedata r:id="rId26" o:title=""/>
          </v:shape>
          <o:OLEObject Type="Embed" ProgID="Equation.3" ShapeID="_x0000_i1031" DrawAspect="Content" ObjectID="_1804070254" r:id="rId27"/>
        </w:object>
      </w:r>
      <w:r w:rsidRPr="001A365B">
        <w:rPr>
          <w:rFonts w:ascii="Arial" w:hAnsi="Arial" w:cs="Arial"/>
        </w:rPr>
        <w:tab/>
      </w:r>
      <w:r w:rsidRPr="001A365B">
        <w:rPr>
          <w:rFonts w:ascii="Arial" w:hAnsi="Arial" w:cs="Arial"/>
        </w:rPr>
        <w:tab/>
      </w:r>
      <w:r w:rsidRPr="001A365B">
        <w:rPr>
          <w:rFonts w:ascii="Arial" w:hAnsi="Arial" w:cs="Arial"/>
        </w:rPr>
        <w:tab/>
      </w:r>
      <w:r w:rsidRPr="001A365B">
        <w:rPr>
          <w:rFonts w:ascii="Arial" w:hAnsi="Arial" w:cs="Arial"/>
        </w:rPr>
        <w:tab/>
      </w:r>
      <w:r w:rsidRPr="001A365B">
        <w:rPr>
          <w:rFonts w:ascii="Arial" w:hAnsi="Arial" w:cs="Arial"/>
        </w:rPr>
        <w:tab/>
      </w:r>
      <w:r w:rsidRPr="001A365B">
        <w:rPr>
          <w:rFonts w:ascii="Arial" w:hAnsi="Arial" w:cs="Arial"/>
        </w:rPr>
        <w:tab/>
      </w:r>
      <w:r w:rsidRPr="001A365B">
        <w:rPr>
          <w:rFonts w:ascii="Arial" w:hAnsi="Arial" w:cs="Arial"/>
        </w:rPr>
        <w:tab/>
      </w:r>
      <w:r w:rsidRPr="001A365B">
        <w:rPr>
          <w:rFonts w:ascii="Arial" w:hAnsi="Arial" w:cs="Arial"/>
        </w:rPr>
        <w:tab/>
      </w:r>
      <w:r w:rsidRPr="001A365B">
        <w:rPr>
          <w:rFonts w:ascii="Arial" w:hAnsi="Arial" w:cs="Arial"/>
        </w:rPr>
        <w:tab/>
        <w:t>(2)</w:t>
      </w:r>
    </w:p>
    <w:p w14:paraId="29619B08" w14:textId="77777777" w:rsidR="00925633" w:rsidRPr="001A365B" w:rsidRDefault="00925633" w:rsidP="00925633">
      <w:pPr>
        <w:rPr>
          <w:rFonts w:ascii="Arial" w:hAnsi="Arial" w:cs="Arial"/>
        </w:rPr>
      </w:pPr>
      <w:r w:rsidRPr="001A365B">
        <w:rPr>
          <w:rFonts w:ascii="Arial" w:hAnsi="Arial" w:cs="Arial"/>
          <w:position w:val="-28"/>
        </w:rPr>
        <w:object w:dxaOrig="940" w:dyaOrig="680" w14:anchorId="751AB5E1">
          <v:shape id="_x0000_i1032" type="#_x0000_t75" style="width:46.2pt;height:33.6pt" o:ole="">
            <v:imagedata r:id="rId28" o:title=""/>
          </v:shape>
          <o:OLEObject Type="Embed" ProgID="Equation.3" ShapeID="_x0000_i1032" DrawAspect="Content" ObjectID="_1804070255" r:id="rId29"/>
        </w:object>
      </w:r>
      <w:r w:rsidRPr="001A365B">
        <w:rPr>
          <w:rFonts w:ascii="Arial" w:hAnsi="Arial" w:cs="Arial"/>
        </w:rPr>
        <w:tab/>
      </w:r>
      <w:r w:rsidRPr="001A365B">
        <w:rPr>
          <w:rFonts w:ascii="Arial" w:hAnsi="Arial" w:cs="Arial"/>
        </w:rPr>
        <w:tab/>
      </w:r>
      <w:r w:rsidRPr="001A365B">
        <w:rPr>
          <w:rFonts w:ascii="Arial" w:hAnsi="Arial" w:cs="Arial"/>
        </w:rPr>
        <w:tab/>
      </w:r>
      <w:r w:rsidRPr="001A365B">
        <w:rPr>
          <w:rFonts w:ascii="Arial" w:hAnsi="Arial" w:cs="Arial"/>
        </w:rPr>
        <w:tab/>
      </w:r>
      <w:r w:rsidRPr="001A365B">
        <w:rPr>
          <w:rFonts w:ascii="Arial" w:hAnsi="Arial" w:cs="Arial"/>
        </w:rPr>
        <w:tab/>
      </w:r>
      <w:r w:rsidRPr="001A365B">
        <w:rPr>
          <w:rFonts w:ascii="Arial" w:hAnsi="Arial" w:cs="Arial"/>
        </w:rPr>
        <w:tab/>
      </w:r>
      <w:r w:rsidRPr="001A365B">
        <w:rPr>
          <w:rFonts w:ascii="Arial" w:hAnsi="Arial" w:cs="Arial"/>
        </w:rPr>
        <w:tab/>
      </w:r>
      <w:r w:rsidRPr="001A365B">
        <w:rPr>
          <w:rFonts w:ascii="Arial" w:hAnsi="Arial" w:cs="Arial"/>
        </w:rPr>
        <w:tab/>
      </w:r>
      <w:r w:rsidRPr="001A365B">
        <w:rPr>
          <w:rFonts w:ascii="Arial" w:hAnsi="Arial" w:cs="Arial"/>
        </w:rPr>
        <w:tab/>
      </w:r>
      <w:r w:rsidRPr="001A365B">
        <w:rPr>
          <w:rFonts w:ascii="Arial" w:hAnsi="Arial" w:cs="Arial"/>
        </w:rPr>
        <w:tab/>
        <w:t>(3)</w:t>
      </w:r>
    </w:p>
    <w:p w14:paraId="20854844" w14:textId="77777777" w:rsidR="00925633" w:rsidRPr="001A365B" w:rsidRDefault="00925633" w:rsidP="00925633">
      <w:pPr>
        <w:rPr>
          <w:rFonts w:ascii="Arial" w:hAnsi="Arial" w:cs="Arial"/>
        </w:rPr>
      </w:pPr>
      <w:r w:rsidRPr="001A365B">
        <w:rPr>
          <w:rFonts w:ascii="Arial" w:hAnsi="Arial" w:cs="Arial"/>
        </w:rPr>
        <w:t xml:space="preserve">For short selling, we use Lagrange multiplier </w:t>
      </w:r>
      <w:r w:rsidRPr="001A365B">
        <w:rPr>
          <w:rFonts w:ascii="Arial" w:hAnsi="Arial" w:cs="Arial"/>
          <w:position w:val="-12"/>
        </w:rPr>
        <w:object w:dxaOrig="840" w:dyaOrig="360" w14:anchorId="1CC06430">
          <v:shape id="_x0000_i1033" type="#_x0000_t75" style="width:42pt;height:19.2pt" o:ole="">
            <v:imagedata r:id="rId30" o:title=""/>
          </v:shape>
          <o:OLEObject Type="Embed" ProgID="Equation.3" ShapeID="_x0000_i1033" DrawAspect="Content" ObjectID="_1804070256" r:id="rId31"/>
        </w:object>
      </w:r>
      <w:r w:rsidRPr="001A365B">
        <w:rPr>
          <w:rFonts w:ascii="Arial" w:hAnsi="Arial" w:cs="Arial"/>
        </w:rPr>
        <w:t>for the constraints</w:t>
      </w:r>
    </w:p>
    <w:p w14:paraId="343221AF" w14:textId="77777777" w:rsidR="00925633" w:rsidRPr="001A365B" w:rsidRDefault="00925633" w:rsidP="00925633">
      <w:pPr>
        <w:rPr>
          <w:rFonts w:ascii="Arial" w:hAnsi="Arial" w:cs="Arial"/>
        </w:rPr>
      </w:pPr>
      <w:r w:rsidRPr="001A365B">
        <w:rPr>
          <w:rFonts w:ascii="Arial" w:hAnsi="Arial" w:cs="Arial"/>
          <w:position w:val="-32"/>
        </w:rPr>
        <w:object w:dxaOrig="6399" w:dyaOrig="760" w14:anchorId="1BD04B33">
          <v:shape id="_x0000_i1034" type="#_x0000_t75" style="width:320.4pt;height:38.4pt" o:ole="">
            <v:imagedata r:id="rId32" o:title=""/>
          </v:shape>
          <o:OLEObject Type="Embed" ProgID="Equation.3" ShapeID="_x0000_i1034" DrawAspect="Content" ObjectID="_1804070257" r:id="rId33"/>
        </w:object>
      </w:r>
      <w:r w:rsidRPr="001A365B">
        <w:rPr>
          <w:rFonts w:ascii="Arial" w:hAnsi="Arial" w:cs="Arial"/>
        </w:rPr>
        <w:tab/>
      </w:r>
      <w:r w:rsidRPr="001A365B">
        <w:rPr>
          <w:rFonts w:ascii="Arial" w:hAnsi="Arial" w:cs="Arial"/>
        </w:rPr>
        <w:tab/>
      </w:r>
      <w:r w:rsidRPr="001A365B">
        <w:rPr>
          <w:rFonts w:ascii="Arial" w:hAnsi="Arial" w:cs="Arial"/>
        </w:rPr>
        <w:tab/>
        <w:t>(4)</w:t>
      </w:r>
    </w:p>
    <w:p w14:paraId="02430D45" w14:textId="77777777" w:rsidR="00925633" w:rsidRPr="001A365B" w:rsidRDefault="00925633" w:rsidP="00925633">
      <w:pPr>
        <w:rPr>
          <w:rFonts w:ascii="Arial" w:hAnsi="Arial" w:cs="Arial"/>
        </w:rPr>
      </w:pPr>
      <w:r w:rsidRPr="001A365B">
        <w:rPr>
          <w:rFonts w:ascii="Arial" w:hAnsi="Arial" w:cs="Arial"/>
          <w:position w:val="-48"/>
        </w:rPr>
        <w:object w:dxaOrig="6759" w:dyaOrig="1080" w14:anchorId="20E19B20">
          <v:shape id="_x0000_i1035" type="#_x0000_t75" style="width:338.4pt;height:54.6pt" o:ole="">
            <v:imagedata r:id="rId34" o:title=""/>
          </v:shape>
          <o:OLEObject Type="Embed" ProgID="Equation.3" ShapeID="_x0000_i1035" DrawAspect="Content" ObjectID="_1804070258" r:id="rId35"/>
        </w:object>
      </w:r>
      <w:r w:rsidRPr="001A365B">
        <w:rPr>
          <w:rFonts w:ascii="Arial" w:hAnsi="Arial" w:cs="Arial"/>
        </w:rPr>
        <w:tab/>
      </w:r>
      <w:r w:rsidRPr="001A365B">
        <w:rPr>
          <w:rFonts w:ascii="Arial" w:hAnsi="Arial" w:cs="Arial"/>
        </w:rPr>
        <w:tab/>
        <w:t>(5)</w:t>
      </w:r>
    </w:p>
    <w:p w14:paraId="6160C99C" w14:textId="77777777" w:rsidR="00925633" w:rsidRPr="001A365B" w:rsidRDefault="00925633" w:rsidP="00925633">
      <w:pPr>
        <w:rPr>
          <w:rFonts w:ascii="Arial" w:hAnsi="Arial" w:cs="Arial"/>
        </w:rPr>
      </w:pPr>
      <w:r w:rsidRPr="001A365B">
        <w:rPr>
          <w:rFonts w:ascii="Arial" w:hAnsi="Arial" w:cs="Arial"/>
        </w:rPr>
        <w:t xml:space="preserve">Differentiating Equation (5) with respect to </w:t>
      </w:r>
      <w:r w:rsidRPr="001A365B">
        <w:rPr>
          <w:rFonts w:ascii="Arial" w:hAnsi="Arial" w:cs="Arial"/>
          <w:position w:val="-12"/>
        </w:rPr>
        <w:object w:dxaOrig="580" w:dyaOrig="360" w14:anchorId="0A08EBED">
          <v:shape id="_x0000_i1036" type="#_x0000_t75" style="width:29.4pt;height:19.2pt" o:ole="">
            <v:imagedata r:id="rId36" o:title=""/>
          </v:shape>
          <o:OLEObject Type="Embed" ProgID="Equation.3" ShapeID="_x0000_i1036" DrawAspect="Content" ObjectID="_1804070259" r:id="rId37"/>
        </w:object>
      </w:r>
      <w:r w:rsidRPr="001A365B">
        <w:rPr>
          <w:rFonts w:ascii="Arial" w:hAnsi="Arial" w:cs="Arial"/>
        </w:rPr>
        <w:t xml:space="preserve">  gives the following first order conditions (FOC)</w:t>
      </w:r>
    </w:p>
    <w:p w14:paraId="592352B2" w14:textId="77777777" w:rsidR="00925633" w:rsidRPr="001A365B" w:rsidRDefault="00925633" w:rsidP="00925633">
      <w:pPr>
        <w:rPr>
          <w:rFonts w:ascii="Arial" w:hAnsi="Arial" w:cs="Arial"/>
          <w:position w:val="-12"/>
        </w:rPr>
      </w:pPr>
      <w:r w:rsidRPr="001A365B">
        <w:rPr>
          <w:rFonts w:ascii="Arial" w:hAnsi="Arial" w:cs="Arial"/>
          <w:position w:val="-30"/>
        </w:rPr>
        <w:object w:dxaOrig="5060" w:dyaOrig="680" w14:anchorId="134F99A6">
          <v:shape id="_x0000_i1037" type="#_x0000_t75" style="width:253.8pt;height:34.2pt" o:ole="">
            <v:imagedata r:id="rId38" o:title=""/>
          </v:shape>
          <o:OLEObject Type="Embed" ProgID="Equation.3" ShapeID="_x0000_i1037" DrawAspect="Content" ObjectID="_1804070260" r:id="rId39"/>
        </w:object>
      </w:r>
      <w:r w:rsidRPr="001A365B">
        <w:rPr>
          <w:rFonts w:ascii="Arial" w:hAnsi="Arial" w:cs="Arial"/>
          <w:position w:val="-12"/>
        </w:rPr>
        <w:tab/>
      </w:r>
      <w:r w:rsidRPr="001A365B">
        <w:rPr>
          <w:rFonts w:ascii="Arial" w:hAnsi="Arial" w:cs="Arial"/>
          <w:position w:val="-12"/>
        </w:rPr>
        <w:tab/>
      </w:r>
      <w:r w:rsidRPr="001A365B">
        <w:rPr>
          <w:rFonts w:ascii="Arial" w:hAnsi="Arial" w:cs="Arial"/>
          <w:position w:val="-12"/>
        </w:rPr>
        <w:tab/>
      </w:r>
      <w:r w:rsidRPr="001A365B">
        <w:rPr>
          <w:rFonts w:ascii="Arial" w:hAnsi="Arial" w:cs="Arial"/>
          <w:position w:val="-12"/>
        </w:rPr>
        <w:tab/>
        <w:t>(6)</w:t>
      </w:r>
    </w:p>
    <w:p w14:paraId="3B284C28" w14:textId="77777777" w:rsidR="00925633" w:rsidRPr="001A365B" w:rsidRDefault="00925633" w:rsidP="00925633">
      <w:pPr>
        <w:rPr>
          <w:rFonts w:ascii="Arial" w:hAnsi="Arial" w:cs="Arial"/>
          <w:position w:val="-12"/>
        </w:rPr>
      </w:pPr>
      <w:r w:rsidRPr="001A365B">
        <w:rPr>
          <w:rFonts w:ascii="Arial" w:hAnsi="Arial" w:cs="Arial"/>
          <w:position w:val="-30"/>
        </w:rPr>
        <w:object w:dxaOrig="5179" w:dyaOrig="680" w14:anchorId="6FC631C5">
          <v:shape id="_x0000_i1038" type="#_x0000_t75" style="width:259.2pt;height:34.2pt" o:ole="">
            <v:imagedata r:id="rId40" o:title=""/>
          </v:shape>
          <o:OLEObject Type="Embed" ProgID="Equation.3" ShapeID="_x0000_i1038" DrawAspect="Content" ObjectID="_1804070261" r:id="rId41"/>
        </w:object>
      </w:r>
      <w:r w:rsidRPr="001A365B">
        <w:rPr>
          <w:rFonts w:ascii="Arial" w:hAnsi="Arial" w:cs="Arial"/>
          <w:position w:val="-12"/>
        </w:rPr>
        <w:tab/>
      </w:r>
      <w:r w:rsidRPr="001A365B">
        <w:rPr>
          <w:rFonts w:ascii="Arial" w:hAnsi="Arial" w:cs="Arial"/>
          <w:position w:val="-12"/>
        </w:rPr>
        <w:tab/>
      </w:r>
      <w:r w:rsidRPr="001A365B">
        <w:rPr>
          <w:rFonts w:ascii="Arial" w:hAnsi="Arial" w:cs="Arial"/>
          <w:position w:val="-12"/>
        </w:rPr>
        <w:tab/>
      </w:r>
      <w:r w:rsidRPr="001A365B">
        <w:rPr>
          <w:rFonts w:ascii="Arial" w:hAnsi="Arial" w:cs="Arial"/>
          <w:position w:val="-12"/>
        </w:rPr>
        <w:tab/>
        <w:t>(7)</w:t>
      </w:r>
    </w:p>
    <w:p w14:paraId="13FE7E0A" w14:textId="77777777" w:rsidR="00925633" w:rsidRPr="001A365B" w:rsidRDefault="00925633" w:rsidP="00925633">
      <w:pPr>
        <w:rPr>
          <w:rFonts w:ascii="Arial" w:hAnsi="Arial" w:cs="Arial"/>
          <w:position w:val="-12"/>
        </w:rPr>
      </w:pPr>
      <w:r w:rsidRPr="001A365B">
        <w:rPr>
          <w:rFonts w:ascii="Arial" w:hAnsi="Arial" w:cs="Arial"/>
          <w:position w:val="-30"/>
        </w:rPr>
        <w:object w:dxaOrig="5140" w:dyaOrig="680" w14:anchorId="217042D0">
          <v:shape id="_x0000_i1039" type="#_x0000_t75" style="width:258pt;height:34.2pt" o:ole="">
            <v:imagedata r:id="rId42" o:title=""/>
          </v:shape>
          <o:OLEObject Type="Embed" ProgID="Equation.3" ShapeID="_x0000_i1039" DrawAspect="Content" ObjectID="_1804070262" r:id="rId43"/>
        </w:object>
      </w:r>
      <w:r w:rsidRPr="001A365B">
        <w:rPr>
          <w:rFonts w:ascii="Arial" w:hAnsi="Arial" w:cs="Arial"/>
          <w:position w:val="-12"/>
        </w:rPr>
        <w:tab/>
      </w:r>
      <w:r w:rsidRPr="001A365B">
        <w:rPr>
          <w:rFonts w:ascii="Arial" w:hAnsi="Arial" w:cs="Arial"/>
          <w:position w:val="-12"/>
        </w:rPr>
        <w:tab/>
      </w:r>
      <w:r w:rsidRPr="001A365B">
        <w:rPr>
          <w:rFonts w:ascii="Arial" w:hAnsi="Arial" w:cs="Arial"/>
          <w:position w:val="-12"/>
        </w:rPr>
        <w:tab/>
      </w:r>
      <w:r w:rsidRPr="001A365B">
        <w:rPr>
          <w:rFonts w:ascii="Arial" w:hAnsi="Arial" w:cs="Arial"/>
          <w:position w:val="-12"/>
        </w:rPr>
        <w:tab/>
        <w:t>(8)</w:t>
      </w:r>
    </w:p>
    <w:p w14:paraId="25360181" w14:textId="77777777" w:rsidR="00925633" w:rsidRPr="001A365B" w:rsidRDefault="00925633" w:rsidP="00925633">
      <w:pPr>
        <w:rPr>
          <w:rFonts w:ascii="Arial" w:hAnsi="Arial" w:cs="Arial"/>
          <w:position w:val="-12"/>
        </w:rPr>
      </w:pPr>
      <w:r w:rsidRPr="001A365B">
        <w:rPr>
          <w:rFonts w:ascii="Arial" w:hAnsi="Arial" w:cs="Arial"/>
          <w:position w:val="-30"/>
        </w:rPr>
        <w:object w:dxaOrig="2659" w:dyaOrig="700" w14:anchorId="6ABFDCEF">
          <v:shape id="_x0000_i1040" type="#_x0000_t75" style="width:133.2pt;height:36pt" o:ole="">
            <v:imagedata r:id="rId44" o:title=""/>
          </v:shape>
          <o:OLEObject Type="Embed" ProgID="Equation.3" ShapeID="_x0000_i1040" DrawAspect="Content" ObjectID="_1804070263" r:id="rId45"/>
        </w:object>
      </w:r>
      <w:r w:rsidRPr="001A365B">
        <w:rPr>
          <w:rFonts w:ascii="Arial" w:hAnsi="Arial" w:cs="Arial"/>
          <w:position w:val="-12"/>
        </w:rPr>
        <w:tab/>
      </w:r>
      <w:r w:rsidRPr="001A365B">
        <w:rPr>
          <w:rFonts w:ascii="Arial" w:hAnsi="Arial" w:cs="Arial"/>
          <w:position w:val="-12"/>
        </w:rPr>
        <w:tab/>
      </w:r>
      <w:r w:rsidRPr="001A365B">
        <w:rPr>
          <w:rFonts w:ascii="Arial" w:hAnsi="Arial" w:cs="Arial"/>
          <w:position w:val="-12"/>
        </w:rPr>
        <w:tab/>
      </w:r>
      <w:r w:rsidRPr="001A365B">
        <w:rPr>
          <w:rFonts w:ascii="Arial" w:hAnsi="Arial" w:cs="Arial"/>
          <w:position w:val="-12"/>
        </w:rPr>
        <w:tab/>
      </w:r>
      <w:r w:rsidRPr="001A365B">
        <w:rPr>
          <w:rFonts w:ascii="Arial" w:hAnsi="Arial" w:cs="Arial"/>
          <w:position w:val="-12"/>
        </w:rPr>
        <w:tab/>
      </w:r>
      <w:r w:rsidRPr="001A365B">
        <w:rPr>
          <w:rFonts w:ascii="Arial" w:hAnsi="Arial" w:cs="Arial"/>
          <w:position w:val="-12"/>
        </w:rPr>
        <w:tab/>
      </w:r>
      <w:r w:rsidRPr="001A365B">
        <w:rPr>
          <w:rFonts w:ascii="Arial" w:hAnsi="Arial" w:cs="Arial"/>
          <w:position w:val="-12"/>
        </w:rPr>
        <w:tab/>
      </w:r>
      <w:r w:rsidRPr="001A365B">
        <w:rPr>
          <w:rFonts w:ascii="Arial" w:hAnsi="Arial" w:cs="Arial"/>
          <w:position w:val="-12"/>
        </w:rPr>
        <w:tab/>
        <w:t>(9)</w:t>
      </w:r>
    </w:p>
    <w:p w14:paraId="23E46A5C" w14:textId="77777777" w:rsidR="00925633" w:rsidRPr="001A365B" w:rsidRDefault="00925633" w:rsidP="00925633">
      <w:pPr>
        <w:rPr>
          <w:rFonts w:ascii="Arial" w:hAnsi="Arial" w:cs="Arial"/>
          <w:position w:val="-12"/>
        </w:rPr>
      </w:pPr>
      <w:r w:rsidRPr="001A365B">
        <w:rPr>
          <w:rFonts w:ascii="Arial" w:hAnsi="Arial" w:cs="Arial"/>
          <w:position w:val="-30"/>
        </w:rPr>
        <w:object w:dxaOrig="1939" w:dyaOrig="700" w14:anchorId="5D8B9F94">
          <v:shape id="_x0000_i1041" type="#_x0000_t75" style="width:97.2pt;height:36pt" o:ole="">
            <v:imagedata r:id="rId46" o:title=""/>
          </v:shape>
          <o:OLEObject Type="Embed" ProgID="Equation.3" ShapeID="_x0000_i1041" DrawAspect="Content" ObjectID="_1804070264" r:id="rId47"/>
        </w:object>
      </w:r>
      <w:r w:rsidRPr="001A365B">
        <w:rPr>
          <w:rFonts w:ascii="Arial" w:hAnsi="Arial" w:cs="Arial"/>
          <w:position w:val="-12"/>
        </w:rPr>
        <w:tab/>
      </w:r>
      <w:r w:rsidRPr="001A365B">
        <w:rPr>
          <w:rFonts w:ascii="Arial" w:hAnsi="Arial" w:cs="Arial"/>
          <w:position w:val="-12"/>
        </w:rPr>
        <w:tab/>
      </w:r>
      <w:r w:rsidRPr="001A365B">
        <w:rPr>
          <w:rFonts w:ascii="Arial" w:hAnsi="Arial" w:cs="Arial"/>
          <w:position w:val="-12"/>
        </w:rPr>
        <w:tab/>
      </w:r>
      <w:r w:rsidRPr="001A365B">
        <w:rPr>
          <w:rFonts w:ascii="Arial" w:hAnsi="Arial" w:cs="Arial"/>
          <w:position w:val="-12"/>
        </w:rPr>
        <w:tab/>
      </w:r>
      <w:r w:rsidRPr="001A365B">
        <w:rPr>
          <w:rFonts w:ascii="Arial" w:hAnsi="Arial" w:cs="Arial"/>
          <w:position w:val="-12"/>
        </w:rPr>
        <w:tab/>
      </w:r>
      <w:r w:rsidRPr="001A365B">
        <w:rPr>
          <w:rFonts w:ascii="Arial" w:hAnsi="Arial" w:cs="Arial"/>
          <w:position w:val="-12"/>
        </w:rPr>
        <w:tab/>
      </w:r>
      <w:r w:rsidRPr="001A365B">
        <w:rPr>
          <w:rFonts w:ascii="Arial" w:hAnsi="Arial" w:cs="Arial"/>
          <w:position w:val="-12"/>
        </w:rPr>
        <w:tab/>
      </w:r>
      <w:r w:rsidRPr="001A365B">
        <w:rPr>
          <w:rFonts w:ascii="Arial" w:hAnsi="Arial" w:cs="Arial"/>
          <w:position w:val="-12"/>
        </w:rPr>
        <w:tab/>
        <w:t>(10)</w:t>
      </w:r>
    </w:p>
    <w:p w14:paraId="0CD1239E" w14:textId="77777777" w:rsidR="00925633" w:rsidRPr="001A365B" w:rsidRDefault="00925633" w:rsidP="00925633">
      <w:pPr>
        <w:rPr>
          <w:rFonts w:ascii="Arial" w:hAnsi="Arial" w:cs="Arial"/>
        </w:rPr>
      </w:pPr>
      <w:r w:rsidRPr="001A365B">
        <w:rPr>
          <w:rFonts w:ascii="Arial" w:hAnsi="Arial" w:cs="Arial"/>
        </w:rPr>
        <w:t xml:space="preserve">For minimum variance portfolio </w:t>
      </w:r>
    </w:p>
    <w:p w14:paraId="4E500FDB" w14:textId="77777777" w:rsidR="00925633" w:rsidRPr="001A365B" w:rsidRDefault="00925633" w:rsidP="00925633">
      <w:pPr>
        <w:rPr>
          <w:rFonts w:ascii="Arial" w:hAnsi="Arial" w:cs="Arial"/>
        </w:rPr>
      </w:pPr>
      <w:r w:rsidRPr="001A365B">
        <w:rPr>
          <w:rFonts w:ascii="Arial" w:hAnsi="Arial" w:cs="Arial"/>
        </w:rPr>
        <w:t>From equations (9) and (10), the generalized n-assets case can be written as</w:t>
      </w:r>
    </w:p>
    <w:p w14:paraId="707D2BE2" w14:textId="77777777" w:rsidR="00925633" w:rsidRPr="001A365B" w:rsidRDefault="00925633" w:rsidP="00925633">
      <w:pPr>
        <w:rPr>
          <w:rFonts w:ascii="Arial" w:hAnsi="Arial" w:cs="Arial"/>
          <w:position w:val="-12"/>
        </w:rPr>
      </w:pPr>
      <w:r w:rsidRPr="001A365B">
        <w:rPr>
          <w:rFonts w:ascii="Arial" w:hAnsi="Arial" w:cs="Arial"/>
          <w:position w:val="-28"/>
        </w:rPr>
        <w:object w:dxaOrig="1640" w:dyaOrig="680" w14:anchorId="5075DA0A">
          <v:shape id="_x0000_i1042" type="#_x0000_t75" style="width:81pt;height:34.2pt" o:ole="">
            <v:imagedata r:id="rId48" o:title=""/>
          </v:shape>
          <o:OLEObject Type="Embed" ProgID="Equation.3" ShapeID="_x0000_i1042" DrawAspect="Content" ObjectID="_1804070265" r:id="rId49"/>
        </w:object>
      </w:r>
      <w:r w:rsidR="008E432C">
        <w:rPr>
          <w:rFonts w:ascii="Arial" w:hAnsi="Arial" w:cs="Arial"/>
          <w:position w:val="-12"/>
        </w:rPr>
        <w:tab/>
      </w:r>
      <w:r w:rsidR="008E432C">
        <w:rPr>
          <w:rFonts w:ascii="Arial" w:hAnsi="Arial" w:cs="Arial"/>
          <w:position w:val="-12"/>
        </w:rPr>
        <w:tab/>
      </w:r>
      <w:r w:rsidR="008E432C">
        <w:rPr>
          <w:rFonts w:ascii="Arial" w:hAnsi="Arial" w:cs="Arial"/>
          <w:position w:val="-12"/>
        </w:rPr>
        <w:tab/>
      </w:r>
      <w:r w:rsidRPr="001A365B">
        <w:rPr>
          <w:rFonts w:ascii="Arial" w:hAnsi="Arial" w:cs="Arial"/>
          <w:position w:val="-12"/>
        </w:rPr>
        <w:tab/>
      </w:r>
      <w:r w:rsidRPr="001A365B">
        <w:rPr>
          <w:rFonts w:ascii="Arial" w:hAnsi="Arial" w:cs="Arial"/>
          <w:position w:val="-12"/>
        </w:rPr>
        <w:tab/>
      </w:r>
      <w:r w:rsidRPr="001A365B">
        <w:rPr>
          <w:rFonts w:ascii="Arial" w:hAnsi="Arial" w:cs="Arial"/>
          <w:position w:val="-12"/>
        </w:rPr>
        <w:tab/>
      </w:r>
      <w:r w:rsidRPr="001A365B">
        <w:rPr>
          <w:rFonts w:ascii="Arial" w:hAnsi="Arial" w:cs="Arial"/>
          <w:position w:val="-12"/>
        </w:rPr>
        <w:tab/>
      </w:r>
      <w:r w:rsidRPr="001A365B">
        <w:rPr>
          <w:rFonts w:ascii="Arial" w:hAnsi="Arial" w:cs="Arial"/>
          <w:position w:val="-12"/>
        </w:rPr>
        <w:tab/>
        <w:t>(11)</w:t>
      </w:r>
    </w:p>
    <w:p w14:paraId="0D096974" w14:textId="77777777" w:rsidR="00925633" w:rsidRPr="001A365B" w:rsidRDefault="00925633" w:rsidP="00925633">
      <w:pPr>
        <w:rPr>
          <w:rFonts w:ascii="Arial" w:hAnsi="Arial" w:cs="Arial"/>
          <w:position w:val="-12"/>
        </w:rPr>
      </w:pPr>
      <w:r w:rsidRPr="001A365B">
        <w:rPr>
          <w:rFonts w:ascii="Arial" w:hAnsi="Arial" w:cs="Arial"/>
          <w:position w:val="-28"/>
        </w:rPr>
        <w:object w:dxaOrig="940" w:dyaOrig="680" w14:anchorId="543A9357">
          <v:shape id="_x0000_i1043" type="#_x0000_t75" style="width:46.8pt;height:34.2pt" o:ole="">
            <v:imagedata r:id="rId50" o:title=""/>
          </v:shape>
          <o:OLEObject Type="Embed" ProgID="Equation.3" ShapeID="_x0000_i1043" DrawAspect="Content" ObjectID="_1804070266" r:id="rId51"/>
        </w:object>
      </w:r>
      <w:r w:rsidR="008E432C">
        <w:rPr>
          <w:rFonts w:ascii="Arial" w:hAnsi="Arial" w:cs="Arial"/>
          <w:position w:val="-12"/>
        </w:rPr>
        <w:tab/>
      </w:r>
      <w:r w:rsidR="008E432C">
        <w:rPr>
          <w:rFonts w:ascii="Arial" w:hAnsi="Arial" w:cs="Arial"/>
          <w:position w:val="-12"/>
        </w:rPr>
        <w:tab/>
      </w:r>
      <w:r w:rsidR="008E432C">
        <w:rPr>
          <w:rFonts w:ascii="Arial" w:hAnsi="Arial" w:cs="Arial"/>
          <w:position w:val="-12"/>
        </w:rPr>
        <w:tab/>
      </w:r>
      <w:r w:rsidR="008E432C">
        <w:rPr>
          <w:rFonts w:ascii="Arial" w:hAnsi="Arial" w:cs="Arial"/>
          <w:position w:val="-12"/>
        </w:rPr>
        <w:tab/>
      </w:r>
      <w:r w:rsidRPr="001A365B">
        <w:rPr>
          <w:rFonts w:ascii="Arial" w:hAnsi="Arial" w:cs="Arial"/>
          <w:position w:val="-12"/>
        </w:rPr>
        <w:tab/>
      </w:r>
      <w:r w:rsidRPr="001A365B">
        <w:rPr>
          <w:rFonts w:ascii="Arial" w:hAnsi="Arial" w:cs="Arial"/>
          <w:position w:val="-12"/>
        </w:rPr>
        <w:tab/>
      </w:r>
      <w:r w:rsidRPr="001A365B">
        <w:rPr>
          <w:rFonts w:ascii="Arial" w:hAnsi="Arial" w:cs="Arial"/>
          <w:position w:val="-12"/>
        </w:rPr>
        <w:tab/>
      </w:r>
      <w:r w:rsidRPr="001A365B">
        <w:rPr>
          <w:rFonts w:ascii="Arial" w:hAnsi="Arial" w:cs="Arial"/>
          <w:position w:val="-12"/>
        </w:rPr>
        <w:tab/>
      </w:r>
      <w:r w:rsidRPr="001A365B">
        <w:rPr>
          <w:rFonts w:ascii="Arial" w:hAnsi="Arial" w:cs="Arial"/>
          <w:position w:val="-12"/>
        </w:rPr>
        <w:tab/>
        <w:t>(12)</w:t>
      </w:r>
    </w:p>
    <w:p w14:paraId="3D1F2D6E" w14:textId="77777777" w:rsidR="00925633" w:rsidRPr="001A365B" w:rsidRDefault="00925633" w:rsidP="00925633">
      <w:pPr>
        <w:jc w:val="both"/>
        <w:rPr>
          <w:rFonts w:ascii="Arial" w:hAnsi="Arial" w:cs="Arial"/>
        </w:rPr>
      </w:pPr>
      <w:r w:rsidRPr="001A365B">
        <w:rPr>
          <w:rFonts w:ascii="Arial" w:hAnsi="Arial" w:cs="Arial"/>
        </w:rPr>
        <w:t xml:space="preserve">where </w:t>
      </w:r>
      <w:r w:rsidRPr="001A365B">
        <w:rPr>
          <w:rFonts w:ascii="Arial" w:hAnsi="Arial" w:cs="Arial"/>
          <w:position w:val="-14"/>
        </w:rPr>
        <w:object w:dxaOrig="1660" w:dyaOrig="380" w14:anchorId="6633450C">
          <v:shape id="_x0000_i1044" type="#_x0000_t75" style="width:83.4pt;height:19.2pt" o:ole="">
            <v:imagedata r:id="rId52" o:title=""/>
          </v:shape>
          <o:OLEObject Type="Embed" ProgID="Equation.3" ShapeID="_x0000_i1044" DrawAspect="Content" ObjectID="_1804070267" r:id="rId53"/>
        </w:object>
      </w:r>
      <w:r w:rsidRPr="001A365B">
        <w:rPr>
          <w:rFonts w:ascii="Arial" w:hAnsi="Arial" w:cs="Arial"/>
          <w:position w:val="-12"/>
        </w:rPr>
        <w:t xml:space="preserve"> </w:t>
      </w:r>
      <w:r w:rsidRPr="001A365B">
        <w:rPr>
          <w:rFonts w:ascii="Arial" w:hAnsi="Arial" w:cs="Arial"/>
        </w:rPr>
        <w:t xml:space="preserve">covariance matrix, </w:t>
      </w:r>
      <w:r w:rsidRPr="001A365B">
        <w:rPr>
          <w:rFonts w:ascii="Arial" w:hAnsi="Arial" w:cs="Arial"/>
          <w:i/>
        </w:rPr>
        <w:t>ER</w:t>
      </w:r>
      <w:r w:rsidRPr="001A365B">
        <w:rPr>
          <w:rFonts w:ascii="Arial" w:hAnsi="Arial" w:cs="Arial"/>
        </w:rPr>
        <w:t xml:space="preserve"> is </w:t>
      </w:r>
      <w:r w:rsidRPr="001A365B">
        <w:rPr>
          <w:rFonts w:ascii="Arial" w:hAnsi="Arial" w:cs="Arial"/>
          <w:position w:val="-10"/>
        </w:rPr>
        <w:object w:dxaOrig="620" w:dyaOrig="340" w14:anchorId="57ECD265">
          <v:shape id="_x0000_i1045" type="#_x0000_t75" style="width:31.8pt;height:17.4pt" o:ole="">
            <v:imagedata r:id="rId54" o:title=""/>
          </v:shape>
          <o:OLEObject Type="Embed" ProgID="Equation.3" ShapeID="_x0000_i1045" DrawAspect="Content" ObjectID="_1804070268" r:id="rId55"/>
        </w:object>
      </w:r>
      <w:r w:rsidRPr="001A365B">
        <w:rPr>
          <w:rFonts w:ascii="Arial" w:hAnsi="Arial" w:cs="Arial"/>
        </w:rPr>
        <w:t xml:space="preserve">, </w:t>
      </w:r>
      <w:r w:rsidRPr="001A365B">
        <w:rPr>
          <w:rFonts w:ascii="Arial" w:hAnsi="Arial" w:cs="Arial"/>
          <w:position w:val="-12"/>
        </w:rPr>
        <w:object w:dxaOrig="260" w:dyaOrig="360" w14:anchorId="33506241">
          <v:shape id="_x0000_i1046" type="#_x0000_t75" style="width:12.6pt;height:19.2pt" o:ole="">
            <v:imagedata r:id="rId56" o:title=""/>
          </v:shape>
          <o:OLEObject Type="Embed" ProgID="Equation.3" ShapeID="_x0000_i1046" DrawAspect="Content" ObjectID="_1804070269" r:id="rId57"/>
        </w:object>
      </w:r>
      <w:r w:rsidRPr="001A365B">
        <w:rPr>
          <w:rFonts w:ascii="Arial" w:hAnsi="Arial" w:cs="Arial"/>
        </w:rPr>
        <w:t xml:space="preserve"> are scalars,</w:t>
      </w:r>
      <w:r w:rsidRPr="001A365B">
        <w:rPr>
          <w:rFonts w:ascii="Arial" w:hAnsi="Arial" w:cs="Arial"/>
          <w:position w:val="-12"/>
        </w:rPr>
        <w:object w:dxaOrig="279" w:dyaOrig="360" w14:anchorId="2DD6313B">
          <v:shape id="_x0000_i1047" type="#_x0000_t75" style="width:13.2pt;height:19.2pt" o:ole="">
            <v:imagedata r:id="rId58" o:title=""/>
          </v:shape>
          <o:OLEObject Type="Embed" ProgID="Equation.3" ShapeID="_x0000_i1047" DrawAspect="Content" ObjectID="_1804070270" r:id="rId59"/>
        </w:object>
      </w:r>
      <w:r w:rsidRPr="001A365B">
        <w:rPr>
          <w:rFonts w:ascii="Arial" w:hAnsi="Arial" w:cs="Arial"/>
          <w:position w:val="-12"/>
        </w:rPr>
        <w:t xml:space="preserve"> </w:t>
      </w:r>
      <w:r w:rsidRPr="001A365B">
        <w:rPr>
          <w:rFonts w:ascii="Arial" w:hAnsi="Arial" w:cs="Arial"/>
        </w:rPr>
        <w:t xml:space="preserve">are weights of assets, </w:t>
      </w:r>
      <w:r w:rsidRPr="001A365B">
        <w:rPr>
          <w:rFonts w:ascii="Arial" w:hAnsi="Arial" w:cs="Arial"/>
          <w:position w:val="-12"/>
        </w:rPr>
        <w:object w:dxaOrig="320" w:dyaOrig="360" w14:anchorId="0D2B6134">
          <v:shape id="_x0000_i1048" type="#_x0000_t75" style="width:16.2pt;height:19.2pt" o:ole="">
            <v:imagedata r:id="rId60" o:title=""/>
          </v:shape>
          <o:OLEObject Type="Embed" ProgID="Equation.3" ShapeID="_x0000_i1048" DrawAspect="Content" ObjectID="_1804070271" r:id="rId61"/>
        </w:object>
      </w:r>
      <w:r w:rsidRPr="001A365B">
        <w:rPr>
          <w:rFonts w:ascii="Arial" w:hAnsi="Arial" w:cs="Arial"/>
        </w:rPr>
        <w:t xml:space="preserve"> are variances, and </w:t>
      </w:r>
      <w:r w:rsidRPr="001A365B">
        <w:rPr>
          <w:rFonts w:ascii="Arial" w:hAnsi="Arial" w:cs="Arial"/>
          <w:position w:val="-14"/>
        </w:rPr>
        <w:object w:dxaOrig="320" w:dyaOrig="380" w14:anchorId="543CC747">
          <v:shape id="_x0000_i1049" type="#_x0000_t75" style="width:16.2pt;height:19.2pt" o:ole="">
            <v:imagedata r:id="rId62" o:title=""/>
          </v:shape>
          <o:OLEObject Type="Embed" ProgID="Equation.3" ShapeID="_x0000_i1049" DrawAspect="Content" ObjectID="_1804070272" r:id="rId63"/>
        </w:object>
      </w:r>
      <w:r w:rsidRPr="001A365B">
        <w:rPr>
          <w:rFonts w:ascii="Arial" w:hAnsi="Arial" w:cs="Arial"/>
        </w:rPr>
        <w:t xml:space="preserve"> equation (10) arbitrarily set </w:t>
      </w:r>
      <w:r w:rsidRPr="001A365B">
        <w:rPr>
          <w:rFonts w:ascii="Arial" w:hAnsi="Arial" w:cs="Arial"/>
          <w:position w:val="-14"/>
        </w:rPr>
        <w:object w:dxaOrig="480" w:dyaOrig="380" w14:anchorId="3AB5E242">
          <v:shape id="_x0000_i1050" type="#_x0000_t75" style="width:24.6pt;height:19.2pt" o:ole="">
            <v:imagedata r:id="rId64" o:title=""/>
          </v:shape>
          <o:OLEObject Type="Embed" ProgID="Equation.3" ShapeID="_x0000_i1050" DrawAspect="Content" ObjectID="_1804070273" r:id="rId65"/>
        </w:object>
      </w:r>
      <w:r w:rsidRPr="001A365B">
        <w:rPr>
          <w:rFonts w:ascii="Arial" w:hAnsi="Arial" w:cs="Arial"/>
        </w:rPr>
        <w:t xml:space="preserve"> to any fixed value, we have </w:t>
      </w:r>
      <w:r w:rsidRPr="001A365B">
        <w:rPr>
          <w:rFonts w:ascii="Arial" w:hAnsi="Arial" w:cs="Arial"/>
          <w:position w:val="-10"/>
        </w:rPr>
        <w:object w:dxaOrig="680" w:dyaOrig="340" w14:anchorId="6EB5D44B">
          <v:shape id="_x0000_i1051" type="#_x0000_t75" style="width:34.2pt;height:17.4pt" o:ole="">
            <v:imagedata r:id="rId66" o:title=""/>
          </v:shape>
          <o:OLEObject Type="Embed" ProgID="Equation.3" ShapeID="_x0000_i1051" DrawAspect="Content" ObjectID="_1804070274" r:id="rId67"/>
        </w:object>
      </w:r>
    </w:p>
    <w:p w14:paraId="701EA7D4" w14:textId="77777777" w:rsidR="00925633" w:rsidRPr="001A365B" w:rsidRDefault="00925633" w:rsidP="00925633">
      <w:pPr>
        <w:jc w:val="both"/>
        <w:rPr>
          <w:rFonts w:ascii="Arial" w:hAnsi="Arial" w:cs="Arial"/>
        </w:rPr>
      </w:pPr>
      <w:r w:rsidRPr="001A365B">
        <w:rPr>
          <w:rFonts w:ascii="Arial" w:hAnsi="Arial" w:cs="Arial"/>
        </w:rPr>
        <w:t xml:space="preserve">linear equation and </w:t>
      </w:r>
      <w:r w:rsidRPr="001A365B">
        <w:rPr>
          <w:rFonts w:ascii="Arial" w:hAnsi="Arial" w:cs="Arial"/>
          <w:position w:val="-10"/>
        </w:rPr>
        <w:object w:dxaOrig="680" w:dyaOrig="340" w14:anchorId="509E24AD">
          <v:shape id="_x0000_i1052" type="#_x0000_t75" style="width:34.2pt;height:17.4pt" o:ole="">
            <v:imagedata r:id="rId68" o:title=""/>
          </v:shape>
          <o:OLEObject Type="Embed" ProgID="Equation.3" ShapeID="_x0000_i1052" DrawAspect="Content" ObjectID="_1804070275" r:id="rId69"/>
        </w:object>
      </w:r>
      <w:r w:rsidRPr="001A365B">
        <w:rPr>
          <w:rFonts w:ascii="Arial" w:hAnsi="Arial" w:cs="Arial"/>
        </w:rPr>
        <w:t xml:space="preserve"> unknowns, the </w:t>
      </w:r>
      <w:r w:rsidRPr="001A365B">
        <w:rPr>
          <w:rFonts w:ascii="Arial" w:hAnsi="Arial" w:cs="Arial"/>
          <w:position w:val="-12"/>
        </w:rPr>
        <w:object w:dxaOrig="279" w:dyaOrig="360" w14:anchorId="5DF1DC2F">
          <v:shape id="_x0000_i1053" type="#_x0000_t75" style="width:13.2pt;height:19.2pt" o:ole="">
            <v:imagedata r:id="rId58" o:title=""/>
          </v:shape>
          <o:OLEObject Type="Embed" ProgID="Equation.3" ShapeID="_x0000_i1053" DrawAspect="Content" ObjectID="_1804070276" r:id="rId70"/>
        </w:object>
      </w:r>
      <w:r w:rsidRPr="001A365B">
        <w:rPr>
          <w:rFonts w:ascii="Arial" w:hAnsi="Arial" w:cs="Arial"/>
          <w:position w:val="-12"/>
        </w:rPr>
        <w:t xml:space="preserve"> </w:t>
      </w:r>
      <w:proofErr w:type="spellStart"/>
      <w:r w:rsidRPr="001A365B">
        <w:rPr>
          <w:rFonts w:ascii="Arial" w:hAnsi="Arial" w:cs="Arial"/>
        </w:rPr>
        <w:t>and</w:t>
      </w:r>
      <w:proofErr w:type="spellEnd"/>
      <w:r w:rsidRPr="001A365B">
        <w:rPr>
          <w:rFonts w:ascii="Arial" w:hAnsi="Arial" w:cs="Arial"/>
        </w:rPr>
        <w:t xml:space="preserve"> </w:t>
      </w:r>
      <w:r w:rsidRPr="001A365B">
        <w:rPr>
          <w:rFonts w:ascii="Arial" w:hAnsi="Arial" w:cs="Arial"/>
          <w:position w:val="-12"/>
        </w:rPr>
        <w:object w:dxaOrig="260" w:dyaOrig="360" w14:anchorId="2298E106">
          <v:shape id="_x0000_i1054" type="#_x0000_t75" style="width:12.6pt;height:19.2pt" o:ole="">
            <v:imagedata r:id="rId56" o:title=""/>
          </v:shape>
          <o:OLEObject Type="Embed" ProgID="Equation.3" ShapeID="_x0000_i1054" DrawAspect="Content" ObjectID="_1804070277" r:id="rId71"/>
        </w:object>
      </w:r>
      <w:r w:rsidRPr="001A365B">
        <w:rPr>
          <w:rFonts w:ascii="Arial" w:hAnsi="Arial" w:cs="Arial"/>
        </w:rPr>
        <w:t xml:space="preserve">. These linear equations are easily solved to give the optimal weights for one point on the minimum variance portfolio. We estimate expected returns </w:t>
      </w:r>
      <w:r w:rsidRPr="001A365B">
        <w:rPr>
          <w:rFonts w:ascii="Arial" w:hAnsi="Arial" w:cs="Arial"/>
          <w:position w:val="-12"/>
        </w:rPr>
        <w:object w:dxaOrig="420" w:dyaOrig="360" w14:anchorId="5DFD76E0">
          <v:shape id="_x0000_i1055" type="#_x0000_t75" style="width:21pt;height:19.2pt" o:ole="">
            <v:imagedata r:id="rId72" o:title=""/>
          </v:shape>
          <o:OLEObject Type="Embed" ProgID="Equation.3" ShapeID="_x0000_i1055" DrawAspect="Content" ObjectID="_1804070278" r:id="rId73"/>
        </w:object>
      </w:r>
      <w:r w:rsidRPr="001A365B">
        <w:rPr>
          <w:rFonts w:ascii="Arial" w:hAnsi="Arial" w:cs="Arial"/>
        </w:rPr>
        <w:t xml:space="preserve">, standard deviations and covariances </w:t>
      </w:r>
      <w:r w:rsidRPr="001A365B">
        <w:rPr>
          <w:rFonts w:ascii="Arial" w:hAnsi="Arial" w:cs="Arial"/>
          <w:position w:val="-14"/>
        </w:rPr>
        <w:object w:dxaOrig="320" w:dyaOrig="380" w14:anchorId="5FC64517">
          <v:shape id="_x0000_i1056" type="#_x0000_t75" style="width:16.2pt;height:19.2pt" o:ole="">
            <v:imagedata r:id="rId62" o:title=""/>
          </v:shape>
          <o:OLEObject Type="Embed" ProgID="Equation.3" ShapeID="_x0000_i1056" DrawAspect="Content" ObjectID="_1804070279" r:id="rId74"/>
        </w:object>
      </w:r>
      <w:r w:rsidRPr="001A365B">
        <w:rPr>
          <w:rFonts w:ascii="Arial" w:hAnsi="Arial" w:cs="Arial"/>
        </w:rPr>
        <w:t xml:space="preserve"> . Having obtained the optimal weight </w:t>
      </w:r>
      <w:r w:rsidRPr="001A365B">
        <w:rPr>
          <w:rFonts w:ascii="Arial" w:hAnsi="Arial" w:cs="Arial"/>
          <w:position w:val="-12"/>
        </w:rPr>
        <w:object w:dxaOrig="1560" w:dyaOrig="360" w14:anchorId="54557BC4">
          <v:shape id="_x0000_i1057" type="#_x0000_t75" style="width:78pt;height:19.2pt" o:ole="">
            <v:imagedata r:id="rId75" o:title=""/>
          </v:shape>
          <o:OLEObject Type="Embed" ProgID="Equation.3" ShapeID="_x0000_i1057" DrawAspect="Content" ObjectID="_1804070280" r:id="rId76"/>
        </w:object>
      </w:r>
      <w:r w:rsidRPr="001A365B">
        <w:rPr>
          <w:rFonts w:ascii="Arial" w:hAnsi="Arial" w:cs="Arial"/>
        </w:rPr>
        <w:t xml:space="preserve"> these substituted in</w:t>
      </w:r>
      <w:r w:rsidRPr="001A365B">
        <w:rPr>
          <w:rFonts w:ascii="Arial" w:hAnsi="Arial" w:cs="Arial"/>
          <w:position w:val="-14"/>
        </w:rPr>
        <w:object w:dxaOrig="1180" w:dyaOrig="400" w14:anchorId="6E79E412">
          <v:shape id="_x0000_i1058" type="#_x0000_t75" style="width:59.4pt;height:21pt" o:ole="">
            <v:imagedata r:id="rId77" o:title=""/>
          </v:shape>
          <o:OLEObject Type="Embed" ProgID="Equation.3" ShapeID="_x0000_i1058" DrawAspect="Content" ObjectID="_1804070281" r:id="rId78"/>
        </w:object>
      </w:r>
      <w:r w:rsidRPr="001A365B">
        <w:rPr>
          <w:rFonts w:ascii="Arial" w:hAnsi="Arial" w:cs="Arial"/>
        </w:rPr>
        <w:t xml:space="preserve"> and </w:t>
      </w:r>
      <w:r w:rsidRPr="001A365B">
        <w:rPr>
          <w:rFonts w:ascii="Arial" w:hAnsi="Arial" w:cs="Arial"/>
          <w:position w:val="-14"/>
        </w:rPr>
        <w:object w:dxaOrig="1300" w:dyaOrig="380" w14:anchorId="552F6685">
          <v:shape id="_x0000_i1059" type="#_x0000_t75" style="width:65.4pt;height:19.2pt" o:ole="">
            <v:imagedata r:id="rId79" o:title=""/>
          </v:shape>
          <o:OLEObject Type="Embed" ProgID="Equation.3" ShapeID="_x0000_i1059" DrawAspect="Content" ObjectID="_1804070282" r:id="rId80"/>
        </w:object>
      </w:r>
      <w:r w:rsidRPr="001A365B">
        <w:rPr>
          <w:rFonts w:ascii="Arial" w:hAnsi="Arial" w:cs="Arial"/>
        </w:rPr>
        <w:t xml:space="preserve"> to give one point on the efficient frontier.  </w:t>
      </w:r>
    </w:p>
    <w:p w14:paraId="63196C2C" w14:textId="557FABAE" w:rsidR="00925633" w:rsidRPr="001A365B" w:rsidRDefault="00925633" w:rsidP="00925633">
      <w:pPr>
        <w:spacing w:line="360" w:lineRule="auto"/>
        <w:ind w:firstLine="720"/>
        <w:rPr>
          <w:rFonts w:ascii="Arial" w:hAnsi="Arial" w:cs="Arial"/>
        </w:rPr>
      </w:pPr>
      <w:r w:rsidRPr="001A365B">
        <w:rPr>
          <w:rFonts w:ascii="Arial" w:hAnsi="Arial" w:cs="Arial"/>
        </w:rPr>
        <w:t xml:space="preserve">A portfolio of </w:t>
      </w:r>
      <w:r w:rsidRPr="001A365B">
        <w:rPr>
          <w:rFonts w:ascii="Arial" w:hAnsi="Arial" w:cs="Arial"/>
          <w:i/>
        </w:rPr>
        <w:t>n</w:t>
      </w:r>
      <w:r w:rsidRPr="001A365B">
        <w:rPr>
          <w:rFonts w:ascii="Arial" w:hAnsi="Arial" w:cs="Arial"/>
        </w:rPr>
        <w:t xml:space="preserve"> assets is denoted by a vector </w:t>
      </w:r>
      <w:r w:rsidRPr="001A365B">
        <w:rPr>
          <w:rFonts w:ascii="Arial" w:hAnsi="Arial" w:cs="Arial"/>
          <w:position w:val="-6"/>
        </w:rPr>
        <w:object w:dxaOrig="680" w:dyaOrig="320" w14:anchorId="167CF062">
          <v:shape id="_x0000_i1060" type="#_x0000_t75" style="width:33.6pt;height:16.2pt" o:ole="">
            <v:imagedata r:id="rId81" o:title=""/>
          </v:shape>
          <o:OLEObject Type="Embed" ProgID="Equation.DSMT4" ShapeID="_x0000_i1060" DrawAspect="Content" ObjectID="_1804070283" r:id="rId82"/>
        </w:object>
      </w:r>
      <w:r w:rsidRPr="001A365B">
        <w:rPr>
          <w:rFonts w:ascii="Arial" w:hAnsi="Arial" w:cs="Arial"/>
        </w:rPr>
        <w:t xml:space="preserve"> with</w:t>
      </w:r>
      <w:r w:rsidRPr="001A365B">
        <w:rPr>
          <w:rFonts w:ascii="Arial" w:hAnsi="Arial" w:cs="Arial"/>
          <w:position w:val="-28"/>
        </w:rPr>
        <w:object w:dxaOrig="859" w:dyaOrig="680" w14:anchorId="521EA0F0">
          <v:shape id="_x0000_i1061" type="#_x0000_t75" style="width:42pt;height:33.6pt" o:ole="">
            <v:imagedata r:id="rId83" o:title=""/>
          </v:shape>
          <o:OLEObject Type="Embed" ProgID="Equation.DSMT4" ShapeID="_x0000_i1061" DrawAspect="Content" ObjectID="_1804070284" r:id="rId84"/>
        </w:object>
      </w:r>
      <w:r w:rsidRPr="001A365B">
        <w:rPr>
          <w:rFonts w:ascii="Arial" w:hAnsi="Arial" w:cs="Arial"/>
        </w:rPr>
        <w:t xml:space="preserve">. Let the returns of an asset be denoted by </w:t>
      </w:r>
      <w:r w:rsidRPr="001A365B">
        <w:rPr>
          <w:rFonts w:ascii="Arial" w:hAnsi="Arial" w:cs="Arial"/>
          <w:position w:val="-12"/>
        </w:rPr>
        <w:object w:dxaOrig="300" w:dyaOrig="360" w14:anchorId="7C110002">
          <v:shape id="_x0000_i1062" type="#_x0000_t75" style="width:15pt;height:19.2pt" o:ole="">
            <v:imagedata r:id="rId85" o:title=""/>
          </v:shape>
          <o:OLEObject Type="Embed" ProgID="Equation.DSMT4" ShapeID="_x0000_i1062" DrawAspect="Content" ObjectID="_1804070285" r:id="rId86"/>
        </w:object>
      </w:r>
      <w:r w:rsidRPr="001A365B">
        <w:rPr>
          <w:rFonts w:ascii="Arial" w:hAnsi="Arial" w:cs="Arial"/>
        </w:rPr>
        <w:t xml:space="preserve"> and expected return of asset </w:t>
      </w:r>
      <w:proofErr w:type="spellStart"/>
      <w:r w:rsidRPr="001A365B">
        <w:rPr>
          <w:rFonts w:ascii="Arial" w:hAnsi="Arial" w:cs="Arial"/>
          <w:i/>
        </w:rPr>
        <w:t>i</w:t>
      </w:r>
      <w:proofErr w:type="spellEnd"/>
      <w:r w:rsidRPr="001A365B">
        <w:rPr>
          <w:rFonts w:ascii="Arial" w:hAnsi="Arial" w:cs="Arial"/>
        </w:rPr>
        <w:t xml:space="preserve"> be</w:t>
      </w:r>
      <w:r w:rsidRPr="001A365B">
        <w:rPr>
          <w:rFonts w:ascii="Arial" w:hAnsi="Arial" w:cs="Arial"/>
          <w:position w:val="-12"/>
        </w:rPr>
        <w:object w:dxaOrig="660" w:dyaOrig="360" w14:anchorId="333A515A">
          <v:shape id="_x0000_i1063" type="#_x0000_t75" style="width:32.4pt;height:19.2pt" o:ole="">
            <v:imagedata r:id="rId87" o:title=""/>
          </v:shape>
          <o:OLEObject Type="Embed" ProgID="Equation.DSMT4" ShapeID="_x0000_i1063" DrawAspect="Content" ObjectID="_1804070286" r:id="rId88"/>
        </w:object>
      </w:r>
      <w:r w:rsidRPr="001A365B">
        <w:rPr>
          <w:rFonts w:ascii="Arial" w:hAnsi="Arial" w:cs="Arial"/>
        </w:rPr>
        <w:t>. Then the expected return vector is</w:t>
      </w:r>
      <w:r w:rsidRPr="001A365B">
        <w:rPr>
          <w:rFonts w:ascii="Arial" w:hAnsi="Arial" w:cs="Arial"/>
          <w:position w:val="-12"/>
        </w:rPr>
        <w:object w:dxaOrig="2400" w:dyaOrig="380" w14:anchorId="5F4FB0A7">
          <v:shape id="_x0000_i1064" type="#_x0000_t75" style="width:120pt;height:19.2pt" o:ole="">
            <v:imagedata r:id="rId89" o:title=""/>
          </v:shape>
          <o:OLEObject Type="Embed" ProgID="Equation.DSMT4" ShapeID="_x0000_i1064" DrawAspect="Content" ObjectID="_1804070287" r:id="rId90"/>
        </w:object>
      </w:r>
      <w:r w:rsidRPr="001A365B">
        <w:rPr>
          <w:rFonts w:ascii="Arial" w:hAnsi="Arial" w:cs="Arial"/>
        </w:rPr>
        <w:t xml:space="preserve">, </w:t>
      </w:r>
      <w:r w:rsidRPr="001A365B">
        <w:rPr>
          <w:rFonts w:ascii="Arial" w:hAnsi="Arial" w:cs="Arial"/>
          <w:i/>
        </w:rPr>
        <w:t>(</w:t>
      </w:r>
      <w:proofErr w:type="spellStart"/>
      <w:r w:rsidRPr="001A365B">
        <w:rPr>
          <w:rFonts w:ascii="Arial" w:hAnsi="Arial" w:cs="Arial"/>
          <w:i/>
        </w:rPr>
        <w:t>i</w:t>
      </w:r>
      <w:proofErr w:type="spellEnd"/>
      <w:r w:rsidRPr="001A365B">
        <w:rPr>
          <w:rFonts w:ascii="Arial" w:hAnsi="Arial" w:cs="Arial"/>
          <w:i/>
        </w:rPr>
        <w:t xml:space="preserve">=1, </w:t>
      </w:r>
      <w:r w:rsidR="000A22EC" w:rsidRPr="001A365B">
        <w:rPr>
          <w:rFonts w:ascii="Arial" w:hAnsi="Arial" w:cs="Arial"/>
          <w:i/>
        </w:rPr>
        <w:t>2</w:t>
      </w:r>
      <w:proofErr w:type="gramStart"/>
      <w:r w:rsidR="000A22EC" w:rsidRPr="001A365B">
        <w:rPr>
          <w:rFonts w:ascii="Arial" w:hAnsi="Arial" w:cs="Arial"/>
          <w:i/>
        </w:rPr>
        <w:t>…</w:t>
      </w:r>
      <w:r w:rsidRPr="001A365B">
        <w:rPr>
          <w:rFonts w:ascii="Arial" w:hAnsi="Arial" w:cs="Arial"/>
          <w:i/>
        </w:rPr>
        <w:t>,n</w:t>
      </w:r>
      <w:proofErr w:type="gramEnd"/>
      <w:r w:rsidRPr="001A365B">
        <w:rPr>
          <w:rFonts w:ascii="Arial" w:hAnsi="Arial" w:cs="Arial"/>
          <w:i/>
        </w:rPr>
        <w:t>)</w:t>
      </w:r>
      <w:r w:rsidRPr="001A365B">
        <w:rPr>
          <w:rFonts w:ascii="Arial" w:hAnsi="Arial" w:cs="Arial"/>
        </w:rPr>
        <w:t>. The covariance matrix is denoted by</w:t>
      </w:r>
      <w:r w:rsidRPr="001A365B">
        <w:rPr>
          <w:rFonts w:ascii="Arial" w:hAnsi="Arial" w:cs="Arial"/>
          <w:position w:val="-8"/>
        </w:rPr>
        <w:object w:dxaOrig="859" w:dyaOrig="340" w14:anchorId="0F38D109">
          <v:shape id="_x0000_i1065" type="#_x0000_t75" style="width:42pt;height:17.4pt" o:ole="">
            <v:imagedata r:id="rId91" o:title=""/>
          </v:shape>
          <o:OLEObject Type="Embed" ProgID="Equation.DSMT4" ShapeID="_x0000_i1065" DrawAspect="Content" ObjectID="_1804070288" r:id="rId92"/>
        </w:object>
      </w:r>
      <w:r w:rsidRPr="001A365B">
        <w:rPr>
          <w:rFonts w:ascii="Arial" w:hAnsi="Arial" w:cs="Arial"/>
        </w:rPr>
        <w:t xml:space="preserve">. The covariance of assets </w:t>
      </w:r>
      <w:proofErr w:type="spellStart"/>
      <w:r w:rsidRPr="001A365B">
        <w:rPr>
          <w:rFonts w:ascii="Arial" w:hAnsi="Arial" w:cs="Arial"/>
          <w:i/>
        </w:rPr>
        <w:t>i</w:t>
      </w:r>
      <w:proofErr w:type="spellEnd"/>
      <w:r w:rsidRPr="001A365B">
        <w:rPr>
          <w:rFonts w:ascii="Arial" w:hAnsi="Arial" w:cs="Arial"/>
        </w:rPr>
        <w:t xml:space="preserve"> and </w:t>
      </w:r>
      <w:r w:rsidRPr="001A365B">
        <w:rPr>
          <w:rFonts w:ascii="Arial" w:hAnsi="Arial" w:cs="Arial"/>
          <w:i/>
        </w:rPr>
        <w:t xml:space="preserve">j </w:t>
      </w:r>
      <w:r w:rsidRPr="001A365B">
        <w:rPr>
          <w:rFonts w:ascii="Arial" w:hAnsi="Arial" w:cs="Arial"/>
        </w:rPr>
        <w:t xml:space="preserve">is given as </w:t>
      </w:r>
      <w:r w:rsidRPr="001A365B">
        <w:rPr>
          <w:rFonts w:ascii="Arial" w:hAnsi="Arial" w:cs="Arial"/>
          <w:position w:val="-14"/>
        </w:rPr>
        <w:object w:dxaOrig="320" w:dyaOrig="380" w14:anchorId="11B7FBFF">
          <v:shape id="_x0000_i1066" type="#_x0000_t75" style="width:16.2pt;height:19.2pt" o:ole="">
            <v:imagedata r:id="rId93" o:title=""/>
          </v:shape>
          <o:OLEObject Type="Embed" ProgID="Equation.DSMT4" ShapeID="_x0000_i1066" DrawAspect="Content" ObjectID="_1804070289" r:id="rId94"/>
        </w:object>
      </w:r>
      <w:r w:rsidRPr="001A365B">
        <w:rPr>
          <w:rFonts w:ascii="Arial" w:hAnsi="Arial" w:cs="Arial"/>
        </w:rPr>
        <w:t xml:space="preserve">. The return </w:t>
      </w:r>
      <w:r w:rsidRPr="001A365B">
        <w:rPr>
          <w:rFonts w:ascii="Arial" w:hAnsi="Arial" w:cs="Arial"/>
          <w:position w:val="-14"/>
        </w:rPr>
        <w:object w:dxaOrig="360" w:dyaOrig="380" w14:anchorId="5A4B222D">
          <v:shape id="_x0000_i1067" type="#_x0000_t75" style="width:19.2pt;height:19.2pt" o:ole="">
            <v:imagedata r:id="rId95" o:title=""/>
          </v:shape>
          <o:OLEObject Type="Embed" ProgID="Equation.DSMT4" ShapeID="_x0000_i1067" DrawAspect="Content" ObjectID="_1804070290" r:id="rId96"/>
        </w:object>
      </w:r>
      <w:r w:rsidRPr="001A365B">
        <w:rPr>
          <w:rFonts w:ascii="Arial" w:hAnsi="Arial" w:cs="Arial"/>
        </w:rPr>
        <w:t xml:space="preserve"> of portfolio is estimated by</w:t>
      </w:r>
    </w:p>
    <w:p w14:paraId="6157AD13" w14:textId="77777777" w:rsidR="00925633" w:rsidRPr="001A365B" w:rsidRDefault="00925633" w:rsidP="00925633">
      <w:pPr>
        <w:spacing w:line="360" w:lineRule="auto"/>
        <w:rPr>
          <w:rFonts w:ascii="Arial" w:hAnsi="Arial" w:cs="Arial"/>
        </w:rPr>
      </w:pPr>
      <w:r w:rsidRPr="001A365B">
        <w:rPr>
          <w:rFonts w:ascii="Arial" w:hAnsi="Arial" w:cs="Arial"/>
          <w:position w:val="-28"/>
        </w:rPr>
        <w:object w:dxaOrig="1340" w:dyaOrig="680" w14:anchorId="0F6B0F90">
          <v:shape id="_x0000_i1068" type="#_x0000_t75" style="width:67.2pt;height:33.6pt" o:ole="">
            <v:imagedata r:id="rId97" o:title=""/>
          </v:shape>
          <o:OLEObject Type="Embed" ProgID="Equation.DSMT4" ShapeID="_x0000_i1068" DrawAspect="Content" ObjectID="_1804070291" r:id="rId98"/>
        </w:object>
      </w:r>
      <w:r w:rsidR="008E432C">
        <w:rPr>
          <w:rFonts w:ascii="Arial" w:hAnsi="Arial" w:cs="Arial"/>
          <w:position w:val="-28"/>
        </w:rPr>
        <w:tab/>
      </w:r>
      <w:r w:rsidR="008E432C">
        <w:rPr>
          <w:rFonts w:ascii="Arial" w:hAnsi="Arial" w:cs="Arial"/>
          <w:position w:val="-28"/>
        </w:rPr>
        <w:tab/>
      </w:r>
      <w:r w:rsidR="008E432C">
        <w:rPr>
          <w:rFonts w:ascii="Arial" w:hAnsi="Arial" w:cs="Arial"/>
          <w:position w:val="-28"/>
        </w:rPr>
        <w:tab/>
      </w:r>
      <w:r w:rsidR="008E432C">
        <w:rPr>
          <w:rFonts w:ascii="Arial" w:hAnsi="Arial" w:cs="Arial"/>
          <w:position w:val="-28"/>
        </w:rPr>
        <w:tab/>
      </w:r>
      <w:r w:rsidR="008E432C">
        <w:rPr>
          <w:rFonts w:ascii="Arial" w:hAnsi="Arial" w:cs="Arial"/>
          <w:position w:val="-28"/>
        </w:rPr>
        <w:tab/>
      </w:r>
      <w:r w:rsidRPr="001A365B">
        <w:rPr>
          <w:rFonts w:ascii="Arial" w:hAnsi="Arial" w:cs="Arial"/>
          <w:position w:val="-28"/>
        </w:rPr>
        <w:tab/>
      </w:r>
      <w:r w:rsidRPr="001A365B">
        <w:rPr>
          <w:rFonts w:ascii="Arial" w:hAnsi="Arial" w:cs="Arial"/>
          <w:position w:val="-28"/>
        </w:rPr>
        <w:tab/>
      </w:r>
      <w:r w:rsidRPr="001A365B">
        <w:rPr>
          <w:rFonts w:ascii="Arial" w:hAnsi="Arial" w:cs="Arial"/>
          <w:position w:val="-28"/>
        </w:rPr>
        <w:tab/>
      </w:r>
      <w:r w:rsidRPr="001A365B">
        <w:rPr>
          <w:rFonts w:ascii="Arial" w:hAnsi="Arial" w:cs="Arial"/>
          <w:position w:val="-28"/>
        </w:rPr>
        <w:tab/>
        <w:t>(13)</w:t>
      </w:r>
    </w:p>
    <w:p w14:paraId="7B978A9D" w14:textId="77777777" w:rsidR="00925633" w:rsidRPr="001A365B" w:rsidRDefault="00925633" w:rsidP="00925633">
      <w:pPr>
        <w:spacing w:line="360" w:lineRule="auto"/>
        <w:rPr>
          <w:rFonts w:ascii="Arial" w:hAnsi="Arial" w:cs="Arial"/>
        </w:rPr>
      </w:pPr>
      <w:r w:rsidRPr="001A365B">
        <w:rPr>
          <w:rFonts w:ascii="Arial" w:hAnsi="Arial" w:cs="Arial"/>
          <w:position w:val="-30"/>
        </w:rPr>
        <w:object w:dxaOrig="2100" w:dyaOrig="720" w14:anchorId="1940BA6B">
          <v:shape id="_x0000_i1069" type="#_x0000_t75" style="width:104.4pt;height:36.6pt" o:ole="">
            <v:imagedata r:id="rId99" o:title=""/>
          </v:shape>
          <o:OLEObject Type="Embed" ProgID="Equation.DSMT4" ShapeID="_x0000_i1069" DrawAspect="Content" ObjectID="_1804070292" r:id="rId100"/>
        </w:object>
      </w:r>
      <w:r w:rsidR="008E432C">
        <w:rPr>
          <w:rFonts w:ascii="Arial" w:hAnsi="Arial" w:cs="Arial"/>
          <w:position w:val="-30"/>
        </w:rPr>
        <w:tab/>
      </w:r>
      <w:r w:rsidR="008E432C">
        <w:rPr>
          <w:rFonts w:ascii="Arial" w:hAnsi="Arial" w:cs="Arial"/>
          <w:position w:val="-30"/>
        </w:rPr>
        <w:tab/>
      </w:r>
      <w:r w:rsidRPr="001A365B">
        <w:rPr>
          <w:rFonts w:ascii="Arial" w:hAnsi="Arial" w:cs="Arial"/>
          <w:position w:val="-30"/>
        </w:rPr>
        <w:tab/>
      </w:r>
      <w:r w:rsidRPr="001A365B">
        <w:rPr>
          <w:rFonts w:ascii="Arial" w:hAnsi="Arial" w:cs="Arial"/>
          <w:position w:val="-30"/>
        </w:rPr>
        <w:tab/>
      </w:r>
      <w:r w:rsidRPr="001A365B">
        <w:rPr>
          <w:rFonts w:ascii="Arial" w:hAnsi="Arial" w:cs="Arial"/>
          <w:position w:val="-30"/>
        </w:rPr>
        <w:tab/>
      </w:r>
      <w:r w:rsidRPr="001A365B">
        <w:rPr>
          <w:rFonts w:ascii="Arial" w:hAnsi="Arial" w:cs="Arial"/>
          <w:position w:val="-30"/>
        </w:rPr>
        <w:tab/>
      </w:r>
      <w:r w:rsidRPr="001A365B">
        <w:rPr>
          <w:rFonts w:ascii="Arial" w:hAnsi="Arial" w:cs="Arial"/>
          <w:position w:val="-30"/>
        </w:rPr>
        <w:tab/>
      </w:r>
      <w:r w:rsidRPr="001A365B">
        <w:rPr>
          <w:rFonts w:ascii="Arial" w:hAnsi="Arial" w:cs="Arial"/>
          <w:position w:val="-30"/>
        </w:rPr>
        <w:tab/>
        <w:t>(14)</w:t>
      </w:r>
    </w:p>
    <w:p w14:paraId="7FADABA2" w14:textId="77777777" w:rsidR="00925633" w:rsidRPr="001A365B" w:rsidRDefault="00925633" w:rsidP="00925633">
      <w:pPr>
        <w:spacing w:line="360" w:lineRule="auto"/>
        <w:rPr>
          <w:rFonts w:ascii="Arial" w:hAnsi="Arial" w:cs="Arial"/>
        </w:rPr>
      </w:pPr>
      <w:r w:rsidRPr="001A365B">
        <w:rPr>
          <w:rFonts w:ascii="Arial" w:hAnsi="Arial" w:cs="Arial"/>
          <w:position w:val="-28"/>
        </w:rPr>
        <w:object w:dxaOrig="2400" w:dyaOrig="680" w14:anchorId="633C49B3">
          <v:shape id="_x0000_i1070" type="#_x0000_t75" style="width:120pt;height:33.6pt" o:ole="">
            <v:imagedata r:id="rId101" o:title=""/>
          </v:shape>
          <o:OLEObject Type="Embed" ProgID="Equation.DSMT4" ShapeID="_x0000_i1070" DrawAspect="Content" ObjectID="_1804070293" r:id="rId102"/>
        </w:object>
      </w:r>
      <w:r w:rsidR="008E432C">
        <w:rPr>
          <w:rFonts w:ascii="Arial" w:hAnsi="Arial" w:cs="Arial"/>
          <w:position w:val="-28"/>
        </w:rPr>
        <w:tab/>
      </w:r>
      <w:r w:rsidRPr="001A365B">
        <w:rPr>
          <w:rFonts w:ascii="Arial" w:hAnsi="Arial" w:cs="Arial"/>
          <w:position w:val="-28"/>
        </w:rPr>
        <w:tab/>
      </w:r>
      <w:r w:rsidRPr="001A365B">
        <w:rPr>
          <w:rFonts w:ascii="Arial" w:hAnsi="Arial" w:cs="Arial"/>
          <w:position w:val="-28"/>
        </w:rPr>
        <w:tab/>
      </w:r>
      <w:r w:rsidRPr="001A365B">
        <w:rPr>
          <w:rFonts w:ascii="Arial" w:hAnsi="Arial" w:cs="Arial"/>
          <w:position w:val="-28"/>
        </w:rPr>
        <w:tab/>
      </w:r>
      <w:r w:rsidRPr="001A365B">
        <w:rPr>
          <w:rFonts w:ascii="Arial" w:hAnsi="Arial" w:cs="Arial"/>
          <w:position w:val="-28"/>
        </w:rPr>
        <w:tab/>
      </w:r>
      <w:r w:rsidRPr="001A365B">
        <w:rPr>
          <w:rFonts w:ascii="Arial" w:hAnsi="Arial" w:cs="Arial"/>
          <w:position w:val="-28"/>
        </w:rPr>
        <w:tab/>
      </w:r>
      <w:r w:rsidRPr="001A365B">
        <w:rPr>
          <w:rFonts w:ascii="Arial" w:hAnsi="Arial" w:cs="Arial"/>
          <w:position w:val="-28"/>
        </w:rPr>
        <w:tab/>
        <w:t>(15)</w:t>
      </w:r>
    </w:p>
    <w:p w14:paraId="449E56C5" w14:textId="77777777" w:rsidR="00925633" w:rsidRPr="001A365B" w:rsidRDefault="00925633" w:rsidP="00925633">
      <w:pPr>
        <w:spacing w:line="360" w:lineRule="auto"/>
        <w:rPr>
          <w:rFonts w:ascii="Arial" w:hAnsi="Arial" w:cs="Arial"/>
        </w:rPr>
      </w:pPr>
      <w:r w:rsidRPr="001A365B">
        <w:rPr>
          <w:rFonts w:ascii="Arial" w:hAnsi="Arial" w:cs="Arial"/>
          <w:position w:val="-10"/>
        </w:rPr>
        <w:object w:dxaOrig="900" w:dyaOrig="320" w14:anchorId="1AE44606">
          <v:shape id="_x0000_i1071" type="#_x0000_t75" style="width:44.4pt;height:17.4pt" o:ole="">
            <v:imagedata r:id="rId103" o:title=""/>
          </v:shape>
          <o:OLEObject Type="Embed" ProgID="Equation.DSMT4" ShapeID="_x0000_i1071" DrawAspect="Content" ObjectID="_1804070294" r:id="rId104"/>
        </w:object>
      </w:r>
      <w:r w:rsidR="008E432C">
        <w:rPr>
          <w:rFonts w:ascii="Arial" w:hAnsi="Arial" w:cs="Arial"/>
        </w:rPr>
        <w:tab/>
      </w:r>
      <w:r w:rsidRPr="001A365B">
        <w:rPr>
          <w:rFonts w:ascii="Arial" w:hAnsi="Arial" w:cs="Arial"/>
        </w:rPr>
        <w:tab/>
      </w:r>
      <w:r w:rsidRPr="001A365B">
        <w:rPr>
          <w:rFonts w:ascii="Arial" w:hAnsi="Arial" w:cs="Arial"/>
        </w:rPr>
        <w:tab/>
      </w:r>
      <w:r w:rsidRPr="001A365B">
        <w:rPr>
          <w:rFonts w:ascii="Arial" w:hAnsi="Arial" w:cs="Arial"/>
        </w:rPr>
        <w:tab/>
      </w:r>
      <w:r w:rsidRPr="001A365B">
        <w:rPr>
          <w:rFonts w:ascii="Arial" w:hAnsi="Arial" w:cs="Arial"/>
        </w:rPr>
        <w:tab/>
      </w:r>
      <w:r w:rsidRPr="001A365B">
        <w:rPr>
          <w:rFonts w:ascii="Arial" w:hAnsi="Arial" w:cs="Arial"/>
        </w:rPr>
        <w:tab/>
      </w:r>
      <w:r w:rsidRPr="001A365B">
        <w:rPr>
          <w:rFonts w:ascii="Arial" w:hAnsi="Arial" w:cs="Arial"/>
        </w:rPr>
        <w:tab/>
      </w:r>
      <w:r w:rsidRPr="001A365B">
        <w:rPr>
          <w:rFonts w:ascii="Arial" w:hAnsi="Arial" w:cs="Arial"/>
        </w:rPr>
        <w:tab/>
      </w:r>
      <w:r w:rsidRPr="001A365B">
        <w:rPr>
          <w:rFonts w:ascii="Arial" w:hAnsi="Arial" w:cs="Arial"/>
        </w:rPr>
        <w:tab/>
        <w:t>(16)</w:t>
      </w:r>
    </w:p>
    <w:p w14:paraId="09739338" w14:textId="77777777" w:rsidR="00925633" w:rsidRPr="001A365B" w:rsidRDefault="00925633" w:rsidP="00925633">
      <w:pPr>
        <w:spacing w:line="360" w:lineRule="auto"/>
        <w:rPr>
          <w:rFonts w:ascii="Arial" w:hAnsi="Arial" w:cs="Arial"/>
        </w:rPr>
      </w:pPr>
      <w:r w:rsidRPr="001A365B">
        <w:rPr>
          <w:rFonts w:ascii="Arial" w:hAnsi="Arial" w:cs="Arial"/>
        </w:rPr>
        <w:t>The variance of return of the portfolio can be computed as:</w:t>
      </w:r>
    </w:p>
    <w:p w14:paraId="31E3820B" w14:textId="77777777" w:rsidR="00925633" w:rsidRPr="001A365B" w:rsidRDefault="00925633" w:rsidP="00925633">
      <w:pPr>
        <w:spacing w:line="360" w:lineRule="auto"/>
        <w:rPr>
          <w:rFonts w:ascii="Arial" w:hAnsi="Arial" w:cs="Arial"/>
        </w:rPr>
      </w:pPr>
      <w:r w:rsidRPr="001A365B">
        <w:rPr>
          <w:rFonts w:ascii="Arial" w:hAnsi="Arial" w:cs="Arial"/>
        </w:rPr>
        <w:object w:dxaOrig="1740" w:dyaOrig="680" w14:anchorId="425F2088">
          <v:shape id="_x0000_i1072" type="#_x0000_t75" style="width:87pt;height:33.6pt" o:ole="">
            <v:imagedata r:id="rId105" o:title=""/>
          </v:shape>
          <o:OLEObject Type="Embed" ProgID="Equation.DSMT4" ShapeID="_x0000_i1072" DrawAspect="Content" ObjectID="_1804070295" r:id="rId106"/>
        </w:object>
      </w:r>
      <w:r w:rsidR="008E432C">
        <w:rPr>
          <w:rFonts w:ascii="Arial" w:hAnsi="Arial" w:cs="Arial"/>
        </w:rPr>
        <w:tab/>
      </w:r>
      <w:r w:rsidR="008E432C">
        <w:rPr>
          <w:rFonts w:ascii="Arial" w:hAnsi="Arial" w:cs="Arial"/>
        </w:rPr>
        <w:tab/>
      </w:r>
      <w:r w:rsidR="008E432C">
        <w:rPr>
          <w:rFonts w:ascii="Arial" w:hAnsi="Arial" w:cs="Arial"/>
        </w:rPr>
        <w:tab/>
      </w:r>
      <w:r w:rsidR="008E432C">
        <w:rPr>
          <w:rFonts w:ascii="Arial" w:hAnsi="Arial" w:cs="Arial"/>
        </w:rPr>
        <w:tab/>
      </w:r>
      <w:r w:rsidR="008E432C">
        <w:rPr>
          <w:rFonts w:ascii="Arial" w:hAnsi="Arial" w:cs="Arial"/>
        </w:rPr>
        <w:tab/>
      </w:r>
      <w:r w:rsidRPr="001A365B">
        <w:rPr>
          <w:rFonts w:ascii="Arial" w:hAnsi="Arial" w:cs="Arial"/>
        </w:rPr>
        <w:tab/>
      </w:r>
      <w:r w:rsidRPr="001A365B">
        <w:rPr>
          <w:rFonts w:ascii="Arial" w:hAnsi="Arial" w:cs="Arial"/>
        </w:rPr>
        <w:tab/>
      </w:r>
      <w:r w:rsidRPr="001A365B">
        <w:rPr>
          <w:rFonts w:ascii="Arial" w:hAnsi="Arial" w:cs="Arial"/>
        </w:rPr>
        <w:tab/>
        <w:t>(17)</w:t>
      </w:r>
    </w:p>
    <w:p w14:paraId="0000AA67" w14:textId="77777777" w:rsidR="00925633" w:rsidRPr="001A365B" w:rsidRDefault="00925633" w:rsidP="00925633">
      <w:pPr>
        <w:spacing w:line="360" w:lineRule="auto"/>
        <w:ind w:right="-6"/>
        <w:rPr>
          <w:rFonts w:ascii="Arial" w:hAnsi="Arial" w:cs="Arial"/>
        </w:rPr>
      </w:pPr>
      <w:r w:rsidRPr="001A365B">
        <w:rPr>
          <w:rFonts w:ascii="Arial" w:hAnsi="Arial" w:cs="Arial"/>
        </w:rPr>
        <w:object w:dxaOrig="2260" w:dyaOrig="700" w14:anchorId="566FDEC4">
          <v:shape id="_x0000_i1073" type="#_x0000_t75" style="width:112.8pt;height:35.4pt" o:ole="">
            <v:imagedata r:id="rId107" o:title=""/>
          </v:shape>
          <o:OLEObject Type="Embed" ProgID="Equation.DSMT4" ShapeID="_x0000_i1073" DrawAspect="Content" ObjectID="_1804070296" r:id="rId108"/>
        </w:object>
      </w:r>
      <w:r w:rsidR="008E432C">
        <w:rPr>
          <w:rFonts w:ascii="Arial" w:hAnsi="Arial" w:cs="Arial"/>
        </w:rPr>
        <w:tab/>
      </w:r>
      <w:r w:rsidR="008E432C">
        <w:rPr>
          <w:rFonts w:ascii="Arial" w:hAnsi="Arial" w:cs="Arial"/>
        </w:rPr>
        <w:tab/>
      </w:r>
      <w:r w:rsidRPr="001A365B">
        <w:rPr>
          <w:rFonts w:ascii="Arial" w:hAnsi="Arial" w:cs="Arial"/>
        </w:rPr>
        <w:tab/>
      </w:r>
      <w:r w:rsidRPr="001A365B">
        <w:rPr>
          <w:rFonts w:ascii="Arial" w:hAnsi="Arial" w:cs="Arial"/>
        </w:rPr>
        <w:tab/>
      </w:r>
      <w:r w:rsidRPr="001A365B">
        <w:rPr>
          <w:rFonts w:ascii="Arial" w:hAnsi="Arial" w:cs="Arial"/>
        </w:rPr>
        <w:tab/>
      </w:r>
      <w:r w:rsidRPr="001A365B">
        <w:rPr>
          <w:rFonts w:ascii="Arial" w:hAnsi="Arial" w:cs="Arial"/>
        </w:rPr>
        <w:tab/>
      </w:r>
      <w:r w:rsidRPr="001A365B">
        <w:rPr>
          <w:rFonts w:ascii="Arial" w:hAnsi="Arial" w:cs="Arial"/>
        </w:rPr>
        <w:tab/>
        <w:t>(18)</w:t>
      </w:r>
    </w:p>
    <w:p w14:paraId="3495F30E" w14:textId="77777777" w:rsidR="00925633" w:rsidRPr="001A365B" w:rsidRDefault="00925633" w:rsidP="00925633">
      <w:pPr>
        <w:spacing w:line="360" w:lineRule="auto"/>
        <w:rPr>
          <w:rFonts w:ascii="Arial" w:hAnsi="Arial" w:cs="Arial"/>
        </w:rPr>
      </w:pPr>
      <w:r w:rsidRPr="001A365B">
        <w:rPr>
          <w:rFonts w:ascii="Arial" w:hAnsi="Arial" w:cs="Arial"/>
        </w:rPr>
        <w:object w:dxaOrig="2160" w:dyaOrig="700" w14:anchorId="1CC1EB7C">
          <v:shape id="_x0000_i1074" type="#_x0000_t75" style="width:108.6pt;height:35.4pt" o:ole="">
            <v:imagedata r:id="rId109" o:title=""/>
          </v:shape>
          <o:OLEObject Type="Embed" ProgID="Equation.DSMT4" ShapeID="_x0000_i1074" DrawAspect="Content" ObjectID="_1804070297" r:id="rId110"/>
        </w:object>
      </w:r>
      <w:r w:rsidR="008E432C">
        <w:rPr>
          <w:rFonts w:ascii="Arial" w:hAnsi="Arial" w:cs="Arial"/>
        </w:rPr>
        <w:tab/>
      </w:r>
      <w:r w:rsidR="008E432C">
        <w:rPr>
          <w:rFonts w:ascii="Arial" w:hAnsi="Arial" w:cs="Arial"/>
        </w:rPr>
        <w:tab/>
      </w:r>
      <w:r w:rsidR="008E432C">
        <w:rPr>
          <w:rFonts w:ascii="Arial" w:hAnsi="Arial" w:cs="Arial"/>
        </w:rPr>
        <w:tab/>
      </w:r>
      <w:r w:rsidRPr="001A365B">
        <w:rPr>
          <w:rFonts w:ascii="Arial" w:hAnsi="Arial" w:cs="Arial"/>
        </w:rPr>
        <w:tab/>
      </w:r>
      <w:r w:rsidRPr="001A365B">
        <w:rPr>
          <w:rFonts w:ascii="Arial" w:hAnsi="Arial" w:cs="Arial"/>
        </w:rPr>
        <w:tab/>
      </w:r>
      <w:r w:rsidRPr="001A365B">
        <w:rPr>
          <w:rFonts w:ascii="Arial" w:hAnsi="Arial" w:cs="Arial"/>
        </w:rPr>
        <w:tab/>
      </w:r>
      <w:r w:rsidRPr="001A365B">
        <w:rPr>
          <w:rFonts w:ascii="Arial" w:hAnsi="Arial" w:cs="Arial"/>
        </w:rPr>
        <w:tab/>
        <w:t>(19)</w:t>
      </w:r>
    </w:p>
    <w:p w14:paraId="779A3E6B" w14:textId="77777777" w:rsidR="00925633" w:rsidRPr="001A365B" w:rsidRDefault="00925633" w:rsidP="00925633">
      <w:pPr>
        <w:spacing w:line="360" w:lineRule="auto"/>
        <w:rPr>
          <w:rFonts w:ascii="Arial" w:hAnsi="Arial" w:cs="Arial"/>
        </w:rPr>
      </w:pPr>
      <w:r w:rsidRPr="001A365B">
        <w:rPr>
          <w:rFonts w:ascii="Arial" w:hAnsi="Arial" w:cs="Arial"/>
        </w:rPr>
        <w:object w:dxaOrig="1460" w:dyaOrig="700" w14:anchorId="5673A533">
          <v:shape id="_x0000_i1075" type="#_x0000_t75" style="width:72.6pt;height:35.4pt" o:ole="">
            <v:imagedata r:id="rId111" o:title=""/>
          </v:shape>
          <o:OLEObject Type="Embed" ProgID="Equation.DSMT4" ShapeID="_x0000_i1075" DrawAspect="Content" ObjectID="_1804070298" r:id="rId112"/>
        </w:object>
      </w:r>
      <w:r w:rsidR="008E432C">
        <w:rPr>
          <w:rFonts w:ascii="Arial" w:hAnsi="Arial" w:cs="Arial"/>
        </w:rPr>
        <w:tab/>
      </w:r>
      <w:r w:rsidR="008E432C">
        <w:rPr>
          <w:rFonts w:ascii="Arial" w:hAnsi="Arial" w:cs="Arial"/>
        </w:rPr>
        <w:tab/>
      </w:r>
      <w:r w:rsidR="008E432C">
        <w:rPr>
          <w:rFonts w:ascii="Arial" w:hAnsi="Arial" w:cs="Arial"/>
        </w:rPr>
        <w:tab/>
      </w:r>
      <w:r w:rsidR="008E432C">
        <w:rPr>
          <w:rFonts w:ascii="Arial" w:hAnsi="Arial" w:cs="Arial"/>
        </w:rPr>
        <w:tab/>
      </w:r>
      <w:r w:rsidRPr="001A365B">
        <w:rPr>
          <w:rFonts w:ascii="Arial" w:hAnsi="Arial" w:cs="Arial"/>
        </w:rPr>
        <w:tab/>
      </w:r>
      <w:r w:rsidRPr="001A365B">
        <w:rPr>
          <w:rFonts w:ascii="Arial" w:hAnsi="Arial" w:cs="Arial"/>
        </w:rPr>
        <w:tab/>
      </w:r>
      <w:r w:rsidRPr="001A365B">
        <w:rPr>
          <w:rFonts w:ascii="Arial" w:hAnsi="Arial" w:cs="Arial"/>
        </w:rPr>
        <w:tab/>
      </w:r>
      <w:r w:rsidRPr="001A365B">
        <w:rPr>
          <w:rFonts w:ascii="Arial" w:hAnsi="Arial" w:cs="Arial"/>
        </w:rPr>
        <w:tab/>
        <w:t>(20)</w:t>
      </w:r>
    </w:p>
    <w:p w14:paraId="735990CB" w14:textId="77777777" w:rsidR="00925633" w:rsidRPr="001A365B" w:rsidRDefault="00925633" w:rsidP="00925633">
      <w:pPr>
        <w:spacing w:line="360" w:lineRule="auto"/>
        <w:rPr>
          <w:rFonts w:ascii="Arial" w:hAnsi="Arial" w:cs="Arial"/>
        </w:rPr>
      </w:pPr>
      <w:r w:rsidRPr="001A365B">
        <w:rPr>
          <w:rFonts w:ascii="Arial" w:hAnsi="Arial" w:cs="Arial"/>
        </w:rPr>
        <w:object w:dxaOrig="680" w:dyaOrig="279" w14:anchorId="2D95755D">
          <v:shape id="_x0000_i1076" type="#_x0000_t75" style="width:33.6pt;height:15pt" o:ole="">
            <v:imagedata r:id="rId113" o:title=""/>
          </v:shape>
          <o:OLEObject Type="Embed" ProgID="Equation.DSMT4" ShapeID="_x0000_i1076" DrawAspect="Content" ObjectID="_1804070299" r:id="rId114"/>
        </w:object>
      </w:r>
      <w:r w:rsidR="008E432C">
        <w:rPr>
          <w:rFonts w:ascii="Arial" w:hAnsi="Arial" w:cs="Arial"/>
        </w:rPr>
        <w:tab/>
      </w:r>
      <w:r w:rsidR="008E432C">
        <w:rPr>
          <w:rFonts w:ascii="Arial" w:hAnsi="Arial" w:cs="Arial"/>
        </w:rPr>
        <w:tab/>
      </w:r>
      <w:r w:rsidR="008E432C">
        <w:rPr>
          <w:rFonts w:ascii="Arial" w:hAnsi="Arial" w:cs="Arial"/>
        </w:rPr>
        <w:tab/>
      </w:r>
      <w:r w:rsidR="008E432C">
        <w:rPr>
          <w:rFonts w:ascii="Arial" w:hAnsi="Arial" w:cs="Arial"/>
        </w:rPr>
        <w:tab/>
      </w:r>
      <w:r w:rsidRPr="001A365B">
        <w:rPr>
          <w:rFonts w:ascii="Arial" w:hAnsi="Arial" w:cs="Arial"/>
        </w:rPr>
        <w:tab/>
      </w:r>
      <w:r w:rsidRPr="001A365B">
        <w:rPr>
          <w:rFonts w:ascii="Arial" w:hAnsi="Arial" w:cs="Arial"/>
        </w:rPr>
        <w:tab/>
      </w:r>
      <w:r w:rsidRPr="001A365B">
        <w:rPr>
          <w:rFonts w:ascii="Arial" w:hAnsi="Arial" w:cs="Arial"/>
        </w:rPr>
        <w:tab/>
      </w:r>
      <w:r w:rsidRPr="001A365B">
        <w:rPr>
          <w:rFonts w:ascii="Arial" w:hAnsi="Arial" w:cs="Arial"/>
        </w:rPr>
        <w:tab/>
      </w:r>
      <w:r w:rsidRPr="001A365B">
        <w:rPr>
          <w:rFonts w:ascii="Arial" w:hAnsi="Arial" w:cs="Arial"/>
        </w:rPr>
        <w:tab/>
      </w:r>
      <w:r w:rsidRPr="001A365B">
        <w:rPr>
          <w:rFonts w:ascii="Arial" w:hAnsi="Arial" w:cs="Arial"/>
        </w:rPr>
        <w:tab/>
        <w:t>(21)</w:t>
      </w:r>
      <w:r w:rsidRPr="001A365B">
        <w:rPr>
          <w:rFonts w:ascii="Arial" w:hAnsi="Arial" w:cs="Arial"/>
        </w:rPr>
        <w:tab/>
      </w:r>
    </w:p>
    <w:p w14:paraId="4E14BAC0" w14:textId="77777777" w:rsidR="00925633" w:rsidRPr="001A365B" w:rsidRDefault="00925633" w:rsidP="00925633">
      <w:pPr>
        <w:spacing w:line="360" w:lineRule="auto"/>
        <w:rPr>
          <w:rFonts w:ascii="Arial" w:hAnsi="Arial" w:cs="Arial"/>
        </w:rPr>
      </w:pPr>
      <w:r w:rsidRPr="001A365B">
        <w:rPr>
          <w:rFonts w:ascii="Arial" w:hAnsi="Arial" w:cs="Arial"/>
        </w:rPr>
        <w:t>The expected return of equilibrium portfolio as:</w:t>
      </w:r>
    </w:p>
    <w:p w14:paraId="0C4D2D19" w14:textId="77777777" w:rsidR="00925633" w:rsidRPr="001A365B" w:rsidRDefault="00925633" w:rsidP="00925633">
      <w:pPr>
        <w:spacing w:line="360" w:lineRule="auto"/>
        <w:rPr>
          <w:rFonts w:ascii="Arial" w:hAnsi="Arial" w:cs="Arial"/>
        </w:rPr>
      </w:pPr>
      <w:r w:rsidRPr="001A365B">
        <w:rPr>
          <w:rFonts w:ascii="Arial" w:hAnsi="Arial" w:cs="Arial"/>
          <w:position w:val="-12"/>
        </w:rPr>
        <w:object w:dxaOrig="1219" w:dyaOrig="360" w14:anchorId="59C43079">
          <v:shape id="_x0000_i1077" type="#_x0000_t75" style="width:60pt;height:19.2pt" o:ole="">
            <v:imagedata r:id="rId115" o:title=""/>
          </v:shape>
          <o:OLEObject Type="Embed" ProgID="Equation.DSMT4" ShapeID="_x0000_i1077" DrawAspect="Content" ObjectID="_1804070300" r:id="rId116"/>
        </w:object>
      </w:r>
      <w:r w:rsidR="008E432C">
        <w:rPr>
          <w:rFonts w:ascii="Arial" w:hAnsi="Arial" w:cs="Arial"/>
        </w:rPr>
        <w:tab/>
      </w:r>
      <w:r w:rsidR="008E432C">
        <w:rPr>
          <w:rFonts w:ascii="Arial" w:hAnsi="Arial" w:cs="Arial"/>
        </w:rPr>
        <w:tab/>
      </w:r>
      <w:r w:rsidR="008E432C">
        <w:rPr>
          <w:rFonts w:ascii="Arial" w:hAnsi="Arial" w:cs="Arial"/>
        </w:rPr>
        <w:tab/>
      </w:r>
      <w:r w:rsidR="008E432C">
        <w:rPr>
          <w:rFonts w:ascii="Arial" w:hAnsi="Arial" w:cs="Arial"/>
        </w:rPr>
        <w:tab/>
      </w:r>
      <w:r w:rsidRPr="001A365B">
        <w:rPr>
          <w:rFonts w:ascii="Arial" w:hAnsi="Arial" w:cs="Arial"/>
        </w:rPr>
        <w:tab/>
      </w:r>
      <w:r w:rsidRPr="001A365B">
        <w:rPr>
          <w:rFonts w:ascii="Arial" w:hAnsi="Arial" w:cs="Arial"/>
        </w:rPr>
        <w:tab/>
      </w:r>
      <w:r w:rsidRPr="001A365B">
        <w:rPr>
          <w:rFonts w:ascii="Arial" w:hAnsi="Arial" w:cs="Arial"/>
        </w:rPr>
        <w:tab/>
      </w:r>
      <w:r w:rsidRPr="001A365B">
        <w:rPr>
          <w:rFonts w:ascii="Arial" w:hAnsi="Arial" w:cs="Arial"/>
        </w:rPr>
        <w:tab/>
      </w:r>
      <w:r w:rsidRPr="001A365B">
        <w:rPr>
          <w:rFonts w:ascii="Arial" w:hAnsi="Arial" w:cs="Arial"/>
        </w:rPr>
        <w:tab/>
        <w:t>(22)</w:t>
      </w:r>
    </w:p>
    <w:p w14:paraId="07C7C74A" w14:textId="77777777" w:rsidR="00925633" w:rsidRPr="001A365B" w:rsidRDefault="00925633" w:rsidP="00925633">
      <w:pPr>
        <w:spacing w:line="360" w:lineRule="auto"/>
        <w:rPr>
          <w:rFonts w:ascii="Arial" w:hAnsi="Arial" w:cs="Arial"/>
        </w:rPr>
      </w:pPr>
      <w:r w:rsidRPr="001A365B">
        <w:rPr>
          <w:rFonts w:ascii="Arial" w:hAnsi="Arial" w:cs="Arial"/>
        </w:rPr>
        <w:t xml:space="preserve">where, </w:t>
      </w:r>
      <w:r w:rsidRPr="001A365B">
        <w:rPr>
          <w:rFonts w:ascii="Arial" w:hAnsi="Arial" w:cs="Arial"/>
          <w:position w:val="-4"/>
        </w:rPr>
        <w:object w:dxaOrig="260" w:dyaOrig="240" w14:anchorId="56847AEE">
          <v:shape id="_x0000_i1078" type="#_x0000_t75" style="width:12.6pt;height:12pt" o:ole="">
            <v:imagedata r:id="rId117" o:title=""/>
          </v:shape>
          <o:OLEObject Type="Embed" ProgID="Equation.DSMT4" ShapeID="_x0000_i1078" DrawAspect="Content" ObjectID="_1804070301" r:id="rId118"/>
        </w:object>
      </w:r>
      <w:r w:rsidRPr="001A365B">
        <w:rPr>
          <w:rFonts w:ascii="Arial" w:hAnsi="Arial" w:cs="Arial"/>
        </w:rPr>
        <w:t xml:space="preserve"> is the expected return of market equilibrium, </w:t>
      </w:r>
      <w:r w:rsidRPr="001A365B">
        <w:rPr>
          <w:rFonts w:ascii="Arial" w:hAnsi="Arial" w:cs="Arial"/>
          <w:position w:val="-6"/>
        </w:rPr>
        <w:object w:dxaOrig="220" w:dyaOrig="279" w14:anchorId="336CE8A9">
          <v:shape id="_x0000_i1079" type="#_x0000_t75" style="width:12pt;height:15pt" o:ole="">
            <v:imagedata r:id="rId119" o:title=""/>
          </v:shape>
          <o:OLEObject Type="Embed" ProgID="Equation.DSMT4" ShapeID="_x0000_i1079" DrawAspect="Content" ObjectID="_1804070302" r:id="rId120"/>
        </w:object>
      </w:r>
      <w:r w:rsidRPr="001A365B">
        <w:rPr>
          <w:rFonts w:ascii="Arial" w:hAnsi="Arial" w:cs="Arial"/>
        </w:rPr>
        <w:t xml:space="preserve">is the risk aversion, </w:t>
      </w:r>
    </w:p>
    <w:p w14:paraId="163525FF" w14:textId="77777777" w:rsidR="00925633" w:rsidRPr="001A365B" w:rsidRDefault="00925633" w:rsidP="00925633">
      <w:pPr>
        <w:spacing w:line="360" w:lineRule="auto"/>
        <w:ind w:firstLine="360"/>
        <w:rPr>
          <w:rFonts w:ascii="Arial" w:hAnsi="Arial" w:cs="Arial"/>
        </w:rPr>
      </w:pPr>
      <w:r w:rsidRPr="001A365B">
        <w:rPr>
          <w:rFonts w:ascii="Arial" w:hAnsi="Arial" w:cs="Arial"/>
        </w:rPr>
        <w:tab/>
        <w:t xml:space="preserve">The equation below is known as the Black </w:t>
      </w:r>
      <w:proofErr w:type="spellStart"/>
      <w:r w:rsidRPr="001A365B">
        <w:rPr>
          <w:rFonts w:ascii="Arial" w:hAnsi="Arial" w:cs="Arial"/>
        </w:rPr>
        <w:t>Litterman</w:t>
      </w:r>
      <w:proofErr w:type="spellEnd"/>
      <w:r w:rsidRPr="001A365B">
        <w:rPr>
          <w:rFonts w:ascii="Arial" w:hAnsi="Arial" w:cs="Arial"/>
        </w:rPr>
        <w:t xml:space="preserve"> model and represents the expected return vectors that is produced from a Bayesian mixing of the implied equilibrium. excess return vector </w:t>
      </w:r>
      <w:r w:rsidRPr="001A365B">
        <w:rPr>
          <w:rFonts w:ascii="Arial" w:hAnsi="Arial" w:cs="Arial"/>
          <w:position w:val="-4"/>
        </w:rPr>
        <w:object w:dxaOrig="260" w:dyaOrig="240" w14:anchorId="742659F5">
          <v:shape id="_x0000_i1080" type="#_x0000_t75" style="width:12.6pt;height:12pt" o:ole="">
            <v:imagedata r:id="rId117" o:title=""/>
          </v:shape>
          <o:OLEObject Type="Embed" ProgID="Equation.DSMT4" ShapeID="_x0000_i1080" DrawAspect="Content" ObjectID="_1804070303" r:id="rId121"/>
        </w:object>
      </w:r>
      <w:r w:rsidRPr="001A365B">
        <w:rPr>
          <w:rFonts w:ascii="Arial" w:hAnsi="Arial" w:cs="Arial"/>
        </w:rPr>
        <w:t xml:space="preserve"> and the vector of investor views </w:t>
      </w:r>
      <w:r w:rsidRPr="001A365B">
        <w:rPr>
          <w:rFonts w:ascii="Arial" w:hAnsi="Arial" w:cs="Arial"/>
          <w:i/>
        </w:rPr>
        <w:t>Q</w:t>
      </w:r>
    </w:p>
    <w:p w14:paraId="0FFF5F63" w14:textId="77777777" w:rsidR="00925633" w:rsidRPr="001A365B" w:rsidRDefault="00925633" w:rsidP="00925633">
      <w:pPr>
        <w:spacing w:line="360" w:lineRule="auto"/>
        <w:rPr>
          <w:rFonts w:ascii="Arial" w:hAnsi="Arial" w:cs="Arial"/>
        </w:rPr>
      </w:pPr>
      <w:r w:rsidRPr="001A365B">
        <w:rPr>
          <w:rFonts w:ascii="Arial" w:hAnsi="Arial" w:cs="Arial"/>
          <w:position w:val="-10"/>
        </w:rPr>
        <w:object w:dxaOrig="4440" w:dyaOrig="360" w14:anchorId="7E55FF8A">
          <v:shape id="_x0000_i1081" type="#_x0000_t75" style="width:222.6pt;height:19.2pt" o:ole="">
            <v:imagedata r:id="rId122" o:title=""/>
          </v:shape>
          <o:OLEObject Type="Embed" ProgID="Equation.DSMT4" ShapeID="_x0000_i1081" DrawAspect="Content" ObjectID="_1804070304" r:id="rId123"/>
        </w:object>
      </w:r>
      <w:r w:rsidR="008E432C">
        <w:rPr>
          <w:rFonts w:ascii="Arial" w:hAnsi="Arial" w:cs="Arial"/>
        </w:rPr>
        <w:tab/>
      </w:r>
      <w:r w:rsidRPr="001A365B">
        <w:rPr>
          <w:rFonts w:ascii="Arial" w:hAnsi="Arial" w:cs="Arial"/>
        </w:rPr>
        <w:tab/>
      </w:r>
      <w:r w:rsidRPr="001A365B">
        <w:rPr>
          <w:rFonts w:ascii="Arial" w:hAnsi="Arial" w:cs="Arial"/>
        </w:rPr>
        <w:tab/>
      </w:r>
      <w:r w:rsidRPr="001A365B">
        <w:rPr>
          <w:rFonts w:ascii="Arial" w:hAnsi="Arial" w:cs="Arial"/>
        </w:rPr>
        <w:tab/>
        <w:t>(23)</w:t>
      </w:r>
    </w:p>
    <w:p w14:paraId="52FB11D6" w14:textId="77777777" w:rsidR="00925633" w:rsidRPr="006E7F6A" w:rsidRDefault="006E7F6A" w:rsidP="00925633">
      <w:pPr>
        <w:jc w:val="both"/>
        <w:rPr>
          <w:rFonts w:ascii="Arial" w:hAnsi="Arial" w:cs="Arial"/>
          <w:b/>
          <w:sz w:val="22"/>
          <w:szCs w:val="22"/>
        </w:rPr>
      </w:pPr>
      <w:r w:rsidRPr="006E7F6A">
        <w:rPr>
          <w:rFonts w:ascii="Arial" w:hAnsi="Arial" w:cs="Arial"/>
          <w:b/>
          <w:sz w:val="22"/>
          <w:szCs w:val="22"/>
        </w:rPr>
        <w:t xml:space="preserve">4.  DATA </w:t>
      </w:r>
    </w:p>
    <w:p w14:paraId="04E8136A" w14:textId="77777777" w:rsidR="00925633" w:rsidRDefault="00925633" w:rsidP="00925633">
      <w:pPr>
        <w:jc w:val="both"/>
        <w:rPr>
          <w:rFonts w:ascii="Arial" w:hAnsi="Arial" w:cs="Arial"/>
        </w:rPr>
      </w:pPr>
      <w:r w:rsidRPr="001A365B">
        <w:rPr>
          <w:rFonts w:ascii="Arial" w:hAnsi="Arial" w:cs="Arial"/>
        </w:rPr>
        <w:t>The sample data was explored from monthly data of Gold, Natural Gas and Oil from Yahoo finance DataStream. The data spans from January, 2018 to September, 2022. The actual data for this study are non-stationary. The non-stationary data was transformed to stationary by first differencing.</w:t>
      </w:r>
    </w:p>
    <w:p w14:paraId="563D86B9" w14:textId="77777777" w:rsidR="006E7F6A" w:rsidRPr="001A365B" w:rsidRDefault="006E7F6A" w:rsidP="00925633">
      <w:pPr>
        <w:jc w:val="both"/>
        <w:rPr>
          <w:rFonts w:ascii="Arial" w:hAnsi="Arial" w:cs="Arial"/>
        </w:rPr>
      </w:pPr>
    </w:p>
    <w:p w14:paraId="11665069" w14:textId="77777777" w:rsidR="00925633" w:rsidRPr="006E7F6A" w:rsidRDefault="006E7F6A" w:rsidP="00925633">
      <w:pPr>
        <w:jc w:val="both"/>
        <w:rPr>
          <w:rFonts w:ascii="Arial" w:hAnsi="Arial" w:cs="Arial"/>
          <w:b/>
          <w:sz w:val="22"/>
          <w:szCs w:val="22"/>
        </w:rPr>
      </w:pPr>
      <w:r w:rsidRPr="006E7F6A">
        <w:rPr>
          <w:rFonts w:ascii="Arial" w:hAnsi="Arial" w:cs="Arial"/>
          <w:b/>
          <w:sz w:val="22"/>
          <w:szCs w:val="22"/>
        </w:rPr>
        <w:t xml:space="preserve">5.  RESULT AND DISCUSSION </w:t>
      </w:r>
    </w:p>
    <w:p w14:paraId="1D278086" w14:textId="37083E75" w:rsidR="00925633" w:rsidRDefault="00925633" w:rsidP="00925633">
      <w:pPr>
        <w:jc w:val="both"/>
        <w:rPr>
          <w:rFonts w:ascii="Arial" w:hAnsi="Arial" w:cs="Arial"/>
        </w:rPr>
      </w:pPr>
      <w:r w:rsidRPr="001A365B">
        <w:rPr>
          <w:rFonts w:ascii="Arial" w:hAnsi="Arial" w:cs="Arial"/>
        </w:rPr>
        <w:t xml:space="preserve">The assets allocations results divulge from Black </w:t>
      </w:r>
      <w:proofErr w:type="spellStart"/>
      <w:r w:rsidRPr="001A365B">
        <w:rPr>
          <w:rFonts w:ascii="Arial" w:hAnsi="Arial" w:cs="Arial"/>
        </w:rPr>
        <w:t>Litterman</w:t>
      </w:r>
      <w:proofErr w:type="spellEnd"/>
      <w:r w:rsidRPr="001A365B">
        <w:rPr>
          <w:rFonts w:ascii="Arial" w:hAnsi="Arial" w:cs="Arial"/>
        </w:rPr>
        <w:t xml:space="preserve"> model is used for estimation of portfolios’ risk and assets. As stated above that the aim of this paper is to investigate assets’ reduction strength and their effects in minimizing portfolio risk. Three assets are used in this study; Gold, Oil and Natural gas. Table 1 presents risk reduction strength of the three assets; gold possesses 8.7% </w:t>
      </w:r>
      <w:r w:rsidR="000A22EC" w:rsidRPr="001A365B">
        <w:rPr>
          <w:rFonts w:ascii="Arial" w:hAnsi="Arial" w:cs="Arial"/>
        </w:rPr>
        <w:t>strength;</w:t>
      </w:r>
      <w:r w:rsidRPr="001A365B">
        <w:rPr>
          <w:rFonts w:ascii="Arial" w:hAnsi="Arial" w:cs="Arial"/>
        </w:rPr>
        <w:t xml:space="preserve"> oil contains 8.37% strength and Natural gas has 0.47% strength. This shows that gold possesses higher risk reduction strength followed by oil. The second aim of this paper is to investigate the effects of these assets strengths in minimizing risk of portfolio. Table 2 presents portfolios with their assets and corresponding risk; Benchmark portfolio contains all the three assets used in the paper with 0.0038 risk, hence these assets are partitioned into three portfolios. Portfolio 1 contains gold and oil with 0.0085 risk, portfolio 2 comprises of gold and natural gas with 0.0875 risk while portfolio 3 consists of oil and natural gas with 0.0908 risk. It is shown vividly that portfolio 1divulges minimum risk compared with other portfolios, reason is that the two assets in the portfolio possessed higher risk reduction strength. Portfolio 3 with higher risk proved the absence of gold with highest risk reduction strength. Figure 1, clearly shows the summary of the study that if asset with higher risk reduction strength is included in a portfolio, it minimizes the portfolio’s risk. </w:t>
      </w:r>
    </w:p>
    <w:p w14:paraId="0F7A46E3" w14:textId="77777777" w:rsidR="005A12C0" w:rsidRPr="001A365B" w:rsidRDefault="005A12C0" w:rsidP="00925633">
      <w:pPr>
        <w:jc w:val="both"/>
        <w:rPr>
          <w:rFonts w:ascii="Arial" w:hAnsi="Arial" w:cs="Arial"/>
        </w:rPr>
      </w:pPr>
    </w:p>
    <w:p w14:paraId="60FE1A66" w14:textId="77777777" w:rsidR="00925633" w:rsidRPr="001A365B" w:rsidRDefault="00925633" w:rsidP="00925633">
      <w:pPr>
        <w:jc w:val="both"/>
        <w:rPr>
          <w:rFonts w:ascii="Arial" w:hAnsi="Arial" w:cs="Arial"/>
        </w:rPr>
      </w:pPr>
      <w:r w:rsidRPr="001A365B">
        <w:rPr>
          <w:rFonts w:ascii="Arial" w:hAnsi="Arial" w:cs="Arial"/>
          <w:b/>
        </w:rPr>
        <w:t>Table 1:</w:t>
      </w:r>
      <w:r w:rsidRPr="001A365B">
        <w:rPr>
          <w:rFonts w:ascii="Arial" w:hAnsi="Arial" w:cs="Arial"/>
        </w:rPr>
        <w:t xml:space="preserve"> </w:t>
      </w:r>
      <w:r w:rsidRPr="005A12C0">
        <w:rPr>
          <w:rFonts w:ascii="Arial" w:hAnsi="Arial" w:cs="Arial"/>
          <w:b/>
        </w:rPr>
        <w:t>Assets’ Risk Reduction strength</w:t>
      </w:r>
      <w:r w:rsidRPr="001A365B">
        <w:rPr>
          <w:rFonts w:ascii="Arial" w:hAnsi="Arial" w:cs="Arial"/>
        </w:rPr>
        <w:t xml:space="preserve"> </w:t>
      </w:r>
    </w:p>
    <w:tbl>
      <w:tblPr>
        <w:tblStyle w:val="TableGrid"/>
        <w:tblW w:w="0" w:type="auto"/>
        <w:tblLook w:val="04A0" w:firstRow="1" w:lastRow="0" w:firstColumn="1" w:lastColumn="0" w:noHBand="0" w:noVBand="1"/>
      </w:tblPr>
      <w:tblGrid>
        <w:gridCol w:w="2538"/>
        <w:gridCol w:w="2250"/>
        <w:gridCol w:w="2394"/>
        <w:gridCol w:w="2394"/>
      </w:tblGrid>
      <w:tr w:rsidR="00925633" w:rsidRPr="001A365B" w14:paraId="39CBD187" w14:textId="77777777" w:rsidTr="00E229F9">
        <w:tc>
          <w:tcPr>
            <w:tcW w:w="2538" w:type="dxa"/>
            <w:tcBorders>
              <w:left w:val="nil"/>
              <w:right w:val="single" w:sz="4" w:space="0" w:color="auto"/>
            </w:tcBorders>
          </w:tcPr>
          <w:p w14:paraId="0F47B424" w14:textId="77777777" w:rsidR="00925633" w:rsidRPr="001A365B" w:rsidRDefault="00925633" w:rsidP="00E229F9">
            <w:pPr>
              <w:jc w:val="both"/>
              <w:rPr>
                <w:rFonts w:ascii="Arial" w:hAnsi="Arial" w:cs="Arial"/>
                <w:sz w:val="20"/>
                <w:szCs w:val="20"/>
              </w:rPr>
            </w:pPr>
          </w:p>
        </w:tc>
        <w:tc>
          <w:tcPr>
            <w:tcW w:w="2250" w:type="dxa"/>
            <w:tcBorders>
              <w:left w:val="single" w:sz="4" w:space="0" w:color="auto"/>
              <w:right w:val="nil"/>
            </w:tcBorders>
          </w:tcPr>
          <w:p w14:paraId="4CD690EF" w14:textId="77777777" w:rsidR="00925633" w:rsidRPr="001A365B" w:rsidRDefault="00925633" w:rsidP="00E229F9">
            <w:pPr>
              <w:jc w:val="center"/>
              <w:rPr>
                <w:rFonts w:ascii="Arial" w:hAnsi="Arial" w:cs="Arial"/>
                <w:sz w:val="20"/>
                <w:szCs w:val="20"/>
              </w:rPr>
            </w:pPr>
            <w:r w:rsidRPr="001A365B">
              <w:rPr>
                <w:rFonts w:ascii="Arial" w:hAnsi="Arial" w:cs="Arial"/>
                <w:sz w:val="20"/>
                <w:szCs w:val="20"/>
              </w:rPr>
              <w:t>Gold</w:t>
            </w:r>
          </w:p>
        </w:tc>
        <w:tc>
          <w:tcPr>
            <w:tcW w:w="2394" w:type="dxa"/>
            <w:tcBorders>
              <w:left w:val="nil"/>
              <w:right w:val="nil"/>
            </w:tcBorders>
          </w:tcPr>
          <w:p w14:paraId="5E830214" w14:textId="77777777" w:rsidR="00925633" w:rsidRPr="001A365B" w:rsidRDefault="00925633" w:rsidP="00E229F9">
            <w:pPr>
              <w:jc w:val="center"/>
              <w:rPr>
                <w:rFonts w:ascii="Arial" w:hAnsi="Arial" w:cs="Arial"/>
                <w:sz w:val="20"/>
                <w:szCs w:val="20"/>
              </w:rPr>
            </w:pPr>
            <w:r w:rsidRPr="001A365B">
              <w:rPr>
                <w:rFonts w:ascii="Arial" w:hAnsi="Arial" w:cs="Arial"/>
                <w:sz w:val="20"/>
                <w:szCs w:val="20"/>
              </w:rPr>
              <w:t>Oil</w:t>
            </w:r>
          </w:p>
        </w:tc>
        <w:tc>
          <w:tcPr>
            <w:tcW w:w="2394" w:type="dxa"/>
            <w:tcBorders>
              <w:left w:val="nil"/>
              <w:right w:val="nil"/>
            </w:tcBorders>
          </w:tcPr>
          <w:p w14:paraId="62F3B0A0" w14:textId="77777777" w:rsidR="00925633" w:rsidRPr="001A365B" w:rsidRDefault="00925633" w:rsidP="00E229F9">
            <w:pPr>
              <w:jc w:val="center"/>
              <w:rPr>
                <w:rFonts w:ascii="Arial" w:hAnsi="Arial" w:cs="Arial"/>
                <w:sz w:val="20"/>
                <w:szCs w:val="20"/>
              </w:rPr>
            </w:pPr>
            <w:r w:rsidRPr="001A365B">
              <w:rPr>
                <w:rFonts w:ascii="Arial" w:hAnsi="Arial" w:cs="Arial"/>
                <w:sz w:val="20"/>
                <w:szCs w:val="20"/>
              </w:rPr>
              <w:t>Natural gas</w:t>
            </w:r>
          </w:p>
        </w:tc>
      </w:tr>
      <w:tr w:rsidR="00925633" w:rsidRPr="001A365B" w14:paraId="1C1912BE" w14:textId="77777777" w:rsidTr="00E229F9">
        <w:tc>
          <w:tcPr>
            <w:tcW w:w="2538" w:type="dxa"/>
            <w:tcBorders>
              <w:left w:val="nil"/>
              <w:right w:val="single" w:sz="4" w:space="0" w:color="auto"/>
            </w:tcBorders>
          </w:tcPr>
          <w:p w14:paraId="5B31F4FE" w14:textId="77777777" w:rsidR="00925633" w:rsidRPr="001A365B" w:rsidRDefault="00925633" w:rsidP="00E229F9">
            <w:pPr>
              <w:jc w:val="both"/>
              <w:rPr>
                <w:rFonts w:ascii="Arial" w:hAnsi="Arial" w:cs="Arial"/>
                <w:sz w:val="20"/>
                <w:szCs w:val="20"/>
              </w:rPr>
            </w:pPr>
            <w:r w:rsidRPr="001A365B">
              <w:rPr>
                <w:rFonts w:ascii="Arial" w:hAnsi="Arial" w:cs="Arial"/>
                <w:sz w:val="20"/>
                <w:szCs w:val="20"/>
              </w:rPr>
              <w:t>Risk reduction strength</w:t>
            </w:r>
          </w:p>
        </w:tc>
        <w:tc>
          <w:tcPr>
            <w:tcW w:w="2250" w:type="dxa"/>
            <w:tcBorders>
              <w:left w:val="single" w:sz="4" w:space="0" w:color="auto"/>
              <w:right w:val="nil"/>
            </w:tcBorders>
          </w:tcPr>
          <w:p w14:paraId="2690A305" w14:textId="77777777" w:rsidR="00925633" w:rsidRPr="001A365B" w:rsidRDefault="00925633" w:rsidP="00E229F9">
            <w:pPr>
              <w:jc w:val="center"/>
              <w:rPr>
                <w:rFonts w:ascii="Arial" w:hAnsi="Arial" w:cs="Arial"/>
                <w:sz w:val="20"/>
                <w:szCs w:val="20"/>
              </w:rPr>
            </w:pPr>
            <w:r w:rsidRPr="001A365B">
              <w:rPr>
                <w:rFonts w:ascii="Arial" w:hAnsi="Arial" w:cs="Arial"/>
                <w:sz w:val="20"/>
                <w:szCs w:val="20"/>
              </w:rPr>
              <w:t>0.0870</w:t>
            </w:r>
          </w:p>
        </w:tc>
        <w:tc>
          <w:tcPr>
            <w:tcW w:w="2394" w:type="dxa"/>
            <w:tcBorders>
              <w:left w:val="nil"/>
              <w:right w:val="nil"/>
            </w:tcBorders>
          </w:tcPr>
          <w:p w14:paraId="15CABC21" w14:textId="77777777" w:rsidR="00925633" w:rsidRPr="001A365B" w:rsidRDefault="00925633" w:rsidP="00E229F9">
            <w:pPr>
              <w:jc w:val="center"/>
              <w:rPr>
                <w:rFonts w:ascii="Arial" w:hAnsi="Arial" w:cs="Arial"/>
                <w:sz w:val="20"/>
                <w:szCs w:val="20"/>
              </w:rPr>
            </w:pPr>
            <w:r w:rsidRPr="001A365B">
              <w:rPr>
                <w:rFonts w:ascii="Arial" w:hAnsi="Arial" w:cs="Arial"/>
                <w:sz w:val="20"/>
                <w:szCs w:val="20"/>
              </w:rPr>
              <w:t>0.0837</w:t>
            </w:r>
          </w:p>
        </w:tc>
        <w:tc>
          <w:tcPr>
            <w:tcW w:w="2394" w:type="dxa"/>
            <w:tcBorders>
              <w:left w:val="nil"/>
              <w:right w:val="nil"/>
            </w:tcBorders>
          </w:tcPr>
          <w:p w14:paraId="1D9FF224" w14:textId="77777777" w:rsidR="00925633" w:rsidRPr="001A365B" w:rsidRDefault="00925633" w:rsidP="00E229F9">
            <w:pPr>
              <w:jc w:val="center"/>
              <w:rPr>
                <w:rFonts w:ascii="Arial" w:hAnsi="Arial" w:cs="Arial"/>
                <w:sz w:val="20"/>
                <w:szCs w:val="20"/>
              </w:rPr>
            </w:pPr>
            <w:r w:rsidRPr="001A365B">
              <w:rPr>
                <w:rFonts w:ascii="Arial" w:hAnsi="Arial" w:cs="Arial"/>
                <w:sz w:val="20"/>
                <w:szCs w:val="20"/>
              </w:rPr>
              <w:t>0.0047</w:t>
            </w:r>
          </w:p>
        </w:tc>
      </w:tr>
    </w:tbl>
    <w:p w14:paraId="08F0B754" w14:textId="77777777" w:rsidR="00925633" w:rsidRPr="001A365B" w:rsidRDefault="00925633" w:rsidP="00925633">
      <w:pPr>
        <w:jc w:val="both"/>
        <w:rPr>
          <w:rFonts w:ascii="Arial" w:hAnsi="Arial" w:cs="Arial"/>
        </w:rPr>
      </w:pPr>
    </w:p>
    <w:p w14:paraId="15B5BCC1" w14:textId="77777777" w:rsidR="00925633" w:rsidRPr="00E97576" w:rsidRDefault="00925633" w:rsidP="00925633">
      <w:pPr>
        <w:jc w:val="both"/>
        <w:rPr>
          <w:rFonts w:ascii="Arial" w:hAnsi="Arial" w:cs="Arial"/>
          <w:b/>
        </w:rPr>
      </w:pPr>
      <w:r w:rsidRPr="001A365B">
        <w:rPr>
          <w:rFonts w:ascii="Arial" w:hAnsi="Arial" w:cs="Arial"/>
          <w:b/>
        </w:rPr>
        <w:t>Table 2:</w:t>
      </w:r>
      <w:r w:rsidRPr="001A365B">
        <w:rPr>
          <w:rFonts w:ascii="Arial" w:hAnsi="Arial" w:cs="Arial"/>
        </w:rPr>
        <w:t xml:space="preserve"> </w:t>
      </w:r>
      <w:r w:rsidRPr="00E97576">
        <w:rPr>
          <w:rFonts w:ascii="Arial" w:hAnsi="Arial" w:cs="Arial"/>
          <w:b/>
        </w:rPr>
        <w:t>Assets’ portfolios with corresponding risk</w:t>
      </w:r>
    </w:p>
    <w:tbl>
      <w:tblPr>
        <w:tblStyle w:val="TableGrid"/>
        <w:tblW w:w="0" w:type="auto"/>
        <w:tblLook w:val="04A0" w:firstRow="1" w:lastRow="0" w:firstColumn="1" w:lastColumn="0" w:noHBand="0" w:noVBand="1"/>
      </w:tblPr>
      <w:tblGrid>
        <w:gridCol w:w="1915"/>
        <w:gridCol w:w="1915"/>
        <w:gridCol w:w="1915"/>
        <w:gridCol w:w="1915"/>
        <w:gridCol w:w="1916"/>
      </w:tblGrid>
      <w:tr w:rsidR="00925633" w:rsidRPr="001A365B" w14:paraId="5AF96443" w14:textId="77777777" w:rsidTr="00E229F9">
        <w:tc>
          <w:tcPr>
            <w:tcW w:w="1915" w:type="dxa"/>
            <w:tcBorders>
              <w:top w:val="single" w:sz="4" w:space="0" w:color="auto"/>
              <w:left w:val="nil"/>
              <w:bottom w:val="nil"/>
              <w:right w:val="single" w:sz="4" w:space="0" w:color="auto"/>
            </w:tcBorders>
          </w:tcPr>
          <w:p w14:paraId="7816E42B" w14:textId="77777777" w:rsidR="00925633" w:rsidRPr="001A365B" w:rsidRDefault="00925633" w:rsidP="00E229F9">
            <w:pPr>
              <w:jc w:val="both"/>
              <w:rPr>
                <w:rFonts w:ascii="Arial" w:hAnsi="Arial" w:cs="Arial"/>
                <w:sz w:val="20"/>
                <w:szCs w:val="20"/>
              </w:rPr>
            </w:pPr>
          </w:p>
        </w:tc>
        <w:tc>
          <w:tcPr>
            <w:tcW w:w="1915" w:type="dxa"/>
            <w:tcBorders>
              <w:left w:val="single" w:sz="4" w:space="0" w:color="auto"/>
              <w:bottom w:val="single" w:sz="4" w:space="0" w:color="auto"/>
              <w:right w:val="nil"/>
            </w:tcBorders>
          </w:tcPr>
          <w:p w14:paraId="213C3E55" w14:textId="77777777" w:rsidR="00925633" w:rsidRPr="001A365B" w:rsidRDefault="00925633" w:rsidP="00E229F9">
            <w:pPr>
              <w:jc w:val="center"/>
              <w:rPr>
                <w:rFonts w:ascii="Arial" w:hAnsi="Arial" w:cs="Arial"/>
                <w:sz w:val="20"/>
                <w:szCs w:val="20"/>
              </w:rPr>
            </w:pPr>
            <w:r w:rsidRPr="001A365B">
              <w:rPr>
                <w:rFonts w:ascii="Arial" w:hAnsi="Arial" w:cs="Arial"/>
                <w:sz w:val="20"/>
                <w:szCs w:val="20"/>
              </w:rPr>
              <w:t>Benchmark Portfolio</w:t>
            </w:r>
          </w:p>
        </w:tc>
        <w:tc>
          <w:tcPr>
            <w:tcW w:w="1915" w:type="dxa"/>
            <w:tcBorders>
              <w:left w:val="nil"/>
              <w:bottom w:val="single" w:sz="4" w:space="0" w:color="auto"/>
              <w:right w:val="nil"/>
            </w:tcBorders>
          </w:tcPr>
          <w:p w14:paraId="1F300E56" w14:textId="77777777" w:rsidR="00925633" w:rsidRPr="001A365B" w:rsidRDefault="00925633" w:rsidP="00E229F9">
            <w:pPr>
              <w:jc w:val="center"/>
              <w:rPr>
                <w:rFonts w:ascii="Arial" w:hAnsi="Arial" w:cs="Arial"/>
                <w:sz w:val="20"/>
                <w:szCs w:val="20"/>
              </w:rPr>
            </w:pPr>
            <w:r w:rsidRPr="001A365B">
              <w:rPr>
                <w:rFonts w:ascii="Arial" w:hAnsi="Arial" w:cs="Arial"/>
                <w:sz w:val="20"/>
                <w:szCs w:val="20"/>
              </w:rPr>
              <w:t>Portfolio1</w:t>
            </w:r>
          </w:p>
        </w:tc>
        <w:tc>
          <w:tcPr>
            <w:tcW w:w="1915" w:type="dxa"/>
            <w:tcBorders>
              <w:left w:val="nil"/>
              <w:bottom w:val="single" w:sz="4" w:space="0" w:color="auto"/>
              <w:right w:val="nil"/>
            </w:tcBorders>
          </w:tcPr>
          <w:p w14:paraId="11A2A959" w14:textId="77777777" w:rsidR="00925633" w:rsidRPr="001A365B" w:rsidRDefault="00925633" w:rsidP="00E229F9">
            <w:pPr>
              <w:jc w:val="center"/>
              <w:rPr>
                <w:rFonts w:ascii="Arial" w:hAnsi="Arial" w:cs="Arial"/>
                <w:sz w:val="20"/>
                <w:szCs w:val="20"/>
              </w:rPr>
            </w:pPr>
            <w:r w:rsidRPr="001A365B">
              <w:rPr>
                <w:rFonts w:ascii="Arial" w:hAnsi="Arial" w:cs="Arial"/>
                <w:sz w:val="20"/>
                <w:szCs w:val="20"/>
              </w:rPr>
              <w:t>Portfolio2</w:t>
            </w:r>
          </w:p>
        </w:tc>
        <w:tc>
          <w:tcPr>
            <w:tcW w:w="1916" w:type="dxa"/>
            <w:tcBorders>
              <w:left w:val="nil"/>
              <w:bottom w:val="single" w:sz="4" w:space="0" w:color="auto"/>
              <w:right w:val="nil"/>
            </w:tcBorders>
          </w:tcPr>
          <w:p w14:paraId="28478656" w14:textId="77777777" w:rsidR="00925633" w:rsidRPr="001A365B" w:rsidRDefault="00925633" w:rsidP="00E229F9">
            <w:pPr>
              <w:jc w:val="center"/>
              <w:rPr>
                <w:rFonts w:ascii="Arial" w:hAnsi="Arial" w:cs="Arial"/>
                <w:sz w:val="20"/>
                <w:szCs w:val="20"/>
              </w:rPr>
            </w:pPr>
            <w:r w:rsidRPr="001A365B">
              <w:rPr>
                <w:rFonts w:ascii="Arial" w:hAnsi="Arial" w:cs="Arial"/>
                <w:sz w:val="20"/>
                <w:szCs w:val="20"/>
              </w:rPr>
              <w:t>Portfolio3</w:t>
            </w:r>
          </w:p>
        </w:tc>
      </w:tr>
      <w:tr w:rsidR="00925633" w:rsidRPr="001A365B" w14:paraId="562A5B86" w14:textId="77777777" w:rsidTr="00E229F9">
        <w:tc>
          <w:tcPr>
            <w:tcW w:w="1915" w:type="dxa"/>
            <w:tcBorders>
              <w:top w:val="nil"/>
              <w:left w:val="nil"/>
              <w:bottom w:val="nil"/>
              <w:right w:val="single" w:sz="4" w:space="0" w:color="auto"/>
            </w:tcBorders>
          </w:tcPr>
          <w:p w14:paraId="2C884212" w14:textId="77777777" w:rsidR="00925633" w:rsidRPr="001A365B" w:rsidRDefault="00925633" w:rsidP="00E229F9">
            <w:pPr>
              <w:jc w:val="both"/>
              <w:rPr>
                <w:rFonts w:ascii="Arial" w:hAnsi="Arial" w:cs="Arial"/>
                <w:sz w:val="20"/>
                <w:szCs w:val="20"/>
              </w:rPr>
            </w:pPr>
          </w:p>
        </w:tc>
        <w:tc>
          <w:tcPr>
            <w:tcW w:w="1915" w:type="dxa"/>
            <w:tcBorders>
              <w:top w:val="single" w:sz="4" w:space="0" w:color="auto"/>
              <w:left w:val="single" w:sz="4" w:space="0" w:color="auto"/>
              <w:bottom w:val="nil"/>
              <w:right w:val="nil"/>
            </w:tcBorders>
          </w:tcPr>
          <w:p w14:paraId="025B7D51" w14:textId="77777777" w:rsidR="00925633" w:rsidRPr="001A365B" w:rsidRDefault="00925633" w:rsidP="00E229F9">
            <w:pPr>
              <w:jc w:val="center"/>
              <w:rPr>
                <w:rFonts w:ascii="Arial" w:hAnsi="Arial" w:cs="Arial"/>
                <w:sz w:val="20"/>
                <w:szCs w:val="20"/>
              </w:rPr>
            </w:pPr>
            <w:r w:rsidRPr="001A365B">
              <w:rPr>
                <w:rFonts w:ascii="Arial" w:hAnsi="Arial" w:cs="Arial"/>
                <w:sz w:val="20"/>
                <w:szCs w:val="20"/>
              </w:rPr>
              <w:t>Gold</w:t>
            </w:r>
          </w:p>
        </w:tc>
        <w:tc>
          <w:tcPr>
            <w:tcW w:w="1915" w:type="dxa"/>
            <w:tcBorders>
              <w:top w:val="single" w:sz="4" w:space="0" w:color="auto"/>
              <w:left w:val="nil"/>
              <w:bottom w:val="nil"/>
              <w:right w:val="nil"/>
            </w:tcBorders>
          </w:tcPr>
          <w:p w14:paraId="0AE33890" w14:textId="77777777" w:rsidR="00925633" w:rsidRPr="001A365B" w:rsidRDefault="00925633" w:rsidP="00E229F9">
            <w:pPr>
              <w:jc w:val="center"/>
              <w:rPr>
                <w:rFonts w:ascii="Arial" w:hAnsi="Arial" w:cs="Arial"/>
                <w:sz w:val="20"/>
                <w:szCs w:val="20"/>
              </w:rPr>
            </w:pPr>
            <w:r w:rsidRPr="001A365B">
              <w:rPr>
                <w:rFonts w:ascii="Arial" w:hAnsi="Arial" w:cs="Arial"/>
                <w:sz w:val="20"/>
                <w:szCs w:val="20"/>
              </w:rPr>
              <w:t>Gold</w:t>
            </w:r>
          </w:p>
        </w:tc>
        <w:tc>
          <w:tcPr>
            <w:tcW w:w="1915" w:type="dxa"/>
            <w:tcBorders>
              <w:top w:val="single" w:sz="4" w:space="0" w:color="auto"/>
              <w:left w:val="nil"/>
              <w:bottom w:val="nil"/>
              <w:right w:val="nil"/>
            </w:tcBorders>
          </w:tcPr>
          <w:p w14:paraId="49FD9F44" w14:textId="77777777" w:rsidR="00925633" w:rsidRPr="001A365B" w:rsidRDefault="00925633" w:rsidP="00E229F9">
            <w:pPr>
              <w:jc w:val="center"/>
              <w:rPr>
                <w:rFonts w:ascii="Arial" w:hAnsi="Arial" w:cs="Arial"/>
                <w:sz w:val="20"/>
                <w:szCs w:val="20"/>
              </w:rPr>
            </w:pPr>
            <w:r w:rsidRPr="001A365B">
              <w:rPr>
                <w:rFonts w:ascii="Arial" w:hAnsi="Arial" w:cs="Arial"/>
                <w:sz w:val="20"/>
                <w:szCs w:val="20"/>
              </w:rPr>
              <w:t>Gold</w:t>
            </w:r>
          </w:p>
        </w:tc>
        <w:tc>
          <w:tcPr>
            <w:tcW w:w="1916" w:type="dxa"/>
            <w:tcBorders>
              <w:top w:val="single" w:sz="4" w:space="0" w:color="auto"/>
              <w:left w:val="nil"/>
              <w:bottom w:val="nil"/>
              <w:right w:val="nil"/>
            </w:tcBorders>
          </w:tcPr>
          <w:p w14:paraId="21D3D1F5" w14:textId="77777777" w:rsidR="00925633" w:rsidRPr="001A365B" w:rsidRDefault="00925633" w:rsidP="00E229F9">
            <w:pPr>
              <w:jc w:val="center"/>
              <w:rPr>
                <w:rFonts w:ascii="Arial" w:hAnsi="Arial" w:cs="Arial"/>
                <w:sz w:val="20"/>
                <w:szCs w:val="20"/>
              </w:rPr>
            </w:pPr>
            <w:r w:rsidRPr="001A365B">
              <w:rPr>
                <w:rFonts w:ascii="Arial" w:hAnsi="Arial" w:cs="Arial"/>
                <w:sz w:val="20"/>
                <w:szCs w:val="20"/>
              </w:rPr>
              <w:t>Oil</w:t>
            </w:r>
          </w:p>
        </w:tc>
      </w:tr>
      <w:tr w:rsidR="00925633" w:rsidRPr="001A365B" w14:paraId="6A510B99" w14:textId="77777777" w:rsidTr="00E229F9">
        <w:tc>
          <w:tcPr>
            <w:tcW w:w="1915" w:type="dxa"/>
            <w:tcBorders>
              <w:top w:val="nil"/>
              <w:left w:val="nil"/>
              <w:bottom w:val="nil"/>
              <w:right w:val="single" w:sz="4" w:space="0" w:color="auto"/>
            </w:tcBorders>
          </w:tcPr>
          <w:p w14:paraId="3206145F" w14:textId="77777777" w:rsidR="00925633" w:rsidRPr="001A365B" w:rsidRDefault="00925633" w:rsidP="00E229F9">
            <w:pPr>
              <w:jc w:val="both"/>
              <w:rPr>
                <w:rFonts w:ascii="Arial" w:hAnsi="Arial" w:cs="Arial"/>
                <w:sz w:val="20"/>
                <w:szCs w:val="20"/>
              </w:rPr>
            </w:pPr>
          </w:p>
        </w:tc>
        <w:tc>
          <w:tcPr>
            <w:tcW w:w="1915" w:type="dxa"/>
            <w:tcBorders>
              <w:top w:val="nil"/>
              <w:left w:val="single" w:sz="4" w:space="0" w:color="auto"/>
              <w:bottom w:val="nil"/>
              <w:right w:val="nil"/>
            </w:tcBorders>
          </w:tcPr>
          <w:p w14:paraId="2E48618C" w14:textId="77777777" w:rsidR="00925633" w:rsidRPr="001A365B" w:rsidRDefault="00925633" w:rsidP="00E229F9">
            <w:pPr>
              <w:jc w:val="center"/>
              <w:rPr>
                <w:rFonts w:ascii="Arial" w:hAnsi="Arial" w:cs="Arial"/>
                <w:sz w:val="20"/>
                <w:szCs w:val="20"/>
              </w:rPr>
            </w:pPr>
            <w:r w:rsidRPr="001A365B">
              <w:rPr>
                <w:rFonts w:ascii="Arial" w:hAnsi="Arial" w:cs="Arial"/>
                <w:sz w:val="20"/>
                <w:szCs w:val="20"/>
              </w:rPr>
              <w:t>Oil</w:t>
            </w:r>
          </w:p>
        </w:tc>
        <w:tc>
          <w:tcPr>
            <w:tcW w:w="1915" w:type="dxa"/>
            <w:tcBorders>
              <w:top w:val="nil"/>
              <w:left w:val="nil"/>
              <w:bottom w:val="nil"/>
              <w:right w:val="nil"/>
            </w:tcBorders>
          </w:tcPr>
          <w:p w14:paraId="29D2F3F4" w14:textId="77777777" w:rsidR="00925633" w:rsidRPr="001A365B" w:rsidRDefault="00925633" w:rsidP="00E229F9">
            <w:pPr>
              <w:jc w:val="center"/>
              <w:rPr>
                <w:rFonts w:ascii="Arial" w:hAnsi="Arial" w:cs="Arial"/>
                <w:sz w:val="20"/>
                <w:szCs w:val="20"/>
              </w:rPr>
            </w:pPr>
            <w:r w:rsidRPr="001A365B">
              <w:rPr>
                <w:rFonts w:ascii="Arial" w:hAnsi="Arial" w:cs="Arial"/>
                <w:sz w:val="20"/>
                <w:szCs w:val="20"/>
              </w:rPr>
              <w:t>Oil</w:t>
            </w:r>
          </w:p>
        </w:tc>
        <w:tc>
          <w:tcPr>
            <w:tcW w:w="1915" w:type="dxa"/>
            <w:tcBorders>
              <w:top w:val="nil"/>
              <w:left w:val="nil"/>
              <w:bottom w:val="nil"/>
              <w:right w:val="nil"/>
            </w:tcBorders>
          </w:tcPr>
          <w:p w14:paraId="1CE5A50B" w14:textId="77777777" w:rsidR="00925633" w:rsidRPr="001A365B" w:rsidRDefault="00925633" w:rsidP="00E229F9">
            <w:pPr>
              <w:jc w:val="center"/>
              <w:rPr>
                <w:rFonts w:ascii="Arial" w:hAnsi="Arial" w:cs="Arial"/>
                <w:sz w:val="20"/>
                <w:szCs w:val="20"/>
              </w:rPr>
            </w:pPr>
            <w:r w:rsidRPr="001A365B">
              <w:rPr>
                <w:rFonts w:ascii="Arial" w:hAnsi="Arial" w:cs="Arial"/>
                <w:sz w:val="20"/>
                <w:szCs w:val="20"/>
              </w:rPr>
              <w:t>Oil</w:t>
            </w:r>
          </w:p>
        </w:tc>
        <w:tc>
          <w:tcPr>
            <w:tcW w:w="1916" w:type="dxa"/>
            <w:tcBorders>
              <w:top w:val="nil"/>
              <w:left w:val="nil"/>
              <w:bottom w:val="nil"/>
              <w:right w:val="nil"/>
            </w:tcBorders>
          </w:tcPr>
          <w:p w14:paraId="30F962D3" w14:textId="77777777" w:rsidR="00925633" w:rsidRPr="001A365B" w:rsidRDefault="00925633" w:rsidP="00E229F9">
            <w:pPr>
              <w:jc w:val="center"/>
              <w:rPr>
                <w:rFonts w:ascii="Arial" w:hAnsi="Arial" w:cs="Arial"/>
                <w:sz w:val="20"/>
                <w:szCs w:val="20"/>
              </w:rPr>
            </w:pPr>
            <w:r w:rsidRPr="001A365B">
              <w:rPr>
                <w:rFonts w:ascii="Arial" w:hAnsi="Arial" w:cs="Arial"/>
                <w:sz w:val="20"/>
                <w:szCs w:val="20"/>
              </w:rPr>
              <w:t>Natural gas</w:t>
            </w:r>
          </w:p>
        </w:tc>
      </w:tr>
      <w:tr w:rsidR="00925633" w:rsidRPr="001A365B" w14:paraId="34C52857" w14:textId="77777777" w:rsidTr="00E229F9">
        <w:tc>
          <w:tcPr>
            <w:tcW w:w="1915" w:type="dxa"/>
            <w:tcBorders>
              <w:top w:val="nil"/>
              <w:left w:val="nil"/>
              <w:bottom w:val="single" w:sz="4" w:space="0" w:color="auto"/>
              <w:right w:val="single" w:sz="4" w:space="0" w:color="auto"/>
            </w:tcBorders>
          </w:tcPr>
          <w:p w14:paraId="4236C958" w14:textId="77777777" w:rsidR="00925633" w:rsidRPr="001A365B" w:rsidRDefault="00925633" w:rsidP="00E229F9">
            <w:pPr>
              <w:jc w:val="both"/>
              <w:rPr>
                <w:rFonts w:ascii="Arial" w:hAnsi="Arial" w:cs="Arial"/>
                <w:sz w:val="20"/>
                <w:szCs w:val="20"/>
              </w:rPr>
            </w:pPr>
          </w:p>
        </w:tc>
        <w:tc>
          <w:tcPr>
            <w:tcW w:w="1915" w:type="dxa"/>
            <w:tcBorders>
              <w:top w:val="nil"/>
              <w:left w:val="single" w:sz="4" w:space="0" w:color="auto"/>
              <w:bottom w:val="single" w:sz="4" w:space="0" w:color="auto"/>
              <w:right w:val="nil"/>
            </w:tcBorders>
          </w:tcPr>
          <w:p w14:paraId="4AD709DD" w14:textId="77777777" w:rsidR="00925633" w:rsidRPr="001A365B" w:rsidRDefault="00925633" w:rsidP="00E229F9">
            <w:pPr>
              <w:jc w:val="center"/>
              <w:rPr>
                <w:rFonts w:ascii="Arial" w:hAnsi="Arial" w:cs="Arial"/>
                <w:sz w:val="20"/>
                <w:szCs w:val="20"/>
              </w:rPr>
            </w:pPr>
            <w:r w:rsidRPr="001A365B">
              <w:rPr>
                <w:rFonts w:ascii="Arial" w:hAnsi="Arial" w:cs="Arial"/>
                <w:sz w:val="20"/>
                <w:szCs w:val="20"/>
              </w:rPr>
              <w:t>Natural gas</w:t>
            </w:r>
          </w:p>
        </w:tc>
        <w:tc>
          <w:tcPr>
            <w:tcW w:w="1915" w:type="dxa"/>
            <w:tcBorders>
              <w:top w:val="nil"/>
              <w:left w:val="nil"/>
              <w:bottom w:val="single" w:sz="4" w:space="0" w:color="auto"/>
              <w:right w:val="nil"/>
            </w:tcBorders>
          </w:tcPr>
          <w:p w14:paraId="36A23568" w14:textId="77777777" w:rsidR="00925633" w:rsidRPr="001A365B" w:rsidRDefault="00925633" w:rsidP="00E229F9">
            <w:pPr>
              <w:jc w:val="center"/>
              <w:rPr>
                <w:rFonts w:ascii="Arial" w:hAnsi="Arial" w:cs="Arial"/>
                <w:sz w:val="20"/>
                <w:szCs w:val="20"/>
              </w:rPr>
            </w:pPr>
          </w:p>
        </w:tc>
        <w:tc>
          <w:tcPr>
            <w:tcW w:w="1915" w:type="dxa"/>
            <w:tcBorders>
              <w:top w:val="nil"/>
              <w:left w:val="nil"/>
              <w:bottom w:val="single" w:sz="4" w:space="0" w:color="auto"/>
              <w:right w:val="nil"/>
            </w:tcBorders>
          </w:tcPr>
          <w:p w14:paraId="07E7B39F" w14:textId="77777777" w:rsidR="00925633" w:rsidRPr="001A365B" w:rsidRDefault="00925633" w:rsidP="00E229F9">
            <w:pPr>
              <w:jc w:val="center"/>
              <w:rPr>
                <w:rFonts w:ascii="Arial" w:hAnsi="Arial" w:cs="Arial"/>
                <w:sz w:val="20"/>
                <w:szCs w:val="20"/>
              </w:rPr>
            </w:pPr>
          </w:p>
        </w:tc>
        <w:tc>
          <w:tcPr>
            <w:tcW w:w="1916" w:type="dxa"/>
            <w:tcBorders>
              <w:top w:val="nil"/>
              <w:left w:val="nil"/>
              <w:bottom w:val="single" w:sz="4" w:space="0" w:color="auto"/>
              <w:right w:val="nil"/>
            </w:tcBorders>
          </w:tcPr>
          <w:p w14:paraId="5EE29042" w14:textId="77777777" w:rsidR="00925633" w:rsidRPr="001A365B" w:rsidRDefault="00925633" w:rsidP="00E229F9">
            <w:pPr>
              <w:jc w:val="center"/>
              <w:rPr>
                <w:rFonts w:ascii="Arial" w:hAnsi="Arial" w:cs="Arial"/>
                <w:sz w:val="20"/>
                <w:szCs w:val="20"/>
              </w:rPr>
            </w:pPr>
          </w:p>
        </w:tc>
      </w:tr>
      <w:tr w:rsidR="00925633" w:rsidRPr="001A365B" w14:paraId="5A91E855" w14:textId="77777777" w:rsidTr="00E229F9">
        <w:tc>
          <w:tcPr>
            <w:tcW w:w="1915" w:type="dxa"/>
            <w:tcBorders>
              <w:top w:val="single" w:sz="4" w:space="0" w:color="auto"/>
              <w:left w:val="nil"/>
              <w:right w:val="single" w:sz="4" w:space="0" w:color="auto"/>
            </w:tcBorders>
          </w:tcPr>
          <w:p w14:paraId="0AA96ED2" w14:textId="77777777" w:rsidR="00925633" w:rsidRPr="001A365B" w:rsidRDefault="00925633" w:rsidP="00E229F9">
            <w:pPr>
              <w:jc w:val="both"/>
              <w:rPr>
                <w:rFonts w:ascii="Arial" w:hAnsi="Arial" w:cs="Arial"/>
                <w:sz w:val="20"/>
                <w:szCs w:val="20"/>
              </w:rPr>
            </w:pPr>
            <w:r w:rsidRPr="001A365B">
              <w:rPr>
                <w:rFonts w:ascii="Arial" w:hAnsi="Arial" w:cs="Arial"/>
                <w:sz w:val="20"/>
                <w:szCs w:val="20"/>
              </w:rPr>
              <w:t>Portfolio risk</w:t>
            </w:r>
          </w:p>
        </w:tc>
        <w:tc>
          <w:tcPr>
            <w:tcW w:w="1915" w:type="dxa"/>
            <w:tcBorders>
              <w:top w:val="single" w:sz="4" w:space="0" w:color="auto"/>
              <w:left w:val="single" w:sz="4" w:space="0" w:color="auto"/>
              <w:bottom w:val="single" w:sz="4" w:space="0" w:color="auto"/>
              <w:right w:val="nil"/>
            </w:tcBorders>
          </w:tcPr>
          <w:p w14:paraId="210D2045" w14:textId="77777777" w:rsidR="00925633" w:rsidRPr="001A365B" w:rsidRDefault="00925633" w:rsidP="00E229F9">
            <w:pPr>
              <w:jc w:val="center"/>
              <w:rPr>
                <w:rFonts w:ascii="Arial" w:hAnsi="Arial" w:cs="Arial"/>
                <w:sz w:val="20"/>
                <w:szCs w:val="20"/>
              </w:rPr>
            </w:pPr>
            <w:r w:rsidRPr="001A365B">
              <w:rPr>
                <w:rFonts w:ascii="Arial" w:hAnsi="Arial" w:cs="Arial"/>
                <w:sz w:val="20"/>
                <w:szCs w:val="20"/>
              </w:rPr>
              <w:t>0.0038</w:t>
            </w:r>
          </w:p>
        </w:tc>
        <w:tc>
          <w:tcPr>
            <w:tcW w:w="1915" w:type="dxa"/>
            <w:tcBorders>
              <w:top w:val="single" w:sz="4" w:space="0" w:color="auto"/>
              <w:left w:val="nil"/>
              <w:bottom w:val="single" w:sz="4" w:space="0" w:color="auto"/>
              <w:right w:val="nil"/>
            </w:tcBorders>
          </w:tcPr>
          <w:p w14:paraId="0F9BB077" w14:textId="77777777" w:rsidR="00925633" w:rsidRPr="001A365B" w:rsidRDefault="00925633" w:rsidP="00E229F9">
            <w:pPr>
              <w:jc w:val="center"/>
              <w:rPr>
                <w:rFonts w:ascii="Arial" w:hAnsi="Arial" w:cs="Arial"/>
                <w:sz w:val="20"/>
                <w:szCs w:val="20"/>
              </w:rPr>
            </w:pPr>
            <w:r w:rsidRPr="001A365B">
              <w:rPr>
                <w:rFonts w:ascii="Arial" w:hAnsi="Arial" w:cs="Arial"/>
                <w:sz w:val="20"/>
                <w:szCs w:val="20"/>
              </w:rPr>
              <w:t>0.0085</w:t>
            </w:r>
          </w:p>
        </w:tc>
        <w:tc>
          <w:tcPr>
            <w:tcW w:w="1915" w:type="dxa"/>
            <w:tcBorders>
              <w:top w:val="single" w:sz="4" w:space="0" w:color="auto"/>
              <w:left w:val="nil"/>
              <w:bottom w:val="single" w:sz="4" w:space="0" w:color="auto"/>
              <w:right w:val="nil"/>
            </w:tcBorders>
          </w:tcPr>
          <w:p w14:paraId="62CD7DF3" w14:textId="77777777" w:rsidR="00925633" w:rsidRPr="001A365B" w:rsidRDefault="00925633" w:rsidP="00E229F9">
            <w:pPr>
              <w:jc w:val="center"/>
              <w:rPr>
                <w:rFonts w:ascii="Arial" w:hAnsi="Arial" w:cs="Arial"/>
                <w:sz w:val="20"/>
                <w:szCs w:val="20"/>
              </w:rPr>
            </w:pPr>
            <w:r w:rsidRPr="001A365B">
              <w:rPr>
                <w:rFonts w:ascii="Arial" w:hAnsi="Arial" w:cs="Arial"/>
                <w:sz w:val="20"/>
                <w:szCs w:val="20"/>
              </w:rPr>
              <w:t>0.0875</w:t>
            </w:r>
          </w:p>
        </w:tc>
        <w:tc>
          <w:tcPr>
            <w:tcW w:w="1916" w:type="dxa"/>
            <w:tcBorders>
              <w:top w:val="single" w:sz="4" w:space="0" w:color="auto"/>
              <w:left w:val="nil"/>
              <w:bottom w:val="single" w:sz="4" w:space="0" w:color="auto"/>
              <w:right w:val="nil"/>
            </w:tcBorders>
          </w:tcPr>
          <w:p w14:paraId="0065C061" w14:textId="77777777" w:rsidR="00925633" w:rsidRPr="001A365B" w:rsidRDefault="00925633" w:rsidP="00E229F9">
            <w:pPr>
              <w:jc w:val="center"/>
              <w:rPr>
                <w:rFonts w:ascii="Arial" w:hAnsi="Arial" w:cs="Arial"/>
                <w:sz w:val="20"/>
                <w:szCs w:val="20"/>
              </w:rPr>
            </w:pPr>
            <w:r w:rsidRPr="001A365B">
              <w:rPr>
                <w:rFonts w:ascii="Arial" w:hAnsi="Arial" w:cs="Arial"/>
                <w:sz w:val="20"/>
                <w:szCs w:val="20"/>
              </w:rPr>
              <w:t>0.0908</w:t>
            </w:r>
          </w:p>
        </w:tc>
      </w:tr>
    </w:tbl>
    <w:p w14:paraId="2A8AED55" w14:textId="77777777" w:rsidR="00925633" w:rsidRPr="001A365B" w:rsidRDefault="00925633" w:rsidP="00925633">
      <w:pPr>
        <w:jc w:val="both"/>
        <w:rPr>
          <w:rFonts w:ascii="Arial" w:hAnsi="Arial" w:cs="Arial"/>
        </w:rPr>
      </w:pPr>
    </w:p>
    <w:p w14:paraId="75002379" w14:textId="77777777" w:rsidR="00ED5361" w:rsidRPr="00ED5361" w:rsidRDefault="00ED5361" w:rsidP="00ED5361">
      <w:pPr>
        <w:jc w:val="both"/>
        <w:rPr>
          <w:bCs/>
          <w:lang w:val="en-GB"/>
        </w:rPr>
      </w:pPr>
      <w:r w:rsidRPr="00ED5361">
        <w:rPr>
          <w:bCs/>
          <w:highlight w:val="yellow"/>
        </w:rPr>
        <w:t>Table 2 presents risk values (0.0038, 0.0085) that require clarification regarding their measurement type because they could represent standard deviation, variance, or uncertainty factor. Wider specification of computational procedures together with presented formulas will help readers understand the methods used.</w:t>
      </w:r>
      <w:r w:rsidRPr="00ED5361">
        <w:rPr>
          <w:bCs/>
        </w:rPr>
        <w:t xml:space="preserve"> </w:t>
      </w:r>
    </w:p>
    <w:p w14:paraId="2EBF9FAF" w14:textId="77777777" w:rsidR="00925633" w:rsidRPr="001A365B" w:rsidRDefault="00925633" w:rsidP="00925633">
      <w:pPr>
        <w:jc w:val="both"/>
        <w:rPr>
          <w:rFonts w:ascii="Arial" w:hAnsi="Arial" w:cs="Arial"/>
        </w:rPr>
      </w:pPr>
    </w:p>
    <w:p w14:paraId="085DD332" w14:textId="77777777" w:rsidR="00925633" w:rsidRPr="001A365B" w:rsidRDefault="00925633" w:rsidP="00925633">
      <w:pPr>
        <w:jc w:val="both"/>
        <w:rPr>
          <w:rFonts w:ascii="Arial" w:hAnsi="Arial" w:cs="Arial"/>
          <w:b/>
        </w:rPr>
      </w:pPr>
      <w:r w:rsidRPr="001A365B">
        <w:rPr>
          <w:rFonts w:ascii="Arial" w:hAnsi="Arial" w:cs="Arial"/>
          <w:b/>
        </w:rPr>
        <w:t xml:space="preserve"> </w:t>
      </w:r>
      <w:r w:rsidR="00A340FE" w:rsidRPr="001A365B">
        <w:rPr>
          <w:rFonts w:ascii="Arial" w:hAnsi="Arial" w:cs="Arial"/>
          <w:b/>
        </w:rPr>
        <w:t xml:space="preserve">6.  CONCLUSION </w:t>
      </w:r>
    </w:p>
    <w:p w14:paraId="127BD7BE" w14:textId="77777777" w:rsidR="00315186" w:rsidRPr="00D65CBB" w:rsidRDefault="00925633" w:rsidP="00D65CBB">
      <w:pPr>
        <w:jc w:val="both"/>
        <w:rPr>
          <w:rFonts w:ascii="Arial" w:hAnsi="Arial" w:cs="Arial"/>
        </w:rPr>
      </w:pPr>
      <w:r w:rsidRPr="001A365B">
        <w:rPr>
          <w:rFonts w:ascii="Arial" w:hAnsi="Arial" w:cs="Arial"/>
        </w:rPr>
        <w:t xml:space="preserve">This paper proposed a method to minimize risk of portfolio. In view of this, investigation of risk reduction strength of each asset was carried out and the effects of each asset in minimizing risk of portfolio. Diversification is a strategic approach for </w:t>
      </w:r>
      <w:r w:rsidRPr="001A365B">
        <w:rPr>
          <w:rFonts w:ascii="Arial" w:hAnsi="Arial" w:cs="Arial"/>
        </w:rPr>
        <w:lastRenderedPageBreak/>
        <w:t xml:space="preserve">minimizing risk of portfolio but if not done according to optimal method, it may not fulfill its purpose. In this study BLM was used for assets allocations being the best assets allocation model in finance at present. The results of BLM were used to estimate both risk exhibits by portfolios and assets. Hence, it is observed that portfolio1 is the best portfolio to invest for rational investors. Moreover, it is observed that portfolio1 has the lowest risk; this is as a result of the presence of gold and absence of natural gas in the portfolio. According to this study, in order to minimize risk of portfolios, there is need for investors to; first estimate the risk of each asset to know the strength of risk reduction of all the assets, second to compute risk of portfolios in order to identify the one with minimum risk to decide on the best portfolio. Moreover, investors should </w:t>
      </w:r>
      <w:proofErr w:type="spellStart"/>
      <w:r w:rsidRPr="001A365B">
        <w:rPr>
          <w:rFonts w:ascii="Arial" w:hAnsi="Arial" w:cs="Arial"/>
        </w:rPr>
        <w:t>endeavour</w:t>
      </w:r>
      <w:proofErr w:type="spellEnd"/>
      <w:r w:rsidRPr="001A365B">
        <w:rPr>
          <w:rFonts w:ascii="Arial" w:hAnsi="Arial" w:cs="Arial"/>
        </w:rPr>
        <w:t xml:space="preserve"> to add high risk reduction assets like gold to portfolios and get rid of less risk reduction asset like natural gas in order to minimize portfolio risk. In view of this fact, we wish to state that gold is of great strength in risk reduction that can serve as hedge and safe haven during financial crisis.</w:t>
      </w:r>
    </w:p>
    <w:p w14:paraId="122B6E6A" w14:textId="77777777" w:rsidR="00371FB6" w:rsidRDefault="00371FB6" w:rsidP="00441B6F">
      <w:pPr>
        <w:pStyle w:val="ReferHead"/>
        <w:spacing w:after="0"/>
        <w:jc w:val="both"/>
        <w:rPr>
          <w:rFonts w:ascii="Arial" w:hAnsi="Arial" w:cs="Arial"/>
          <w:b w:val="0"/>
          <w:caps w:val="0"/>
          <w:sz w:val="20"/>
        </w:rPr>
      </w:pPr>
    </w:p>
    <w:p w14:paraId="27378AC9" w14:textId="77777777" w:rsidR="00860000" w:rsidRDefault="00860000" w:rsidP="00441B6F">
      <w:pPr>
        <w:pStyle w:val="ReferHead"/>
        <w:spacing w:after="0"/>
        <w:jc w:val="both"/>
        <w:rPr>
          <w:rFonts w:ascii="Arial" w:hAnsi="Arial" w:cs="Arial"/>
        </w:rPr>
      </w:pPr>
    </w:p>
    <w:p w14:paraId="18D4164A" w14:textId="77777777" w:rsidR="00B01FCD" w:rsidRDefault="00B01FCD" w:rsidP="00441B6F">
      <w:pPr>
        <w:pStyle w:val="ReferHead"/>
        <w:spacing w:after="0"/>
        <w:jc w:val="both"/>
        <w:rPr>
          <w:rFonts w:ascii="Arial" w:hAnsi="Arial" w:cs="Arial"/>
        </w:rPr>
      </w:pPr>
      <w:r w:rsidRPr="00FB3A86">
        <w:rPr>
          <w:rFonts w:ascii="Arial" w:hAnsi="Arial" w:cs="Arial"/>
        </w:rPr>
        <w:t>References</w:t>
      </w:r>
    </w:p>
    <w:p w14:paraId="1B67E37C" w14:textId="77777777" w:rsidR="00790ADA" w:rsidRPr="00FB3A86" w:rsidRDefault="00790ADA" w:rsidP="00441B6F">
      <w:pPr>
        <w:pStyle w:val="ReferHead"/>
        <w:spacing w:after="0"/>
        <w:jc w:val="both"/>
        <w:rPr>
          <w:rFonts w:ascii="Arial" w:hAnsi="Arial" w:cs="Arial"/>
        </w:rPr>
      </w:pPr>
    </w:p>
    <w:p w14:paraId="7B8ED446" w14:textId="77777777" w:rsidR="00070310" w:rsidRPr="00070310" w:rsidRDefault="00070310" w:rsidP="00070310">
      <w:pPr>
        <w:autoSpaceDE w:val="0"/>
        <w:autoSpaceDN w:val="0"/>
        <w:adjustRightInd w:val="0"/>
        <w:spacing w:line="360" w:lineRule="auto"/>
        <w:jc w:val="both"/>
        <w:rPr>
          <w:rFonts w:ascii="Arial" w:hAnsi="Arial" w:cs="Arial"/>
        </w:rPr>
      </w:pPr>
      <w:r w:rsidRPr="00070310">
        <w:rPr>
          <w:rFonts w:ascii="Arial" w:hAnsi="Arial" w:cs="Arial"/>
        </w:rPr>
        <w:t xml:space="preserve">[1] </w:t>
      </w:r>
      <w:proofErr w:type="spellStart"/>
      <w:r w:rsidRPr="00070310">
        <w:rPr>
          <w:rFonts w:ascii="Arial" w:hAnsi="Arial" w:cs="Arial"/>
        </w:rPr>
        <w:t>Sewando</w:t>
      </w:r>
      <w:proofErr w:type="spellEnd"/>
      <w:r w:rsidRPr="00070310">
        <w:rPr>
          <w:rFonts w:ascii="Arial" w:hAnsi="Arial" w:cs="Arial"/>
        </w:rPr>
        <w:t xml:space="preserve">, P. T. (2022). “Efficacy of risk reducing diversification portfolio strategies among </w:t>
      </w:r>
    </w:p>
    <w:p w14:paraId="31728588" w14:textId="77777777" w:rsidR="00070310" w:rsidRPr="00070310" w:rsidRDefault="00070310" w:rsidP="00070310">
      <w:pPr>
        <w:autoSpaceDE w:val="0"/>
        <w:autoSpaceDN w:val="0"/>
        <w:adjustRightInd w:val="0"/>
        <w:spacing w:line="360" w:lineRule="auto"/>
        <w:jc w:val="both"/>
        <w:rPr>
          <w:rFonts w:ascii="Arial" w:hAnsi="Arial" w:cs="Arial"/>
          <w:i/>
        </w:rPr>
      </w:pPr>
      <w:r w:rsidRPr="00070310">
        <w:rPr>
          <w:rFonts w:ascii="Arial" w:hAnsi="Arial" w:cs="Arial"/>
        </w:rPr>
        <w:t xml:space="preserve">       agro-pastoralists in semi-arid area: A modern portfolio approach,” </w:t>
      </w:r>
      <w:r w:rsidRPr="00070310">
        <w:rPr>
          <w:rFonts w:ascii="Arial" w:hAnsi="Arial" w:cs="Arial"/>
          <w:i/>
        </w:rPr>
        <w:t xml:space="preserve">Journal of Agriculture </w:t>
      </w:r>
    </w:p>
    <w:p w14:paraId="11796EE0" w14:textId="77777777" w:rsidR="00070310" w:rsidRPr="00070310" w:rsidRDefault="00070310" w:rsidP="00070310">
      <w:pPr>
        <w:autoSpaceDE w:val="0"/>
        <w:autoSpaceDN w:val="0"/>
        <w:adjustRightInd w:val="0"/>
        <w:spacing w:line="360" w:lineRule="auto"/>
        <w:jc w:val="both"/>
        <w:rPr>
          <w:rFonts w:ascii="Arial" w:hAnsi="Arial" w:cs="Arial"/>
        </w:rPr>
      </w:pPr>
      <w:r w:rsidRPr="00070310">
        <w:rPr>
          <w:rFonts w:ascii="Arial" w:hAnsi="Arial" w:cs="Arial"/>
          <w:i/>
        </w:rPr>
        <w:t xml:space="preserve">       and Food Research,</w:t>
      </w:r>
      <w:r w:rsidRPr="00070310">
        <w:rPr>
          <w:rFonts w:ascii="Arial" w:hAnsi="Arial" w:cs="Arial"/>
        </w:rPr>
        <w:t xml:space="preserve"> 7(3), 55–67.</w:t>
      </w:r>
    </w:p>
    <w:p w14:paraId="7A9F5140" w14:textId="77777777" w:rsidR="00070310" w:rsidRPr="00070310" w:rsidRDefault="00070310" w:rsidP="00070310">
      <w:pPr>
        <w:autoSpaceDE w:val="0"/>
        <w:autoSpaceDN w:val="0"/>
        <w:adjustRightInd w:val="0"/>
        <w:spacing w:line="360" w:lineRule="auto"/>
        <w:jc w:val="both"/>
        <w:rPr>
          <w:rFonts w:ascii="Arial" w:hAnsi="Arial" w:cs="Arial"/>
        </w:rPr>
      </w:pPr>
    </w:p>
    <w:p w14:paraId="4CFD0833" w14:textId="77777777" w:rsidR="00070310" w:rsidRPr="00070310" w:rsidRDefault="00070310" w:rsidP="00070310">
      <w:pPr>
        <w:pStyle w:val="NoSpacing"/>
        <w:spacing w:line="360" w:lineRule="auto"/>
        <w:jc w:val="both"/>
        <w:rPr>
          <w:rFonts w:ascii="Arial" w:hAnsi="Arial" w:cs="Arial"/>
          <w:sz w:val="20"/>
          <w:szCs w:val="20"/>
        </w:rPr>
      </w:pPr>
      <w:r w:rsidRPr="00070310">
        <w:rPr>
          <w:rFonts w:ascii="Arial" w:hAnsi="Arial" w:cs="Arial"/>
          <w:sz w:val="20"/>
          <w:szCs w:val="20"/>
        </w:rPr>
        <w:t>[2] Bevan, A. and Winkelmann, K. (1998). Using the Black-</w:t>
      </w:r>
      <w:proofErr w:type="spellStart"/>
      <w:r w:rsidRPr="00070310">
        <w:rPr>
          <w:rFonts w:ascii="Arial" w:hAnsi="Arial" w:cs="Arial"/>
          <w:sz w:val="20"/>
          <w:szCs w:val="20"/>
        </w:rPr>
        <w:t>Litterman</w:t>
      </w:r>
      <w:proofErr w:type="spellEnd"/>
      <w:r w:rsidRPr="00070310">
        <w:rPr>
          <w:rFonts w:ascii="Arial" w:hAnsi="Arial" w:cs="Arial"/>
          <w:sz w:val="20"/>
          <w:szCs w:val="20"/>
        </w:rPr>
        <w:t xml:space="preserve"> Global Asset Allocation </w:t>
      </w:r>
    </w:p>
    <w:p w14:paraId="2230616C" w14:textId="77777777" w:rsidR="00070310" w:rsidRPr="00070310" w:rsidRDefault="00070310" w:rsidP="00070310">
      <w:pPr>
        <w:pStyle w:val="NoSpacing"/>
        <w:spacing w:line="360" w:lineRule="auto"/>
        <w:jc w:val="both"/>
        <w:rPr>
          <w:rFonts w:ascii="Arial" w:hAnsi="Arial" w:cs="Arial"/>
          <w:sz w:val="20"/>
          <w:szCs w:val="20"/>
        </w:rPr>
      </w:pPr>
      <w:r w:rsidRPr="00070310">
        <w:rPr>
          <w:rFonts w:ascii="Arial" w:hAnsi="Arial" w:cs="Arial"/>
          <w:sz w:val="20"/>
          <w:szCs w:val="20"/>
        </w:rPr>
        <w:t xml:space="preserve">      </w:t>
      </w:r>
      <w:proofErr w:type="gramStart"/>
      <w:r w:rsidRPr="00070310">
        <w:rPr>
          <w:rFonts w:ascii="Arial" w:hAnsi="Arial" w:cs="Arial"/>
          <w:sz w:val="20"/>
          <w:szCs w:val="20"/>
        </w:rPr>
        <w:t>Model :</w:t>
      </w:r>
      <w:proofErr w:type="gramEnd"/>
      <w:r w:rsidRPr="00070310">
        <w:rPr>
          <w:rFonts w:ascii="Arial" w:hAnsi="Arial" w:cs="Arial"/>
          <w:sz w:val="20"/>
          <w:szCs w:val="20"/>
        </w:rPr>
        <w:t xml:space="preserve"> Three Years of Practical Experience. Fixed Income research. Goldman Sachs, New</w:t>
      </w:r>
    </w:p>
    <w:p w14:paraId="35163E5B" w14:textId="77777777" w:rsidR="00070310" w:rsidRPr="00070310" w:rsidRDefault="00070310" w:rsidP="00070310">
      <w:pPr>
        <w:pStyle w:val="NoSpacing"/>
        <w:spacing w:line="360" w:lineRule="auto"/>
        <w:jc w:val="both"/>
        <w:rPr>
          <w:rFonts w:ascii="Arial" w:hAnsi="Arial" w:cs="Arial"/>
          <w:sz w:val="20"/>
          <w:szCs w:val="20"/>
        </w:rPr>
      </w:pPr>
      <w:r w:rsidRPr="00070310">
        <w:rPr>
          <w:rFonts w:ascii="Arial" w:hAnsi="Arial" w:cs="Arial"/>
          <w:sz w:val="20"/>
          <w:szCs w:val="20"/>
        </w:rPr>
        <w:t xml:space="preserve">      York.</w:t>
      </w:r>
    </w:p>
    <w:p w14:paraId="316305E5" w14:textId="77777777" w:rsidR="00070310" w:rsidRPr="00070310" w:rsidRDefault="00070310" w:rsidP="00070310">
      <w:pPr>
        <w:pStyle w:val="NoSpacing"/>
        <w:spacing w:line="360" w:lineRule="auto"/>
        <w:jc w:val="both"/>
        <w:rPr>
          <w:rFonts w:ascii="Arial" w:hAnsi="Arial" w:cs="Arial"/>
          <w:sz w:val="20"/>
          <w:szCs w:val="20"/>
        </w:rPr>
      </w:pPr>
    </w:p>
    <w:p w14:paraId="3EE5FE0E" w14:textId="77777777" w:rsidR="00070310" w:rsidRPr="00AF74A6" w:rsidRDefault="00070310" w:rsidP="00070310">
      <w:pPr>
        <w:pStyle w:val="NoSpacing"/>
        <w:spacing w:line="360" w:lineRule="auto"/>
        <w:jc w:val="both"/>
        <w:rPr>
          <w:rFonts w:ascii="Arial" w:hAnsi="Arial" w:cs="Arial"/>
          <w:sz w:val="20"/>
          <w:szCs w:val="20"/>
          <w:highlight w:val="yellow"/>
        </w:rPr>
      </w:pPr>
      <w:r w:rsidRPr="00070310">
        <w:rPr>
          <w:rFonts w:ascii="Arial" w:hAnsi="Arial" w:cs="Arial"/>
          <w:sz w:val="20"/>
          <w:szCs w:val="20"/>
        </w:rPr>
        <w:t xml:space="preserve">[3] </w:t>
      </w:r>
      <w:r w:rsidRPr="00AF74A6">
        <w:rPr>
          <w:rFonts w:ascii="Arial" w:hAnsi="Arial" w:cs="Arial"/>
          <w:sz w:val="20"/>
          <w:szCs w:val="20"/>
          <w:highlight w:val="yellow"/>
        </w:rPr>
        <w:t xml:space="preserve">Black, F. and </w:t>
      </w:r>
      <w:proofErr w:type="spellStart"/>
      <w:r w:rsidRPr="00AF74A6">
        <w:rPr>
          <w:rFonts w:ascii="Arial" w:hAnsi="Arial" w:cs="Arial"/>
          <w:sz w:val="20"/>
          <w:szCs w:val="20"/>
          <w:highlight w:val="yellow"/>
        </w:rPr>
        <w:t>Litterman</w:t>
      </w:r>
      <w:proofErr w:type="spellEnd"/>
      <w:r w:rsidRPr="00AF74A6">
        <w:rPr>
          <w:rFonts w:ascii="Arial" w:hAnsi="Arial" w:cs="Arial"/>
          <w:sz w:val="20"/>
          <w:szCs w:val="20"/>
          <w:highlight w:val="yellow"/>
        </w:rPr>
        <w:t xml:space="preserve">, R. (1991) Global Asset Allocation </w:t>
      </w:r>
      <w:proofErr w:type="gramStart"/>
      <w:r w:rsidRPr="00AF74A6">
        <w:rPr>
          <w:rFonts w:ascii="Arial" w:hAnsi="Arial" w:cs="Arial"/>
          <w:sz w:val="20"/>
          <w:szCs w:val="20"/>
          <w:highlight w:val="yellow"/>
        </w:rPr>
        <w:t>With</w:t>
      </w:r>
      <w:proofErr w:type="gramEnd"/>
      <w:r w:rsidRPr="00AF74A6">
        <w:rPr>
          <w:rFonts w:ascii="Arial" w:hAnsi="Arial" w:cs="Arial"/>
          <w:sz w:val="20"/>
          <w:szCs w:val="20"/>
          <w:highlight w:val="yellow"/>
        </w:rPr>
        <w:t xml:space="preserve"> Equities, Bonds, and </w:t>
      </w:r>
    </w:p>
    <w:p w14:paraId="18502D17" w14:textId="77777777" w:rsidR="00070310" w:rsidRPr="00070310" w:rsidRDefault="00070310" w:rsidP="00070310">
      <w:pPr>
        <w:pStyle w:val="NoSpacing"/>
        <w:spacing w:line="360" w:lineRule="auto"/>
        <w:jc w:val="both"/>
        <w:rPr>
          <w:rFonts w:ascii="Arial" w:hAnsi="Arial" w:cs="Arial"/>
          <w:sz w:val="20"/>
          <w:szCs w:val="20"/>
        </w:rPr>
      </w:pPr>
      <w:r w:rsidRPr="00AF74A6">
        <w:rPr>
          <w:rFonts w:ascii="Arial" w:hAnsi="Arial" w:cs="Arial"/>
          <w:sz w:val="20"/>
          <w:szCs w:val="20"/>
          <w:highlight w:val="yellow"/>
        </w:rPr>
        <w:t xml:space="preserve">      Currencies. Goldman Sachs Fixed Income Research.</w:t>
      </w:r>
    </w:p>
    <w:p w14:paraId="56DE8234" w14:textId="77777777" w:rsidR="00070310" w:rsidRPr="00070310" w:rsidRDefault="00070310" w:rsidP="00070310">
      <w:pPr>
        <w:pStyle w:val="NoSpacing"/>
        <w:spacing w:line="360" w:lineRule="auto"/>
        <w:jc w:val="both"/>
        <w:rPr>
          <w:rFonts w:ascii="Arial" w:hAnsi="Arial" w:cs="Arial"/>
          <w:sz w:val="20"/>
          <w:szCs w:val="20"/>
        </w:rPr>
      </w:pPr>
      <w:r w:rsidRPr="00070310">
        <w:rPr>
          <w:rFonts w:ascii="Arial" w:hAnsi="Arial" w:cs="Arial"/>
          <w:sz w:val="20"/>
          <w:szCs w:val="20"/>
        </w:rPr>
        <w:t xml:space="preserve">  </w:t>
      </w:r>
    </w:p>
    <w:p w14:paraId="3135DD3B" w14:textId="77777777" w:rsidR="00070310" w:rsidRPr="00070310" w:rsidRDefault="00070310" w:rsidP="00070310">
      <w:pPr>
        <w:autoSpaceDE w:val="0"/>
        <w:autoSpaceDN w:val="0"/>
        <w:adjustRightInd w:val="0"/>
        <w:spacing w:line="360" w:lineRule="auto"/>
        <w:jc w:val="both"/>
        <w:rPr>
          <w:rFonts w:ascii="Arial" w:hAnsi="Arial" w:cs="Arial"/>
        </w:rPr>
      </w:pPr>
      <w:r w:rsidRPr="00070310">
        <w:rPr>
          <w:rFonts w:ascii="Arial" w:hAnsi="Arial" w:cs="Arial"/>
        </w:rPr>
        <w:t xml:space="preserve">[4] Isabel, A., Maria, J. C., Luis, M., and </w:t>
      </w:r>
      <w:proofErr w:type="spellStart"/>
      <w:r w:rsidRPr="00070310">
        <w:rPr>
          <w:rFonts w:ascii="Arial" w:hAnsi="Arial" w:cs="Arial"/>
        </w:rPr>
        <w:t>Armajac</w:t>
      </w:r>
      <w:proofErr w:type="spellEnd"/>
      <w:r w:rsidRPr="00070310">
        <w:rPr>
          <w:rFonts w:ascii="Arial" w:hAnsi="Arial" w:cs="Arial"/>
        </w:rPr>
        <w:t xml:space="preserve">, R. (2021). “Sport betting and the Black </w:t>
      </w:r>
    </w:p>
    <w:p w14:paraId="7A750030" w14:textId="77777777" w:rsidR="00070310" w:rsidRPr="00070310" w:rsidRDefault="00070310" w:rsidP="00070310">
      <w:pPr>
        <w:autoSpaceDE w:val="0"/>
        <w:autoSpaceDN w:val="0"/>
        <w:adjustRightInd w:val="0"/>
        <w:spacing w:line="360" w:lineRule="auto"/>
        <w:jc w:val="both"/>
        <w:rPr>
          <w:rFonts w:ascii="Arial" w:hAnsi="Arial" w:cs="Arial"/>
          <w:i/>
        </w:rPr>
      </w:pPr>
      <w:r w:rsidRPr="00070310">
        <w:rPr>
          <w:rFonts w:ascii="Arial" w:hAnsi="Arial" w:cs="Arial"/>
        </w:rPr>
        <w:t xml:space="preserve">      </w:t>
      </w:r>
      <w:proofErr w:type="spellStart"/>
      <w:r w:rsidRPr="00070310">
        <w:rPr>
          <w:rFonts w:ascii="Arial" w:hAnsi="Arial" w:cs="Arial"/>
        </w:rPr>
        <w:t>Litterman</w:t>
      </w:r>
      <w:proofErr w:type="spellEnd"/>
      <w:r w:rsidRPr="00070310">
        <w:rPr>
          <w:rFonts w:ascii="Arial" w:hAnsi="Arial" w:cs="Arial"/>
        </w:rPr>
        <w:t xml:space="preserve"> model: A new portfolio management perspective,” </w:t>
      </w:r>
      <w:r w:rsidRPr="00070310">
        <w:rPr>
          <w:rFonts w:ascii="Arial" w:hAnsi="Arial" w:cs="Arial"/>
          <w:i/>
        </w:rPr>
        <w:t>International Journal of Sport</w:t>
      </w:r>
    </w:p>
    <w:p w14:paraId="759536E2" w14:textId="77777777" w:rsidR="00070310" w:rsidRPr="00070310" w:rsidRDefault="00070310" w:rsidP="00070310">
      <w:pPr>
        <w:autoSpaceDE w:val="0"/>
        <w:autoSpaceDN w:val="0"/>
        <w:adjustRightInd w:val="0"/>
        <w:spacing w:line="360" w:lineRule="auto"/>
        <w:jc w:val="both"/>
        <w:rPr>
          <w:rFonts w:ascii="Arial" w:hAnsi="Arial" w:cs="Arial"/>
        </w:rPr>
      </w:pPr>
      <w:r w:rsidRPr="00070310">
        <w:rPr>
          <w:rFonts w:ascii="Arial" w:hAnsi="Arial" w:cs="Arial"/>
          <w:i/>
        </w:rPr>
        <w:t xml:space="preserve">      Finance,</w:t>
      </w:r>
      <w:r w:rsidRPr="00070310">
        <w:rPr>
          <w:rFonts w:ascii="Arial" w:hAnsi="Arial" w:cs="Arial"/>
        </w:rPr>
        <w:t xml:space="preserve"> 16(4), 52-61.</w:t>
      </w:r>
    </w:p>
    <w:p w14:paraId="78676945" w14:textId="77777777" w:rsidR="00070310" w:rsidRPr="00070310" w:rsidRDefault="00070310" w:rsidP="00070310">
      <w:pPr>
        <w:autoSpaceDE w:val="0"/>
        <w:autoSpaceDN w:val="0"/>
        <w:adjustRightInd w:val="0"/>
        <w:spacing w:line="360" w:lineRule="auto"/>
        <w:jc w:val="both"/>
        <w:rPr>
          <w:rFonts w:ascii="Arial" w:hAnsi="Arial" w:cs="Arial"/>
        </w:rPr>
      </w:pPr>
      <w:r w:rsidRPr="00070310">
        <w:rPr>
          <w:rFonts w:ascii="Arial" w:hAnsi="Arial" w:cs="Arial"/>
          <w:i/>
        </w:rPr>
        <w:t xml:space="preserve">     </w:t>
      </w:r>
    </w:p>
    <w:p w14:paraId="323E6EEF" w14:textId="77777777" w:rsidR="00070310" w:rsidRPr="00AF74A6" w:rsidRDefault="00070310" w:rsidP="00070310">
      <w:pPr>
        <w:autoSpaceDE w:val="0"/>
        <w:autoSpaceDN w:val="0"/>
        <w:adjustRightInd w:val="0"/>
        <w:spacing w:line="360" w:lineRule="auto"/>
        <w:jc w:val="both"/>
        <w:rPr>
          <w:rFonts w:ascii="Arial" w:hAnsi="Arial" w:cs="Arial"/>
          <w:highlight w:val="yellow"/>
        </w:rPr>
      </w:pPr>
      <w:r w:rsidRPr="00070310">
        <w:rPr>
          <w:rFonts w:ascii="Arial" w:hAnsi="Arial" w:cs="Arial"/>
        </w:rPr>
        <w:t xml:space="preserve">[5] </w:t>
      </w:r>
      <w:r w:rsidRPr="00AF74A6">
        <w:rPr>
          <w:rFonts w:ascii="Arial" w:hAnsi="Arial" w:cs="Arial"/>
          <w:highlight w:val="yellow"/>
        </w:rPr>
        <w:t xml:space="preserve">Matteo, M., Brent, N., and Jesse, S. (2020). “International currencies and capital allocation,” </w:t>
      </w:r>
    </w:p>
    <w:p w14:paraId="20328BD6" w14:textId="77777777" w:rsidR="00070310" w:rsidRPr="00070310" w:rsidRDefault="00070310" w:rsidP="00070310">
      <w:pPr>
        <w:autoSpaceDE w:val="0"/>
        <w:autoSpaceDN w:val="0"/>
        <w:adjustRightInd w:val="0"/>
        <w:spacing w:line="360" w:lineRule="auto"/>
        <w:jc w:val="both"/>
        <w:rPr>
          <w:rFonts w:ascii="Arial" w:hAnsi="Arial" w:cs="Arial"/>
        </w:rPr>
      </w:pPr>
      <w:r w:rsidRPr="00AF74A6">
        <w:rPr>
          <w:rFonts w:ascii="Arial" w:hAnsi="Arial" w:cs="Arial"/>
          <w:highlight w:val="yellow"/>
        </w:rPr>
        <w:t xml:space="preserve">      </w:t>
      </w:r>
      <w:r w:rsidRPr="00AF74A6">
        <w:rPr>
          <w:rFonts w:ascii="Arial" w:hAnsi="Arial" w:cs="Arial"/>
          <w:i/>
          <w:highlight w:val="yellow"/>
        </w:rPr>
        <w:t>Journal of Political Economy,</w:t>
      </w:r>
      <w:r w:rsidRPr="00AF74A6">
        <w:rPr>
          <w:rFonts w:ascii="Arial" w:hAnsi="Arial" w:cs="Arial"/>
          <w:highlight w:val="yellow"/>
        </w:rPr>
        <w:t xml:space="preserve"> 128(6), 2019-2066.</w:t>
      </w:r>
    </w:p>
    <w:p w14:paraId="4E2B4F62" w14:textId="77777777" w:rsidR="00070310" w:rsidRPr="00070310" w:rsidRDefault="00070310" w:rsidP="00070310">
      <w:pPr>
        <w:autoSpaceDE w:val="0"/>
        <w:autoSpaceDN w:val="0"/>
        <w:adjustRightInd w:val="0"/>
        <w:spacing w:line="360" w:lineRule="auto"/>
        <w:jc w:val="both"/>
        <w:rPr>
          <w:rFonts w:ascii="Arial" w:hAnsi="Arial" w:cs="Arial"/>
        </w:rPr>
      </w:pPr>
    </w:p>
    <w:p w14:paraId="6E9136BE" w14:textId="77777777" w:rsidR="00070310" w:rsidRPr="00070310" w:rsidRDefault="00070310" w:rsidP="00070310">
      <w:pPr>
        <w:pStyle w:val="NoSpacing"/>
        <w:spacing w:line="360" w:lineRule="auto"/>
        <w:jc w:val="both"/>
        <w:rPr>
          <w:rFonts w:ascii="Arial" w:hAnsi="Arial" w:cs="Arial"/>
          <w:sz w:val="20"/>
          <w:szCs w:val="20"/>
        </w:rPr>
      </w:pPr>
      <w:r w:rsidRPr="00070310">
        <w:rPr>
          <w:rFonts w:ascii="Arial" w:hAnsi="Arial" w:cs="Arial"/>
          <w:sz w:val="20"/>
          <w:szCs w:val="20"/>
        </w:rPr>
        <w:t xml:space="preserve">[6] </w:t>
      </w:r>
      <w:proofErr w:type="spellStart"/>
      <w:r w:rsidRPr="00070310">
        <w:rPr>
          <w:rFonts w:ascii="Arial" w:hAnsi="Arial" w:cs="Arial"/>
          <w:sz w:val="20"/>
          <w:szCs w:val="20"/>
        </w:rPr>
        <w:t>Ganikhodjaev</w:t>
      </w:r>
      <w:proofErr w:type="spellEnd"/>
      <w:r w:rsidRPr="00070310">
        <w:rPr>
          <w:rFonts w:ascii="Arial" w:hAnsi="Arial" w:cs="Arial"/>
          <w:sz w:val="20"/>
          <w:szCs w:val="20"/>
        </w:rPr>
        <w:t>, N. and Bayram, K. (2016). The Black-</w:t>
      </w:r>
      <w:proofErr w:type="spellStart"/>
      <w:r w:rsidRPr="00070310">
        <w:rPr>
          <w:rFonts w:ascii="Arial" w:hAnsi="Arial" w:cs="Arial"/>
          <w:sz w:val="20"/>
          <w:szCs w:val="20"/>
        </w:rPr>
        <w:t>Litterman</w:t>
      </w:r>
      <w:proofErr w:type="spellEnd"/>
      <w:r w:rsidRPr="00070310">
        <w:rPr>
          <w:rFonts w:ascii="Arial" w:hAnsi="Arial" w:cs="Arial"/>
          <w:sz w:val="20"/>
          <w:szCs w:val="20"/>
        </w:rPr>
        <w:t xml:space="preserve"> model in central bank </w:t>
      </w:r>
    </w:p>
    <w:p w14:paraId="53EE168D" w14:textId="77777777" w:rsidR="00070310" w:rsidRPr="00070310" w:rsidRDefault="00070310" w:rsidP="00070310">
      <w:pPr>
        <w:pStyle w:val="NoSpacing"/>
        <w:spacing w:line="360" w:lineRule="auto"/>
        <w:jc w:val="both"/>
        <w:rPr>
          <w:rFonts w:ascii="Arial" w:hAnsi="Arial" w:cs="Arial"/>
          <w:sz w:val="20"/>
          <w:szCs w:val="20"/>
        </w:rPr>
      </w:pPr>
      <w:r w:rsidRPr="00070310">
        <w:rPr>
          <w:rFonts w:ascii="Arial" w:hAnsi="Arial" w:cs="Arial"/>
          <w:sz w:val="20"/>
          <w:szCs w:val="20"/>
        </w:rPr>
        <w:t xml:space="preserve">      practice: study for Turkish central bank. Malaysian Journal of Mathematical Sciences 10(17)</w:t>
      </w:r>
    </w:p>
    <w:p w14:paraId="6FE3FF0E" w14:textId="77777777" w:rsidR="00070310" w:rsidRPr="00070310" w:rsidRDefault="00070310" w:rsidP="00070310">
      <w:pPr>
        <w:pStyle w:val="NoSpacing"/>
        <w:spacing w:line="360" w:lineRule="auto"/>
        <w:jc w:val="both"/>
        <w:rPr>
          <w:rFonts w:ascii="Arial" w:hAnsi="Arial" w:cs="Arial"/>
          <w:sz w:val="20"/>
          <w:szCs w:val="20"/>
        </w:rPr>
      </w:pPr>
      <w:r w:rsidRPr="00070310">
        <w:rPr>
          <w:rFonts w:ascii="Arial" w:hAnsi="Arial" w:cs="Arial"/>
          <w:sz w:val="20"/>
          <w:szCs w:val="20"/>
        </w:rPr>
        <w:t xml:space="preserve">     193-203. </w:t>
      </w:r>
    </w:p>
    <w:p w14:paraId="18BCA224" w14:textId="77777777" w:rsidR="00070310" w:rsidRPr="00070310" w:rsidRDefault="00070310" w:rsidP="00070310">
      <w:pPr>
        <w:pStyle w:val="NoSpacing"/>
        <w:spacing w:line="360" w:lineRule="auto"/>
        <w:jc w:val="both"/>
        <w:rPr>
          <w:rFonts w:ascii="Arial" w:hAnsi="Arial" w:cs="Arial"/>
          <w:sz w:val="20"/>
          <w:szCs w:val="20"/>
        </w:rPr>
      </w:pPr>
    </w:p>
    <w:p w14:paraId="17A501D8" w14:textId="77777777" w:rsidR="00836348" w:rsidRDefault="00070310" w:rsidP="00070310">
      <w:pPr>
        <w:jc w:val="both"/>
        <w:rPr>
          <w:rFonts w:ascii="Arial" w:hAnsi="Arial" w:cs="Arial"/>
        </w:rPr>
      </w:pPr>
      <w:r w:rsidRPr="00070310">
        <w:rPr>
          <w:rFonts w:ascii="Arial" w:hAnsi="Arial" w:cs="Arial"/>
        </w:rPr>
        <w:t xml:space="preserve">[7] Vinay, K. (2018). “A simplified and perspective of the Markowitz portfolio theory,” </w:t>
      </w:r>
    </w:p>
    <w:p w14:paraId="304468E0" w14:textId="02BD8392" w:rsidR="00070310" w:rsidRDefault="00070310" w:rsidP="00836348">
      <w:pPr>
        <w:ind w:firstLine="720"/>
        <w:jc w:val="both"/>
        <w:rPr>
          <w:rFonts w:ascii="Arial" w:hAnsi="Arial" w:cs="Arial"/>
        </w:rPr>
      </w:pPr>
      <w:r w:rsidRPr="00070310">
        <w:rPr>
          <w:rFonts w:ascii="Arial" w:hAnsi="Arial" w:cs="Arial"/>
        </w:rPr>
        <w:t xml:space="preserve">International Journal of Research </w:t>
      </w:r>
      <w:r w:rsidR="00ED5361" w:rsidRPr="00070310">
        <w:rPr>
          <w:rFonts w:ascii="Arial" w:hAnsi="Arial" w:cs="Arial"/>
        </w:rPr>
        <w:t xml:space="preserve">and </w:t>
      </w:r>
      <w:r w:rsidR="00ED5361">
        <w:rPr>
          <w:rFonts w:ascii="Arial" w:hAnsi="Arial" w:cs="Arial"/>
        </w:rPr>
        <w:t>Analytical</w:t>
      </w:r>
      <w:r w:rsidRPr="00070310">
        <w:rPr>
          <w:rFonts w:ascii="Arial" w:hAnsi="Arial" w:cs="Arial"/>
        </w:rPr>
        <w:t xml:space="preserve"> Reviews, 5(3), 193-196.</w:t>
      </w:r>
    </w:p>
    <w:p w14:paraId="4B783610" w14:textId="77777777" w:rsidR="00836348" w:rsidRPr="00070310" w:rsidRDefault="00836348" w:rsidP="00070310">
      <w:pPr>
        <w:jc w:val="both"/>
        <w:rPr>
          <w:rFonts w:ascii="Arial" w:hAnsi="Arial" w:cs="Arial"/>
        </w:rPr>
      </w:pPr>
    </w:p>
    <w:p w14:paraId="5DBED1BD" w14:textId="77777777" w:rsidR="00070310" w:rsidRPr="00070310" w:rsidRDefault="00070310" w:rsidP="00070310">
      <w:pPr>
        <w:pStyle w:val="NoSpacing"/>
        <w:spacing w:line="360" w:lineRule="auto"/>
        <w:jc w:val="both"/>
        <w:rPr>
          <w:rFonts w:ascii="Arial" w:hAnsi="Arial" w:cs="Arial"/>
          <w:sz w:val="20"/>
          <w:szCs w:val="20"/>
        </w:rPr>
      </w:pPr>
      <w:r w:rsidRPr="00070310">
        <w:rPr>
          <w:rFonts w:ascii="Arial" w:hAnsi="Arial" w:cs="Arial"/>
          <w:sz w:val="20"/>
          <w:szCs w:val="20"/>
        </w:rPr>
        <w:t xml:space="preserve"> [8] Higgins, C. R. and Schall, D. L. (2016). Corporate Bankruptcy and Conglomerate Merger.</w:t>
      </w:r>
    </w:p>
    <w:p w14:paraId="7C8115E6" w14:textId="77777777" w:rsidR="00070310" w:rsidRPr="00070310" w:rsidRDefault="00070310" w:rsidP="00070310">
      <w:pPr>
        <w:pStyle w:val="NoSpacing"/>
        <w:spacing w:line="360" w:lineRule="auto"/>
        <w:jc w:val="both"/>
        <w:rPr>
          <w:rFonts w:ascii="Arial" w:hAnsi="Arial" w:cs="Arial"/>
          <w:sz w:val="20"/>
          <w:szCs w:val="20"/>
        </w:rPr>
      </w:pPr>
      <w:r w:rsidRPr="00070310">
        <w:rPr>
          <w:rFonts w:ascii="Arial" w:hAnsi="Arial" w:cs="Arial"/>
          <w:i/>
          <w:sz w:val="20"/>
          <w:szCs w:val="20"/>
        </w:rPr>
        <w:t xml:space="preserve">       Journal </w:t>
      </w:r>
      <w:proofErr w:type="gramStart"/>
      <w:r w:rsidRPr="00070310">
        <w:rPr>
          <w:rFonts w:ascii="Arial" w:hAnsi="Arial" w:cs="Arial"/>
          <w:i/>
          <w:sz w:val="20"/>
          <w:szCs w:val="20"/>
        </w:rPr>
        <w:t>Finance</w:t>
      </w:r>
      <w:r w:rsidRPr="00070310">
        <w:rPr>
          <w:rFonts w:ascii="Arial" w:hAnsi="Arial" w:cs="Arial"/>
          <w:sz w:val="20"/>
          <w:szCs w:val="20"/>
        </w:rPr>
        <w:t xml:space="preserve"> .</w:t>
      </w:r>
      <w:proofErr w:type="gramEnd"/>
      <w:r w:rsidRPr="00070310">
        <w:rPr>
          <w:rFonts w:ascii="Arial" w:hAnsi="Arial" w:cs="Arial"/>
          <w:sz w:val="20"/>
          <w:szCs w:val="20"/>
        </w:rPr>
        <w:t xml:space="preserve"> 30(1) 93–113 </w:t>
      </w:r>
    </w:p>
    <w:p w14:paraId="7F321B60" w14:textId="77777777" w:rsidR="00070310" w:rsidRPr="00070310" w:rsidRDefault="00070310" w:rsidP="00070310">
      <w:pPr>
        <w:pStyle w:val="NoSpacing"/>
        <w:spacing w:line="360" w:lineRule="auto"/>
        <w:jc w:val="both"/>
        <w:rPr>
          <w:rFonts w:ascii="Arial" w:hAnsi="Arial" w:cs="Arial"/>
          <w:sz w:val="20"/>
          <w:szCs w:val="20"/>
        </w:rPr>
      </w:pPr>
    </w:p>
    <w:p w14:paraId="405137C6" w14:textId="77777777" w:rsidR="00070310" w:rsidRPr="00070310" w:rsidRDefault="00070310" w:rsidP="00070310">
      <w:pPr>
        <w:autoSpaceDE w:val="0"/>
        <w:autoSpaceDN w:val="0"/>
        <w:adjustRightInd w:val="0"/>
        <w:spacing w:line="360" w:lineRule="auto"/>
        <w:jc w:val="both"/>
        <w:rPr>
          <w:rFonts w:ascii="Arial" w:hAnsi="Arial" w:cs="Arial"/>
        </w:rPr>
      </w:pPr>
      <w:r w:rsidRPr="00070310">
        <w:rPr>
          <w:rFonts w:ascii="Arial" w:hAnsi="Arial" w:cs="Arial"/>
        </w:rPr>
        <w:t xml:space="preserve">[9] </w:t>
      </w:r>
      <w:proofErr w:type="spellStart"/>
      <w:r w:rsidRPr="00070310">
        <w:rPr>
          <w:rFonts w:ascii="Arial" w:hAnsi="Arial" w:cs="Arial"/>
        </w:rPr>
        <w:t>Jayeola</w:t>
      </w:r>
      <w:proofErr w:type="spellEnd"/>
      <w:r w:rsidRPr="00070310">
        <w:rPr>
          <w:rFonts w:ascii="Arial" w:hAnsi="Arial" w:cs="Arial"/>
        </w:rPr>
        <w:t xml:space="preserve">, D., Ismail, Z., </w:t>
      </w:r>
      <w:proofErr w:type="spellStart"/>
      <w:r w:rsidRPr="00070310">
        <w:rPr>
          <w:rFonts w:ascii="Arial" w:hAnsi="Arial" w:cs="Arial"/>
        </w:rPr>
        <w:t>Sufahani</w:t>
      </w:r>
      <w:proofErr w:type="spellEnd"/>
      <w:r w:rsidRPr="00070310">
        <w:rPr>
          <w:rFonts w:ascii="Arial" w:hAnsi="Arial" w:cs="Arial"/>
        </w:rPr>
        <w:t xml:space="preserve">, S. F. (2017). “Effects of diversification of assets in </w:t>
      </w:r>
    </w:p>
    <w:p w14:paraId="06D57130" w14:textId="77777777" w:rsidR="00070310" w:rsidRPr="00070310" w:rsidRDefault="00070310" w:rsidP="00070310">
      <w:pPr>
        <w:autoSpaceDE w:val="0"/>
        <w:autoSpaceDN w:val="0"/>
        <w:adjustRightInd w:val="0"/>
        <w:spacing w:line="360" w:lineRule="auto"/>
        <w:jc w:val="both"/>
        <w:rPr>
          <w:rFonts w:ascii="Arial" w:hAnsi="Arial" w:cs="Arial"/>
        </w:rPr>
      </w:pPr>
      <w:r w:rsidRPr="00070310">
        <w:rPr>
          <w:rFonts w:ascii="Arial" w:hAnsi="Arial" w:cs="Arial"/>
        </w:rPr>
        <w:t xml:space="preserve">      optimizing risk of portfolio,” </w:t>
      </w:r>
      <w:r w:rsidRPr="00070310">
        <w:rPr>
          <w:rFonts w:ascii="Arial" w:hAnsi="Arial" w:cs="Arial"/>
          <w:i/>
        </w:rPr>
        <w:t>Malaysian Journal of Fundamental and applied Sciences</w:t>
      </w:r>
      <w:r w:rsidRPr="00070310">
        <w:rPr>
          <w:rFonts w:ascii="Arial" w:hAnsi="Arial" w:cs="Arial"/>
        </w:rPr>
        <w:t>,</w:t>
      </w:r>
    </w:p>
    <w:p w14:paraId="4563F223" w14:textId="77777777" w:rsidR="00070310" w:rsidRPr="00070310" w:rsidRDefault="00070310" w:rsidP="00070310">
      <w:pPr>
        <w:autoSpaceDE w:val="0"/>
        <w:autoSpaceDN w:val="0"/>
        <w:adjustRightInd w:val="0"/>
        <w:spacing w:line="360" w:lineRule="auto"/>
        <w:jc w:val="both"/>
        <w:rPr>
          <w:rFonts w:ascii="Arial" w:hAnsi="Arial" w:cs="Arial"/>
        </w:rPr>
      </w:pPr>
      <w:r w:rsidRPr="00070310">
        <w:rPr>
          <w:rFonts w:ascii="Arial" w:hAnsi="Arial" w:cs="Arial"/>
        </w:rPr>
        <w:t xml:space="preserve">      13(4), 584–587</w:t>
      </w:r>
    </w:p>
    <w:p w14:paraId="264D0F4B" w14:textId="77777777" w:rsidR="00070310" w:rsidRPr="00070310" w:rsidRDefault="00070310" w:rsidP="00070310">
      <w:pPr>
        <w:autoSpaceDE w:val="0"/>
        <w:autoSpaceDN w:val="0"/>
        <w:adjustRightInd w:val="0"/>
        <w:spacing w:line="360" w:lineRule="auto"/>
        <w:jc w:val="both"/>
        <w:rPr>
          <w:rFonts w:ascii="Arial" w:hAnsi="Arial" w:cs="Arial"/>
        </w:rPr>
      </w:pPr>
    </w:p>
    <w:p w14:paraId="75507D45" w14:textId="77777777" w:rsidR="00070310" w:rsidRPr="00070310" w:rsidRDefault="00070310" w:rsidP="00070310">
      <w:pPr>
        <w:pStyle w:val="NoSpacing"/>
        <w:spacing w:line="360" w:lineRule="auto"/>
        <w:jc w:val="both"/>
        <w:rPr>
          <w:rFonts w:ascii="Arial" w:hAnsi="Arial" w:cs="Arial"/>
          <w:sz w:val="20"/>
          <w:szCs w:val="20"/>
        </w:rPr>
      </w:pPr>
      <w:r w:rsidRPr="00070310">
        <w:rPr>
          <w:rFonts w:ascii="Arial" w:hAnsi="Arial" w:cs="Arial"/>
          <w:sz w:val="20"/>
          <w:szCs w:val="20"/>
        </w:rPr>
        <w:lastRenderedPageBreak/>
        <w:t xml:space="preserve"> [10] Triki, M. B. and </w:t>
      </w:r>
      <w:proofErr w:type="spellStart"/>
      <w:r w:rsidRPr="00070310">
        <w:rPr>
          <w:rFonts w:ascii="Arial" w:hAnsi="Arial" w:cs="Arial"/>
          <w:sz w:val="20"/>
          <w:szCs w:val="20"/>
        </w:rPr>
        <w:t>Maatoug</w:t>
      </w:r>
      <w:proofErr w:type="spellEnd"/>
      <w:r w:rsidRPr="00070310">
        <w:rPr>
          <w:rFonts w:ascii="Arial" w:hAnsi="Arial" w:cs="Arial"/>
          <w:sz w:val="20"/>
          <w:szCs w:val="20"/>
        </w:rPr>
        <w:t xml:space="preserve">, A. B. (2021). The gold market as a safe haven against the stock    </w:t>
      </w:r>
    </w:p>
    <w:p w14:paraId="2BE2B5C8" w14:textId="77777777" w:rsidR="00070310" w:rsidRPr="00070310" w:rsidRDefault="00070310" w:rsidP="00070310">
      <w:pPr>
        <w:pStyle w:val="NoSpacing"/>
        <w:spacing w:line="360" w:lineRule="auto"/>
        <w:jc w:val="both"/>
        <w:rPr>
          <w:rFonts w:ascii="Arial" w:hAnsi="Arial" w:cs="Arial"/>
          <w:sz w:val="20"/>
          <w:szCs w:val="20"/>
        </w:rPr>
      </w:pPr>
      <w:r w:rsidRPr="00070310">
        <w:rPr>
          <w:rFonts w:ascii="Arial" w:hAnsi="Arial" w:cs="Arial"/>
          <w:sz w:val="20"/>
          <w:szCs w:val="20"/>
        </w:rPr>
        <w:t xml:space="preserve">        market uncertainty: evidence from geopolitical risk</w:t>
      </w:r>
      <w:r w:rsidRPr="00070310">
        <w:rPr>
          <w:rFonts w:ascii="Arial" w:hAnsi="Arial" w:cs="Arial"/>
          <w:i/>
          <w:sz w:val="20"/>
          <w:szCs w:val="20"/>
        </w:rPr>
        <w:t>. Journal of Resource Policy</w:t>
      </w:r>
      <w:r w:rsidRPr="00070310">
        <w:rPr>
          <w:rFonts w:ascii="Arial" w:hAnsi="Arial" w:cs="Arial"/>
          <w:sz w:val="20"/>
          <w:szCs w:val="20"/>
        </w:rPr>
        <w:t xml:space="preserve">. 70(1), 203-               </w:t>
      </w:r>
    </w:p>
    <w:p w14:paraId="33647AEB" w14:textId="77777777" w:rsidR="00070310" w:rsidRPr="00070310" w:rsidRDefault="00070310" w:rsidP="00070310">
      <w:pPr>
        <w:pStyle w:val="NoSpacing"/>
        <w:spacing w:line="360" w:lineRule="auto"/>
        <w:jc w:val="both"/>
        <w:rPr>
          <w:rFonts w:ascii="Arial" w:hAnsi="Arial" w:cs="Arial"/>
          <w:sz w:val="20"/>
          <w:szCs w:val="20"/>
        </w:rPr>
      </w:pPr>
      <w:r w:rsidRPr="00070310">
        <w:rPr>
          <w:rFonts w:ascii="Arial" w:hAnsi="Arial" w:cs="Arial"/>
          <w:sz w:val="20"/>
          <w:szCs w:val="20"/>
        </w:rPr>
        <w:t xml:space="preserve">        221.</w:t>
      </w:r>
    </w:p>
    <w:p w14:paraId="30CC6B3B" w14:textId="77777777" w:rsidR="00070310" w:rsidRPr="00070310" w:rsidRDefault="00070310" w:rsidP="00070310">
      <w:pPr>
        <w:pStyle w:val="NoSpacing"/>
        <w:spacing w:line="360" w:lineRule="auto"/>
        <w:jc w:val="both"/>
        <w:rPr>
          <w:rFonts w:ascii="Arial" w:hAnsi="Arial" w:cs="Arial"/>
          <w:sz w:val="20"/>
          <w:szCs w:val="20"/>
        </w:rPr>
      </w:pPr>
      <w:r w:rsidRPr="00070310">
        <w:rPr>
          <w:rFonts w:ascii="Arial" w:hAnsi="Arial" w:cs="Arial"/>
          <w:sz w:val="20"/>
          <w:szCs w:val="20"/>
        </w:rPr>
        <w:t xml:space="preserve"> [11] </w:t>
      </w:r>
      <w:proofErr w:type="spellStart"/>
      <w:r w:rsidRPr="00070310">
        <w:rPr>
          <w:rFonts w:ascii="Arial" w:hAnsi="Arial" w:cs="Arial"/>
          <w:sz w:val="20"/>
          <w:szCs w:val="20"/>
        </w:rPr>
        <w:t>Ashaboul</w:t>
      </w:r>
      <w:proofErr w:type="spellEnd"/>
      <w:r w:rsidRPr="00070310">
        <w:rPr>
          <w:rFonts w:ascii="Arial" w:hAnsi="Arial" w:cs="Arial"/>
          <w:sz w:val="20"/>
          <w:szCs w:val="20"/>
        </w:rPr>
        <w:t xml:space="preserve">, O., Shehadeh, A. and </w:t>
      </w:r>
      <w:proofErr w:type="spellStart"/>
      <w:r w:rsidRPr="00070310">
        <w:rPr>
          <w:rFonts w:ascii="Arial" w:hAnsi="Arial" w:cs="Arial"/>
          <w:sz w:val="20"/>
          <w:szCs w:val="20"/>
        </w:rPr>
        <w:t>Hamedat</w:t>
      </w:r>
      <w:proofErr w:type="spellEnd"/>
      <w:r w:rsidRPr="00070310">
        <w:rPr>
          <w:rFonts w:ascii="Arial" w:hAnsi="Arial" w:cs="Arial"/>
          <w:sz w:val="20"/>
          <w:szCs w:val="20"/>
        </w:rPr>
        <w:t xml:space="preserve">, O. (2023). Development of integrated asset </w:t>
      </w:r>
    </w:p>
    <w:p w14:paraId="2D3A7274" w14:textId="77777777" w:rsidR="00070310" w:rsidRPr="00070310" w:rsidRDefault="00070310" w:rsidP="00070310">
      <w:pPr>
        <w:pStyle w:val="NoSpacing"/>
        <w:spacing w:line="360" w:lineRule="auto"/>
        <w:jc w:val="both"/>
        <w:rPr>
          <w:rFonts w:ascii="Arial" w:hAnsi="Arial" w:cs="Arial"/>
          <w:i/>
          <w:sz w:val="20"/>
          <w:szCs w:val="20"/>
        </w:rPr>
      </w:pPr>
      <w:r w:rsidRPr="00070310">
        <w:rPr>
          <w:rFonts w:ascii="Arial" w:hAnsi="Arial" w:cs="Arial"/>
          <w:sz w:val="20"/>
          <w:szCs w:val="20"/>
        </w:rPr>
        <w:t xml:space="preserve">        management model for highway facilities based on risk evaluation. </w:t>
      </w:r>
      <w:r w:rsidRPr="00070310">
        <w:rPr>
          <w:rFonts w:ascii="Arial" w:hAnsi="Arial" w:cs="Arial"/>
          <w:i/>
          <w:sz w:val="20"/>
          <w:szCs w:val="20"/>
        </w:rPr>
        <w:t xml:space="preserve">International Journal of </w:t>
      </w:r>
    </w:p>
    <w:p w14:paraId="36459293" w14:textId="77777777" w:rsidR="00070310" w:rsidRPr="00070310" w:rsidRDefault="00070310" w:rsidP="00070310">
      <w:pPr>
        <w:pStyle w:val="NoSpacing"/>
        <w:spacing w:line="360" w:lineRule="auto"/>
        <w:jc w:val="both"/>
        <w:rPr>
          <w:rFonts w:ascii="Arial" w:hAnsi="Arial" w:cs="Arial"/>
          <w:sz w:val="20"/>
          <w:szCs w:val="20"/>
        </w:rPr>
      </w:pPr>
      <w:r w:rsidRPr="00070310">
        <w:rPr>
          <w:rFonts w:ascii="Arial" w:hAnsi="Arial" w:cs="Arial"/>
          <w:i/>
          <w:sz w:val="20"/>
          <w:szCs w:val="20"/>
        </w:rPr>
        <w:t xml:space="preserve">        Construction Management.</w:t>
      </w:r>
      <w:r w:rsidRPr="00070310">
        <w:rPr>
          <w:rFonts w:ascii="Arial" w:hAnsi="Arial" w:cs="Arial"/>
          <w:sz w:val="20"/>
          <w:szCs w:val="20"/>
        </w:rPr>
        <w:t xml:space="preserve"> 23(8), 1355-1364.</w:t>
      </w:r>
    </w:p>
    <w:p w14:paraId="0A160C45" w14:textId="77777777" w:rsidR="00070310" w:rsidRPr="00070310" w:rsidRDefault="00070310" w:rsidP="00070310">
      <w:pPr>
        <w:pStyle w:val="NoSpacing"/>
        <w:spacing w:line="360" w:lineRule="auto"/>
        <w:jc w:val="both"/>
        <w:rPr>
          <w:rFonts w:ascii="Arial" w:hAnsi="Arial" w:cs="Arial"/>
          <w:sz w:val="20"/>
          <w:szCs w:val="20"/>
        </w:rPr>
      </w:pPr>
      <w:r w:rsidRPr="00070310">
        <w:rPr>
          <w:rFonts w:ascii="Arial" w:hAnsi="Arial" w:cs="Arial"/>
          <w:sz w:val="20"/>
          <w:szCs w:val="20"/>
        </w:rPr>
        <w:t xml:space="preserve">[12] </w:t>
      </w:r>
      <w:proofErr w:type="spellStart"/>
      <w:r w:rsidRPr="00070310">
        <w:rPr>
          <w:rFonts w:ascii="Arial" w:hAnsi="Arial" w:cs="Arial"/>
          <w:sz w:val="20"/>
          <w:szCs w:val="20"/>
        </w:rPr>
        <w:t>Bernsteinn</w:t>
      </w:r>
      <w:proofErr w:type="spellEnd"/>
      <w:r w:rsidRPr="00070310">
        <w:rPr>
          <w:rFonts w:ascii="Arial" w:hAnsi="Arial" w:cs="Arial"/>
          <w:sz w:val="20"/>
          <w:szCs w:val="20"/>
        </w:rPr>
        <w:t xml:space="preserve"> S. (2022). The </w:t>
      </w:r>
      <w:proofErr w:type="spellStart"/>
      <w:r w:rsidRPr="00070310">
        <w:rPr>
          <w:rFonts w:ascii="Arial" w:hAnsi="Arial" w:cs="Arial"/>
          <w:sz w:val="20"/>
          <w:szCs w:val="20"/>
        </w:rPr>
        <w:t>eefects</w:t>
      </w:r>
      <w:proofErr w:type="spellEnd"/>
      <w:r w:rsidRPr="00070310">
        <w:rPr>
          <w:rFonts w:ascii="Arial" w:hAnsi="Arial" w:cs="Arial"/>
          <w:sz w:val="20"/>
          <w:szCs w:val="20"/>
        </w:rPr>
        <w:t xml:space="preserve"> of public and private equity markets on firm behavior. </w:t>
      </w:r>
    </w:p>
    <w:p w14:paraId="0AE16CFD" w14:textId="77777777" w:rsidR="00070310" w:rsidRPr="00070310" w:rsidRDefault="00070310" w:rsidP="00070310">
      <w:pPr>
        <w:pStyle w:val="NoSpacing"/>
        <w:spacing w:line="360" w:lineRule="auto"/>
        <w:jc w:val="both"/>
        <w:rPr>
          <w:rFonts w:ascii="Arial" w:hAnsi="Arial" w:cs="Arial"/>
          <w:sz w:val="20"/>
          <w:szCs w:val="20"/>
        </w:rPr>
      </w:pPr>
      <w:r w:rsidRPr="00070310">
        <w:rPr>
          <w:rFonts w:ascii="Arial" w:hAnsi="Arial" w:cs="Arial"/>
          <w:i/>
          <w:sz w:val="20"/>
          <w:szCs w:val="20"/>
        </w:rPr>
        <w:t xml:space="preserve">        Financial Economics.</w:t>
      </w:r>
      <w:r w:rsidRPr="00070310">
        <w:rPr>
          <w:rFonts w:ascii="Arial" w:hAnsi="Arial" w:cs="Arial"/>
          <w:sz w:val="20"/>
          <w:szCs w:val="20"/>
        </w:rPr>
        <w:t xml:space="preserve"> 14(1), 295-318.</w:t>
      </w:r>
    </w:p>
    <w:p w14:paraId="051EE90D" w14:textId="77777777" w:rsidR="00070310" w:rsidRPr="00070310" w:rsidRDefault="00070310" w:rsidP="00070310">
      <w:pPr>
        <w:pStyle w:val="NoSpacing"/>
        <w:spacing w:line="360" w:lineRule="auto"/>
        <w:jc w:val="both"/>
        <w:rPr>
          <w:rFonts w:ascii="Arial" w:hAnsi="Arial" w:cs="Arial"/>
          <w:sz w:val="20"/>
          <w:szCs w:val="20"/>
        </w:rPr>
      </w:pPr>
    </w:p>
    <w:p w14:paraId="0DDF419C" w14:textId="77777777" w:rsidR="00070310" w:rsidRPr="00070310" w:rsidRDefault="00070310" w:rsidP="00070310">
      <w:pPr>
        <w:pStyle w:val="NoSpacing"/>
        <w:spacing w:line="360" w:lineRule="auto"/>
        <w:jc w:val="both"/>
        <w:rPr>
          <w:rFonts w:ascii="Arial" w:hAnsi="Arial" w:cs="Arial"/>
          <w:i/>
          <w:sz w:val="20"/>
          <w:szCs w:val="20"/>
        </w:rPr>
      </w:pPr>
      <w:r w:rsidRPr="00070310">
        <w:rPr>
          <w:rFonts w:ascii="Arial" w:hAnsi="Arial" w:cs="Arial"/>
          <w:sz w:val="20"/>
          <w:szCs w:val="20"/>
        </w:rPr>
        <w:t xml:space="preserve">[13] </w:t>
      </w:r>
      <w:proofErr w:type="spellStart"/>
      <w:r w:rsidRPr="00070310">
        <w:rPr>
          <w:rFonts w:ascii="Arial" w:hAnsi="Arial" w:cs="Arial"/>
          <w:sz w:val="20"/>
          <w:szCs w:val="20"/>
        </w:rPr>
        <w:t>Ljubownikow</w:t>
      </w:r>
      <w:proofErr w:type="spellEnd"/>
      <w:r w:rsidRPr="00070310">
        <w:rPr>
          <w:rFonts w:ascii="Arial" w:hAnsi="Arial" w:cs="Arial"/>
          <w:sz w:val="20"/>
          <w:szCs w:val="20"/>
        </w:rPr>
        <w:t xml:space="preserve">, G., Ang, S. H. (2020). Competition diversification and performance. </w:t>
      </w:r>
      <w:r w:rsidRPr="00070310">
        <w:rPr>
          <w:rFonts w:ascii="Arial" w:hAnsi="Arial" w:cs="Arial"/>
          <w:i/>
          <w:sz w:val="20"/>
          <w:szCs w:val="20"/>
        </w:rPr>
        <w:t xml:space="preserve">Journal </w:t>
      </w:r>
    </w:p>
    <w:p w14:paraId="48E4C5C1" w14:textId="77777777" w:rsidR="00070310" w:rsidRPr="00070310" w:rsidRDefault="00070310" w:rsidP="00070310">
      <w:pPr>
        <w:pStyle w:val="NoSpacing"/>
        <w:spacing w:line="360" w:lineRule="auto"/>
        <w:jc w:val="both"/>
        <w:rPr>
          <w:rFonts w:ascii="Arial" w:hAnsi="Arial" w:cs="Arial"/>
          <w:sz w:val="20"/>
          <w:szCs w:val="20"/>
        </w:rPr>
      </w:pPr>
      <w:r w:rsidRPr="00070310">
        <w:rPr>
          <w:rFonts w:ascii="Arial" w:hAnsi="Arial" w:cs="Arial"/>
          <w:i/>
          <w:sz w:val="20"/>
          <w:szCs w:val="20"/>
        </w:rPr>
        <w:t xml:space="preserve">       of Business Research.</w:t>
      </w:r>
      <w:r w:rsidRPr="00070310">
        <w:rPr>
          <w:rFonts w:ascii="Arial" w:hAnsi="Arial" w:cs="Arial"/>
          <w:sz w:val="20"/>
          <w:szCs w:val="20"/>
        </w:rPr>
        <w:t xml:space="preserve"> 112(1), 81-94.</w:t>
      </w:r>
    </w:p>
    <w:p w14:paraId="0B834CEA" w14:textId="77777777" w:rsidR="00070310" w:rsidRPr="00070310" w:rsidRDefault="00070310" w:rsidP="00070310">
      <w:pPr>
        <w:pStyle w:val="NoSpacing"/>
        <w:spacing w:line="360" w:lineRule="auto"/>
        <w:jc w:val="both"/>
        <w:rPr>
          <w:rFonts w:ascii="Arial" w:hAnsi="Arial" w:cs="Arial"/>
          <w:sz w:val="20"/>
          <w:szCs w:val="20"/>
        </w:rPr>
      </w:pPr>
    </w:p>
    <w:p w14:paraId="472A71A4" w14:textId="77777777" w:rsidR="00070310" w:rsidRPr="00070310" w:rsidRDefault="00070310" w:rsidP="00070310">
      <w:pPr>
        <w:autoSpaceDE w:val="0"/>
        <w:autoSpaceDN w:val="0"/>
        <w:adjustRightInd w:val="0"/>
        <w:spacing w:line="360" w:lineRule="auto"/>
        <w:jc w:val="both"/>
        <w:rPr>
          <w:rFonts w:ascii="Arial" w:hAnsi="Arial" w:cs="Arial"/>
        </w:rPr>
      </w:pPr>
      <w:r w:rsidRPr="00070310">
        <w:rPr>
          <w:rFonts w:ascii="Arial" w:hAnsi="Arial" w:cs="Arial"/>
        </w:rPr>
        <w:t xml:space="preserve">[14] </w:t>
      </w:r>
      <w:proofErr w:type="spellStart"/>
      <w:r w:rsidRPr="00070310">
        <w:rPr>
          <w:rFonts w:ascii="Arial" w:hAnsi="Arial" w:cs="Arial"/>
        </w:rPr>
        <w:t>Bhadrappa</w:t>
      </w:r>
      <w:proofErr w:type="spellEnd"/>
      <w:r w:rsidRPr="00070310">
        <w:rPr>
          <w:rFonts w:ascii="Arial" w:hAnsi="Arial" w:cs="Arial"/>
        </w:rPr>
        <w:t xml:space="preserve">, H. (2021). “Millennial and mobile-savvy consumers are driving a huge shift in </w:t>
      </w:r>
    </w:p>
    <w:p w14:paraId="4256891A" w14:textId="77777777" w:rsidR="00070310" w:rsidRPr="00070310" w:rsidRDefault="00070310" w:rsidP="00070310">
      <w:pPr>
        <w:autoSpaceDE w:val="0"/>
        <w:autoSpaceDN w:val="0"/>
        <w:adjustRightInd w:val="0"/>
        <w:spacing w:line="360" w:lineRule="auto"/>
        <w:jc w:val="both"/>
        <w:rPr>
          <w:rFonts w:ascii="Arial" w:hAnsi="Arial" w:cs="Arial"/>
          <w:i/>
        </w:rPr>
      </w:pPr>
      <w:r w:rsidRPr="00070310">
        <w:rPr>
          <w:rFonts w:ascii="Arial" w:hAnsi="Arial" w:cs="Arial"/>
        </w:rPr>
        <w:t xml:space="preserve">        the retail banking industry”. </w:t>
      </w:r>
      <w:r w:rsidRPr="00070310">
        <w:rPr>
          <w:rFonts w:ascii="Arial" w:hAnsi="Arial" w:cs="Arial"/>
          <w:i/>
        </w:rPr>
        <w:t xml:space="preserve">Journal of Advanced Research in Operational and Marketing </w:t>
      </w:r>
    </w:p>
    <w:p w14:paraId="0CD69333" w14:textId="77777777" w:rsidR="00070310" w:rsidRPr="00070310" w:rsidRDefault="00070310" w:rsidP="00070310">
      <w:pPr>
        <w:autoSpaceDE w:val="0"/>
        <w:autoSpaceDN w:val="0"/>
        <w:adjustRightInd w:val="0"/>
        <w:spacing w:line="360" w:lineRule="auto"/>
        <w:jc w:val="both"/>
        <w:rPr>
          <w:rFonts w:ascii="Arial" w:hAnsi="Arial" w:cs="Arial"/>
        </w:rPr>
      </w:pPr>
      <w:r w:rsidRPr="00070310">
        <w:rPr>
          <w:rFonts w:ascii="Arial" w:hAnsi="Arial" w:cs="Arial"/>
          <w:i/>
        </w:rPr>
        <w:t xml:space="preserve">        Management,</w:t>
      </w:r>
      <w:r w:rsidRPr="00070310">
        <w:rPr>
          <w:rFonts w:ascii="Arial" w:hAnsi="Arial" w:cs="Arial"/>
        </w:rPr>
        <w:t xml:space="preserve"> 4(1), 17-19.</w:t>
      </w:r>
    </w:p>
    <w:p w14:paraId="1ED9BC75" w14:textId="77777777" w:rsidR="00070310" w:rsidRPr="00070310" w:rsidRDefault="00070310" w:rsidP="00070310">
      <w:pPr>
        <w:autoSpaceDE w:val="0"/>
        <w:autoSpaceDN w:val="0"/>
        <w:adjustRightInd w:val="0"/>
        <w:spacing w:line="360" w:lineRule="auto"/>
        <w:jc w:val="both"/>
        <w:rPr>
          <w:rFonts w:ascii="Arial" w:hAnsi="Arial" w:cs="Arial"/>
        </w:rPr>
      </w:pPr>
    </w:p>
    <w:p w14:paraId="221F9F6F" w14:textId="77777777" w:rsidR="00070310" w:rsidRPr="00070310" w:rsidRDefault="00070310" w:rsidP="00070310">
      <w:pPr>
        <w:autoSpaceDE w:val="0"/>
        <w:autoSpaceDN w:val="0"/>
        <w:adjustRightInd w:val="0"/>
        <w:spacing w:line="360" w:lineRule="auto"/>
        <w:jc w:val="both"/>
        <w:rPr>
          <w:rFonts w:ascii="Arial" w:hAnsi="Arial" w:cs="Arial"/>
        </w:rPr>
      </w:pPr>
      <w:r w:rsidRPr="00070310">
        <w:rPr>
          <w:rFonts w:ascii="Arial" w:hAnsi="Arial" w:cs="Arial"/>
        </w:rPr>
        <w:t xml:space="preserve">[15] Davis, M. H., and </w:t>
      </w:r>
      <w:proofErr w:type="spellStart"/>
      <w:r w:rsidRPr="00070310">
        <w:rPr>
          <w:rFonts w:ascii="Arial" w:hAnsi="Arial" w:cs="Arial"/>
        </w:rPr>
        <w:t>Lleo</w:t>
      </w:r>
      <w:proofErr w:type="spellEnd"/>
      <w:r w:rsidRPr="00070310">
        <w:rPr>
          <w:rFonts w:ascii="Arial" w:hAnsi="Arial" w:cs="Arial"/>
        </w:rPr>
        <w:t xml:space="preserve">, S. (2016). “A simple procedure for combining expert opinion with </w:t>
      </w:r>
    </w:p>
    <w:p w14:paraId="32343161" w14:textId="77777777" w:rsidR="00070310" w:rsidRPr="00070310" w:rsidRDefault="00070310" w:rsidP="00070310">
      <w:pPr>
        <w:autoSpaceDE w:val="0"/>
        <w:autoSpaceDN w:val="0"/>
        <w:adjustRightInd w:val="0"/>
        <w:spacing w:line="360" w:lineRule="auto"/>
        <w:jc w:val="both"/>
        <w:rPr>
          <w:rFonts w:ascii="Arial" w:hAnsi="Arial" w:cs="Arial"/>
          <w:i/>
        </w:rPr>
      </w:pPr>
      <w:r w:rsidRPr="00070310">
        <w:rPr>
          <w:rFonts w:ascii="Arial" w:hAnsi="Arial" w:cs="Arial"/>
        </w:rPr>
        <w:t xml:space="preserve">        statistical estimates to achieve superior portfolio performance,” </w:t>
      </w:r>
      <w:r w:rsidRPr="00070310">
        <w:rPr>
          <w:rFonts w:ascii="Arial" w:hAnsi="Arial" w:cs="Arial"/>
          <w:i/>
        </w:rPr>
        <w:t xml:space="preserve">The Journal of Portfolio </w:t>
      </w:r>
    </w:p>
    <w:p w14:paraId="175717BA" w14:textId="77777777" w:rsidR="00070310" w:rsidRPr="00070310" w:rsidRDefault="00070310" w:rsidP="00070310">
      <w:pPr>
        <w:autoSpaceDE w:val="0"/>
        <w:autoSpaceDN w:val="0"/>
        <w:adjustRightInd w:val="0"/>
        <w:spacing w:line="360" w:lineRule="auto"/>
        <w:jc w:val="both"/>
        <w:rPr>
          <w:rFonts w:ascii="Arial" w:hAnsi="Arial" w:cs="Arial"/>
        </w:rPr>
      </w:pPr>
      <w:r w:rsidRPr="00070310">
        <w:rPr>
          <w:rFonts w:ascii="Arial" w:hAnsi="Arial" w:cs="Arial"/>
          <w:i/>
        </w:rPr>
        <w:t xml:space="preserve">        Management,</w:t>
      </w:r>
      <w:r w:rsidRPr="00070310">
        <w:rPr>
          <w:rFonts w:ascii="Arial" w:hAnsi="Arial" w:cs="Arial"/>
        </w:rPr>
        <w:t xml:space="preserve"> 42(4), 49–58.</w:t>
      </w:r>
    </w:p>
    <w:p w14:paraId="03360AF9" w14:textId="77777777" w:rsidR="00070310" w:rsidRPr="00070310" w:rsidRDefault="00070310" w:rsidP="00070310">
      <w:pPr>
        <w:autoSpaceDE w:val="0"/>
        <w:autoSpaceDN w:val="0"/>
        <w:adjustRightInd w:val="0"/>
        <w:spacing w:line="360" w:lineRule="auto"/>
        <w:jc w:val="both"/>
        <w:rPr>
          <w:rFonts w:ascii="Arial" w:hAnsi="Arial" w:cs="Arial"/>
        </w:rPr>
      </w:pPr>
    </w:p>
    <w:p w14:paraId="4B4FA21C" w14:textId="77777777" w:rsidR="00070310" w:rsidRPr="00ED5361" w:rsidRDefault="00070310" w:rsidP="00070310">
      <w:pPr>
        <w:pStyle w:val="NoSpacing"/>
        <w:spacing w:line="360" w:lineRule="auto"/>
        <w:jc w:val="both"/>
        <w:rPr>
          <w:rFonts w:ascii="Arial" w:hAnsi="Arial" w:cs="Arial"/>
          <w:sz w:val="20"/>
          <w:szCs w:val="20"/>
          <w:highlight w:val="yellow"/>
        </w:rPr>
      </w:pPr>
      <w:r w:rsidRPr="00070310">
        <w:rPr>
          <w:rFonts w:ascii="Arial" w:hAnsi="Arial" w:cs="Arial"/>
          <w:sz w:val="20"/>
          <w:szCs w:val="20"/>
        </w:rPr>
        <w:t xml:space="preserve">[16] </w:t>
      </w:r>
      <w:proofErr w:type="spellStart"/>
      <w:r w:rsidRPr="00ED5361">
        <w:rPr>
          <w:rFonts w:ascii="Arial" w:hAnsi="Arial" w:cs="Arial"/>
          <w:sz w:val="20"/>
          <w:szCs w:val="20"/>
          <w:highlight w:val="yellow"/>
        </w:rPr>
        <w:t>Bejin</w:t>
      </w:r>
      <w:proofErr w:type="spellEnd"/>
      <w:r w:rsidRPr="00ED5361">
        <w:rPr>
          <w:rFonts w:ascii="Arial" w:hAnsi="Arial" w:cs="Arial"/>
          <w:sz w:val="20"/>
          <w:szCs w:val="20"/>
          <w:highlight w:val="yellow"/>
        </w:rPr>
        <w:t xml:space="preserve">, J. F., Boudreault M. and Theriault, </w:t>
      </w:r>
      <w:proofErr w:type="gramStart"/>
      <w:r w:rsidRPr="00ED5361">
        <w:rPr>
          <w:rFonts w:ascii="Arial" w:hAnsi="Arial" w:cs="Arial"/>
          <w:sz w:val="20"/>
          <w:szCs w:val="20"/>
          <w:highlight w:val="yellow"/>
        </w:rPr>
        <w:t>M..</w:t>
      </w:r>
      <w:proofErr w:type="gramEnd"/>
      <w:r w:rsidRPr="00ED5361">
        <w:rPr>
          <w:rFonts w:ascii="Arial" w:hAnsi="Arial" w:cs="Arial"/>
          <w:sz w:val="20"/>
          <w:szCs w:val="20"/>
          <w:highlight w:val="yellow"/>
        </w:rPr>
        <w:t xml:space="preserve"> (2024), Leveraging prices from credit and </w:t>
      </w:r>
    </w:p>
    <w:p w14:paraId="490AFA18" w14:textId="77777777" w:rsidR="00070310" w:rsidRPr="00ED5361" w:rsidRDefault="00070310" w:rsidP="00070310">
      <w:pPr>
        <w:pStyle w:val="NoSpacing"/>
        <w:spacing w:line="360" w:lineRule="auto"/>
        <w:jc w:val="both"/>
        <w:rPr>
          <w:rFonts w:ascii="Arial" w:hAnsi="Arial" w:cs="Arial"/>
          <w:sz w:val="20"/>
          <w:szCs w:val="20"/>
          <w:highlight w:val="yellow"/>
        </w:rPr>
      </w:pPr>
      <w:r w:rsidRPr="00ED5361">
        <w:rPr>
          <w:rFonts w:ascii="Arial" w:hAnsi="Arial" w:cs="Arial"/>
          <w:sz w:val="20"/>
          <w:szCs w:val="20"/>
          <w:highlight w:val="yellow"/>
        </w:rPr>
        <w:t xml:space="preserve">        equity option markets for portfolio risk management. </w:t>
      </w:r>
      <w:r w:rsidRPr="00ED5361">
        <w:rPr>
          <w:rFonts w:ascii="Arial" w:hAnsi="Arial" w:cs="Arial"/>
          <w:i/>
          <w:sz w:val="20"/>
          <w:szCs w:val="20"/>
          <w:highlight w:val="yellow"/>
        </w:rPr>
        <w:t>Journal of Future Markets,</w:t>
      </w:r>
      <w:r w:rsidRPr="00ED5361">
        <w:rPr>
          <w:rFonts w:ascii="Arial" w:hAnsi="Arial" w:cs="Arial"/>
          <w:sz w:val="20"/>
          <w:szCs w:val="20"/>
          <w:highlight w:val="yellow"/>
        </w:rPr>
        <w:t xml:space="preserve"> 44(1).     </w:t>
      </w:r>
    </w:p>
    <w:p w14:paraId="4529471B" w14:textId="77777777" w:rsidR="00070310" w:rsidRPr="00070310" w:rsidRDefault="00070310" w:rsidP="00070310">
      <w:pPr>
        <w:pStyle w:val="NoSpacing"/>
        <w:spacing w:line="360" w:lineRule="auto"/>
        <w:jc w:val="both"/>
        <w:rPr>
          <w:rFonts w:ascii="Arial" w:hAnsi="Arial" w:cs="Arial"/>
          <w:sz w:val="20"/>
          <w:szCs w:val="20"/>
        </w:rPr>
      </w:pPr>
      <w:r w:rsidRPr="00ED5361">
        <w:rPr>
          <w:rFonts w:ascii="Arial" w:hAnsi="Arial" w:cs="Arial"/>
          <w:sz w:val="20"/>
          <w:szCs w:val="20"/>
          <w:highlight w:val="yellow"/>
        </w:rPr>
        <w:t xml:space="preserve">        122-147.</w:t>
      </w:r>
    </w:p>
    <w:sectPr w:rsidR="00070310" w:rsidRPr="00070310" w:rsidSect="00702D81">
      <w:headerReference w:type="even" r:id="rId124"/>
      <w:headerReference w:type="default" r:id="rId125"/>
      <w:footerReference w:type="default" r:id="rId126"/>
      <w:headerReference w:type="first" r:id="rId127"/>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FFBD5D" w14:textId="77777777" w:rsidR="00AE6412" w:rsidRDefault="00AE6412" w:rsidP="00C37E61">
      <w:r>
        <w:separator/>
      </w:r>
    </w:p>
  </w:endnote>
  <w:endnote w:type="continuationSeparator" w:id="0">
    <w:p w14:paraId="286F7F50" w14:textId="77777777" w:rsidR="00AE6412" w:rsidRDefault="00AE6412"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elvetica">
    <w:panose1 w:val="020B05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F853F8" w14:textId="77777777" w:rsidR="007D626A" w:rsidRDefault="007D626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1FD1C2" w14:textId="77777777" w:rsidR="007D626A" w:rsidRDefault="007D626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BFF31A" w14:textId="6B2E8515" w:rsidR="00754C9A" w:rsidRPr="00702D81" w:rsidRDefault="00754C9A" w:rsidP="00702D8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C69A27"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8D16F9" w14:textId="77777777" w:rsidR="00AE6412" w:rsidRDefault="00AE6412" w:rsidP="00C37E61">
      <w:r>
        <w:separator/>
      </w:r>
    </w:p>
  </w:footnote>
  <w:footnote w:type="continuationSeparator" w:id="0">
    <w:p w14:paraId="63416C69" w14:textId="77777777" w:rsidR="00AE6412" w:rsidRDefault="00AE6412"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0B458B" w14:textId="00F8DA13" w:rsidR="007D626A" w:rsidRDefault="00000000">
    <w:pPr>
      <w:pStyle w:val="Header"/>
    </w:pPr>
    <w:r>
      <w:rPr>
        <w:noProof/>
      </w:rPr>
      <w:pict w14:anchorId="4A49817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132313" o:spid="_x0000_s1026" type="#_x0000_t136" style="position:absolute;margin-left:0;margin-top:0;width:685.25pt;height:76.1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0E7948" w14:textId="2F1CBC00" w:rsidR="007D626A" w:rsidRDefault="00000000">
    <w:pPr>
      <w:pStyle w:val="Header"/>
    </w:pPr>
    <w:r>
      <w:rPr>
        <w:noProof/>
      </w:rPr>
      <w:pict w14:anchorId="77AC7BF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132314" o:spid="_x0000_s1027" type="#_x0000_t136" style="position:absolute;margin-left:0;margin-top:0;width:685.25pt;height:76.1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1843B8" w14:textId="0183C0A4" w:rsidR="00296529" w:rsidRPr="00296529" w:rsidRDefault="00000000" w:rsidP="00296529">
    <w:pPr>
      <w:ind w:left="2160"/>
      <w:jc w:val="center"/>
      <w:rPr>
        <w:rFonts w:ascii="Times New Roman" w:eastAsia="Calibri" w:hAnsi="Times New Roman"/>
        <w:i/>
        <w:sz w:val="18"/>
        <w:szCs w:val="22"/>
      </w:rPr>
    </w:pPr>
    <w:r>
      <w:rPr>
        <w:noProof/>
      </w:rPr>
      <w:pict w14:anchorId="419B652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132312" o:spid="_x0000_s1025" type="#_x0000_t136" style="position:absolute;left:0;text-align:left;margin-left:0;margin-top:0;width:685.25pt;height:76.1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25EA8BB7"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31FEA2DB"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10BA67F4"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5A32BE8D"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67C508ED"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0CF466E9"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678C97" w14:textId="4BEF1F66" w:rsidR="007D626A" w:rsidRDefault="00000000">
    <w:pPr>
      <w:pStyle w:val="Header"/>
    </w:pPr>
    <w:r>
      <w:rPr>
        <w:noProof/>
      </w:rPr>
      <w:pict w14:anchorId="7F7F265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132316" o:spid="_x0000_s1029" type="#_x0000_t136" style="position:absolute;margin-left:0;margin-top:0;width:685.25pt;height:76.1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D63FB0" w14:textId="620661B4" w:rsidR="007D626A" w:rsidRDefault="00000000">
    <w:pPr>
      <w:pStyle w:val="Header"/>
    </w:pPr>
    <w:r>
      <w:rPr>
        <w:noProof/>
      </w:rPr>
      <w:pict w14:anchorId="73B7821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132317" o:spid="_x0000_s1030" type="#_x0000_t136" style="position:absolute;margin-left:0;margin-top:0;width:685.25pt;height:76.1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108A4C" w14:textId="4E0795FD" w:rsidR="007D626A" w:rsidRDefault="00000000">
    <w:pPr>
      <w:pStyle w:val="Header"/>
    </w:pPr>
    <w:r>
      <w:rPr>
        <w:noProof/>
      </w:rPr>
      <w:pict w14:anchorId="2A2AFBB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132315" o:spid="_x0000_s1028" type="#_x0000_t136" style="position:absolute;margin-left:0;margin-top:0;width:685.25pt;height:76.1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3D0B20C9"/>
    <w:multiLevelType w:val="hybridMultilevel"/>
    <w:tmpl w:val="EFFAEA6C"/>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7"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0"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1"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3"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4"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5"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7"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16cid:durableId="553666412">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923561250">
    <w:abstractNumId w:val="16"/>
  </w:num>
  <w:num w:numId="3" w16cid:durableId="2117939427">
    <w:abstractNumId w:val="24"/>
  </w:num>
  <w:num w:numId="4" w16cid:durableId="2001032809">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16cid:durableId="424771336">
    <w:abstractNumId w:val="7"/>
  </w:num>
  <w:num w:numId="6" w16cid:durableId="1437362933">
    <w:abstractNumId w:val="6"/>
  </w:num>
  <w:num w:numId="7" w16cid:durableId="1998802629">
    <w:abstractNumId w:val="1"/>
  </w:num>
  <w:num w:numId="8" w16cid:durableId="1604222832">
    <w:abstractNumId w:val="12"/>
  </w:num>
  <w:num w:numId="9" w16cid:durableId="254558022">
    <w:abstractNumId w:val="26"/>
  </w:num>
  <w:num w:numId="10" w16cid:durableId="256838081">
    <w:abstractNumId w:val="2"/>
  </w:num>
  <w:num w:numId="11" w16cid:durableId="1435903845">
    <w:abstractNumId w:val="19"/>
  </w:num>
  <w:num w:numId="12" w16cid:durableId="597711961">
    <w:abstractNumId w:val="3"/>
  </w:num>
  <w:num w:numId="13" w16cid:durableId="744258639">
    <w:abstractNumId w:val="18"/>
  </w:num>
  <w:num w:numId="14" w16cid:durableId="1491369543">
    <w:abstractNumId w:val="8"/>
  </w:num>
  <w:num w:numId="15" w16cid:durableId="442581333">
    <w:abstractNumId w:val="22"/>
  </w:num>
  <w:num w:numId="16" w16cid:durableId="1932423838">
    <w:abstractNumId w:val="5"/>
  </w:num>
  <w:num w:numId="17" w16cid:durableId="645473444">
    <w:abstractNumId w:val="23"/>
  </w:num>
  <w:num w:numId="18" w16cid:durableId="1027364564">
    <w:abstractNumId w:val="14"/>
  </w:num>
  <w:num w:numId="19" w16cid:durableId="1359701046">
    <w:abstractNumId w:val="29"/>
  </w:num>
  <w:num w:numId="20" w16cid:durableId="1990131849">
    <w:abstractNumId w:val="11"/>
  </w:num>
  <w:num w:numId="21" w16cid:durableId="1164856673">
    <w:abstractNumId w:val="9"/>
  </w:num>
  <w:num w:numId="22" w16cid:durableId="350839819">
    <w:abstractNumId w:val="13"/>
  </w:num>
  <w:num w:numId="23" w16cid:durableId="1033111145">
    <w:abstractNumId w:val="20"/>
  </w:num>
  <w:num w:numId="24" w16cid:durableId="888954041">
    <w:abstractNumId w:val="27"/>
  </w:num>
  <w:num w:numId="25" w16cid:durableId="509567398">
    <w:abstractNumId w:val="4"/>
  </w:num>
  <w:num w:numId="26" w16cid:durableId="940525233">
    <w:abstractNumId w:val="17"/>
  </w:num>
  <w:num w:numId="27" w16cid:durableId="1927180151">
    <w:abstractNumId w:val="21"/>
  </w:num>
  <w:num w:numId="28" w16cid:durableId="260573280">
    <w:abstractNumId w:val="28"/>
  </w:num>
  <w:num w:numId="29" w16cid:durableId="1068839999">
    <w:abstractNumId w:val="25"/>
  </w:num>
  <w:num w:numId="30" w16cid:durableId="1063024151">
    <w:abstractNumId w:val="10"/>
  </w:num>
  <w:num w:numId="31" w16cid:durableId="26550740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2"/>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6219"/>
    <w:rsid w:val="00000F8F"/>
    <w:rsid w:val="00030174"/>
    <w:rsid w:val="0004579C"/>
    <w:rsid w:val="00070310"/>
    <w:rsid w:val="000A22EC"/>
    <w:rsid w:val="000A47FA"/>
    <w:rsid w:val="000A65D3"/>
    <w:rsid w:val="000B1E33"/>
    <w:rsid w:val="000D689F"/>
    <w:rsid w:val="000E7B7B"/>
    <w:rsid w:val="000E7D62"/>
    <w:rsid w:val="00103357"/>
    <w:rsid w:val="00123C9F"/>
    <w:rsid w:val="00126190"/>
    <w:rsid w:val="00130F17"/>
    <w:rsid w:val="001320BF"/>
    <w:rsid w:val="00163BC4"/>
    <w:rsid w:val="00191062"/>
    <w:rsid w:val="00192B72"/>
    <w:rsid w:val="001A29D8"/>
    <w:rsid w:val="001A365B"/>
    <w:rsid w:val="001A5CAA"/>
    <w:rsid w:val="001B0427"/>
    <w:rsid w:val="001D3A51"/>
    <w:rsid w:val="001E10D2"/>
    <w:rsid w:val="001E25B4"/>
    <w:rsid w:val="001E44FE"/>
    <w:rsid w:val="00200595"/>
    <w:rsid w:val="00204835"/>
    <w:rsid w:val="00217562"/>
    <w:rsid w:val="00231920"/>
    <w:rsid w:val="0023195C"/>
    <w:rsid w:val="0024282C"/>
    <w:rsid w:val="002460DC"/>
    <w:rsid w:val="00250985"/>
    <w:rsid w:val="002556F6"/>
    <w:rsid w:val="00283105"/>
    <w:rsid w:val="00284C4C"/>
    <w:rsid w:val="00287E68"/>
    <w:rsid w:val="00296529"/>
    <w:rsid w:val="002B27FB"/>
    <w:rsid w:val="002B685A"/>
    <w:rsid w:val="002C2B88"/>
    <w:rsid w:val="002C57D2"/>
    <w:rsid w:val="002E0D56"/>
    <w:rsid w:val="002F7B27"/>
    <w:rsid w:val="00314822"/>
    <w:rsid w:val="00315186"/>
    <w:rsid w:val="0033343E"/>
    <w:rsid w:val="003512C2"/>
    <w:rsid w:val="00371FB6"/>
    <w:rsid w:val="003763C1"/>
    <w:rsid w:val="00376BBE"/>
    <w:rsid w:val="00385A8D"/>
    <w:rsid w:val="0039224F"/>
    <w:rsid w:val="003A43A4"/>
    <w:rsid w:val="003A7E18"/>
    <w:rsid w:val="003C4C86"/>
    <w:rsid w:val="003C6258"/>
    <w:rsid w:val="003E2904"/>
    <w:rsid w:val="003E54F3"/>
    <w:rsid w:val="00401927"/>
    <w:rsid w:val="0041027F"/>
    <w:rsid w:val="00412475"/>
    <w:rsid w:val="00423789"/>
    <w:rsid w:val="004300D3"/>
    <w:rsid w:val="00440F43"/>
    <w:rsid w:val="00441B6F"/>
    <w:rsid w:val="00446221"/>
    <w:rsid w:val="00450E62"/>
    <w:rsid w:val="004517FA"/>
    <w:rsid w:val="004539DB"/>
    <w:rsid w:val="00471A80"/>
    <w:rsid w:val="004D305E"/>
    <w:rsid w:val="004D4277"/>
    <w:rsid w:val="00502516"/>
    <w:rsid w:val="00505F06"/>
    <w:rsid w:val="00506828"/>
    <w:rsid w:val="005100A0"/>
    <w:rsid w:val="0053056E"/>
    <w:rsid w:val="00554B2E"/>
    <w:rsid w:val="00554FDA"/>
    <w:rsid w:val="0056297D"/>
    <w:rsid w:val="005A12C0"/>
    <w:rsid w:val="005C784C"/>
    <w:rsid w:val="005D17F6"/>
    <w:rsid w:val="005E5539"/>
    <w:rsid w:val="00602BF5"/>
    <w:rsid w:val="00617FDD"/>
    <w:rsid w:val="00633614"/>
    <w:rsid w:val="00633F68"/>
    <w:rsid w:val="00636EB2"/>
    <w:rsid w:val="006375B8"/>
    <w:rsid w:val="0066510A"/>
    <w:rsid w:val="00673F9F"/>
    <w:rsid w:val="00686953"/>
    <w:rsid w:val="00687DEA"/>
    <w:rsid w:val="00687E67"/>
    <w:rsid w:val="00691EA2"/>
    <w:rsid w:val="006967F7"/>
    <w:rsid w:val="006A250C"/>
    <w:rsid w:val="006B21D3"/>
    <w:rsid w:val="006B4197"/>
    <w:rsid w:val="006B57D0"/>
    <w:rsid w:val="006D30FF"/>
    <w:rsid w:val="006D6940"/>
    <w:rsid w:val="006E7F6A"/>
    <w:rsid w:val="006F11EC"/>
    <w:rsid w:val="0070082C"/>
    <w:rsid w:val="00702D81"/>
    <w:rsid w:val="007369E6"/>
    <w:rsid w:val="00746E59"/>
    <w:rsid w:val="00754C9A"/>
    <w:rsid w:val="0075599A"/>
    <w:rsid w:val="007564CC"/>
    <w:rsid w:val="00761D52"/>
    <w:rsid w:val="0077749E"/>
    <w:rsid w:val="00790ADA"/>
    <w:rsid w:val="007D2288"/>
    <w:rsid w:val="007D626A"/>
    <w:rsid w:val="007E088F"/>
    <w:rsid w:val="007F7B32"/>
    <w:rsid w:val="00804BC2"/>
    <w:rsid w:val="0081431A"/>
    <w:rsid w:val="0083216F"/>
    <w:rsid w:val="00836348"/>
    <w:rsid w:val="00860000"/>
    <w:rsid w:val="00863BD3"/>
    <w:rsid w:val="008641ED"/>
    <w:rsid w:val="00866D66"/>
    <w:rsid w:val="008671C6"/>
    <w:rsid w:val="00875803"/>
    <w:rsid w:val="008B459E"/>
    <w:rsid w:val="008E13AE"/>
    <w:rsid w:val="008E1506"/>
    <w:rsid w:val="008E432C"/>
    <w:rsid w:val="008E710C"/>
    <w:rsid w:val="008F69D6"/>
    <w:rsid w:val="008F6DBE"/>
    <w:rsid w:val="00902823"/>
    <w:rsid w:val="00915CA6"/>
    <w:rsid w:val="00925633"/>
    <w:rsid w:val="00927834"/>
    <w:rsid w:val="009500A6"/>
    <w:rsid w:val="00957C18"/>
    <w:rsid w:val="009659BA"/>
    <w:rsid w:val="00983040"/>
    <w:rsid w:val="009920CA"/>
    <w:rsid w:val="009B3FB9"/>
    <w:rsid w:val="009C2465"/>
    <w:rsid w:val="009D35A0"/>
    <w:rsid w:val="009D7EB7"/>
    <w:rsid w:val="009E048A"/>
    <w:rsid w:val="009E08E9"/>
    <w:rsid w:val="009E3DB9"/>
    <w:rsid w:val="009E6E35"/>
    <w:rsid w:val="009F0EDA"/>
    <w:rsid w:val="00A03B96"/>
    <w:rsid w:val="00A05B19"/>
    <w:rsid w:val="00A1134E"/>
    <w:rsid w:val="00A163BA"/>
    <w:rsid w:val="00A24E7E"/>
    <w:rsid w:val="00A258C3"/>
    <w:rsid w:val="00A340FE"/>
    <w:rsid w:val="00A347C0"/>
    <w:rsid w:val="00A51431"/>
    <w:rsid w:val="00A539AD"/>
    <w:rsid w:val="00A94063"/>
    <w:rsid w:val="00AA6219"/>
    <w:rsid w:val="00AA74E0"/>
    <w:rsid w:val="00AB703F"/>
    <w:rsid w:val="00AC6BB8"/>
    <w:rsid w:val="00AE008F"/>
    <w:rsid w:val="00AE6412"/>
    <w:rsid w:val="00AF74A6"/>
    <w:rsid w:val="00B01FCD"/>
    <w:rsid w:val="00B1776C"/>
    <w:rsid w:val="00B52583"/>
    <w:rsid w:val="00B52896"/>
    <w:rsid w:val="00B61FC7"/>
    <w:rsid w:val="00B80DC5"/>
    <w:rsid w:val="00B95236"/>
    <w:rsid w:val="00B96BD9"/>
    <w:rsid w:val="00BA1B01"/>
    <w:rsid w:val="00BA2641"/>
    <w:rsid w:val="00BB37AA"/>
    <w:rsid w:val="00BC53A0"/>
    <w:rsid w:val="00BE4BD6"/>
    <w:rsid w:val="00BE62AD"/>
    <w:rsid w:val="00BF121F"/>
    <w:rsid w:val="00BF1F80"/>
    <w:rsid w:val="00C166EF"/>
    <w:rsid w:val="00C17EB0"/>
    <w:rsid w:val="00C27F5F"/>
    <w:rsid w:val="00C30A0F"/>
    <w:rsid w:val="00C37E61"/>
    <w:rsid w:val="00C70F1B"/>
    <w:rsid w:val="00C71A47"/>
    <w:rsid w:val="00C7464C"/>
    <w:rsid w:val="00C85588"/>
    <w:rsid w:val="00CD6755"/>
    <w:rsid w:val="00CD6856"/>
    <w:rsid w:val="00CE0089"/>
    <w:rsid w:val="00CE4355"/>
    <w:rsid w:val="00CE793C"/>
    <w:rsid w:val="00CF0C68"/>
    <w:rsid w:val="00CF193C"/>
    <w:rsid w:val="00D07B19"/>
    <w:rsid w:val="00D1335B"/>
    <w:rsid w:val="00D173F1"/>
    <w:rsid w:val="00D4750D"/>
    <w:rsid w:val="00D56940"/>
    <w:rsid w:val="00D65CBB"/>
    <w:rsid w:val="00D74CB0"/>
    <w:rsid w:val="00D75246"/>
    <w:rsid w:val="00D8295D"/>
    <w:rsid w:val="00DC2A65"/>
    <w:rsid w:val="00DE15F0"/>
    <w:rsid w:val="00DE2BDA"/>
    <w:rsid w:val="00DE5663"/>
    <w:rsid w:val="00DE78AA"/>
    <w:rsid w:val="00E034FD"/>
    <w:rsid w:val="00E04764"/>
    <w:rsid w:val="00E053D0"/>
    <w:rsid w:val="00E15994"/>
    <w:rsid w:val="00E3114E"/>
    <w:rsid w:val="00E31A70"/>
    <w:rsid w:val="00E35B02"/>
    <w:rsid w:val="00E50562"/>
    <w:rsid w:val="00E66496"/>
    <w:rsid w:val="00E66B35"/>
    <w:rsid w:val="00E66E10"/>
    <w:rsid w:val="00E769F6"/>
    <w:rsid w:val="00E8407C"/>
    <w:rsid w:val="00E84F3C"/>
    <w:rsid w:val="00E97576"/>
    <w:rsid w:val="00EA012C"/>
    <w:rsid w:val="00EC6A55"/>
    <w:rsid w:val="00ED0288"/>
    <w:rsid w:val="00ED5361"/>
    <w:rsid w:val="00EE52CB"/>
    <w:rsid w:val="00EF581D"/>
    <w:rsid w:val="00EF7FD8"/>
    <w:rsid w:val="00F06F59"/>
    <w:rsid w:val="00F17988"/>
    <w:rsid w:val="00F440F4"/>
    <w:rsid w:val="00F45EC1"/>
    <w:rsid w:val="00F469F0"/>
    <w:rsid w:val="00F53273"/>
    <w:rsid w:val="00F755E4"/>
    <w:rsid w:val="00F77D02"/>
    <w:rsid w:val="00F9149B"/>
    <w:rsid w:val="00FB3A86"/>
    <w:rsid w:val="00FD3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2"/>
    </o:shapelayout>
  </w:shapeDefaults>
  <w:decimalSymbol w:val="."/>
  <w:listSeparator w:val=","/>
  <w14:docId w14:val="0F6F80B3"/>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paragraph" w:styleId="NoSpacing">
    <w:name w:val="No Spacing"/>
    <w:uiPriority w:val="1"/>
    <w:qFormat/>
    <w:rsid w:val="00070310"/>
    <w:rPr>
      <w:rFonts w:asciiTheme="minorHAnsi" w:eastAsiaTheme="minorHAnsi" w:hAnsiTheme="minorHAnsi" w:cstheme="minorBidi"/>
      <w:sz w:val="22"/>
      <w:szCs w:val="22"/>
    </w:rPr>
  </w:style>
  <w:style w:type="paragraph" w:styleId="ListParagraph">
    <w:name w:val="List Paragraph"/>
    <w:basedOn w:val="Normal"/>
    <w:uiPriority w:val="34"/>
    <w:qFormat/>
    <w:rsid w:val="00ED5361"/>
    <w:pPr>
      <w:ind w:left="720"/>
      <w:contextualSpacing/>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1.wmf"/><Relationship Id="rId21" Type="http://schemas.openxmlformats.org/officeDocument/2006/relationships/oleObject" Target="embeddings/oleObject4.bin"/><Relationship Id="rId42" Type="http://schemas.openxmlformats.org/officeDocument/2006/relationships/image" Target="media/image15.wmf"/><Relationship Id="rId47" Type="http://schemas.openxmlformats.org/officeDocument/2006/relationships/oleObject" Target="embeddings/oleObject17.bin"/><Relationship Id="rId63" Type="http://schemas.openxmlformats.org/officeDocument/2006/relationships/oleObject" Target="embeddings/oleObject25.bin"/><Relationship Id="rId68" Type="http://schemas.openxmlformats.org/officeDocument/2006/relationships/image" Target="media/image28.wmf"/><Relationship Id="rId84" Type="http://schemas.openxmlformats.org/officeDocument/2006/relationships/oleObject" Target="embeddings/oleObject37.bin"/><Relationship Id="rId89" Type="http://schemas.openxmlformats.org/officeDocument/2006/relationships/image" Target="media/image37.wmf"/><Relationship Id="rId112" Type="http://schemas.openxmlformats.org/officeDocument/2006/relationships/oleObject" Target="embeddings/oleObject51.bin"/><Relationship Id="rId16" Type="http://schemas.openxmlformats.org/officeDocument/2006/relationships/image" Target="media/image2.wmf"/><Relationship Id="rId107" Type="http://schemas.openxmlformats.org/officeDocument/2006/relationships/image" Target="media/image46.wmf"/><Relationship Id="rId11" Type="http://schemas.openxmlformats.org/officeDocument/2006/relationships/footer" Target="footer2.xml"/><Relationship Id="rId32" Type="http://schemas.openxmlformats.org/officeDocument/2006/relationships/image" Target="media/image10.wmf"/><Relationship Id="rId37" Type="http://schemas.openxmlformats.org/officeDocument/2006/relationships/oleObject" Target="embeddings/oleObject12.bin"/><Relationship Id="rId53" Type="http://schemas.openxmlformats.org/officeDocument/2006/relationships/oleObject" Target="embeddings/oleObject20.bin"/><Relationship Id="rId58" Type="http://schemas.openxmlformats.org/officeDocument/2006/relationships/image" Target="media/image23.wmf"/><Relationship Id="rId74" Type="http://schemas.openxmlformats.org/officeDocument/2006/relationships/oleObject" Target="embeddings/oleObject32.bin"/><Relationship Id="rId79" Type="http://schemas.openxmlformats.org/officeDocument/2006/relationships/image" Target="media/image32.wmf"/><Relationship Id="rId102" Type="http://schemas.openxmlformats.org/officeDocument/2006/relationships/oleObject" Target="embeddings/oleObject46.bin"/><Relationship Id="rId123" Type="http://schemas.openxmlformats.org/officeDocument/2006/relationships/oleObject" Target="embeddings/oleObject57.bin"/><Relationship Id="rId128" Type="http://schemas.openxmlformats.org/officeDocument/2006/relationships/fontTable" Target="fontTable.xml"/><Relationship Id="rId5" Type="http://schemas.openxmlformats.org/officeDocument/2006/relationships/webSettings" Target="webSettings.xml"/><Relationship Id="rId90" Type="http://schemas.openxmlformats.org/officeDocument/2006/relationships/oleObject" Target="embeddings/oleObject40.bin"/><Relationship Id="rId95" Type="http://schemas.openxmlformats.org/officeDocument/2006/relationships/image" Target="media/image40.wmf"/><Relationship Id="rId22" Type="http://schemas.openxmlformats.org/officeDocument/2006/relationships/image" Target="media/image5.wmf"/><Relationship Id="rId27" Type="http://schemas.openxmlformats.org/officeDocument/2006/relationships/oleObject" Target="embeddings/oleObject7.bin"/><Relationship Id="rId43" Type="http://schemas.openxmlformats.org/officeDocument/2006/relationships/oleObject" Target="embeddings/oleObject15.bin"/><Relationship Id="rId48" Type="http://schemas.openxmlformats.org/officeDocument/2006/relationships/image" Target="media/image18.wmf"/><Relationship Id="rId64" Type="http://schemas.openxmlformats.org/officeDocument/2006/relationships/image" Target="media/image26.wmf"/><Relationship Id="rId69" Type="http://schemas.openxmlformats.org/officeDocument/2006/relationships/oleObject" Target="embeddings/oleObject28.bin"/><Relationship Id="rId113" Type="http://schemas.openxmlformats.org/officeDocument/2006/relationships/image" Target="media/image49.wmf"/><Relationship Id="rId118" Type="http://schemas.openxmlformats.org/officeDocument/2006/relationships/oleObject" Target="embeddings/oleObject54.bin"/><Relationship Id="rId80" Type="http://schemas.openxmlformats.org/officeDocument/2006/relationships/oleObject" Target="embeddings/oleObject35.bin"/><Relationship Id="rId85" Type="http://schemas.openxmlformats.org/officeDocument/2006/relationships/image" Target="media/image35.wmf"/><Relationship Id="rId12" Type="http://schemas.openxmlformats.org/officeDocument/2006/relationships/header" Target="header3.xml"/><Relationship Id="rId17" Type="http://schemas.openxmlformats.org/officeDocument/2006/relationships/oleObject" Target="embeddings/oleObject2.bin"/><Relationship Id="rId33" Type="http://schemas.openxmlformats.org/officeDocument/2006/relationships/oleObject" Target="embeddings/oleObject10.bin"/><Relationship Id="rId38" Type="http://schemas.openxmlformats.org/officeDocument/2006/relationships/image" Target="media/image13.wmf"/><Relationship Id="rId59" Type="http://schemas.openxmlformats.org/officeDocument/2006/relationships/oleObject" Target="embeddings/oleObject23.bin"/><Relationship Id="rId103" Type="http://schemas.openxmlformats.org/officeDocument/2006/relationships/image" Target="media/image44.wmf"/><Relationship Id="rId108" Type="http://schemas.openxmlformats.org/officeDocument/2006/relationships/oleObject" Target="embeddings/oleObject49.bin"/><Relationship Id="rId124" Type="http://schemas.openxmlformats.org/officeDocument/2006/relationships/header" Target="header4.xml"/><Relationship Id="rId129" Type="http://schemas.openxmlformats.org/officeDocument/2006/relationships/theme" Target="theme/theme1.xml"/><Relationship Id="rId54" Type="http://schemas.openxmlformats.org/officeDocument/2006/relationships/image" Target="media/image21.wmf"/><Relationship Id="rId70" Type="http://schemas.openxmlformats.org/officeDocument/2006/relationships/oleObject" Target="embeddings/oleObject29.bin"/><Relationship Id="rId75" Type="http://schemas.openxmlformats.org/officeDocument/2006/relationships/image" Target="media/image30.wmf"/><Relationship Id="rId91" Type="http://schemas.openxmlformats.org/officeDocument/2006/relationships/image" Target="media/image38.wmf"/><Relationship Id="rId96" Type="http://schemas.openxmlformats.org/officeDocument/2006/relationships/oleObject" Target="embeddings/oleObject43.bin"/><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oleObject" Target="embeddings/oleObject5.bin"/><Relationship Id="rId28" Type="http://schemas.openxmlformats.org/officeDocument/2006/relationships/image" Target="media/image8.wmf"/><Relationship Id="rId49" Type="http://schemas.openxmlformats.org/officeDocument/2006/relationships/oleObject" Target="embeddings/oleObject18.bin"/><Relationship Id="rId114" Type="http://schemas.openxmlformats.org/officeDocument/2006/relationships/oleObject" Target="embeddings/oleObject52.bin"/><Relationship Id="rId119" Type="http://schemas.openxmlformats.org/officeDocument/2006/relationships/image" Target="media/image52.wmf"/><Relationship Id="rId44" Type="http://schemas.openxmlformats.org/officeDocument/2006/relationships/image" Target="media/image16.wmf"/><Relationship Id="rId60" Type="http://schemas.openxmlformats.org/officeDocument/2006/relationships/image" Target="media/image24.wmf"/><Relationship Id="rId65" Type="http://schemas.openxmlformats.org/officeDocument/2006/relationships/oleObject" Target="embeddings/oleObject26.bin"/><Relationship Id="rId81" Type="http://schemas.openxmlformats.org/officeDocument/2006/relationships/image" Target="media/image33.wmf"/><Relationship Id="rId86" Type="http://schemas.openxmlformats.org/officeDocument/2006/relationships/oleObject" Target="embeddings/oleObject38.bin"/><Relationship Id="rId13" Type="http://schemas.openxmlformats.org/officeDocument/2006/relationships/footer" Target="footer3.xml"/><Relationship Id="rId18" Type="http://schemas.openxmlformats.org/officeDocument/2006/relationships/image" Target="media/image3.wmf"/><Relationship Id="rId39" Type="http://schemas.openxmlformats.org/officeDocument/2006/relationships/oleObject" Target="embeddings/oleObject13.bin"/><Relationship Id="rId109" Type="http://schemas.openxmlformats.org/officeDocument/2006/relationships/image" Target="media/image47.wmf"/><Relationship Id="rId34" Type="http://schemas.openxmlformats.org/officeDocument/2006/relationships/image" Target="media/image11.wmf"/><Relationship Id="rId50" Type="http://schemas.openxmlformats.org/officeDocument/2006/relationships/image" Target="media/image19.wmf"/><Relationship Id="rId55" Type="http://schemas.openxmlformats.org/officeDocument/2006/relationships/oleObject" Target="embeddings/oleObject21.bin"/><Relationship Id="rId76" Type="http://schemas.openxmlformats.org/officeDocument/2006/relationships/oleObject" Target="embeddings/oleObject33.bin"/><Relationship Id="rId97" Type="http://schemas.openxmlformats.org/officeDocument/2006/relationships/image" Target="media/image41.wmf"/><Relationship Id="rId104" Type="http://schemas.openxmlformats.org/officeDocument/2006/relationships/oleObject" Target="embeddings/oleObject47.bin"/><Relationship Id="rId120" Type="http://schemas.openxmlformats.org/officeDocument/2006/relationships/oleObject" Target="embeddings/oleObject55.bin"/><Relationship Id="rId125" Type="http://schemas.openxmlformats.org/officeDocument/2006/relationships/header" Target="header5.xml"/><Relationship Id="rId7" Type="http://schemas.openxmlformats.org/officeDocument/2006/relationships/endnotes" Target="endnotes.xml"/><Relationship Id="rId71" Type="http://schemas.openxmlformats.org/officeDocument/2006/relationships/oleObject" Target="embeddings/oleObject30.bin"/><Relationship Id="rId92" Type="http://schemas.openxmlformats.org/officeDocument/2006/relationships/oleObject" Target="embeddings/oleObject41.bin"/><Relationship Id="rId2" Type="http://schemas.openxmlformats.org/officeDocument/2006/relationships/numbering" Target="numbering.xml"/><Relationship Id="rId29" Type="http://schemas.openxmlformats.org/officeDocument/2006/relationships/oleObject" Target="embeddings/oleObject8.bin"/><Relationship Id="rId24" Type="http://schemas.openxmlformats.org/officeDocument/2006/relationships/image" Target="media/image6.wmf"/><Relationship Id="rId40" Type="http://schemas.openxmlformats.org/officeDocument/2006/relationships/image" Target="media/image14.wmf"/><Relationship Id="rId45" Type="http://schemas.openxmlformats.org/officeDocument/2006/relationships/oleObject" Target="embeddings/oleObject16.bin"/><Relationship Id="rId66" Type="http://schemas.openxmlformats.org/officeDocument/2006/relationships/image" Target="media/image27.wmf"/><Relationship Id="rId87" Type="http://schemas.openxmlformats.org/officeDocument/2006/relationships/image" Target="media/image36.wmf"/><Relationship Id="rId110" Type="http://schemas.openxmlformats.org/officeDocument/2006/relationships/oleObject" Target="embeddings/oleObject50.bin"/><Relationship Id="rId115" Type="http://schemas.openxmlformats.org/officeDocument/2006/relationships/image" Target="media/image50.wmf"/><Relationship Id="rId61" Type="http://schemas.openxmlformats.org/officeDocument/2006/relationships/oleObject" Target="embeddings/oleObject24.bin"/><Relationship Id="rId82" Type="http://schemas.openxmlformats.org/officeDocument/2006/relationships/oleObject" Target="embeddings/oleObject36.bin"/><Relationship Id="rId19" Type="http://schemas.openxmlformats.org/officeDocument/2006/relationships/oleObject" Target="embeddings/oleObject3.bin"/><Relationship Id="rId14" Type="http://schemas.openxmlformats.org/officeDocument/2006/relationships/image" Target="media/image1.wmf"/><Relationship Id="rId30" Type="http://schemas.openxmlformats.org/officeDocument/2006/relationships/image" Target="media/image9.wmf"/><Relationship Id="rId35" Type="http://schemas.openxmlformats.org/officeDocument/2006/relationships/oleObject" Target="embeddings/oleObject11.bin"/><Relationship Id="rId56" Type="http://schemas.openxmlformats.org/officeDocument/2006/relationships/image" Target="media/image22.wmf"/><Relationship Id="rId77" Type="http://schemas.openxmlformats.org/officeDocument/2006/relationships/image" Target="media/image31.wmf"/><Relationship Id="rId100" Type="http://schemas.openxmlformats.org/officeDocument/2006/relationships/oleObject" Target="embeddings/oleObject45.bin"/><Relationship Id="rId105" Type="http://schemas.openxmlformats.org/officeDocument/2006/relationships/image" Target="media/image45.wmf"/><Relationship Id="rId126" Type="http://schemas.openxmlformats.org/officeDocument/2006/relationships/footer" Target="footer4.xml"/><Relationship Id="rId8" Type="http://schemas.openxmlformats.org/officeDocument/2006/relationships/header" Target="header1.xml"/><Relationship Id="rId51" Type="http://schemas.openxmlformats.org/officeDocument/2006/relationships/oleObject" Target="embeddings/oleObject19.bin"/><Relationship Id="rId72" Type="http://schemas.openxmlformats.org/officeDocument/2006/relationships/image" Target="media/image29.wmf"/><Relationship Id="rId93" Type="http://schemas.openxmlformats.org/officeDocument/2006/relationships/image" Target="media/image39.wmf"/><Relationship Id="rId98" Type="http://schemas.openxmlformats.org/officeDocument/2006/relationships/oleObject" Target="embeddings/oleObject44.bin"/><Relationship Id="rId121" Type="http://schemas.openxmlformats.org/officeDocument/2006/relationships/oleObject" Target="embeddings/oleObject56.bin"/><Relationship Id="rId3" Type="http://schemas.openxmlformats.org/officeDocument/2006/relationships/styles" Target="styles.xml"/><Relationship Id="rId25" Type="http://schemas.openxmlformats.org/officeDocument/2006/relationships/oleObject" Target="embeddings/oleObject6.bin"/><Relationship Id="rId46" Type="http://schemas.openxmlformats.org/officeDocument/2006/relationships/image" Target="media/image17.wmf"/><Relationship Id="rId67" Type="http://schemas.openxmlformats.org/officeDocument/2006/relationships/oleObject" Target="embeddings/oleObject27.bin"/><Relationship Id="rId116" Type="http://schemas.openxmlformats.org/officeDocument/2006/relationships/oleObject" Target="embeddings/oleObject53.bin"/><Relationship Id="rId20" Type="http://schemas.openxmlformats.org/officeDocument/2006/relationships/image" Target="media/image4.wmf"/><Relationship Id="rId41" Type="http://schemas.openxmlformats.org/officeDocument/2006/relationships/oleObject" Target="embeddings/oleObject14.bin"/><Relationship Id="rId62" Type="http://schemas.openxmlformats.org/officeDocument/2006/relationships/image" Target="media/image25.wmf"/><Relationship Id="rId83" Type="http://schemas.openxmlformats.org/officeDocument/2006/relationships/image" Target="media/image34.wmf"/><Relationship Id="rId88" Type="http://schemas.openxmlformats.org/officeDocument/2006/relationships/oleObject" Target="embeddings/oleObject39.bin"/><Relationship Id="rId111" Type="http://schemas.openxmlformats.org/officeDocument/2006/relationships/image" Target="media/image48.wmf"/><Relationship Id="rId15" Type="http://schemas.openxmlformats.org/officeDocument/2006/relationships/oleObject" Target="embeddings/oleObject1.bin"/><Relationship Id="rId36" Type="http://schemas.openxmlformats.org/officeDocument/2006/relationships/image" Target="media/image12.wmf"/><Relationship Id="rId57" Type="http://schemas.openxmlformats.org/officeDocument/2006/relationships/oleObject" Target="embeddings/oleObject22.bin"/><Relationship Id="rId106" Type="http://schemas.openxmlformats.org/officeDocument/2006/relationships/oleObject" Target="embeddings/oleObject48.bin"/><Relationship Id="rId127" Type="http://schemas.openxmlformats.org/officeDocument/2006/relationships/header" Target="header6.xml"/><Relationship Id="rId10" Type="http://schemas.openxmlformats.org/officeDocument/2006/relationships/footer" Target="footer1.xml"/><Relationship Id="rId31" Type="http://schemas.openxmlformats.org/officeDocument/2006/relationships/oleObject" Target="embeddings/oleObject9.bin"/><Relationship Id="rId52" Type="http://schemas.openxmlformats.org/officeDocument/2006/relationships/image" Target="media/image20.wmf"/><Relationship Id="rId73" Type="http://schemas.openxmlformats.org/officeDocument/2006/relationships/oleObject" Target="embeddings/oleObject31.bin"/><Relationship Id="rId78" Type="http://schemas.openxmlformats.org/officeDocument/2006/relationships/oleObject" Target="embeddings/oleObject34.bin"/><Relationship Id="rId94" Type="http://schemas.openxmlformats.org/officeDocument/2006/relationships/oleObject" Target="embeddings/oleObject42.bin"/><Relationship Id="rId99" Type="http://schemas.openxmlformats.org/officeDocument/2006/relationships/image" Target="media/image42.wmf"/><Relationship Id="rId101" Type="http://schemas.openxmlformats.org/officeDocument/2006/relationships/image" Target="media/image43.wmf"/><Relationship Id="rId122" Type="http://schemas.openxmlformats.org/officeDocument/2006/relationships/image" Target="media/image53.wmf"/><Relationship Id="rId4" Type="http://schemas.openxmlformats.org/officeDocument/2006/relationships/settings" Target="settings.xml"/><Relationship Id="rId9" Type="http://schemas.openxmlformats.org/officeDocument/2006/relationships/header" Target="header2.xml"/><Relationship Id="rId26" Type="http://schemas.openxmlformats.org/officeDocument/2006/relationships/image" Target="media/image7.w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8FB713-00D9-4626-96F6-053D25E062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73</TotalTime>
  <Pages>7</Pages>
  <Words>3180</Words>
  <Characters>18127</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21265</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Prasanna Kumar</cp:lastModifiedBy>
  <cp:revision>38</cp:revision>
  <cp:lastPrinted>1999-07-06T11:00:00Z</cp:lastPrinted>
  <dcterms:created xsi:type="dcterms:W3CDTF">2025-03-19T13:56:00Z</dcterms:created>
  <dcterms:modified xsi:type="dcterms:W3CDTF">2025-03-21T08:19:00Z</dcterms:modified>
</cp:coreProperties>
</file>