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DE2EF" w14:textId="77777777" w:rsidR="004B041A" w:rsidRPr="0011149A" w:rsidRDefault="004B0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4B041A" w:rsidRPr="0011149A" w14:paraId="52B98F1E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5677F331" w14:textId="77777777" w:rsidR="004B041A" w:rsidRPr="0011149A" w:rsidRDefault="004B041A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4B041A" w:rsidRPr="0011149A" w14:paraId="56A6B3A2" w14:textId="77777777">
        <w:trPr>
          <w:trHeight w:val="290"/>
        </w:trPr>
        <w:tc>
          <w:tcPr>
            <w:tcW w:w="5167" w:type="dxa"/>
          </w:tcPr>
          <w:p w14:paraId="33B45674" w14:textId="77777777" w:rsidR="004B041A" w:rsidRPr="0011149A" w:rsidRDefault="00AD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149A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70D7" w14:textId="77777777" w:rsidR="004B041A" w:rsidRPr="0011149A" w:rsidRDefault="00AD1348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11149A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Experimental Agriculture International</w:t>
              </w:r>
            </w:hyperlink>
            <w:r w:rsidRPr="0011149A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4B041A" w:rsidRPr="0011149A" w14:paraId="0B7A3E9A" w14:textId="77777777">
        <w:trPr>
          <w:trHeight w:val="290"/>
        </w:trPr>
        <w:tc>
          <w:tcPr>
            <w:tcW w:w="5167" w:type="dxa"/>
          </w:tcPr>
          <w:p w14:paraId="54462B49" w14:textId="77777777" w:rsidR="004B041A" w:rsidRPr="0011149A" w:rsidRDefault="00AD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149A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7CC4" w14:textId="77777777" w:rsidR="004B041A" w:rsidRPr="0011149A" w:rsidRDefault="00AD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149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Ms_JEAI_135214</w:t>
            </w:r>
          </w:p>
        </w:tc>
      </w:tr>
      <w:tr w:rsidR="004B041A" w:rsidRPr="0011149A" w14:paraId="65EF3B73" w14:textId="77777777">
        <w:trPr>
          <w:trHeight w:val="650"/>
        </w:trPr>
        <w:tc>
          <w:tcPr>
            <w:tcW w:w="5167" w:type="dxa"/>
          </w:tcPr>
          <w:p w14:paraId="6BC053CA" w14:textId="77777777" w:rsidR="004B041A" w:rsidRPr="0011149A" w:rsidRDefault="00AD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149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4EEA" w14:textId="77777777" w:rsidR="004B041A" w:rsidRPr="0011149A" w:rsidRDefault="00AD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149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MARKETING CONSTRAINTS OF PEARL MILLET IN GUJARAT</w:t>
            </w:r>
          </w:p>
        </w:tc>
      </w:tr>
      <w:tr w:rsidR="004B041A" w:rsidRPr="0011149A" w14:paraId="6FE7793D" w14:textId="77777777">
        <w:trPr>
          <w:trHeight w:val="332"/>
        </w:trPr>
        <w:tc>
          <w:tcPr>
            <w:tcW w:w="5167" w:type="dxa"/>
          </w:tcPr>
          <w:p w14:paraId="25C89FD1" w14:textId="77777777" w:rsidR="004B041A" w:rsidRPr="0011149A" w:rsidRDefault="00AD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149A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E421" w14:textId="77777777" w:rsidR="004B041A" w:rsidRPr="0011149A" w:rsidRDefault="00AD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149A">
              <w:rPr>
                <w:rFonts w:ascii="Arial" w:eastAsia="Arial" w:hAnsi="Arial" w:cs="Arial"/>
                <w:sz w:val="20"/>
                <w:szCs w:val="20"/>
              </w:rPr>
              <w:t>Research Article</w:t>
            </w:r>
          </w:p>
        </w:tc>
      </w:tr>
    </w:tbl>
    <w:p w14:paraId="1E22FC4B" w14:textId="77777777" w:rsidR="004B041A" w:rsidRPr="0011149A" w:rsidRDefault="004B04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pPr w:leftFromText="180" w:rightFromText="180" w:vertAnchor="text" w:horzAnchor="margin" w:tblpY="180"/>
        <w:tblW w:w="2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  <w:gridCol w:w="5708"/>
        <w:gridCol w:w="6352"/>
      </w:tblGrid>
      <w:tr w:rsidR="0011149A" w:rsidRPr="0011149A" w14:paraId="3B277CCD" w14:textId="77777777" w:rsidTr="0011149A">
        <w:tc>
          <w:tcPr>
            <w:tcW w:w="21060" w:type="dxa"/>
            <w:gridSpan w:val="3"/>
            <w:tcBorders>
              <w:top w:val="nil"/>
              <w:left w:val="nil"/>
              <w:right w:val="nil"/>
            </w:tcBorders>
          </w:tcPr>
          <w:p w14:paraId="0AD7707C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1149A">
              <w:rPr>
                <w:rFonts w:ascii="Arial" w:eastAsia="Times New Roman" w:hAnsi="Arial" w:cs="Arial"/>
                <w:highlight w:val="yellow"/>
              </w:rPr>
              <w:t>PART  1:</w:t>
            </w:r>
            <w:r w:rsidRPr="0011149A">
              <w:rPr>
                <w:rFonts w:ascii="Arial" w:eastAsia="Times New Roman" w:hAnsi="Arial" w:cs="Arial"/>
              </w:rPr>
              <w:t xml:space="preserve"> Comments</w:t>
            </w:r>
          </w:p>
          <w:p w14:paraId="0602F96D" w14:textId="77777777" w:rsidR="0011149A" w:rsidRPr="0011149A" w:rsidRDefault="0011149A" w:rsidP="00111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49A" w:rsidRPr="0011149A" w14:paraId="591A99EC" w14:textId="77777777" w:rsidTr="0011149A">
        <w:tc>
          <w:tcPr>
            <w:tcW w:w="9000" w:type="dxa"/>
          </w:tcPr>
          <w:p w14:paraId="74EB92C5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5708" w:type="dxa"/>
          </w:tcPr>
          <w:p w14:paraId="0C6A88A7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1149A">
              <w:rPr>
                <w:rFonts w:ascii="Arial" w:eastAsia="Times New Roman" w:hAnsi="Arial" w:cs="Arial"/>
              </w:rPr>
              <w:t>Reviewer’s comment</w:t>
            </w:r>
          </w:p>
          <w:p w14:paraId="6E093686" w14:textId="77777777" w:rsidR="0011149A" w:rsidRPr="0011149A" w:rsidRDefault="0011149A" w:rsidP="0011149A">
            <w:pPr>
              <w:rPr>
                <w:rFonts w:ascii="Arial" w:hAnsi="Arial" w:cs="Arial"/>
                <w:sz w:val="20"/>
                <w:szCs w:val="20"/>
              </w:rPr>
            </w:pPr>
            <w:r w:rsidRPr="0011149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27D93EF" w14:textId="77777777" w:rsidR="0011149A" w:rsidRPr="0011149A" w:rsidRDefault="0011149A" w:rsidP="0011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</w:tcPr>
          <w:p w14:paraId="56A12F55" w14:textId="77777777" w:rsidR="0011149A" w:rsidRPr="0011149A" w:rsidRDefault="0011149A" w:rsidP="0011149A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11149A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11149A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00A1C54C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1149A" w:rsidRPr="0011149A" w14:paraId="36D0ACF8" w14:textId="77777777" w:rsidTr="0011149A">
        <w:trPr>
          <w:trHeight w:val="1264"/>
        </w:trPr>
        <w:tc>
          <w:tcPr>
            <w:tcW w:w="9000" w:type="dxa"/>
          </w:tcPr>
          <w:p w14:paraId="6C8FDE1B" w14:textId="77777777" w:rsidR="0011149A" w:rsidRPr="0011149A" w:rsidRDefault="0011149A" w:rsidP="0011149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149A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6648A246" w14:textId="77777777" w:rsidR="0011149A" w:rsidRPr="0011149A" w:rsidRDefault="0011149A" w:rsidP="0011149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8" w:type="dxa"/>
          </w:tcPr>
          <w:p w14:paraId="0B864A00" w14:textId="77777777" w:rsidR="0011149A" w:rsidRPr="0011149A" w:rsidRDefault="0011149A" w:rsidP="0011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49A">
              <w:rPr>
                <w:rFonts w:ascii="Arial" w:hAnsi="Arial" w:cs="Arial"/>
                <w:sz w:val="20"/>
                <w:szCs w:val="20"/>
              </w:rPr>
              <w:t xml:space="preserve">This study focuses on constraints faced by various stakeholders involved in the marketing of Pearl millet. This research was conducted in </w:t>
            </w:r>
            <w:proofErr w:type="spellStart"/>
            <w:r w:rsidRPr="0011149A">
              <w:rPr>
                <w:rFonts w:ascii="Arial" w:hAnsi="Arial" w:cs="Arial"/>
                <w:sz w:val="20"/>
                <w:szCs w:val="20"/>
              </w:rPr>
              <w:t>Banaskantha</w:t>
            </w:r>
            <w:proofErr w:type="spellEnd"/>
            <w:r w:rsidRPr="0011149A">
              <w:rPr>
                <w:rFonts w:ascii="Arial" w:hAnsi="Arial" w:cs="Arial"/>
                <w:sz w:val="20"/>
                <w:szCs w:val="20"/>
              </w:rPr>
              <w:t>, Anand, and Kheda districts of Gujarat, and Henry Garrett’s ranking technique was used for analysis. It highlights a major problem faced in the marketing of pearl millet: a lack of credit and, delay in cash payment for commission agents.</w:t>
            </w:r>
          </w:p>
        </w:tc>
        <w:tc>
          <w:tcPr>
            <w:tcW w:w="6352" w:type="dxa"/>
          </w:tcPr>
          <w:p w14:paraId="39D18B10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1149A" w:rsidRPr="0011149A" w14:paraId="4E0B824E" w14:textId="77777777" w:rsidTr="0011149A">
        <w:trPr>
          <w:trHeight w:val="1262"/>
        </w:trPr>
        <w:tc>
          <w:tcPr>
            <w:tcW w:w="9000" w:type="dxa"/>
          </w:tcPr>
          <w:p w14:paraId="7E887CDB" w14:textId="77777777" w:rsidR="0011149A" w:rsidRPr="0011149A" w:rsidRDefault="0011149A" w:rsidP="0011149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149A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552AEACC" w14:textId="77777777" w:rsidR="0011149A" w:rsidRPr="0011149A" w:rsidRDefault="0011149A" w:rsidP="0011149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149A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6A7E7D15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5708" w:type="dxa"/>
          </w:tcPr>
          <w:p w14:paraId="11917AD4" w14:textId="77777777" w:rsidR="0011149A" w:rsidRPr="0011149A" w:rsidRDefault="0011149A" w:rsidP="0011149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149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52" w:type="dxa"/>
          </w:tcPr>
          <w:p w14:paraId="1521D595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1149A" w:rsidRPr="0011149A" w14:paraId="741B4568" w14:textId="77777777" w:rsidTr="0011149A">
        <w:trPr>
          <w:trHeight w:val="1262"/>
        </w:trPr>
        <w:tc>
          <w:tcPr>
            <w:tcW w:w="9000" w:type="dxa"/>
          </w:tcPr>
          <w:p w14:paraId="2A92C7A0" w14:textId="77777777" w:rsidR="0011149A" w:rsidRPr="0011149A" w:rsidRDefault="0011149A" w:rsidP="0011149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1149A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5C00FE12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5708" w:type="dxa"/>
          </w:tcPr>
          <w:p w14:paraId="2D1FD42E" w14:textId="77777777" w:rsidR="0011149A" w:rsidRPr="0011149A" w:rsidRDefault="0011149A" w:rsidP="0011149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149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52" w:type="dxa"/>
          </w:tcPr>
          <w:p w14:paraId="391BA1CF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1149A" w:rsidRPr="0011149A" w14:paraId="11346794" w14:textId="77777777" w:rsidTr="0011149A">
        <w:trPr>
          <w:trHeight w:val="704"/>
        </w:trPr>
        <w:tc>
          <w:tcPr>
            <w:tcW w:w="9000" w:type="dxa"/>
          </w:tcPr>
          <w:p w14:paraId="5542A45C" w14:textId="77777777" w:rsidR="0011149A" w:rsidRPr="0011149A" w:rsidRDefault="0011149A" w:rsidP="0011149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11149A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5708" w:type="dxa"/>
          </w:tcPr>
          <w:p w14:paraId="78A847BE" w14:textId="77777777" w:rsidR="0011149A" w:rsidRPr="0011149A" w:rsidRDefault="0011149A" w:rsidP="0011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49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52" w:type="dxa"/>
          </w:tcPr>
          <w:p w14:paraId="6AD53A8F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1149A" w:rsidRPr="0011149A" w14:paraId="1849EAFC" w14:textId="77777777" w:rsidTr="0011149A">
        <w:trPr>
          <w:trHeight w:val="703"/>
        </w:trPr>
        <w:tc>
          <w:tcPr>
            <w:tcW w:w="9000" w:type="dxa"/>
          </w:tcPr>
          <w:p w14:paraId="22765456" w14:textId="77777777" w:rsidR="0011149A" w:rsidRPr="0011149A" w:rsidRDefault="0011149A" w:rsidP="0011149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149A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5708" w:type="dxa"/>
          </w:tcPr>
          <w:p w14:paraId="308E2A3B" w14:textId="77777777" w:rsidR="0011149A" w:rsidRPr="0011149A" w:rsidRDefault="0011149A" w:rsidP="0011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11149A">
              <w:rPr>
                <w:rFonts w:ascii="Arial" w:hAnsi="Arial" w:cs="Arial"/>
                <w:sz w:val="20"/>
                <w:szCs w:val="20"/>
              </w:rPr>
              <w:t xml:space="preserve">As it is closely associated with Self Help Groups because SHGs are also involved in such activities, I believe that associating it with SHGs will provide it more credibility, such as the government’s support. </w:t>
            </w:r>
            <w:proofErr w:type="gramStart"/>
            <w:r w:rsidRPr="0011149A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11149A">
              <w:rPr>
                <w:rFonts w:ascii="Arial" w:hAnsi="Arial" w:cs="Arial"/>
                <w:sz w:val="20"/>
                <w:szCs w:val="20"/>
              </w:rPr>
              <w:t xml:space="preserve"> I am suggesting some additional references to make it more reliable and replicable, which will not only strengthen its theoretical foundation but also make it widely applicable.</w:t>
            </w:r>
          </w:p>
          <w:p w14:paraId="58F6DBBE" w14:textId="77777777" w:rsidR="0011149A" w:rsidRPr="0011149A" w:rsidRDefault="0011149A" w:rsidP="0011149A">
            <w:pPr>
              <w:spacing w:before="360" w:after="360" w:line="288" w:lineRule="auto"/>
              <w:ind w:left="720"/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</w:pPr>
            <w:r w:rsidRPr="0011149A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Gupta, R. K., Maheshwari, U., &amp; Das, D. N. (2023). An analysis of factors influencing empowerment of rural women through Deendayal </w:t>
            </w:r>
            <w:proofErr w:type="spellStart"/>
            <w:r w:rsidRPr="0011149A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>Antyodaya</w:t>
            </w:r>
            <w:proofErr w:type="spellEnd"/>
            <w:r w:rsidRPr="0011149A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 Yojana--National Rural Livelihood Mission (SGSY). </w:t>
            </w:r>
            <w:r w:rsidRPr="0011149A">
              <w:rPr>
                <w:rFonts w:ascii="Arial" w:hAnsi="Arial" w:cs="Arial"/>
                <w:i/>
                <w:color w:val="222222"/>
                <w:sz w:val="20"/>
                <w:szCs w:val="20"/>
                <w:highlight w:val="white"/>
              </w:rPr>
              <w:t>Theoretical &amp; Applied Economics</w:t>
            </w:r>
            <w:r w:rsidRPr="0011149A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, </w:t>
            </w:r>
            <w:r w:rsidRPr="0011149A">
              <w:rPr>
                <w:rFonts w:ascii="Arial" w:hAnsi="Arial" w:cs="Arial"/>
                <w:i/>
                <w:color w:val="222222"/>
                <w:sz w:val="20"/>
                <w:szCs w:val="20"/>
                <w:highlight w:val="white"/>
              </w:rPr>
              <w:t>30</w:t>
            </w:r>
            <w:r w:rsidRPr="0011149A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>(1).</w:t>
            </w:r>
          </w:p>
          <w:p w14:paraId="1158FEB7" w14:textId="77777777" w:rsidR="0011149A" w:rsidRPr="0011149A" w:rsidRDefault="0011149A" w:rsidP="0011149A">
            <w:pPr>
              <w:spacing w:before="360" w:after="360" w:line="288" w:lineRule="auto"/>
              <w:ind w:left="720"/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</w:pPr>
            <w:r w:rsidRPr="0011149A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Maheshwari, U., &amp; Priya, A. (2022). AN ANALYSIS OF IMPACT OF DEENDAYAL ANTYODAYA YOJANA-NATIONAL RURAL LIVELIHOOD MISSION ON RURAL PEOPLES WITH REFERENCE TO </w:t>
            </w:r>
            <w:r w:rsidRPr="0011149A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lastRenderedPageBreak/>
              <w:t xml:space="preserve">MEASUREMENT THROUGH THE ATTITUDE OF SHGS. </w:t>
            </w:r>
            <w:r w:rsidRPr="0011149A">
              <w:rPr>
                <w:rFonts w:ascii="Arial" w:hAnsi="Arial" w:cs="Arial"/>
                <w:i/>
                <w:color w:val="222222"/>
                <w:sz w:val="20"/>
                <w:szCs w:val="20"/>
                <w:highlight w:val="white"/>
              </w:rPr>
              <w:t>Towards Excellence</w:t>
            </w:r>
            <w:r w:rsidRPr="0011149A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, </w:t>
            </w:r>
            <w:r w:rsidRPr="0011149A">
              <w:rPr>
                <w:rFonts w:ascii="Arial" w:hAnsi="Arial" w:cs="Arial"/>
                <w:i/>
                <w:color w:val="222222"/>
                <w:sz w:val="20"/>
                <w:szCs w:val="20"/>
                <w:highlight w:val="white"/>
              </w:rPr>
              <w:t>14</w:t>
            </w:r>
            <w:r w:rsidRPr="0011149A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>(2).</w:t>
            </w:r>
          </w:p>
          <w:p w14:paraId="1E305B2B" w14:textId="77777777" w:rsidR="0011149A" w:rsidRPr="0011149A" w:rsidRDefault="0011149A" w:rsidP="0011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</w:tcPr>
          <w:p w14:paraId="40264C4D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1149A" w:rsidRPr="0011149A" w14:paraId="420DE094" w14:textId="77777777" w:rsidTr="0011149A">
        <w:trPr>
          <w:trHeight w:val="386"/>
        </w:trPr>
        <w:tc>
          <w:tcPr>
            <w:tcW w:w="9000" w:type="dxa"/>
          </w:tcPr>
          <w:p w14:paraId="66C8842F" w14:textId="77777777" w:rsidR="0011149A" w:rsidRPr="0011149A" w:rsidRDefault="0011149A" w:rsidP="0011149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1149A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3583F995" w14:textId="77777777" w:rsidR="0011149A" w:rsidRPr="0011149A" w:rsidRDefault="0011149A" w:rsidP="0011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8" w:type="dxa"/>
          </w:tcPr>
          <w:p w14:paraId="230AA24C" w14:textId="77777777" w:rsidR="0011149A" w:rsidRPr="0011149A" w:rsidRDefault="0011149A" w:rsidP="0011149A">
            <w:pPr>
              <w:rPr>
                <w:rFonts w:ascii="Arial" w:hAnsi="Arial" w:cs="Arial"/>
                <w:sz w:val="20"/>
                <w:szCs w:val="20"/>
              </w:rPr>
            </w:pPr>
            <w:r w:rsidRPr="0011149A">
              <w:rPr>
                <w:rFonts w:ascii="Arial" w:hAnsi="Arial" w:cs="Arial"/>
                <w:sz w:val="20"/>
                <w:szCs w:val="20"/>
              </w:rPr>
              <w:t>Acceptable.</w:t>
            </w:r>
          </w:p>
        </w:tc>
        <w:tc>
          <w:tcPr>
            <w:tcW w:w="6352" w:type="dxa"/>
          </w:tcPr>
          <w:p w14:paraId="6A00F6ED" w14:textId="77777777" w:rsidR="0011149A" w:rsidRPr="0011149A" w:rsidRDefault="0011149A" w:rsidP="00111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49A" w:rsidRPr="0011149A" w14:paraId="128CFF72" w14:textId="77777777" w:rsidTr="0011149A">
        <w:trPr>
          <w:trHeight w:val="1178"/>
        </w:trPr>
        <w:tc>
          <w:tcPr>
            <w:tcW w:w="9000" w:type="dxa"/>
          </w:tcPr>
          <w:p w14:paraId="296D589F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11149A">
              <w:rPr>
                <w:rFonts w:ascii="Arial" w:eastAsia="Times New Roman" w:hAnsi="Arial" w:cs="Arial"/>
                <w:u w:val="single"/>
              </w:rPr>
              <w:t>Optional/General</w:t>
            </w:r>
            <w:r w:rsidRPr="0011149A">
              <w:rPr>
                <w:rFonts w:ascii="Arial" w:eastAsia="Times New Roman" w:hAnsi="Arial" w:cs="Arial"/>
              </w:rPr>
              <w:t xml:space="preserve"> </w:t>
            </w:r>
            <w:r w:rsidRPr="0011149A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62ED90D8" w14:textId="77777777" w:rsidR="0011149A" w:rsidRPr="0011149A" w:rsidRDefault="0011149A" w:rsidP="001114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5708" w:type="dxa"/>
          </w:tcPr>
          <w:p w14:paraId="4EDA9A71" w14:textId="77777777" w:rsidR="0011149A" w:rsidRPr="0011149A" w:rsidRDefault="0011149A" w:rsidP="0011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2" w:type="dxa"/>
          </w:tcPr>
          <w:p w14:paraId="3363B113" w14:textId="77777777" w:rsidR="0011149A" w:rsidRPr="0011149A" w:rsidRDefault="0011149A" w:rsidP="00111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44D716" w14:textId="4B00F77E" w:rsidR="004B041A" w:rsidRPr="0011149A" w:rsidRDefault="004B041A" w:rsidP="0011149A">
      <w:pPr>
        <w:rPr>
          <w:rFonts w:ascii="Arial" w:hAnsi="Arial" w:cs="Arial"/>
          <w:sz w:val="20"/>
          <w:szCs w:val="20"/>
        </w:rPr>
      </w:pPr>
      <w:bookmarkStart w:id="0" w:name="_185qxxud9pm7" w:colFirst="0" w:colLast="0"/>
      <w:bookmarkStart w:id="1" w:name="_dw6y0u5rorlu" w:colFirst="0" w:colLast="0"/>
      <w:bookmarkEnd w:id="0"/>
      <w:bookmarkEnd w:id="1"/>
    </w:p>
    <w:tbl>
      <w:tblPr>
        <w:tblStyle w:val="a1"/>
        <w:tblW w:w="2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3"/>
        <w:gridCol w:w="8642"/>
        <w:gridCol w:w="5677"/>
      </w:tblGrid>
      <w:tr w:rsidR="004B041A" w:rsidRPr="0011149A" w14:paraId="5C89DF26" w14:textId="77777777" w:rsidTr="0011149A">
        <w:trPr>
          <w:trHeight w:val="237"/>
        </w:trPr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1393" w14:textId="77777777" w:rsidR="004B041A" w:rsidRPr="0011149A" w:rsidRDefault="00AD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1114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11149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887CB2B" w14:textId="77777777" w:rsidR="004B041A" w:rsidRPr="0011149A" w:rsidRDefault="004B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4B041A" w:rsidRPr="0011149A" w14:paraId="04273C54" w14:textId="77777777" w:rsidTr="0011149A">
        <w:trPr>
          <w:trHeight w:val="935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AD4A" w14:textId="77777777" w:rsidR="004B041A" w:rsidRPr="0011149A" w:rsidRDefault="004B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CCB9" w14:textId="77777777" w:rsidR="004B041A" w:rsidRPr="0011149A" w:rsidRDefault="00AD134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1149A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32008AB5" w14:textId="77777777" w:rsidR="004B041A" w:rsidRPr="0011149A" w:rsidRDefault="00AD1348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11149A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11149A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59D60FC1" w14:textId="77777777" w:rsidR="004B041A" w:rsidRPr="0011149A" w:rsidRDefault="004B041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B041A" w:rsidRPr="0011149A" w14:paraId="09701969" w14:textId="77777777" w:rsidTr="0011149A">
        <w:trPr>
          <w:trHeight w:val="697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147D" w14:textId="77777777" w:rsidR="004B041A" w:rsidRPr="0011149A" w:rsidRDefault="00AD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4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32190588" w14:textId="77777777" w:rsidR="004B041A" w:rsidRPr="0011149A" w:rsidRDefault="004B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11A5" w14:textId="77777777" w:rsidR="004B041A" w:rsidRPr="0011149A" w:rsidRDefault="00AD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11149A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11149A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11149A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6F0F953F" w14:textId="77777777" w:rsidR="004B041A" w:rsidRPr="0011149A" w:rsidRDefault="004B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DD7577" w14:textId="327B1CCA" w:rsidR="004B041A" w:rsidRPr="0011149A" w:rsidRDefault="004B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21F03F82" w14:textId="77777777" w:rsidR="004B041A" w:rsidRPr="0011149A" w:rsidRDefault="004B04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11993" w14:textId="77777777" w:rsidR="004B041A" w:rsidRPr="0011149A" w:rsidRDefault="004B04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ECA7C" w14:textId="77777777" w:rsidR="004B041A" w:rsidRPr="0011149A" w:rsidRDefault="004B04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AC5B9" w14:textId="77777777" w:rsidR="004B041A" w:rsidRPr="0011149A" w:rsidRDefault="004B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8DECA57" w14:textId="77777777" w:rsidR="004B041A" w:rsidRDefault="004B04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3A9B6F5" w14:textId="77777777" w:rsidR="0011149A" w:rsidRPr="005B43B0" w:rsidRDefault="0011149A" w:rsidP="0011149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B43B0">
        <w:rPr>
          <w:rFonts w:ascii="Arial" w:hAnsi="Arial" w:cs="Arial"/>
          <w:b/>
          <w:u w:val="single"/>
        </w:rPr>
        <w:t>Reviewer details:</w:t>
      </w:r>
    </w:p>
    <w:p w14:paraId="70DC8541" w14:textId="77777777" w:rsidR="0011149A" w:rsidRPr="005B43B0" w:rsidRDefault="0011149A" w:rsidP="0011149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B43B0">
        <w:rPr>
          <w:rFonts w:ascii="Arial" w:hAnsi="Arial" w:cs="Arial"/>
          <w:b/>
        </w:rPr>
        <w:t>Udit Maheshwari, India</w:t>
      </w:r>
    </w:p>
    <w:p w14:paraId="274EC35E" w14:textId="77777777" w:rsidR="0011149A" w:rsidRPr="0011149A" w:rsidRDefault="001114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11149A" w:rsidRPr="0011149A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E6CE" w14:textId="77777777" w:rsidR="00014462" w:rsidRDefault="00014462">
      <w:r>
        <w:separator/>
      </w:r>
    </w:p>
  </w:endnote>
  <w:endnote w:type="continuationSeparator" w:id="0">
    <w:p w14:paraId="6DEA69AC" w14:textId="77777777" w:rsidR="00014462" w:rsidRDefault="0001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FBF1" w14:textId="77777777" w:rsidR="004B041A" w:rsidRDefault="00AD1348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FF208" w14:textId="77777777" w:rsidR="00014462" w:rsidRDefault="00014462">
      <w:r>
        <w:separator/>
      </w:r>
    </w:p>
  </w:footnote>
  <w:footnote w:type="continuationSeparator" w:id="0">
    <w:p w14:paraId="2BAEB83E" w14:textId="77777777" w:rsidR="00014462" w:rsidRDefault="0001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2068" w14:textId="77777777" w:rsidR="004B041A" w:rsidRDefault="004B041A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7D38257F" w14:textId="77777777" w:rsidR="004B041A" w:rsidRDefault="00AD1348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1A"/>
    <w:rsid w:val="00014462"/>
    <w:rsid w:val="0011149A"/>
    <w:rsid w:val="004B041A"/>
    <w:rsid w:val="008B7811"/>
    <w:rsid w:val="00956C7C"/>
    <w:rsid w:val="00AD1348"/>
    <w:rsid w:val="00AF45E2"/>
    <w:rsid w:val="00B707CA"/>
    <w:rsid w:val="00C004B9"/>
    <w:rsid w:val="00F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EAD1"/>
  <w15:docId w15:val="{1CE7AB44-E646-4569-8E11-B2ED5B3D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F45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5E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1149A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ai.com/index.php/JEA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7</cp:revision>
  <dcterms:created xsi:type="dcterms:W3CDTF">2025-04-24T10:56:00Z</dcterms:created>
  <dcterms:modified xsi:type="dcterms:W3CDTF">2025-04-25T10:08:00Z</dcterms:modified>
</cp:coreProperties>
</file>