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673A3" w14:textId="77777777" w:rsidR="00754C9A" w:rsidRDefault="00754C9A" w:rsidP="00441B6F">
      <w:pPr>
        <w:pStyle w:val="a3"/>
        <w:spacing w:after="0"/>
        <w:jc w:val="both"/>
        <w:rPr>
          <w:rFonts w:ascii="Arial" w:hAnsi="Arial" w:cs="Arial"/>
        </w:rPr>
      </w:pPr>
    </w:p>
    <w:p w14:paraId="73E0BF31" w14:textId="77777777" w:rsidR="00760667" w:rsidRPr="00760667" w:rsidRDefault="00760667" w:rsidP="00760667">
      <w:pPr>
        <w:pStyle w:val="Author"/>
        <w:rPr>
          <w:rFonts w:ascii="Arial" w:hAnsi="Arial" w:cs="Arial"/>
          <w:bCs/>
          <w:i/>
          <w:iCs/>
          <w:kern w:val="28"/>
          <w:sz w:val="18"/>
          <w:szCs w:val="18"/>
          <w:u w:val="single"/>
        </w:rPr>
      </w:pPr>
      <w:r w:rsidRPr="00760667">
        <w:rPr>
          <w:rFonts w:ascii="Arial" w:hAnsi="Arial" w:cs="Arial"/>
          <w:bCs/>
          <w:i/>
          <w:iCs/>
          <w:kern w:val="28"/>
          <w:sz w:val="18"/>
          <w:szCs w:val="18"/>
          <w:u w:val="single"/>
        </w:rPr>
        <w:t>Original Research Article</w:t>
      </w:r>
    </w:p>
    <w:p w14:paraId="0B5F0A29" w14:textId="4908CDC0" w:rsidR="00163BC4" w:rsidRPr="00163BC4" w:rsidRDefault="00EB1270" w:rsidP="006F131A">
      <w:pPr>
        <w:pStyle w:val="Author"/>
        <w:spacing w:line="240" w:lineRule="auto"/>
        <w:jc w:val="both"/>
        <w:rPr>
          <w:rFonts w:ascii="Arial" w:hAnsi="Arial" w:cs="Arial"/>
          <w:bCs/>
          <w:iCs/>
          <w:kern w:val="28"/>
          <w:sz w:val="36"/>
        </w:rPr>
      </w:pPr>
      <w:r>
        <w:rPr>
          <w:rFonts w:ascii="Arial" w:hAnsi="Arial" w:cs="Arial"/>
          <w:bCs/>
          <w:iCs/>
          <w:kern w:val="28"/>
          <w:sz w:val="36"/>
        </w:rPr>
        <w:t xml:space="preserve">Determination of optimal culture medium conditions for mass production of </w:t>
      </w:r>
      <w:r w:rsidRPr="00ED7AC8">
        <w:rPr>
          <w:rFonts w:ascii="Arial" w:hAnsi="Arial" w:cs="Arial"/>
          <w:bCs/>
          <w:i/>
          <w:kern w:val="28"/>
          <w:sz w:val="36"/>
        </w:rPr>
        <w:t>Beauveria bassiana</w:t>
      </w:r>
      <w:r>
        <w:rPr>
          <w:rFonts w:ascii="Arial" w:hAnsi="Arial" w:cs="Arial"/>
          <w:bCs/>
          <w:iCs/>
          <w:kern w:val="28"/>
          <w:sz w:val="36"/>
        </w:rPr>
        <w:t xml:space="preserve"> clone EF 4</w:t>
      </w:r>
      <w:bookmarkStart w:id="0" w:name="_GoBack"/>
      <w:bookmarkEnd w:id="0"/>
      <w:r>
        <w:rPr>
          <w:rFonts w:ascii="Arial" w:hAnsi="Arial" w:cs="Arial"/>
          <w:bCs/>
          <w:iCs/>
          <w:kern w:val="28"/>
          <w:sz w:val="36"/>
        </w:rPr>
        <w:t>6</w:t>
      </w:r>
    </w:p>
    <w:p w14:paraId="2654F8CB" w14:textId="4EE1BFE5" w:rsidR="00B01FCD" w:rsidRPr="00FB3A86" w:rsidRDefault="00B01FCD" w:rsidP="006F131A">
      <w:pPr>
        <w:pStyle w:val="Copyright"/>
        <w:spacing w:after="0" w:line="240" w:lineRule="auto"/>
        <w:jc w:val="both"/>
        <w:rPr>
          <w:rFonts w:ascii="Arial" w:hAnsi="Arial" w:cs="Arial"/>
        </w:rPr>
        <w:sectPr w:rsidR="00B01FCD" w:rsidRPr="00FB3A86" w:rsidSect="006F103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3E1C80E0" w14:textId="77777777" w:rsidR="00790ADA" w:rsidRPr="00FB3A86" w:rsidRDefault="00790ADA" w:rsidP="006F131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456AE04" w14:textId="77777777" w:rsidTr="001E44FE">
        <w:tc>
          <w:tcPr>
            <w:tcW w:w="9576" w:type="dxa"/>
            <w:shd w:val="clear" w:color="auto" w:fill="F2F2F2"/>
          </w:tcPr>
          <w:p w14:paraId="36416A7F" w14:textId="16706C08" w:rsidR="00E3114E" w:rsidRPr="00E67B6A" w:rsidRDefault="00E3114E" w:rsidP="00E67B6A">
            <w:pPr>
              <w:pStyle w:val="Body"/>
              <w:rPr>
                <w:rFonts w:ascii="Arial" w:eastAsia="Calibri" w:hAnsi="Arial" w:cs="Arial"/>
                <w:b/>
                <w:bCs/>
              </w:rPr>
            </w:pPr>
            <w:r w:rsidRPr="00E67B6A">
              <w:rPr>
                <w:rFonts w:ascii="Arial" w:eastAsia="Calibri" w:hAnsi="Arial" w:cs="Arial"/>
                <w:b/>
                <w:bCs/>
              </w:rPr>
              <w:t>ABSTRACT:</w:t>
            </w:r>
          </w:p>
          <w:p w14:paraId="7419296A" w14:textId="36962ECB" w:rsidR="00505F06" w:rsidRPr="00490616" w:rsidRDefault="006017A3" w:rsidP="00490616">
            <w:pPr>
              <w:spacing w:after="160" w:line="276" w:lineRule="auto"/>
              <w:jc w:val="both"/>
              <w:rPr>
                <w:rFonts w:ascii="Arial" w:hAnsi="Arial" w:cs="Arial"/>
                <w:kern w:val="2"/>
                <w:lang w:val="fr-FR" w:eastAsia="fr-FR"/>
                <w14:ligatures w14:val="standardContextual"/>
              </w:rPr>
            </w:pPr>
            <w:r w:rsidRPr="006017A3">
              <w:rPr>
                <w:rFonts w:ascii="Arial" w:hAnsi="Arial" w:cs="Arial"/>
                <w:kern w:val="2"/>
                <w:lang w:val="fr-FR" w:eastAsia="fr-FR"/>
                <w14:ligatures w14:val="standardContextual"/>
              </w:rPr>
              <w:t>The issue of food safety has become a major concern due to the use of chemical pesticides, which have deleterious effects on human health, the environment and biodiversity. Biological pest control, which uses entomopathogenic agents, is an alternative that is more respectful of the health of living beings and the environment.</w:t>
            </w:r>
            <w:r>
              <w:rPr>
                <w:rFonts w:ascii="Arial" w:hAnsi="Arial" w:cs="Arial"/>
                <w:kern w:val="2"/>
                <w:lang w:val="fr-FR" w:eastAsia="fr-FR"/>
                <w14:ligatures w14:val="standardContextual"/>
              </w:rPr>
              <w:t xml:space="preserve"> </w:t>
            </w:r>
            <w:r w:rsidR="00490616" w:rsidRPr="00490616">
              <w:rPr>
                <w:rFonts w:ascii="Arial" w:hAnsi="Arial" w:cs="Arial"/>
                <w:kern w:val="2"/>
                <w:lang w:val="fr-FR" w:eastAsia="fr-FR"/>
                <w14:ligatures w14:val="standardContextual"/>
              </w:rPr>
              <w:t xml:space="preserve">The objective of this study was to determine the optimal culture medium parameters for the indigenous strain </w:t>
            </w:r>
            <w:r w:rsidR="00490616" w:rsidRPr="00490616">
              <w:rPr>
                <w:rFonts w:ascii="Arial" w:hAnsi="Arial" w:cs="Arial"/>
                <w:i/>
                <w:iCs/>
                <w:kern w:val="2"/>
                <w:lang w:val="fr-FR" w:eastAsia="fr-FR"/>
                <w14:ligatures w14:val="standardContextual"/>
              </w:rPr>
              <w:t>Beauveria bassiana</w:t>
            </w:r>
            <w:r w:rsidR="00490616" w:rsidRPr="00490616">
              <w:rPr>
                <w:rFonts w:ascii="Arial" w:hAnsi="Arial" w:cs="Arial"/>
                <w:kern w:val="2"/>
                <w:lang w:val="fr-FR" w:eastAsia="fr-FR"/>
                <w14:ligatures w14:val="standardContextual"/>
              </w:rPr>
              <w:t xml:space="preserve"> clone EF 46, aiming to facilitate the development of biopesticides. Potato Dextrose Agar (PDA) medium was used to evaluate the influence of physical (temperature, photoperiod, pH) and nutritional (carbon and nitrogen sources) parameters on the sporulation of </w:t>
            </w:r>
            <w:r w:rsidR="00490616" w:rsidRPr="006017A3">
              <w:rPr>
                <w:rFonts w:ascii="Arial" w:hAnsi="Arial" w:cs="Arial"/>
                <w:i/>
                <w:iCs/>
                <w:kern w:val="2"/>
                <w:lang w:val="fr-FR" w:eastAsia="fr-FR"/>
                <w14:ligatures w14:val="standardContextual"/>
              </w:rPr>
              <w:t>B. bassiana</w:t>
            </w:r>
            <w:r w:rsidR="00490616" w:rsidRPr="00490616">
              <w:rPr>
                <w:rFonts w:ascii="Arial" w:hAnsi="Arial" w:cs="Arial"/>
                <w:kern w:val="2"/>
                <w:lang w:val="fr-FR" w:eastAsia="fr-FR"/>
                <w14:ligatures w14:val="standardContextual"/>
              </w:rPr>
              <w:t>. Concurrently, rice husk supplemented with different types of starch flours was used to determine the best substrate for solid-state fermentation. This study revealed that the optimal physical parameters for sporulation were: a temperature of 25 °C, an alkaline medium with a pH of 9, and a 12 h/12 h light/dark photoperiod. Regarding nutritional parameters, fulvic acid and baker's yeast were identified as the best carbon and nitrogen sources, respectively. Concerning the culture substrate for solid-state fermentation, yellow corn flour proved to be the best supplement for rice husk.</w:t>
            </w:r>
          </w:p>
        </w:tc>
      </w:tr>
    </w:tbl>
    <w:p w14:paraId="0C5E6F27" w14:textId="77777777" w:rsidR="00636EB2" w:rsidRDefault="00636EB2" w:rsidP="00441B6F">
      <w:pPr>
        <w:pStyle w:val="Body"/>
        <w:spacing w:after="0"/>
        <w:rPr>
          <w:rFonts w:ascii="Arial" w:hAnsi="Arial" w:cs="Arial"/>
          <w:i/>
        </w:rPr>
      </w:pPr>
    </w:p>
    <w:p w14:paraId="1DDAD847" w14:textId="6C3693A3" w:rsidR="00A24E7E" w:rsidRPr="00490616" w:rsidRDefault="00A24E7E" w:rsidP="00E67B6A">
      <w:pPr>
        <w:pStyle w:val="Body"/>
        <w:rPr>
          <w:rFonts w:ascii="Arial" w:hAnsi="Arial" w:cs="Arial"/>
          <w:i/>
          <w:lang w:val="fr-FR"/>
        </w:rPr>
      </w:pPr>
      <w:r>
        <w:rPr>
          <w:rFonts w:ascii="Arial" w:hAnsi="Arial" w:cs="Arial"/>
          <w:i/>
        </w:rPr>
        <w:t xml:space="preserve">Keywords: </w:t>
      </w:r>
      <w:r w:rsidR="00490616" w:rsidRPr="00490616">
        <w:rPr>
          <w:rFonts w:ascii="Arial" w:hAnsi="Arial" w:cs="Arial"/>
          <w:i/>
          <w:lang w:val="fr-FR"/>
        </w:rPr>
        <w:t xml:space="preserve">Entomopathogenic fungus, </w:t>
      </w:r>
      <w:r w:rsidR="00490616" w:rsidRPr="00490616">
        <w:rPr>
          <w:rFonts w:ascii="Arial" w:hAnsi="Arial" w:cs="Arial"/>
          <w:i/>
          <w:iCs/>
          <w:lang w:val="fr-FR"/>
        </w:rPr>
        <w:t>Beauveria bassiana</w:t>
      </w:r>
      <w:r w:rsidR="00490616" w:rsidRPr="00490616">
        <w:rPr>
          <w:rFonts w:ascii="Arial" w:hAnsi="Arial" w:cs="Arial"/>
          <w:i/>
          <w:lang w:val="fr-FR"/>
        </w:rPr>
        <w:t>, sporulation factors</w:t>
      </w:r>
    </w:p>
    <w:p w14:paraId="2AE7D16D" w14:textId="5F78DE4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FF24" w14:textId="77777777" w:rsidR="00790ADA" w:rsidRPr="00FB3A86" w:rsidRDefault="00790ADA" w:rsidP="00441B6F">
      <w:pPr>
        <w:pStyle w:val="AbstHead"/>
        <w:spacing w:after="0"/>
        <w:jc w:val="both"/>
        <w:rPr>
          <w:rFonts w:ascii="Arial" w:hAnsi="Arial" w:cs="Arial"/>
        </w:rPr>
      </w:pPr>
    </w:p>
    <w:p w14:paraId="263B03D8" w14:textId="5BB0642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For several decades, synthetic pesticides have been employed by farmers to protect their crops. However, these products are toxic and undermine the efficacy of natural control methods. Indeed, the damage inflicted upon ecosystems (loss of biodiversity, disruption of ecological services), environmental contamination, and health risks compromise the sustainability of this approach (Malaj </w:t>
      </w:r>
      <w:r w:rsidRPr="001C5C0B">
        <w:rPr>
          <w:rFonts w:ascii="Arial" w:hAnsi="Arial" w:cs="Arial"/>
          <w:i/>
          <w:iCs/>
          <w:lang w:val="fr-FR"/>
        </w:rPr>
        <w:t>et al</w:t>
      </w:r>
      <w:r w:rsidRPr="001C5C0B">
        <w:rPr>
          <w:rFonts w:ascii="Arial" w:hAnsi="Arial" w:cs="Arial"/>
          <w:lang w:val="fr-FR"/>
        </w:rPr>
        <w:t xml:space="preserve">., 2014 ; Van der Sluijs </w:t>
      </w:r>
      <w:r w:rsidRPr="001C5C0B">
        <w:rPr>
          <w:rFonts w:ascii="Arial" w:hAnsi="Arial" w:cs="Arial"/>
          <w:i/>
          <w:iCs/>
          <w:lang w:val="fr-FR"/>
        </w:rPr>
        <w:t>et al.,</w:t>
      </w:r>
      <w:r w:rsidRPr="001C5C0B">
        <w:rPr>
          <w:rFonts w:ascii="Arial" w:hAnsi="Arial" w:cs="Arial"/>
          <w:lang w:val="fr-FR"/>
        </w:rPr>
        <w:t xml:space="preserve"> 2015 ; Mostafalou and Abdollahi, 2017).</w:t>
      </w:r>
    </w:p>
    <w:p w14:paraId="410F2F77" w14:textId="44687163"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Furthermore, numerous crop insect pests have developed resistance to certain chemical insecticides. To date, 43 actives ingredients have been reported in a global database, documenting 204 cases of resistance (Nascimento </w:t>
      </w:r>
      <w:r w:rsidRPr="001C5C0B">
        <w:rPr>
          <w:rFonts w:ascii="Arial" w:hAnsi="Arial" w:cs="Arial"/>
          <w:i/>
          <w:iCs/>
          <w:lang w:val="fr-FR"/>
        </w:rPr>
        <w:t>et al</w:t>
      </w:r>
      <w:r w:rsidRPr="001C5C0B">
        <w:rPr>
          <w:rFonts w:ascii="Arial" w:hAnsi="Arial" w:cs="Arial"/>
          <w:lang w:val="fr-FR"/>
        </w:rPr>
        <w:t xml:space="preserve">., 2016 ; Mota-Sanchez and Wise, 2017 ; Okuma </w:t>
      </w:r>
      <w:r w:rsidRPr="001C5C0B">
        <w:rPr>
          <w:rFonts w:ascii="Arial" w:hAnsi="Arial" w:cs="Arial"/>
          <w:i/>
          <w:iCs/>
          <w:lang w:val="fr-FR"/>
        </w:rPr>
        <w:t>et al</w:t>
      </w:r>
      <w:r w:rsidRPr="001C5C0B">
        <w:rPr>
          <w:rFonts w:ascii="Arial" w:hAnsi="Arial" w:cs="Arial"/>
          <w:lang w:val="fr-FR"/>
        </w:rPr>
        <w:t xml:space="preserve">., 2018 ; APRD, 2021). Among these active ingredients are flubendiamide, chlorantraniliprole, methomyl, thiodicarb, permethrin, chlorpyrifos, zeta-cypermethrin, deltamethrin, triflumuron, and spinetoram (Gutiérrez-Moreno </w:t>
      </w:r>
      <w:r w:rsidRPr="001C5C0B">
        <w:rPr>
          <w:rFonts w:ascii="Arial" w:hAnsi="Arial" w:cs="Arial"/>
          <w:i/>
          <w:iCs/>
          <w:lang w:val="fr-FR"/>
        </w:rPr>
        <w:t>et al.,</w:t>
      </w:r>
      <w:r w:rsidRPr="001C5C0B">
        <w:rPr>
          <w:rFonts w:ascii="Arial" w:hAnsi="Arial" w:cs="Arial"/>
          <w:lang w:val="fr-FR"/>
        </w:rPr>
        <w:t xml:space="preserve"> 2019). These findings urgently advocate for a transition towards crop protection strategies that are effective, sustainable, and respectful of the environment and human health.</w:t>
      </w:r>
    </w:p>
    <w:p w14:paraId="7E9CB255" w14:textId="19B658BD" w:rsidR="00490616" w:rsidRPr="001C5C0B" w:rsidRDefault="00490616" w:rsidP="00490616">
      <w:pPr>
        <w:pStyle w:val="Body"/>
        <w:spacing w:after="0"/>
        <w:rPr>
          <w:rFonts w:ascii="Arial" w:hAnsi="Arial" w:cs="Arial"/>
          <w:lang w:val="fr-FR"/>
        </w:rPr>
      </w:pPr>
      <w:r w:rsidRPr="001C5C0B">
        <w:rPr>
          <w:rFonts w:ascii="Arial" w:hAnsi="Arial" w:cs="Arial"/>
          <w:lang w:val="fr-FR"/>
        </w:rPr>
        <w:t xml:space="preserve">Biological control through the use of entomopathogenic agents, such as fungi and bacteria, presents an alternative to chemical insecticides. Over 750 species of entomopathogenic microorganisms have been identified (Aktar </w:t>
      </w:r>
      <w:r w:rsidRPr="001C5C0B">
        <w:rPr>
          <w:rFonts w:ascii="Arial" w:hAnsi="Arial" w:cs="Arial"/>
          <w:i/>
          <w:iCs/>
          <w:lang w:val="fr-FR"/>
        </w:rPr>
        <w:t>et al.,</w:t>
      </w:r>
      <w:r w:rsidRPr="001C5C0B">
        <w:rPr>
          <w:rFonts w:ascii="Arial" w:hAnsi="Arial" w:cs="Arial"/>
          <w:lang w:val="fr-FR"/>
        </w:rPr>
        <w:t xml:space="preserve"> 2009 ; Sandhu </w:t>
      </w:r>
      <w:r w:rsidRPr="001C5C0B">
        <w:rPr>
          <w:rFonts w:ascii="Arial" w:hAnsi="Arial" w:cs="Arial"/>
          <w:i/>
          <w:iCs/>
          <w:lang w:val="fr-FR"/>
        </w:rPr>
        <w:t>et al.,</w:t>
      </w:r>
      <w:r w:rsidRPr="001C5C0B">
        <w:rPr>
          <w:rFonts w:ascii="Arial" w:hAnsi="Arial" w:cs="Arial"/>
          <w:lang w:val="fr-FR"/>
        </w:rPr>
        <w:t xml:space="preserve"> 2012). Several studies have confirmed that the fungus </w:t>
      </w:r>
      <w:r w:rsidRPr="001C5C0B">
        <w:rPr>
          <w:rFonts w:ascii="Arial" w:hAnsi="Arial" w:cs="Arial"/>
          <w:i/>
          <w:iCs/>
          <w:lang w:val="fr-FR"/>
        </w:rPr>
        <w:t>Beauveria bassiana</w:t>
      </w:r>
      <w:r w:rsidRPr="001C5C0B">
        <w:rPr>
          <w:rFonts w:ascii="Arial" w:hAnsi="Arial" w:cs="Arial"/>
          <w:lang w:val="fr-FR"/>
        </w:rPr>
        <w:t xml:space="preserve"> is pathogenic to various insects, including weevils, the coffee stem borer beetle, the palm weevil, the cabbage white butterfly, </w:t>
      </w:r>
      <w:r w:rsidRPr="001C5C0B">
        <w:rPr>
          <w:rFonts w:ascii="Arial" w:hAnsi="Arial" w:cs="Arial"/>
          <w:i/>
          <w:iCs/>
          <w:lang w:val="fr-FR"/>
        </w:rPr>
        <w:lastRenderedPageBreak/>
        <w:t>Helicoverpa armigera</w:t>
      </w:r>
      <w:r w:rsidRPr="001C5C0B">
        <w:rPr>
          <w:rFonts w:ascii="Arial" w:hAnsi="Arial" w:cs="Arial"/>
          <w:lang w:val="fr-FR"/>
        </w:rPr>
        <w:t xml:space="preserve">, and </w:t>
      </w:r>
      <w:r w:rsidRPr="001C5C0B">
        <w:rPr>
          <w:rFonts w:ascii="Arial" w:hAnsi="Arial" w:cs="Arial"/>
          <w:i/>
          <w:iCs/>
          <w:lang w:val="fr-FR"/>
        </w:rPr>
        <w:t>Maruca vitrata</w:t>
      </w:r>
      <w:r w:rsidRPr="001C5C0B">
        <w:rPr>
          <w:rFonts w:ascii="Arial" w:hAnsi="Arial" w:cs="Arial"/>
          <w:lang w:val="fr-FR"/>
        </w:rPr>
        <w:t xml:space="preserve">, with mortality rates varying considerably, ranging from 29% to 100% (Khorrami </w:t>
      </w:r>
      <w:r w:rsidRPr="001C5C0B">
        <w:rPr>
          <w:rFonts w:ascii="Arial" w:hAnsi="Arial" w:cs="Arial"/>
          <w:i/>
          <w:iCs/>
          <w:lang w:val="fr-FR"/>
        </w:rPr>
        <w:t>et al</w:t>
      </w:r>
      <w:r w:rsidRPr="001C5C0B">
        <w:rPr>
          <w:rFonts w:ascii="Arial" w:hAnsi="Arial" w:cs="Arial"/>
          <w:lang w:val="fr-FR"/>
        </w:rPr>
        <w:t xml:space="preserve">., 2018 ; Akutse </w:t>
      </w:r>
      <w:r w:rsidRPr="001C5C0B">
        <w:rPr>
          <w:rFonts w:ascii="Arial" w:hAnsi="Arial" w:cs="Arial"/>
          <w:i/>
          <w:iCs/>
          <w:lang w:val="fr-FR"/>
        </w:rPr>
        <w:t>et al</w:t>
      </w:r>
      <w:r w:rsidRPr="001C5C0B">
        <w:rPr>
          <w:rFonts w:ascii="Arial" w:hAnsi="Arial" w:cs="Arial"/>
          <w:lang w:val="fr-FR"/>
        </w:rPr>
        <w:t xml:space="preserve">., 2019 ; Sutanto </w:t>
      </w:r>
      <w:r w:rsidRPr="001C5C0B">
        <w:rPr>
          <w:rFonts w:ascii="Arial" w:hAnsi="Arial" w:cs="Arial"/>
          <w:i/>
          <w:iCs/>
          <w:lang w:val="fr-FR"/>
        </w:rPr>
        <w:t>et al.,</w:t>
      </w:r>
      <w:r w:rsidRPr="001C5C0B">
        <w:rPr>
          <w:rFonts w:ascii="Arial" w:hAnsi="Arial" w:cs="Arial"/>
          <w:lang w:val="fr-FR"/>
        </w:rPr>
        <w:t xml:space="preserve"> 2021). For the large-scale application of this fungus, it is necessary to determine the optimal conditions for mass multiplication, with the goal of designing biopesticides to effectively control crop insect pests.</w:t>
      </w:r>
    </w:p>
    <w:p w14:paraId="0BADA4DD" w14:textId="77777777" w:rsidR="00790ADA" w:rsidRPr="00FB3A86" w:rsidRDefault="00790ADA" w:rsidP="00441B6F">
      <w:pPr>
        <w:pStyle w:val="Body"/>
        <w:spacing w:after="0"/>
        <w:rPr>
          <w:rFonts w:ascii="Arial" w:hAnsi="Arial" w:cs="Arial"/>
        </w:rPr>
      </w:pPr>
    </w:p>
    <w:p w14:paraId="1F9A5847" w14:textId="204418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F3952C9" w14:textId="3434C034" w:rsidR="00790ADA" w:rsidRDefault="00790ADA" w:rsidP="00441B6F">
      <w:pPr>
        <w:pStyle w:val="AbstHead"/>
        <w:spacing w:after="0"/>
        <w:jc w:val="both"/>
        <w:rPr>
          <w:rFonts w:ascii="Arial" w:hAnsi="Arial" w:cs="Arial"/>
        </w:rPr>
      </w:pPr>
    </w:p>
    <w:p w14:paraId="64ABB99B" w14:textId="72438D59" w:rsidR="00490616" w:rsidRDefault="00490616" w:rsidP="00490616">
      <w:pPr>
        <w:pStyle w:val="AbstHead"/>
        <w:rPr>
          <w:rFonts w:ascii="Arial" w:hAnsi="Arial" w:cs="Arial"/>
          <w:lang w:val="fr-FR"/>
        </w:rPr>
      </w:pPr>
      <w:r>
        <w:rPr>
          <w:rFonts w:ascii="Arial" w:hAnsi="Arial" w:cs="Arial"/>
          <w:lang w:val="fr-FR"/>
        </w:rPr>
        <w:t xml:space="preserve">2.1 </w:t>
      </w:r>
      <w:r>
        <w:rPr>
          <w:rFonts w:ascii="Arial" w:hAnsi="Arial" w:cs="Arial"/>
          <w:caps w:val="0"/>
          <w:lang w:val="fr-FR"/>
        </w:rPr>
        <w:t>F</w:t>
      </w:r>
      <w:r w:rsidRPr="00490616">
        <w:rPr>
          <w:rFonts w:ascii="Arial" w:hAnsi="Arial" w:cs="Arial"/>
          <w:caps w:val="0"/>
          <w:lang w:val="fr-FR"/>
        </w:rPr>
        <w:t>ungal material</w:t>
      </w:r>
    </w:p>
    <w:p w14:paraId="42534D95" w14:textId="53716BDD" w:rsid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The </w:t>
      </w:r>
      <w:r w:rsidRPr="00490616">
        <w:rPr>
          <w:rFonts w:ascii="Arial" w:hAnsi="Arial" w:cs="Arial"/>
          <w:i/>
          <w:iCs/>
          <w:kern w:val="2"/>
          <w:lang w:val="fr-FR" w:eastAsia="fr-FR"/>
          <w14:ligatures w14:val="standardContextual"/>
        </w:rPr>
        <w:t>Beauveria bassiana</w:t>
      </w:r>
      <w:r w:rsidRPr="00490616">
        <w:rPr>
          <w:rFonts w:ascii="Arial" w:hAnsi="Arial" w:cs="Arial"/>
          <w:kern w:val="2"/>
          <w:lang w:val="fr-FR" w:eastAsia="fr-FR"/>
          <w14:ligatures w14:val="standardContextual"/>
        </w:rPr>
        <w:t xml:space="preserve"> strain clone EF 46 used in this study was isolated from a dead larva of </w:t>
      </w:r>
      <w:r w:rsidRPr="00490616">
        <w:rPr>
          <w:rFonts w:ascii="Arial" w:hAnsi="Arial" w:cs="Arial"/>
          <w:i/>
          <w:iCs/>
          <w:kern w:val="2"/>
          <w:lang w:val="fr-FR" w:eastAsia="fr-FR"/>
          <w14:ligatures w14:val="standardContextual"/>
        </w:rPr>
        <w:t>Spodoptera frugiperda</w:t>
      </w:r>
      <w:r w:rsidRPr="00490616">
        <w:rPr>
          <w:rFonts w:ascii="Arial" w:hAnsi="Arial" w:cs="Arial"/>
          <w:kern w:val="2"/>
          <w:lang w:val="fr-FR" w:eastAsia="fr-FR"/>
          <w14:ligatures w14:val="standardContextual"/>
        </w:rPr>
        <w:t xml:space="preserve"> (Lepidoptera, Noctuidae). The strain appeared white with a cottony texture and slightly raised relief in early growth stages, becoming powdery after three to four weeks of culture (</w:t>
      </w:r>
      <w:r w:rsidRPr="001C5C0B">
        <w:rPr>
          <w:rFonts w:ascii="Arial" w:hAnsi="Arial" w:cs="Arial"/>
          <w:b/>
          <w:bCs/>
          <w:kern w:val="2"/>
          <w:lang w:val="fr-FR" w:eastAsia="fr-FR"/>
          <w14:ligatures w14:val="standardContextual"/>
        </w:rPr>
        <w:t>Fig. 1</w:t>
      </w:r>
      <w:r w:rsidRPr="00490616">
        <w:rPr>
          <w:rFonts w:ascii="Arial" w:hAnsi="Arial" w:cs="Arial"/>
          <w:kern w:val="2"/>
          <w:lang w:val="fr-FR" w:eastAsia="fr-FR"/>
          <w14:ligatures w14:val="standardContextual"/>
        </w:rPr>
        <w:t>). The reverse side of the plate was yellowish. Its growth was slow on standard Potato Dextrose Agar (PDA) medium, reaching an average diameter of 6 cm after 21 days.</w:t>
      </w:r>
    </w:p>
    <w:p w14:paraId="5F60F678" w14:textId="77777777" w:rsidR="00490616" w:rsidRPr="00490616" w:rsidRDefault="00490616" w:rsidP="00E67B6A">
      <w:pPr>
        <w:spacing w:line="360" w:lineRule="auto"/>
        <w:jc w:val="center"/>
        <w:rPr>
          <w:rFonts w:ascii="Arial" w:eastAsia="Calibri" w:hAnsi="Arial" w:cs="Arial"/>
          <w:lang w:val="fr-CI"/>
        </w:rPr>
      </w:pPr>
      <w:r w:rsidRPr="00490616">
        <w:rPr>
          <w:rFonts w:ascii="Arial" w:eastAsia="Calibri" w:hAnsi="Arial" w:cs="Arial"/>
          <w:noProof/>
        </w:rPr>
        <w:drawing>
          <wp:inline distT="0" distB="0" distL="0" distR="0" wp14:anchorId="0F3A5222" wp14:editId="4B6D977A">
            <wp:extent cx="1993900" cy="1993900"/>
            <wp:effectExtent l="0" t="0" r="6350" b="6350"/>
            <wp:docPr id="1216800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25DC4B1D" w14:textId="317894DA" w:rsidR="00490616" w:rsidRPr="00490616" w:rsidRDefault="00490616" w:rsidP="00E67B6A">
      <w:pPr>
        <w:spacing w:after="160" w:line="360" w:lineRule="auto"/>
        <w:ind w:left="2552" w:right="2538"/>
        <w:jc w:val="center"/>
        <w:rPr>
          <w:rFonts w:ascii="Arial" w:eastAsia="Calibri" w:hAnsi="Arial" w:cs="Arial"/>
          <w:sz w:val="16"/>
          <w:szCs w:val="16"/>
          <w:lang w:val="fr-FR"/>
        </w:rPr>
      </w:pPr>
      <w:r w:rsidRPr="00490616">
        <w:rPr>
          <w:rFonts w:ascii="Arial" w:eastAsia="Calibri" w:hAnsi="Arial" w:cs="Arial"/>
          <w:b/>
          <w:iCs/>
          <w:sz w:val="16"/>
          <w:szCs w:val="16"/>
          <w:lang w:val="fr-CI"/>
        </w:rPr>
        <w:t xml:space="preserve">Fig. 1 </w:t>
      </w:r>
      <w:r w:rsidR="00E67B6A" w:rsidRPr="00E67B6A">
        <w:rPr>
          <w:rFonts w:ascii="Arial" w:eastAsia="Calibri" w:hAnsi="Arial" w:cs="Arial"/>
          <w:iCs/>
          <w:sz w:val="16"/>
          <w:szCs w:val="16"/>
          <w:lang w:val="fr-CI"/>
        </w:rPr>
        <w:t xml:space="preserve">Macroscopic aspect of the strain </w:t>
      </w:r>
      <w:r w:rsidR="00E67B6A" w:rsidRPr="00E67B6A">
        <w:rPr>
          <w:rFonts w:ascii="Arial" w:eastAsia="Calibri" w:hAnsi="Arial" w:cs="Arial"/>
          <w:i/>
          <w:sz w:val="16"/>
          <w:szCs w:val="16"/>
          <w:lang w:val="fr-CI"/>
        </w:rPr>
        <w:t>Beauveria bassiana</w:t>
      </w:r>
      <w:r w:rsidR="00E67B6A" w:rsidRPr="00E67B6A">
        <w:rPr>
          <w:rFonts w:ascii="Arial" w:eastAsia="Calibri" w:hAnsi="Arial" w:cs="Arial"/>
          <w:iCs/>
          <w:sz w:val="16"/>
          <w:szCs w:val="16"/>
          <w:lang w:val="fr-CI"/>
        </w:rPr>
        <w:t xml:space="preserve"> clone EF 46</w:t>
      </w:r>
    </w:p>
    <w:p w14:paraId="4143F279"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p>
    <w:p w14:paraId="10D43116" w14:textId="797DD508" w:rsidR="00490616" w:rsidRPr="00490616" w:rsidRDefault="00490616" w:rsidP="00490616">
      <w:pPr>
        <w:pStyle w:val="AbstHead"/>
        <w:rPr>
          <w:rFonts w:ascii="Arial" w:hAnsi="Arial" w:cs="Arial"/>
          <w:lang w:val="fr-FR"/>
        </w:rPr>
      </w:pPr>
      <w:r w:rsidRPr="00490616">
        <w:rPr>
          <w:rFonts w:ascii="Arial" w:hAnsi="Arial" w:cs="Arial"/>
          <w:lang w:val="fr-FR"/>
        </w:rPr>
        <w:t xml:space="preserve">2.2 </w:t>
      </w:r>
      <w:r>
        <w:rPr>
          <w:rFonts w:ascii="Arial" w:hAnsi="Arial" w:cs="Arial"/>
          <w:caps w:val="0"/>
          <w:lang w:val="fr-FR"/>
        </w:rPr>
        <w:t>S</w:t>
      </w:r>
      <w:r w:rsidRPr="00490616">
        <w:rPr>
          <w:rFonts w:ascii="Arial" w:hAnsi="Arial" w:cs="Arial"/>
          <w:caps w:val="0"/>
          <w:lang w:val="fr-FR"/>
        </w:rPr>
        <w:t>ynthetic and solid-state fermentation culture media</w:t>
      </w:r>
    </w:p>
    <w:p w14:paraId="376BD84F"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For experiments investigating the influence of pH, photoperiod, temperature, and carbon and nitrogen sources, Potato Dextrose Agar (PDA) medium was used. This medium consists of 20 g of potato flakes, 20 g of glucose, and 16 g of agar dissolved in 1000 mL of distilled water. The pH was adjusted according to the specific requirements of the different tests performed. For the selection of the best supplement to the rice husk-based culture substrate, flours from certain cereals or tubers were used, namely wheat, corn, sorghum, millet, cassava, and rice flour.</w:t>
      </w:r>
    </w:p>
    <w:p w14:paraId="3F5614D5" w14:textId="45A7A517"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2.3 Fungal Strain Preparation</w:t>
      </w:r>
    </w:p>
    <w:p w14:paraId="646A09D1" w14:textId="12D27EB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 volume of 500 µL of a conidial suspension (</w:t>
      </w:r>
      <w:r w:rsidR="00B41AB5">
        <w:rPr>
          <w:rFonts w:ascii="Arial" w:hAnsi="Arial" w:cs="Arial"/>
          <w:kern w:val="2"/>
          <w:lang w:val="fr-FR" w:eastAsia="fr-FR"/>
          <w14:ligatures w14:val="standardContextual"/>
        </w:rPr>
        <w:t xml:space="preserve">1 x </w:t>
      </w:r>
      <w:r w:rsidRPr="00490616">
        <w:rPr>
          <w:rFonts w:ascii="Arial" w:hAnsi="Arial" w:cs="Arial"/>
          <w:kern w:val="2"/>
          <w:lang w:val="fr-FR" w:eastAsia="fr-FR"/>
          <w14:ligatures w14:val="standardContextual"/>
        </w:rPr>
        <w:t>10</w:t>
      </w:r>
      <w:r w:rsidRPr="00490616">
        <w:rPr>
          <w:rFonts w:ascii="Arial" w:hAnsi="Arial" w:cs="Arial"/>
          <w:kern w:val="2"/>
          <w:vertAlign w:val="superscript"/>
          <w:lang w:val="fr-FR" w:eastAsia="fr-FR"/>
          <w14:ligatures w14:val="standardContextual"/>
        </w:rPr>
        <w:t>7</w:t>
      </w:r>
      <w:r w:rsidRPr="00490616">
        <w:rPr>
          <w:rFonts w:ascii="Arial" w:hAnsi="Arial" w:cs="Arial"/>
          <w:kern w:val="2"/>
          <w:lang w:val="fr-FR" w:eastAsia="fr-FR"/>
          <w14:ligatures w14:val="standardContextual"/>
        </w:rPr>
        <w:t xml:space="preserve"> spores/mL) was spread onto PDA medium in 8 cm diameter plastic Petri dishes. The Petri dishes were then incubated at 25 °C </w:t>
      </w:r>
      <w:r w:rsidRPr="00490616">
        <w:rPr>
          <w:rFonts w:ascii="Arial" w:hAnsi="Arial" w:cs="Arial"/>
          <w:kern w:val="2"/>
          <w:lang w:val="fr-FR" w:eastAsia="fr-FR"/>
          <w14:ligatures w14:val="standardContextual"/>
        </w:rPr>
        <w:lastRenderedPageBreak/>
        <w:t>for 10 days to obtain mycelial mats. These mats were subsequently cut into round agar plugs using a 5 mm diameter cork borer.</w:t>
      </w:r>
    </w:p>
    <w:p w14:paraId="530779FB" w14:textId="276C883B"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2.4 Influence of pH on Sporulation</w:t>
      </w:r>
    </w:p>
    <w:p w14:paraId="60DF70F7" w14:textId="5C90DB61"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 xml:space="preserve">To evaluate the effect of pH, PDA culture media were prepared and their pH adjusted to five distinct levels: 5, 6, 7, 8, and 9. Adjustment was performed by controlled addition of hydrochloric acid (HCl) or sodium hydroxide (NaOH). After pH adjustment, the media were sterilized by autoclaving at 121 °C and 1 bar for 15 min. Once sterilization was complete, the media were poured into sterile 8 cm diameter Petri dishes. After solidification, a mycelial disc of </w:t>
      </w:r>
      <w:r w:rsidRPr="00490616">
        <w:rPr>
          <w:rFonts w:ascii="Arial" w:hAnsi="Arial" w:cs="Arial"/>
          <w:i/>
          <w:iCs/>
          <w:kern w:val="2"/>
          <w:lang w:val="fr-FR" w:eastAsia="fr-FR"/>
          <w14:ligatures w14:val="standardContextual"/>
        </w:rPr>
        <w:t>B. bassiana</w:t>
      </w:r>
      <w:r w:rsidRPr="00490616">
        <w:rPr>
          <w:rFonts w:ascii="Arial" w:hAnsi="Arial" w:cs="Arial"/>
          <w:kern w:val="2"/>
          <w:lang w:val="fr-FR" w:eastAsia="fr-FR"/>
          <w14:ligatures w14:val="standardContextual"/>
        </w:rPr>
        <w:t xml:space="preserve"> (5 mm diameter), obtained from a pure culture, was placed centrally on each plate. The cultures were then incubated at a constant temperature of 25 °C for 21 days. Three replicates were performed for each tested pH level.</w:t>
      </w:r>
    </w:p>
    <w:p w14:paraId="76FDAB50" w14:textId="6D09E1D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2.5 Influence of Photoperiod on Sporulation</w:t>
      </w:r>
    </w:p>
    <w:p w14:paraId="7CA2185D" w14:textId="094E51F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The study of photoperiod influence on sporulation was conducted under three distinct light regimes: continuous light exposure (24 /0 h), alternating periods of light and darkness (12/12 h), and total darkness (0/24 h). PDA medium was prepared, sterilized, and poured into Petri dishes following the standard protocol described previously. After solidification, each plate was centrally inoculated with a 5 mm mycelial disc of B. bassiana. Incubation took place at 25 °C for 21 days under the respective photoperiodic conditions defined for each treatment. Three independent replicates were conducted for each light regime.</w:t>
      </w:r>
    </w:p>
    <w:p w14:paraId="718DB52C" w14:textId="4FBB9714" w:rsidR="00490616" w:rsidRPr="00490616" w:rsidRDefault="00490616" w:rsidP="00490616">
      <w:pPr>
        <w:spacing w:after="160" w:line="278" w:lineRule="auto"/>
        <w:jc w:val="both"/>
        <w:rPr>
          <w:rFonts w:ascii="Arial" w:hAnsi="Arial" w:cs="Arial"/>
          <w:b/>
          <w:bCs/>
          <w:kern w:val="2"/>
          <w:sz w:val="22"/>
          <w:szCs w:val="22"/>
          <w:lang w:val="fr-FR" w:eastAsia="fr-FR"/>
          <w14:ligatures w14:val="standardContextual"/>
        </w:rPr>
      </w:pPr>
      <w:r w:rsidRPr="00490616">
        <w:rPr>
          <w:rFonts w:ascii="Arial" w:hAnsi="Arial" w:cs="Arial"/>
          <w:b/>
          <w:bCs/>
          <w:kern w:val="2"/>
          <w:sz w:val="22"/>
          <w:szCs w:val="22"/>
          <w:lang w:val="fr-FR" w:eastAsia="fr-FR"/>
          <w14:ligatures w14:val="standardContextual"/>
        </w:rPr>
        <w:t>2.6 Influence of Temperature</w:t>
      </w:r>
    </w:p>
    <w:p w14:paraId="646C4FE5"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The study of the temperature effect involved four thermal levels: 20 °C, 25 °C, 30 °C, and 35 °C. PDA culture medium was prepared, sterilized, and distributed into Petri dishes according to the standard methodology. Inoculation was performed as described for the previous experiments, using a 5 mm mycelial disc. The inoculated Petri dishes were then placed in incubation for 21 days at the specific temperatures under investigation. Three replicates were also performed for each thermal level.</w:t>
      </w:r>
    </w:p>
    <w:p w14:paraId="2A41E839" w14:textId="4515C077"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2.7 </w:t>
      </w:r>
      <w:r w:rsidR="00490616" w:rsidRPr="00490616">
        <w:rPr>
          <w:rFonts w:ascii="Arial" w:hAnsi="Arial" w:cs="Arial"/>
          <w:b/>
          <w:bCs/>
          <w:kern w:val="2"/>
          <w:sz w:val="22"/>
          <w:szCs w:val="22"/>
          <w:lang w:val="fr-FR" w:eastAsia="fr-FR"/>
          <w14:ligatures w14:val="standardContextual"/>
        </w:rPr>
        <w:t>Influence of Carbon Source</w:t>
      </w:r>
    </w:p>
    <w:p w14:paraId="3D7698FE" w14:textId="7777777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Five (5) carbon sources were tested: glucose, sucrose, humic extract, fulvic acid, and humic acid. In this test, potato served as the sole nitrogen source. Thus, each culture medium consisted of 20 g or 20 mL of a single carbon source, 20 g of potato flakes, 20 g of agar, and 1000 mL of distilled water. The pH level was adjusted using an electric pH meter before sterilization by autoclaving at 121 °C. The sterilized media were distributed into 8 cm diameter Petri dishes. After solidification, a 5 mm disc of Beauveria bassiana culture was placed in the center of each plate and incubated for twenty (20) days at 25 °C.</w:t>
      </w:r>
    </w:p>
    <w:p w14:paraId="09D80A4A" w14:textId="52AE9CD1"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2.8 </w:t>
      </w:r>
      <w:r w:rsidR="00490616" w:rsidRPr="00490616">
        <w:rPr>
          <w:rFonts w:ascii="Arial" w:hAnsi="Arial" w:cs="Arial"/>
          <w:b/>
          <w:bCs/>
          <w:kern w:val="2"/>
          <w:sz w:val="22"/>
          <w:szCs w:val="22"/>
          <w:lang w:val="fr-FR" w:eastAsia="fr-FR"/>
          <w14:ligatures w14:val="standardContextual"/>
        </w:rPr>
        <w:t>Influence of Nitrogen Source</w:t>
      </w:r>
    </w:p>
    <w:p w14:paraId="400F6D55" w14:textId="6F31EF40"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To select the best nitrogen source promoting good growth and sporulation, four (4) nitrogen sources were tested: housefly larvae meal (MD), peptone, yeast extract (</w:t>
      </w:r>
      <w:r w:rsidR="005F2533" w:rsidRPr="00490616">
        <w:rPr>
          <w:rFonts w:ascii="Arial" w:hAnsi="Arial" w:cs="Arial"/>
          <w:kern w:val="2"/>
          <w:lang w:val="fr-FR" w:eastAsia="fr-FR"/>
          <w14:ligatures w14:val="standardContextual"/>
        </w:rPr>
        <w:t>EXT_LEV</w:t>
      </w:r>
      <w:r w:rsidRPr="00490616">
        <w:rPr>
          <w:rFonts w:ascii="Arial" w:hAnsi="Arial" w:cs="Arial"/>
          <w:kern w:val="2"/>
          <w:lang w:val="fr-FR" w:eastAsia="fr-FR"/>
          <w14:ligatures w14:val="standardContextual"/>
        </w:rPr>
        <w:t>), and baker's yeast (</w:t>
      </w:r>
      <w:r w:rsidR="005F2533">
        <w:rPr>
          <w:rFonts w:ascii="Arial" w:hAnsi="Arial" w:cs="Arial"/>
          <w:kern w:val="2"/>
          <w:lang w:val="fr-FR" w:eastAsia="fr-FR"/>
          <w14:ligatures w14:val="standardContextual"/>
        </w:rPr>
        <w:t>LEVURE</w:t>
      </w:r>
      <w:r w:rsidRPr="00490616">
        <w:rPr>
          <w:rFonts w:ascii="Arial" w:hAnsi="Arial" w:cs="Arial"/>
          <w:kern w:val="2"/>
          <w:lang w:val="fr-FR" w:eastAsia="fr-FR"/>
          <w14:ligatures w14:val="standardContextual"/>
        </w:rPr>
        <w:t xml:space="preserve">). Glucose was used as the carbon source. Thus, each culture medium consisted of 20 g of a single nitrogen source, 20 g of glucose, 20 g of agar, and 1000 mL of distilled water. The pH level was adjusted using an electric pH meter before </w:t>
      </w:r>
      <w:r w:rsidRPr="00490616">
        <w:rPr>
          <w:rFonts w:ascii="Arial" w:hAnsi="Arial" w:cs="Arial"/>
          <w:kern w:val="2"/>
          <w:lang w:val="fr-FR" w:eastAsia="fr-FR"/>
          <w14:ligatures w14:val="standardContextual"/>
        </w:rPr>
        <w:lastRenderedPageBreak/>
        <w:t>sterilization by autoclaving at 121 °C. The media were sterilized and then distributed into 8 cm diameter Petri dishes.</w:t>
      </w:r>
    </w:p>
    <w:p w14:paraId="2AE2356A" w14:textId="4547A7CF"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2.9 </w:t>
      </w:r>
      <w:r w:rsidR="00490616" w:rsidRPr="00490616">
        <w:rPr>
          <w:rFonts w:ascii="Arial" w:hAnsi="Arial" w:cs="Arial"/>
          <w:b/>
          <w:bCs/>
          <w:kern w:val="2"/>
          <w:sz w:val="22"/>
          <w:szCs w:val="22"/>
          <w:lang w:val="fr-FR" w:eastAsia="fr-FR"/>
          <w14:ligatures w14:val="standardContextual"/>
        </w:rPr>
        <w:t>Influence of Solid-State Fermentation Substrate Composition on Sporulation</w:t>
      </w:r>
    </w:p>
    <w:p w14:paraId="4327EDB0" w14:textId="4F4DDE01" w:rsidR="00490616" w:rsidRPr="00490616" w:rsidRDefault="00490616" w:rsidP="00490616">
      <w:pPr>
        <w:spacing w:after="160"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To reduce the production cost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rice husk was used as an alternative substrate to polished rice grains. However, since the growth and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are very low, or even absent, on rice husk alone (Heviefo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2019), starch flour was added to the culture substrate to address this issue (Mishra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2016). Six (06) flours were tested to select the best </w:t>
      </w:r>
      <w:r w:rsidR="00B41AB5" w:rsidRPr="001C5C0B">
        <w:rPr>
          <w:rFonts w:ascii="Arial" w:hAnsi="Arial" w:cs="Arial"/>
          <w:kern w:val="2"/>
          <w:lang w:val="fr-FR" w:eastAsia="fr-FR"/>
          <w14:ligatures w14:val="standardContextual"/>
        </w:rPr>
        <w:t>one :</w:t>
      </w:r>
      <w:r w:rsidRPr="001C5C0B">
        <w:rPr>
          <w:rFonts w:ascii="Arial" w:hAnsi="Arial" w:cs="Arial"/>
          <w:kern w:val="2"/>
          <w:lang w:val="fr-FR" w:eastAsia="fr-FR"/>
          <w14:ligatures w14:val="standardContextual"/>
        </w:rPr>
        <w:t xml:space="preserve"> wheat, corn, cassava, rice, millet, and sorghum flour. For each type of flour, a 20% flour slurry was prepared, and a 25 mL volume was transferred into a 250 mL Erlenmeyer flask. Subsequently, 50 g of rice husk was added to the Erlenmeyer flasks containing the slurry. The mixture was combined using a spatula and then plugged with cotton and aluminum foil. The constituted substrates were then autoclaved at 121 °C under 1 bar pressure for 20 minutes. After cooling, the flasks were inoculated with 2.5 mL of a spore suspension containing </w:t>
      </w:r>
      <w:r w:rsidR="00B41AB5" w:rsidRPr="001C5C0B">
        <w:rPr>
          <w:rFonts w:ascii="Arial" w:hAnsi="Arial" w:cs="Arial"/>
          <w:kern w:val="2"/>
          <w:lang w:val="fr-FR" w:eastAsia="fr-FR"/>
          <w14:ligatures w14:val="standardContextual"/>
        </w:rPr>
        <w:t xml:space="preserve">1 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The flasks were manually homogenized and then incubated at 25 °C for 21 days. Each treatment was performed in triplicate</w:t>
      </w:r>
      <w:r w:rsidRPr="00490616">
        <w:rPr>
          <w:rFonts w:ascii="Arial" w:hAnsi="Arial" w:cs="Arial"/>
          <w:kern w:val="2"/>
          <w:lang w:val="fr-FR" w:eastAsia="fr-FR"/>
          <w14:ligatures w14:val="standardContextual"/>
        </w:rPr>
        <w:t>.</w:t>
      </w:r>
    </w:p>
    <w:p w14:paraId="6DD64C08" w14:textId="2A539A60"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2.10 </w:t>
      </w:r>
      <w:r w:rsidR="00490616" w:rsidRPr="00490616">
        <w:rPr>
          <w:rFonts w:ascii="Arial" w:hAnsi="Arial" w:cs="Arial"/>
          <w:b/>
          <w:bCs/>
          <w:kern w:val="2"/>
          <w:sz w:val="22"/>
          <w:szCs w:val="22"/>
          <w:lang w:val="fr-FR" w:eastAsia="fr-FR"/>
          <w14:ligatures w14:val="standardContextual"/>
        </w:rPr>
        <w:t>Data Collection</w:t>
      </w:r>
    </w:p>
    <w:p w14:paraId="512FB99A" w14:textId="08824EE7"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After the incubation period for the Petri dishes, 15 mL of distilled water containing 0.02% Tween 80 was poured into each dish. The surface of each plate was then scraped with a spatula, and the resulting suspension was filtered through three layers of sieve material to retain debris. For the solid-state fermentation, a volume of 100 mL of sterile distilled water was added to the substrates to facilitate conidia detachment. The resulting filtrates were manually swirled and then filtered through three layers of N</w:t>
      </w:r>
      <w:r w:rsidRPr="00490616">
        <w:rPr>
          <w:rFonts w:ascii="Arial" w:hAnsi="Arial" w:cs="Arial"/>
          <w:kern w:val="2"/>
          <w:vertAlign w:val="superscript"/>
          <w:lang w:val="fr-FR" w:eastAsia="fr-FR"/>
          <w14:ligatures w14:val="standardContextual"/>
        </w:rPr>
        <w:t>o</w:t>
      </w:r>
      <w:r w:rsidR="00B41AB5">
        <w:rPr>
          <w:rFonts w:ascii="Arial" w:hAnsi="Arial" w:cs="Arial"/>
          <w:kern w:val="2"/>
          <w:lang w:val="fr-FR" w:eastAsia="fr-FR"/>
          <w14:ligatures w14:val="standardContextual"/>
        </w:rPr>
        <w:t xml:space="preserve"> </w:t>
      </w:r>
      <w:r w:rsidRPr="00490616">
        <w:rPr>
          <w:rFonts w:ascii="Arial" w:hAnsi="Arial" w:cs="Arial"/>
          <w:kern w:val="2"/>
          <w:lang w:val="fr-FR" w:eastAsia="fr-FR"/>
          <w14:ligatures w14:val="standardContextual"/>
        </w:rPr>
        <w:t>8 coffee filter paper to retain debris. Using a Malassez hemocytometer and a light microscope, spores were counted, and the spore concentration was calculated according to the formula by</w:t>
      </w:r>
      <w:r w:rsidRPr="00490616">
        <w:rPr>
          <w:rFonts w:ascii="Arial" w:hAnsi="Arial" w:cs="Arial"/>
          <w:b/>
          <w:bCs/>
          <w:kern w:val="2"/>
          <w:lang w:val="fr-FR" w:eastAsia="fr-FR"/>
          <w14:ligatures w14:val="standardContextual"/>
        </w:rPr>
        <w:t xml:space="preserve"> Heviefo </w:t>
      </w:r>
      <w:r w:rsidRPr="00490616">
        <w:rPr>
          <w:rFonts w:ascii="Arial" w:hAnsi="Arial" w:cs="Arial"/>
          <w:b/>
          <w:bCs/>
          <w:i/>
          <w:iCs/>
          <w:kern w:val="2"/>
          <w:lang w:val="fr-FR" w:eastAsia="fr-FR"/>
          <w14:ligatures w14:val="standardContextual"/>
        </w:rPr>
        <w:t>et al.</w:t>
      </w:r>
      <w:r w:rsidRPr="00490616">
        <w:rPr>
          <w:rFonts w:ascii="Arial" w:hAnsi="Arial" w:cs="Arial"/>
          <w:b/>
          <w:bCs/>
          <w:kern w:val="2"/>
          <w:lang w:val="fr-FR" w:eastAsia="fr-FR"/>
          <w14:ligatures w14:val="standardContextual"/>
        </w:rPr>
        <w:t xml:space="preserve"> (2019</w:t>
      </w:r>
      <w:r w:rsidR="00B41AB5" w:rsidRPr="00490616">
        <w:rPr>
          <w:rFonts w:ascii="Arial" w:hAnsi="Arial" w:cs="Arial"/>
          <w:b/>
          <w:bCs/>
          <w:kern w:val="2"/>
          <w:lang w:val="fr-FR" w:eastAsia="fr-FR"/>
          <w14:ligatures w14:val="standardContextual"/>
        </w:rPr>
        <w:t>)</w:t>
      </w:r>
      <w:r w:rsidR="00B41AB5" w:rsidRPr="00490616">
        <w:rPr>
          <w:rFonts w:ascii="Arial" w:hAnsi="Arial" w:cs="Arial"/>
          <w:kern w:val="2"/>
          <w:lang w:val="fr-FR" w:eastAsia="fr-FR"/>
          <w14:ligatures w14:val="standardContextual"/>
        </w:rPr>
        <w:t xml:space="preserve"> :</w:t>
      </w:r>
    </w:p>
    <w:p w14:paraId="2EF03BF6" w14:textId="6FA5A6B4" w:rsidR="00490616" w:rsidRPr="00490616" w:rsidRDefault="00E67B6A" w:rsidP="00490616">
      <w:pPr>
        <w:spacing w:after="160" w:line="278" w:lineRule="auto"/>
        <w:jc w:val="both"/>
        <w:rPr>
          <w:rFonts w:ascii="Arial" w:hAnsi="Arial" w:cs="Arial"/>
          <w:i/>
          <w:iCs/>
          <w:kern w:val="2"/>
          <w:lang w:val="fr-FR" w:eastAsia="fr-FR"/>
          <w14:ligatures w14:val="standardContextual"/>
        </w:rPr>
      </w:pPr>
      <m:oMathPara>
        <m:oMath>
          <m:r>
            <w:rPr>
              <w:rFonts w:ascii="Cambria Math" w:hAnsi="Cambria Math" w:cs="Arial"/>
              <w:kern w:val="2"/>
              <w:lang w:val="fr-FR" w:eastAsia="fr-FR"/>
              <w14:ligatures w14:val="standardContextual"/>
            </w:rPr>
            <m:t>C=Mean (X1 +X2)×</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4</m:t>
              </m:r>
            </m:sup>
          </m:sSup>
          <m:r>
            <w:rPr>
              <w:rFonts w:ascii="Cambria Math" w:hAnsi="Cambria Math" w:cs="Arial"/>
              <w:kern w:val="2"/>
              <w:lang w:val="fr-FR" w:eastAsia="fr-FR"/>
              <w14:ligatures w14:val="standardContextual"/>
            </w:rPr>
            <m:t>×</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d</m:t>
              </m:r>
            </m:sup>
          </m:sSup>
        </m:oMath>
      </m:oMathPara>
    </w:p>
    <w:p w14:paraId="51391F3D" w14:textId="0268754C" w:rsidR="00490616" w:rsidRPr="00490616" w:rsidRDefault="00490616" w:rsidP="00490616">
      <w:pPr>
        <w:spacing w:after="160" w:line="278" w:lineRule="auto"/>
        <w:jc w:val="both"/>
        <w:rPr>
          <w:rFonts w:ascii="Arial" w:hAnsi="Arial" w:cs="Arial"/>
          <w:kern w:val="2"/>
          <w:lang w:val="fr-FR" w:eastAsia="fr-FR"/>
          <w14:ligatures w14:val="standardContextual"/>
        </w:rPr>
      </w:pPr>
      <w:r w:rsidRPr="00490616">
        <w:rPr>
          <w:rFonts w:ascii="Arial" w:hAnsi="Arial" w:cs="Arial"/>
          <w:kern w:val="2"/>
          <w:lang w:val="fr-FR" w:eastAsia="fr-FR"/>
          <w14:ligatures w14:val="standardContextual"/>
        </w:rPr>
        <w:t>Where X1 = sum of spores (conidia) counted in the five squares of the first side, X2 = sum of spores on the second side; C = final concentration of the solution (number of spores per mL of the solution); Mean = average count of the two sides over 5 squares; 10</w:t>
      </w:r>
      <w:r w:rsidRPr="00490616">
        <w:rPr>
          <w:rFonts w:ascii="Arial" w:hAnsi="Arial" w:cs="Arial"/>
          <w:kern w:val="2"/>
          <w:vertAlign w:val="superscript"/>
          <w:lang w:val="fr-FR" w:eastAsia="fr-FR"/>
          <w14:ligatures w14:val="standardContextual"/>
        </w:rPr>
        <w:t>4</w:t>
      </w:r>
      <w:r w:rsidRPr="00490616">
        <w:rPr>
          <w:rFonts w:ascii="Arial" w:hAnsi="Arial" w:cs="Arial"/>
          <w:kern w:val="2"/>
          <w:lang w:val="fr-FR" w:eastAsia="fr-FR"/>
          <w14:ligatures w14:val="standardContextual"/>
        </w:rPr>
        <w:t xml:space="preserve"> = extrapolation factor, and d = dilution factor (number of times the solution was diluted).</w:t>
      </w:r>
    </w:p>
    <w:p w14:paraId="17703CF5" w14:textId="2E31CFE8" w:rsidR="00490616" w:rsidRPr="00490616" w:rsidRDefault="00B41AB5" w:rsidP="00490616">
      <w:pPr>
        <w:spacing w:after="160" w:line="278" w:lineRule="auto"/>
        <w:jc w:val="both"/>
        <w:rPr>
          <w:rFonts w:ascii="Arial" w:hAnsi="Arial" w:cs="Arial"/>
          <w:b/>
          <w:bCs/>
          <w:kern w:val="2"/>
          <w:sz w:val="22"/>
          <w:szCs w:val="22"/>
          <w:lang w:val="fr-FR" w:eastAsia="fr-FR"/>
          <w14:ligatures w14:val="standardContextual"/>
        </w:rPr>
      </w:pPr>
      <w:r w:rsidRPr="00B41AB5">
        <w:rPr>
          <w:rFonts w:ascii="Arial" w:hAnsi="Arial" w:cs="Arial"/>
          <w:b/>
          <w:bCs/>
          <w:kern w:val="2"/>
          <w:sz w:val="22"/>
          <w:szCs w:val="22"/>
          <w:lang w:val="fr-FR" w:eastAsia="fr-FR"/>
          <w14:ligatures w14:val="standardContextual"/>
        </w:rPr>
        <w:t xml:space="preserve">2.11 </w:t>
      </w:r>
      <w:r w:rsidR="00490616" w:rsidRPr="00490616">
        <w:rPr>
          <w:rFonts w:ascii="Arial" w:hAnsi="Arial" w:cs="Arial"/>
          <w:b/>
          <w:bCs/>
          <w:kern w:val="2"/>
          <w:sz w:val="22"/>
          <w:szCs w:val="22"/>
          <w:lang w:val="fr-FR" w:eastAsia="fr-FR"/>
          <w14:ligatures w14:val="standardContextual"/>
        </w:rPr>
        <w:t>Statistical Analysis</w:t>
      </w:r>
    </w:p>
    <w:p w14:paraId="38D47167" w14:textId="6F20ABA1" w:rsidR="00490616" w:rsidRPr="00490616" w:rsidRDefault="00490616" w:rsidP="00B41AB5">
      <w:pPr>
        <w:pStyle w:val="AbstHead"/>
        <w:spacing w:after="0"/>
        <w:jc w:val="both"/>
        <w:rPr>
          <w:rFonts w:ascii="Arial" w:hAnsi="Arial" w:cs="Arial"/>
          <w:lang w:val="fr-FR"/>
        </w:rPr>
      </w:pPr>
      <w:r w:rsidRPr="00490616">
        <w:rPr>
          <w:rFonts w:ascii="Arial" w:hAnsi="Arial" w:cs="Arial"/>
          <w:b w:val="0"/>
          <w:caps w:val="0"/>
          <w:kern w:val="2"/>
          <w:sz w:val="20"/>
          <w:lang w:val="fr-FR" w:eastAsia="fr-FR"/>
          <w14:ligatures w14:val="standardContextual"/>
        </w:rPr>
        <w:t>Analysis of variance (ANOVA) was performed to better interpret the results, along with various statistical tests. Statistical analyses were conducted using Xlstat software, version 2019. Data were expressed as means with standard deviations. Normality and homoscedasticity (homogeneity of variances) of the experimental data were verified using the Shapiro-Wilk test. After confirming normality and homoscedasticity, a one-way analysis of variance (ANOVA) was performed at the 5% significance level (</w:t>
      </w:r>
      <w:r w:rsidR="00E67B6A">
        <w:rPr>
          <w:rFonts w:ascii="Arial" w:hAnsi="Arial" w:cs="Arial"/>
          <w:b w:val="0"/>
          <w:caps w:val="0"/>
          <w:kern w:val="2"/>
          <w:sz w:val="20"/>
          <w:lang w:val="fr-FR" w:eastAsia="fr-FR"/>
          <w14:ligatures w14:val="standardContextual"/>
        </w:rPr>
        <w:t>α</w:t>
      </w:r>
      <w:r w:rsidRPr="00490616">
        <w:rPr>
          <w:rFonts w:ascii="Arial" w:hAnsi="Arial" w:cs="Arial"/>
          <w:b w:val="0"/>
          <w:caps w:val="0"/>
          <w:kern w:val="2"/>
          <w:sz w:val="20"/>
          <w:lang w:val="fr-FR" w:eastAsia="fr-FR"/>
          <w14:ligatures w14:val="standardContextual"/>
        </w:rPr>
        <w:t>= 0.05). In case of significant differences, Tukey's HSD post-hoc test was conducted to separate treatment means into homogeneous groups.</w:t>
      </w:r>
    </w:p>
    <w:p w14:paraId="08DDDA60" w14:textId="77777777" w:rsidR="00790ADA" w:rsidRPr="00FB3A86" w:rsidRDefault="00790ADA" w:rsidP="00441B6F">
      <w:pPr>
        <w:pStyle w:val="Body"/>
        <w:spacing w:after="0"/>
        <w:rPr>
          <w:rFonts w:ascii="Arial" w:hAnsi="Arial" w:cs="Arial"/>
        </w:rPr>
      </w:pPr>
    </w:p>
    <w:p w14:paraId="607CA92D" w14:textId="7F54F500" w:rsidR="00790ADA" w:rsidRPr="00FB3A86" w:rsidRDefault="00000F8F" w:rsidP="00B41AB5">
      <w:pPr>
        <w:pStyle w:val="Head1"/>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and </w:t>
      </w:r>
      <w:bookmarkStart w:id="1" w:name="_Hlk195778994"/>
      <w:r>
        <w:rPr>
          <w:rFonts w:ascii="Arial" w:hAnsi="Arial" w:cs="Arial"/>
        </w:rPr>
        <w:t>discussion</w:t>
      </w:r>
      <w:bookmarkEnd w:id="1"/>
    </w:p>
    <w:p w14:paraId="7BC3D471" w14:textId="361C6F19" w:rsidR="00790ADA" w:rsidRPr="00592AE4" w:rsidRDefault="00592AE4" w:rsidP="00592AE4">
      <w:pPr>
        <w:rPr>
          <w:rFonts w:ascii="Arial" w:hAnsi="Arial" w:cs="Arial"/>
          <w:b/>
          <w:bCs/>
          <w:sz w:val="22"/>
          <w:szCs w:val="22"/>
        </w:rPr>
      </w:pPr>
      <w:r w:rsidRPr="00592AE4">
        <w:rPr>
          <w:rFonts w:ascii="Arial" w:hAnsi="Arial" w:cs="Arial"/>
          <w:b/>
          <w:bCs/>
          <w:sz w:val="22"/>
          <w:szCs w:val="22"/>
        </w:rPr>
        <w:t>3.1 Results</w:t>
      </w:r>
    </w:p>
    <w:p w14:paraId="3881FBFF" w14:textId="414A61B4" w:rsidR="00592AE4" w:rsidRDefault="00592AE4" w:rsidP="00441B6F">
      <w:pPr>
        <w:pStyle w:val="Body"/>
        <w:spacing w:after="0"/>
        <w:rPr>
          <w:rFonts w:ascii="Arial" w:hAnsi="Arial" w:cs="Arial"/>
        </w:rPr>
      </w:pPr>
    </w:p>
    <w:p w14:paraId="46CE3B4B"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3.1.1. </w:t>
      </w:r>
      <w:r w:rsidRPr="00592AE4">
        <w:rPr>
          <w:rFonts w:ascii="Arial" w:hAnsi="Arial" w:cs="Arial"/>
          <w:b/>
          <w:bCs/>
          <w:sz w:val="22"/>
          <w:szCs w:val="22"/>
          <w:lang w:val="fr-FR"/>
        </w:rPr>
        <w:t>Effect of pH on Sporulation</w:t>
      </w:r>
    </w:p>
    <w:p w14:paraId="719400E6" w14:textId="24E859FF" w:rsidR="00592AE4" w:rsidRPr="00592AE4" w:rsidRDefault="00592AE4" w:rsidP="00592AE4">
      <w:pPr>
        <w:pStyle w:val="Body"/>
        <w:spacing w:after="0"/>
        <w:rPr>
          <w:rFonts w:ascii="Arial" w:hAnsi="Arial" w:cs="Arial"/>
          <w:lang w:val="fr-FR"/>
        </w:rPr>
      </w:pPr>
      <w:r w:rsidRPr="00592AE4">
        <w:rPr>
          <w:rFonts w:ascii="Arial" w:hAnsi="Arial" w:cs="Arial"/>
          <w:lang w:val="fr-FR"/>
        </w:rPr>
        <w:t xml:space="preserve">The results concerning the influence of pH on sporulation are presented in </w:t>
      </w:r>
      <w:r w:rsidRPr="00592AE4">
        <w:rPr>
          <w:rFonts w:ascii="Arial" w:hAnsi="Arial" w:cs="Arial"/>
          <w:b/>
          <w:bCs/>
          <w:lang w:val="fr-FR"/>
        </w:rPr>
        <w:t>Fig. 2.</w:t>
      </w:r>
      <w:r w:rsidRPr="00592AE4">
        <w:rPr>
          <w:rFonts w:ascii="Arial" w:hAnsi="Arial" w:cs="Arial"/>
          <w:lang w:val="fr-FR"/>
        </w:rPr>
        <w:t xml:space="preserve"> A progressive increase in conidial density was observed with increasing alkalinity of the medium. Maximum sporulation was obtained on alkaline media at pH 9 and pH 8. The mean spore concentrations were 7 </w:t>
      </w:r>
      <w:r>
        <w:rPr>
          <w:rFonts w:ascii="Arial" w:hAnsi="Arial" w:cs="Arial"/>
          <w:lang w:val="fr-FR"/>
        </w:rPr>
        <w:t xml:space="preserve">x </w:t>
      </w:r>
      <w:r w:rsidRPr="00592AE4">
        <w:rPr>
          <w:rFonts w:ascii="Arial" w:hAnsi="Arial" w:cs="Arial"/>
          <w:lang w:val="fr-FR"/>
        </w:rPr>
        <w:t>10</w:t>
      </w:r>
      <w:r w:rsidRPr="00592AE4">
        <w:rPr>
          <w:rFonts w:ascii="Arial" w:hAnsi="Arial" w:cs="Arial"/>
          <w:vertAlign w:val="superscript"/>
          <w:lang w:val="fr-FR"/>
        </w:rPr>
        <w:t xml:space="preserve">8 </w:t>
      </w:r>
      <w:r w:rsidRPr="00592AE4">
        <w:rPr>
          <w:rFonts w:ascii="Arial" w:hAnsi="Arial" w:cs="Arial"/>
          <w:lang w:val="fr-FR"/>
        </w:rPr>
        <w:t xml:space="preserve">spores/mL and 4.77 </w:t>
      </w:r>
      <w:r>
        <w:rPr>
          <w:rFonts w:ascii="Arial" w:hAnsi="Arial" w:cs="Arial"/>
          <w:lang w:val="fr-FR"/>
        </w:rPr>
        <w:t>x</w:t>
      </w:r>
      <w:r w:rsidRPr="00592AE4">
        <w:rPr>
          <w:rFonts w:ascii="Arial" w:hAnsi="Arial" w:cs="Arial"/>
          <w:lang w:val="fr-FR"/>
        </w:rPr>
        <w:t xml:space="preserve"> 10</w:t>
      </w:r>
      <w:r w:rsidRPr="00592AE4">
        <w:rPr>
          <w:rFonts w:ascii="Arial" w:hAnsi="Arial" w:cs="Arial"/>
          <w:vertAlign w:val="superscript"/>
          <w:lang w:val="fr-FR"/>
        </w:rPr>
        <w:t>8</w:t>
      </w:r>
      <w:r w:rsidRPr="00592AE4">
        <w:rPr>
          <w:rFonts w:ascii="Arial" w:hAnsi="Arial" w:cs="Arial"/>
          <w:lang w:val="fr-FR"/>
        </w:rPr>
        <w:t xml:space="preserve"> spores/mL, respectively. Conversely, the lowest sporulation rates were observed in media with acidic pH (5 and 6). No significant difference was observed between these two acidic pH levels (5 and 6).</w:t>
      </w:r>
    </w:p>
    <w:p w14:paraId="5D93061D" w14:textId="70C58376" w:rsidR="00592AE4" w:rsidRDefault="00592AE4" w:rsidP="00441B6F">
      <w:pPr>
        <w:pStyle w:val="Body"/>
        <w:spacing w:after="0"/>
        <w:rPr>
          <w:rFonts w:ascii="Arial" w:hAnsi="Arial" w:cs="Arial"/>
        </w:rPr>
      </w:pPr>
    </w:p>
    <w:p w14:paraId="39C28EA7" w14:textId="77777777" w:rsidR="00592AE4" w:rsidRPr="00592AE4" w:rsidRDefault="00592AE4" w:rsidP="00592AE4">
      <w:pPr>
        <w:spacing w:after="160" w:line="360" w:lineRule="auto"/>
        <w:jc w:val="center"/>
        <w:rPr>
          <w:rFonts w:ascii="Arial" w:eastAsia="Calibri" w:hAnsi="Arial" w:cs="Arial"/>
          <w:lang w:val="fr-FR"/>
        </w:rPr>
      </w:pPr>
      <w:r w:rsidRPr="00592AE4">
        <w:rPr>
          <w:rFonts w:ascii="Arial" w:eastAsia="Calibri" w:hAnsi="Arial" w:cs="Arial"/>
          <w:noProof/>
        </w:rPr>
        <w:drawing>
          <wp:inline distT="0" distB="0" distL="0" distR="0" wp14:anchorId="02954F1D" wp14:editId="674DE13B">
            <wp:extent cx="4310742" cy="2642716"/>
            <wp:effectExtent l="0" t="0" r="13970" b="5715"/>
            <wp:docPr id="917369289"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B8BE86-DAA2-6129-4FCE-E8B09AC08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E76186" w14:textId="21B3ED03" w:rsidR="00592AE4" w:rsidRPr="00592AE4" w:rsidRDefault="00592AE4" w:rsidP="00167613">
      <w:pPr>
        <w:spacing w:after="160" w:line="360" w:lineRule="auto"/>
        <w:ind w:left="709" w:right="695"/>
        <w:jc w:val="both"/>
        <w:rPr>
          <w:rFonts w:ascii="Arial" w:eastAsia="Calibri" w:hAnsi="Arial" w:cs="Arial"/>
          <w:sz w:val="16"/>
          <w:szCs w:val="16"/>
          <w:lang w:val="fr-FR"/>
        </w:rPr>
      </w:pPr>
      <w:bookmarkStart w:id="2" w:name="_Ref169829678"/>
      <w:bookmarkStart w:id="3" w:name="_Toc188834580"/>
      <w:r w:rsidRPr="00592AE4">
        <w:rPr>
          <w:rFonts w:ascii="Arial" w:eastAsia="Calibri" w:hAnsi="Arial" w:cs="Arial"/>
          <w:b/>
          <w:bCs/>
          <w:sz w:val="16"/>
          <w:szCs w:val="16"/>
          <w:lang w:val="fr-FR"/>
        </w:rPr>
        <w:t>Fi</w:t>
      </w:r>
      <w:bookmarkEnd w:id="2"/>
      <w:r w:rsidRPr="00592AE4">
        <w:rPr>
          <w:rFonts w:ascii="Arial" w:eastAsia="Calibri" w:hAnsi="Arial" w:cs="Arial"/>
          <w:b/>
          <w:bCs/>
          <w:sz w:val="16"/>
          <w:szCs w:val="16"/>
          <w:lang w:val="fr-FR"/>
        </w:rPr>
        <w:t xml:space="preserve">g. 2. </w:t>
      </w:r>
      <w:r w:rsidR="00E67B6A" w:rsidRPr="0064090D">
        <w:rPr>
          <w:rFonts w:ascii="Arial" w:eastAsia="Calibri" w:hAnsi="Arial" w:cs="Arial"/>
          <w:sz w:val="16"/>
          <w:szCs w:val="16"/>
          <w:lang w:val="fr-FR"/>
        </w:rPr>
        <w:t xml:space="preserve">Influence of the pH of the culture medium on </w:t>
      </w:r>
      <w:r w:rsidR="00E67B6A" w:rsidRPr="0064090D">
        <w:rPr>
          <w:rFonts w:ascii="Arial" w:eastAsia="Calibri" w:hAnsi="Arial" w:cs="Arial"/>
          <w:i/>
          <w:iCs/>
          <w:sz w:val="16"/>
          <w:szCs w:val="16"/>
          <w:lang w:val="fr-FR"/>
        </w:rPr>
        <w:t>B. bassiana</w:t>
      </w:r>
      <w:r w:rsidR="00E67B6A" w:rsidRPr="0064090D">
        <w:rPr>
          <w:rFonts w:ascii="Arial" w:eastAsia="Calibri" w:hAnsi="Arial" w:cs="Arial"/>
          <w:sz w:val="16"/>
          <w:szCs w:val="16"/>
          <w:lang w:val="fr-FR"/>
        </w:rPr>
        <w:t xml:space="preserve"> sporulation. Vertical bars illustrate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64090D">
        <w:rPr>
          <w:rFonts w:ascii="Arial" w:eastAsia="Calibri" w:hAnsi="Arial" w:cs="Arial"/>
          <w:sz w:val="16"/>
          <w:szCs w:val="16"/>
          <w:lang w:val="fr-FR"/>
        </w:rPr>
        <w:t xml:space="preserve">) determined by the Tukey HSD </w:t>
      </w:r>
      <w:bookmarkEnd w:id="3"/>
      <w:r w:rsidR="00E67B6A" w:rsidRPr="0064090D">
        <w:rPr>
          <w:rFonts w:ascii="Arial" w:eastAsia="Calibri" w:hAnsi="Arial" w:cs="Arial"/>
          <w:sz w:val="16"/>
          <w:szCs w:val="16"/>
          <w:lang w:val="fr-FR"/>
        </w:rPr>
        <w:t>test.</w:t>
      </w:r>
    </w:p>
    <w:p w14:paraId="000D5906" w14:textId="77777777" w:rsidR="00592AE4" w:rsidRPr="00592AE4" w:rsidRDefault="00592AE4" w:rsidP="00592AE4">
      <w:pPr>
        <w:pStyle w:val="Body"/>
        <w:rPr>
          <w:rFonts w:ascii="Arial" w:hAnsi="Arial" w:cs="Arial"/>
          <w:b/>
          <w:bCs/>
          <w:sz w:val="22"/>
          <w:szCs w:val="22"/>
          <w:lang w:val="fr-FR"/>
        </w:rPr>
      </w:pPr>
      <w:r w:rsidRPr="00592AE4">
        <w:rPr>
          <w:rFonts w:ascii="Arial" w:hAnsi="Arial" w:cs="Arial"/>
          <w:b/>
          <w:bCs/>
          <w:sz w:val="22"/>
          <w:szCs w:val="22"/>
        </w:rPr>
        <w:t xml:space="preserve">3.1.2 </w:t>
      </w:r>
      <w:r w:rsidRPr="00592AE4">
        <w:rPr>
          <w:rFonts w:ascii="Arial" w:hAnsi="Arial" w:cs="Arial"/>
          <w:b/>
          <w:bCs/>
          <w:sz w:val="22"/>
          <w:szCs w:val="22"/>
          <w:lang w:val="fr-FR"/>
        </w:rPr>
        <w:t>Effect of Photoperiod on Sporulation</w:t>
      </w:r>
    </w:p>
    <w:p w14:paraId="46332A20" w14:textId="1B1CDBA0" w:rsidR="00592AE4" w:rsidRDefault="00592AE4" w:rsidP="00441B6F">
      <w:pPr>
        <w:pStyle w:val="Body"/>
        <w:spacing w:after="0"/>
        <w:rPr>
          <w:rFonts w:ascii="Arial" w:hAnsi="Arial" w:cs="Arial"/>
        </w:rPr>
      </w:pPr>
    </w:p>
    <w:p w14:paraId="34681B26" w14:textId="3C69EE7B" w:rsidR="00592AE4" w:rsidRDefault="00592AE4" w:rsidP="00592AE4">
      <w:pPr>
        <w:spacing w:after="160" w:line="278" w:lineRule="auto"/>
        <w:jc w:val="both"/>
        <w:rPr>
          <w:rFonts w:ascii="Arial" w:hAnsi="Arial" w:cs="Arial"/>
          <w:kern w:val="2"/>
          <w:lang w:val="fr-FR" w:eastAsia="fr-FR"/>
          <w14:ligatures w14:val="standardContextual"/>
        </w:rPr>
      </w:pPr>
      <w:r w:rsidRPr="00202B61">
        <w:rPr>
          <w:rFonts w:ascii="Arial" w:hAnsi="Arial" w:cs="Arial"/>
          <w:b/>
          <w:bCs/>
          <w:kern w:val="2"/>
          <w:lang w:val="fr-FR" w:eastAsia="fr-FR"/>
          <w14:ligatures w14:val="standardContextual"/>
        </w:rPr>
        <w:t>Fig. 3</w:t>
      </w:r>
      <w:r w:rsidRPr="00592AE4">
        <w:rPr>
          <w:rFonts w:ascii="Arial" w:hAnsi="Arial" w:cs="Arial"/>
          <w:kern w:val="2"/>
          <w:lang w:val="fr-FR" w:eastAsia="fr-FR"/>
          <w14:ligatures w14:val="standardContextual"/>
        </w:rPr>
        <w:t xml:space="preserve"> </w:t>
      </w:r>
      <w:r w:rsidRPr="00167613">
        <w:rPr>
          <w:rFonts w:ascii="Arial" w:hAnsi="Arial" w:cs="Arial"/>
          <w:kern w:val="2"/>
          <w:lang w:val="fr-FR" w:eastAsia="fr-FR"/>
          <w14:ligatures w14:val="standardContextual"/>
        </w:rPr>
        <w:t xml:space="preserve">presents the effect of photoperiod on the sporulation of </w:t>
      </w:r>
      <w:r w:rsidRPr="00167613">
        <w:rPr>
          <w:rFonts w:ascii="Arial" w:hAnsi="Arial" w:cs="Arial"/>
          <w:i/>
          <w:iCs/>
          <w:kern w:val="2"/>
          <w:lang w:val="fr-FR" w:eastAsia="fr-FR"/>
          <w14:ligatures w14:val="standardContextual"/>
        </w:rPr>
        <w:t>B. bassiana</w:t>
      </w:r>
      <w:r w:rsidRPr="00167613">
        <w:rPr>
          <w:rFonts w:ascii="Arial" w:hAnsi="Arial" w:cs="Arial"/>
          <w:kern w:val="2"/>
          <w:lang w:val="fr-FR" w:eastAsia="fr-FR"/>
          <w14:ligatures w14:val="standardContextual"/>
        </w:rPr>
        <w:t>. The highest spore concentration (3.9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 was observed in Petri dishes subjected to the alternating light/dark regime of 12h/12h (light/darkness). Conversely, the lowest spore concentration was observed when Petri dishes were subjected to constant </w:t>
      </w:r>
      <w:r w:rsidR="00167613" w:rsidRPr="00167613">
        <w:rPr>
          <w:rFonts w:ascii="Arial" w:hAnsi="Arial" w:cs="Arial"/>
          <w:kern w:val="2"/>
          <w:lang w:val="fr-FR" w:eastAsia="fr-FR"/>
          <w14:ligatures w14:val="standardContextual"/>
        </w:rPr>
        <w:t>light regime</w:t>
      </w:r>
      <w:r w:rsidRPr="00167613">
        <w:rPr>
          <w:rFonts w:ascii="Arial" w:hAnsi="Arial" w:cs="Arial"/>
          <w:kern w:val="2"/>
          <w:lang w:val="fr-FR" w:eastAsia="fr-FR"/>
          <w14:ligatures w14:val="standardContextual"/>
        </w:rPr>
        <w:t xml:space="preserve"> (24 hours), with a mean spore concentration of 3.07 x 10</w:t>
      </w:r>
      <w:r w:rsidRPr="00167613">
        <w:rPr>
          <w:rFonts w:ascii="Arial" w:hAnsi="Arial" w:cs="Arial"/>
          <w:kern w:val="2"/>
          <w:vertAlign w:val="superscript"/>
          <w:lang w:val="fr-FR" w:eastAsia="fr-FR"/>
          <w14:ligatures w14:val="standardContextual"/>
        </w:rPr>
        <w:t>7</w:t>
      </w:r>
      <w:r w:rsidRPr="00167613">
        <w:rPr>
          <w:rFonts w:ascii="Arial" w:hAnsi="Arial" w:cs="Arial"/>
          <w:kern w:val="2"/>
          <w:lang w:val="fr-FR" w:eastAsia="fr-FR"/>
          <w14:ligatures w14:val="standardContextual"/>
        </w:rPr>
        <w:t xml:space="preserve"> conidia/mL.</w:t>
      </w:r>
    </w:p>
    <w:p w14:paraId="10D6AEE0" w14:textId="0026A374" w:rsidR="00592AE4" w:rsidRDefault="00592AE4" w:rsidP="00592AE4">
      <w:pPr>
        <w:keepNext/>
        <w:spacing w:line="360" w:lineRule="auto"/>
        <w:jc w:val="center"/>
        <w:rPr>
          <w:rFonts w:ascii="Times New Roman" w:eastAsia="Calibri" w:hAnsi="Times New Roman" w:cs="SimSun"/>
          <w:sz w:val="16"/>
          <w:szCs w:val="16"/>
          <w:lang w:val="fr-FR"/>
          <w14:ligatures w14:val="standardContextual"/>
        </w:rPr>
      </w:pPr>
    </w:p>
    <w:p w14:paraId="2319828F" w14:textId="668263C0" w:rsidR="00167613" w:rsidRPr="00592AE4" w:rsidRDefault="00167613" w:rsidP="00592AE4">
      <w:pPr>
        <w:keepNext/>
        <w:spacing w:line="360" w:lineRule="auto"/>
        <w:jc w:val="center"/>
        <w:rPr>
          <w:rFonts w:ascii="Times New Roman" w:eastAsia="Calibri" w:hAnsi="Times New Roman" w:cs="SimSun"/>
          <w:sz w:val="16"/>
          <w:szCs w:val="16"/>
          <w:lang w:val="fr-FR"/>
          <w14:ligatures w14:val="standardContextual"/>
        </w:rPr>
      </w:pPr>
      <w:r>
        <w:rPr>
          <w:noProof/>
        </w:rPr>
        <w:drawing>
          <wp:inline distT="0" distB="0" distL="0" distR="0" wp14:anchorId="333997F0" wp14:editId="44A95206">
            <wp:extent cx="4524375" cy="2743200"/>
            <wp:effectExtent l="0" t="0" r="9525" b="0"/>
            <wp:docPr id="3" name="Graphiqu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0B52A6-BDB6-DC6D-5774-82BCDB511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FF8C9D" w14:textId="6B2C90D6" w:rsidR="00592AE4" w:rsidRPr="00592AE4" w:rsidRDefault="00592AE4" w:rsidP="00167613">
      <w:pPr>
        <w:spacing w:after="200"/>
        <w:ind w:left="567" w:right="553"/>
        <w:jc w:val="both"/>
        <w:rPr>
          <w:rFonts w:ascii="Arial" w:eastAsia="Calibri" w:hAnsi="Arial" w:cs="Arial"/>
          <w:sz w:val="16"/>
          <w:szCs w:val="16"/>
          <w:lang w:val="fr-FR"/>
          <w14:ligatures w14:val="standardContextual"/>
        </w:rPr>
      </w:pPr>
      <w:bookmarkStart w:id="4" w:name="_Ref170464325"/>
      <w:bookmarkStart w:id="5" w:name="_Toc188834582"/>
      <w:r w:rsidRPr="00167613">
        <w:rPr>
          <w:rFonts w:ascii="Arial" w:eastAsia="Calibri" w:hAnsi="Arial" w:cs="Arial"/>
          <w:b/>
          <w:bCs/>
          <w:sz w:val="16"/>
          <w:szCs w:val="16"/>
          <w:lang w:val="fr-FR"/>
          <w14:ligatures w14:val="standardContextual"/>
        </w:rPr>
        <w:t>Fig</w:t>
      </w:r>
      <w:bookmarkEnd w:id="4"/>
      <w:r w:rsidRPr="00167613">
        <w:rPr>
          <w:rFonts w:ascii="Arial" w:eastAsia="Calibri" w:hAnsi="Arial" w:cs="Arial"/>
          <w:b/>
          <w:bCs/>
          <w:sz w:val="16"/>
          <w:szCs w:val="16"/>
          <w:lang w:val="fr-FR"/>
          <w14:ligatures w14:val="standardContextual"/>
        </w:rPr>
        <w:t>. 3</w:t>
      </w:r>
      <w:r w:rsidRPr="00167613">
        <w:rPr>
          <w:rFonts w:ascii="Arial" w:eastAsia="Calibri" w:hAnsi="Arial" w:cs="Arial"/>
          <w:sz w:val="16"/>
          <w:szCs w:val="16"/>
          <w:lang w:val="fr-FR"/>
          <w14:ligatures w14:val="standardContextual"/>
        </w:rPr>
        <w:t xml:space="preserve">. </w:t>
      </w:r>
      <w:bookmarkEnd w:id="5"/>
      <w:r w:rsidR="00E67B6A" w:rsidRPr="00167613">
        <w:rPr>
          <w:rFonts w:ascii="Arial" w:eastAsia="Calibri" w:hAnsi="Arial" w:cs="Arial"/>
          <w:sz w:val="16"/>
          <w:szCs w:val="16"/>
          <w:lang w:val="fr-FR"/>
          <w14:ligatures w14:val="standardContextual"/>
        </w:rPr>
        <w:t xml:space="preserve">Influence of photoperiod on </w:t>
      </w:r>
      <w:r w:rsidR="00E67B6A" w:rsidRPr="00167613">
        <w:rPr>
          <w:rFonts w:ascii="Arial" w:eastAsia="Calibri" w:hAnsi="Arial" w:cs="Arial"/>
          <w:i/>
          <w:iCs/>
          <w:sz w:val="16"/>
          <w:szCs w:val="16"/>
          <w:lang w:val="fr-FR"/>
          <w14:ligatures w14:val="standardContextual"/>
        </w:rPr>
        <w:t>B. bassiana</w:t>
      </w:r>
      <w:r w:rsidR="00E67B6A" w:rsidRPr="00167613">
        <w:rPr>
          <w:rFonts w:ascii="Arial" w:eastAsia="Calibri" w:hAnsi="Arial" w:cs="Arial"/>
          <w:sz w:val="16"/>
          <w:szCs w:val="16"/>
          <w:lang w:val="fr-FR"/>
          <w14:ligatures w14:val="standardContextual"/>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167613">
        <w:rPr>
          <w:rFonts w:ascii="Arial" w:eastAsia="Calibri" w:hAnsi="Arial" w:cs="Arial"/>
          <w:sz w:val="16"/>
          <w:szCs w:val="16"/>
          <w:lang w:val="fr-FR"/>
          <w14:ligatures w14:val="standardContextual"/>
        </w:rPr>
        <w:t>) determined by the Tukey HSD test.</w:t>
      </w:r>
    </w:p>
    <w:p w14:paraId="0E410457" w14:textId="77777777" w:rsidR="00592AE4" w:rsidRPr="00592AE4" w:rsidRDefault="00592AE4" w:rsidP="00592AE4">
      <w:pPr>
        <w:spacing w:after="160" w:line="278" w:lineRule="auto"/>
        <w:jc w:val="both"/>
        <w:rPr>
          <w:rFonts w:ascii="Arial" w:hAnsi="Arial" w:cs="Arial"/>
          <w:kern w:val="2"/>
          <w:lang w:val="fr-FR" w:eastAsia="fr-FR"/>
          <w14:ligatures w14:val="standardContextual"/>
        </w:rPr>
      </w:pPr>
    </w:p>
    <w:p w14:paraId="18E65746" w14:textId="496A8E42" w:rsidR="00592AE4" w:rsidRPr="00592AE4" w:rsidRDefault="00592AE4" w:rsidP="00592AE4">
      <w:pPr>
        <w:spacing w:after="160" w:line="278" w:lineRule="auto"/>
        <w:jc w:val="both"/>
        <w:rPr>
          <w:rFonts w:ascii="Arial" w:hAnsi="Arial" w:cs="Arial"/>
          <w:b/>
          <w:bCs/>
          <w:kern w:val="2"/>
          <w:lang w:val="fr-FR" w:eastAsia="fr-FR"/>
          <w14:ligatures w14:val="standardContextual"/>
        </w:rPr>
      </w:pPr>
      <w:r w:rsidRPr="00592AE4">
        <w:rPr>
          <w:rFonts w:ascii="Arial" w:hAnsi="Arial" w:cs="Arial"/>
          <w:b/>
          <w:bCs/>
          <w:kern w:val="2"/>
          <w:sz w:val="22"/>
          <w:szCs w:val="22"/>
          <w:lang w:val="fr-FR" w:eastAsia="fr-FR"/>
          <w14:ligatures w14:val="standardContextual"/>
        </w:rPr>
        <w:t>3.1.3 Effect of Temperature on Sporulation</w:t>
      </w:r>
    </w:p>
    <w:p w14:paraId="57AEE36F" w14:textId="11FE679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b/>
          <w:bCs/>
          <w:kern w:val="2"/>
          <w:lang w:val="fr-FR" w:eastAsia="fr-FR"/>
          <w14:ligatures w14:val="standardContextual"/>
        </w:rPr>
        <w:t>Fig. 4</w:t>
      </w:r>
      <w:r w:rsidRPr="00592AE4">
        <w:rPr>
          <w:rFonts w:ascii="Arial" w:hAnsi="Arial" w:cs="Arial"/>
          <w:kern w:val="2"/>
          <w:lang w:val="fr-FR" w:eastAsia="fr-FR"/>
          <w14:ligatures w14:val="standardContextual"/>
        </w:rPr>
        <w:t xml:space="preserve"> shows a positive relationship between temperature and fungal sporulation within the range of 20 to 25 °C. In this thermal range, a progressive increase in conidia production was observed, indicating a favorable physiological response to rising temperature. Maximum sporulation was determined at 25 °C with a spore production of 3.83 </w:t>
      </w:r>
      <w:r>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This maximum value suggests that 25 °C constitutes the most favorable temperature for the metabolic activity and reproduction of this fungal strain. However, beyond 25 °C, a significant reduction in sporulation was observed at 30 °C and became more pronounced at 35 °C, where the minimum sporulation value (5.67</w:t>
      </w:r>
      <w:r>
        <w:rPr>
          <w:rFonts w:ascii="Arial" w:hAnsi="Arial" w:cs="Arial"/>
          <w:kern w:val="2"/>
          <w:lang w:val="fr-FR" w:eastAsia="fr-FR"/>
          <w14:ligatures w14:val="standardContextual"/>
        </w:rPr>
        <w:t xml:space="preserve"> 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4</w:t>
      </w:r>
      <w:r w:rsidRPr="00592AE4">
        <w:rPr>
          <w:rFonts w:ascii="Arial" w:hAnsi="Arial" w:cs="Arial"/>
          <w:kern w:val="2"/>
          <w:lang w:val="fr-FR" w:eastAsia="fr-FR"/>
          <w14:ligatures w14:val="standardContextual"/>
        </w:rPr>
        <w:t xml:space="preserve"> spores/mL) was recorded.</w:t>
      </w:r>
    </w:p>
    <w:p w14:paraId="0F9150A4" w14:textId="77777777" w:rsidR="00B26FC9" w:rsidRPr="00B26FC9" w:rsidRDefault="00B26FC9" w:rsidP="00B26FC9">
      <w:pPr>
        <w:keepNext/>
        <w:spacing w:before="240" w:after="160" w:line="259" w:lineRule="auto"/>
        <w:ind w:left="360"/>
        <w:jc w:val="center"/>
        <w:rPr>
          <w:rFonts w:ascii="Calibri" w:eastAsia="Calibri" w:hAnsi="Calibri"/>
          <w:sz w:val="22"/>
          <w:szCs w:val="22"/>
          <w:lang w:val="fr-FR"/>
        </w:rPr>
      </w:pPr>
      <w:r w:rsidRPr="00B26FC9">
        <w:rPr>
          <w:rFonts w:ascii="Calibri" w:eastAsia="Calibri" w:hAnsi="Calibri"/>
          <w:noProof/>
          <w:sz w:val="22"/>
          <w:szCs w:val="22"/>
        </w:rPr>
        <w:lastRenderedPageBreak/>
        <w:drawing>
          <wp:inline distT="0" distB="0" distL="0" distR="0" wp14:anchorId="337C0C8A" wp14:editId="7922E42C">
            <wp:extent cx="4829175" cy="2800350"/>
            <wp:effectExtent l="0" t="0" r="9525" b="0"/>
            <wp:docPr id="732388298"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1EC630-DF15-124B-C930-5D23F4F01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CF65AA" w14:textId="525C9953" w:rsidR="00B26FC9" w:rsidRPr="00B26FC9" w:rsidRDefault="00B26FC9" w:rsidP="00202B61">
      <w:pPr>
        <w:spacing w:after="160" w:line="360" w:lineRule="auto"/>
        <w:ind w:left="426" w:right="128"/>
        <w:jc w:val="both"/>
        <w:rPr>
          <w:rFonts w:ascii="Arial" w:eastAsia="Calibri" w:hAnsi="Arial" w:cs="Arial"/>
          <w:sz w:val="16"/>
          <w:szCs w:val="16"/>
          <w:lang w:val="fr-FR"/>
        </w:rPr>
      </w:pPr>
      <w:bookmarkStart w:id="6" w:name="_Ref169827744"/>
      <w:bookmarkStart w:id="7" w:name="_Toc188834578"/>
      <w:r w:rsidRPr="00B26FC9">
        <w:rPr>
          <w:rFonts w:ascii="Arial" w:eastAsia="Calibri" w:hAnsi="Arial" w:cs="Arial"/>
          <w:b/>
          <w:bCs/>
          <w:sz w:val="16"/>
          <w:szCs w:val="16"/>
          <w:lang w:val="fr-FR"/>
        </w:rPr>
        <w:t>Fig</w:t>
      </w:r>
      <w:bookmarkEnd w:id="6"/>
      <w:r w:rsidRPr="00B26FC9">
        <w:rPr>
          <w:rFonts w:ascii="Arial" w:eastAsia="Calibri" w:hAnsi="Arial" w:cs="Arial"/>
          <w:b/>
          <w:bCs/>
          <w:sz w:val="16"/>
          <w:szCs w:val="16"/>
          <w:lang w:val="fr-FR"/>
        </w:rPr>
        <w:t>. 4.</w:t>
      </w:r>
      <w:r w:rsidRPr="00B26FC9">
        <w:rPr>
          <w:rFonts w:ascii="Arial" w:eastAsia="Calibri" w:hAnsi="Arial" w:cs="Arial"/>
          <w:sz w:val="16"/>
          <w:szCs w:val="16"/>
          <w:lang w:val="fr-FR"/>
        </w:rPr>
        <w:t xml:space="preserve"> </w:t>
      </w:r>
      <w:bookmarkEnd w:id="7"/>
      <w:r w:rsidR="0064090D" w:rsidRPr="0064090D">
        <w:rPr>
          <w:rFonts w:ascii="Arial" w:eastAsia="Calibri" w:hAnsi="Arial" w:cs="Arial"/>
          <w:sz w:val="16"/>
          <w:szCs w:val="16"/>
          <w:lang w:val="fr-FR"/>
        </w:rPr>
        <w:t xml:space="preserve">Influence of incubation temperature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64090D" w:rsidRPr="0064090D">
        <w:rPr>
          <w:rFonts w:ascii="Arial" w:eastAsia="Calibri" w:hAnsi="Arial" w:cs="Arial"/>
          <w:sz w:val="16"/>
          <w:szCs w:val="16"/>
          <w:lang w:val="fr-FR"/>
        </w:rPr>
        <w:t>) determined by the Tukey HSD test.</w:t>
      </w:r>
    </w:p>
    <w:p w14:paraId="6B57EC58" w14:textId="0FC07092"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3.1.4 </w:t>
      </w:r>
      <w:r w:rsidR="00592AE4" w:rsidRPr="00592AE4">
        <w:rPr>
          <w:rFonts w:ascii="Arial" w:hAnsi="Arial" w:cs="Arial"/>
          <w:b/>
          <w:bCs/>
          <w:kern w:val="2"/>
          <w:sz w:val="22"/>
          <w:szCs w:val="22"/>
          <w:lang w:val="fr-FR" w:eastAsia="fr-FR"/>
          <w14:ligatures w14:val="standardContextual"/>
        </w:rPr>
        <w:t>Effect of Nitrogen Source on Sporulation</w:t>
      </w:r>
    </w:p>
    <w:p w14:paraId="2712CFB3" w14:textId="093EE2A2"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All studied nitrogen sources induced positive sporulation of </w:t>
      </w:r>
      <w:r w:rsidRPr="00592AE4">
        <w:rPr>
          <w:rFonts w:ascii="Arial" w:hAnsi="Arial" w:cs="Arial"/>
          <w:i/>
          <w:iCs/>
          <w:kern w:val="2"/>
          <w:lang w:val="fr-FR" w:eastAsia="fr-FR"/>
          <w14:ligatures w14:val="standardContextual"/>
        </w:rPr>
        <w:t>B. bassiana</w:t>
      </w:r>
      <w:r w:rsidRPr="00592AE4">
        <w:rPr>
          <w:rFonts w:ascii="Arial" w:hAnsi="Arial" w:cs="Arial"/>
          <w:kern w:val="2"/>
          <w:lang w:val="fr-FR" w:eastAsia="fr-FR"/>
          <w14:ligatures w14:val="standardContextual"/>
        </w:rPr>
        <w:t xml:space="preserve">. However, the intensity of sporulation varied from one source to another, with rates ranging from 2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to 1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spores/mL (</w:t>
      </w:r>
      <w:r w:rsidRPr="00592AE4">
        <w:rPr>
          <w:rFonts w:ascii="Arial" w:hAnsi="Arial" w:cs="Arial"/>
          <w:b/>
          <w:bCs/>
          <w:kern w:val="2"/>
          <w:lang w:val="fr-FR" w:eastAsia="fr-FR"/>
          <w14:ligatures w14:val="standardContextual"/>
        </w:rPr>
        <w:t xml:space="preserve">Fig. </w:t>
      </w:r>
      <w:r w:rsidR="00B26FC9">
        <w:rPr>
          <w:rFonts w:ascii="Arial" w:hAnsi="Arial" w:cs="Arial"/>
          <w:b/>
          <w:bCs/>
          <w:kern w:val="2"/>
          <w:lang w:val="fr-FR" w:eastAsia="fr-FR"/>
          <w14:ligatures w14:val="standardContextual"/>
        </w:rPr>
        <w:t>5</w:t>
      </w:r>
      <w:r w:rsidRPr="00592AE4">
        <w:rPr>
          <w:rFonts w:ascii="Arial" w:hAnsi="Arial" w:cs="Arial"/>
          <w:kern w:val="2"/>
          <w:lang w:val="fr-FR" w:eastAsia="fr-FR"/>
          <w14:ligatures w14:val="standardContextual"/>
        </w:rPr>
        <w:t xml:space="preserve">). Maximum sporulation was induced by baker’s yeast, with a concentration of 1.05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was followed by housefly meal, with a concentration of 8.5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6</w:t>
      </w:r>
      <w:r w:rsidRPr="00592AE4">
        <w:rPr>
          <w:rFonts w:ascii="Arial" w:hAnsi="Arial" w:cs="Arial"/>
          <w:kern w:val="2"/>
          <w:lang w:val="fr-FR" w:eastAsia="fr-FR"/>
          <w14:ligatures w14:val="standardContextual"/>
        </w:rPr>
        <w:t xml:space="preserve"> conidia/mL. Peptone induced the lowest conidial production (3.19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6 </w:t>
      </w:r>
      <w:r w:rsidRPr="00592AE4">
        <w:rPr>
          <w:rFonts w:ascii="Arial" w:hAnsi="Arial" w:cs="Arial"/>
          <w:kern w:val="2"/>
          <w:lang w:val="fr-FR" w:eastAsia="fr-FR"/>
          <w14:ligatures w14:val="standardContextual"/>
        </w:rPr>
        <w:t>conidia/mL).</w:t>
      </w:r>
    </w:p>
    <w:p w14:paraId="7DA08244" w14:textId="77777777" w:rsidR="00B26FC9" w:rsidRPr="00B26FC9" w:rsidRDefault="00B26FC9" w:rsidP="00B26FC9">
      <w:pPr>
        <w:spacing w:after="160" w:line="360" w:lineRule="auto"/>
        <w:jc w:val="center"/>
        <w:rPr>
          <w:rFonts w:ascii="Arial" w:eastAsia="Calibri" w:hAnsi="Arial" w:cs="Arial"/>
          <w:lang w:val="fr-FR"/>
        </w:rPr>
      </w:pPr>
      <w:r w:rsidRPr="00B26FC9">
        <w:rPr>
          <w:rFonts w:ascii="Arial" w:eastAsia="Calibri" w:hAnsi="Arial" w:cs="Arial"/>
          <w:noProof/>
        </w:rPr>
        <w:drawing>
          <wp:inline distT="0" distB="0" distL="0" distR="0" wp14:anchorId="026BF2AC" wp14:editId="73794B24">
            <wp:extent cx="4733925" cy="2590800"/>
            <wp:effectExtent l="0" t="0" r="9525" b="0"/>
            <wp:docPr id="295273708" name="Graphiqu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2954E3-5302-57E0-E02D-31E45F723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B25B79" w14:textId="657F8BA1" w:rsidR="00B26FC9" w:rsidRPr="00B26FC9" w:rsidRDefault="00B26FC9" w:rsidP="00202B61">
      <w:pPr>
        <w:spacing w:after="160" w:line="360" w:lineRule="auto"/>
        <w:ind w:left="426" w:right="411"/>
        <w:jc w:val="both"/>
        <w:rPr>
          <w:rFonts w:ascii="Arial" w:eastAsia="Calibri" w:hAnsi="Arial" w:cs="Arial"/>
          <w:sz w:val="16"/>
          <w:szCs w:val="16"/>
          <w:lang w:val="fr-FR"/>
        </w:rPr>
      </w:pPr>
      <w:bookmarkStart w:id="8" w:name="_Ref170470356"/>
      <w:bookmarkStart w:id="9" w:name="_Toc188834586"/>
      <w:r w:rsidRPr="00B26FC9">
        <w:rPr>
          <w:rFonts w:ascii="Arial" w:eastAsia="Calibri" w:hAnsi="Arial" w:cs="Arial"/>
          <w:b/>
          <w:bCs/>
          <w:sz w:val="16"/>
          <w:szCs w:val="16"/>
          <w:lang w:val="fr-FR"/>
        </w:rPr>
        <w:lastRenderedPageBreak/>
        <w:t>Fig</w:t>
      </w:r>
      <w:bookmarkEnd w:id="8"/>
      <w:r w:rsidRPr="00B26FC9">
        <w:rPr>
          <w:rFonts w:ascii="Arial" w:eastAsia="Calibri" w:hAnsi="Arial" w:cs="Arial"/>
          <w:b/>
          <w:bCs/>
          <w:sz w:val="16"/>
          <w:szCs w:val="16"/>
          <w:lang w:val="fr-FR"/>
        </w:rPr>
        <w:t xml:space="preserve">. </w:t>
      </w:r>
      <w:r w:rsidRPr="0064090D">
        <w:rPr>
          <w:rFonts w:ascii="Arial" w:eastAsia="Calibri" w:hAnsi="Arial" w:cs="Arial"/>
          <w:b/>
          <w:bCs/>
          <w:sz w:val="16"/>
          <w:szCs w:val="16"/>
          <w:lang w:val="fr-FR"/>
        </w:rPr>
        <w:t>5</w:t>
      </w:r>
      <w:r w:rsidRPr="00B26FC9">
        <w:rPr>
          <w:rFonts w:ascii="Arial" w:eastAsia="Calibri" w:hAnsi="Arial" w:cs="Arial"/>
          <w:b/>
          <w:bCs/>
          <w:sz w:val="16"/>
          <w:szCs w:val="16"/>
          <w:lang w:val="fr-FR"/>
        </w:rPr>
        <w:t>.</w:t>
      </w:r>
      <w:r w:rsidRPr="00B26FC9">
        <w:rPr>
          <w:rFonts w:ascii="Arial" w:eastAsia="Calibri" w:hAnsi="Arial" w:cs="Arial"/>
          <w:sz w:val="16"/>
          <w:szCs w:val="16"/>
          <w:lang w:val="fr-FR"/>
        </w:rPr>
        <w:t xml:space="preserve"> </w:t>
      </w:r>
      <w:bookmarkEnd w:id="9"/>
      <w:r w:rsidR="0064090D" w:rsidRPr="0064090D">
        <w:rPr>
          <w:rFonts w:ascii="Arial" w:eastAsia="Calibri" w:hAnsi="Arial" w:cs="Arial"/>
          <w:sz w:val="16"/>
          <w:szCs w:val="16"/>
          <w:lang w:val="fr-FR"/>
        </w:rPr>
        <w:t xml:space="preserve">Influence of nitrogen source on </w:t>
      </w:r>
      <w:r w:rsidR="0064090D" w:rsidRPr="0064090D">
        <w:rPr>
          <w:rFonts w:ascii="Arial" w:eastAsia="Calibri" w:hAnsi="Arial" w:cs="Arial"/>
          <w:i/>
          <w:iCs/>
          <w:sz w:val="16"/>
          <w:szCs w:val="16"/>
          <w:lang w:val="fr-FR"/>
        </w:rPr>
        <w:t>B. bassiana</w:t>
      </w:r>
      <w:r w:rsidR="0064090D" w:rsidRPr="0064090D">
        <w:rPr>
          <w:rFonts w:ascii="Arial" w:eastAsia="Calibri" w:hAnsi="Arial" w:cs="Arial"/>
          <w:sz w:val="16"/>
          <w:szCs w:val="16"/>
          <w:lang w:val="fr-FR"/>
        </w:rPr>
        <w:t xml:space="preserve"> sporulation. The vertical bars illustrate the standard deviation of means. ET-LEUVRE : yeast extract; MD: larval meal of the domestic fly. Values with different letters at the top of the bar indicate a significant difference (</w:t>
      </w:r>
      <w:r w:rsidR="00E70F0E" w:rsidRPr="00E70F0E">
        <w:rPr>
          <w:rFonts w:ascii="Arial" w:eastAsia="Calibri" w:hAnsi="Arial" w:cs="Arial"/>
          <w:sz w:val="16"/>
          <w:szCs w:val="16"/>
        </w:rPr>
        <w:t>** P &lt; 0.001</w:t>
      </w:r>
      <w:r w:rsidR="0064090D" w:rsidRPr="0064090D">
        <w:rPr>
          <w:rFonts w:ascii="Arial" w:eastAsia="Calibri" w:hAnsi="Arial" w:cs="Arial"/>
          <w:sz w:val="16"/>
          <w:szCs w:val="16"/>
          <w:lang w:val="fr-FR"/>
        </w:rPr>
        <w:t>) determined by the Tukey HSD test.</w:t>
      </w:r>
    </w:p>
    <w:p w14:paraId="4C891ED1" w14:textId="77777777" w:rsidR="00B26FC9" w:rsidRPr="00592AE4" w:rsidRDefault="00B26FC9" w:rsidP="00592AE4">
      <w:pPr>
        <w:spacing w:after="160" w:line="278" w:lineRule="auto"/>
        <w:jc w:val="both"/>
        <w:rPr>
          <w:rFonts w:ascii="Arial" w:hAnsi="Arial" w:cs="Arial"/>
          <w:kern w:val="2"/>
          <w:lang w:val="fr-FR" w:eastAsia="fr-FR"/>
          <w14:ligatures w14:val="standardContextual"/>
        </w:rPr>
      </w:pPr>
    </w:p>
    <w:p w14:paraId="17B6D6E1" w14:textId="46CBF68D"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3.1.5 </w:t>
      </w:r>
      <w:r w:rsidR="00592AE4" w:rsidRPr="00592AE4">
        <w:rPr>
          <w:rFonts w:ascii="Arial" w:hAnsi="Arial" w:cs="Arial"/>
          <w:b/>
          <w:bCs/>
          <w:kern w:val="2"/>
          <w:sz w:val="22"/>
          <w:szCs w:val="22"/>
          <w:lang w:val="fr-FR" w:eastAsia="fr-FR"/>
          <w14:ligatures w14:val="standardContextual"/>
        </w:rPr>
        <w:t>Effect of Carbon Source on Sporulation</w:t>
      </w:r>
    </w:p>
    <w:p w14:paraId="5C5E28D7" w14:textId="2669B217" w:rsidR="00592AE4" w:rsidRDefault="00592AE4" w:rsidP="00592AE4">
      <w:pPr>
        <w:spacing w:after="160" w:line="278" w:lineRule="auto"/>
        <w:jc w:val="both"/>
        <w:rPr>
          <w:rFonts w:ascii="Arial" w:hAnsi="Arial" w:cs="Arial"/>
          <w:kern w:val="2"/>
          <w:lang w:val="fr-FR" w:eastAsia="fr-FR"/>
          <w14:ligatures w14:val="standardContextual"/>
        </w:rPr>
      </w:pPr>
      <w:r w:rsidRPr="00592AE4">
        <w:rPr>
          <w:rFonts w:ascii="Arial" w:hAnsi="Arial" w:cs="Arial"/>
          <w:kern w:val="2"/>
          <w:lang w:val="fr-FR" w:eastAsia="fr-FR"/>
          <w14:ligatures w14:val="standardContextual"/>
        </w:rPr>
        <w:t xml:space="preserve">The results presented in </w:t>
      </w:r>
      <w:r w:rsidRPr="00592AE4">
        <w:rPr>
          <w:rFonts w:ascii="Arial" w:hAnsi="Arial" w:cs="Arial"/>
          <w:b/>
          <w:bCs/>
          <w:kern w:val="2"/>
          <w:lang w:val="fr-FR" w:eastAsia="fr-FR"/>
          <w14:ligatures w14:val="standardContextual"/>
        </w:rPr>
        <w:t xml:space="preserve">Fig. </w:t>
      </w:r>
      <w:r w:rsidR="00B26FC9" w:rsidRPr="00B26FC9">
        <w:rPr>
          <w:rFonts w:ascii="Arial" w:hAnsi="Arial" w:cs="Arial"/>
          <w:b/>
          <w:bCs/>
          <w:kern w:val="2"/>
          <w:lang w:val="fr-FR" w:eastAsia="fr-FR"/>
          <w14:ligatures w14:val="standardContextual"/>
        </w:rPr>
        <w:t>6</w:t>
      </w:r>
      <w:r w:rsidRPr="00592AE4">
        <w:rPr>
          <w:rFonts w:ascii="Arial" w:hAnsi="Arial" w:cs="Arial"/>
          <w:kern w:val="2"/>
          <w:lang w:val="fr-FR" w:eastAsia="fr-FR"/>
          <w14:ligatures w14:val="standardContextual"/>
        </w:rPr>
        <w:t xml:space="preserve"> showed that fulvic acid and humic extract promoted abundant sporulation, with mean values of 1.4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9 </w:t>
      </w:r>
      <w:r w:rsidRPr="00592AE4">
        <w:rPr>
          <w:rFonts w:ascii="Arial" w:hAnsi="Arial" w:cs="Arial"/>
          <w:kern w:val="2"/>
          <w:lang w:val="fr-FR" w:eastAsia="fr-FR"/>
          <w14:ligatures w14:val="standardContextual"/>
        </w:rPr>
        <w:t xml:space="preserve">and 1.3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9</w:t>
      </w:r>
      <w:r w:rsidRPr="00592AE4">
        <w:rPr>
          <w:rFonts w:ascii="Arial" w:hAnsi="Arial" w:cs="Arial"/>
          <w:kern w:val="2"/>
          <w:lang w:val="fr-FR" w:eastAsia="fr-FR"/>
          <w14:ligatures w14:val="standardContextual"/>
        </w:rPr>
        <w:t xml:space="preserve"> spores/mL, respectively. These were followed by humic acid with a value of 6.8 \times 10^8 spores/mL. As for the lowest sporulation values, they were obtained with sucrose and glucose, with respective values of 3.65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and 4.65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 Glucose and sucrose, although permitting sporulation, produced fewer spores compared to the tested humic substances. Sucrose was associated with the lowest spore production, with a mean value of 3.65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592AE4">
        <w:rPr>
          <w:rFonts w:ascii="Arial" w:hAnsi="Arial" w:cs="Arial"/>
          <w:kern w:val="2"/>
          <w:vertAlign w:val="superscript"/>
          <w:lang w:val="fr-FR" w:eastAsia="fr-FR"/>
          <w14:ligatures w14:val="standardContextual"/>
        </w:rPr>
        <w:t>8</w:t>
      </w:r>
      <w:r w:rsidRPr="00592AE4">
        <w:rPr>
          <w:rFonts w:ascii="Arial" w:hAnsi="Arial" w:cs="Arial"/>
          <w:kern w:val="2"/>
          <w:lang w:val="fr-FR" w:eastAsia="fr-FR"/>
          <w14:ligatures w14:val="standardContextual"/>
        </w:rPr>
        <w:t xml:space="preserve"> spores/mL.</w:t>
      </w:r>
    </w:p>
    <w:p w14:paraId="0A8080FC" w14:textId="505384FA" w:rsidR="007B63BA" w:rsidRDefault="007B63BA" w:rsidP="007B63BA">
      <w:pPr>
        <w:keepNext/>
        <w:spacing w:after="160" w:line="259" w:lineRule="auto"/>
        <w:jc w:val="center"/>
        <w:rPr>
          <w:rFonts w:ascii="Calibri" w:eastAsia="Calibri" w:hAnsi="Calibri"/>
          <w:sz w:val="22"/>
          <w:szCs w:val="22"/>
          <w:lang w:val="fr-FR"/>
        </w:rPr>
      </w:pPr>
    </w:p>
    <w:p w14:paraId="483FA750" w14:textId="6F8FCC10" w:rsidR="001D17A0" w:rsidRPr="007B63BA" w:rsidRDefault="001D17A0" w:rsidP="007B63BA">
      <w:pPr>
        <w:keepNext/>
        <w:spacing w:after="160" w:line="259" w:lineRule="auto"/>
        <w:jc w:val="center"/>
        <w:rPr>
          <w:rFonts w:ascii="Calibri" w:eastAsia="Calibri" w:hAnsi="Calibri"/>
          <w:sz w:val="22"/>
          <w:szCs w:val="22"/>
          <w:lang w:val="fr-FR"/>
        </w:rPr>
      </w:pPr>
      <w:r>
        <w:rPr>
          <w:noProof/>
        </w:rPr>
        <w:drawing>
          <wp:inline distT="0" distB="0" distL="0" distR="0" wp14:anchorId="7A94695C" wp14:editId="734AB1D2">
            <wp:extent cx="5038725" cy="3248025"/>
            <wp:effectExtent l="0" t="0" r="9525" b="9525"/>
            <wp:docPr id="2" name="Graphiqu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70DEDE-3635-36C2-32D3-86BB885AC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E1D4DA" w14:textId="28E205E5" w:rsidR="007B63BA" w:rsidRPr="00592AE4" w:rsidRDefault="007B63BA" w:rsidP="00202B61">
      <w:pPr>
        <w:spacing w:after="160" w:line="278" w:lineRule="auto"/>
        <w:ind w:left="142" w:right="128"/>
        <w:jc w:val="both"/>
        <w:rPr>
          <w:rFonts w:ascii="Arial" w:hAnsi="Arial" w:cs="Arial"/>
          <w:kern w:val="2"/>
          <w:lang w:val="fr-FR" w:eastAsia="fr-FR"/>
          <w14:ligatures w14:val="standardContextual"/>
        </w:rPr>
      </w:pPr>
      <w:bookmarkStart w:id="10" w:name="_Ref170464907"/>
      <w:r w:rsidRPr="0064090D">
        <w:rPr>
          <w:rFonts w:ascii="Calibri" w:eastAsia="Calibri" w:hAnsi="Calibri"/>
          <w:b/>
          <w:bCs/>
          <w:sz w:val="16"/>
          <w:szCs w:val="16"/>
          <w:lang w:val="fr-FR"/>
        </w:rPr>
        <w:t>Fig</w:t>
      </w:r>
      <w:bookmarkEnd w:id="10"/>
      <w:r w:rsidRPr="0064090D">
        <w:rPr>
          <w:rFonts w:ascii="Calibri" w:eastAsia="Calibri" w:hAnsi="Calibri"/>
          <w:b/>
          <w:bCs/>
          <w:sz w:val="16"/>
          <w:szCs w:val="16"/>
          <w:lang w:val="fr-FR"/>
        </w:rPr>
        <w:t xml:space="preserve">. 6. </w:t>
      </w:r>
      <w:r w:rsidRPr="0064090D">
        <w:rPr>
          <w:rFonts w:ascii="Calibri" w:eastAsia="Calibri" w:hAnsi="Calibri"/>
          <w:sz w:val="16"/>
          <w:szCs w:val="16"/>
          <w:lang w:val="fr-FR"/>
        </w:rPr>
        <w:t xml:space="preserve"> </w:t>
      </w:r>
      <w:r w:rsidR="0064090D" w:rsidRPr="0064090D">
        <w:rPr>
          <w:rFonts w:ascii="Calibri" w:eastAsia="Calibri" w:hAnsi="Calibri"/>
          <w:sz w:val="16"/>
          <w:szCs w:val="16"/>
          <w:lang w:val="fr-FR"/>
        </w:rPr>
        <w:t xml:space="preserve">Influence of carbon source on </w:t>
      </w:r>
      <w:r w:rsidR="0064090D" w:rsidRPr="0064090D">
        <w:rPr>
          <w:rFonts w:ascii="Calibri" w:eastAsia="Calibri" w:hAnsi="Calibri"/>
          <w:i/>
          <w:iCs/>
          <w:sz w:val="16"/>
          <w:szCs w:val="16"/>
          <w:lang w:val="fr-FR"/>
        </w:rPr>
        <w:t>B. bassiana</w:t>
      </w:r>
      <w:r w:rsidR="0064090D" w:rsidRPr="0064090D">
        <w:rPr>
          <w:rFonts w:ascii="Calibri" w:eastAsia="Calibri" w:hAnsi="Calibri"/>
          <w:sz w:val="16"/>
          <w:szCs w:val="16"/>
          <w:lang w:val="fr-FR"/>
        </w:rPr>
        <w:t xml:space="preserve"> sporulation. Vertical bars illustrate standard deviation from means.</w:t>
      </w:r>
      <w:r w:rsidR="004621DA">
        <w:rPr>
          <w:rFonts w:ascii="Calibri" w:eastAsia="Calibri" w:hAnsi="Calibri"/>
          <w:sz w:val="16"/>
          <w:szCs w:val="16"/>
          <w:lang w:val="fr-FR"/>
        </w:rPr>
        <w:t xml:space="preserve"> </w:t>
      </w:r>
      <w:r w:rsidR="004621DA" w:rsidRPr="004621DA">
        <w:rPr>
          <w:rFonts w:ascii="Calibri" w:eastAsia="Calibri" w:hAnsi="Calibri"/>
          <w:sz w:val="16"/>
          <w:szCs w:val="16"/>
          <w:lang w:val="fr-FR"/>
        </w:rPr>
        <w:t>Fulvic acid (F</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acid (H</w:t>
      </w:r>
      <w:r w:rsidR="004621DA">
        <w:rPr>
          <w:rFonts w:ascii="Calibri" w:eastAsia="Calibri" w:hAnsi="Calibri"/>
          <w:sz w:val="16"/>
          <w:szCs w:val="16"/>
          <w:lang w:val="fr-FR"/>
        </w:rPr>
        <w:t>A</w:t>
      </w:r>
      <w:r w:rsidR="004621DA" w:rsidRPr="004621DA">
        <w:rPr>
          <w:rFonts w:ascii="Calibri" w:eastAsia="Calibri" w:hAnsi="Calibri"/>
          <w:sz w:val="16"/>
          <w:szCs w:val="16"/>
          <w:lang w:val="fr-FR"/>
        </w:rPr>
        <w:t>) ; humic extract (H</w:t>
      </w:r>
      <w:r w:rsidR="004621DA">
        <w:rPr>
          <w:rFonts w:ascii="Calibri" w:eastAsia="Calibri" w:hAnsi="Calibri"/>
          <w:sz w:val="16"/>
          <w:szCs w:val="16"/>
          <w:lang w:val="fr-FR"/>
        </w:rPr>
        <w:t>E</w:t>
      </w:r>
      <w:r w:rsidR="004621DA" w:rsidRPr="004621DA">
        <w:rPr>
          <w:rFonts w:ascii="Calibri" w:eastAsia="Calibri" w:hAnsi="Calibri"/>
          <w:sz w:val="16"/>
          <w:szCs w:val="16"/>
          <w:lang w:val="fr-FR"/>
        </w:rPr>
        <w:t>)</w:t>
      </w:r>
      <w:r w:rsidR="004621DA">
        <w:rPr>
          <w:rFonts w:ascii="Calibri" w:eastAsia="Calibri" w:hAnsi="Calibri"/>
          <w:sz w:val="16"/>
          <w:szCs w:val="16"/>
          <w:lang w:val="fr-FR"/>
        </w:rPr>
        <w:t>.</w:t>
      </w:r>
      <w:r w:rsidR="004621DA" w:rsidRPr="004621DA">
        <w:rPr>
          <w:rFonts w:ascii="Calibri" w:eastAsia="Calibri" w:hAnsi="Calibri"/>
          <w:sz w:val="16"/>
          <w:szCs w:val="16"/>
          <w:lang w:val="fr-FR"/>
        </w:rPr>
        <w:t xml:space="preserve"> </w:t>
      </w:r>
      <w:r w:rsidR="004621DA" w:rsidRPr="0064090D">
        <w:rPr>
          <w:rFonts w:ascii="Calibri" w:eastAsia="Calibri" w:hAnsi="Calibri"/>
          <w:sz w:val="16"/>
          <w:szCs w:val="16"/>
          <w:lang w:val="fr-FR"/>
        </w:rPr>
        <w:t>Values</w:t>
      </w:r>
      <w:r w:rsidR="0064090D" w:rsidRPr="0064090D">
        <w:rPr>
          <w:rFonts w:ascii="Calibri" w:eastAsia="Calibri" w:hAnsi="Calibri"/>
          <w:sz w:val="16"/>
          <w:szCs w:val="16"/>
          <w:lang w:val="fr-FR"/>
        </w:rPr>
        <w:t xml:space="preserve"> with different letters at the top of the bar indicate a significant difference (</w:t>
      </w:r>
      <w:r w:rsidR="00E70F0E" w:rsidRPr="00E70F0E">
        <w:rPr>
          <w:rFonts w:ascii="Arial" w:eastAsia="Calibri" w:hAnsi="Arial" w:cs="Arial"/>
          <w:sz w:val="16"/>
          <w:szCs w:val="16"/>
        </w:rPr>
        <w:t>** P &lt; 0.001</w:t>
      </w:r>
      <w:r w:rsidR="0064090D" w:rsidRPr="0064090D">
        <w:rPr>
          <w:rFonts w:ascii="Calibri" w:eastAsia="Calibri" w:hAnsi="Calibri"/>
          <w:sz w:val="16"/>
          <w:szCs w:val="16"/>
          <w:lang w:val="fr-FR"/>
        </w:rPr>
        <w:t>) determined by the Tukey HSD test.</w:t>
      </w:r>
    </w:p>
    <w:p w14:paraId="2351954D" w14:textId="1AF31EB7" w:rsidR="00592AE4" w:rsidRPr="00592AE4" w:rsidRDefault="00B26FC9" w:rsidP="00592AE4">
      <w:pPr>
        <w:spacing w:after="160" w:line="278" w:lineRule="auto"/>
        <w:jc w:val="both"/>
        <w:rPr>
          <w:rFonts w:ascii="Arial" w:hAnsi="Arial" w:cs="Arial"/>
          <w:b/>
          <w:bCs/>
          <w:kern w:val="2"/>
          <w:sz w:val="22"/>
          <w:szCs w:val="22"/>
          <w:lang w:val="fr-FR" w:eastAsia="fr-FR"/>
          <w14:ligatures w14:val="standardContextual"/>
        </w:rPr>
      </w:pPr>
      <w:r w:rsidRPr="00B26FC9">
        <w:rPr>
          <w:rFonts w:ascii="Arial" w:hAnsi="Arial" w:cs="Arial"/>
          <w:b/>
          <w:bCs/>
          <w:kern w:val="2"/>
          <w:sz w:val="22"/>
          <w:szCs w:val="22"/>
          <w:lang w:val="fr-FR" w:eastAsia="fr-FR"/>
          <w14:ligatures w14:val="standardContextual"/>
        </w:rPr>
        <w:t xml:space="preserve">3.1.6 </w:t>
      </w:r>
      <w:r w:rsidR="00592AE4" w:rsidRPr="00592AE4">
        <w:rPr>
          <w:rFonts w:ascii="Arial" w:hAnsi="Arial" w:cs="Arial"/>
          <w:b/>
          <w:bCs/>
          <w:kern w:val="2"/>
          <w:sz w:val="22"/>
          <w:szCs w:val="22"/>
          <w:lang w:val="fr-FR" w:eastAsia="fr-FR"/>
          <w14:ligatures w14:val="standardContextual"/>
        </w:rPr>
        <w:t>Effect of Culture Substrate on Sporulation</w:t>
      </w:r>
    </w:p>
    <w:p w14:paraId="0DABBA69" w14:textId="787CF2CB" w:rsidR="00592AE4" w:rsidRDefault="00592AE4" w:rsidP="00592AE4">
      <w:pPr>
        <w:pStyle w:val="Body"/>
        <w:spacing w:after="0"/>
        <w:rPr>
          <w:rFonts w:ascii="Arial" w:hAnsi="Arial" w:cs="Arial"/>
        </w:rPr>
      </w:pPr>
      <w:r w:rsidRPr="00592AE4">
        <w:rPr>
          <w:rFonts w:ascii="Arial" w:hAnsi="Arial" w:cs="Arial"/>
          <w:kern w:val="2"/>
          <w:lang w:val="fr-FR" w:eastAsia="fr-FR"/>
          <w14:ligatures w14:val="standardContextual"/>
        </w:rPr>
        <w:t>The results showed that all tested substrates allowed the fungal strain to develop correctly. However</w:t>
      </w:r>
      <w:r w:rsidR="00B83965">
        <w:rPr>
          <w:rFonts w:ascii="Arial" w:hAnsi="Arial" w:cs="Arial"/>
          <w:kern w:val="2"/>
          <w:lang w:val="fr-FR" w:eastAsia="fr-FR"/>
          <w14:ligatures w14:val="standardContextual"/>
        </w:rPr>
        <w:t xml:space="preserve"> (</w:t>
      </w:r>
      <w:r w:rsidR="00B83965" w:rsidRPr="00B83965">
        <w:rPr>
          <w:rFonts w:ascii="Arial" w:hAnsi="Arial" w:cs="Arial"/>
          <w:b/>
          <w:bCs/>
          <w:kern w:val="2"/>
          <w:lang w:val="fr-FR" w:eastAsia="fr-FR"/>
          <w14:ligatures w14:val="standardContextual"/>
        </w:rPr>
        <w:t>Fig.7</w:t>
      </w:r>
      <w:r w:rsidR="00B83965">
        <w:rPr>
          <w:rFonts w:ascii="Arial" w:hAnsi="Arial" w:cs="Arial"/>
          <w:kern w:val="2"/>
          <w:lang w:val="fr-FR" w:eastAsia="fr-FR"/>
          <w14:ligatures w14:val="standardContextual"/>
        </w:rPr>
        <w:t>)</w:t>
      </w:r>
      <w:r w:rsidRPr="00592AE4">
        <w:rPr>
          <w:rFonts w:ascii="Arial" w:hAnsi="Arial" w:cs="Arial"/>
          <w:kern w:val="2"/>
          <w:lang w:val="fr-FR" w:eastAsia="fr-FR"/>
          <w14:ligatures w14:val="standardContextual"/>
        </w:rPr>
        <w:t>, conidial yields varied from one substrate to another (</w:t>
      </w:r>
      <w:r w:rsidRPr="007B63BA">
        <w:rPr>
          <w:rFonts w:ascii="Arial" w:hAnsi="Arial" w:cs="Arial"/>
          <w:b/>
          <w:bCs/>
          <w:kern w:val="2"/>
          <w:lang w:val="fr-FR" w:eastAsia="fr-FR"/>
          <w14:ligatures w14:val="standardContextual"/>
        </w:rPr>
        <w:t xml:space="preserve">Fig. </w:t>
      </w:r>
      <w:r w:rsidR="00B83965">
        <w:rPr>
          <w:rFonts w:ascii="Arial" w:hAnsi="Arial" w:cs="Arial"/>
          <w:b/>
          <w:bCs/>
          <w:kern w:val="2"/>
          <w:lang w:val="fr-FR" w:eastAsia="fr-FR"/>
          <w14:ligatures w14:val="standardContextual"/>
        </w:rPr>
        <w:t>8</w:t>
      </w:r>
      <w:r w:rsidRPr="00592AE4">
        <w:rPr>
          <w:rFonts w:ascii="Arial" w:hAnsi="Arial" w:cs="Arial"/>
          <w:kern w:val="2"/>
          <w:lang w:val="fr-FR" w:eastAsia="fr-FR"/>
          <w14:ligatures w14:val="standardContextual"/>
        </w:rPr>
        <w:t xml:space="preserve">). The highest conidial concentrations were obtained with the substrate consisting of rice husk and corn flour, with a yield of 2.26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This substrate was followed by the substrate composed of rice husk and sorghum (5.69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These flours were followed by </w:t>
      </w:r>
      <w:r w:rsidRPr="00592AE4">
        <w:rPr>
          <w:rFonts w:ascii="Arial" w:hAnsi="Arial" w:cs="Arial"/>
          <w:kern w:val="2"/>
          <w:lang w:val="fr-FR" w:eastAsia="fr-FR"/>
          <w14:ligatures w14:val="standardContextual"/>
        </w:rPr>
        <w:lastRenderedPageBreak/>
        <w:t xml:space="preserve">cassava (4.87 </w:t>
      </w:r>
      <w:r w:rsidR="00B26FC9">
        <w:rPr>
          <w:rFonts w:ascii="Arial" w:hAnsi="Arial" w:cs="Arial"/>
          <w:kern w:val="2"/>
          <w:lang w:val="fr-FR" w:eastAsia="fr-FR"/>
          <w14:ligatures w14:val="standardContextual"/>
        </w:rPr>
        <w:t xml:space="preserve">x </w:t>
      </w:r>
      <w:r w:rsidRPr="00592AE4">
        <w:rPr>
          <w:rFonts w:ascii="Arial" w:hAnsi="Arial" w:cs="Arial"/>
          <w:kern w:val="2"/>
          <w:lang w:val="fr-FR" w:eastAsia="fr-FR"/>
          <w14:ligatures w14:val="standardContextual"/>
        </w:rPr>
        <w:t>10</w:t>
      </w:r>
      <w:r w:rsidRPr="00B26FC9">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wheat (4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The lowest conidial concentrations were obtained with rice (2.47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and millet (2.25 </w:t>
      </w:r>
      <w:r w:rsidR="007B63BA">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7B63BA">
        <w:rPr>
          <w:rFonts w:ascii="Arial" w:hAnsi="Arial" w:cs="Arial"/>
          <w:kern w:val="2"/>
          <w:vertAlign w:val="superscript"/>
          <w:lang w:val="fr-FR" w:eastAsia="fr-FR"/>
          <w14:ligatures w14:val="standardContextual"/>
        </w:rPr>
        <w:t>7</w:t>
      </w:r>
      <w:r w:rsidRPr="00592AE4">
        <w:rPr>
          <w:rFonts w:ascii="Arial" w:hAnsi="Arial" w:cs="Arial"/>
          <w:kern w:val="2"/>
          <w:lang w:val="fr-FR" w:eastAsia="fr-FR"/>
          <w14:ligatures w14:val="standardContextual"/>
        </w:rPr>
        <w:t xml:space="preserve"> conidia/mL) flours.</w:t>
      </w:r>
    </w:p>
    <w:p w14:paraId="5E082F4D" w14:textId="5892A882" w:rsidR="00592AE4" w:rsidRDefault="00592AE4" w:rsidP="00441B6F">
      <w:pPr>
        <w:pStyle w:val="Body"/>
        <w:spacing w:after="0"/>
        <w:rPr>
          <w:rFonts w:ascii="Arial" w:hAnsi="Arial" w:cs="Arial"/>
        </w:rPr>
      </w:pPr>
    </w:p>
    <w:p w14:paraId="31BA9625" w14:textId="77777777" w:rsidR="00B83965" w:rsidRPr="00B83965" w:rsidRDefault="00B83965" w:rsidP="00B83965">
      <w:pPr>
        <w:spacing w:line="360" w:lineRule="auto"/>
        <w:jc w:val="both"/>
        <w:rPr>
          <w:rFonts w:ascii="Times New Roman" w:eastAsia="Calibri" w:hAnsi="Times New Roman"/>
          <w:sz w:val="24"/>
          <w:szCs w:val="22"/>
          <w:lang w:val="fr-FR"/>
        </w:rPr>
      </w:pPr>
      <w:r w:rsidRPr="00B83965">
        <w:rPr>
          <w:rFonts w:ascii="Times New Roman" w:eastAsia="Calibri" w:hAnsi="Times New Roman"/>
          <w:noProof/>
          <w:sz w:val="24"/>
          <w:szCs w:val="22"/>
        </w:rPr>
        <w:drawing>
          <wp:inline distT="0" distB="0" distL="0" distR="0" wp14:anchorId="7DB4BB62" wp14:editId="616AD392">
            <wp:extent cx="5192973" cy="1643760"/>
            <wp:effectExtent l="0" t="0" r="8255" b="0"/>
            <wp:docPr id="4555000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00033" name="Image 7"/>
                    <pic:cNvPicPr/>
                  </pic:nvPicPr>
                  <pic:blipFill>
                    <a:blip r:embed="rId22">
                      <a:extLst>
                        <a:ext uri="{28A0092B-C50C-407E-A947-70E740481C1C}">
                          <a14:useLocalDpi xmlns:a14="http://schemas.microsoft.com/office/drawing/2010/main" val="0"/>
                        </a:ext>
                      </a:extLst>
                    </a:blip>
                    <a:stretch>
                      <a:fillRect/>
                    </a:stretch>
                  </pic:blipFill>
                  <pic:spPr>
                    <a:xfrm>
                      <a:off x="0" y="0"/>
                      <a:ext cx="5215263" cy="1650816"/>
                    </a:xfrm>
                    <a:prstGeom prst="rect">
                      <a:avLst/>
                    </a:prstGeom>
                  </pic:spPr>
                </pic:pic>
              </a:graphicData>
            </a:graphic>
          </wp:inline>
        </w:drawing>
      </w:r>
    </w:p>
    <w:p w14:paraId="5E1ED438" w14:textId="58E767B4" w:rsidR="00B83965" w:rsidRPr="00B83965" w:rsidRDefault="00B83965" w:rsidP="00B83965">
      <w:pPr>
        <w:spacing w:line="360" w:lineRule="auto"/>
        <w:jc w:val="both"/>
        <w:rPr>
          <w:rFonts w:ascii="Arial" w:eastAsia="Calibri" w:hAnsi="Arial" w:cs="Arial"/>
          <w:sz w:val="16"/>
          <w:szCs w:val="16"/>
          <w:lang w:val="fr-FR"/>
        </w:rPr>
      </w:pPr>
      <w:bookmarkStart w:id="11" w:name="_Ref170427685"/>
      <w:bookmarkStart w:id="12" w:name="_Toc172550214"/>
      <w:bookmarkStart w:id="13" w:name="_Toc172923943"/>
      <w:bookmarkStart w:id="14" w:name="_Toc172462195"/>
      <w:r w:rsidRPr="00B83965">
        <w:rPr>
          <w:rFonts w:ascii="Arial" w:eastAsia="Calibri" w:hAnsi="Arial" w:cs="Arial"/>
          <w:b/>
          <w:bCs/>
          <w:sz w:val="16"/>
          <w:szCs w:val="16"/>
          <w:lang w:val="fr-FR"/>
        </w:rPr>
        <w:t>Fig</w:t>
      </w:r>
      <w:bookmarkEnd w:id="11"/>
      <w:r w:rsidRPr="00B83965">
        <w:rPr>
          <w:rFonts w:ascii="Arial" w:eastAsia="Calibri" w:hAnsi="Arial" w:cs="Arial"/>
          <w:b/>
          <w:bCs/>
          <w:sz w:val="16"/>
          <w:szCs w:val="16"/>
          <w:lang w:val="fr-FR"/>
        </w:rPr>
        <w:t xml:space="preserve">. </w:t>
      </w:r>
      <w:r w:rsidRPr="0064090D">
        <w:rPr>
          <w:rFonts w:ascii="Arial" w:eastAsia="Calibri" w:hAnsi="Arial" w:cs="Arial"/>
          <w:b/>
          <w:bCs/>
          <w:sz w:val="16"/>
          <w:szCs w:val="16"/>
          <w:lang w:val="fr-FR"/>
        </w:rPr>
        <w:t>7</w:t>
      </w:r>
      <w:r w:rsidRPr="00B83965">
        <w:rPr>
          <w:rFonts w:ascii="Arial" w:eastAsia="Calibri" w:hAnsi="Arial" w:cs="Arial"/>
          <w:b/>
          <w:sz w:val="16"/>
          <w:szCs w:val="16"/>
          <w:lang w:val="fr-FR"/>
        </w:rPr>
        <w:t xml:space="preserve">. </w:t>
      </w:r>
      <w:bookmarkEnd w:id="12"/>
      <w:bookmarkEnd w:id="13"/>
      <w:bookmarkEnd w:id="14"/>
      <w:r w:rsidR="0064090D" w:rsidRPr="0064090D">
        <w:rPr>
          <w:rFonts w:ascii="Arial" w:eastAsia="Calibri" w:hAnsi="Arial" w:cs="Arial"/>
          <w:sz w:val="16"/>
          <w:szCs w:val="16"/>
          <w:lang w:val="fr-FR"/>
        </w:rPr>
        <w:t xml:space="preserve">Development of the strain according to the type of flour added to the substrate. </w:t>
      </w:r>
      <w:r w:rsidR="0064090D" w:rsidRPr="0064090D">
        <w:rPr>
          <w:rFonts w:ascii="Arial" w:eastAsia="Calibri" w:hAnsi="Arial" w:cs="Arial"/>
          <w:b/>
          <w:bCs/>
          <w:sz w:val="16"/>
          <w:szCs w:val="16"/>
          <w:lang w:val="fr-FR"/>
        </w:rPr>
        <w:t>(a)</w:t>
      </w:r>
      <w:r w:rsidR="0064090D" w:rsidRPr="0064090D">
        <w:rPr>
          <w:rFonts w:ascii="Arial" w:eastAsia="Calibri" w:hAnsi="Arial" w:cs="Arial"/>
          <w:sz w:val="16"/>
          <w:szCs w:val="16"/>
          <w:lang w:val="fr-FR"/>
        </w:rPr>
        <w:t xml:space="preserve"> rice flour; </w:t>
      </w:r>
      <w:r w:rsidR="0064090D" w:rsidRPr="0064090D">
        <w:rPr>
          <w:rFonts w:ascii="Arial" w:eastAsia="Calibri" w:hAnsi="Arial" w:cs="Arial"/>
          <w:b/>
          <w:bCs/>
          <w:sz w:val="16"/>
          <w:szCs w:val="16"/>
          <w:lang w:val="fr-FR"/>
        </w:rPr>
        <w:t>(b)</w:t>
      </w:r>
      <w:r w:rsidR="0064090D" w:rsidRPr="0064090D">
        <w:rPr>
          <w:rFonts w:ascii="Arial" w:eastAsia="Calibri" w:hAnsi="Arial" w:cs="Arial"/>
          <w:sz w:val="16"/>
          <w:szCs w:val="16"/>
          <w:lang w:val="fr-FR"/>
        </w:rPr>
        <w:t xml:space="preserve"> corn flour; </w:t>
      </w:r>
      <w:r w:rsidR="0064090D" w:rsidRPr="0064090D">
        <w:rPr>
          <w:rFonts w:ascii="Arial" w:eastAsia="Calibri" w:hAnsi="Arial" w:cs="Arial"/>
          <w:b/>
          <w:bCs/>
          <w:sz w:val="16"/>
          <w:szCs w:val="16"/>
          <w:lang w:val="fr-FR"/>
        </w:rPr>
        <w:t>(c)</w:t>
      </w:r>
      <w:r w:rsidR="0064090D" w:rsidRPr="0064090D">
        <w:rPr>
          <w:rFonts w:ascii="Arial" w:eastAsia="Calibri" w:hAnsi="Arial" w:cs="Arial"/>
          <w:sz w:val="16"/>
          <w:szCs w:val="16"/>
          <w:lang w:val="fr-FR"/>
        </w:rPr>
        <w:t xml:space="preserve"> millet flour; </w:t>
      </w:r>
      <w:r w:rsidR="0064090D" w:rsidRPr="0064090D">
        <w:rPr>
          <w:rFonts w:ascii="Arial" w:eastAsia="Calibri" w:hAnsi="Arial" w:cs="Arial"/>
          <w:b/>
          <w:bCs/>
          <w:sz w:val="16"/>
          <w:szCs w:val="16"/>
          <w:lang w:val="fr-FR"/>
        </w:rPr>
        <w:t>(d)</w:t>
      </w:r>
      <w:r w:rsidR="0064090D" w:rsidRPr="0064090D">
        <w:rPr>
          <w:rFonts w:ascii="Arial" w:eastAsia="Calibri" w:hAnsi="Arial" w:cs="Arial"/>
          <w:sz w:val="16"/>
          <w:szCs w:val="16"/>
          <w:lang w:val="fr-FR"/>
        </w:rPr>
        <w:t xml:space="preserve"> sorghum flour; </w:t>
      </w:r>
      <w:r w:rsidR="0064090D" w:rsidRPr="0064090D">
        <w:rPr>
          <w:rFonts w:ascii="Arial" w:eastAsia="Calibri" w:hAnsi="Arial" w:cs="Arial"/>
          <w:b/>
          <w:bCs/>
          <w:sz w:val="16"/>
          <w:szCs w:val="16"/>
          <w:lang w:val="fr-FR"/>
        </w:rPr>
        <w:t>(e)</w:t>
      </w:r>
      <w:r w:rsidR="0064090D" w:rsidRPr="0064090D">
        <w:rPr>
          <w:rFonts w:ascii="Arial" w:eastAsia="Calibri" w:hAnsi="Arial" w:cs="Arial"/>
          <w:sz w:val="16"/>
          <w:szCs w:val="16"/>
          <w:lang w:val="fr-FR"/>
        </w:rPr>
        <w:t xml:space="preserve"> cassava flour; </w:t>
      </w:r>
      <w:r w:rsidR="0064090D" w:rsidRPr="0064090D">
        <w:rPr>
          <w:rFonts w:ascii="Arial" w:eastAsia="Calibri" w:hAnsi="Arial" w:cs="Arial"/>
          <w:b/>
          <w:bCs/>
          <w:sz w:val="16"/>
          <w:szCs w:val="16"/>
          <w:lang w:val="fr-FR"/>
        </w:rPr>
        <w:t>(f)</w:t>
      </w:r>
      <w:r w:rsidR="0064090D" w:rsidRPr="0064090D">
        <w:rPr>
          <w:rFonts w:ascii="Arial" w:eastAsia="Calibri" w:hAnsi="Arial" w:cs="Arial"/>
          <w:sz w:val="16"/>
          <w:szCs w:val="16"/>
          <w:lang w:val="fr-FR"/>
        </w:rPr>
        <w:t xml:space="preserve"> wheat flour.</w:t>
      </w:r>
    </w:p>
    <w:p w14:paraId="5FC04CD2" w14:textId="77777777" w:rsidR="00B83965" w:rsidRPr="00B83965" w:rsidRDefault="00B83965" w:rsidP="00B83965">
      <w:pPr>
        <w:spacing w:line="360" w:lineRule="auto"/>
        <w:jc w:val="both"/>
        <w:rPr>
          <w:rFonts w:ascii="Arial" w:eastAsia="Calibri" w:hAnsi="Arial" w:cs="Arial"/>
          <w:sz w:val="16"/>
          <w:szCs w:val="16"/>
          <w:lang w:val="fr-FR"/>
        </w:rPr>
      </w:pPr>
    </w:p>
    <w:p w14:paraId="6F500461" w14:textId="01672416" w:rsidR="00B83965" w:rsidRDefault="00B83965" w:rsidP="00B83965">
      <w:pPr>
        <w:spacing w:line="360" w:lineRule="auto"/>
        <w:jc w:val="center"/>
        <w:rPr>
          <w:rFonts w:ascii="Times New Roman" w:eastAsia="Calibri" w:hAnsi="Times New Roman"/>
          <w:sz w:val="24"/>
          <w:szCs w:val="22"/>
          <w:lang w:val="fr-FR"/>
        </w:rPr>
      </w:pPr>
    </w:p>
    <w:p w14:paraId="145961D2" w14:textId="6297C024" w:rsidR="006A38B4" w:rsidRPr="00B83965" w:rsidRDefault="006A38B4" w:rsidP="00B83965">
      <w:pPr>
        <w:spacing w:line="360" w:lineRule="auto"/>
        <w:jc w:val="center"/>
        <w:rPr>
          <w:rFonts w:ascii="Times New Roman" w:eastAsia="Calibri" w:hAnsi="Times New Roman"/>
          <w:sz w:val="24"/>
          <w:szCs w:val="22"/>
          <w:lang w:val="fr-FR"/>
        </w:rPr>
      </w:pPr>
      <w:r>
        <w:rPr>
          <w:noProof/>
        </w:rPr>
        <w:drawing>
          <wp:inline distT="0" distB="0" distL="0" distR="0" wp14:anchorId="72B30762" wp14:editId="24656CA8">
            <wp:extent cx="4686300" cy="2743200"/>
            <wp:effectExtent l="0" t="0" r="0" b="0"/>
            <wp:docPr id="4" name="Graphiqu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94E21F-07DE-2B36-992F-A84C8C4162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575CD8" w14:textId="1CD35558" w:rsidR="00592AE4" w:rsidRDefault="00B83965" w:rsidP="004621DA">
      <w:pPr>
        <w:spacing w:after="240" w:line="360" w:lineRule="auto"/>
        <w:ind w:left="426" w:right="411"/>
        <w:jc w:val="both"/>
        <w:rPr>
          <w:rFonts w:ascii="Arial" w:hAnsi="Arial" w:cs="Arial"/>
        </w:rPr>
      </w:pPr>
      <w:bookmarkStart w:id="15" w:name="_Ref170427849"/>
      <w:bookmarkStart w:id="16" w:name="_Toc172550215"/>
      <w:bookmarkStart w:id="17" w:name="_Toc172923944"/>
      <w:bookmarkStart w:id="18" w:name="_Toc172462196"/>
      <w:r w:rsidRPr="00B83965">
        <w:rPr>
          <w:rFonts w:ascii="Arial" w:eastAsia="Calibri" w:hAnsi="Arial" w:cs="Arial"/>
          <w:b/>
          <w:bCs/>
          <w:sz w:val="16"/>
          <w:szCs w:val="16"/>
          <w:lang w:val="fr-FR"/>
        </w:rPr>
        <w:t>Fig</w:t>
      </w:r>
      <w:bookmarkEnd w:id="15"/>
      <w:r w:rsidRPr="00B83965">
        <w:rPr>
          <w:rFonts w:ascii="Arial" w:eastAsia="Calibri" w:hAnsi="Arial" w:cs="Arial"/>
          <w:b/>
          <w:bCs/>
          <w:sz w:val="16"/>
          <w:szCs w:val="16"/>
          <w:lang w:val="fr-FR"/>
        </w:rPr>
        <w:t xml:space="preserve">. </w:t>
      </w:r>
      <w:r w:rsidRPr="004621DA">
        <w:rPr>
          <w:rFonts w:ascii="Arial" w:eastAsia="Calibri" w:hAnsi="Arial" w:cs="Arial"/>
          <w:b/>
          <w:bCs/>
          <w:sz w:val="16"/>
          <w:szCs w:val="16"/>
          <w:lang w:val="fr-FR"/>
        </w:rPr>
        <w:t>8</w:t>
      </w:r>
      <w:r w:rsidRPr="00B83965">
        <w:rPr>
          <w:rFonts w:ascii="Arial" w:eastAsia="Calibri" w:hAnsi="Arial" w:cs="Arial"/>
          <w:b/>
          <w:bCs/>
          <w:sz w:val="16"/>
          <w:szCs w:val="16"/>
          <w:lang w:val="fr-FR"/>
        </w:rPr>
        <w:t>.</w:t>
      </w:r>
      <w:r w:rsidRPr="00B83965">
        <w:rPr>
          <w:rFonts w:ascii="Arial" w:eastAsia="Calibri" w:hAnsi="Arial" w:cs="Arial"/>
          <w:sz w:val="16"/>
          <w:szCs w:val="16"/>
          <w:lang w:val="fr-FR"/>
        </w:rPr>
        <w:t xml:space="preserve"> </w:t>
      </w:r>
      <w:bookmarkEnd w:id="16"/>
      <w:bookmarkEnd w:id="17"/>
      <w:bookmarkEnd w:id="18"/>
      <w:r w:rsidR="004621DA" w:rsidRPr="004621DA">
        <w:rPr>
          <w:rFonts w:ascii="Arial" w:eastAsia="Calibri" w:hAnsi="Arial" w:cs="Arial"/>
          <w:sz w:val="16"/>
          <w:szCs w:val="16"/>
          <w:lang w:val="fr-FR"/>
        </w:rPr>
        <w:t>Influence of the type of flour on sporulation. The vertical bars illustrate the standard deviation of the means. Values with different letters at the top of the bar indicate a significant difference (</w:t>
      </w:r>
      <w:r w:rsidR="00E70F0E" w:rsidRPr="00E70F0E">
        <w:rPr>
          <w:rFonts w:ascii="Arial" w:eastAsia="Calibri" w:hAnsi="Arial" w:cs="Arial"/>
          <w:sz w:val="16"/>
          <w:szCs w:val="16"/>
        </w:rPr>
        <w:t>** P &lt; 0.001</w:t>
      </w:r>
      <w:r w:rsidR="004621DA" w:rsidRPr="004621DA">
        <w:rPr>
          <w:rFonts w:ascii="Arial" w:eastAsia="Calibri" w:hAnsi="Arial" w:cs="Arial"/>
          <w:sz w:val="16"/>
          <w:szCs w:val="16"/>
          <w:lang w:val="fr-FR"/>
        </w:rPr>
        <w:t>) determined by the Tukey HSD test.</w:t>
      </w:r>
    </w:p>
    <w:p w14:paraId="0A0CC966" w14:textId="15945026" w:rsidR="00B83965" w:rsidRDefault="00B83965" w:rsidP="00B83965">
      <w:pPr>
        <w:pStyle w:val="ConcHead"/>
        <w:jc w:val="both"/>
        <w:rPr>
          <w:rFonts w:ascii="Arial" w:hAnsi="Arial" w:cs="Arial"/>
          <w:caps w:val="0"/>
        </w:rPr>
      </w:pPr>
      <w:r>
        <w:rPr>
          <w:rFonts w:ascii="Arial" w:hAnsi="Arial" w:cs="Arial"/>
        </w:rPr>
        <w:t xml:space="preserve">3.2 </w:t>
      </w:r>
      <w:r>
        <w:rPr>
          <w:rFonts w:ascii="Arial" w:hAnsi="Arial" w:cs="Arial"/>
          <w:caps w:val="0"/>
        </w:rPr>
        <w:t>D</w:t>
      </w:r>
      <w:r w:rsidRPr="00B83965">
        <w:rPr>
          <w:rFonts w:ascii="Arial" w:hAnsi="Arial" w:cs="Arial"/>
          <w:caps w:val="0"/>
        </w:rPr>
        <w:t>iscussion</w:t>
      </w:r>
    </w:p>
    <w:p w14:paraId="480CD457" w14:textId="05706C19"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The results obtained in this study showed that the optimal temperature range for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was between 20 and 30 °C, particularly at 25 °C, with a spore concentration of 3.83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Our results are similar to those of Moldovan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 number of spores produced by the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CNMN-FE-01 studied by those authors varied between 3.46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3.44 x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conidia/cm² in the </w:t>
      </w:r>
      <w:r w:rsidRPr="001C5C0B">
        <w:rPr>
          <w:rFonts w:ascii="Arial" w:hAnsi="Arial" w:cs="Arial"/>
          <w:kern w:val="2"/>
          <w:lang w:val="fr-FR" w:eastAsia="fr-FR"/>
          <w14:ligatures w14:val="standardContextual"/>
        </w:rPr>
        <w:lastRenderedPageBreak/>
        <w:t>temperature range of 15 °C to 30 °C. These various results confirm the assertions of Goettel and Inglis (1997). These authors emphasized that the optimal temperature for mycelial growth and sporulation of entomopathogenic fungi generally ranges between 20 and 25 °C, depending on the species and strains.</w:t>
      </w:r>
    </w:p>
    <w:p w14:paraId="2F3AF05D" w14:textId="339431A4"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Regarding the medium pH, the analysis results showed that the studied strain can sporulate at both acidic and alkaline pH levels. However, the best sporulation, estimated at 7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was obtained at a pH of 9. These results are close to those of Tamires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(2022). Indeed, these authors obtained sporulation rates of 7.2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6.8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at pH 7 and 8, respectively, with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strain ESALQ 171, and 6.6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and 6.1 x 10</w:t>
      </w:r>
      <w:r w:rsidRPr="001C5C0B">
        <w:rPr>
          <w:rFonts w:ascii="Arial" w:hAnsi="Arial" w:cs="Arial"/>
          <w:kern w:val="2"/>
          <w:vertAlign w:val="superscript"/>
          <w:lang w:val="fr-FR" w:eastAsia="fr-FR"/>
          <w14:ligatures w14:val="standardContextual"/>
        </w:rPr>
        <w:t>8</w:t>
      </w:r>
      <w:r w:rsidRPr="001C5C0B">
        <w:rPr>
          <w:rFonts w:ascii="Arial" w:hAnsi="Arial" w:cs="Arial"/>
          <w:kern w:val="2"/>
          <w:lang w:val="fr-FR" w:eastAsia="fr-FR"/>
          <w14:ligatures w14:val="standardContextual"/>
        </w:rPr>
        <w:t xml:space="preserve"> spores/mL with </w:t>
      </w:r>
      <w:r w:rsidRPr="001C5C0B">
        <w:rPr>
          <w:rFonts w:ascii="Arial" w:hAnsi="Arial" w:cs="Arial"/>
          <w:i/>
          <w:iCs/>
          <w:kern w:val="2"/>
          <w:lang w:val="fr-FR" w:eastAsia="fr-FR"/>
          <w14:ligatures w14:val="standardContextual"/>
        </w:rPr>
        <w:t>Metarhizium anisopliae</w:t>
      </w:r>
      <w:r w:rsidRPr="001C5C0B">
        <w:rPr>
          <w:rFonts w:ascii="Arial" w:hAnsi="Arial" w:cs="Arial"/>
          <w:kern w:val="2"/>
          <w:lang w:val="fr-FR" w:eastAsia="fr-FR"/>
          <w14:ligatures w14:val="standardContextual"/>
        </w:rPr>
        <w:t xml:space="preserve"> strain ESALQ 935. Conversely, these results contradict those of de Castellanos and Pedro (2010), for whom the best biomass (0.079 g/mL) and spore production (11.4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8 </w:t>
      </w:r>
      <w:r w:rsidRPr="001C5C0B">
        <w:rPr>
          <w:rFonts w:ascii="Arial" w:hAnsi="Arial" w:cs="Arial"/>
          <w:kern w:val="2"/>
          <w:lang w:val="fr-FR" w:eastAsia="fr-FR"/>
          <w14:ligatures w14:val="standardContextual"/>
        </w:rPr>
        <w:t>spores/mL) were obtained at pH 4.5 and 4.4.</w:t>
      </w:r>
    </w:p>
    <w:p w14:paraId="0323E2B3" w14:textId="2FBACB36"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This study demonstrated the positive effect of light on the sporulation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clone EF 46. In this study, the best sporulation (3.97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7 </w:t>
      </w:r>
      <w:r w:rsidRPr="001C5C0B">
        <w:rPr>
          <w:rFonts w:ascii="Arial" w:hAnsi="Arial" w:cs="Arial"/>
          <w:kern w:val="2"/>
          <w:lang w:val="fr-FR" w:eastAsia="fr-FR"/>
          <w14:ligatures w14:val="standardContextual"/>
        </w:rPr>
        <w:t xml:space="preserve">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was observed under an alternating 12/12 h light/darkness cycle, followed by continuous light. These results align with those of Rishad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Studies conducted on </w:t>
      </w:r>
      <w:r w:rsidRPr="001C5C0B">
        <w:rPr>
          <w:rFonts w:ascii="Arial" w:hAnsi="Arial" w:cs="Arial"/>
          <w:i/>
          <w:iCs/>
          <w:kern w:val="2"/>
          <w:lang w:val="fr-FR" w:eastAsia="fr-FR"/>
          <w14:ligatures w14:val="standardContextual"/>
        </w:rPr>
        <w:t>Magnaporthe oryzae</w:t>
      </w:r>
      <w:r w:rsidRPr="001C5C0B">
        <w:rPr>
          <w:rFonts w:ascii="Arial" w:hAnsi="Arial" w:cs="Arial"/>
          <w:kern w:val="2"/>
          <w:lang w:val="fr-FR" w:eastAsia="fr-FR"/>
          <w14:ligatures w14:val="standardContextual"/>
        </w:rPr>
        <w:t xml:space="preserve"> by these authors showed sporulation of 4.83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under continuous light, 5.66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under alternating light with darkness (16/8 h), and 4.58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in continuous darkness for 15 days. However, this sporulation in the presence of light depends on the color of the emitted light. Indeed, studies have shown that spore production of </w:t>
      </w:r>
      <w:r w:rsidRPr="001C5C0B">
        <w:rPr>
          <w:rFonts w:ascii="Arial" w:hAnsi="Arial" w:cs="Arial"/>
          <w:i/>
          <w:iCs/>
          <w:kern w:val="2"/>
          <w:lang w:val="fr-FR" w:eastAsia="fr-FR"/>
          <w14:ligatures w14:val="standardContextual"/>
        </w:rPr>
        <w:t>B</w:t>
      </w:r>
      <w:r w:rsidR="00E4133D" w:rsidRPr="001C5C0B">
        <w:rPr>
          <w:rFonts w:ascii="Arial" w:hAnsi="Arial" w:cs="Arial"/>
          <w:i/>
          <w:iCs/>
          <w:kern w:val="2"/>
          <w:lang w:val="fr-FR" w:eastAsia="fr-FR"/>
          <w14:ligatures w14:val="standardContextual"/>
        </w:rPr>
        <w:t>.</w:t>
      </w:r>
      <w:r w:rsidRPr="001C5C0B">
        <w:rPr>
          <w:rFonts w:ascii="Arial" w:hAnsi="Arial" w:cs="Arial"/>
          <w:i/>
          <w:iCs/>
          <w:kern w:val="2"/>
          <w:lang w:val="fr-FR" w:eastAsia="fr-FR"/>
          <w14:ligatures w14:val="standardContextual"/>
        </w:rPr>
        <w:t xml:space="preserve"> bassiana</w:t>
      </w:r>
      <w:r w:rsidRPr="001C5C0B">
        <w:rPr>
          <w:rFonts w:ascii="Arial" w:hAnsi="Arial" w:cs="Arial"/>
          <w:kern w:val="2"/>
          <w:lang w:val="fr-FR" w:eastAsia="fr-FR"/>
          <w14:ligatures w14:val="standardContextual"/>
        </w:rPr>
        <w:t xml:space="preserve"> under blue light was 9.92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compared to 11.69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conidia/colony under white light. However, there was no significant difference between them. In contrast, under purple, green, yellow, and red light, sporulation was significantly lower, with decreases of 47, 61, 63, and 79% respectively, compared to blue light (Yong-Jun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2014). According to Lee et al. (2006), blue light, as a unique signaling stimulus, plays an important role in regulating sporulation in several fungal species.</w:t>
      </w:r>
    </w:p>
    <w:p w14:paraId="12BCA860" w14:textId="0F08E72E"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Of all the carbon sources tested in this study, fulvic acid proved to be the best, with a yield of 1.4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followed by humic extract with a yield of 1.3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spores/mL. Our results are consistent with those of Daniel and Cristina-Maria (2021). These authors showed in their work that each studied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strain had different carbon source preferences. Thus, strains BbEI2/99 and BbCi1/94 sporulated better in media containing molasses (4.91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13.07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As for strain BbHr1/94, it sporulated better on starch-based media (1.53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Fructose was preferred by strain BbSC (12.89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sucrose by strain BbD1/94 (13.76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arabinose by strain BbHr1/94 (22.70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and ribose by strain BbSC3/15 (12.09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6</w:t>
      </w:r>
      <w:r w:rsidRPr="001C5C0B">
        <w:rPr>
          <w:rFonts w:ascii="Arial" w:hAnsi="Arial" w:cs="Arial"/>
          <w:kern w:val="2"/>
          <w:lang w:val="fr-FR" w:eastAsia="fr-FR"/>
          <w14:ligatures w14:val="standardContextual"/>
        </w:rPr>
        <w:t xml:space="preserve"> spores/mL). This could be explained by the chemical composition of humic substances. Indeed, chemical analysis of humic substances has shown that they are rich in light carbon ; besides nitrogen, they contain several essential minerals such as Fe, S, Zn, Mg, Ca, Mn, and many other elements. According to Jackson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(1997), these elements are essential and constitute the basal salts required to induce the production of blastospores and other fungal biomass of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w:t>
      </w:r>
    </w:p>
    <w:p w14:paraId="6A9418F5" w14:textId="5B77158B" w:rsidR="00B83965" w:rsidRPr="001C5C0B" w:rsidRDefault="00B83965" w:rsidP="00BF2663">
      <w:pPr>
        <w:spacing w:line="278" w:lineRule="auto"/>
        <w:jc w:val="both"/>
        <w:rPr>
          <w:rFonts w:ascii="Arial" w:hAnsi="Arial" w:cs="Arial"/>
          <w:kern w:val="2"/>
          <w:lang w:val="fr-FR" w:eastAsia="fr-FR"/>
          <w14:ligatures w14:val="standardContextual"/>
        </w:rPr>
      </w:pPr>
      <w:r w:rsidRPr="001C5C0B">
        <w:rPr>
          <w:rFonts w:ascii="Arial" w:hAnsi="Arial" w:cs="Arial"/>
          <w:kern w:val="2"/>
          <w:lang w:val="fr-FR" w:eastAsia="fr-FR"/>
          <w14:ligatures w14:val="standardContextual"/>
        </w:rPr>
        <w:t xml:space="preserve">Regarding the appropriate nitrogen source, the best sporulation of 1.05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conidia/mL was obtained with dry baker’s yeast, followed by housefly meal with a sporulation of 8.5 </w:t>
      </w:r>
      <w:r w:rsidR="00E4133D" w:rsidRPr="001C5C0B">
        <w:rPr>
          <w:rFonts w:ascii="Arial" w:hAnsi="Arial" w:cs="Arial"/>
          <w:kern w:val="2"/>
          <w:lang w:val="fr-FR" w:eastAsia="fr-FR"/>
          <w14:ligatures w14:val="standardContextual"/>
        </w:rPr>
        <w:t xml:space="preserve">x </w:t>
      </w:r>
      <w:r w:rsidRPr="001C5C0B">
        <w:rPr>
          <w:rFonts w:ascii="Arial" w:hAnsi="Arial" w:cs="Arial"/>
          <w:kern w:val="2"/>
          <w:lang w:val="fr-FR" w:eastAsia="fr-FR"/>
          <w14:ligatures w14:val="standardContextual"/>
        </w:rPr>
        <w:t>10</w:t>
      </w:r>
      <w:r w:rsidRPr="001C5C0B">
        <w:rPr>
          <w:rFonts w:ascii="Arial" w:hAnsi="Arial" w:cs="Arial"/>
          <w:kern w:val="2"/>
          <w:vertAlign w:val="superscript"/>
          <w:lang w:val="fr-FR" w:eastAsia="fr-FR"/>
          <w14:ligatures w14:val="standardContextual"/>
        </w:rPr>
        <w:t xml:space="preserve">6 </w:t>
      </w:r>
      <w:r w:rsidRPr="001C5C0B">
        <w:rPr>
          <w:rFonts w:ascii="Arial" w:hAnsi="Arial" w:cs="Arial"/>
          <w:kern w:val="2"/>
          <w:lang w:val="fr-FR" w:eastAsia="fr-FR"/>
          <w14:ligatures w14:val="standardContextual"/>
        </w:rPr>
        <w:t xml:space="preserve">spores/mL. Our results are similar to those of Mascarin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(2018). Indeed, these authors obtained a sporulation of 3 </w:t>
      </w:r>
      <w:r w:rsidR="00E4133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9</w:t>
      </w:r>
      <w:r w:rsidRPr="001C5C0B">
        <w:rPr>
          <w:rFonts w:ascii="Arial" w:hAnsi="Arial" w:cs="Arial"/>
          <w:kern w:val="2"/>
          <w:lang w:val="fr-FR" w:eastAsia="fr-FR"/>
          <w14:ligatures w14:val="standardContextual"/>
        </w:rPr>
        <w:t xml:space="preserve"> blastospores/mL of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ESALQ1432 using autolyzed yeast as a nitrogen source. These results could be explained by the biochemical </w:t>
      </w:r>
      <w:r w:rsidRPr="001C5C0B">
        <w:rPr>
          <w:rFonts w:ascii="Arial" w:hAnsi="Arial" w:cs="Arial"/>
          <w:kern w:val="2"/>
          <w:lang w:val="fr-FR" w:eastAsia="fr-FR"/>
          <w14:ligatures w14:val="standardContextual"/>
        </w:rPr>
        <w:lastRenderedPageBreak/>
        <w:t>composition of yeast and housefly larvae meal, known for their high protein (50 to 70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nitrogen (10 to 11%), and other compound content, and considered the reference substrate in fungal fermentation (Valesca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2024). As for housefly larvae meal, its crude protein content varies between 40.0 and 63.0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lipid content is more variable, between 9.0 and 26.0</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Its ash content ranges from 6.2 to 17.3</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(DM) and its fiber content from 1.6 to 8.6</w:t>
      </w:r>
      <w:r w:rsidR="001D4EAD" w:rsidRPr="001C5C0B">
        <w:rPr>
          <w:rFonts w:ascii="Arial" w:hAnsi="Arial" w:cs="Arial"/>
          <w:kern w:val="2"/>
          <w:lang w:val="fr-FR" w:eastAsia="fr-FR"/>
          <w14:ligatures w14:val="standardContextual"/>
        </w:rPr>
        <w:t xml:space="preserve"> </w:t>
      </w:r>
      <w:r w:rsidRPr="001C5C0B">
        <w:rPr>
          <w:rFonts w:ascii="Arial" w:hAnsi="Arial" w:cs="Arial"/>
          <w:kern w:val="2"/>
          <w:lang w:val="fr-FR" w:eastAsia="fr-FR"/>
          <w14:ligatures w14:val="standardContextual"/>
        </w:rPr>
        <w:t xml:space="preserve">% (DM) (Idriss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2021). According to Nirmalkar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(2020), </w:t>
      </w:r>
      <w:r w:rsidRPr="001C5C0B">
        <w:rPr>
          <w:rFonts w:ascii="Arial" w:hAnsi="Arial" w:cs="Arial"/>
          <w:i/>
          <w:iCs/>
          <w:kern w:val="2"/>
          <w:lang w:val="fr-FR" w:eastAsia="fr-FR"/>
          <w14:ligatures w14:val="standardContextual"/>
        </w:rPr>
        <w:t>Beauveria bassiana</w:t>
      </w:r>
      <w:r w:rsidRPr="001C5C0B">
        <w:rPr>
          <w:rFonts w:ascii="Arial" w:hAnsi="Arial" w:cs="Arial"/>
          <w:kern w:val="2"/>
          <w:lang w:val="fr-FR" w:eastAsia="fr-FR"/>
          <w14:ligatures w14:val="standardContextual"/>
        </w:rPr>
        <w:t xml:space="preserve"> is distinguished by its nutritional versatility in utilizing various nitrogen sources to colonize different hosts. Other nitrogen sources such as sodium nitrate, potassium nitrate, and DAP have enabled Beauveria bassiana sporulation with respective values of 8.70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7 </w:t>
      </w:r>
      <w:r w:rsidRPr="001C5C0B">
        <w:rPr>
          <w:rFonts w:ascii="Arial" w:hAnsi="Arial" w:cs="Arial"/>
          <w:kern w:val="2"/>
          <w:lang w:val="fr-FR" w:eastAsia="fr-FR"/>
          <w14:ligatures w14:val="standardContextual"/>
        </w:rPr>
        <w:t xml:space="preserve">; 7.62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and 7.26 </w:t>
      </w:r>
      <w:r w:rsidR="001D4EAD" w:rsidRPr="001C5C0B">
        <w:rPr>
          <w:rFonts w:ascii="Arial" w:hAnsi="Arial" w:cs="Arial"/>
          <w:kern w:val="2"/>
          <w:lang w:val="fr-FR" w:eastAsia="fr-FR"/>
          <w14:ligatures w14:val="standardContextual"/>
        </w:rPr>
        <w:t>x</w:t>
      </w:r>
      <w:r w:rsidRPr="001C5C0B">
        <w:rPr>
          <w:rFonts w:ascii="Arial" w:hAnsi="Arial" w:cs="Arial"/>
          <w:kern w:val="2"/>
          <w:lang w:val="fr-FR" w:eastAsia="fr-FR"/>
          <w14:ligatures w14:val="standardContextual"/>
        </w:rPr>
        <w:t xml:space="preserve"> 10</w:t>
      </w:r>
      <w:r w:rsidRPr="001C5C0B">
        <w:rPr>
          <w:rFonts w:ascii="Arial" w:hAnsi="Arial" w:cs="Arial"/>
          <w:kern w:val="2"/>
          <w:vertAlign w:val="superscript"/>
          <w:lang w:val="fr-FR" w:eastAsia="fr-FR"/>
          <w14:ligatures w14:val="standardContextual"/>
        </w:rPr>
        <w:t>7</w:t>
      </w:r>
      <w:r w:rsidRPr="001C5C0B">
        <w:rPr>
          <w:rFonts w:ascii="Arial" w:hAnsi="Arial" w:cs="Arial"/>
          <w:kern w:val="2"/>
          <w:lang w:val="fr-FR" w:eastAsia="fr-FR"/>
          <w14:ligatures w14:val="standardContextual"/>
        </w:rPr>
        <w:t xml:space="preserve"> spores/mL. According to Luo </w:t>
      </w:r>
      <w:r w:rsidRPr="001C5C0B">
        <w:rPr>
          <w:rFonts w:ascii="Arial" w:hAnsi="Arial" w:cs="Arial"/>
          <w:i/>
          <w:iCs/>
          <w:kern w:val="2"/>
          <w:lang w:val="fr-FR" w:eastAsia="fr-FR"/>
          <w14:ligatures w14:val="standardContextual"/>
        </w:rPr>
        <w:t>et al.</w:t>
      </w:r>
      <w:r w:rsidRPr="001C5C0B">
        <w:rPr>
          <w:rFonts w:ascii="Arial" w:hAnsi="Arial" w:cs="Arial"/>
          <w:kern w:val="2"/>
          <w:lang w:val="fr-FR" w:eastAsia="fr-FR"/>
          <w14:ligatures w14:val="standardContextual"/>
        </w:rPr>
        <w:t xml:space="preserve"> (2023), </w:t>
      </w:r>
      <w:r w:rsidRPr="001C5C0B">
        <w:rPr>
          <w:rFonts w:ascii="Arial" w:hAnsi="Arial" w:cs="Arial"/>
          <w:i/>
          <w:iCs/>
          <w:kern w:val="2"/>
          <w:lang w:val="fr-FR" w:eastAsia="fr-FR"/>
          <w14:ligatures w14:val="standardContextual"/>
        </w:rPr>
        <w:t>B. bassiana</w:t>
      </w:r>
      <w:r w:rsidRPr="001C5C0B">
        <w:rPr>
          <w:rFonts w:ascii="Arial" w:hAnsi="Arial" w:cs="Arial"/>
          <w:kern w:val="2"/>
          <w:lang w:val="fr-FR" w:eastAsia="fr-FR"/>
          <w14:ligatures w14:val="standardContextual"/>
        </w:rPr>
        <w:t xml:space="preserve"> possesses an adapted enzymatic machinery to metabolize complex nitrogen sources.</w:t>
      </w:r>
    </w:p>
    <w:p w14:paraId="75D37E45" w14:textId="37C29840" w:rsidR="00B83965" w:rsidRPr="001C5C0B" w:rsidRDefault="00B83965" w:rsidP="00B83965">
      <w:pPr>
        <w:pStyle w:val="ConcHead"/>
        <w:spacing w:after="0"/>
        <w:jc w:val="both"/>
        <w:rPr>
          <w:rFonts w:ascii="Arial" w:hAnsi="Arial" w:cs="Arial"/>
          <w:b w:val="0"/>
        </w:rPr>
      </w:pPr>
      <w:r w:rsidRPr="001C5C0B">
        <w:rPr>
          <w:rFonts w:ascii="Arial" w:hAnsi="Arial" w:cs="Arial"/>
          <w:b w:val="0"/>
          <w:caps w:val="0"/>
          <w:kern w:val="2"/>
          <w:sz w:val="20"/>
          <w:lang w:val="fr-FR" w:eastAsia="fr-FR"/>
          <w14:ligatures w14:val="standardContextual"/>
        </w:rPr>
        <w:t xml:space="preserve">Several published protocols have mentioned the mass multiplication of </w:t>
      </w:r>
      <w:r w:rsidRPr="001C5C0B">
        <w:rPr>
          <w:rFonts w:ascii="Arial" w:hAnsi="Arial" w:cs="Arial"/>
          <w:b w:val="0"/>
          <w:i/>
          <w:iCs/>
          <w:caps w:val="0"/>
          <w:kern w:val="2"/>
          <w:sz w:val="20"/>
          <w:lang w:val="fr-FR" w:eastAsia="fr-FR"/>
          <w14:ligatures w14:val="standardContextual"/>
        </w:rPr>
        <w:t>Beauveria bassiana</w:t>
      </w:r>
      <w:r w:rsidRPr="001C5C0B">
        <w:rPr>
          <w:rFonts w:ascii="Arial" w:hAnsi="Arial" w:cs="Arial"/>
          <w:b w:val="0"/>
          <w:caps w:val="0"/>
          <w:kern w:val="2"/>
          <w:sz w:val="20"/>
          <w:lang w:val="fr-FR" w:eastAsia="fr-FR"/>
          <w14:ligatures w14:val="standardContextual"/>
        </w:rPr>
        <w:t xml:space="preserve"> by adding nutrient-rich additives to certain substrates deemed poor in nutrients, thereby enabling conidia production (Jaronski, 2014 ; Mishra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2016). In this study, the best sporulation was obtained with rice husk supplemented with corn flour, yielding 6.26</w:t>
      </w:r>
      <w:r w:rsidR="000F7DE6" w:rsidRPr="001C5C0B">
        <w:rPr>
          <w:rFonts w:ascii="Arial" w:hAnsi="Arial" w:cs="Arial"/>
          <w:b w:val="0"/>
          <w:caps w:val="0"/>
          <w:kern w:val="2"/>
          <w:sz w:val="20"/>
          <w:lang w:val="fr-FR" w:eastAsia="fr-FR"/>
          <w14:ligatures w14:val="standardContextual"/>
        </w:rPr>
        <w:t xml:space="preserve"> x </w:t>
      </w:r>
      <w:r w:rsidRPr="001C5C0B">
        <w:rPr>
          <w:rFonts w:ascii="Arial" w:hAnsi="Arial" w:cs="Arial"/>
          <w:b w:val="0"/>
          <w:caps w:val="0"/>
          <w:kern w:val="2"/>
          <w:sz w:val="20"/>
          <w:lang w:val="fr-FR" w:eastAsia="fr-FR"/>
          <w14:ligatures w14:val="standardContextual"/>
        </w:rPr>
        <w:t>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spores/mL, followed by rice husk supplemented with sorghum flour, yielding 5.69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 xml:space="preserve">7 </w:t>
      </w:r>
      <w:r w:rsidRPr="001C5C0B">
        <w:rPr>
          <w:rFonts w:ascii="Arial" w:hAnsi="Arial" w:cs="Arial"/>
          <w:b w:val="0"/>
          <w:caps w:val="0"/>
          <w:kern w:val="2"/>
          <w:sz w:val="20"/>
          <w:lang w:val="fr-FR" w:eastAsia="fr-FR"/>
          <w14:ligatures w14:val="standardContextual"/>
        </w:rPr>
        <w:t xml:space="preserve">spores/mL. Our results are similar to those of Mascarin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(2018). These authors obtained a sporulation of 7.67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blastospores/mL with corn bran and 1.52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9</w:t>
      </w:r>
      <w:r w:rsidRPr="001C5C0B">
        <w:rPr>
          <w:rFonts w:ascii="Arial" w:hAnsi="Arial" w:cs="Arial"/>
          <w:b w:val="0"/>
          <w:caps w:val="0"/>
          <w:kern w:val="2"/>
          <w:sz w:val="20"/>
          <w:lang w:val="fr-FR" w:eastAsia="fr-FR"/>
          <w14:ligatures w14:val="standardContextual"/>
        </w:rPr>
        <w:t xml:space="preserve"> blastospores/mL with cottonseed meal as a nitrogen source. Another study mentioned high conidia production (18.51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7</w:t>
      </w:r>
      <w:r w:rsidRPr="001C5C0B">
        <w:rPr>
          <w:rFonts w:ascii="Arial" w:hAnsi="Arial" w:cs="Arial"/>
          <w:b w:val="0"/>
          <w:caps w:val="0"/>
          <w:kern w:val="2"/>
          <w:sz w:val="20"/>
          <w:lang w:val="fr-FR" w:eastAsia="fr-FR"/>
          <w14:ligatures w14:val="standardContextual"/>
        </w:rPr>
        <w:t xml:space="preserve"> conidia/mL) using rice husk enriched with cricket powder. Furthermore, viability was high in rice bran enriched with cricket powder (83.38</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compared to 62</w:t>
      </w:r>
      <w:r w:rsidR="000F7DE6" w:rsidRPr="001C5C0B">
        <w:rPr>
          <w:rFonts w:ascii="Arial" w:hAnsi="Arial" w:cs="Arial"/>
          <w:b w:val="0"/>
          <w:caps w:val="0"/>
          <w:kern w:val="2"/>
          <w:sz w:val="20"/>
          <w:lang w:val="fr-FR" w:eastAsia="fr-FR"/>
          <w14:ligatures w14:val="standardContextual"/>
        </w:rPr>
        <w:t xml:space="preserve"> </w:t>
      </w:r>
      <w:r w:rsidRPr="001C5C0B">
        <w:rPr>
          <w:rFonts w:ascii="Arial" w:hAnsi="Arial" w:cs="Arial"/>
          <w:b w:val="0"/>
          <w:caps w:val="0"/>
          <w:kern w:val="2"/>
          <w:sz w:val="20"/>
          <w:lang w:val="fr-FR" w:eastAsia="fr-FR"/>
          <w14:ligatures w14:val="standardContextual"/>
        </w:rPr>
        <w:t xml:space="preserve">% for non-enriched husk (Aminudin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Other studies have reported production of 10.24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sorghum grains, 9.78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millet grains, and 9.44 </w:t>
      </w:r>
      <w:r w:rsidR="000F7DE6" w:rsidRPr="001C5C0B">
        <w:rPr>
          <w:rFonts w:ascii="Arial" w:hAnsi="Arial" w:cs="Arial"/>
          <w:b w:val="0"/>
          <w:caps w:val="0"/>
          <w:kern w:val="2"/>
          <w:sz w:val="20"/>
          <w:lang w:val="fr-FR" w:eastAsia="fr-FR"/>
          <w14:ligatures w14:val="standardContextual"/>
        </w:rPr>
        <w:t>x</w:t>
      </w:r>
      <w:r w:rsidRPr="001C5C0B">
        <w:rPr>
          <w:rFonts w:ascii="Arial" w:hAnsi="Arial" w:cs="Arial"/>
          <w:b w:val="0"/>
          <w:caps w:val="0"/>
          <w:kern w:val="2"/>
          <w:sz w:val="20"/>
          <w:lang w:val="fr-FR" w:eastAsia="fr-FR"/>
          <w14:ligatures w14:val="standardContextual"/>
        </w:rPr>
        <w:t xml:space="preserve"> 10</w:t>
      </w:r>
      <w:r w:rsidRPr="001C5C0B">
        <w:rPr>
          <w:rFonts w:ascii="Arial" w:hAnsi="Arial" w:cs="Arial"/>
          <w:b w:val="0"/>
          <w:caps w:val="0"/>
          <w:kern w:val="2"/>
          <w:sz w:val="20"/>
          <w:vertAlign w:val="superscript"/>
          <w:lang w:val="fr-FR" w:eastAsia="fr-FR"/>
          <w14:ligatures w14:val="standardContextual"/>
        </w:rPr>
        <w:t>8</w:t>
      </w:r>
      <w:r w:rsidRPr="001C5C0B">
        <w:rPr>
          <w:rFonts w:ascii="Arial" w:hAnsi="Arial" w:cs="Arial"/>
          <w:b w:val="0"/>
          <w:caps w:val="0"/>
          <w:kern w:val="2"/>
          <w:sz w:val="20"/>
          <w:lang w:val="fr-FR" w:eastAsia="fr-FR"/>
          <w14:ligatures w14:val="standardContextual"/>
        </w:rPr>
        <w:t xml:space="preserve"> spores/100g on corn (Sahayaraj and Namasivayam, 2008). According to Luo </w:t>
      </w:r>
      <w:r w:rsidRPr="001C5C0B">
        <w:rPr>
          <w:rFonts w:ascii="Arial" w:hAnsi="Arial" w:cs="Arial"/>
          <w:b w:val="0"/>
          <w:i/>
          <w:iCs/>
          <w:caps w:val="0"/>
          <w:kern w:val="2"/>
          <w:sz w:val="20"/>
          <w:lang w:val="fr-FR" w:eastAsia="fr-FR"/>
          <w14:ligatures w14:val="standardContextual"/>
        </w:rPr>
        <w:t>et al.</w:t>
      </w:r>
      <w:r w:rsidRPr="001C5C0B">
        <w:rPr>
          <w:rFonts w:ascii="Arial" w:hAnsi="Arial" w:cs="Arial"/>
          <w:b w:val="0"/>
          <w:caps w:val="0"/>
          <w:kern w:val="2"/>
          <w:sz w:val="20"/>
          <w:lang w:val="fr-FR" w:eastAsia="fr-FR"/>
          <w14:ligatures w14:val="standardContextual"/>
        </w:rPr>
        <w:t xml:space="preserve"> (2023), </w:t>
      </w:r>
      <w:r w:rsidRPr="001C5C0B">
        <w:rPr>
          <w:rFonts w:ascii="Arial" w:hAnsi="Arial" w:cs="Arial"/>
          <w:b w:val="0"/>
          <w:i/>
          <w:iCs/>
          <w:caps w:val="0"/>
          <w:kern w:val="2"/>
          <w:sz w:val="20"/>
          <w:lang w:val="fr-FR" w:eastAsia="fr-FR"/>
          <w14:ligatures w14:val="standardContextual"/>
        </w:rPr>
        <w:t>B. bassiana</w:t>
      </w:r>
      <w:r w:rsidRPr="001C5C0B">
        <w:rPr>
          <w:rFonts w:ascii="Arial" w:hAnsi="Arial" w:cs="Arial"/>
          <w:b w:val="0"/>
          <w:caps w:val="0"/>
          <w:kern w:val="2"/>
          <w:sz w:val="20"/>
          <w:lang w:val="fr-FR" w:eastAsia="fr-FR"/>
          <w14:ligatures w14:val="standardContextual"/>
        </w:rPr>
        <w:t xml:space="preserve"> possesses adapted enzymatic machinery to metabolize complex nitrogen sources.</w:t>
      </w:r>
    </w:p>
    <w:p w14:paraId="2E89C53F" w14:textId="77777777" w:rsidR="00B83965" w:rsidRDefault="00B83965" w:rsidP="004D4265">
      <w:pPr>
        <w:pStyle w:val="ConcHead"/>
        <w:spacing w:after="0"/>
        <w:jc w:val="right"/>
        <w:rPr>
          <w:rFonts w:ascii="Arial" w:hAnsi="Arial" w:cs="Arial"/>
        </w:rPr>
      </w:pPr>
    </w:p>
    <w:p w14:paraId="5391095F" w14:textId="7D89E7AD"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216DB4" w14:textId="77777777" w:rsidR="00790ADA" w:rsidRPr="00FB3A86" w:rsidRDefault="00790ADA" w:rsidP="00441B6F">
      <w:pPr>
        <w:pStyle w:val="ConcHead"/>
        <w:spacing w:after="0"/>
        <w:jc w:val="both"/>
        <w:rPr>
          <w:rFonts w:ascii="Arial" w:hAnsi="Arial" w:cs="Arial"/>
        </w:rPr>
      </w:pPr>
    </w:p>
    <w:p w14:paraId="72000FD3" w14:textId="73729E94" w:rsidR="00790ADA" w:rsidRPr="00412C3F" w:rsidRDefault="000F7DE6" w:rsidP="00441B6F">
      <w:pPr>
        <w:pStyle w:val="Body"/>
        <w:spacing w:after="0"/>
        <w:rPr>
          <w:rFonts w:ascii="Arial" w:hAnsi="Arial" w:cs="Arial"/>
          <w:kern w:val="2"/>
          <w:lang w:val="fr-FR" w:eastAsia="fr-FR"/>
          <w14:ligatures w14:val="standardContextual"/>
        </w:rPr>
      </w:pPr>
      <w:r w:rsidRPr="00412C3F">
        <w:rPr>
          <w:rFonts w:ascii="Arial" w:hAnsi="Arial" w:cs="Arial"/>
          <w:kern w:val="2"/>
          <w:lang w:val="fr-FR" w:eastAsia="fr-FR"/>
          <w14:ligatures w14:val="standardContextual"/>
        </w:rPr>
        <w:t>Based on the findings of this study, the results obtained showed that the Beauveria bassiana strain requires specific conditions for its mass production. Regarding the environmental factors studied, the values required for optimal development were as follows : a temperature of 25 °C during the incubation period, an alkaline pH of 9, and an alternating 12/12 h light/dark cycle. Concerning nutritional factors, corn flour, followed by sorghum flour, were identified as the best additives to the culture substrate (rice husk). Yeast, followed by housefly meal, emerged as the best nitrogen sources, while humic substances, particularly fulvic acid, proved to be the best carbon sources. In summary, conidia production at small and medium scales varies depending on key parameters including the substrate used, pH, temperature, photoperiod, aeration (substrate structure), and various additives, among others. Optimal conditions must be evaluated for each entomopathogenic fungal species, and potentially even for each specific strain.</w:t>
      </w:r>
    </w:p>
    <w:p w14:paraId="0F3A96D2" w14:textId="18A1353F" w:rsidR="000F7DE6" w:rsidRDefault="000F7DE6" w:rsidP="00441B6F">
      <w:pPr>
        <w:pStyle w:val="Body"/>
        <w:spacing w:after="0"/>
        <w:rPr>
          <w:rFonts w:ascii="Arial" w:hAnsi="Arial" w:cs="Arial"/>
        </w:rPr>
      </w:pPr>
    </w:p>
    <w:p w14:paraId="7B846ECD" w14:textId="550C484C" w:rsidR="008807B5" w:rsidRPr="008807B5" w:rsidRDefault="008807B5" w:rsidP="008807B5">
      <w:pPr>
        <w:pStyle w:val="Body"/>
        <w:rPr>
          <w:rFonts w:ascii="Arial" w:hAnsi="Arial" w:cs="Arial"/>
          <w:b/>
          <w:bCs/>
        </w:rPr>
      </w:pPr>
      <w:r w:rsidRPr="008807B5">
        <w:rPr>
          <w:rFonts w:ascii="Arial" w:hAnsi="Arial" w:cs="Arial"/>
          <w:b/>
          <w:bCs/>
        </w:rPr>
        <w:t>DISCLAIMER (ARTIFICIAL INTELLIGENCE)</w:t>
      </w:r>
    </w:p>
    <w:p w14:paraId="0455FFF0" w14:textId="6EC3DFAD" w:rsidR="008807B5" w:rsidRPr="008807B5" w:rsidRDefault="008807B5" w:rsidP="009F7041">
      <w:pPr>
        <w:pStyle w:val="Body"/>
        <w:rPr>
          <w:rFonts w:ascii="Arial" w:hAnsi="Arial" w:cs="Arial"/>
        </w:rPr>
      </w:pPr>
      <w:r w:rsidRPr="008807B5">
        <w:rPr>
          <w:rFonts w:ascii="Arial" w:hAnsi="Arial" w:cs="Arial"/>
        </w:rPr>
        <w:t>Author(s) hereby declare that NO generative AI technologies such as Large Language Models (ChatGPT, COPILOT, etc) and text-to-image generators have been used during writing or editing of this manuscript.</w:t>
      </w:r>
    </w:p>
    <w:p w14:paraId="3A3A42D5" w14:textId="77777777" w:rsidR="00315186" w:rsidRPr="00315186" w:rsidRDefault="00315186" w:rsidP="00441B6F"/>
    <w:p w14:paraId="5163A863" w14:textId="77777777" w:rsidR="00B01FCD" w:rsidRDefault="00B01FCD" w:rsidP="008807B5">
      <w:pPr>
        <w:pStyle w:val="ReferHead"/>
        <w:jc w:val="both"/>
        <w:rPr>
          <w:rFonts w:ascii="Arial" w:hAnsi="Arial" w:cs="Arial"/>
        </w:rPr>
      </w:pPr>
      <w:r w:rsidRPr="00FB3A86">
        <w:rPr>
          <w:rFonts w:ascii="Arial" w:hAnsi="Arial" w:cs="Arial"/>
        </w:rPr>
        <w:lastRenderedPageBreak/>
        <w:t>References</w:t>
      </w:r>
    </w:p>
    <w:p w14:paraId="69818D51" w14:textId="6B18C941"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Aktar W., Sengupta D., Chowdhury A. (2009)</w:t>
      </w:r>
      <w:r w:rsidRPr="00B74AC5">
        <w:rPr>
          <w:rFonts w:ascii="Calibri" w:eastAsia="Calibri" w:hAnsi="Calibri"/>
          <w:sz w:val="22"/>
          <w:szCs w:val="24"/>
        </w:rPr>
        <w:t xml:space="preserve">. Impact of pesticides use in agriculture: Their benefits and hazards. </w:t>
      </w:r>
      <w:r w:rsidRPr="00B74AC5">
        <w:rPr>
          <w:rFonts w:ascii="Calibri" w:eastAsia="Calibri" w:hAnsi="Calibri"/>
          <w:sz w:val="22"/>
          <w:szCs w:val="24"/>
          <w:lang w:val="fr-FR"/>
        </w:rPr>
        <w:t xml:space="preserve">Interdiscip. Toxicol., 2, 1–12. </w:t>
      </w:r>
      <w:hyperlink r:id="rId24" w:history="1">
        <w:r w:rsidRPr="00B74AC5">
          <w:rPr>
            <w:rFonts w:ascii="Calibri" w:eastAsia="Calibri" w:hAnsi="Calibri"/>
            <w:color w:val="0563C1"/>
            <w:sz w:val="22"/>
            <w:szCs w:val="24"/>
            <w:u w:val="single"/>
            <w:lang w:val="fr-FR"/>
          </w:rPr>
          <w:t>https://doi.org/10.2478/v10102-009-0001-7</w:t>
        </w:r>
      </w:hyperlink>
    </w:p>
    <w:p w14:paraId="2A174AF3" w14:textId="1D7034B7"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sz w:val="22"/>
          <w:szCs w:val="24"/>
          <w:lang w:val="fr-FR"/>
        </w:rPr>
        <w:t xml:space="preserve">Akutse K. S., Kimemia J. W., Ekesi S., Khamis F. M., Ombura O. L., </w:t>
      </w:r>
      <w:r w:rsidRPr="00B74AC5">
        <w:rPr>
          <w:rFonts w:ascii="Calibri" w:eastAsia="Calibri" w:hAnsi="Calibri" w:cs="Calibri"/>
          <w:b/>
          <w:sz w:val="22"/>
          <w:szCs w:val="24"/>
          <w:lang w:val="fr-FR"/>
        </w:rPr>
        <w:t>&amp;</w:t>
      </w:r>
      <w:r w:rsidRPr="00B74AC5">
        <w:rPr>
          <w:rFonts w:ascii="Calibri" w:eastAsia="Calibri" w:hAnsi="Calibri"/>
          <w:b/>
          <w:sz w:val="22"/>
          <w:szCs w:val="24"/>
          <w:lang w:val="fr-FR"/>
        </w:rPr>
        <w:t xml:space="preserve"> Subramanian S. (2019).</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Ovicidal effects of entomopathogenic fungal isolates on the invasive Fall armyworm </w:t>
      </w:r>
      <w:r w:rsidRPr="00B74AC5">
        <w:rPr>
          <w:rFonts w:ascii="Calibri" w:eastAsia="Calibri" w:hAnsi="Calibri"/>
          <w:i/>
          <w:sz w:val="22"/>
          <w:szCs w:val="24"/>
        </w:rPr>
        <w:t>Spodoptera frugiperda</w:t>
      </w:r>
      <w:r w:rsidRPr="00B74AC5">
        <w:rPr>
          <w:rFonts w:ascii="Calibri" w:eastAsia="Calibri" w:hAnsi="Calibri"/>
          <w:sz w:val="22"/>
          <w:szCs w:val="24"/>
        </w:rPr>
        <w:t xml:space="preserve"> (Lepidoptera: Noctuidae). </w:t>
      </w:r>
      <w:r w:rsidRPr="00B74AC5">
        <w:rPr>
          <w:rFonts w:ascii="Calibri" w:eastAsia="Calibri" w:hAnsi="Calibri"/>
          <w:i/>
          <w:sz w:val="22"/>
          <w:szCs w:val="24"/>
        </w:rPr>
        <w:t>J. Appl. Entomol</w:t>
      </w:r>
      <w:r w:rsidRPr="00B74AC5">
        <w:rPr>
          <w:rFonts w:ascii="Calibri" w:eastAsia="Calibri" w:hAnsi="Calibri"/>
          <w:sz w:val="22"/>
          <w:szCs w:val="24"/>
        </w:rPr>
        <w:t>. 143, 626–634.</w:t>
      </w:r>
    </w:p>
    <w:p w14:paraId="5AA313AF" w14:textId="0FE98E0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Aminudin A., Rina R., Muhammad A. S., &amp; Huurul A. U. Z.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Performance and Virulence of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Grown in Media Derived from Biodegradable Agricultural Wastes Enriched with Cricket Powder. </w:t>
      </w:r>
      <w:r w:rsidRPr="00B74AC5">
        <w:rPr>
          <w:rFonts w:ascii="Calibri" w:eastAsia="Calibri" w:hAnsi="Calibri"/>
          <w:i/>
          <w:iCs/>
          <w:sz w:val="22"/>
          <w:szCs w:val="24"/>
        </w:rPr>
        <w:t>AGRIVITA Journal of Agricultural Science</w:t>
      </w:r>
      <w:r w:rsidRPr="00B74AC5">
        <w:rPr>
          <w:rFonts w:ascii="Calibri" w:eastAsia="Calibri" w:hAnsi="Calibri"/>
          <w:sz w:val="22"/>
          <w:szCs w:val="24"/>
        </w:rPr>
        <w:t>. 45(2): 261-270</w:t>
      </w:r>
    </w:p>
    <w:p w14:paraId="3D36FE63" w14:textId="1C5210C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APRD</w:t>
      </w:r>
      <w:r w:rsidR="00BC589E">
        <w:rPr>
          <w:rFonts w:ascii="Calibri" w:eastAsia="Calibri" w:hAnsi="Calibri"/>
          <w:b/>
          <w:bCs/>
          <w:sz w:val="22"/>
          <w:szCs w:val="24"/>
        </w:rPr>
        <w:t xml:space="preserve"> </w:t>
      </w:r>
      <w:r w:rsidRPr="00B74AC5">
        <w:rPr>
          <w:rFonts w:ascii="Calibri" w:eastAsia="Calibri" w:hAnsi="Calibri"/>
          <w:b/>
          <w:bCs/>
          <w:sz w:val="22"/>
          <w:szCs w:val="24"/>
        </w:rPr>
        <w:t xml:space="preserve">(2021). </w:t>
      </w:r>
      <w:r w:rsidRPr="00B74AC5">
        <w:rPr>
          <w:rFonts w:ascii="Calibri" w:eastAsia="Calibri" w:hAnsi="Calibri"/>
          <w:sz w:val="22"/>
          <w:szCs w:val="24"/>
        </w:rPr>
        <w:t xml:space="preserve">Arthropod Pesticide Resistance Database). </w:t>
      </w:r>
      <w:hyperlink r:id="rId25" w:history="1">
        <w:r w:rsidRPr="00B74AC5">
          <w:rPr>
            <w:rFonts w:ascii="Calibri" w:eastAsia="Calibri" w:hAnsi="Calibri"/>
            <w:color w:val="0563C1"/>
            <w:sz w:val="22"/>
            <w:szCs w:val="24"/>
            <w:u w:val="single"/>
          </w:rPr>
          <w:t>https://www.pesticideresistance.org/</w:t>
        </w:r>
      </w:hyperlink>
    </w:p>
    <w:p w14:paraId="01C9DF54" w14:textId="41A09E20"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Castellanos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Pedro L. (2010)</w:t>
      </w:r>
      <w:r w:rsidRPr="00B74AC5">
        <w:rPr>
          <w:rFonts w:ascii="Calibri" w:eastAsia="Calibri" w:hAnsi="Calibri"/>
          <w:sz w:val="22"/>
          <w:szCs w:val="24"/>
          <w:lang w:val="fr-FR"/>
        </w:rPr>
        <w:t xml:space="preserve">. Influencia del ph y la temperatura en la producción de biomasa y esporas de </w:t>
      </w:r>
      <w:r w:rsidRPr="00B74AC5">
        <w:rPr>
          <w:rFonts w:ascii="Calibri" w:eastAsia="Calibri" w:hAnsi="Calibri"/>
          <w:i/>
          <w:iCs/>
          <w:sz w:val="22"/>
          <w:szCs w:val="24"/>
          <w:lang w:val="fr-FR"/>
        </w:rPr>
        <w:t xml:space="preserve">Beauveria </w:t>
      </w:r>
      <w:r w:rsidRPr="00B74AC5">
        <w:rPr>
          <w:rFonts w:ascii="Calibri" w:eastAsia="Calibri" w:hAnsi="Calibri"/>
          <w:sz w:val="22"/>
          <w:szCs w:val="24"/>
          <w:lang w:val="fr-FR"/>
        </w:rPr>
        <w:t xml:space="preserve">sp. pr–11 aislada del departamento de ayacucho. </w:t>
      </w:r>
      <w:r w:rsidRPr="00B74AC5">
        <w:rPr>
          <w:rFonts w:ascii="Calibri" w:eastAsia="Calibri" w:hAnsi="Calibri"/>
          <w:sz w:val="22"/>
          <w:szCs w:val="24"/>
        </w:rPr>
        <w:t>10.13140/2.1.5113.4409.</w:t>
      </w:r>
    </w:p>
    <w:p w14:paraId="3889584E" w14:textId="037EF29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Daniel C.</w:t>
      </w:r>
      <w:r w:rsidR="00BC589E">
        <w:rPr>
          <w:rFonts w:ascii="Calibri" w:eastAsia="Calibri" w:hAnsi="Calibri"/>
          <w:b/>
          <w:bCs/>
          <w:sz w:val="22"/>
          <w:szCs w:val="24"/>
        </w:rPr>
        <w:t>,</w:t>
      </w:r>
      <w:r w:rsidRPr="00B74AC5">
        <w:rPr>
          <w:rFonts w:ascii="Calibri" w:eastAsia="Calibri" w:hAnsi="Calibri"/>
          <w:b/>
          <w:bCs/>
          <w:sz w:val="22"/>
          <w:szCs w:val="24"/>
        </w:rPr>
        <w:t xml:space="preserve"> Cristina-Maria L. (2021).</w:t>
      </w:r>
      <w:r w:rsidRPr="00B74AC5">
        <w:rPr>
          <w:rFonts w:ascii="Calibri" w:eastAsia="Calibri" w:hAnsi="Calibri"/>
          <w:sz w:val="22"/>
          <w:szCs w:val="24"/>
        </w:rPr>
        <w:t xml:space="preserve"> Effect of different carbon and nitrogen sources on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romanian strains. Romanian Journal for Plant Protection, Vol. IX, ISSN 2248 – 129X; ISSN-L 2248 – 129X.</w:t>
      </w:r>
    </w:p>
    <w:p w14:paraId="080D8A6C" w14:textId="5D8CE8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Goettel M. S.</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Inglis G. D. (1997).</w:t>
      </w:r>
      <w:r w:rsidRPr="00B74AC5">
        <w:rPr>
          <w:rFonts w:ascii="Calibri" w:eastAsia="Calibri" w:hAnsi="Calibri"/>
          <w:sz w:val="22"/>
          <w:szCs w:val="24"/>
          <w:lang w:val="fr-FR"/>
        </w:rPr>
        <w:t xml:space="preserve"> </w:t>
      </w:r>
      <w:r w:rsidRPr="00B74AC5">
        <w:rPr>
          <w:rFonts w:ascii="Calibri" w:eastAsia="Calibri" w:hAnsi="Calibri"/>
          <w:sz w:val="22"/>
          <w:szCs w:val="24"/>
        </w:rPr>
        <w:t>Fungi: Hyphomycetes. In Manual of Techniques in Insect Pathology, ed. Lacey, L.A. pp. 213–249. London: Academic Press. ISBN 0-12-432555-6.</w:t>
      </w:r>
    </w:p>
    <w:p w14:paraId="0A8412CD" w14:textId="33ECA76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Gutiérrez-Moreno R., Mota-Sanchez D., Blanco C. A., Whalon M. E., Teran-Santofimio H., Rodriguez-Maciel J. C.</w:t>
      </w:r>
      <w:r w:rsidR="00BC589E">
        <w:rPr>
          <w:rFonts w:ascii="Calibri" w:eastAsia="Calibri" w:hAnsi="Calibri"/>
          <w:b/>
          <w:bCs/>
          <w:sz w:val="22"/>
          <w:szCs w:val="24"/>
        </w:rPr>
        <w:t>,</w:t>
      </w:r>
      <w:r w:rsidRPr="00B74AC5">
        <w:rPr>
          <w:rFonts w:ascii="Calibri" w:eastAsia="Calibri" w:hAnsi="Calibri"/>
          <w:b/>
          <w:bCs/>
          <w:sz w:val="22"/>
          <w:szCs w:val="24"/>
        </w:rPr>
        <w:t xml:space="preserve"> DiFonzo C. (2019).</w:t>
      </w:r>
      <w:r w:rsidRPr="00B74AC5">
        <w:rPr>
          <w:rFonts w:ascii="Calibri" w:eastAsia="Calibri" w:hAnsi="Calibri"/>
          <w:sz w:val="22"/>
          <w:szCs w:val="24"/>
        </w:rPr>
        <w:t xml:space="preserve"> Fiel-devolved resistance of the fall armyworm (Lepidoptera: Noctuidae) to synthetic insecticides in Puerto Rico and Mexico. J. Econ. Entomol. 112: 792–802.</w:t>
      </w:r>
    </w:p>
    <w:p w14:paraId="07D1F37B" w14:textId="540061DA" w:rsidR="00B74AC5" w:rsidRPr="00B74AC5" w:rsidRDefault="00B74AC5" w:rsidP="00B74AC5">
      <w:pPr>
        <w:spacing w:after="160" w:line="360" w:lineRule="auto"/>
        <w:jc w:val="both"/>
        <w:rPr>
          <w:rFonts w:ascii="Calibri" w:eastAsia="Calibri" w:hAnsi="Calibri"/>
          <w:sz w:val="22"/>
          <w:szCs w:val="24"/>
          <w:lang w:val="fr-FR"/>
        </w:rPr>
      </w:pPr>
      <w:bookmarkStart w:id="19" w:name="_Hlk169693540"/>
      <w:r w:rsidRPr="00B74AC5">
        <w:rPr>
          <w:rFonts w:ascii="Calibri" w:eastAsia="Calibri" w:hAnsi="Calibri"/>
          <w:b/>
          <w:bCs/>
          <w:sz w:val="22"/>
          <w:szCs w:val="24"/>
          <w:lang w:val="fr-FR"/>
        </w:rPr>
        <w:t>Heviefo N. S., Dagbozounkou E., Tamo M.</w:t>
      </w:r>
      <w:r w:rsidR="00BC589E">
        <w:rPr>
          <w:rFonts w:ascii="Calibri" w:eastAsia="Calibri" w:hAnsi="Calibri"/>
          <w:b/>
          <w:bCs/>
          <w:sz w:val="22"/>
          <w:szCs w:val="24"/>
          <w:lang w:val="fr-FR"/>
        </w:rPr>
        <w:t>,</w:t>
      </w:r>
      <w:r w:rsidRPr="00B74AC5">
        <w:rPr>
          <w:rFonts w:ascii="Calibri" w:eastAsia="Calibri" w:hAnsi="Calibri"/>
          <w:b/>
          <w:bCs/>
          <w:sz w:val="22"/>
          <w:szCs w:val="24"/>
          <w:lang w:val="fr-FR"/>
        </w:rPr>
        <w:t xml:space="preserve"> Glitho, I. (2019)</w:t>
      </w:r>
      <w:bookmarkEnd w:id="19"/>
      <w:r w:rsidRPr="00B74AC5">
        <w:rPr>
          <w:rFonts w:ascii="Calibri" w:eastAsia="Calibri" w:hAnsi="Calibri"/>
          <w:b/>
          <w:bCs/>
          <w:sz w:val="22"/>
          <w:szCs w:val="24"/>
          <w:lang w:val="fr-FR"/>
        </w:rPr>
        <w:t xml:space="preserve">. </w:t>
      </w:r>
      <w:r w:rsidRPr="00B74AC5">
        <w:rPr>
          <w:rFonts w:ascii="Calibri" w:eastAsia="Calibri" w:hAnsi="Calibri"/>
          <w:sz w:val="22"/>
          <w:szCs w:val="24"/>
          <w:lang w:val="fr-FR"/>
        </w:rPr>
        <w:t xml:space="preserve">Influence de la température et de la nature du substrat sur la production en masse et la conservation de </w:t>
      </w:r>
      <w:r w:rsidRPr="00B74AC5">
        <w:rPr>
          <w:rFonts w:ascii="Calibri" w:eastAsia="Calibri" w:hAnsi="Calibri"/>
          <w:i/>
          <w:iCs/>
          <w:sz w:val="22"/>
          <w:szCs w:val="24"/>
          <w:lang w:val="fr-FR"/>
        </w:rPr>
        <w:t xml:space="preserve">Beauveria </w:t>
      </w:r>
      <w:r w:rsidRPr="00B74AC5">
        <w:rPr>
          <w:rFonts w:ascii="Calibri" w:eastAsia="Calibri" w:hAnsi="Calibri"/>
          <w:i/>
          <w:iCs/>
          <w:sz w:val="22"/>
          <w:szCs w:val="24"/>
          <w:lang w:val="fr-FR"/>
        </w:rPr>
        <w:lastRenderedPageBreak/>
        <w:t>bassiana B</w:t>
      </w:r>
      <w:r w:rsidRPr="00B74AC5">
        <w:rPr>
          <w:rFonts w:ascii="Calibri" w:eastAsia="Calibri" w:hAnsi="Calibri"/>
          <w:sz w:val="22"/>
          <w:szCs w:val="24"/>
          <w:lang w:val="fr-FR"/>
        </w:rPr>
        <w:t xml:space="preserve">., champignon entomopathogène. </w:t>
      </w:r>
      <w:r w:rsidRPr="00B74AC5">
        <w:rPr>
          <w:rFonts w:ascii="Calibri" w:eastAsia="Calibri" w:hAnsi="Calibri"/>
          <w:i/>
          <w:iCs/>
          <w:sz w:val="22"/>
          <w:szCs w:val="24"/>
          <w:lang w:val="fr-FR"/>
        </w:rPr>
        <w:t>Science de la vie, de la terre et agronomie</w:t>
      </w:r>
      <w:r w:rsidRPr="00B74AC5">
        <w:rPr>
          <w:rFonts w:ascii="Calibri" w:eastAsia="Calibri" w:hAnsi="Calibri"/>
          <w:sz w:val="22"/>
          <w:szCs w:val="24"/>
          <w:lang w:val="fr-FR"/>
        </w:rPr>
        <w:t>. 06:9.</w:t>
      </w:r>
    </w:p>
    <w:p w14:paraId="1C766138" w14:textId="54415EA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Idriss H. L. Zakari M. O., Fréderic F.</w:t>
      </w:r>
      <w:r w:rsidR="00BC589E">
        <w:rPr>
          <w:rFonts w:ascii="Calibri" w:eastAsia="Calibri" w:hAnsi="Calibri"/>
          <w:b/>
          <w:bCs/>
          <w:sz w:val="22"/>
          <w:szCs w:val="24"/>
          <w:lang w:val="fr-FR"/>
        </w:rPr>
        <w:t xml:space="preserve">, </w:t>
      </w:r>
      <w:r w:rsidRPr="00B74AC5">
        <w:rPr>
          <w:rFonts w:ascii="Calibri" w:eastAsia="Calibri" w:hAnsi="Calibri"/>
          <w:b/>
          <w:bCs/>
          <w:sz w:val="22"/>
          <w:szCs w:val="24"/>
          <w:lang w:val="fr-FR"/>
        </w:rPr>
        <w:t>Rudy C. M. (2021).</w:t>
      </w:r>
      <w:r w:rsidRPr="00B74AC5">
        <w:rPr>
          <w:rFonts w:ascii="Calibri" w:eastAsia="Calibri" w:hAnsi="Calibri"/>
          <w:sz w:val="22"/>
          <w:szCs w:val="24"/>
          <w:lang w:val="fr-FR"/>
        </w:rPr>
        <w:t xml:space="preserve"> Techniques de production d’asticots de mouches domestiques (Musca domestica L. 1758) pour l’alimentation des volailles, synthèse bibliographique. </w:t>
      </w:r>
      <w:r w:rsidRPr="00B74AC5">
        <w:rPr>
          <w:rFonts w:ascii="Calibri" w:eastAsia="Calibri" w:hAnsi="Calibri"/>
          <w:i/>
          <w:iCs/>
          <w:sz w:val="22"/>
          <w:szCs w:val="24"/>
        </w:rPr>
        <w:t>Tropicultura</w:t>
      </w:r>
      <w:r w:rsidRPr="00B74AC5">
        <w:rPr>
          <w:rFonts w:ascii="Calibri" w:eastAsia="Calibri" w:hAnsi="Calibri"/>
          <w:sz w:val="22"/>
          <w:szCs w:val="24"/>
        </w:rPr>
        <w:t xml:space="preserve"> 2295-8010, Volume 39, Numéro 2, 1813.</w:t>
      </w:r>
    </w:p>
    <w:p w14:paraId="047C6947" w14:textId="19C8E81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Jackson M. A., Mcguire M. R., Lacey L. A.</w:t>
      </w:r>
      <w:r w:rsidR="002C7FEC">
        <w:rPr>
          <w:rFonts w:ascii="Calibri" w:eastAsia="Calibri" w:hAnsi="Calibri"/>
          <w:b/>
          <w:bCs/>
          <w:sz w:val="22"/>
          <w:szCs w:val="24"/>
        </w:rPr>
        <w:t>,</w:t>
      </w:r>
      <w:r w:rsidRPr="00B74AC5">
        <w:rPr>
          <w:rFonts w:ascii="Calibri" w:eastAsia="Calibri" w:hAnsi="Calibri"/>
          <w:b/>
          <w:bCs/>
          <w:sz w:val="22"/>
          <w:szCs w:val="24"/>
        </w:rPr>
        <w:t xml:space="preserve"> Wraight S. P. (1997).</w:t>
      </w:r>
      <w:r w:rsidRPr="00B74AC5">
        <w:rPr>
          <w:rFonts w:ascii="Calibri" w:eastAsia="Calibri" w:hAnsi="Calibri"/>
          <w:sz w:val="22"/>
          <w:szCs w:val="24"/>
        </w:rPr>
        <w:t xml:space="preserve"> Liquid culture production of desiccation tolerant blastospores of the bioinsecticidal fungus </w:t>
      </w:r>
      <w:r w:rsidRPr="00B74AC5">
        <w:rPr>
          <w:rFonts w:ascii="Calibri" w:eastAsia="Calibri" w:hAnsi="Calibri"/>
          <w:i/>
          <w:iCs/>
          <w:sz w:val="22"/>
          <w:szCs w:val="24"/>
        </w:rPr>
        <w:t>Paecilomyces fumosoroseus</w:t>
      </w:r>
      <w:r w:rsidRPr="00B74AC5">
        <w:rPr>
          <w:rFonts w:ascii="Calibri" w:eastAsia="Calibri" w:hAnsi="Calibri"/>
          <w:sz w:val="22"/>
          <w:szCs w:val="24"/>
        </w:rPr>
        <w:t>. Mycol. Res. 101, 35–41.</w:t>
      </w:r>
    </w:p>
    <w:p w14:paraId="33DF8AA8" w14:textId="32EE02E2"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Jaronski S. T. (2014). </w:t>
      </w:r>
      <w:r w:rsidRPr="00B74AC5">
        <w:rPr>
          <w:rFonts w:ascii="Calibri" w:eastAsia="Calibri" w:hAnsi="Calibri"/>
          <w:sz w:val="22"/>
          <w:szCs w:val="24"/>
        </w:rPr>
        <w:t>Mass production of entomopathogenic fungi: state of the art. In: Massproduction of beneficial organisms invertebrates and entomopathogens, pp. 357 413.</w:t>
      </w:r>
    </w:p>
    <w:p w14:paraId="21D71BE9" w14:textId="24F971DD"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lang w:val="fr-FR"/>
        </w:rPr>
        <w:t>Khorrami F., Mehrkhou F., Mahmoudian M., Ghosta Y.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Pathogenicity of three different entomopathogenic Fungi, </w:t>
      </w:r>
      <w:r w:rsidRPr="00B74AC5">
        <w:rPr>
          <w:rFonts w:ascii="Calibri" w:eastAsia="Calibri" w:hAnsi="Calibri"/>
          <w:i/>
          <w:iCs/>
          <w:sz w:val="22"/>
          <w:szCs w:val="24"/>
        </w:rPr>
        <w:t>Metarhizium anisopliae</w:t>
      </w:r>
      <w:r w:rsidRPr="00B74AC5">
        <w:rPr>
          <w:rFonts w:ascii="Calibri" w:eastAsia="Calibri" w:hAnsi="Calibri"/>
          <w:sz w:val="22"/>
          <w:szCs w:val="24"/>
        </w:rPr>
        <w:t xml:space="preserve"> IRAN 2252, </w:t>
      </w:r>
      <w:r w:rsidRPr="00B74AC5">
        <w:rPr>
          <w:rFonts w:ascii="Calibri" w:eastAsia="Calibri" w:hAnsi="Calibri"/>
          <w:i/>
          <w:iCs/>
          <w:sz w:val="22"/>
          <w:szCs w:val="24"/>
        </w:rPr>
        <w:t>Nomuraea rileyi</w:t>
      </w:r>
      <w:r w:rsidRPr="00B74AC5">
        <w:rPr>
          <w:rFonts w:ascii="Calibri" w:eastAsia="Calibri" w:hAnsi="Calibri"/>
          <w:sz w:val="22"/>
          <w:szCs w:val="24"/>
        </w:rPr>
        <w:t xml:space="preserve"> IRAN 1020C and </w:t>
      </w:r>
      <w:r w:rsidRPr="00B74AC5">
        <w:rPr>
          <w:rFonts w:ascii="Calibri" w:eastAsia="Calibri" w:hAnsi="Calibri"/>
          <w:i/>
          <w:iCs/>
          <w:sz w:val="22"/>
          <w:szCs w:val="24"/>
        </w:rPr>
        <w:t>Paecilomyces tenuipes</w:t>
      </w:r>
      <w:r w:rsidRPr="00B74AC5">
        <w:rPr>
          <w:rFonts w:ascii="Calibri" w:eastAsia="Calibri" w:hAnsi="Calibri"/>
          <w:sz w:val="22"/>
          <w:szCs w:val="24"/>
        </w:rPr>
        <w:t xml:space="preserve"> IRAN 1026C against the potato tuber moth, </w:t>
      </w:r>
      <w:r w:rsidRPr="00B74AC5">
        <w:rPr>
          <w:rFonts w:ascii="Calibri" w:eastAsia="Calibri" w:hAnsi="Calibri"/>
          <w:i/>
          <w:iCs/>
          <w:sz w:val="22"/>
          <w:szCs w:val="24"/>
        </w:rPr>
        <w:t>Phthorimaea operculella</w:t>
      </w:r>
      <w:r w:rsidRPr="00B74AC5">
        <w:rPr>
          <w:rFonts w:ascii="Calibri" w:eastAsia="Calibri" w:hAnsi="Calibri"/>
          <w:sz w:val="22"/>
          <w:szCs w:val="24"/>
        </w:rPr>
        <w:t xml:space="preserve"> </w:t>
      </w:r>
      <w:r w:rsidRPr="00B74AC5">
        <w:rPr>
          <w:rFonts w:ascii="Calibri" w:eastAsia="Calibri" w:hAnsi="Calibri"/>
          <w:i/>
          <w:iCs/>
          <w:sz w:val="22"/>
          <w:szCs w:val="24"/>
        </w:rPr>
        <w:t xml:space="preserve">Zeller </w:t>
      </w:r>
      <w:r w:rsidRPr="00B74AC5">
        <w:rPr>
          <w:rFonts w:ascii="Calibri" w:eastAsia="Calibri" w:hAnsi="Calibri"/>
          <w:sz w:val="22"/>
          <w:szCs w:val="24"/>
        </w:rPr>
        <w:t xml:space="preserve">(Lepidoptera: Gelechiidae). </w:t>
      </w:r>
      <w:r w:rsidRPr="00B74AC5">
        <w:rPr>
          <w:rFonts w:ascii="Calibri" w:eastAsia="Calibri" w:hAnsi="Calibri"/>
          <w:sz w:val="22"/>
          <w:szCs w:val="24"/>
          <w:lang w:val="fr-FR"/>
        </w:rPr>
        <w:t>Potato Res., 61, 297–308.</w:t>
      </w:r>
    </w:p>
    <w:p w14:paraId="54567B0E" w14:textId="60AAAFC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Lee K., Singh P., Chung W. C., Ash J., Kim T. S., Hang L., Park S. (2006).</w:t>
      </w:r>
      <w:r w:rsidRPr="00B74AC5">
        <w:rPr>
          <w:rFonts w:ascii="Calibri" w:eastAsia="Calibri" w:hAnsi="Calibri"/>
          <w:sz w:val="22"/>
          <w:szCs w:val="24"/>
        </w:rPr>
        <w:t xml:space="preserve"> Light Regulation of Asexual Development in the Rice Blast Fungus, </w:t>
      </w:r>
      <w:r w:rsidRPr="00B74AC5">
        <w:rPr>
          <w:rFonts w:ascii="Calibri" w:eastAsia="Calibri" w:hAnsi="Calibri"/>
          <w:i/>
          <w:iCs/>
          <w:sz w:val="22"/>
          <w:szCs w:val="24"/>
        </w:rPr>
        <w:t>Magnaporthe oryzae</w:t>
      </w:r>
      <w:r w:rsidRPr="00B74AC5">
        <w:rPr>
          <w:rFonts w:ascii="Calibri" w:eastAsia="Calibri" w:hAnsi="Calibri"/>
          <w:sz w:val="22"/>
          <w:szCs w:val="24"/>
        </w:rPr>
        <w:t xml:space="preserve">. </w:t>
      </w:r>
      <w:r w:rsidRPr="00B74AC5">
        <w:rPr>
          <w:rFonts w:ascii="Calibri" w:eastAsia="Calibri" w:hAnsi="Calibri"/>
          <w:i/>
          <w:iCs/>
          <w:sz w:val="22"/>
          <w:szCs w:val="24"/>
        </w:rPr>
        <w:t>Fungal Genetics and Biology</w:t>
      </w:r>
      <w:r w:rsidRPr="00B74AC5">
        <w:rPr>
          <w:rFonts w:ascii="Calibri" w:eastAsia="Calibri" w:hAnsi="Calibri"/>
          <w:sz w:val="22"/>
          <w:szCs w:val="24"/>
        </w:rPr>
        <w:t>, 43, 694-706.</w:t>
      </w:r>
    </w:p>
    <w:p w14:paraId="14BBB7E2" w14:textId="2AC028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Luo Z., Chen Q., Su Y., Hu S., Keyhani N. O., Wang</w:t>
      </w:r>
      <w:r w:rsidR="002D3F21">
        <w:rPr>
          <w:rFonts w:ascii="Calibri" w:eastAsia="Calibri" w:hAnsi="Calibri"/>
          <w:b/>
          <w:bCs/>
          <w:sz w:val="22"/>
          <w:szCs w:val="24"/>
          <w:lang w:val="fr-FR"/>
        </w:rPr>
        <w:t xml:space="preserve"> </w:t>
      </w:r>
      <w:r w:rsidRPr="00B74AC5">
        <w:rPr>
          <w:rFonts w:ascii="Calibri" w:eastAsia="Calibri" w:hAnsi="Calibri"/>
          <w:b/>
          <w:bCs/>
          <w:sz w:val="22"/>
          <w:szCs w:val="24"/>
          <w:lang w:val="fr-FR"/>
        </w:rPr>
        <w:t>J., Zhu C., Zhou T., Pan Y., Bidochka M. J.</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Zhang Y. (2023).</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The AreA nitrogen catabolite repression activator balances fungal nutrient utilization and virulence in the insect fungal pathogen </w:t>
      </w:r>
      <w:r w:rsidRPr="00B74AC5">
        <w:rPr>
          <w:rFonts w:ascii="Calibri" w:eastAsia="Calibri" w:hAnsi="Calibri"/>
          <w:i/>
          <w:iCs/>
          <w:sz w:val="22"/>
          <w:szCs w:val="24"/>
        </w:rPr>
        <w:t>Beauveria bassiana</w:t>
      </w:r>
      <w:r w:rsidRPr="00B74AC5">
        <w:rPr>
          <w:rFonts w:ascii="Calibri" w:eastAsia="Calibri" w:hAnsi="Calibri"/>
          <w:sz w:val="22"/>
          <w:szCs w:val="24"/>
        </w:rPr>
        <w:t xml:space="preserve">. </w:t>
      </w:r>
      <w:r w:rsidRPr="00B74AC5">
        <w:rPr>
          <w:rFonts w:ascii="Calibri" w:eastAsia="Calibri" w:hAnsi="Calibri"/>
          <w:i/>
          <w:iCs/>
          <w:sz w:val="22"/>
          <w:szCs w:val="24"/>
        </w:rPr>
        <w:t xml:space="preserve">J Agric Food Chem </w:t>
      </w:r>
      <w:r w:rsidRPr="00B74AC5">
        <w:rPr>
          <w:rFonts w:ascii="Calibri" w:eastAsia="Calibri" w:hAnsi="Calibri"/>
          <w:sz w:val="22"/>
          <w:szCs w:val="24"/>
        </w:rPr>
        <w:t>71:646–659.</w:t>
      </w:r>
    </w:p>
    <w:p w14:paraId="008A0CE2" w14:textId="2BC7CDE1"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Malaj E., Von der Ohe P. C., Grote M., Kühne R., Mondy C. P., Usseglio-Polatera P., Brack W., Schäfer R. B. (2014).</w:t>
      </w:r>
      <w:r w:rsidRPr="00B74AC5">
        <w:rPr>
          <w:rFonts w:ascii="Calibri" w:eastAsia="Calibri" w:hAnsi="Calibri"/>
          <w:sz w:val="22"/>
          <w:szCs w:val="24"/>
        </w:rPr>
        <w:t xml:space="preserve"> Organic chemicals jeopardize the health of freshwater ecosystems on the continental scale. Proceedings of the National Academy of Sciences of the United States of America, 111(26), 9549–9554.</w:t>
      </w:r>
    </w:p>
    <w:p w14:paraId="4B1CDAEB" w14:textId="3C56EDBB" w:rsidR="00B74AC5" w:rsidRPr="00B74AC5" w:rsidRDefault="00B74AC5" w:rsidP="00B74AC5">
      <w:pPr>
        <w:spacing w:after="160" w:line="360" w:lineRule="auto"/>
        <w:jc w:val="both"/>
        <w:rPr>
          <w:rFonts w:ascii="Calibri" w:eastAsia="Calibri" w:hAnsi="Calibri"/>
          <w:sz w:val="22"/>
          <w:szCs w:val="24"/>
          <w:lang w:val="fr-FR"/>
        </w:rPr>
      </w:pPr>
      <w:bookmarkStart w:id="20" w:name="_Hlk188518926"/>
      <w:r w:rsidRPr="00B74AC5">
        <w:rPr>
          <w:rFonts w:ascii="Calibri" w:eastAsia="Calibri" w:hAnsi="Calibri"/>
          <w:b/>
          <w:bCs/>
          <w:sz w:val="22"/>
          <w:szCs w:val="24"/>
          <w:lang w:val="fr-FR"/>
        </w:rPr>
        <w:lastRenderedPageBreak/>
        <w:t>Mascarin</w:t>
      </w:r>
      <w:bookmarkEnd w:id="20"/>
      <w:r w:rsidRPr="00B74AC5">
        <w:rPr>
          <w:rFonts w:ascii="Calibri" w:eastAsia="Calibri" w:hAnsi="Calibri"/>
          <w:b/>
          <w:bCs/>
          <w:sz w:val="22"/>
          <w:szCs w:val="24"/>
          <w:lang w:val="fr-FR"/>
        </w:rPr>
        <w:t xml:space="preserve"> G. M, Kobori N. N., Jackson M. A., Dunlap C.A.</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Delalibera Jr. Í. (2018).</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Nitrogen sources affect productivity, desiccation tolerance and storage stability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lang w:val="fr-FR"/>
        </w:rPr>
        <w:t>J Appl Microbiol</w:t>
      </w:r>
      <w:r w:rsidRPr="00B74AC5">
        <w:rPr>
          <w:rFonts w:ascii="Calibri" w:eastAsia="Calibri" w:hAnsi="Calibri"/>
          <w:sz w:val="22"/>
          <w:szCs w:val="24"/>
          <w:lang w:val="fr-FR"/>
        </w:rPr>
        <w:t xml:space="preserve"> 124 :810– 820.</w:t>
      </w:r>
    </w:p>
    <w:p w14:paraId="2D0758A4" w14:textId="6C125AF5"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Mishra S., Kumar P.</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Malik A. (2016).</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Suitability of agricultural by-products as production medium for spore production by </w:t>
      </w:r>
      <w:r w:rsidRPr="00B74AC5">
        <w:rPr>
          <w:rFonts w:ascii="Calibri" w:eastAsia="Calibri" w:hAnsi="Calibri"/>
          <w:i/>
          <w:iCs/>
          <w:sz w:val="22"/>
          <w:szCs w:val="24"/>
        </w:rPr>
        <w:t>Beauveria bassiana</w:t>
      </w:r>
      <w:r w:rsidRPr="00B74AC5">
        <w:rPr>
          <w:rFonts w:ascii="Calibri" w:eastAsia="Calibri" w:hAnsi="Calibri"/>
          <w:sz w:val="22"/>
          <w:szCs w:val="24"/>
        </w:rPr>
        <w:t xml:space="preserve"> HQ917687. </w:t>
      </w:r>
      <w:r w:rsidRPr="00B74AC5">
        <w:rPr>
          <w:rFonts w:ascii="Calibri" w:eastAsia="Calibri" w:hAnsi="Calibri"/>
          <w:i/>
          <w:iCs/>
          <w:sz w:val="22"/>
          <w:szCs w:val="24"/>
        </w:rPr>
        <w:t>International Journal Recycling of Organic Waste in Agriculture</w:t>
      </w:r>
      <w:r w:rsidRPr="00B74AC5">
        <w:rPr>
          <w:rFonts w:ascii="Calibri" w:eastAsia="Calibri" w:hAnsi="Calibri"/>
          <w:sz w:val="22"/>
          <w:szCs w:val="24"/>
        </w:rPr>
        <w:t xml:space="preserve"> 5, 179:18</w:t>
      </w:r>
    </w:p>
    <w:p w14:paraId="0DE066C5" w14:textId="4B9EF9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Moldovan A., Munteanu-Molotievskiy N.</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Toderas I. (2022). </w:t>
      </w:r>
      <w:r w:rsidRPr="00B74AC5">
        <w:rPr>
          <w:rFonts w:ascii="Calibri" w:eastAsia="Calibri" w:hAnsi="Calibri"/>
          <w:sz w:val="22"/>
          <w:szCs w:val="24"/>
        </w:rPr>
        <w:t xml:space="preserve">Temperature effects on the entomopathogenic fungi </w:t>
      </w:r>
      <w:r w:rsidRPr="00B74AC5">
        <w:rPr>
          <w:rFonts w:ascii="Calibri" w:eastAsia="Calibri" w:hAnsi="Calibri"/>
          <w:i/>
          <w:iCs/>
          <w:sz w:val="22"/>
          <w:szCs w:val="24"/>
        </w:rPr>
        <w:t>Beauveria bassiana</w:t>
      </w:r>
      <w:r w:rsidRPr="00B74AC5">
        <w:rPr>
          <w:rFonts w:ascii="Calibri" w:eastAsia="Calibri" w:hAnsi="Calibri"/>
          <w:sz w:val="22"/>
          <w:szCs w:val="24"/>
        </w:rPr>
        <w:t xml:space="preserve"> strain cnmn-fe-01: vegetative growth, sporulation, germination rate. Current Trends in Natural Sciences. Vol. 11, Issue 21, pp. 332-338.</w:t>
      </w:r>
    </w:p>
    <w:p w14:paraId="74D34936" w14:textId="34C17036"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Mostafalou S., Abdollahi M. (2017).</w:t>
      </w:r>
      <w:r w:rsidRPr="00B74AC5">
        <w:rPr>
          <w:rFonts w:ascii="Calibri" w:eastAsia="Calibri" w:hAnsi="Calibri"/>
          <w:sz w:val="22"/>
          <w:szCs w:val="24"/>
          <w:lang w:val="fr-FR"/>
        </w:rPr>
        <w:t xml:space="preserve"> </w:t>
      </w:r>
      <w:r w:rsidRPr="00B74AC5">
        <w:rPr>
          <w:rFonts w:ascii="Calibri" w:eastAsia="Calibri" w:hAnsi="Calibri"/>
          <w:sz w:val="22"/>
          <w:szCs w:val="24"/>
        </w:rPr>
        <w:t>Pesticides: an update of human exposure and toxicity.  Archives of Toxicology, 91(2), 549-599.</w:t>
      </w:r>
    </w:p>
    <w:p w14:paraId="68AC9EEA" w14:textId="28422C1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Mota-Sanchez D., Wise J. (2017).</w:t>
      </w:r>
      <w:r w:rsidRPr="00B74AC5">
        <w:rPr>
          <w:rFonts w:ascii="Calibri" w:eastAsia="Calibri" w:hAnsi="Calibri"/>
          <w:sz w:val="22"/>
          <w:szCs w:val="24"/>
        </w:rPr>
        <w:t xml:space="preserve"> Arthropod pesticide resistance database. Michigan State University. </w:t>
      </w:r>
      <w:hyperlink r:id="rId26" w:history="1">
        <w:r w:rsidRPr="00B74AC5">
          <w:rPr>
            <w:rFonts w:ascii="Calibri" w:eastAsia="Calibri" w:hAnsi="Calibri"/>
            <w:color w:val="0563C1"/>
            <w:sz w:val="22"/>
            <w:szCs w:val="24"/>
            <w:u w:val="single"/>
          </w:rPr>
          <w:t>https://www.pesticideresistance.org/</w:t>
        </w:r>
      </w:hyperlink>
    </w:p>
    <w:p w14:paraId="4159726A" w14:textId="262754E7"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Nascimento A. R. B., Farias J. R., Bernardi D., Horikoshi R. J., Omoto, C. (2016).</w:t>
      </w:r>
      <w:r w:rsidRPr="00B74AC5">
        <w:rPr>
          <w:rFonts w:ascii="Calibri" w:eastAsia="Calibri" w:hAnsi="Calibri"/>
          <w:sz w:val="22"/>
          <w:szCs w:val="24"/>
        </w:rPr>
        <w:t xml:space="preserve"> Genetic basis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the chitin synthesis inhibitor lufenuron. </w:t>
      </w:r>
      <w:r w:rsidRPr="00B74AC5">
        <w:rPr>
          <w:rFonts w:ascii="Calibri" w:eastAsia="Calibri" w:hAnsi="Calibri"/>
          <w:sz w:val="22"/>
          <w:szCs w:val="24"/>
          <w:lang w:val="fr-FR"/>
        </w:rPr>
        <w:t>Pest Manag. Sci. 72: 810–815.</w:t>
      </w:r>
    </w:p>
    <w:p w14:paraId="1F872C91" w14:textId="2157C14C"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Nirmalkar V. K., Tiwari R. K. S.</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Lakplae N. (2020).</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Efficacy of different carbon and nitrogen sources against mycelial growth and sporulation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anisopuae</w:t>
      </w:r>
      <w:r w:rsidRPr="00B74AC5">
        <w:rPr>
          <w:rFonts w:ascii="Calibri" w:eastAsia="Calibri" w:hAnsi="Calibri"/>
          <w:sz w:val="22"/>
          <w:szCs w:val="24"/>
        </w:rPr>
        <w:t xml:space="preserve">. </w:t>
      </w:r>
      <w:r w:rsidRPr="00B74AC5">
        <w:rPr>
          <w:rFonts w:ascii="Calibri" w:eastAsia="Calibri" w:hAnsi="Calibri"/>
          <w:i/>
          <w:iCs/>
          <w:sz w:val="22"/>
          <w:szCs w:val="24"/>
        </w:rPr>
        <w:t>J. Soils and Crops</w:t>
      </w:r>
      <w:r w:rsidRPr="00B74AC5">
        <w:rPr>
          <w:rFonts w:ascii="Calibri" w:eastAsia="Calibri" w:hAnsi="Calibri"/>
          <w:sz w:val="22"/>
          <w:szCs w:val="24"/>
        </w:rPr>
        <w:t xml:space="preserve"> 30 (2) 206-212.</w:t>
      </w:r>
    </w:p>
    <w:p w14:paraId="1FC58B46" w14:textId="6C449DCC"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Okuma D. M., Bernardi D., Horikoshi R. J., Bernardi O., Silva A. P., Omoto C. (2018).</w:t>
      </w:r>
      <w:r w:rsidRPr="00B74AC5">
        <w:rPr>
          <w:rFonts w:ascii="Calibri" w:eastAsia="Calibri" w:hAnsi="Calibri"/>
          <w:sz w:val="22"/>
          <w:szCs w:val="24"/>
        </w:rPr>
        <w:t xml:space="preserve"> Inheritance and fitness costs of </w:t>
      </w:r>
      <w:r w:rsidRPr="00B74AC5">
        <w:rPr>
          <w:rFonts w:ascii="Calibri" w:eastAsia="Calibri" w:hAnsi="Calibri"/>
          <w:i/>
          <w:iCs/>
          <w:sz w:val="22"/>
          <w:szCs w:val="24"/>
        </w:rPr>
        <w:t>Spodoptera frugiperda</w:t>
      </w:r>
      <w:r w:rsidRPr="00B74AC5">
        <w:rPr>
          <w:rFonts w:ascii="Calibri" w:eastAsia="Calibri" w:hAnsi="Calibri"/>
          <w:sz w:val="22"/>
          <w:szCs w:val="24"/>
        </w:rPr>
        <w:t xml:space="preserve"> (Lepidoptera: Noctuidae) resistance to spinosad in Brazil. </w:t>
      </w:r>
      <w:r w:rsidRPr="00B74AC5">
        <w:rPr>
          <w:rFonts w:ascii="Calibri" w:eastAsia="Calibri" w:hAnsi="Calibri"/>
          <w:sz w:val="22"/>
          <w:szCs w:val="24"/>
          <w:lang w:val="fr-FR"/>
        </w:rPr>
        <w:t>Pest Manag. Sci. 74: 1441–1448.</w:t>
      </w:r>
    </w:p>
    <w:p w14:paraId="787CB2AD" w14:textId="66CD5449"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Rishad M. B., Sultana A., Chakraborty S., Silvi S. S.</w:t>
      </w:r>
      <w:r w:rsidR="002D3F21">
        <w:rPr>
          <w:rFonts w:ascii="Calibri" w:eastAsia="Calibri" w:hAnsi="Calibri"/>
          <w:b/>
          <w:bCs/>
          <w:sz w:val="22"/>
          <w:szCs w:val="24"/>
        </w:rPr>
        <w:t>,</w:t>
      </w:r>
      <w:r w:rsidRPr="00B74AC5">
        <w:rPr>
          <w:rFonts w:ascii="Calibri" w:eastAsia="Calibri" w:hAnsi="Calibri"/>
          <w:b/>
          <w:bCs/>
          <w:sz w:val="22"/>
          <w:szCs w:val="24"/>
        </w:rPr>
        <w:t xml:space="preserve"> Khokon M. A. R. (2021).</w:t>
      </w:r>
      <w:r w:rsidRPr="00B74AC5">
        <w:rPr>
          <w:rFonts w:ascii="Calibri" w:eastAsia="Calibri" w:hAnsi="Calibri"/>
          <w:sz w:val="22"/>
          <w:szCs w:val="24"/>
        </w:rPr>
        <w:t xml:space="preserve"> Effect of culture medium, temperature and photoperiod on mycelial growth and sporulation of </w:t>
      </w:r>
      <w:r w:rsidRPr="00B74AC5">
        <w:rPr>
          <w:rFonts w:ascii="Calibri" w:eastAsia="Calibri" w:hAnsi="Calibri"/>
          <w:i/>
          <w:iCs/>
          <w:sz w:val="22"/>
          <w:szCs w:val="24"/>
        </w:rPr>
        <w:t>Magnaporthe oryzae</w:t>
      </w:r>
      <w:r w:rsidRPr="00B74AC5">
        <w:rPr>
          <w:rFonts w:ascii="Calibri" w:eastAsia="Calibri" w:hAnsi="Calibri"/>
          <w:sz w:val="22"/>
          <w:szCs w:val="24"/>
        </w:rPr>
        <w:t>. Bangladesh J. Plant Pathol. 37(1&amp;2):1-6.</w:t>
      </w:r>
    </w:p>
    <w:p w14:paraId="62DF842B" w14:textId="7F9CFE55"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lastRenderedPageBreak/>
        <w:t>Sahayaraj K</w:t>
      </w:r>
      <w:r w:rsidR="002D3F21">
        <w:rPr>
          <w:rFonts w:ascii="Calibri" w:eastAsia="Calibri" w:hAnsi="Calibri"/>
          <w:b/>
          <w:bCs/>
          <w:sz w:val="22"/>
          <w:szCs w:val="24"/>
        </w:rPr>
        <w:t>.,</w:t>
      </w:r>
      <w:r w:rsidRPr="00B74AC5">
        <w:rPr>
          <w:rFonts w:ascii="Calibri" w:eastAsia="Calibri" w:hAnsi="Calibri"/>
          <w:b/>
          <w:bCs/>
          <w:sz w:val="22"/>
          <w:szCs w:val="24"/>
        </w:rPr>
        <w:t xml:space="preserve"> Namasivayam S. K. R. (2008)</w:t>
      </w:r>
      <w:r w:rsidRPr="00B74AC5">
        <w:rPr>
          <w:rFonts w:ascii="Calibri" w:eastAsia="Calibri" w:hAnsi="Calibri"/>
          <w:sz w:val="22"/>
          <w:szCs w:val="24"/>
        </w:rPr>
        <w:t xml:space="preserve">. Mass production of entomopathogenic fungi using agricultural products and by products. </w:t>
      </w:r>
      <w:r w:rsidRPr="00B74AC5">
        <w:rPr>
          <w:rFonts w:ascii="Calibri" w:eastAsia="Calibri" w:hAnsi="Calibri"/>
          <w:i/>
          <w:iCs/>
          <w:sz w:val="22"/>
          <w:szCs w:val="24"/>
          <w:lang w:val="fr-FR"/>
        </w:rPr>
        <w:t>African J Biotechnol</w:t>
      </w:r>
      <w:r w:rsidRPr="00B74AC5">
        <w:rPr>
          <w:rFonts w:ascii="Calibri" w:eastAsia="Calibri" w:hAnsi="Calibri"/>
          <w:sz w:val="22"/>
          <w:szCs w:val="24"/>
          <w:lang w:val="fr-FR"/>
        </w:rPr>
        <w:t xml:space="preserve"> 7:1907–1910.</w:t>
      </w:r>
    </w:p>
    <w:p w14:paraId="33DE4010" w14:textId="6F920063"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Sandhu S. S., Sharma A. K., Beniwal V., Goel G., Batra P., Kumar A., Jaglan S., Sharma A. K.</w:t>
      </w:r>
      <w:r w:rsidR="002D3F21">
        <w:rPr>
          <w:rFonts w:ascii="Calibri" w:eastAsia="Calibri" w:hAnsi="Calibri"/>
          <w:b/>
          <w:bCs/>
          <w:sz w:val="22"/>
          <w:szCs w:val="24"/>
        </w:rPr>
        <w:t>,</w:t>
      </w:r>
      <w:r w:rsidRPr="00B74AC5">
        <w:rPr>
          <w:rFonts w:ascii="Calibri" w:eastAsia="Calibri" w:hAnsi="Calibri"/>
          <w:b/>
          <w:bCs/>
          <w:sz w:val="22"/>
          <w:szCs w:val="24"/>
        </w:rPr>
        <w:t xml:space="preserve"> Malhotra S. (2012).</w:t>
      </w:r>
      <w:r w:rsidRPr="00B74AC5">
        <w:rPr>
          <w:rFonts w:ascii="Calibri" w:eastAsia="Calibri" w:hAnsi="Calibri"/>
          <w:sz w:val="22"/>
          <w:szCs w:val="24"/>
        </w:rPr>
        <w:t xml:space="preserve"> Myco-Biocontrol of Insect Pests: Factors Involved, Mechanism, and Regulation. J. Pathog., 2012. </w:t>
      </w:r>
      <w:hyperlink r:id="rId27" w:history="1">
        <w:r w:rsidRPr="00B74AC5">
          <w:rPr>
            <w:rFonts w:ascii="Calibri" w:eastAsia="Calibri" w:hAnsi="Calibri"/>
            <w:color w:val="0563C1"/>
            <w:sz w:val="22"/>
            <w:szCs w:val="24"/>
            <w:u w:val="single"/>
          </w:rPr>
          <w:t>https://doi.org/10.1155/2012/126819</w:t>
        </w:r>
      </w:hyperlink>
      <w:r w:rsidRPr="00B74AC5">
        <w:rPr>
          <w:rFonts w:ascii="Calibri" w:eastAsia="Calibri" w:hAnsi="Calibri"/>
          <w:sz w:val="22"/>
          <w:szCs w:val="24"/>
        </w:rPr>
        <w:t>.</w:t>
      </w:r>
    </w:p>
    <w:p w14:paraId="704C6280" w14:textId="0933F85D"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rPr>
        <w:t xml:space="preserve">Sutanto K. D., Husain M., Rasool K. G., Al-Qahtani W. H., Aldawood A. S. (2021). </w:t>
      </w:r>
      <w:r w:rsidRPr="00B74AC5">
        <w:rPr>
          <w:rFonts w:ascii="Calibri" w:eastAsia="Calibri" w:hAnsi="Calibri"/>
          <w:sz w:val="22"/>
          <w:szCs w:val="24"/>
        </w:rPr>
        <w:t>Pathogenicity of local and exotic entomopathogenic fungi isolates against different life stages of red palm weevil (</w:t>
      </w:r>
      <w:r w:rsidRPr="00B74AC5">
        <w:rPr>
          <w:rFonts w:ascii="Calibri" w:eastAsia="Calibri" w:hAnsi="Calibri"/>
          <w:i/>
          <w:iCs/>
          <w:sz w:val="22"/>
          <w:szCs w:val="24"/>
        </w:rPr>
        <w:t>Rhynchophorus ferrugineus</w:t>
      </w:r>
      <w:r w:rsidRPr="00B74AC5">
        <w:rPr>
          <w:rFonts w:ascii="Calibri" w:eastAsia="Calibri" w:hAnsi="Calibri"/>
          <w:sz w:val="22"/>
          <w:szCs w:val="24"/>
        </w:rPr>
        <w:t>). PLoS ONE  16, e0255029.</w:t>
      </w:r>
    </w:p>
    <w:p w14:paraId="3D6BCDA6" w14:textId="44517CEA" w:rsidR="00B74AC5" w:rsidRPr="00B74AC5" w:rsidRDefault="00B74AC5" w:rsidP="00B74AC5">
      <w:pPr>
        <w:spacing w:after="160" w:line="360" w:lineRule="auto"/>
        <w:jc w:val="both"/>
        <w:rPr>
          <w:rFonts w:ascii="Calibri" w:eastAsia="Calibri" w:hAnsi="Calibri"/>
          <w:sz w:val="22"/>
          <w:szCs w:val="24"/>
          <w:lang w:val="fr-FR"/>
        </w:rPr>
      </w:pPr>
      <w:r w:rsidRPr="00B74AC5">
        <w:rPr>
          <w:rFonts w:ascii="Calibri" w:eastAsia="Calibri" w:hAnsi="Calibri"/>
          <w:b/>
          <w:bCs/>
          <w:sz w:val="22"/>
          <w:szCs w:val="24"/>
        </w:rPr>
        <w:t>Tamires D. D-S., Ariadne C. S., Maiara A. C., Thais J. D-P, Patrice</w:t>
      </w:r>
      <w:r w:rsidR="002D3F21">
        <w:rPr>
          <w:rFonts w:ascii="Calibri" w:eastAsia="Calibri" w:hAnsi="Calibri"/>
          <w:b/>
          <w:bCs/>
          <w:sz w:val="22"/>
          <w:szCs w:val="24"/>
        </w:rPr>
        <w:t xml:space="preserve"> </w:t>
      </w:r>
      <w:r w:rsidRPr="00B74AC5">
        <w:rPr>
          <w:rFonts w:ascii="Calibri" w:eastAsia="Calibri" w:hAnsi="Calibri"/>
          <w:b/>
          <w:bCs/>
          <w:sz w:val="22"/>
          <w:szCs w:val="24"/>
        </w:rPr>
        <w:t>J. S.</w:t>
      </w:r>
      <w:r w:rsidR="002D3F21">
        <w:rPr>
          <w:rFonts w:ascii="Calibri" w:eastAsia="Calibri" w:hAnsi="Calibri"/>
          <w:b/>
          <w:bCs/>
          <w:sz w:val="22"/>
          <w:szCs w:val="24"/>
        </w:rPr>
        <w:t>,</w:t>
      </w:r>
      <w:r w:rsidRPr="00B74AC5">
        <w:rPr>
          <w:rFonts w:ascii="Calibri" w:eastAsia="Calibri" w:hAnsi="Calibri"/>
          <w:b/>
          <w:bCs/>
          <w:sz w:val="22"/>
          <w:szCs w:val="24"/>
        </w:rPr>
        <w:t xml:space="preserve"> Ricardo A.  P. (2022).</w:t>
      </w:r>
      <w:r w:rsidRPr="00B74AC5">
        <w:rPr>
          <w:rFonts w:ascii="Calibri" w:eastAsia="Calibri" w:hAnsi="Calibri"/>
          <w:sz w:val="22"/>
          <w:szCs w:val="24"/>
        </w:rPr>
        <w:t xml:space="preserve"> Mortality of </w:t>
      </w:r>
      <w:r w:rsidRPr="00B74AC5">
        <w:rPr>
          <w:rFonts w:ascii="Calibri" w:eastAsia="Calibri" w:hAnsi="Calibri"/>
          <w:i/>
          <w:iCs/>
          <w:sz w:val="22"/>
          <w:szCs w:val="24"/>
        </w:rPr>
        <w:t>Diatraea saccharalis</w:t>
      </w:r>
      <w:r w:rsidRPr="00B74AC5">
        <w:rPr>
          <w:rFonts w:ascii="Calibri" w:eastAsia="Calibri" w:hAnsi="Calibri"/>
          <w:sz w:val="22"/>
          <w:szCs w:val="24"/>
        </w:rPr>
        <w:t xml:space="preserve"> is affected by the pH values of the spore suspension of </w:t>
      </w:r>
      <w:r w:rsidRPr="00B74AC5">
        <w:rPr>
          <w:rFonts w:ascii="Calibri" w:eastAsia="Calibri" w:hAnsi="Calibri"/>
          <w:i/>
          <w:iCs/>
          <w:sz w:val="22"/>
          <w:szCs w:val="24"/>
        </w:rPr>
        <w:t>Beauveria bassiana</w:t>
      </w:r>
      <w:r w:rsidRPr="00B74AC5">
        <w:rPr>
          <w:rFonts w:ascii="Calibri" w:eastAsia="Calibri" w:hAnsi="Calibri"/>
          <w:sz w:val="22"/>
          <w:szCs w:val="24"/>
        </w:rPr>
        <w:t xml:space="preserve"> and </w:t>
      </w:r>
      <w:r w:rsidRPr="00B74AC5">
        <w:rPr>
          <w:rFonts w:ascii="Calibri" w:eastAsia="Calibri" w:hAnsi="Calibri"/>
          <w:i/>
          <w:iCs/>
          <w:sz w:val="22"/>
          <w:szCs w:val="24"/>
        </w:rPr>
        <w:t>Metarhizium anisopliae</w:t>
      </w:r>
      <w:r w:rsidRPr="00B74AC5">
        <w:rPr>
          <w:rFonts w:ascii="Calibri" w:eastAsia="Calibri" w:hAnsi="Calibri"/>
          <w:sz w:val="22"/>
          <w:szCs w:val="24"/>
        </w:rPr>
        <w:t xml:space="preserve">. </w:t>
      </w:r>
      <w:r w:rsidRPr="00B74AC5">
        <w:rPr>
          <w:rFonts w:ascii="Calibri" w:eastAsia="Calibri" w:hAnsi="Calibri"/>
          <w:sz w:val="22"/>
          <w:szCs w:val="24"/>
          <w:lang w:val="fr-FR"/>
        </w:rPr>
        <w:t>Rev. Ceres, Viçosa, v. 69, n.4, p. 483-487</w:t>
      </w:r>
    </w:p>
    <w:p w14:paraId="6BBD2A99" w14:textId="2D36B13F" w:rsidR="00B74AC5" w:rsidRPr="00B74AC5" w:rsidRDefault="00B74AC5" w:rsidP="00B74AC5">
      <w:pPr>
        <w:spacing w:after="160" w:line="360" w:lineRule="auto"/>
        <w:jc w:val="both"/>
        <w:rPr>
          <w:rFonts w:ascii="Calibri" w:eastAsia="Calibri" w:hAnsi="Calibri"/>
          <w:sz w:val="22"/>
          <w:szCs w:val="24"/>
        </w:rPr>
      </w:pPr>
      <w:r w:rsidRPr="00B74AC5">
        <w:rPr>
          <w:rFonts w:ascii="Calibri" w:eastAsia="Calibri" w:hAnsi="Calibri"/>
          <w:b/>
          <w:bCs/>
          <w:sz w:val="22"/>
          <w:szCs w:val="24"/>
          <w:lang w:val="fr-FR"/>
        </w:rPr>
        <w:t>Valesca H. L., Alexandre T. M., Gabriel M. M.</w:t>
      </w:r>
      <w:r w:rsidR="002D3F21">
        <w:rPr>
          <w:rFonts w:ascii="Calibri" w:eastAsia="Calibri" w:hAnsi="Calibri"/>
          <w:b/>
          <w:bCs/>
          <w:sz w:val="22"/>
          <w:szCs w:val="24"/>
          <w:lang w:val="fr-FR"/>
        </w:rPr>
        <w:t>,</w:t>
      </w:r>
      <w:r w:rsidRPr="00B74AC5">
        <w:rPr>
          <w:rFonts w:ascii="Calibri" w:eastAsia="Calibri" w:hAnsi="Calibri"/>
          <w:b/>
          <w:bCs/>
          <w:sz w:val="22"/>
          <w:szCs w:val="24"/>
          <w:lang w:val="fr-FR"/>
        </w:rPr>
        <w:t xml:space="preserve"> Éverton K. K. F., (2024).</w:t>
      </w:r>
      <w:r w:rsidRPr="00B74AC5">
        <w:rPr>
          <w:rFonts w:ascii="Calibri" w:eastAsia="Calibri" w:hAnsi="Calibri"/>
          <w:sz w:val="22"/>
          <w:szCs w:val="24"/>
          <w:lang w:val="fr-FR"/>
        </w:rPr>
        <w:t xml:space="preserve"> </w:t>
      </w:r>
      <w:r w:rsidRPr="00B74AC5">
        <w:rPr>
          <w:rFonts w:ascii="Calibri" w:eastAsia="Calibri" w:hAnsi="Calibri"/>
          <w:sz w:val="22"/>
          <w:szCs w:val="24"/>
        </w:rPr>
        <w:t xml:space="preserve">Complex nitrogen sources from agro-industrial byproducts: impact on production, multi-stress tolerance, virulence, and quality of </w:t>
      </w:r>
      <w:r w:rsidRPr="00B74AC5">
        <w:rPr>
          <w:rFonts w:ascii="Calibri" w:eastAsia="Calibri" w:hAnsi="Calibri"/>
          <w:i/>
          <w:iCs/>
          <w:sz w:val="22"/>
          <w:szCs w:val="24"/>
        </w:rPr>
        <w:t>Beauveria bassiana</w:t>
      </w:r>
      <w:r w:rsidRPr="00B74AC5">
        <w:rPr>
          <w:rFonts w:ascii="Calibri" w:eastAsia="Calibri" w:hAnsi="Calibri"/>
          <w:sz w:val="22"/>
          <w:szCs w:val="24"/>
        </w:rPr>
        <w:t xml:space="preserve"> blastospores. </w:t>
      </w:r>
      <w:r w:rsidRPr="00B74AC5">
        <w:rPr>
          <w:rFonts w:ascii="Calibri" w:eastAsia="Calibri" w:hAnsi="Calibri"/>
          <w:i/>
          <w:iCs/>
          <w:sz w:val="22"/>
          <w:szCs w:val="24"/>
        </w:rPr>
        <w:t>Microbiology Spectrum</w:t>
      </w:r>
      <w:r w:rsidRPr="00B74AC5">
        <w:rPr>
          <w:rFonts w:ascii="Calibri" w:eastAsia="Calibri" w:hAnsi="Calibri"/>
          <w:sz w:val="22"/>
          <w:szCs w:val="24"/>
        </w:rPr>
        <w:t>, Volume 12 Issue 6, p 1-24.</w:t>
      </w:r>
    </w:p>
    <w:p w14:paraId="531832DB" w14:textId="7962141E" w:rsidR="00B74AC5" w:rsidRPr="00B74AC5" w:rsidRDefault="00B74AC5" w:rsidP="00B74AC5">
      <w:pPr>
        <w:spacing w:after="160" w:line="360" w:lineRule="auto"/>
        <w:jc w:val="both"/>
        <w:rPr>
          <w:rFonts w:ascii="Arial" w:eastAsia="Calibri" w:hAnsi="Arial" w:cs="Arial"/>
        </w:rPr>
      </w:pPr>
      <w:r w:rsidRPr="00B74AC5">
        <w:rPr>
          <w:rFonts w:ascii="Arial" w:eastAsia="Calibri" w:hAnsi="Arial" w:cs="Arial"/>
          <w:b/>
          <w:bCs/>
        </w:rPr>
        <w:t>Van der Sluijs J. P., Amaral-Rogers V., Belzunces L. P., Bijleveld van Lexmond M. F. I. J., Bonmatin J. M., Chagnon M., Girolami V. (2015)</w:t>
      </w:r>
      <w:r w:rsidRPr="00B74AC5">
        <w:rPr>
          <w:rFonts w:ascii="Arial" w:eastAsia="Calibri" w:hAnsi="Arial" w:cs="Arial"/>
        </w:rPr>
        <w:t>. Conclusions of the Worldwide Integrated Assessment on the risks of neonicotinoids and fipronil to biodiversity and ecosystem functioning. Environmental Science and Pollution Research, 22(1), 148-154.</w:t>
      </w:r>
    </w:p>
    <w:p w14:paraId="52FAF3FD" w14:textId="1A8E2ABD" w:rsidR="00B74AC5" w:rsidRPr="00B74AC5" w:rsidRDefault="00B74AC5" w:rsidP="00B74AC5">
      <w:pPr>
        <w:pStyle w:val="ReferHead"/>
        <w:spacing w:after="0"/>
        <w:jc w:val="both"/>
        <w:rPr>
          <w:rFonts w:ascii="Arial" w:hAnsi="Arial" w:cs="Arial"/>
          <w:b w:val="0"/>
          <w:bCs/>
        </w:rPr>
      </w:pPr>
      <w:bookmarkStart w:id="21" w:name="_Hlk189934956"/>
      <w:r w:rsidRPr="006120BB">
        <w:rPr>
          <w:rFonts w:ascii="Calibri" w:eastAsia="Calibri" w:hAnsi="Calibri"/>
          <w:bCs/>
          <w:caps w:val="0"/>
          <w:szCs w:val="24"/>
        </w:rPr>
        <w:t xml:space="preserve">Yong-Jun </w:t>
      </w:r>
      <w:bookmarkEnd w:id="21"/>
      <w:r w:rsidRPr="006120BB">
        <w:rPr>
          <w:rFonts w:ascii="Calibri" w:eastAsia="Calibri" w:hAnsi="Calibri"/>
          <w:bCs/>
          <w:caps w:val="0"/>
          <w:szCs w:val="24"/>
        </w:rPr>
        <w:t>Z., Zun-Hua L., Zhi-Bing L., Jian-Qing Z., Yan-Hua F</w:t>
      </w:r>
      <w:r w:rsidR="002D3F21">
        <w:rPr>
          <w:rFonts w:ascii="Calibri" w:eastAsia="Calibri" w:hAnsi="Calibri"/>
          <w:bCs/>
          <w:caps w:val="0"/>
          <w:szCs w:val="24"/>
        </w:rPr>
        <w:t>.,</w:t>
      </w:r>
      <w:r w:rsidRPr="006120BB">
        <w:rPr>
          <w:rFonts w:ascii="Calibri" w:eastAsia="Calibri" w:hAnsi="Calibri"/>
          <w:bCs/>
          <w:caps w:val="0"/>
          <w:szCs w:val="24"/>
        </w:rPr>
        <w:t xml:space="preserve"> Yan P. (2014)</w:t>
      </w:r>
      <w:r w:rsidRPr="006120BB">
        <w:rPr>
          <w:rFonts w:ascii="Calibri" w:eastAsia="Calibri" w:hAnsi="Calibri"/>
          <w:b w:val="0"/>
          <w:caps w:val="0"/>
          <w:szCs w:val="24"/>
        </w:rPr>
        <w:t xml:space="preserve">. Light stimulates conidiation of the entomopathogenic fungus </w:t>
      </w:r>
      <w:r w:rsidRPr="006120BB">
        <w:rPr>
          <w:rFonts w:ascii="Calibri" w:eastAsia="Calibri" w:hAnsi="Calibri"/>
          <w:b w:val="0"/>
          <w:i/>
          <w:iCs/>
          <w:caps w:val="0"/>
          <w:szCs w:val="24"/>
        </w:rPr>
        <w:t>Beauveria bassiana</w:t>
      </w:r>
      <w:r w:rsidRPr="006120BB">
        <w:rPr>
          <w:rFonts w:ascii="Calibri" w:eastAsia="Calibri" w:hAnsi="Calibri"/>
          <w:b w:val="0"/>
          <w:caps w:val="0"/>
          <w:szCs w:val="24"/>
        </w:rPr>
        <w:t>. Biocontrol Science and Technology, 19:1, 91-101.</w:t>
      </w:r>
    </w:p>
    <w:sectPr w:rsidR="00B74AC5" w:rsidRPr="00B74AC5" w:rsidSect="006F10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2CDB7" w14:textId="77777777" w:rsidR="003C58BD" w:rsidRDefault="003C58BD" w:rsidP="00C37E61">
      <w:r>
        <w:separator/>
      </w:r>
    </w:p>
  </w:endnote>
  <w:endnote w:type="continuationSeparator" w:id="0">
    <w:p w14:paraId="1E8D38FA" w14:textId="77777777" w:rsidR="003C58BD" w:rsidRDefault="003C58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2DA3" w14:textId="77777777" w:rsidR="00081A8F" w:rsidRDefault="00081A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0691" w14:textId="77777777" w:rsidR="00081A8F" w:rsidRDefault="00081A8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4FE5" w14:textId="77777777" w:rsidR="009E048A" w:rsidRDefault="009E048A">
    <w:pPr>
      <w:pStyle w:val="a4"/>
      <w:rPr>
        <w:rFonts w:ascii="Arial" w:hAnsi="Arial" w:cs="Arial"/>
        <w:sz w:val="16"/>
      </w:rPr>
    </w:pPr>
  </w:p>
  <w:p w14:paraId="551DF5B5"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96801B5" w14:textId="77777777" w:rsidR="009E048A" w:rsidRDefault="009E048A">
    <w:pPr>
      <w:pStyle w:val="a4"/>
      <w:rPr>
        <w:rFonts w:ascii="Arial" w:hAnsi="Arial" w:cs="Arial"/>
        <w:sz w:val="16"/>
      </w:rPr>
    </w:pPr>
  </w:p>
  <w:p w14:paraId="26167E9B"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87299" w14:textId="77777777" w:rsidR="003C58BD" w:rsidRDefault="003C58BD" w:rsidP="00C37E61">
      <w:r>
        <w:separator/>
      </w:r>
    </w:p>
  </w:footnote>
  <w:footnote w:type="continuationSeparator" w:id="0">
    <w:p w14:paraId="37373887" w14:textId="77777777" w:rsidR="003C58BD" w:rsidRDefault="003C58B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884F" w14:textId="5524D500" w:rsidR="00081A8F" w:rsidRDefault="003C58BD">
    <w:pPr>
      <w:pStyle w:val="a5"/>
    </w:pPr>
    <w:r>
      <w:rPr>
        <w:noProof/>
      </w:rPr>
      <w:pict w14:anchorId="4319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E9874" w14:textId="2BE8E5E1" w:rsidR="00081A8F" w:rsidRDefault="003C58BD">
    <w:pPr>
      <w:pStyle w:val="a5"/>
    </w:pPr>
    <w:r>
      <w:rPr>
        <w:noProof/>
      </w:rPr>
      <w:pict w14:anchorId="676F1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7EDF" w14:textId="7A5C6CF6" w:rsidR="00296529" w:rsidRPr="00296529" w:rsidRDefault="003C58BD" w:rsidP="00296529">
    <w:pPr>
      <w:ind w:left="2160"/>
      <w:jc w:val="center"/>
      <w:rPr>
        <w:rFonts w:ascii="Times New Roman" w:eastAsia="Calibri" w:hAnsi="Times New Roman"/>
        <w:i/>
        <w:sz w:val="18"/>
        <w:szCs w:val="22"/>
      </w:rPr>
    </w:pPr>
    <w:r>
      <w:rPr>
        <w:noProof/>
      </w:rPr>
      <w:pict w14:anchorId="657CA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7AF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59C1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6229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D8CB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469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5B0DE7" w14:textId="77777777" w:rsidR="00296529" w:rsidRDefault="00754C9A">
    <w:pPr>
      <w:pStyle w:val="a5"/>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65F95"/>
    <w:rsid w:val="00081A8F"/>
    <w:rsid w:val="000914C2"/>
    <w:rsid w:val="000A47FA"/>
    <w:rsid w:val="000A65D3"/>
    <w:rsid w:val="000B1E33"/>
    <w:rsid w:val="000D689F"/>
    <w:rsid w:val="000E7B7B"/>
    <w:rsid w:val="000E7D62"/>
    <w:rsid w:val="000F2C77"/>
    <w:rsid w:val="000F7DE6"/>
    <w:rsid w:val="00103357"/>
    <w:rsid w:val="00123C9F"/>
    <w:rsid w:val="00126190"/>
    <w:rsid w:val="00130F17"/>
    <w:rsid w:val="001320BF"/>
    <w:rsid w:val="00163BC4"/>
    <w:rsid w:val="00167613"/>
    <w:rsid w:val="00191062"/>
    <w:rsid w:val="00192B72"/>
    <w:rsid w:val="001A29D8"/>
    <w:rsid w:val="001A5CAA"/>
    <w:rsid w:val="001B0427"/>
    <w:rsid w:val="001C5A2B"/>
    <w:rsid w:val="001C5C0B"/>
    <w:rsid w:val="001D17A0"/>
    <w:rsid w:val="001D3A51"/>
    <w:rsid w:val="001D4EAD"/>
    <w:rsid w:val="001E10D2"/>
    <w:rsid w:val="001E25B4"/>
    <w:rsid w:val="001E44FE"/>
    <w:rsid w:val="00200595"/>
    <w:rsid w:val="00202B61"/>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7FEC"/>
    <w:rsid w:val="002D3F21"/>
    <w:rsid w:val="002E0D56"/>
    <w:rsid w:val="00315186"/>
    <w:rsid w:val="00321469"/>
    <w:rsid w:val="0033343E"/>
    <w:rsid w:val="003512C2"/>
    <w:rsid w:val="00371FB6"/>
    <w:rsid w:val="003763C1"/>
    <w:rsid w:val="00376BBE"/>
    <w:rsid w:val="0039224F"/>
    <w:rsid w:val="003A43A4"/>
    <w:rsid w:val="003A7E18"/>
    <w:rsid w:val="003C4C86"/>
    <w:rsid w:val="003C58BD"/>
    <w:rsid w:val="003C6258"/>
    <w:rsid w:val="003E2904"/>
    <w:rsid w:val="003E4D6E"/>
    <w:rsid w:val="00401927"/>
    <w:rsid w:val="0041027F"/>
    <w:rsid w:val="00412475"/>
    <w:rsid w:val="00412C3F"/>
    <w:rsid w:val="00423789"/>
    <w:rsid w:val="00440F43"/>
    <w:rsid w:val="00441B6F"/>
    <w:rsid w:val="00446221"/>
    <w:rsid w:val="004467E9"/>
    <w:rsid w:val="00450E62"/>
    <w:rsid w:val="004539DB"/>
    <w:rsid w:val="004621DA"/>
    <w:rsid w:val="00471A80"/>
    <w:rsid w:val="00490616"/>
    <w:rsid w:val="004D305E"/>
    <w:rsid w:val="004D4265"/>
    <w:rsid w:val="004D4277"/>
    <w:rsid w:val="00502516"/>
    <w:rsid w:val="00505F06"/>
    <w:rsid w:val="00506828"/>
    <w:rsid w:val="0053056E"/>
    <w:rsid w:val="00554FDA"/>
    <w:rsid w:val="00592AE4"/>
    <w:rsid w:val="005C784C"/>
    <w:rsid w:val="005D17F6"/>
    <w:rsid w:val="005E28DD"/>
    <w:rsid w:val="005E5539"/>
    <w:rsid w:val="005F2533"/>
    <w:rsid w:val="006017A3"/>
    <w:rsid w:val="00602BF5"/>
    <w:rsid w:val="00617FDD"/>
    <w:rsid w:val="00633614"/>
    <w:rsid w:val="00633F68"/>
    <w:rsid w:val="00636EB2"/>
    <w:rsid w:val="006375B8"/>
    <w:rsid w:val="0064090D"/>
    <w:rsid w:val="0066510A"/>
    <w:rsid w:val="00673F9F"/>
    <w:rsid w:val="00686953"/>
    <w:rsid w:val="00687DEA"/>
    <w:rsid w:val="00687E67"/>
    <w:rsid w:val="006967F7"/>
    <w:rsid w:val="006A250C"/>
    <w:rsid w:val="006A38B4"/>
    <w:rsid w:val="006B21D3"/>
    <w:rsid w:val="006B57D0"/>
    <w:rsid w:val="006D30FF"/>
    <w:rsid w:val="006D6940"/>
    <w:rsid w:val="006F103A"/>
    <w:rsid w:val="006F11EC"/>
    <w:rsid w:val="006F131A"/>
    <w:rsid w:val="0070082C"/>
    <w:rsid w:val="007354E7"/>
    <w:rsid w:val="007369E6"/>
    <w:rsid w:val="00746E59"/>
    <w:rsid w:val="00754C9A"/>
    <w:rsid w:val="0075599A"/>
    <w:rsid w:val="00760667"/>
    <w:rsid w:val="00761D52"/>
    <w:rsid w:val="0077749E"/>
    <w:rsid w:val="00790ADA"/>
    <w:rsid w:val="007A4F36"/>
    <w:rsid w:val="007B63BA"/>
    <w:rsid w:val="007D2288"/>
    <w:rsid w:val="007E088F"/>
    <w:rsid w:val="007F7B32"/>
    <w:rsid w:val="00804BC2"/>
    <w:rsid w:val="0081431A"/>
    <w:rsid w:val="0083216F"/>
    <w:rsid w:val="00853FDD"/>
    <w:rsid w:val="00860000"/>
    <w:rsid w:val="00863BD3"/>
    <w:rsid w:val="008641ED"/>
    <w:rsid w:val="00866D66"/>
    <w:rsid w:val="008671C6"/>
    <w:rsid w:val="00875803"/>
    <w:rsid w:val="008807B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6D6C"/>
    <w:rsid w:val="009D7EB7"/>
    <w:rsid w:val="009E048A"/>
    <w:rsid w:val="009E08E9"/>
    <w:rsid w:val="009E3DB9"/>
    <w:rsid w:val="009E6E35"/>
    <w:rsid w:val="009F0EDA"/>
    <w:rsid w:val="009F7041"/>
    <w:rsid w:val="00A03B96"/>
    <w:rsid w:val="00A05B19"/>
    <w:rsid w:val="00A1134E"/>
    <w:rsid w:val="00A24E7E"/>
    <w:rsid w:val="00A258C3"/>
    <w:rsid w:val="00A347C0"/>
    <w:rsid w:val="00A37FA4"/>
    <w:rsid w:val="00A51431"/>
    <w:rsid w:val="00A539AD"/>
    <w:rsid w:val="00A94063"/>
    <w:rsid w:val="00AA6219"/>
    <w:rsid w:val="00AA74E0"/>
    <w:rsid w:val="00AB703F"/>
    <w:rsid w:val="00AC6BB8"/>
    <w:rsid w:val="00AE008F"/>
    <w:rsid w:val="00B01FCD"/>
    <w:rsid w:val="00B1776C"/>
    <w:rsid w:val="00B26FC9"/>
    <w:rsid w:val="00B41AB5"/>
    <w:rsid w:val="00B52583"/>
    <w:rsid w:val="00B52896"/>
    <w:rsid w:val="00B7489F"/>
    <w:rsid w:val="00B74AC5"/>
    <w:rsid w:val="00B83965"/>
    <w:rsid w:val="00B95236"/>
    <w:rsid w:val="00B96BD9"/>
    <w:rsid w:val="00BA1B01"/>
    <w:rsid w:val="00BA2641"/>
    <w:rsid w:val="00BB37AA"/>
    <w:rsid w:val="00BC53A0"/>
    <w:rsid w:val="00BC589E"/>
    <w:rsid w:val="00BE62AD"/>
    <w:rsid w:val="00BF121F"/>
    <w:rsid w:val="00BF1F80"/>
    <w:rsid w:val="00BF2663"/>
    <w:rsid w:val="00C166EF"/>
    <w:rsid w:val="00C17EB0"/>
    <w:rsid w:val="00C27F5F"/>
    <w:rsid w:val="00C30A0F"/>
    <w:rsid w:val="00C37E61"/>
    <w:rsid w:val="00C70F1B"/>
    <w:rsid w:val="00C71A47"/>
    <w:rsid w:val="00C7464C"/>
    <w:rsid w:val="00C8343A"/>
    <w:rsid w:val="00C85588"/>
    <w:rsid w:val="00CD6755"/>
    <w:rsid w:val="00CD6856"/>
    <w:rsid w:val="00CE0089"/>
    <w:rsid w:val="00CE793C"/>
    <w:rsid w:val="00CF193C"/>
    <w:rsid w:val="00D173F1"/>
    <w:rsid w:val="00D35D74"/>
    <w:rsid w:val="00D74CB0"/>
    <w:rsid w:val="00D8295D"/>
    <w:rsid w:val="00DA4BED"/>
    <w:rsid w:val="00DC2A65"/>
    <w:rsid w:val="00DE15F0"/>
    <w:rsid w:val="00DE5663"/>
    <w:rsid w:val="00DE78AA"/>
    <w:rsid w:val="00E053D0"/>
    <w:rsid w:val="00E15994"/>
    <w:rsid w:val="00E3114E"/>
    <w:rsid w:val="00E31A70"/>
    <w:rsid w:val="00E35B02"/>
    <w:rsid w:val="00E4133D"/>
    <w:rsid w:val="00E578A1"/>
    <w:rsid w:val="00E66496"/>
    <w:rsid w:val="00E66B35"/>
    <w:rsid w:val="00E66E10"/>
    <w:rsid w:val="00E67B6A"/>
    <w:rsid w:val="00E70F0E"/>
    <w:rsid w:val="00E769F6"/>
    <w:rsid w:val="00E8407C"/>
    <w:rsid w:val="00E84F3C"/>
    <w:rsid w:val="00EA012C"/>
    <w:rsid w:val="00EB1270"/>
    <w:rsid w:val="00EC6A55"/>
    <w:rsid w:val="00ED0288"/>
    <w:rsid w:val="00ED7AC8"/>
    <w:rsid w:val="00EE52CB"/>
    <w:rsid w:val="00EE60AB"/>
    <w:rsid w:val="00EF581D"/>
    <w:rsid w:val="00EF7FD8"/>
    <w:rsid w:val="00F06F59"/>
    <w:rsid w:val="00F17988"/>
    <w:rsid w:val="00F469F0"/>
    <w:rsid w:val="00F53273"/>
    <w:rsid w:val="00F755E4"/>
    <w:rsid w:val="00F77D02"/>
    <w:rsid w:val="00FB3A86"/>
    <w:rsid w:val="00FB4AC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4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3">
    <w:name w:val="heading 3"/>
    <w:basedOn w:val="a"/>
    <w:next w:val="a"/>
    <w:link w:val="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0">
    <w:name w:val="Body Text 3"/>
    <w:basedOn w:val="a"/>
    <w:link w:val="3Char0"/>
    <w:rsid w:val="00231920"/>
    <w:pPr>
      <w:spacing w:after="120"/>
    </w:pPr>
    <w:rPr>
      <w:sz w:val="16"/>
      <w:szCs w:val="16"/>
    </w:rPr>
  </w:style>
  <w:style w:type="character" w:customStyle="1" w:styleId="3Char0">
    <w:name w:val="نص أساسي 3 Char"/>
    <w:basedOn w:val="a0"/>
    <w:link w:val="30"/>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3Char">
    <w:name w:val="عنوان 3 Char"/>
    <w:basedOn w:val="a0"/>
    <w:link w:val="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7Char">
    <w:name w:val="عنوان 7 Char"/>
    <w:basedOn w:val="a0"/>
    <w:link w:val="7"/>
    <w:uiPriority w:val="9"/>
    <w:semiHidden/>
    <w:rsid w:val="00B83965"/>
    <w:rPr>
      <w:rFonts w:asciiTheme="majorHAnsi" w:eastAsiaTheme="majorEastAsia" w:hAnsiTheme="majorHAnsi" w:cstheme="majorBidi"/>
      <w:i/>
      <w:iCs/>
      <w:color w:val="243F60" w:themeColor="accent1" w:themeShade="7F"/>
    </w:rPr>
  </w:style>
  <w:style w:type="character" w:styleId="ae">
    <w:name w:val="Placeholder Text"/>
    <w:basedOn w:val="a0"/>
    <w:uiPriority w:val="99"/>
    <w:semiHidden/>
    <w:rsid w:val="00E67B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3">
    <w:name w:val="heading 3"/>
    <w:basedOn w:val="a"/>
    <w:next w:val="a"/>
    <w:link w:val="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0">
    <w:name w:val="Body Text 3"/>
    <w:basedOn w:val="a"/>
    <w:link w:val="3Char0"/>
    <w:rsid w:val="00231920"/>
    <w:pPr>
      <w:spacing w:after="120"/>
    </w:pPr>
    <w:rPr>
      <w:sz w:val="16"/>
      <w:szCs w:val="16"/>
    </w:rPr>
  </w:style>
  <w:style w:type="character" w:customStyle="1" w:styleId="3Char0">
    <w:name w:val="نص أساسي 3 Char"/>
    <w:basedOn w:val="a0"/>
    <w:link w:val="30"/>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3Char">
    <w:name w:val="عنوان 3 Char"/>
    <w:basedOn w:val="a0"/>
    <w:link w:val="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7Char">
    <w:name w:val="عنوان 7 Char"/>
    <w:basedOn w:val="a0"/>
    <w:link w:val="7"/>
    <w:uiPriority w:val="9"/>
    <w:semiHidden/>
    <w:rsid w:val="00B83965"/>
    <w:rPr>
      <w:rFonts w:asciiTheme="majorHAnsi" w:eastAsiaTheme="majorEastAsia" w:hAnsiTheme="majorHAnsi" w:cstheme="majorBidi"/>
      <w:i/>
      <w:iCs/>
      <w:color w:val="243F60" w:themeColor="accent1" w:themeShade="7F"/>
    </w:rPr>
  </w:style>
  <w:style w:type="character" w:styleId="ae">
    <w:name w:val="Placeholder Text"/>
    <w:basedOn w:val="a0"/>
    <w:uiPriority w:val="99"/>
    <w:semiHidden/>
    <w:rsid w:val="00E67B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23466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yperlink" Target="https://www.pesticideresistance.org/"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www.pesticideresistance.org/"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2478/v10102-009-0001-7"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doi.org/10.1155/2012/126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20MARKET%20CI\Documents\DONNEES%20AICHA(R&#233;cup&#233;ration%20automatique).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E:\projet%20th&#232;se\DONNEES%20AICHA.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20MARKET%20CI\Documents\DONNEES%20AICHA(R&#233;cup&#233;ration%20automatiqu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20MARKET%20CI\Documents\fermentation(R&#233;cup&#233;ration%20automat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'ANOVApH-SPORES'!$C$231</c:f>
              <c:strCache>
                <c:ptCount val="1"/>
                <c:pt idx="0">
                  <c:v>Moyennes </c:v>
                </c:pt>
              </c:strCache>
            </c:strRef>
          </c:tx>
          <c:spPr>
            <a:solidFill>
              <a:srgbClr val="4F81BD">
                <a:lumMod val="75000"/>
              </a:srgbClr>
            </a:solidFill>
            <a:ln>
              <a:noFill/>
            </a:ln>
            <a:effectLst/>
          </c:spPr>
          <c:invertIfNegative val="0"/>
          <c:dLbls>
            <c:dLbl>
              <c:idx val="0"/>
              <c:layout>
                <c:manualLayout>
                  <c:x val="-2.5462668816039986E-17"/>
                  <c:y val="-5.5555555555555643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3A-4656-BDDA-24E716BF79BD}"/>
                </c:ext>
              </c:extLst>
            </c:dLbl>
            <c:dLbl>
              <c:idx val="1"/>
              <c:layout>
                <c:manualLayout>
                  <c:x val="0"/>
                  <c:y val="-3.2407407407407406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3A-4656-BDDA-24E716BF79BD}"/>
                </c:ext>
              </c:extLst>
            </c:dLbl>
            <c:dLbl>
              <c:idx val="2"/>
              <c:layout>
                <c:manualLayout>
                  <c:x val="2.9463759575721863E-3"/>
                  <c:y val="-2.2440471797550179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3A-4656-BDDA-24E716BF79BD}"/>
                </c:ext>
              </c:extLst>
            </c:dLbl>
            <c:dLbl>
              <c:idx val="3"/>
              <c:layout>
                <c:manualLayout>
                  <c:x val="0"/>
                  <c:y val="-5.0925925925925923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3A-4656-BDDA-24E716BF79BD}"/>
                </c:ext>
              </c:extLst>
            </c:dLbl>
            <c:dLbl>
              <c:idx val="4"/>
              <c:layout>
                <c:manualLayout>
                  <c:x val="0"/>
                  <c:y val="-4.1666666666666685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3A-4656-BDDA-24E716BF79B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Desc3!$C$10:$C$14</c:f>
                <c:numCache>
                  <c:formatCode>General</c:formatCode>
                  <c:ptCount val="5"/>
                  <c:pt idx="0">
                    <c:v>41633319.989322655</c:v>
                  </c:pt>
                  <c:pt idx="1">
                    <c:v>55677643.62830022</c:v>
                  </c:pt>
                  <c:pt idx="2">
                    <c:v>36055512.754639894</c:v>
                  </c:pt>
                  <c:pt idx="3">
                    <c:v>73711147.958319947</c:v>
                  </c:pt>
                  <c:pt idx="4">
                    <c:v>65574385.243020006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'ANOVApH-SPORES'!$B$232:$B$236</c:f>
              <c:strCache>
                <c:ptCount val="5"/>
                <c:pt idx="0">
                  <c:v>pH5</c:v>
                </c:pt>
                <c:pt idx="1">
                  <c:v>pH6</c:v>
                </c:pt>
                <c:pt idx="2">
                  <c:v>pH7</c:v>
                </c:pt>
                <c:pt idx="3">
                  <c:v>pH8</c:v>
                </c:pt>
                <c:pt idx="4">
                  <c:v>pH9</c:v>
                </c:pt>
              </c:strCache>
            </c:strRef>
          </c:cat>
          <c:val>
            <c:numRef>
              <c:f>'ANOVApH-SPORES'!$C$232:$C$236</c:f>
              <c:numCache>
                <c:formatCode>0.00E+00</c:formatCode>
                <c:ptCount val="5"/>
                <c:pt idx="0">
                  <c:v>266666666.66666669</c:v>
                </c:pt>
                <c:pt idx="1">
                  <c:v>270000000.00000006</c:v>
                </c:pt>
                <c:pt idx="2">
                  <c:v>360000000</c:v>
                </c:pt>
                <c:pt idx="3">
                  <c:v>476666666.66666669</c:v>
                </c:pt>
                <c:pt idx="4">
                  <c:v>699999999.99999988</c:v>
                </c:pt>
              </c:numCache>
            </c:numRef>
          </c:val>
          <c:extLst xmlns:c16r2="http://schemas.microsoft.com/office/drawing/2015/06/chart">
            <c:ext xmlns:c16="http://schemas.microsoft.com/office/drawing/2014/chart" uri="{C3380CC4-5D6E-409C-BE32-E72D297353CC}">
              <c16:uniqueId val="{00000005-AE3A-4656-BDDA-24E716BF79BD}"/>
            </c:ext>
          </c:extLst>
        </c:ser>
        <c:dLbls>
          <c:dLblPos val="outEnd"/>
          <c:showLegendKey val="0"/>
          <c:showVal val="1"/>
          <c:showCatName val="0"/>
          <c:showSerName val="0"/>
          <c:showPercent val="0"/>
          <c:showBubbleSize val="0"/>
        </c:dLbls>
        <c:gapWidth val="219"/>
        <c:overlap val="-27"/>
        <c:axId val="94071040"/>
        <c:axId val="94073216"/>
      </c:barChart>
      <c:catAx>
        <c:axId val="9407104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potential Hydrogen level (pH)</a:t>
                </a:r>
              </a:p>
            </c:rich>
          </c:tx>
          <c:layout>
            <c:manualLayout>
              <c:xMode val="edge"/>
              <c:yMode val="edge"/>
              <c:x val="0.33404572218690692"/>
              <c:y val="0.902210817735742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073216"/>
        <c:crosses val="autoZero"/>
        <c:auto val="1"/>
        <c:lblAlgn val="ctr"/>
        <c:lblOffset val="100"/>
        <c:noMultiLvlLbl val="0"/>
      </c:catAx>
      <c:valAx>
        <c:axId val="94073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07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ANOVA_Photo_spores!$C$209</c:f>
              <c:strCache>
                <c:ptCount val="1"/>
                <c:pt idx="0">
                  <c:v>Moyennes</c:v>
                </c:pt>
              </c:strCache>
            </c:strRef>
          </c:tx>
          <c:spPr>
            <a:solidFill>
              <a:srgbClr val="376092"/>
            </a:solidFill>
            <a:ln>
              <a:noFill/>
            </a:ln>
            <a:effectLst/>
          </c:spPr>
          <c:invertIfNegative val="0"/>
          <c:dLbls>
            <c:dLbl>
              <c:idx val="0"/>
              <c:layout>
                <c:manualLayout>
                  <c:x val="2.7777777777777267E-3"/>
                  <c:y val="-6.4814814814814839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7A-4BB1-BFB1-E888EBA6594C}"/>
                </c:ext>
              </c:extLst>
            </c:dLbl>
            <c:dLbl>
              <c:idx val="1"/>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7A-4BB1-BFB1-E888EBA6594C}"/>
                </c:ext>
              </c:extLst>
            </c:dLbl>
            <c:dLbl>
              <c:idx val="2"/>
              <c:layout>
                <c:manualLayout>
                  <c:x val="0"/>
                  <c:y val="-1.38888888888889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7A-4BB1-BFB1-E888EBA6594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Desc7!$C$10:$C$12</c:f>
                <c:numCache>
                  <c:formatCode>General</c:formatCode>
                  <c:ptCount val="3"/>
                  <c:pt idx="0">
                    <c:v>4041451.88432738</c:v>
                  </c:pt>
                  <c:pt idx="1">
                    <c:v>5507570.5472861025</c:v>
                  </c:pt>
                  <c:pt idx="2">
                    <c:v>2000000.0000000002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ANOVA_Photo_spores!$B$210:$B$212</c:f>
              <c:strCache>
                <c:ptCount val="3"/>
                <c:pt idx="0">
                  <c:v>24/00 (h)</c:v>
                </c:pt>
                <c:pt idx="1">
                  <c:v>00/24 (h)</c:v>
                </c:pt>
                <c:pt idx="2">
                  <c:v>12/12 (h)</c:v>
                </c:pt>
              </c:strCache>
            </c:strRef>
          </c:cat>
          <c:val>
            <c:numRef>
              <c:f>ANOVA_Photo_spores!$C$210:$C$212</c:f>
              <c:numCache>
                <c:formatCode>0.00E+00</c:formatCode>
                <c:ptCount val="3"/>
                <c:pt idx="0">
                  <c:v>30666666.666666668</c:v>
                </c:pt>
                <c:pt idx="1">
                  <c:v>31333333.333333332</c:v>
                </c:pt>
                <c:pt idx="2">
                  <c:v>39000000</c:v>
                </c:pt>
              </c:numCache>
            </c:numRef>
          </c:val>
          <c:extLst xmlns:c16r2="http://schemas.microsoft.com/office/drawing/2015/06/chart">
            <c:ext xmlns:c16="http://schemas.microsoft.com/office/drawing/2014/chart" uri="{C3380CC4-5D6E-409C-BE32-E72D297353CC}">
              <c16:uniqueId val="{00000003-177A-4BB1-BFB1-E888EBA6594C}"/>
            </c:ext>
          </c:extLst>
        </c:ser>
        <c:dLbls>
          <c:dLblPos val="outEnd"/>
          <c:showLegendKey val="0"/>
          <c:showVal val="1"/>
          <c:showCatName val="0"/>
          <c:showSerName val="0"/>
          <c:showPercent val="0"/>
          <c:showBubbleSize val="0"/>
        </c:dLbls>
        <c:gapWidth val="219"/>
        <c:overlap val="-27"/>
        <c:axId val="94103808"/>
        <c:axId val="94142848"/>
      </c:barChart>
      <c:catAx>
        <c:axId val="9410380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Light/Dark regime </a:t>
                </a:r>
              </a:p>
            </c:rich>
          </c:tx>
          <c:layout>
            <c:manualLayout>
              <c:xMode val="edge"/>
              <c:yMode val="edge"/>
              <c:x val="0.38891957452686843"/>
              <c:y val="0.910439632545931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142848"/>
        <c:crosses val="autoZero"/>
        <c:auto val="1"/>
        <c:lblAlgn val="ctr"/>
        <c:lblOffset val="100"/>
        <c:noMultiLvlLbl val="0"/>
      </c:catAx>
      <c:valAx>
        <c:axId val="9414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i="0" baseline="0">
                    <a:effectLst/>
                  </a:rPr>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10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ANOVA1!$C$219</c:f>
              <c:strCache>
                <c:ptCount val="1"/>
                <c:pt idx="0">
                  <c:v>Moyennes </c:v>
                </c:pt>
              </c:strCache>
            </c:strRef>
          </c:tx>
          <c:spPr>
            <a:solidFill>
              <a:srgbClr val="376092"/>
            </a:solidFill>
            <a:ln>
              <a:noFill/>
            </a:ln>
            <a:effectLst/>
          </c:spPr>
          <c:invertIfNegative val="0"/>
          <c:dLbls>
            <c:dLbl>
              <c:idx val="0"/>
              <c:layout>
                <c:manualLayout>
                  <c:x val="-2.6630232864733108E-4"/>
                  <c:y val="-2.8772812568989625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ED-4F8F-B9EF-9B20F194EBD7}"/>
                </c:ext>
              </c:extLst>
            </c:dLbl>
            <c:dLbl>
              <c:idx val="1"/>
              <c:layout>
                <c:manualLayout>
                  <c:x val="5.5808589185841061E-17"/>
                  <c:y val="-9.9428765913606595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ED-4F8F-B9EF-9B20F194EBD7}"/>
                </c:ext>
              </c:extLst>
            </c:dLbl>
            <c:dLbl>
              <c:idx val="2"/>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ED-4F8F-B9EF-9B20F194EBD7}"/>
                </c:ext>
              </c:extLst>
            </c:dLbl>
            <c:dLbl>
              <c:idx val="3"/>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ED-4F8F-B9EF-9B20F194EBD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Desc5!$C$10:$C$13</c:f>
                <c:numCache>
                  <c:formatCode>General</c:formatCode>
                  <c:ptCount val="4"/>
                  <c:pt idx="0">
                    <c:v>30000000</c:v>
                  </c:pt>
                  <c:pt idx="1">
                    <c:v>70237691.685684919</c:v>
                  </c:pt>
                  <c:pt idx="2">
                    <c:v>2000000</c:v>
                  </c:pt>
                  <c:pt idx="3">
                    <c:v>25166.114784235833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ANOVA1!$B$220:$B$223</c:f>
              <c:strCache>
                <c:ptCount val="4"/>
                <c:pt idx="0">
                  <c:v>20°C</c:v>
                </c:pt>
                <c:pt idx="1">
                  <c:v>25°C</c:v>
                </c:pt>
                <c:pt idx="2">
                  <c:v>30°C</c:v>
                </c:pt>
                <c:pt idx="3">
                  <c:v>35°C</c:v>
                </c:pt>
              </c:strCache>
            </c:strRef>
          </c:cat>
          <c:val>
            <c:numRef>
              <c:f>ANOVA1!$C$220:$C$223</c:f>
              <c:numCache>
                <c:formatCode>0.00E+00</c:formatCode>
                <c:ptCount val="4"/>
                <c:pt idx="0">
                  <c:v>280000000</c:v>
                </c:pt>
                <c:pt idx="1">
                  <c:v>383333333.33333337</c:v>
                </c:pt>
                <c:pt idx="2">
                  <c:v>13000000.000000063</c:v>
                </c:pt>
                <c:pt idx="3">
                  <c:v>56666.666666805279</c:v>
                </c:pt>
              </c:numCache>
            </c:numRef>
          </c:val>
          <c:extLst xmlns:c16r2="http://schemas.microsoft.com/office/drawing/2015/06/chart">
            <c:ext xmlns:c16="http://schemas.microsoft.com/office/drawing/2014/chart" uri="{C3380CC4-5D6E-409C-BE32-E72D297353CC}">
              <c16:uniqueId val="{00000004-BCED-4F8F-B9EF-9B20F194EBD7}"/>
            </c:ext>
          </c:extLst>
        </c:ser>
        <c:dLbls>
          <c:dLblPos val="outEnd"/>
          <c:showLegendKey val="0"/>
          <c:showVal val="1"/>
          <c:showCatName val="0"/>
          <c:showSerName val="0"/>
          <c:showPercent val="0"/>
          <c:showBubbleSize val="0"/>
        </c:dLbls>
        <c:gapWidth val="219"/>
        <c:overlap val="-27"/>
        <c:axId val="94174592"/>
        <c:axId val="94250496"/>
      </c:barChart>
      <c:catAx>
        <c:axId val="9417459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Temperature level</a:t>
                </a:r>
              </a:p>
            </c:rich>
          </c:tx>
          <c:layout>
            <c:manualLayout>
              <c:xMode val="edge"/>
              <c:yMode val="edge"/>
              <c:x val="0.38736388720640685"/>
              <c:y val="0.898661952970164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250496"/>
        <c:crosses val="autoZero"/>
        <c:auto val="1"/>
        <c:lblAlgn val="ctr"/>
        <c:lblOffset val="100"/>
        <c:noMultiLvlLbl val="0"/>
      </c:catAx>
      <c:valAx>
        <c:axId val="94250496"/>
        <c:scaling>
          <c:orientation val="minMax"/>
          <c:max val="50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17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ANOVA5!$C$243</c:f>
              <c:strCache>
                <c:ptCount val="1"/>
                <c:pt idx="0">
                  <c:v>Moyennes estimées</c:v>
                </c:pt>
              </c:strCache>
            </c:strRef>
          </c:tx>
          <c:spPr>
            <a:solidFill>
              <a:srgbClr val="376092"/>
            </a:solidFill>
            <a:ln>
              <a:noFill/>
            </a:ln>
            <a:effectLst/>
          </c:spPr>
          <c:invertIfNegative val="0"/>
          <c:dLbls>
            <c:dLbl>
              <c:idx val="0"/>
              <c:layout>
                <c:manualLayout>
                  <c:x val="0"/>
                  <c:y val="-7.4074074074074153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CA-4C62-8914-3F6E07CA2C4E}"/>
                </c:ext>
              </c:extLst>
            </c:dLbl>
            <c:dLbl>
              <c:idx val="1"/>
              <c:layout>
                <c:manualLayout>
                  <c:x val="-5.0925337632079971E-17"/>
                  <c:y val="-0.1388888888888889"/>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CA-4C62-8914-3F6E07CA2C4E}"/>
                </c:ext>
              </c:extLst>
            </c:dLbl>
            <c:dLbl>
              <c:idx val="2"/>
              <c:layout>
                <c:manualLayout>
                  <c:x val="2.6827632461434293E-3"/>
                  <c:y val="-0.2162308939323761"/>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CA-4C62-8914-3F6E07CA2C4E}"/>
                </c:ext>
              </c:extLst>
            </c:dLbl>
            <c:dLbl>
              <c:idx val="3"/>
              <c:layout>
                <c:manualLayout>
                  <c:x val="0"/>
                  <c:y val="-5.5555555555555552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CA-4C62-8914-3F6E07CA2C4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Desc11!$C$10:$C$13</c:f>
                <c:numCache>
                  <c:formatCode>General</c:formatCode>
                  <c:ptCount val="4"/>
                  <c:pt idx="0">
                    <c:v>1710230.6537098698</c:v>
                  </c:pt>
                  <c:pt idx="1">
                    <c:v>2913883.0254000048</c:v>
                  </c:pt>
                  <c:pt idx="2">
                    <c:v>4850887.6621821607</c:v>
                  </c:pt>
                  <c:pt idx="3">
                    <c:v>1349189.5715576815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ANOVA5!$B$244:$B$247</c:f>
              <c:strCache>
                <c:ptCount val="4"/>
                <c:pt idx="0">
                  <c:v>ET-LEVURE</c:v>
                </c:pt>
                <c:pt idx="1">
                  <c:v>LEVURE</c:v>
                </c:pt>
                <c:pt idx="2">
                  <c:v>MD</c:v>
                </c:pt>
                <c:pt idx="3">
                  <c:v>PEPTONE</c:v>
                </c:pt>
              </c:strCache>
            </c:strRef>
          </c:cat>
          <c:val>
            <c:numRef>
              <c:f>ANOVA5!$C$244:$C$247</c:f>
              <c:numCache>
                <c:formatCode>0.00E+00</c:formatCode>
                <c:ptCount val="4"/>
                <c:pt idx="0">
                  <c:v>6460000</c:v>
                </c:pt>
                <c:pt idx="1">
                  <c:v>10525000</c:v>
                </c:pt>
                <c:pt idx="2">
                  <c:v>8500000.0000000019</c:v>
                </c:pt>
                <c:pt idx="3">
                  <c:v>3193749.9999999921</c:v>
                </c:pt>
              </c:numCache>
            </c:numRef>
          </c:val>
          <c:extLst xmlns:c16r2="http://schemas.microsoft.com/office/drawing/2015/06/chart">
            <c:ext xmlns:c16="http://schemas.microsoft.com/office/drawing/2014/chart" uri="{C3380CC4-5D6E-409C-BE32-E72D297353CC}">
              <c16:uniqueId val="{00000004-FDCA-4C62-8914-3F6E07CA2C4E}"/>
            </c:ext>
          </c:extLst>
        </c:ser>
        <c:dLbls>
          <c:dLblPos val="outEnd"/>
          <c:showLegendKey val="0"/>
          <c:showVal val="1"/>
          <c:showCatName val="0"/>
          <c:showSerName val="0"/>
          <c:showPercent val="0"/>
          <c:showBubbleSize val="0"/>
        </c:dLbls>
        <c:gapWidth val="219"/>
        <c:overlap val="-27"/>
        <c:axId val="94270208"/>
        <c:axId val="94272128"/>
      </c:barChart>
      <c:catAx>
        <c:axId val="9427020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Nitrogen sources</a:t>
                </a:r>
              </a:p>
            </c:rich>
          </c:tx>
          <c:layout>
            <c:manualLayout>
              <c:xMode val="edge"/>
              <c:yMode val="edge"/>
              <c:x val="0.41328010055081144"/>
              <c:y val="0.910073336421182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272128"/>
        <c:crosses val="autoZero"/>
        <c:auto val="1"/>
        <c:lblAlgn val="ctr"/>
        <c:lblOffset val="100"/>
        <c:noMultiLvlLbl val="0"/>
      </c:catAx>
      <c:valAx>
        <c:axId val="94272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27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 CARBONE SPORES'!$C$230</c:f>
              <c:strCache>
                <c:ptCount val="1"/>
                <c:pt idx="0">
                  <c:v>Moyennes </c:v>
                </c:pt>
              </c:strCache>
            </c:strRef>
          </c:tx>
          <c:spPr>
            <a:solidFill>
              <a:srgbClr val="376092"/>
            </a:solidFill>
            <a:ln>
              <a:noFill/>
            </a:ln>
            <a:effectLst/>
          </c:spPr>
          <c:invertIfNegative val="0"/>
          <c:dLbls>
            <c:dLbl>
              <c:idx val="0"/>
              <c:layout>
                <c:manualLayout>
                  <c:x val="0"/>
                  <c:y val="-6.9444444444444448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70-4DDA-98E1-28ACBDFD40A8}"/>
                </c:ext>
              </c:extLst>
            </c:dLbl>
            <c:dLbl>
              <c:idx val="1"/>
              <c:layout>
                <c:manualLayout>
                  <c:x val="-4.620824586653759E-17"/>
                  <c:y val="-1.8463527836146581E-3"/>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70-4DDA-98E1-28ACBDFD40A8}"/>
                </c:ext>
              </c:extLst>
            </c:dLbl>
            <c:dLbl>
              <c:idx val="2"/>
              <c:layout>
                <c:manualLayout>
                  <c:x val="0"/>
                  <c:y val="-0.10926455307456069"/>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70-4DDA-98E1-28ACBDFD40A8}"/>
                </c:ext>
              </c:extLst>
            </c:dLbl>
            <c:dLbl>
              <c:idx val="3"/>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70-4DDA-98E1-28ACBDFD40A8}"/>
                </c:ext>
              </c:extLst>
            </c:dLbl>
            <c:dLbl>
              <c:idx val="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70-4DDA-98E1-28ACBDFD40A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Desc1!$C$10:$C$14</c:f>
                <c:numCache>
                  <c:formatCode>General</c:formatCode>
                  <c:ptCount val="5"/>
                  <c:pt idx="0">
                    <c:v>187110484.29559827</c:v>
                  </c:pt>
                  <c:pt idx="1">
                    <c:v>23288051.299611423</c:v>
                  </c:pt>
                  <c:pt idx="2">
                    <c:v>260434892.69553214</c:v>
                  </c:pt>
                  <c:pt idx="3">
                    <c:v>29103264.421710495</c:v>
                  </c:pt>
                  <c:pt idx="4">
                    <c:v>49030602.688525051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 CARBONE SPORES'!$B$231:$B$235</c:f>
              <c:strCache>
                <c:ptCount val="5"/>
                <c:pt idx="0">
                  <c:v>FA</c:v>
                </c:pt>
                <c:pt idx="1">
                  <c:v>HA</c:v>
                </c:pt>
                <c:pt idx="2">
                  <c:v>HE</c:v>
                </c:pt>
                <c:pt idx="3">
                  <c:v>GLUCOSE</c:v>
                </c:pt>
                <c:pt idx="4">
                  <c:v>SACCHAROSE</c:v>
                </c:pt>
              </c:strCache>
            </c:strRef>
          </c:cat>
          <c:val>
            <c:numRef>
              <c:f>'ANOVA CARBONE SPORES'!$C$231:$C$235</c:f>
              <c:numCache>
                <c:formatCode>0.00E+00</c:formatCode>
                <c:ptCount val="5"/>
                <c:pt idx="0">
                  <c:v>1403666666.6666667</c:v>
                </c:pt>
                <c:pt idx="1">
                  <c:v>680333333.33333302</c:v>
                </c:pt>
                <c:pt idx="2">
                  <c:v>1312666666.6666667</c:v>
                </c:pt>
                <c:pt idx="3">
                  <c:v>464999999.99999994</c:v>
                </c:pt>
                <c:pt idx="4">
                  <c:v>365000000.00000006</c:v>
                </c:pt>
              </c:numCache>
            </c:numRef>
          </c:val>
          <c:extLst xmlns:c16r2="http://schemas.microsoft.com/office/drawing/2015/06/chart">
            <c:ext xmlns:c16="http://schemas.microsoft.com/office/drawing/2014/chart" uri="{C3380CC4-5D6E-409C-BE32-E72D297353CC}">
              <c16:uniqueId val="{00000005-EB70-4DDA-98E1-28ACBDFD40A8}"/>
            </c:ext>
          </c:extLst>
        </c:ser>
        <c:dLbls>
          <c:dLblPos val="outEnd"/>
          <c:showLegendKey val="0"/>
          <c:showVal val="1"/>
          <c:showCatName val="0"/>
          <c:showSerName val="0"/>
          <c:showPercent val="0"/>
          <c:showBubbleSize val="0"/>
        </c:dLbls>
        <c:gapWidth val="219"/>
        <c:overlap val="-27"/>
        <c:axId val="94332032"/>
        <c:axId val="94333952"/>
      </c:barChart>
      <c:catAx>
        <c:axId val="9433203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Carbon sources</a:t>
                </a:r>
              </a:p>
            </c:rich>
          </c:tx>
          <c:layout>
            <c:manualLayout>
              <c:xMode val="edge"/>
              <c:yMode val="edge"/>
              <c:x val="0.41353517010751722"/>
              <c:y val="0.9120234604105571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333952"/>
        <c:crosses val="autoZero"/>
        <c:auto val="1"/>
        <c:lblAlgn val="ctr"/>
        <c:lblOffset val="100"/>
        <c:noMultiLvlLbl val="0"/>
      </c:catAx>
      <c:valAx>
        <c:axId val="9433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33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46B-470E-B80E-6C7FFDCD2220}"/>
                </c:ext>
              </c:extLst>
            </c:dLbl>
            <c:dLbl>
              <c:idx val="1"/>
              <c:layout>
                <c:manualLayout>
                  <c:x val="0"/>
                  <c:y val="-1.851851851851852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6B-470E-B80E-6C7FFDCD2220}"/>
                </c:ext>
              </c:extLst>
            </c:dLbl>
            <c:dLbl>
              <c:idx val="2"/>
              <c:layout>
                <c:manualLayout>
                  <c:x val="0"/>
                  <c:y val="-1.8518518518518517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46B-470E-B80E-6C7FFDCD2220}"/>
                </c:ext>
              </c:extLst>
            </c:dLbl>
            <c:dLbl>
              <c:idx val="3"/>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46B-470E-B80E-6C7FFDCD2220}"/>
                </c:ext>
              </c:extLst>
            </c:dLbl>
            <c:dLbl>
              <c:idx val="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46B-470E-B80E-6C7FFDCD2220}"/>
                </c:ext>
              </c:extLst>
            </c:dLbl>
            <c:dLbl>
              <c:idx val="5"/>
              <c:layout>
                <c:manualLayout>
                  <c:x val="-1.0185067526415994E-16"/>
                  <c:y val="-9.2592592592592813E-3"/>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46B-470E-B80E-6C7FFDCD222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ANOVA2!$B$338:$B$343</c:f>
              <c:strCache>
                <c:ptCount val="6"/>
                <c:pt idx="0">
                  <c:v>wheat</c:v>
                </c:pt>
                <c:pt idx="1">
                  <c:v>corn</c:v>
                </c:pt>
                <c:pt idx="2">
                  <c:v>cassava</c:v>
                </c:pt>
                <c:pt idx="3">
                  <c:v>millet</c:v>
                </c:pt>
                <c:pt idx="4">
                  <c:v>rice</c:v>
                </c:pt>
                <c:pt idx="5">
                  <c:v>sorghum</c:v>
                </c:pt>
              </c:strCache>
            </c:strRef>
          </c:cat>
          <c:val>
            <c:numRef>
              <c:f>ANOVA2!$C$338:$C$343</c:f>
              <c:numCache>
                <c:formatCode>0.00E+00</c:formatCode>
                <c:ptCount val="6"/>
                <c:pt idx="0">
                  <c:v>39988888.888888881</c:v>
                </c:pt>
                <c:pt idx="1">
                  <c:v>62600000</c:v>
                </c:pt>
                <c:pt idx="2">
                  <c:v>48727777.777777746</c:v>
                </c:pt>
                <c:pt idx="3">
                  <c:v>22522222.222222216</c:v>
                </c:pt>
                <c:pt idx="4">
                  <c:v>24679999.999999989</c:v>
                </c:pt>
                <c:pt idx="5">
                  <c:v>56947368.421052597</c:v>
                </c:pt>
              </c:numCache>
            </c:numRef>
          </c:val>
          <c:extLst xmlns:c16r2="http://schemas.microsoft.com/office/drawing/2015/06/chart">
            <c:ext xmlns:c16="http://schemas.microsoft.com/office/drawing/2014/chart" uri="{C3380CC4-5D6E-409C-BE32-E72D297353CC}">
              <c16:uniqueId val="{00000006-046B-470E-B80E-6C7FFDCD2220}"/>
            </c:ext>
          </c:extLst>
        </c:ser>
        <c:dLbls>
          <c:dLblPos val="outEnd"/>
          <c:showLegendKey val="0"/>
          <c:showVal val="1"/>
          <c:showCatName val="0"/>
          <c:showSerName val="0"/>
          <c:showPercent val="0"/>
          <c:showBubbleSize val="0"/>
        </c:dLbls>
        <c:gapWidth val="219"/>
        <c:overlap val="-27"/>
        <c:axId val="94390528"/>
        <c:axId val="94396800"/>
      </c:barChart>
      <c:catAx>
        <c:axId val="9439052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Flour</a:t>
                </a:r>
              </a:p>
            </c:rich>
          </c:tx>
          <c:layout>
            <c:manualLayout>
              <c:xMode val="edge"/>
              <c:yMode val="edge"/>
              <c:x val="0.47000704180270148"/>
              <c:y val="0.905810002916302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396800"/>
        <c:crosses val="autoZero"/>
        <c:auto val="1"/>
        <c:lblAlgn val="ctr"/>
        <c:lblOffset val="100"/>
        <c:noMultiLvlLbl val="0"/>
      </c:catAx>
      <c:valAx>
        <c:axId val="9439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IQ"/>
          </a:p>
        </c:txPr>
        <c:crossAx val="9439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CDC0-45A4-448A-B130-224BF22A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532</TotalTime>
  <Pages>15</Pages>
  <Words>4842</Words>
  <Characters>27605</Characters>
  <Application>Microsoft Office Word</Application>
  <DocSecurity>0</DocSecurity>
  <Lines>230</Lines>
  <Paragraphs>64</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Paper Template</vt:lpstr>
      <vt:lpstr>Paper Template</vt:lpstr>
      <vt:lpstr>Paper Template</vt:lpstr>
    </vt:vector>
  </TitlesOfParts>
  <Company>aaaa</Company>
  <LinksUpToDate>false</LinksUpToDate>
  <CharactersWithSpaces>32383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iraq</cp:lastModifiedBy>
  <cp:revision>28</cp:revision>
  <cp:lastPrinted>1999-07-06T11:00:00Z</cp:lastPrinted>
  <dcterms:created xsi:type="dcterms:W3CDTF">2025-04-16T09:53:00Z</dcterms:created>
  <dcterms:modified xsi:type="dcterms:W3CDTF">2025-04-18T21:53:00Z</dcterms:modified>
</cp:coreProperties>
</file>