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3914" w14:textId="57AC46CD" w:rsidR="005A1D74" w:rsidRPr="00B67CB3" w:rsidRDefault="00E26BE3" w:rsidP="00C45D8E">
      <w:pPr>
        <w:pStyle w:val="Heading1"/>
        <w:spacing w:before="100" w:beforeAutospacing="1" w:after="100" w:afterAutospacing="1" w:line="240" w:lineRule="auto"/>
        <w:jc w:val="right"/>
        <w:rPr>
          <w:rFonts w:cs="Arial"/>
          <w:b/>
          <w:bCs/>
          <w:sz w:val="36"/>
          <w:szCs w:val="36"/>
        </w:rPr>
      </w:pPr>
      <w:bookmarkStart w:id="0" w:name="_Hlk195003779"/>
      <w:bookmarkEnd w:id="0"/>
      <w:r w:rsidRPr="00B67CB3">
        <w:rPr>
          <w:rFonts w:cs="Arial"/>
          <w:b/>
          <w:bCs/>
          <w:sz w:val="36"/>
          <w:szCs w:val="36"/>
        </w:rPr>
        <w:t xml:space="preserve">Development </w:t>
      </w:r>
      <w:r w:rsidR="009139C9" w:rsidRPr="00B67CB3">
        <w:rPr>
          <w:rFonts w:cs="Arial"/>
          <w:b/>
          <w:bCs/>
          <w:sz w:val="36"/>
          <w:szCs w:val="36"/>
        </w:rPr>
        <w:t>a</w:t>
      </w:r>
      <w:r w:rsidRPr="00B67CB3">
        <w:rPr>
          <w:rFonts w:cs="Arial"/>
          <w:b/>
          <w:bCs/>
          <w:sz w:val="36"/>
          <w:szCs w:val="36"/>
        </w:rPr>
        <w:t xml:space="preserve">nd Assessment of </w:t>
      </w:r>
      <w:r w:rsidR="006B1213" w:rsidRPr="00B67CB3">
        <w:rPr>
          <w:rFonts w:cs="Arial"/>
          <w:b/>
          <w:bCs/>
          <w:sz w:val="36"/>
          <w:szCs w:val="36"/>
        </w:rPr>
        <w:t xml:space="preserve">Polymeric </w:t>
      </w:r>
      <w:r w:rsidRPr="00B67CB3">
        <w:rPr>
          <w:rFonts w:cs="Arial"/>
          <w:b/>
          <w:bCs/>
          <w:sz w:val="36"/>
          <w:szCs w:val="36"/>
        </w:rPr>
        <w:t xml:space="preserve">Film Forming Solution </w:t>
      </w:r>
      <w:r w:rsidR="009139C9" w:rsidRPr="00B67CB3">
        <w:rPr>
          <w:rFonts w:cs="Arial"/>
          <w:b/>
          <w:bCs/>
          <w:sz w:val="36"/>
          <w:szCs w:val="36"/>
        </w:rPr>
        <w:t>of Ciclopirox</w:t>
      </w:r>
      <w:r w:rsidR="00C67E8C" w:rsidRPr="00B67CB3">
        <w:rPr>
          <w:rFonts w:cs="Arial"/>
          <w:b/>
          <w:bCs/>
          <w:sz w:val="36"/>
          <w:szCs w:val="36"/>
        </w:rPr>
        <w:t xml:space="preserve"> o</w:t>
      </w:r>
      <w:r w:rsidR="009139C9" w:rsidRPr="00B67CB3">
        <w:rPr>
          <w:rFonts w:cs="Arial"/>
          <w:b/>
          <w:bCs/>
          <w:sz w:val="36"/>
          <w:szCs w:val="36"/>
        </w:rPr>
        <w:t xml:space="preserve">lamine </w:t>
      </w:r>
      <w:r w:rsidRPr="00B67CB3">
        <w:rPr>
          <w:rFonts w:cs="Arial"/>
          <w:b/>
          <w:bCs/>
          <w:sz w:val="36"/>
          <w:szCs w:val="36"/>
        </w:rPr>
        <w:t>for</w:t>
      </w:r>
      <w:r w:rsidR="00B67CB3">
        <w:rPr>
          <w:rFonts w:cs="Arial"/>
          <w:b/>
          <w:bCs/>
          <w:sz w:val="36"/>
          <w:szCs w:val="36"/>
        </w:rPr>
        <w:t xml:space="preserve"> </w:t>
      </w:r>
      <w:r w:rsidRPr="00B67CB3">
        <w:rPr>
          <w:rFonts w:cs="Arial"/>
          <w:b/>
          <w:bCs/>
          <w:sz w:val="36"/>
          <w:szCs w:val="36"/>
        </w:rPr>
        <w:t>Topical Fungal Infection</w:t>
      </w:r>
      <w:r w:rsidR="006B1213" w:rsidRPr="00B67CB3">
        <w:rPr>
          <w:rFonts w:cs="Arial"/>
          <w:b/>
          <w:bCs/>
          <w:sz w:val="36"/>
          <w:szCs w:val="36"/>
        </w:rPr>
        <w:t>s</w:t>
      </w:r>
    </w:p>
    <w:p w14:paraId="5D244853" w14:textId="77777777" w:rsidR="00B67CB3" w:rsidRDefault="00B67CB3" w:rsidP="00B4464C">
      <w:pPr>
        <w:spacing w:line="240" w:lineRule="auto"/>
        <w:rPr>
          <w:rFonts w:cs="Arial"/>
          <w:b/>
          <w:bCs/>
          <w:sz w:val="28"/>
          <w:szCs w:val="28"/>
        </w:rPr>
      </w:pPr>
      <w:r>
        <w:rPr>
          <w:rFonts w:cs="Arial"/>
          <w:noProof/>
          <w:lang w:val="en-GB" w:eastAsia="en-GB"/>
        </w:rPr>
        <mc:AlternateContent>
          <mc:Choice Requires="wps">
            <w:drawing>
              <wp:inline distT="0" distB="0" distL="0" distR="0" wp14:anchorId="1632D629" wp14:editId="7D64304F">
                <wp:extent cx="5212080" cy="624"/>
                <wp:effectExtent l="0" t="0" r="0" b="0"/>
                <wp:docPr id="23053396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A3064B7" id="_x0000_t32" coordsize="21600,21600" o:spt="32" o:oned="t" path="m,l21600,21600e" filled="f">
                <v:path arrowok="t" fillok="f" o:connecttype="none"/>
                <o:lock v:ext="edit" shapetype="t"/>
              </v:shapetype>
              <v:shape id="Straight Arrow Connector 1"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5FC5F2F0" w14:textId="77777777" w:rsidR="00B67CB3" w:rsidRDefault="00B67CB3" w:rsidP="00B4464C">
      <w:pPr>
        <w:spacing w:line="240" w:lineRule="auto"/>
        <w:rPr>
          <w:rFonts w:cs="Arial"/>
          <w:b/>
          <w:bCs/>
          <w:sz w:val="28"/>
          <w:szCs w:val="28"/>
        </w:rPr>
      </w:pPr>
      <w:r w:rsidRPr="00B67CB3">
        <w:rPr>
          <w:rFonts w:cs="Arial"/>
          <w:b/>
          <w:bCs/>
          <w:sz w:val="22"/>
          <w:szCs w:val="20"/>
        </w:rPr>
        <w:t>ABSTRACT</w:t>
      </w:r>
      <w:r w:rsidRPr="00B67CB3">
        <w:rPr>
          <w:rFonts w:cs="Arial"/>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B67CB3" w:rsidRPr="001E44FE" w14:paraId="18762560" w14:textId="77777777" w:rsidTr="00445B02">
        <w:tc>
          <w:tcPr>
            <w:tcW w:w="9576" w:type="dxa"/>
            <w:shd w:val="clear" w:color="auto" w:fill="F2F2F2"/>
          </w:tcPr>
          <w:p w14:paraId="772D0C6F" w14:textId="25A2DE8F" w:rsidR="003008EE" w:rsidRDefault="003008EE" w:rsidP="00851867">
            <w:pPr>
              <w:spacing w:line="240" w:lineRule="auto"/>
              <w:jc w:val="both"/>
              <w:rPr>
                <w:rFonts w:cs="Arial"/>
                <w:sz w:val="20"/>
                <w:szCs w:val="20"/>
              </w:rPr>
            </w:pPr>
            <w:bookmarkStart w:id="1" w:name="_Hlk195341887"/>
            <w:r w:rsidRPr="003008EE">
              <w:rPr>
                <w:rFonts w:cs="Arial"/>
                <w:b/>
                <w:bCs/>
                <w:sz w:val="20"/>
                <w:szCs w:val="20"/>
              </w:rPr>
              <w:t>Aim:</w:t>
            </w:r>
            <w:r w:rsidR="00851867" w:rsidRPr="00851867">
              <w:rPr>
                <w:rFonts w:cs="Arial"/>
                <w:sz w:val="20"/>
                <w:szCs w:val="20"/>
              </w:rPr>
              <w:t xml:space="preserve"> Formulation and assessment of polymeric film forming solution (PFFS) loaded with</w:t>
            </w:r>
            <w:r w:rsidR="00851867">
              <w:rPr>
                <w:rFonts w:cs="Arial"/>
                <w:sz w:val="20"/>
                <w:szCs w:val="20"/>
              </w:rPr>
              <w:t xml:space="preserve"> </w:t>
            </w:r>
            <w:r w:rsidR="00851867" w:rsidRPr="00851867">
              <w:rPr>
                <w:rFonts w:cs="Arial"/>
                <w:sz w:val="20"/>
                <w:szCs w:val="20"/>
              </w:rPr>
              <w:t>Ciclopirox olamine (CPO) for managing topical fungal infections.</w:t>
            </w:r>
          </w:p>
          <w:p w14:paraId="7040BA61" w14:textId="5B2742E5" w:rsidR="00851867" w:rsidRPr="00851867" w:rsidRDefault="00851867" w:rsidP="00851867">
            <w:pPr>
              <w:spacing w:line="240" w:lineRule="auto"/>
              <w:jc w:val="both"/>
              <w:rPr>
                <w:rFonts w:cs="Arial"/>
                <w:sz w:val="20"/>
                <w:szCs w:val="20"/>
              </w:rPr>
            </w:pPr>
            <w:r w:rsidRPr="00851867">
              <w:rPr>
                <w:rFonts w:cs="Arial"/>
                <w:b/>
                <w:bCs/>
                <w:sz w:val="20"/>
                <w:szCs w:val="20"/>
              </w:rPr>
              <w:t>Methods:</w:t>
            </w:r>
            <w:r w:rsidRPr="00851867">
              <w:rPr>
                <w:rFonts w:cs="Arial"/>
                <w:sz w:val="20"/>
                <w:szCs w:val="20"/>
              </w:rPr>
              <w:t xml:space="preserve"> </w:t>
            </w:r>
            <w:r w:rsidR="008D0E15">
              <w:rPr>
                <w:rFonts w:cs="Arial"/>
                <w:sz w:val="20"/>
                <w:szCs w:val="20"/>
              </w:rPr>
              <w:t xml:space="preserve">PFFS was prepared using common solvent method with a range of polymers, such as Eudragit RL 100, Eudragit RS 100, PVP K30, PVP K90, HPC, HPMC K15, HPMC K4M, and PEG 400 </w:t>
            </w:r>
            <w:r w:rsidRPr="00851867">
              <w:rPr>
                <w:rFonts w:cs="Arial"/>
                <w:sz w:val="20"/>
                <w:szCs w:val="20"/>
              </w:rPr>
              <w:t xml:space="preserve">in ethanol. The formulated PFFS was evaluated for Physicochemical properties, </w:t>
            </w:r>
            <w:r w:rsidRPr="00B72891">
              <w:rPr>
                <w:rFonts w:cs="Arial"/>
                <w:i/>
                <w:iCs/>
                <w:sz w:val="20"/>
                <w:szCs w:val="20"/>
              </w:rPr>
              <w:t>in vitro</w:t>
            </w:r>
            <w:r w:rsidRPr="00851867">
              <w:rPr>
                <w:rFonts w:cs="Arial"/>
                <w:sz w:val="20"/>
                <w:szCs w:val="20"/>
              </w:rPr>
              <w:t xml:space="preserve"> drug release, </w:t>
            </w:r>
            <w:r w:rsidR="00B72891" w:rsidRPr="00B72891">
              <w:rPr>
                <w:rFonts w:cs="Arial"/>
                <w:i/>
                <w:iCs/>
                <w:sz w:val="20"/>
                <w:szCs w:val="20"/>
              </w:rPr>
              <w:t>e</w:t>
            </w:r>
            <w:r w:rsidRPr="00B72891">
              <w:rPr>
                <w:rFonts w:cs="Arial"/>
                <w:i/>
                <w:iCs/>
                <w:sz w:val="20"/>
                <w:szCs w:val="20"/>
              </w:rPr>
              <w:t>x vivo</w:t>
            </w:r>
            <w:r w:rsidRPr="00851867">
              <w:rPr>
                <w:rFonts w:cs="Arial"/>
                <w:sz w:val="20"/>
                <w:szCs w:val="20"/>
              </w:rPr>
              <w:t xml:space="preserve"> permeation studies, stability studies, and antifungal assay. </w:t>
            </w:r>
          </w:p>
          <w:p w14:paraId="5FF1B537" w14:textId="7FBE208B" w:rsidR="00B72891" w:rsidRPr="00B67CB3" w:rsidRDefault="00851867" w:rsidP="00B72891">
            <w:pPr>
              <w:spacing w:line="240" w:lineRule="auto"/>
              <w:jc w:val="both"/>
              <w:rPr>
                <w:rFonts w:cs="Arial"/>
                <w:sz w:val="20"/>
                <w:szCs w:val="20"/>
              </w:rPr>
            </w:pPr>
            <w:r w:rsidRPr="00851867">
              <w:rPr>
                <w:rFonts w:cs="Arial"/>
                <w:b/>
                <w:bCs/>
                <w:sz w:val="20"/>
                <w:szCs w:val="20"/>
              </w:rPr>
              <w:t>Results:</w:t>
            </w:r>
            <w:r w:rsidRPr="00851867">
              <w:rPr>
                <w:rFonts w:cs="Arial"/>
                <w:sz w:val="20"/>
                <w:szCs w:val="20"/>
              </w:rPr>
              <w:t xml:space="preserve"> The formulations have exhibited drying time of less than one minute. Most of them demonstrated uniform film formation, with an acceptable viscosity and pH within permissible limits, and with minimal outward stickiness. FT-IR (Fourier Transform Infrared Spectroscopy)</w:t>
            </w:r>
            <w:r>
              <w:rPr>
                <w:rFonts w:cs="Arial"/>
                <w:sz w:val="20"/>
                <w:szCs w:val="20"/>
              </w:rPr>
              <w:t xml:space="preserve"> </w:t>
            </w:r>
            <w:r w:rsidRPr="00851867">
              <w:rPr>
                <w:rFonts w:cs="Arial"/>
                <w:sz w:val="20"/>
                <w:szCs w:val="20"/>
              </w:rPr>
              <w:t>and DSC (Differential Scanning Calorimetry) confirmed the absence of d</w:t>
            </w:r>
            <w:r w:rsidR="00B72891">
              <w:rPr>
                <w:rFonts w:cs="Arial"/>
                <w:sz w:val="20"/>
                <w:szCs w:val="20"/>
              </w:rPr>
              <w:t>r</w:t>
            </w:r>
            <w:r w:rsidRPr="00851867">
              <w:rPr>
                <w:rFonts w:cs="Arial"/>
                <w:sz w:val="20"/>
                <w:szCs w:val="20"/>
              </w:rPr>
              <w:t>ug interaction. PFFS TR</w:t>
            </w:r>
            <w:r w:rsidRPr="00851867">
              <w:rPr>
                <w:rFonts w:cs="Arial"/>
                <w:sz w:val="20"/>
                <w:szCs w:val="20"/>
                <w:vertAlign w:val="subscript"/>
              </w:rPr>
              <w:t>2</w:t>
            </w:r>
            <w:r w:rsidRPr="00851867">
              <w:rPr>
                <w:rFonts w:cs="Arial"/>
                <w:sz w:val="20"/>
                <w:szCs w:val="20"/>
              </w:rPr>
              <w:t xml:space="preserve"> with CPO, Eudragit RL 100, and PEG 400 showed </w:t>
            </w:r>
            <w:r w:rsidRPr="00B72891">
              <w:rPr>
                <w:rFonts w:cs="Arial"/>
                <w:i/>
                <w:iCs/>
                <w:sz w:val="20"/>
                <w:szCs w:val="20"/>
              </w:rPr>
              <w:t>in vitro</w:t>
            </w:r>
            <w:r w:rsidRPr="00851867">
              <w:rPr>
                <w:rFonts w:cs="Arial"/>
                <w:sz w:val="20"/>
                <w:szCs w:val="20"/>
              </w:rPr>
              <w:t xml:space="preserve"> drug release of </w:t>
            </w:r>
            <w:r w:rsidRPr="00217984">
              <w:rPr>
                <w:rFonts w:cs="Arial"/>
                <w:color w:val="FF0000"/>
                <w:sz w:val="20"/>
                <w:szCs w:val="20"/>
                <w:highlight w:val="yellow"/>
              </w:rPr>
              <w:t>82.27±0.05%</w:t>
            </w:r>
            <w:r w:rsidRPr="00217984">
              <w:rPr>
                <w:rFonts w:cs="Arial"/>
                <w:color w:val="FF0000"/>
                <w:sz w:val="20"/>
                <w:szCs w:val="20"/>
              </w:rPr>
              <w:t xml:space="preserve"> </w:t>
            </w:r>
            <w:r w:rsidRPr="00851867">
              <w:rPr>
                <w:rFonts w:cs="Arial"/>
                <w:sz w:val="20"/>
                <w:szCs w:val="20"/>
              </w:rPr>
              <w:t>over 12 hours</w:t>
            </w:r>
            <w:r w:rsidR="00B72891">
              <w:rPr>
                <w:rFonts w:cs="Arial"/>
                <w:sz w:val="20"/>
                <w:szCs w:val="20"/>
              </w:rPr>
              <w:t xml:space="preserve"> </w:t>
            </w:r>
            <w:r w:rsidR="00B72891" w:rsidRPr="00B67CB3">
              <w:rPr>
                <w:rFonts w:cs="Arial"/>
                <w:sz w:val="20"/>
                <w:szCs w:val="20"/>
              </w:rPr>
              <w:t>with controlled release kinetics</w:t>
            </w:r>
            <w:r w:rsidRPr="00851867">
              <w:rPr>
                <w:rFonts w:cs="Arial"/>
                <w:sz w:val="20"/>
                <w:szCs w:val="20"/>
              </w:rPr>
              <w:t>.</w:t>
            </w:r>
            <w:r w:rsidR="00B72891" w:rsidRPr="00B67CB3">
              <w:rPr>
                <w:rFonts w:cs="Arial"/>
                <w:i/>
                <w:iCs/>
                <w:sz w:val="20"/>
                <w:szCs w:val="20"/>
              </w:rPr>
              <w:t xml:space="preserve"> Ex vivo </w:t>
            </w:r>
            <w:r w:rsidR="00B72891" w:rsidRPr="00B67CB3">
              <w:rPr>
                <w:rFonts w:cs="Arial"/>
                <w:sz w:val="20"/>
                <w:szCs w:val="20"/>
              </w:rPr>
              <w:t>studies revealed a cumulative permeation of 1341.04 µg/cm² over 24 hours with a flux of 68.31 µg/cm²/</w:t>
            </w:r>
            <w:proofErr w:type="spellStart"/>
            <w:r w:rsidR="00B72891" w:rsidRPr="00B67CB3">
              <w:rPr>
                <w:rFonts w:cs="Arial"/>
                <w:sz w:val="20"/>
                <w:szCs w:val="20"/>
              </w:rPr>
              <w:t>hr</w:t>
            </w:r>
            <w:proofErr w:type="spellEnd"/>
            <w:r w:rsidR="00B72891">
              <w:rPr>
                <w:rFonts w:cs="Arial"/>
                <w:sz w:val="20"/>
                <w:szCs w:val="20"/>
              </w:rPr>
              <w:t xml:space="preserve">, </w:t>
            </w:r>
            <w:r w:rsidR="00B72891" w:rsidRPr="00B67CB3">
              <w:rPr>
                <w:rFonts w:cs="Arial"/>
                <w:sz w:val="20"/>
                <w:szCs w:val="20"/>
              </w:rPr>
              <w:t>characterized by anomalous diffusion (non-</w:t>
            </w:r>
            <w:proofErr w:type="spellStart"/>
            <w:r w:rsidR="00B72891" w:rsidRPr="00B67CB3">
              <w:rPr>
                <w:rFonts w:cs="Arial"/>
                <w:sz w:val="20"/>
                <w:szCs w:val="20"/>
              </w:rPr>
              <w:t>Fickian</w:t>
            </w:r>
            <w:proofErr w:type="spellEnd"/>
            <w:r w:rsidR="00B72891" w:rsidRPr="00B67CB3">
              <w:rPr>
                <w:rFonts w:cs="Arial"/>
                <w:sz w:val="20"/>
                <w:szCs w:val="20"/>
              </w:rPr>
              <w:t xml:space="preserve"> transport)</w:t>
            </w:r>
            <w:r w:rsidRPr="00851867">
              <w:rPr>
                <w:rFonts w:cs="Arial"/>
                <w:sz w:val="20"/>
                <w:szCs w:val="20"/>
              </w:rPr>
              <w:t xml:space="preserve">, </w:t>
            </w:r>
            <w:r w:rsidR="00B72891" w:rsidRPr="00B67CB3">
              <w:rPr>
                <w:rFonts w:cs="Arial"/>
                <w:sz w:val="20"/>
                <w:szCs w:val="20"/>
              </w:rPr>
              <w:t>Moreover, the TR</w:t>
            </w:r>
            <w:r w:rsidR="00B72891" w:rsidRPr="00B67CB3">
              <w:rPr>
                <w:rFonts w:cs="Arial"/>
                <w:sz w:val="20"/>
                <w:szCs w:val="20"/>
                <w:vertAlign w:val="subscript"/>
              </w:rPr>
              <w:t>2</w:t>
            </w:r>
            <w:r w:rsidR="00B72891" w:rsidRPr="00B67CB3">
              <w:rPr>
                <w:rFonts w:cs="Arial"/>
                <w:sz w:val="20"/>
                <w:szCs w:val="20"/>
              </w:rPr>
              <w:t xml:space="preserve"> formulation achieved significant antifungal efficacy, with a zone of inhibition measuring 20±0.9 mm. Complementary characterization via FT-IR (Fourier Transform Infrared Spectroscopy) and DSC (Differential Scanning Calorimetry) confirmed the absence of drug-excipient interactions.</w:t>
            </w:r>
          </w:p>
          <w:p w14:paraId="759962F4" w14:textId="4A261CB4" w:rsidR="00B67CB3" w:rsidRPr="008D0E15" w:rsidRDefault="00851867" w:rsidP="00B72891">
            <w:pPr>
              <w:spacing w:line="240" w:lineRule="auto"/>
              <w:jc w:val="both"/>
              <w:rPr>
                <w:rFonts w:cs="Arial"/>
                <w:sz w:val="20"/>
                <w:szCs w:val="20"/>
              </w:rPr>
            </w:pPr>
            <w:r w:rsidRPr="00851867">
              <w:rPr>
                <w:rFonts w:cs="Arial"/>
                <w:b/>
                <w:bCs/>
                <w:sz w:val="20"/>
                <w:szCs w:val="20"/>
              </w:rPr>
              <w:t>Conclusion:</w:t>
            </w:r>
            <w:r w:rsidRPr="00851867">
              <w:rPr>
                <w:rFonts w:cs="Arial"/>
                <w:sz w:val="20"/>
                <w:szCs w:val="20"/>
              </w:rPr>
              <w:t xml:space="preserve"> </w:t>
            </w:r>
            <w:r>
              <w:rPr>
                <w:rFonts w:cs="Arial"/>
                <w:sz w:val="20"/>
                <w:szCs w:val="20"/>
              </w:rPr>
              <w:t>The above study concludes</w:t>
            </w:r>
            <w:r w:rsidRPr="00851867">
              <w:rPr>
                <w:rFonts w:cs="Arial"/>
                <w:sz w:val="20"/>
                <w:szCs w:val="20"/>
              </w:rPr>
              <w:t xml:space="preserve"> that PFFS using Eudragit RL 100, Menthol: camphor, and PEG 400 showed enhanced antifungal activity and controlled release, suggesting it as a promising method for topical fungal treatment.</w:t>
            </w:r>
            <w:bookmarkEnd w:id="1"/>
          </w:p>
        </w:tc>
      </w:tr>
    </w:tbl>
    <w:p w14:paraId="608E683E" w14:textId="77777777" w:rsidR="00E046D7" w:rsidRDefault="006D7DE8" w:rsidP="008D0E15">
      <w:pPr>
        <w:spacing w:before="240" w:line="240" w:lineRule="auto"/>
        <w:jc w:val="both"/>
        <w:rPr>
          <w:rFonts w:cs="Arial"/>
          <w:i/>
          <w:iCs/>
          <w:sz w:val="20"/>
          <w:szCs w:val="18"/>
        </w:rPr>
      </w:pPr>
      <w:r w:rsidRPr="008D0E15">
        <w:rPr>
          <w:rFonts w:cs="Arial"/>
          <w:i/>
          <w:iCs/>
          <w:sz w:val="20"/>
          <w:szCs w:val="18"/>
        </w:rPr>
        <w:t xml:space="preserve"> </w:t>
      </w:r>
      <w:r w:rsidR="008D0E15" w:rsidRPr="008D0E15">
        <w:rPr>
          <w:rFonts w:cs="Arial"/>
          <w:i/>
          <w:iCs/>
          <w:sz w:val="20"/>
          <w:szCs w:val="18"/>
        </w:rPr>
        <w:t xml:space="preserve">Keywords: Polymeric Film </w:t>
      </w:r>
      <w:r w:rsidR="00012600">
        <w:rPr>
          <w:rFonts w:cs="Arial"/>
          <w:i/>
          <w:iCs/>
          <w:sz w:val="20"/>
          <w:szCs w:val="18"/>
        </w:rPr>
        <w:t>F</w:t>
      </w:r>
      <w:r w:rsidR="008D0E15" w:rsidRPr="008D0E15">
        <w:rPr>
          <w:rFonts w:cs="Arial"/>
          <w:i/>
          <w:iCs/>
          <w:sz w:val="20"/>
          <w:szCs w:val="18"/>
        </w:rPr>
        <w:t xml:space="preserve">orming </w:t>
      </w:r>
      <w:r w:rsidR="00012600">
        <w:rPr>
          <w:rFonts w:cs="Arial"/>
          <w:i/>
          <w:iCs/>
          <w:sz w:val="20"/>
          <w:szCs w:val="18"/>
        </w:rPr>
        <w:t>S</w:t>
      </w:r>
      <w:r w:rsidR="008D0E15" w:rsidRPr="008D0E15">
        <w:rPr>
          <w:rFonts w:cs="Arial"/>
          <w:i/>
          <w:iCs/>
          <w:sz w:val="20"/>
          <w:szCs w:val="18"/>
        </w:rPr>
        <w:t xml:space="preserve">olution, Ciclopirox </w:t>
      </w:r>
      <w:r w:rsidR="00012600">
        <w:rPr>
          <w:rFonts w:cs="Arial"/>
          <w:i/>
          <w:iCs/>
          <w:sz w:val="20"/>
          <w:szCs w:val="18"/>
        </w:rPr>
        <w:t>O</w:t>
      </w:r>
      <w:r w:rsidR="008D0E15" w:rsidRPr="008D0E15">
        <w:rPr>
          <w:rFonts w:cs="Arial"/>
          <w:i/>
          <w:iCs/>
          <w:sz w:val="20"/>
          <w:szCs w:val="18"/>
        </w:rPr>
        <w:t>lamine, Anti-</w:t>
      </w:r>
      <w:r w:rsidR="00012600">
        <w:rPr>
          <w:rFonts w:cs="Arial"/>
          <w:i/>
          <w:iCs/>
          <w:sz w:val="20"/>
          <w:szCs w:val="18"/>
        </w:rPr>
        <w:t>F</w:t>
      </w:r>
      <w:r w:rsidR="008D0E15" w:rsidRPr="008D0E15">
        <w:rPr>
          <w:rFonts w:cs="Arial"/>
          <w:i/>
          <w:iCs/>
          <w:sz w:val="20"/>
          <w:szCs w:val="18"/>
        </w:rPr>
        <w:t>ungal</w:t>
      </w:r>
      <w:r w:rsidR="008D0E15">
        <w:rPr>
          <w:rFonts w:cs="Arial"/>
          <w:i/>
          <w:iCs/>
          <w:sz w:val="20"/>
          <w:szCs w:val="18"/>
        </w:rPr>
        <w:t xml:space="preserve"> agent</w:t>
      </w:r>
      <w:r w:rsidR="008D0E15" w:rsidRPr="008D0E15">
        <w:rPr>
          <w:rFonts w:cs="Arial"/>
          <w:i/>
          <w:iCs/>
          <w:sz w:val="20"/>
          <w:szCs w:val="18"/>
        </w:rPr>
        <w:t xml:space="preserve">, </w:t>
      </w:r>
      <w:r w:rsidR="008D0E15">
        <w:rPr>
          <w:rFonts w:cs="Arial"/>
          <w:i/>
          <w:iCs/>
          <w:sz w:val="20"/>
          <w:szCs w:val="18"/>
        </w:rPr>
        <w:t>Eudragit RL 100</w:t>
      </w:r>
    </w:p>
    <w:p w14:paraId="0210E59C" w14:textId="5C56858C" w:rsidR="00D46E49" w:rsidRPr="00605EDB" w:rsidRDefault="00605EDB" w:rsidP="008D0E15">
      <w:pPr>
        <w:spacing w:before="240" w:line="240" w:lineRule="auto"/>
        <w:jc w:val="both"/>
        <w:rPr>
          <w:rFonts w:ascii="Times New Roman" w:hAnsi="Times New Roman" w:cs="Times New Roman"/>
          <w:i/>
          <w:iCs/>
          <w:sz w:val="22"/>
          <w:rtl/>
          <w:lang w:val="en-GB" w:bidi="fa-IR"/>
        </w:rPr>
      </w:pPr>
      <w:r w:rsidRPr="00605EDB">
        <w:rPr>
          <w:rFonts w:ascii="Times New Roman" w:hAnsi="Times New Roman" w:cs="Times New Roman"/>
          <w:color w:val="404040"/>
          <w:sz w:val="22"/>
          <w:highlight w:val="yellow"/>
          <w:shd w:val="clear" w:color="auto" w:fill="FFFFFF"/>
        </w:rPr>
        <w:t xml:space="preserve">The </w:t>
      </w:r>
      <w:r w:rsidR="002D69EF" w:rsidRPr="00605EDB">
        <w:rPr>
          <w:rFonts w:ascii="Times New Roman" w:hAnsi="Times New Roman" w:cs="Times New Roman"/>
          <w:color w:val="404040"/>
          <w:sz w:val="22"/>
          <w:highlight w:val="yellow"/>
          <w:shd w:val="clear" w:color="auto" w:fill="FFFFFF"/>
        </w:rPr>
        <w:t>value of in vitro drug release reported in the abstract section of the manuscript is </w:t>
      </w:r>
      <w:r w:rsidR="002D69EF" w:rsidRPr="00605EDB">
        <w:rPr>
          <w:rStyle w:val="Strong"/>
          <w:rFonts w:ascii="Times New Roman" w:hAnsi="Times New Roman" w:cs="Times New Roman"/>
          <w:color w:val="404040"/>
          <w:sz w:val="22"/>
          <w:highlight w:val="yellow"/>
          <w:shd w:val="clear" w:color="auto" w:fill="FFFFFF"/>
        </w:rPr>
        <w:t>82.27±0.05</w:t>
      </w:r>
      <w:r w:rsidR="002D69EF" w:rsidRPr="00605EDB">
        <w:rPr>
          <w:rFonts w:ascii="Times New Roman" w:hAnsi="Times New Roman" w:cs="Times New Roman"/>
          <w:color w:val="404040"/>
          <w:sz w:val="22"/>
          <w:highlight w:val="yellow"/>
          <w:shd w:val="clear" w:color="auto" w:fill="FFFFFF"/>
        </w:rPr>
        <w:t>; however, conflicting values are presented in other sections. Please resolve this discrepancy.</w:t>
      </w:r>
    </w:p>
    <w:p w14:paraId="5CC508F2" w14:textId="4D53C729" w:rsidR="00E45A43" w:rsidRPr="00E046D7" w:rsidRDefault="00AB3275" w:rsidP="00E046D7">
      <w:pPr>
        <w:pStyle w:val="ListParagraph"/>
        <w:numPr>
          <w:ilvl w:val="0"/>
          <w:numId w:val="4"/>
        </w:numPr>
        <w:ind w:left="360"/>
        <w:rPr>
          <w:rFonts w:cs="Arial"/>
          <w:bCs/>
          <w:sz w:val="22"/>
        </w:rPr>
      </w:pPr>
      <w:r w:rsidRPr="00E046D7">
        <w:rPr>
          <w:rFonts w:cs="Arial"/>
          <w:bCs/>
          <w:sz w:val="22"/>
        </w:rPr>
        <w:t>INTRODUCTION</w:t>
      </w:r>
    </w:p>
    <w:p w14:paraId="2D3725A7" w14:textId="17ED0DE3" w:rsidR="00763B12" w:rsidRPr="00DC4068" w:rsidRDefault="00E2663E" w:rsidP="00B4464C">
      <w:pPr>
        <w:spacing w:after="120" w:line="240" w:lineRule="auto"/>
        <w:jc w:val="both"/>
        <w:rPr>
          <w:rFonts w:cs="Arial"/>
          <w:sz w:val="20"/>
          <w:szCs w:val="20"/>
        </w:rPr>
      </w:pPr>
      <w:r w:rsidRPr="00DC4068">
        <w:rPr>
          <w:rFonts w:cs="Arial"/>
          <w:sz w:val="20"/>
          <w:szCs w:val="20"/>
        </w:rPr>
        <w:t xml:space="preserve">Fungal infection </w:t>
      </w:r>
      <w:r w:rsidR="00586FFF" w:rsidRPr="00DC4068">
        <w:rPr>
          <w:rFonts w:cs="Arial"/>
          <w:sz w:val="20"/>
          <w:szCs w:val="20"/>
        </w:rPr>
        <w:t>happens</w:t>
      </w:r>
      <w:r w:rsidRPr="00DC4068">
        <w:rPr>
          <w:rFonts w:cs="Arial"/>
          <w:sz w:val="20"/>
          <w:szCs w:val="20"/>
        </w:rPr>
        <w:t xml:space="preserve"> often </w:t>
      </w:r>
      <w:r w:rsidR="00BE4762" w:rsidRPr="00DC4068">
        <w:rPr>
          <w:rFonts w:cs="Arial"/>
          <w:sz w:val="20"/>
          <w:szCs w:val="20"/>
        </w:rPr>
        <w:t>i</w:t>
      </w:r>
      <w:r w:rsidRPr="00DC4068">
        <w:rPr>
          <w:rFonts w:cs="Arial"/>
          <w:sz w:val="20"/>
          <w:szCs w:val="20"/>
        </w:rPr>
        <w:t xml:space="preserve">n many different situations in nature. People get these </w:t>
      </w:r>
      <w:r w:rsidR="00586FFF" w:rsidRPr="00DC4068">
        <w:rPr>
          <w:rFonts w:cs="Arial"/>
          <w:sz w:val="20"/>
          <w:szCs w:val="20"/>
        </w:rPr>
        <w:t>infections when a harmful fungus enters their body in numbers that the immune system cannot fight back</w:t>
      </w:r>
      <w:r w:rsidR="00226494" w:rsidRPr="00DC4068">
        <w:rPr>
          <w:rFonts w:cs="Arial"/>
          <w:sz w:val="20"/>
          <w:szCs w:val="20"/>
        </w:rPr>
        <w:t xml:space="preserve"> </w:t>
      </w:r>
      <w:r w:rsidRPr="00DC4068">
        <w:rPr>
          <w:rFonts w:cs="Arial"/>
          <w:sz w:val="20"/>
          <w:szCs w:val="20"/>
          <w:vertAlign w:val="superscript"/>
        </w:rPr>
        <w:t>1</w:t>
      </w:r>
      <w:r w:rsidR="00226494" w:rsidRPr="00DC4068">
        <w:rPr>
          <w:rFonts w:cs="Arial"/>
          <w:sz w:val="20"/>
          <w:szCs w:val="20"/>
        </w:rPr>
        <w:t>.</w:t>
      </w:r>
      <w:bookmarkStart w:id="2" w:name="_Hlk193273251"/>
      <w:r w:rsidR="00941E82">
        <w:rPr>
          <w:rFonts w:cs="Arial"/>
          <w:sz w:val="20"/>
          <w:szCs w:val="20"/>
        </w:rPr>
        <w:t xml:space="preserve"> </w:t>
      </w:r>
      <w:r w:rsidR="00414E0A" w:rsidRPr="00DC4068">
        <w:rPr>
          <w:rFonts w:cs="Arial"/>
          <w:sz w:val="20"/>
          <w:szCs w:val="20"/>
        </w:rPr>
        <w:t xml:space="preserve">Fungal infections traditionally have been </w:t>
      </w:r>
      <w:r w:rsidR="00E56C22" w:rsidRPr="00DC4068">
        <w:rPr>
          <w:rFonts w:cs="Arial"/>
          <w:sz w:val="20"/>
          <w:szCs w:val="20"/>
        </w:rPr>
        <w:t xml:space="preserve">separated </w:t>
      </w:r>
      <w:r w:rsidR="00414E0A" w:rsidRPr="00DC4068">
        <w:rPr>
          <w:rFonts w:cs="Arial"/>
          <w:sz w:val="20"/>
          <w:szCs w:val="20"/>
        </w:rPr>
        <w:t xml:space="preserve">into two </w:t>
      </w:r>
      <w:r w:rsidR="00E56C22" w:rsidRPr="00DC4068">
        <w:rPr>
          <w:rFonts w:cs="Arial"/>
          <w:sz w:val="20"/>
          <w:szCs w:val="20"/>
        </w:rPr>
        <w:t>different types</w:t>
      </w:r>
      <w:r w:rsidR="00414E0A" w:rsidRPr="00DC4068">
        <w:rPr>
          <w:rFonts w:cs="Arial"/>
          <w:sz w:val="20"/>
          <w:szCs w:val="20"/>
        </w:rPr>
        <w:t xml:space="preserve">: systemic and </w:t>
      </w:r>
      <w:r w:rsidR="00183F29" w:rsidRPr="00DC4068">
        <w:rPr>
          <w:rFonts w:cs="Arial"/>
          <w:sz w:val="20"/>
          <w:szCs w:val="20"/>
        </w:rPr>
        <w:t>surface</w:t>
      </w:r>
      <w:r w:rsidR="00E56C22" w:rsidRPr="00DC4068">
        <w:rPr>
          <w:rFonts w:cs="Arial"/>
          <w:sz w:val="20"/>
          <w:szCs w:val="20"/>
        </w:rPr>
        <w:t>-</w:t>
      </w:r>
      <w:r w:rsidR="00183F29" w:rsidRPr="00DC4068">
        <w:rPr>
          <w:rFonts w:cs="Arial"/>
          <w:sz w:val="20"/>
          <w:szCs w:val="20"/>
        </w:rPr>
        <w:t>level</w:t>
      </w:r>
      <w:r w:rsidR="003A4C4A" w:rsidRPr="00DC4068">
        <w:rPr>
          <w:rFonts w:cs="Arial"/>
          <w:sz w:val="20"/>
          <w:szCs w:val="20"/>
        </w:rPr>
        <w:t xml:space="preserve"> their sub-types examples are Tinea pedis (caused by Trichophyton (T.) rubrum, T. </w:t>
      </w:r>
      <w:proofErr w:type="spellStart"/>
      <w:r w:rsidR="003A4C4A" w:rsidRPr="00DC4068">
        <w:rPr>
          <w:rFonts w:cs="Arial"/>
          <w:sz w:val="20"/>
          <w:szCs w:val="20"/>
        </w:rPr>
        <w:t>interdigitale</w:t>
      </w:r>
      <w:proofErr w:type="spellEnd"/>
      <w:r w:rsidR="003A4C4A" w:rsidRPr="00DC4068">
        <w:rPr>
          <w:rFonts w:cs="Arial"/>
          <w:sz w:val="20"/>
          <w:szCs w:val="20"/>
        </w:rPr>
        <w:t xml:space="preserve"> and </w:t>
      </w:r>
      <w:proofErr w:type="spellStart"/>
      <w:r w:rsidR="003A4C4A" w:rsidRPr="00DC4068">
        <w:rPr>
          <w:rFonts w:cs="Arial"/>
          <w:sz w:val="20"/>
          <w:szCs w:val="20"/>
        </w:rPr>
        <w:t>Epidermophyton</w:t>
      </w:r>
      <w:proofErr w:type="spellEnd"/>
      <w:r w:rsidR="003A4C4A" w:rsidRPr="00DC4068">
        <w:rPr>
          <w:rFonts w:cs="Arial"/>
          <w:sz w:val="20"/>
          <w:szCs w:val="20"/>
        </w:rPr>
        <w:t xml:space="preserve">) Tinea </w:t>
      </w:r>
      <w:proofErr w:type="spellStart"/>
      <w:r w:rsidR="003A4C4A" w:rsidRPr="00DC4068">
        <w:rPr>
          <w:rFonts w:cs="Arial"/>
          <w:sz w:val="20"/>
          <w:szCs w:val="20"/>
        </w:rPr>
        <w:t>cruris</w:t>
      </w:r>
      <w:proofErr w:type="spellEnd"/>
      <w:r w:rsidR="00A10D7D" w:rsidRPr="00DC4068">
        <w:rPr>
          <w:rFonts w:cs="Arial"/>
          <w:sz w:val="20"/>
          <w:szCs w:val="20"/>
        </w:rPr>
        <w:t xml:space="preserve"> </w:t>
      </w:r>
      <w:r w:rsidR="003A4C4A" w:rsidRPr="00DC4068">
        <w:rPr>
          <w:rFonts w:cs="Arial"/>
          <w:sz w:val="20"/>
          <w:szCs w:val="20"/>
        </w:rPr>
        <w:t xml:space="preserve">(caused by </w:t>
      </w:r>
      <w:proofErr w:type="spellStart"/>
      <w:r w:rsidR="003A4C4A" w:rsidRPr="00DC4068">
        <w:rPr>
          <w:rFonts w:cs="Arial"/>
          <w:sz w:val="20"/>
          <w:szCs w:val="20"/>
        </w:rPr>
        <w:t>floccosum</w:t>
      </w:r>
      <w:proofErr w:type="spellEnd"/>
      <w:r w:rsidR="003A4C4A" w:rsidRPr="00DC4068">
        <w:rPr>
          <w:rFonts w:cs="Arial"/>
          <w:sz w:val="20"/>
          <w:szCs w:val="20"/>
        </w:rPr>
        <w:t>)</w:t>
      </w:r>
      <w:r w:rsidR="00A10D7D" w:rsidRPr="00DC4068">
        <w:rPr>
          <w:rFonts w:cs="Arial"/>
          <w:sz w:val="20"/>
          <w:szCs w:val="20"/>
        </w:rPr>
        <w:t xml:space="preserve">, </w:t>
      </w:r>
      <w:r w:rsidR="003A4C4A" w:rsidRPr="00DC4068">
        <w:rPr>
          <w:rFonts w:cs="Arial"/>
          <w:sz w:val="20"/>
          <w:szCs w:val="20"/>
        </w:rPr>
        <w:t>Tinea</w:t>
      </w:r>
      <w:r w:rsidR="00A10D7D" w:rsidRPr="00DC4068">
        <w:rPr>
          <w:rFonts w:cs="Arial"/>
          <w:sz w:val="20"/>
          <w:szCs w:val="20"/>
        </w:rPr>
        <w:t xml:space="preserve"> </w:t>
      </w:r>
      <w:proofErr w:type="spellStart"/>
      <w:r w:rsidR="003A4C4A" w:rsidRPr="00DC4068">
        <w:rPr>
          <w:rFonts w:cs="Arial"/>
          <w:sz w:val="20"/>
          <w:szCs w:val="20"/>
        </w:rPr>
        <w:t>corporis</w:t>
      </w:r>
      <w:proofErr w:type="spellEnd"/>
      <w:r w:rsidR="00A10D7D" w:rsidRPr="00DC4068">
        <w:rPr>
          <w:rFonts w:cs="Arial"/>
          <w:sz w:val="20"/>
          <w:szCs w:val="20"/>
        </w:rPr>
        <w:t xml:space="preserve"> </w:t>
      </w:r>
      <w:r w:rsidR="003A4C4A" w:rsidRPr="00DC4068">
        <w:rPr>
          <w:rFonts w:cs="Arial"/>
          <w:sz w:val="20"/>
          <w:szCs w:val="20"/>
        </w:rPr>
        <w:t>(</w:t>
      </w:r>
      <w:r w:rsidR="00A10D7D" w:rsidRPr="00DC4068">
        <w:rPr>
          <w:rFonts w:cs="Arial"/>
          <w:sz w:val="20"/>
          <w:szCs w:val="20"/>
        </w:rPr>
        <w:t xml:space="preserve">caused by </w:t>
      </w:r>
      <w:proofErr w:type="spellStart"/>
      <w:r w:rsidR="003A4C4A" w:rsidRPr="00DC4068">
        <w:rPr>
          <w:rFonts w:cs="Arial"/>
          <w:sz w:val="20"/>
          <w:szCs w:val="20"/>
        </w:rPr>
        <w:t>Microsporum</w:t>
      </w:r>
      <w:proofErr w:type="spellEnd"/>
      <w:r w:rsidR="003A4C4A" w:rsidRPr="00DC4068">
        <w:rPr>
          <w:rFonts w:cs="Arial"/>
          <w:sz w:val="20"/>
          <w:szCs w:val="20"/>
        </w:rPr>
        <w:t xml:space="preserve"> </w:t>
      </w:r>
      <w:proofErr w:type="spellStart"/>
      <w:r w:rsidR="003A4C4A" w:rsidRPr="00DC4068">
        <w:rPr>
          <w:rFonts w:cs="Arial"/>
          <w:sz w:val="20"/>
          <w:szCs w:val="20"/>
        </w:rPr>
        <w:t>canis</w:t>
      </w:r>
      <w:proofErr w:type="spellEnd"/>
      <w:r w:rsidR="003A4C4A" w:rsidRPr="00DC4068">
        <w:rPr>
          <w:rFonts w:cs="Arial"/>
          <w:sz w:val="20"/>
          <w:szCs w:val="20"/>
        </w:rPr>
        <w:t>)</w:t>
      </w:r>
      <w:r w:rsidR="00A10D7D" w:rsidRPr="00DC4068">
        <w:rPr>
          <w:rFonts w:cs="Arial"/>
          <w:sz w:val="20"/>
          <w:szCs w:val="20"/>
        </w:rPr>
        <w:t xml:space="preserve"> and cutaneous candidiasis(</w:t>
      </w:r>
      <w:proofErr w:type="spellStart"/>
      <w:r w:rsidR="00A10D7D" w:rsidRPr="00DC4068">
        <w:rPr>
          <w:rFonts w:cs="Arial"/>
          <w:sz w:val="20"/>
          <w:szCs w:val="20"/>
        </w:rPr>
        <w:t>moniliasis</w:t>
      </w:r>
      <w:proofErr w:type="spellEnd"/>
      <w:r w:rsidR="00A10D7D" w:rsidRPr="00DC4068">
        <w:rPr>
          <w:rFonts w:cs="Arial"/>
          <w:sz w:val="20"/>
          <w:szCs w:val="20"/>
        </w:rPr>
        <w:t>) (caused by Candida albicans)</w:t>
      </w:r>
      <w:r w:rsidR="00111252" w:rsidRPr="00DC4068">
        <w:rPr>
          <w:rFonts w:cs="Arial"/>
          <w:sz w:val="20"/>
          <w:szCs w:val="20"/>
          <w:vertAlign w:val="superscript"/>
        </w:rPr>
        <w:t>2</w:t>
      </w:r>
      <w:r w:rsidR="003A4C4A" w:rsidRPr="00DC4068">
        <w:rPr>
          <w:rFonts w:cs="Arial"/>
          <w:sz w:val="20"/>
          <w:szCs w:val="20"/>
        </w:rPr>
        <w:t xml:space="preserve">. </w:t>
      </w:r>
      <w:r w:rsidR="00183F29" w:rsidRPr="00DC4068">
        <w:rPr>
          <w:rFonts w:cs="Arial"/>
          <w:sz w:val="20"/>
          <w:szCs w:val="20"/>
        </w:rPr>
        <w:t>Accordingly</w:t>
      </w:r>
      <w:r w:rsidR="00414E0A" w:rsidRPr="00DC4068">
        <w:rPr>
          <w:rFonts w:cs="Arial"/>
          <w:sz w:val="20"/>
          <w:szCs w:val="20"/>
        </w:rPr>
        <w:t xml:space="preserve">, the major antifungal </w:t>
      </w:r>
      <w:r w:rsidR="00E56C22" w:rsidRPr="00DC4068">
        <w:rPr>
          <w:rFonts w:cs="Arial"/>
          <w:sz w:val="20"/>
          <w:szCs w:val="20"/>
        </w:rPr>
        <w:t>medications</w:t>
      </w:r>
      <w:r w:rsidR="00414E0A" w:rsidRPr="00DC4068">
        <w:rPr>
          <w:rFonts w:cs="Arial"/>
          <w:sz w:val="20"/>
          <w:szCs w:val="20"/>
        </w:rPr>
        <w:t xml:space="preserve"> are c</w:t>
      </w:r>
      <w:r w:rsidR="00E56C22" w:rsidRPr="00DC4068">
        <w:rPr>
          <w:rFonts w:cs="Arial"/>
          <w:sz w:val="20"/>
          <w:szCs w:val="20"/>
        </w:rPr>
        <w:t>ategorized</w:t>
      </w:r>
      <w:r w:rsidR="00414E0A" w:rsidRPr="00DC4068">
        <w:rPr>
          <w:rFonts w:cs="Arial"/>
          <w:sz w:val="20"/>
          <w:szCs w:val="20"/>
        </w:rPr>
        <w:t xml:space="preserve"> into </w:t>
      </w:r>
      <w:r w:rsidR="00414E0A" w:rsidRPr="00DC4068">
        <w:rPr>
          <w:rFonts w:cs="Arial"/>
          <w:sz w:val="20"/>
          <w:szCs w:val="20"/>
        </w:rPr>
        <w:lastRenderedPageBreak/>
        <w:t>systemic and topical drugs</w:t>
      </w:r>
      <w:r w:rsidR="00A10D7D" w:rsidRPr="00DC4068">
        <w:rPr>
          <w:rFonts w:cs="Arial"/>
          <w:sz w:val="20"/>
          <w:szCs w:val="20"/>
        </w:rPr>
        <w:t>:</w:t>
      </w:r>
      <w:r w:rsidR="00414E0A" w:rsidRPr="00DC4068">
        <w:rPr>
          <w:rFonts w:cs="Arial"/>
          <w:sz w:val="20"/>
          <w:szCs w:val="20"/>
        </w:rPr>
        <w:t xml:space="preserve"> polyene antifungals, azole antifungals, allylamine antifungals, echinocandin antifungals</w:t>
      </w:r>
      <w:r w:rsidR="006E25FE" w:rsidRPr="00DC4068">
        <w:rPr>
          <w:rFonts w:cs="Arial"/>
          <w:sz w:val="20"/>
          <w:szCs w:val="20"/>
        </w:rPr>
        <w:t>,</w:t>
      </w:r>
      <w:r w:rsidR="00414E0A" w:rsidRPr="00DC4068">
        <w:rPr>
          <w:rFonts w:cs="Arial"/>
          <w:sz w:val="20"/>
          <w:szCs w:val="20"/>
        </w:rPr>
        <w:t xml:space="preserve"> and others</w:t>
      </w:r>
      <w:bookmarkEnd w:id="2"/>
      <w:r w:rsidR="00111252" w:rsidRPr="00DC4068">
        <w:rPr>
          <w:rFonts w:cs="Arial"/>
          <w:sz w:val="20"/>
          <w:szCs w:val="20"/>
          <w:vertAlign w:val="superscript"/>
        </w:rPr>
        <w:t>3</w:t>
      </w:r>
      <w:r w:rsidR="004D6AE9" w:rsidRPr="00DC4068">
        <w:rPr>
          <w:rFonts w:cs="Arial"/>
          <w:sz w:val="20"/>
          <w:szCs w:val="20"/>
        </w:rPr>
        <w:t>.</w:t>
      </w:r>
    </w:p>
    <w:p w14:paraId="70AC5CD6" w14:textId="693194FB" w:rsidR="00C65EFE" w:rsidRPr="00DC4068" w:rsidRDefault="00E56C22" w:rsidP="00B4464C">
      <w:pPr>
        <w:spacing w:after="120" w:line="240" w:lineRule="auto"/>
        <w:jc w:val="both"/>
        <w:rPr>
          <w:rFonts w:cs="Arial"/>
          <w:sz w:val="20"/>
          <w:szCs w:val="20"/>
        </w:rPr>
      </w:pPr>
      <w:r w:rsidRPr="00DC4068">
        <w:rPr>
          <w:rFonts w:cs="Arial"/>
          <w:sz w:val="20"/>
          <w:szCs w:val="20"/>
        </w:rPr>
        <w:t xml:space="preserve">Approximately twenty to twenty-five per cent of </w:t>
      </w:r>
      <w:r w:rsidR="000531DE" w:rsidRPr="00DC4068">
        <w:rPr>
          <w:rFonts w:cs="Arial"/>
          <w:sz w:val="20"/>
          <w:szCs w:val="20"/>
        </w:rPr>
        <w:t xml:space="preserve">the universal population </w:t>
      </w:r>
      <w:r w:rsidRPr="00DC4068">
        <w:rPr>
          <w:rFonts w:cs="Arial"/>
          <w:sz w:val="20"/>
          <w:szCs w:val="20"/>
        </w:rPr>
        <w:t xml:space="preserve">have superficial infections caused by fungal species, which interfere with daily activities, reduce quality of life, and increase medical costs. In clinical </w:t>
      </w:r>
      <w:r w:rsidR="000531DE" w:rsidRPr="00DC4068">
        <w:rPr>
          <w:rFonts w:cs="Arial"/>
          <w:sz w:val="20"/>
          <w:szCs w:val="20"/>
        </w:rPr>
        <w:t>sceneries</w:t>
      </w:r>
      <w:r w:rsidRPr="00DC4068">
        <w:rPr>
          <w:rFonts w:cs="Arial"/>
          <w:sz w:val="20"/>
          <w:szCs w:val="20"/>
        </w:rPr>
        <w:t>, surface-level fungal skin disorders are the most prevalent infectious disease affecting people</w:t>
      </w:r>
      <w:r w:rsidR="006E25FE" w:rsidRPr="00DC4068">
        <w:rPr>
          <w:rFonts w:cs="Arial"/>
          <w:sz w:val="20"/>
          <w:szCs w:val="20"/>
        </w:rPr>
        <w:t xml:space="preserve"> </w:t>
      </w:r>
      <w:r w:rsidR="00111252" w:rsidRPr="00DC4068">
        <w:rPr>
          <w:rFonts w:cs="Arial"/>
          <w:sz w:val="20"/>
          <w:szCs w:val="20"/>
          <w:vertAlign w:val="superscript"/>
        </w:rPr>
        <w:t>4</w:t>
      </w:r>
      <w:r w:rsidR="00111252" w:rsidRPr="00DC4068">
        <w:rPr>
          <w:rFonts w:cs="Arial"/>
          <w:sz w:val="20"/>
          <w:szCs w:val="20"/>
        </w:rPr>
        <w:t xml:space="preserve">. </w:t>
      </w:r>
      <w:r w:rsidR="0082376A" w:rsidRPr="00DC4068">
        <w:rPr>
          <w:rFonts w:cs="Arial"/>
          <w:sz w:val="20"/>
          <w:szCs w:val="20"/>
        </w:rPr>
        <w:t xml:space="preserve">Surface-level fungal skin disorders can be treated with the antifungal agents such as </w:t>
      </w:r>
      <w:r w:rsidR="00C7528F" w:rsidRPr="00DC4068">
        <w:rPr>
          <w:rFonts w:cs="Arial"/>
          <w:sz w:val="20"/>
          <w:szCs w:val="20"/>
        </w:rPr>
        <w:t>Ciclopirox olamine (CPO)</w:t>
      </w:r>
      <w:r w:rsidR="006E25FE" w:rsidRPr="00DC4068">
        <w:rPr>
          <w:rFonts w:cs="Arial"/>
          <w:sz w:val="20"/>
          <w:szCs w:val="20"/>
        </w:rPr>
        <w:t xml:space="preserve">, </w:t>
      </w:r>
      <w:r w:rsidR="0082376A" w:rsidRPr="00DC4068">
        <w:rPr>
          <w:rFonts w:cs="Arial"/>
          <w:sz w:val="20"/>
          <w:szCs w:val="20"/>
        </w:rPr>
        <w:t xml:space="preserve">which </w:t>
      </w:r>
      <w:r w:rsidR="00C7528F" w:rsidRPr="00DC4068">
        <w:rPr>
          <w:rFonts w:cs="Arial"/>
          <w:sz w:val="20"/>
          <w:szCs w:val="20"/>
        </w:rPr>
        <w:t>is a</w:t>
      </w:r>
      <w:r w:rsidR="00FB27C6" w:rsidRPr="00DC4068">
        <w:rPr>
          <w:rFonts w:cs="Arial"/>
          <w:sz w:val="20"/>
          <w:szCs w:val="20"/>
        </w:rPr>
        <w:t xml:space="preserve"> BCS class II (low solubility, and high permeability), </w:t>
      </w:r>
      <w:r w:rsidR="006E25FE" w:rsidRPr="00DC4068">
        <w:rPr>
          <w:rFonts w:cs="Arial"/>
          <w:sz w:val="20"/>
          <w:szCs w:val="20"/>
        </w:rPr>
        <w:t xml:space="preserve">and </w:t>
      </w:r>
      <w:r w:rsidR="00FB27C6" w:rsidRPr="00DC4068">
        <w:rPr>
          <w:rFonts w:cs="Arial"/>
          <w:sz w:val="20"/>
          <w:szCs w:val="20"/>
        </w:rPr>
        <w:t xml:space="preserve">it </w:t>
      </w:r>
      <w:r w:rsidR="00EB73F4" w:rsidRPr="00DC4068">
        <w:rPr>
          <w:rFonts w:cs="Arial"/>
          <w:sz w:val="20"/>
          <w:szCs w:val="20"/>
        </w:rPr>
        <w:t xml:space="preserve">has </w:t>
      </w:r>
      <w:r w:rsidR="00FB27C6" w:rsidRPr="00DC4068">
        <w:rPr>
          <w:rFonts w:cs="Arial"/>
          <w:sz w:val="20"/>
          <w:szCs w:val="20"/>
        </w:rPr>
        <w:t>a</w:t>
      </w:r>
      <w:r w:rsidR="00C7528F" w:rsidRPr="00DC4068">
        <w:rPr>
          <w:rFonts w:cs="Arial"/>
          <w:sz w:val="20"/>
          <w:szCs w:val="20"/>
        </w:rPr>
        <w:t xml:space="preserve"> broad-spectrum antifungal agent with antibacterial and anti-inflammatory properties</w:t>
      </w:r>
      <w:r w:rsidR="006E25FE" w:rsidRPr="00DC4068">
        <w:rPr>
          <w:rFonts w:cs="Arial"/>
          <w:sz w:val="20"/>
          <w:szCs w:val="20"/>
        </w:rPr>
        <w:t xml:space="preserve"> </w:t>
      </w:r>
      <w:r w:rsidR="00111252" w:rsidRPr="00DC4068">
        <w:rPr>
          <w:rFonts w:cs="Arial"/>
          <w:sz w:val="20"/>
          <w:szCs w:val="20"/>
          <w:vertAlign w:val="superscript"/>
        </w:rPr>
        <w:t>5</w:t>
      </w:r>
      <w:r w:rsidR="00111252" w:rsidRPr="00DC4068">
        <w:rPr>
          <w:rFonts w:cs="Arial"/>
          <w:sz w:val="20"/>
          <w:szCs w:val="20"/>
        </w:rPr>
        <w:t xml:space="preserve">. </w:t>
      </w:r>
      <w:r w:rsidR="00EB73F4" w:rsidRPr="00DC4068">
        <w:rPr>
          <w:rFonts w:cs="Arial"/>
          <w:sz w:val="20"/>
          <w:szCs w:val="20"/>
        </w:rPr>
        <w:t>CPO</w:t>
      </w:r>
      <w:r w:rsidR="00C7528F" w:rsidRPr="00DC4068">
        <w:rPr>
          <w:rFonts w:cs="Arial"/>
          <w:sz w:val="20"/>
          <w:szCs w:val="20"/>
        </w:rPr>
        <w:t xml:space="preserve"> </w:t>
      </w:r>
      <w:r w:rsidR="00EB73F4" w:rsidRPr="00DC4068">
        <w:rPr>
          <w:rFonts w:cs="Arial"/>
          <w:sz w:val="20"/>
          <w:szCs w:val="20"/>
        </w:rPr>
        <w:t>demonstrates</w:t>
      </w:r>
      <w:r w:rsidR="00C7528F" w:rsidRPr="00DC4068">
        <w:rPr>
          <w:rFonts w:cs="Arial"/>
          <w:sz w:val="20"/>
          <w:szCs w:val="20"/>
        </w:rPr>
        <w:t xml:space="preserve"> by chelating </w:t>
      </w:r>
      <w:r w:rsidR="00C135DC" w:rsidRPr="00DC4068">
        <w:rPr>
          <w:rFonts w:cs="Arial"/>
          <w:sz w:val="20"/>
          <w:szCs w:val="20"/>
        </w:rPr>
        <w:t xml:space="preserve">polyvalent and </w:t>
      </w:r>
      <w:r w:rsidR="00C7528F" w:rsidRPr="00DC4068">
        <w:rPr>
          <w:rFonts w:cs="Arial"/>
          <w:sz w:val="20"/>
          <w:szCs w:val="20"/>
        </w:rPr>
        <w:t>trivalent cations</w:t>
      </w:r>
      <w:r w:rsidR="00BC52A2" w:rsidRPr="00DC4068">
        <w:rPr>
          <w:rFonts w:cs="Arial"/>
          <w:sz w:val="20"/>
          <w:szCs w:val="20"/>
        </w:rPr>
        <w:t xml:space="preserve"> such as Fe</w:t>
      </w:r>
      <w:r w:rsidR="00BC52A2" w:rsidRPr="00DC4068">
        <w:rPr>
          <w:rFonts w:cs="Arial"/>
          <w:sz w:val="20"/>
          <w:szCs w:val="20"/>
          <w:vertAlign w:val="superscript"/>
        </w:rPr>
        <w:t xml:space="preserve">3+ </w:t>
      </w:r>
      <w:r w:rsidR="00BC52A2" w:rsidRPr="00DC4068">
        <w:rPr>
          <w:rFonts w:cs="Arial"/>
          <w:sz w:val="20"/>
          <w:szCs w:val="20"/>
        </w:rPr>
        <w:t>and Al</w:t>
      </w:r>
      <w:r w:rsidR="00BC52A2" w:rsidRPr="00DC4068">
        <w:rPr>
          <w:rFonts w:cs="Arial"/>
          <w:sz w:val="20"/>
          <w:szCs w:val="20"/>
          <w:vertAlign w:val="superscript"/>
        </w:rPr>
        <w:t>3+</w:t>
      </w:r>
      <w:r w:rsidR="00C7528F" w:rsidRPr="00DC4068">
        <w:rPr>
          <w:rFonts w:cs="Arial"/>
          <w:sz w:val="20"/>
          <w:szCs w:val="20"/>
        </w:rPr>
        <w:t>,</w:t>
      </w:r>
      <w:r w:rsidR="00BC52A2" w:rsidRPr="00DC4068">
        <w:rPr>
          <w:rFonts w:cs="Arial"/>
          <w:sz w:val="20"/>
          <w:szCs w:val="20"/>
        </w:rPr>
        <w:t xml:space="preserve"> these cations inhibit enzymes like cytochromes, which tend to disrupt cellular activities such as transference of mitochondrial electrons and energy metabolism</w:t>
      </w:r>
      <w:r w:rsidR="00C7528F" w:rsidRPr="00DC4068">
        <w:rPr>
          <w:rFonts w:cs="Arial"/>
          <w:sz w:val="20"/>
          <w:szCs w:val="20"/>
        </w:rPr>
        <w:t xml:space="preserve">. It </w:t>
      </w:r>
      <w:r w:rsidR="00BC52A2" w:rsidRPr="00DC4068">
        <w:rPr>
          <w:rFonts w:cs="Arial"/>
          <w:sz w:val="20"/>
          <w:szCs w:val="20"/>
        </w:rPr>
        <w:t>validates</w:t>
      </w:r>
      <w:r w:rsidR="00C7528F" w:rsidRPr="00DC4068">
        <w:rPr>
          <w:rFonts w:cs="Arial"/>
          <w:sz w:val="20"/>
          <w:szCs w:val="20"/>
        </w:rPr>
        <w:t xml:space="preserve"> fungistatic or fungicidal activity in contradiction of dermatophytes, yeasts, dimorphic fungi, eumycetes, and actinomycetes, while also being effective against Gram-positive and Gram-negative bacteria</w:t>
      </w:r>
      <w:r w:rsidR="00CF39E9" w:rsidRPr="00DC4068">
        <w:rPr>
          <w:rFonts w:cs="Arial"/>
          <w:sz w:val="20"/>
          <w:szCs w:val="20"/>
        </w:rPr>
        <w:t xml:space="preserve"> </w:t>
      </w:r>
      <w:r w:rsidR="00CF39E9" w:rsidRPr="00DC4068">
        <w:rPr>
          <w:rFonts w:cs="Arial"/>
          <w:sz w:val="20"/>
          <w:szCs w:val="20"/>
          <w:vertAlign w:val="superscript"/>
        </w:rPr>
        <w:t>2</w:t>
      </w:r>
      <w:r w:rsidR="00CF39E9" w:rsidRPr="00DC4068">
        <w:rPr>
          <w:rFonts w:cs="Arial"/>
          <w:sz w:val="20"/>
          <w:szCs w:val="20"/>
        </w:rPr>
        <w:t>.</w:t>
      </w:r>
      <w:r w:rsidR="00BB3768" w:rsidRPr="00DC4068">
        <w:rPr>
          <w:rFonts w:cs="Arial"/>
          <w:sz w:val="20"/>
          <w:szCs w:val="20"/>
        </w:rPr>
        <w:t xml:space="preserve"> </w:t>
      </w:r>
      <w:r w:rsidR="00C7528F" w:rsidRPr="00DC4068">
        <w:rPr>
          <w:rFonts w:cs="Arial"/>
          <w:sz w:val="20"/>
          <w:szCs w:val="20"/>
        </w:rPr>
        <w:t>Its anti-inflammatory action involves suppressing prostaglandin, leukotriene, 5-lipoxygenase, and cyclooxygenase synthesis in polymorphonuclear cells</w:t>
      </w:r>
      <w:r w:rsidR="00CF39E9" w:rsidRPr="00DC4068">
        <w:rPr>
          <w:rFonts w:cs="Arial"/>
          <w:sz w:val="20"/>
          <w:szCs w:val="20"/>
          <w:vertAlign w:val="superscript"/>
        </w:rPr>
        <w:t>6</w:t>
      </w:r>
      <w:r w:rsidR="00CF39E9" w:rsidRPr="00DC4068">
        <w:rPr>
          <w:rFonts w:cs="Arial"/>
          <w:sz w:val="20"/>
          <w:szCs w:val="20"/>
        </w:rPr>
        <w:t>.</w:t>
      </w:r>
      <w:r w:rsidR="00C65EFE" w:rsidRPr="00DC4068">
        <w:rPr>
          <w:rFonts w:cs="Arial"/>
          <w:sz w:val="20"/>
          <w:szCs w:val="20"/>
        </w:rPr>
        <w:t xml:space="preserve"> </w:t>
      </w:r>
      <w:r w:rsidR="008B572E" w:rsidRPr="00DC4068">
        <w:rPr>
          <w:rFonts w:cs="Arial"/>
          <w:sz w:val="20"/>
          <w:szCs w:val="20"/>
        </w:rPr>
        <w:t>CPO exhibit</w:t>
      </w:r>
      <w:r w:rsidR="00785BF5" w:rsidRPr="00DC4068">
        <w:rPr>
          <w:rFonts w:cs="Arial"/>
          <w:sz w:val="20"/>
          <w:szCs w:val="20"/>
        </w:rPr>
        <w:t>s</w:t>
      </w:r>
      <w:r w:rsidR="008B572E" w:rsidRPr="00DC4068">
        <w:rPr>
          <w:rFonts w:cs="Arial"/>
          <w:sz w:val="20"/>
          <w:szCs w:val="20"/>
        </w:rPr>
        <w:t xml:space="preserve"> a short half-life of 3.8h</w:t>
      </w:r>
      <w:r w:rsidR="00DE696D" w:rsidRPr="00DC4068">
        <w:rPr>
          <w:rFonts w:cs="Arial"/>
          <w:sz w:val="20"/>
          <w:szCs w:val="20"/>
        </w:rPr>
        <w:t>r</w:t>
      </w:r>
      <w:r w:rsidR="008B572E" w:rsidRPr="00DC4068">
        <w:rPr>
          <w:rFonts w:cs="Arial"/>
          <w:sz w:val="20"/>
          <w:szCs w:val="20"/>
        </w:rPr>
        <w:t xml:space="preserve"> as it is extensively metabolized in the liver through glucuronidation</w:t>
      </w:r>
      <w:r w:rsidR="00785BF5" w:rsidRPr="00DC4068">
        <w:rPr>
          <w:rFonts w:cs="Arial"/>
          <w:sz w:val="20"/>
          <w:szCs w:val="20"/>
        </w:rPr>
        <w:t>s,</w:t>
      </w:r>
      <w:r w:rsidR="008B572E" w:rsidRPr="00DC4068">
        <w:rPr>
          <w:rFonts w:cs="Arial"/>
          <w:sz w:val="20"/>
          <w:szCs w:val="20"/>
        </w:rPr>
        <w:t xml:space="preserve"> </w:t>
      </w:r>
      <w:r w:rsidR="00785BF5" w:rsidRPr="00DC4068">
        <w:rPr>
          <w:rFonts w:cs="Arial"/>
          <w:sz w:val="20"/>
          <w:szCs w:val="20"/>
        </w:rPr>
        <w:t>which</w:t>
      </w:r>
      <w:r w:rsidR="008B572E" w:rsidRPr="00DC4068">
        <w:rPr>
          <w:rFonts w:cs="Arial"/>
          <w:sz w:val="20"/>
          <w:szCs w:val="20"/>
        </w:rPr>
        <w:t xml:space="preserve"> is further facilitated by the enzymes UDP-glucuronosyltransferase 1A1 (UGT1A1) and UGT1A9. In addition, oral CPO often cause</w:t>
      </w:r>
      <w:r w:rsidR="00785BF5" w:rsidRPr="00DC4068">
        <w:rPr>
          <w:rFonts w:cs="Arial"/>
          <w:sz w:val="20"/>
          <w:szCs w:val="20"/>
        </w:rPr>
        <w:t>s</w:t>
      </w:r>
      <w:r w:rsidR="008B572E" w:rsidRPr="00DC4068">
        <w:rPr>
          <w:rFonts w:cs="Arial"/>
          <w:sz w:val="20"/>
          <w:szCs w:val="20"/>
        </w:rPr>
        <w:t xml:space="preserve"> GI irritation, Ulceration</w:t>
      </w:r>
      <w:r w:rsidR="00785BF5" w:rsidRPr="00DC4068">
        <w:rPr>
          <w:rFonts w:cs="Arial"/>
          <w:sz w:val="20"/>
          <w:szCs w:val="20"/>
        </w:rPr>
        <w:t>,</w:t>
      </w:r>
      <w:r w:rsidR="008B572E" w:rsidRPr="00DC4068">
        <w:rPr>
          <w:rFonts w:cs="Arial"/>
          <w:sz w:val="20"/>
          <w:szCs w:val="20"/>
        </w:rPr>
        <w:t xml:space="preserve"> and gastritis</w:t>
      </w:r>
      <w:r w:rsidR="00785BF5" w:rsidRPr="00DC4068">
        <w:rPr>
          <w:rFonts w:cs="Arial"/>
          <w:sz w:val="20"/>
          <w:szCs w:val="20"/>
        </w:rPr>
        <w:t xml:space="preserve"> </w:t>
      </w:r>
      <w:r w:rsidR="00CF39E9" w:rsidRPr="00DC4068">
        <w:rPr>
          <w:rFonts w:cs="Arial"/>
          <w:sz w:val="20"/>
          <w:szCs w:val="20"/>
          <w:vertAlign w:val="superscript"/>
        </w:rPr>
        <w:t>7</w:t>
      </w:r>
      <w:r w:rsidR="00CF39E9" w:rsidRPr="00DC4068">
        <w:rPr>
          <w:rFonts w:cs="Arial"/>
          <w:sz w:val="20"/>
          <w:szCs w:val="20"/>
        </w:rPr>
        <w:t>.</w:t>
      </w:r>
      <w:r w:rsidR="008B572E" w:rsidRPr="00DC4068">
        <w:rPr>
          <w:rFonts w:cs="Arial"/>
          <w:sz w:val="20"/>
          <w:szCs w:val="20"/>
          <w:vertAlign w:val="superscript"/>
        </w:rPr>
        <w:t xml:space="preserve"> </w:t>
      </w:r>
      <w:r w:rsidR="00CF39E9" w:rsidRPr="00DC4068">
        <w:rPr>
          <w:rFonts w:cs="Arial"/>
          <w:sz w:val="20"/>
          <w:szCs w:val="20"/>
        </w:rPr>
        <w:t xml:space="preserve"> </w:t>
      </w:r>
      <w:r w:rsidR="008B572E" w:rsidRPr="00DC4068">
        <w:rPr>
          <w:rFonts w:cs="Arial"/>
          <w:sz w:val="20"/>
          <w:szCs w:val="20"/>
        </w:rPr>
        <w:t>Thus, it is essential to investigate the creation of a different drug delivery system that can avoid first-pass metabolism to improve bioavailability, which could ultimately lower the frequency of dosing and associated gastrointestinal side effects</w:t>
      </w:r>
      <w:r w:rsidR="00CF39E9" w:rsidRPr="00DC4068">
        <w:rPr>
          <w:rFonts w:cs="Arial"/>
          <w:sz w:val="20"/>
          <w:szCs w:val="20"/>
        </w:rPr>
        <w:t xml:space="preserve"> </w:t>
      </w:r>
      <w:r w:rsidR="00CF39E9" w:rsidRPr="00DC4068">
        <w:rPr>
          <w:rFonts w:cs="Arial"/>
          <w:sz w:val="20"/>
          <w:szCs w:val="20"/>
          <w:vertAlign w:val="superscript"/>
        </w:rPr>
        <w:t>8</w:t>
      </w:r>
      <w:r w:rsidR="00CF39E9" w:rsidRPr="00DC4068">
        <w:rPr>
          <w:rFonts w:cs="Arial"/>
          <w:sz w:val="20"/>
          <w:szCs w:val="20"/>
        </w:rPr>
        <w:t>.</w:t>
      </w:r>
      <w:r w:rsidR="008B572E" w:rsidRPr="00DC4068">
        <w:rPr>
          <w:rFonts w:cs="Arial"/>
          <w:sz w:val="20"/>
          <w:szCs w:val="20"/>
        </w:rPr>
        <w:t xml:space="preserve"> In this regard, transdermal drug delivery systems (TDDS) are recognized for providing a non-invasive method for the systemic administration of medications. </w:t>
      </w:r>
      <w:r w:rsidR="0062327F" w:rsidRPr="00DC4068">
        <w:rPr>
          <w:rFonts w:cs="Arial"/>
          <w:sz w:val="20"/>
          <w:szCs w:val="20"/>
        </w:rPr>
        <w:t>Still</w:t>
      </w:r>
      <w:r w:rsidR="008B572E" w:rsidRPr="00DC4068">
        <w:rPr>
          <w:rFonts w:cs="Arial"/>
          <w:sz w:val="20"/>
          <w:szCs w:val="20"/>
        </w:rPr>
        <w:t xml:space="preserve">, conventional transdermal patches possess specific disadvantages such as skin discomfort arising from their </w:t>
      </w:r>
      <w:r w:rsidR="0062327F" w:rsidRPr="00DC4068">
        <w:rPr>
          <w:rFonts w:cs="Arial"/>
          <w:sz w:val="20"/>
          <w:szCs w:val="20"/>
        </w:rPr>
        <w:t xml:space="preserve">airtight </w:t>
      </w:r>
      <w:r w:rsidR="008B572E" w:rsidRPr="00DC4068">
        <w:rPr>
          <w:rFonts w:cs="Arial"/>
          <w:sz w:val="20"/>
          <w:szCs w:val="20"/>
        </w:rPr>
        <w:t>design, which can obstruct sweat glands and disrupt regular skin activity.</w:t>
      </w:r>
      <w:r w:rsidR="00D97AC8" w:rsidRPr="00DC4068">
        <w:rPr>
          <w:rFonts w:cs="Arial"/>
          <w:sz w:val="20"/>
          <w:szCs w:val="20"/>
        </w:rPr>
        <w:t xml:space="preserve"> O</w:t>
      </w:r>
      <w:r w:rsidR="005E56F4" w:rsidRPr="00DC4068">
        <w:rPr>
          <w:rFonts w:cs="Arial"/>
          <w:sz w:val="20"/>
          <w:szCs w:val="20"/>
        </w:rPr>
        <w:t xml:space="preserve">intments, </w:t>
      </w:r>
      <w:r w:rsidR="00D97AC8" w:rsidRPr="00DC4068">
        <w:rPr>
          <w:rFonts w:cs="Arial"/>
          <w:sz w:val="20"/>
          <w:szCs w:val="20"/>
        </w:rPr>
        <w:t>c</w:t>
      </w:r>
      <w:r w:rsidR="005E56F4" w:rsidRPr="00DC4068">
        <w:rPr>
          <w:rFonts w:cs="Arial"/>
          <w:sz w:val="20"/>
          <w:szCs w:val="20"/>
        </w:rPr>
        <w:t>reams</w:t>
      </w:r>
      <w:r w:rsidR="00785BF5" w:rsidRPr="00DC4068">
        <w:rPr>
          <w:rFonts w:cs="Arial"/>
          <w:sz w:val="20"/>
          <w:szCs w:val="20"/>
        </w:rPr>
        <w:t>,</w:t>
      </w:r>
      <w:r w:rsidR="0062327F" w:rsidRPr="00DC4068">
        <w:rPr>
          <w:rFonts w:cs="Arial"/>
          <w:sz w:val="20"/>
          <w:szCs w:val="20"/>
        </w:rPr>
        <w:t xml:space="preserve"> and</w:t>
      </w:r>
      <w:r w:rsidR="005E56F4" w:rsidRPr="00DC4068">
        <w:rPr>
          <w:rFonts w:cs="Arial"/>
          <w:sz w:val="20"/>
          <w:szCs w:val="20"/>
        </w:rPr>
        <w:t xml:space="preserve"> </w:t>
      </w:r>
      <w:r w:rsidR="00D97AC8" w:rsidRPr="00DC4068">
        <w:rPr>
          <w:rFonts w:cs="Arial"/>
          <w:sz w:val="20"/>
          <w:szCs w:val="20"/>
        </w:rPr>
        <w:t>g</w:t>
      </w:r>
      <w:r w:rsidR="005E56F4" w:rsidRPr="00DC4068">
        <w:rPr>
          <w:rFonts w:cs="Arial"/>
          <w:sz w:val="20"/>
          <w:szCs w:val="20"/>
        </w:rPr>
        <w:t xml:space="preserve">els, </w:t>
      </w:r>
      <w:r w:rsidR="00B3162D" w:rsidRPr="00DC4068">
        <w:rPr>
          <w:rFonts w:cs="Arial"/>
          <w:sz w:val="20"/>
          <w:szCs w:val="20"/>
        </w:rPr>
        <w:t>swiftly</w:t>
      </w:r>
      <w:r w:rsidR="003A662B" w:rsidRPr="00DC4068">
        <w:rPr>
          <w:rFonts w:cs="Arial"/>
          <w:sz w:val="20"/>
          <w:szCs w:val="20"/>
        </w:rPr>
        <w:t xml:space="preserve"> removed by clothin</w:t>
      </w:r>
      <w:r w:rsidR="0062327F" w:rsidRPr="00DC4068">
        <w:rPr>
          <w:rFonts w:cs="Arial"/>
          <w:sz w:val="20"/>
          <w:szCs w:val="20"/>
        </w:rPr>
        <w:t>g</w:t>
      </w:r>
      <w:r w:rsidR="00CF39E9" w:rsidRPr="00DC4068">
        <w:rPr>
          <w:rFonts w:cs="Arial"/>
          <w:sz w:val="20"/>
          <w:szCs w:val="20"/>
        </w:rPr>
        <w:t xml:space="preserve"> </w:t>
      </w:r>
      <w:r w:rsidR="00CF39E9" w:rsidRPr="00DC4068">
        <w:rPr>
          <w:rFonts w:cs="Arial"/>
          <w:sz w:val="20"/>
          <w:szCs w:val="20"/>
          <w:vertAlign w:val="superscript"/>
        </w:rPr>
        <w:t>9</w:t>
      </w:r>
      <w:r w:rsidR="00CF39E9" w:rsidRPr="00DC4068">
        <w:rPr>
          <w:rFonts w:cs="Arial"/>
          <w:sz w:val="20"/>
          <w:szCs w:val="20"/>
        </w:rPr>
        <w:t>.</w:t>
      </w:r>
    </w:p>
    <w:p w14:paraId="556381F5" w14:textId="11D54441" w:rsidR="00941E82" w:rsidRDefault="007E102C" w:rsidP="00941E82">
      <w:pPr>
        <w:spacing w:after="120" w:line="240" w:lineRule="auto"/>
        <w:jc w:val="both"/>
        <w:rPr>
          <w:rFonts w:cs="Arial"/>
          <w:sz w:val="20"/>
          <w:szCs w:val="20"/>
        </w:rPr>
      </w:pPr>
      <w:r w:rsidRPr="00DC4068">
        <w:rPr>
          <w:rFonts w:cs="Arial"/>
          <w:sz w:val="20"/>
          <w:szCs w:val="20"/>
        </w:rPr>
        <w:t>Conversely, PFFS provide</w:t>
      </w:r>
      <w:r w:rsidR="00785BF5" w:rsidRPr="00DC4068">
        <w:rPr>
          <w:rFonts w:cs="Arial"/>
          <w:sz w:val="20"/>
          <w:szCs w:val="20"/>
        </w:rPr>
        <w:t>s</w:t>
      </w:r>
      <w:r w:rsidRPr="00DC4068">
        <w:rPr>
          <w:rFonts w:cs="Arial"/>
          <w:sz w:val="20"/>
          <w:szCs w:val="20"/>
        </w:rPr>
        <w:t xml:space="preserve"> a new and uncomplicated method for treatment that addresses the </w:t>
      </w:r>
      <w:r w:rsidR="009C3587" w:rsidRPr="00DC4068">
        <w:rPr>
          <w:rFonts w:cs="Arial"/>
          <w:sz w:val="20"/>
          <w:szCs w:val="20"/>
        </w:rPr>
        <w:t>weaknesses</w:t>
      </w:r>
      <w:r w:rsidRPr="00DC4068">
        <w:rPr>
          <w:rFonts w:cs="Arial"/>
          <w:sz w:val="20"/>
          <w:szCs w:val="20"/>
        </w:rPr>
        <w:t xml:space="preserve"> of traditional transdermal patches. Typically, PFFS </w:t>
      </w:r>
      <w:r w:rsidR="00591AC3" w:rsidRPr="00DC4068">
        <w:rPr>
          <w:rFonts w:cs="Arial"/>
          <w:sz w:val="20"/>
          <w:szCs w:val="20"/>
        </w:rPr>
        <w:t>embraces</w:t>
      </w:r>
      <w:r w:rsidRPr="00DC4068">
        <w:rPr>
          <w:rFonts w:cs="Arial"/>
          <w:sz w:val="20"/>
          <w:szCs w:val="20"/>
        </w:rPr>
        <w:t xml:space="preserve"> the medication and the film</w:t>
      </w:r>
      <w:r w:rsidR="00785BF5" w:rsidRPr="00DC4068">
        <w:rPr>
          <w:rFonts w:cs="Arial"/>
          <w:sz w:val="20"/>
          <w:szCs w:val="20"/>
        </w:rPr>
        <w:t>,</w:t>
      </w:r>
      <w:r w:rsidRPr="00DC4068">
        <w:rPr>
          <w:rFonts w:cs="Arial"/>
          <w:sz w:val="20"/>
          <w:szCs w:val="20"/>
        </w:rPr>
        <w:t xml:space="preserve"> creating polymers mixed in an appropriate </w:t>
      </w:r>
      <w:r w:rsidRPr="000E2E58">
        <w:rPr>
          <w:rFonts w:cs="Arial"/>
          <w:sz w:val="20"/>
          <w:szCs w:val="20"/>
          <w:highlight w:val="yellow"/>
        </w:rPr>
        <w:t>disappearing liquid</w:t>
      </w:r>
      <w:r w:rsidR="00785BF5" w:rsidRPr="00DC4068">
        <w:rPr>
          <w:rFonts w:cs="Arial"/>
          <w:sz w:val="20"/>
          <w:szCs w:val="20"/>
        </w:rPr>
        <w:t>,</w:t>
      </w:r>
      <w:r w:rsidR="00591AC3" w:rsidRPr="00DC4068">
        <w:rPr>
          <w:rFonts w:cs="Arial"/>
          <w:sz w:val="20"/>
          <w:szCs w:val="20"/>
        </w:rPr>
        <w:t xml:space="preserve"> leading to continued release of medicament</w:t>
      </w:r>
      <w:r w:rsidR="00CF39E9" w:rsidRPr="00DC4068">
        <w:rPr>
          <w:rFonts w:cs="Arial"/>
          <w:sz w:val="20"/>
          <w:szCs w:val="20"/>
        </w:rPr>
        <w:t xml:space="preserve"> </w:t>
      </w:r>
      <w:r w:rsidR="00CF39E9" w:rsidRPr="00DC4068">
        <w:rPr>
          <w:rFonts w:cs="Arial"/>
          <w:sz w:val="20"/>
          <w:szCs w:val="20"/>
          <w:vertAlign w:val="superscript"/>
        </w:rPr>
        <w:t>10</w:t>
      </w:r>
      <w:r w:rsidR="00CF39E9" w:rsidRPr="00DC4068">
        <w:rPr>
          <w:rFonts w:cs="Arial"/>
          <w:sz w:val="20"/>
          <w:szCs w:val="20"/>
        </w:rPr>
        <w:t>.</w:t>
      </w:r>
      <w:r w:rsidR="00591AC3" w:rsidRPr="00DC4068">
        <w:rPr>
          <w:rFonts w:cs="Arial"/>
          <w:sz w:val="20"/>
          <w:szCs w:val="20"/>
          <w:vertAlign w:val="superscript"/>
        </w:rPr>
        <w:t xml:space="preserve"> </w:t>
      </w:r>
      <w:r w:rsidR="00B40D03" w:rsidRPr="00DC4068">
        <w:rPr>
          <w:rFonts w:cs="Arial"/>
          <w:sz w:val="20"/>
          <w:szCs w:val="20"/>
        </w:rPr>
        <w:t xml:space="preserve">When PFFS is applied </w:t>
      </w:r>
      <w:r w:rsidR="00785BF5" w:rsidRPr="00DC4068">
        <w:rPr>
          <w:rFonts w:cs="Arial"/>
          <w:sz w:val="20"/>
          <w:szCs w:val="20"/>
        </w:rPr>
        <w:t>to</w:t>
      </w:r>
      <w:r w:rsidR="00B40D03" w:rsidRPr="00DC4068">
        <w:rPr>
          <w:rFonts w:cs="Arial"/>
          <w:sz w:val="20"/>
          <w:szCs w:val="20"/>
        </w:rPr>
        <w:t xml:space="preserve"> </w:t>
      </w:r>
      <w:r w:rsidR="00785BF5" w:rsidRPr="00DC4068">
        <w:rPr>
          <w:rFonts w:cs="Arial"/>
          <w:sz w:val="20"/>
          <w:szCs w:val="20"/>
        </w:rPr>
        <w:t xml:space="preserve">the </w:t>
      </w:r>
      <w:r w:rsidR="00B40D03" w:rsidRPr="00DC4068">
        <w:rPr>
          <w:rFonts w:cs="Arial"/>
          <w:sz w:val="20"/>
          <w:szCs w:val="20"/>
        </w:rPr>
        <w:t>skin, the liquid disappears</w:t>
      </w:r>
      <w:r w:rsidR="00785BF5" w:rsidRPr="00DC4068">
        <w:rPr>
          <w:rFonts w:cs="Arial"/>
          <w:sz w:val="20"/>
          <w:szCs w:val="20"/>
        </w:rPr>
        <w:t>,</w:t>
      </w:r>
      <w:r w:rsidR="00B40D03" w:rsidRPr="00DC4068">
        <w:rPr>
          <w:rFonts w:cs="Arial"/>
          <w:sz w:val="20"/>
          <w:szCs w:val="20"/>
        </w:rPr>
        <w:t xml:space="preserve"> leaving a drug-loaded thin film on </w:t>
      </w:r>
      <w:r w:rsidR="00785BF5" w:rsidRPr="00DC4068">
        <w:rPr>
          <w:rFonts w:cs="Arial"/>
          <w:sz w:val="20"/>
          <w:szCs w:val="20"/>
        </w:rPr>
        <w:t xml:space="preserve">the </w:t>
      </w:r>
      <w:r w:rsidR="00B40D03" w:rsidRPr="00DC4068">
        <w:rPr>
          <w:rFonts w:cs="Arial"/>
          <w:sz w:val="20"/>
          <w:szCs w:val="20"/>
        </w:rPr>
        <w:t xml:space="preserve">skin’s surface. It gives many benefits when compared to regular patches, such as higher dosing </w:t>
      </w:r>
      <w:r w:rsidR="00785BF5" w:rsidRPr="00DC4068">
        <w:rPr>
          <w:rFonts w:cs="Arial"/>
          <w:sz w:val="20"/>
          <w:szCs w:val="20"/>
        </w:rPr>
        <w:t>consistency</w:t>
      </w:r>
      <w:r w:rsidR="00B40D03" w:rsidRPr="00DC4068">
        <w:rPr>
          <w:rFonts w:cs="Arial"/>
          <w:sz w:val="20"/>
          <w:szCs w:val="20"/>
        </w:rPr>
        <w:t xml:space="preserve">, lower chance of irritation, and less medicament wastage. Hence, it </w:t>
      </w:r>
      <w:r w:rsidR="00785BF5" w:rsidRPr="00DC4068">
        <w:rPr>
          <w:rFonts w:cs="Arial"/>
          <w:sz w:val="20"/>
          <w:szCs w:val="20"/>
        </w:rPr>
        <w:t xml:space="preserve">transforms </w:t>
      </w:r>
      <w:r w:rsidR="00B40D03" w:rsidRPr="00DC4068">
        <w:rPr>
          <w:rFonts w:cs="Arial"/>
          <w:sz w:val="20"/>
          <w:szCs w:val="20"/>
        </w:rPr>
        <w:t>to form drug</w:t>
      </w:r>
      <w:r w:rsidR="00DD62E5" w:rsidRPr="00DC4068">
        <w:rPr>
          <w:rFonts w:cs="Arial"/>
          <w:sz w:val="20"/>
          <w:szCs w:val="20"/>
        </w:rPr>
        <w:t>-l</w:t>
      </w:r>
      <w:r w:rsidR="00785BF5" w:rsidRPr="00DC4068">
        <w:rPr>
          <w:rFonts w:cs="Arial"/>
          <w:sz w:val="20"/>
          <w:szCs w:val="20"/>
        </w:rPr>
        <w:t>oaded</w:t>
      </w:r>
      <w:r w:rsidR="00B40D03" w:rsidRPr="00DC4068">
        <w:rPr>
          <w:rFonts w:cs="Arial"/>
          <w:sz w:val="20"/>
          <w:szCs w:val="20"/>
        </w:rPr>
        <w:t xml:space="preserve"> films</w:t>
      </w:r>
      <w:r w:rsidR="00785BF5" w:rsidRPr="00DC4068">
        <w:rPr>
          <w:rFonts w:cs="Arial"/>
          <w:sz w:val="20"/>
          <w:szCs w:val="20"/>
        </w:rPr>
        <w:t>,</w:t>
      </w:r>
      <w:r w:rsidR="00B40D03" w:rsidRPr="00DC4068">
        <w:rPr>
          <w:rFonts w:cs="Arial"/>
          <w:sz w:val="20"/>
          <w:szCs w:val="20"/>
        </w:rPr>
        <w:t xml:space="preserve"> </w:t>
      </w:r>
      <w:r w:rsidR="00DD62E5" w:rsidRPr="00DC4068">
        <w:rPr>
          <w:rFonts w:cs="Arial"/>
          <w:sz w:val="20"/>
          <w:szCs w:val="20"/>
        </w:rPr>
        <w:t xml:space="preserve">which </w:t>
      </w:r>
      <w:r w:rsidR="00B40D03" w:rsidRPr="00DC4068">
        <w:rPr>
          <w:rFonts w:cs="Arial"/>
          <w:sz w:val="20"/>
          <w:szCs w:val="20"/>
        </w:rPr>
        <w:t>improve</w:t>
      </w:r>
      <w:r w:rsidR="00785BF5" w:rsidRPr="00DC4068">
        <w:rPr>
          <w:rFonts w:cs="Arial"/>
          <w:sz w:val="20"/>
          <w:szCs w:val="20"/>
        </w:rPr>
        <w:t xml:space="preserve"> </w:t>
      </w:r>
      <w:r w:rsidR="00B40D03" w:rsidRPr="00DC4068">
        <w:rPr>
          <w:rFonts w:cs="Arial"/>
          <w:sz w:val="20"/>
          <w:szCs w:val="20"/>
        </w:rPr>
        <w:t>transdermal drug penetration</w:t>
      </w:r>
      <w:r w:rsidR="00DD62E5" w:rsidRPr="00DC4068">
        <w:rPr>
          <w:rFonts w:cs="Arial"/>
          <w:sz w:val="20"/>
          <w:szCs w:val="20"/>
        </w:rPr>
        <w:t xml:space="preserve">, </w:t>
      </w:r>
      <w:r w:rsidR="00B40D03" w:rsidRPr="00DC4068">
        <w:rPr>
          <w:rFonts w:cs="Arial"/>
          <w:sz w:val="20"/>
          <w:szCs w:val="20"/>
        </w:rPr>
        <w:t>bioavailability</w:t>
      </w:r>
      <w:r w:rsidR="00785BF5" w:rsidRPr="00DC4068">
        <w:rPr>
          <w:rFonts w:cs="Arial"/>
          <w:sz w:val="20"/>
          <w:szCs w:val="20"/>
        </w:rPr>
        <w:t xml:space="preserve">, </w:t>
      </w:r>
      <w:r w:rsidR="00DD62E5" w:rsidRPr="00DC4068">
        <w:rPr>
          <w:rFonts w:cs="Arial"/>
          <w:sz w:val="20"/>
          <w:szCs w:val="20"/>
        </w:rPr>
        <w:t xml:space="preserve">and remain in the same state throughout </w:t>
      </w:r>
      <w:r w:rsidR="00785BF5" w:rsidRPr="00DC4068">
        <w:rPr>
          <w:rFonts w:cs="Arial"/>
          <w:sz w:val="20"/>
          <w:szCs w:val="20"/>
        </w:rPr>
        <w:t xml:space="preserve">the </w:t>
      </w:r>
      <w:r w:rsidR="00DD62E5" w:rsidRPr="00DC4068">
        <w:rPr>
          <w:rFonts w:cs="Arial"/>
          <w:sz w:val="20"/>
          <w:szCs w:val="20"/>
        </w:rPr>
        <w:t>product life-cycle</w:t>
      </w:r>
      <w:r w:rsidR="00DD62E5" w:rsidRPr="00DC4068">
        <w:rPr>
          <w:rFonts w:cs="Arial"/>
          <w:sz w:val="20"/>
          <w:szCs w:val="20"/>
          <w:vertAlign w:val="superscript"/>
        </w:rPr>
        <w:t xml:space="preserve"> </w:t>
      </w:r>
      <w:r w:rsidR="00CF39E9" w:rsidRPr="00DC4068">
        <w:rPr>
          <w:rFonts w:cs="Arial"/>
          <w:sz w:val="20"/>
          <w:szCs w:val="20"/>
          <w:vertAlign w:val="superscript"/>
        </w:rPr>
        <w:t>11</w:t>
      </w:r>
      <w:r w:rsidR="00CF39E9" w:rsidRPr="00DC4068">
        <w:rPr>
          <w:rFonts w:cs="Arial"/>
          <w:sz w:val="20"/>
          <w:szCs w:val="20"/>
        </w:rPr>
        <w:t xml:space="preserve">. </w:t>
      </w:r>
      <w:r w:rsidR="00DD62E5" w:rsidRPr="00DC4068">
        <w:rPr>
          <w:rFonts w:cs="Arial"/>
          <w:sz w:val="20"/>
          <w:szCs w:val="20"/>
        </w:rPr>
        <w:t xml:space="preserve">Thus, bearing in mind limitations linked with CPO, </w:t>
      </w:r>
      <w:r w:rsidR="006F640A" w:rsidRPr="00DC4068">
        <w:rPr>
          <w:rFonts w:cs="Arial"/>
          <w:sz w:val="20"/>
          <w:szCs w:val="20"/>
        </w:rPr>
        <w:t>this study was conducted due to the lack of comprehensive research on the development and evaluation of PFFS of CPO</w:t>
      </w:r>
      <w:r w:rsidR="00785BF5" w:rsidRPr="00DC4068">
        <w:rPr>
          <w:rFonts w:cs="Arial"/>
          <w:sz w:val="20"/>
          <w:szCs w:val="20"/>
        </w:rPr>
        <w:t>, which</w:t>
      </w:r>
      <w:r w:rsidR="006F640A" w:rsidRPr="00DC4068">
        <w:rPr>
          <w:rFonts w:cs="Arial"/>
          <w:sz w:val="20"/>
          <w:szCs w:val="20"/>
        </w:rPr>
        <w:t xml:space="preserve"> has been reported till date</w:t>
      </w:r>
      <w:r w:rsidR="00785BF5" w:rsidRPr="00DC4068">
        <w:rPr>
          <w:rFonts w:cs="Arial"/>
          <w:sz w:val="20"/>
          <w:szCs w:val="20"/>
        </w:rPr>
        <w:t>,</w:t>
      </w:r>
      <w:r w:rsidR="006F640A" w:rsidRPr="00DC4068">
        <w:rPr>
          <w:rFonts w:cs="Arial"/>
          <w:sz w:val="20"/>
          <w:szCs w:val="20"/>
        </w:rPr>
        <w:t xml:space="preserve"> to the best of our knowledge.</w:t>
      </w:r>
    </w:p>
    <w:p w14:paraId="733E8FB6" w14:textId="158EA78D" w:rsidR="00A54272" w:rsidRPr="006B0A80" w:rsidRDefault="00A54272" w:rsidP="00A54272">
      <w:pPr>
        <w:spacing w:after="120" w:line="240" w:lineRule="auto"/>
        <w:jc w:val="both"/>
        <w:rPr>
          <w:rFonts w:ascii="Times New Roman" w:hAnsi="Times New Roman" w:cs="Times New Roman"/>
          <w:sz w:val="20"/>
          <w:szCs w:val="20"/>
          <w:lang w:val="en-GB" w:bidi="fa-IR"/>
        </w:rPr>
      </w:pPr>
      <w:r w:rsidRPr="006B0A80">
        <w:rPr>
          <w:rFonts w:ascii="Times New Roman" w:hAnsi="Times New Roman" w:cs="Times New Roman"/>
          <w:color w:val="404040"/>
          <w:highlight w:val="yellow"/>
          <w:shd w:val="clear" w:color="auto" w:fill="FFFFFF"/>
        </w:rPr>
        <w:t>The term "disappearing liquid" is ambiguous</w:t>
      </w:r>
      <w:r w:rsidRPr="006B0A80">
        <w:rPr>
          <w:rFonts w:ascii="Times New Roman" w:hAnsi="Times New Roman" w:cs="Times New Roman"/>
          <w:color w:val="404040"/>
          <w:highlight w:val="yellow"/>
          <w:shd w:val="clear" w:color="auto" w:fill="FFFFFF"/>
        </w:rPr>
        <w:t>.  A more precise alternative, such as "volatile liquid", "absorbed liquid", or "phase-changing liquid", should be used depending on the mechanism.</w:t>
      </w:r>
      <w:bookmarkStart w:id="3" w:name="_GoBack"/>
      <w:bookmarkEnd w:id="3"/>
    </w:p>
    <w:p w14:paraId="601A8C16" w14:textId="527201C5" w:rsidR="00CA1250" w:rsidRPr="00B67CB3" w:rsidRDefault="00AB3275" w:rsidP="00941E82">
      <w:pPr>
        <w:pStyle w:val="Title"/>
        <w:numPr>
          <w:ilvl w:val="0"/>
          <w:numId w:val="4"/>
        </w:numPr>
        <w:spacing w:before="240"/>
        <w:ind w:left="360"/>
        <w:contextualSpacing w:val="0"/>
        <w:jc w:val="both"/>
        <w:rPr>
          <w:rFonts w:cs="Arial"/>
          <w:sz w:val="22"/>
          <w:szCs w:val="22"/>
        </w:rPr>
      </w:pPr>
      <w:r w:rsidRPr="00B67CB3">
        <w:rPr>
          <w:rFonts w:cs="Arial"/>
          <w:sz w:val="22"/>
          <w:szCs w:val="22"/>
        </w:rPr>
        <w:t>MATERIAL AND METHODS</w:t>
      </w:r>
    </w:p>
    <w:p w14:paraId="22E4BBC0" w14:textId="7A8AFC58" w:rsidR="009819AD" w:rsidRPr="009819AD" w:rsidRDefault="00CA1250" w:rsidP="009819AD">
      <w:pPr>
        <w:pStyle w:val="ListParagraph"/>
        <w:numPr>
          <w:ilvl w:val="1"/>
          <w:numId w:val="4"/>
        </w:numPr>
        <w:spacing w:line="240" w:lineRule="auto"/>
        <w:ind w:left="360"/>
        <w:jc w:val="both"/>
        <w:rPr>
          <w:rFonts w:cs="Arial"/>
          <w:sz w:val="22"/>
        </w:rPr>
      </w:pPr>
      <w:r w:rsidRPr="009819AD">
        <w:rPr>
          <w:rFonts w:cs="Arial"/>
          <w:sz w:val="22"/>
        </w:rPr>
        <w:t>Materials</w:t>
      </w:r>
    </w:p>
    <w:p w14:paraId="78B47094" w14:textId="795825DD" w:rsidR="001923DF" w:rsidRPr="00DC4068" w:rsidRDefault="001923DF" w:rsidP="00B4464C">
      <w:pPr>
        <w:spacing w:line="240" w:lineRule="auto"/>
        <w:jc w:val="both"/>
        <w:rPr>
          <w:rFonts w:cs="Arial"/>
          <w:sz w:val="20"/>
          <w:szCs w:val="20"/>
        </w:rPr>
      </w:pPr>
      <w:r w:rsidRPr="00DC4068">
        <w:rPr>
          <w:rFonts w:cs="Arial"/>
          <w:sz w:val="20"/>
          <w:szCs w:val="20"/>
        </w:rPr>
        <w:t xml:space="preserve">Ciclopirox olamine </w:t>
      </w:r>
      <w:r w:rsidR="008B64C1" w:rsidRPr="00DC4068">
        <w:rPr>
          <w:rFonts w:cs="Arial"/>
          <w:sz w:val="20"/>
          <w:szCs w:val="20"/>
        </w:rPr>
        <w:t xml:space="preserve">procured </w:t>
      </w:r>
      <w:r w:rsidRPr="00DC4068">
        <w:rPr>
          <w:rFonts w:cs="Arial"/>
          <w:sz w:val="20"/>
          <w:szCs w:val="20"/>
        </w:rPr>
        <w:t xml:space="preserve">from Micro Labs, Eudragit RL 100 and Eudragit RS 100 from Evonik, PVP K30 from CDH Laboratories, and PVP K90 from </w:t>
      </w:r>
      <w:proofErr w:type="spellStart"/>
      <w:r w:rsidRPr="00DC4068">
        <w:rPr>
          <w:rFonts w:cs="Arial"/>
          <w:sz w:val="20"/>
          <w:szCs w:val="20"/>
        </w:rPr>
        <w:t>Loba</w:t>
      </w:r>
      <w:proofErr w:type="spellEnd"/>
      <w:r w:rsidRPr="00DC4068">
        <w:rPr>
          <w:rFonts w:cs="Arial"/>
          <w:sz w:val="20"/>
          <w:szCs w:val="20"/>
        </w:rPr>
        <w:t xml:space="preserve"> </w:t>
      </w:r>
      <w:proofErr w:type="spellStart"/>
      <w:r w:rsidRPr="00DC4068">
        <w:rPr>
          <w:rFonts w:cs="Arial"/>
          <w:sz w:val="20"/>
          <w:szCs w:val="20"/>
        </w:rPr>
        <w:t>Chemie</w:t>
      </w:r>
      <w:proofErr w:type="spellEnd"/>
      <w:r w:rsidRPr="00DC4068">
        <w:rPr>
          <w:rFonts w:cs="Arial"/>
          <w:sz w:val="20"/>
          <w:szCs w:val="20"/>
        </w:rPr>
        <w:t xml:space="preserve"> </w:t>
      </w:r>
      <w:proofErr w:type="spellStart"/>
      <w:r w:rsidRPr="00DC4068">
        <w:rPr>
          <w:rFonts w:cs="Arial"/>
          <w:sz w:val="20"/>
          <w:szCs w:val="20"/>
        </w:rPr>
        <w:t>Pvt</w:t>
      </w:r>
      <w:proofErr w:type="spellEnd"/>
      <w:r w:rsidRPr="00DC4068">
        <w:rPr>
          <w:rFonts w:cs="Arial"/>
          <w:sz w:val="20"/>
          <w:szCs w:val="20"/>
        </w:rPr>
        <w:t xml:space="preserve"> Ltd. Additionally, Hydroxy Propyl Cellulose and Hydroxy Propyl Methyl Cellulose (K4M and K15M) were sourced from </w:t>
      </w:r>
      <w:proofErr w:type="spellStart"/>
      <w:r w:rsidRPr="00DC4068">
        <w:rPr>
          <w:rFonts w:cs="Arial"/>
          <w:sz w:val="20"/>
          <w:szCs w:val="20"/>
        </w:rPr>
        <w:t>Loba</w:t>
      </w:r>
      <w:proofErr w:type="spellEnd"/>
      <w:r w:rsidRPr="00DC4068">
        <w:rPr>
          <w:rFonts w:cs="Arial"/>
          <w:sz w:val="20"/>
          <w:szCs w:val="20"/>
        </w:rPr>
        <w:t xml:space="preserve"> </w:t>
      </w:r>
      <w:proofErr w:type="spellStart"/>
      <w:r w:rsidRPr="00DC4068">
        <w:rPr>
          <w:rFonts w:cs="Arial"/>
          <w:sz w:val="20"/>
          <w:szCs w:val="20"/>
        </w:rPr>
        <w:t>Chemie</w:t>
      </w:r>
      <w:proofErr w:type="spellEnd"/>
      <w:r w:rsidRPr="00DC4068">
        <w:rPr>
          <w:rFonts w:cs="Arial"/>
          <w:sz w:val="20"/>
          <w:szCs w:val="20"/>
        </w:rPr>
        <w:t xml:space="preserve"> </w:t>
      </w:r>
      <w:proofErr w:type="spellStart"/>
      <w:r w:rsidRPr="00DC4068">
        <w:rPr>
          <w:rFonts w:cs="Arial"/>
          <w:sz w:val="20"/>
          <w:szCs w:val="20"/>
        </w:rPr>
        <w:t>Pvt</w:t>
      </w:r>
      <w:proofErr w:type="spellEnd"/>
      <w:r w:rsidRPr="00DC4068">
        <w:rPr>
          <w:rFonts w:cs="Arial"/>
          <w:sz w:val="20"/>
          <w:szCs w:val="20"/>
        </w:rPr>
        <w:t xml:space="preserve"> Ltd. Ethanol was obtained from Jiangsu </w:t>
      </w:r>
      <w:proofErr w:type="spellStart"/>
      <w:r w:rsidRPr="00DC4068">
        <w:rPr>
          <w:rFonts w:cs="Arial"/>
          <w:sz w:val="20"/>
          <w:szCs w:val="20"/>
        </w:rPr>
        <w:t>Huaxi</w:t>
      </w:r>
      <w:proofErr w:type="spellEnd"/>
      <w:r w:rsidRPr="00DC4068">
        <w:rPr>
          <w:rFonts w:cs="Arial"/>
          <w:sz w:val="20"/>
          <w:szCs w:val="20"/>
        </w:rPr>
        <w:t xml:space="preserve"> International Trade Co. Ltd, while Oleic Acid was acquired from Nice Chemicals. Menthol and </w:t>
      </w:r>
      <w:r w:rsidRPr="00DC4068">
        <w:rPr>
          <w:rFonts w:cs="Arial"/>
          <w:sz w:val="20"/>
          <w:szCs w:val="20"/>
        </w:rPr>
        <w:lastRenderedPageBreak/>
        <w:t xml:space="preserve">Camphor were supplied by SD Fine Chem Limited, and PEG 400 was procured from </w:t>
      </w:r>
      <w:proofErr w:type="spellStart"/>
      <w:r w:rsidRPr="00DC4068">
        <w:rPr>
          <w:rFonts w:cs="Arial"/>
          <w:sz w:val="20"/>
          <w:szCs w:val="20"/>
        </w:rPr>
        <w:t>Spectrochem</w:t>
      </w:r>
      <w:proofErr w:type="spellEnd"/>
      <w:r w:rsidRPr="00DC4068">
        <w:rPr>
          <w:rFonts w:cs="Arial"/>
          <w:sz w:val="20"/>
          <w:szCs w:val="20"/>
        </w:rPr>
        <w:t xml:space="preserve"> Pvt. Ltd.</w:t>
      </w:r>
    </w:p>
    <w:p w14:paraId="1AEE6ED5" w14:textId="4BDA2053" w:rsidR="009819AD" w:rsidRPr="009819AD" w:rsidRDefault="000711D5" w:rsidP="009819AD">
      <w:pPr>
        <w:pStyle w:val="ListParagraph"/>
        <w:numPr>
          <w:ilvl w:val="1"/>
          <w:numId w:val="4"/>
        </w:numPr>
        <w:spacing w:line="240" w:lineRule="auto"/>
        <w:ind w:left="360"/>
        <w:jc w:val="both"/>
        <w:rPr>
          <w:rFonts w:cs="Arial"/>
          <w:sz w:val="22"/>
        </w:rPr>
      </w:pPr>
      <w:r w:rsidRPr="009819AD">
        <w:rPr>
          <w:rFonts w:cs="Arial"/>
          <w:sz w:val="22"/>
        </w:rPr>
        <w:t>Methods</w:t>
      </w:r>
    </w:p>
    <w:p w14:paraId="4E0888F7" w14:textId="5B44D719" w:rsidR="009819AD" w:rsidRPr="009819AD" w:rsidRDefault="00EC1495" w:rsidP="009819AD">
      <w:pPr>
        <w:pStyle w:val="ListParagraph"/>
        <w:numPr>
          <w:ilvl w:val="2"/>
          <w:numId w:val="4"/>
        </w:numPr>
        <w:spacing w:line="240" w:lineRule="auto"/>
        <w:ind w:left="720"/>
        <w:jc w:val="both"/>
        <w:rPr>
          <w:rFonts w:cs="Arial"/>
          <w:sz w:val="20"/>
          <w:szCs w:val="20"/>
          <w:u w:val="single"/>
        </w:rPr>
      </w:pPr>
      <w:r w:rsidRPr="009819AD">
        <w:rPr>
          <w:rFonts w:cs="Arial"/>
          <w:sz w:val="20"/>
          <w:szCs w:val="20"/>
          <w:u w:val="single"/>
        </w:rPr>
        <w:t>Partition coefficient</w:t>
      </w:r>
    </w:p>
    <w:p w14:paraId="7F5FCB82" w14:textId="549A1A01" w:rsidR="00D2704D" w:rsidRPr="00DC4068" w:rsidRDefault="00B157F6" w:rsidP="00B4464C">
      <w:pPr>
        <w:spacing w:line="240" w:lineRule="auto"/>
        <w:jc w:val="both"/>
        <w:rPr>
          <w:rFonts w:cs="Arial"/>
          <w:sz w:val="20"/>
          <w:szCs w:val="20"/>
        </w:rPr>
      </w:pPr>
      <w:r w:rsidRPr="00DC4068">
        <w:rPr>
          <w:rFonts w:cs="Arial"/>
          <w:sz w:val="20"/>
          <w:szCs w:val="20"/>
        </w:rPr>
        <w:t>P</w:t>
      </w:r>
      <w:r w:rsidR="00EC1495" w:rsidRPr="00DC4068">
        <w:rPr>
          <w:rFonts w:cs="Arial"/>
          <w:sz w:val="20"/>
          <w:szCs w:val="20"/>
        </w:rPr>
        <w:t xml:space="preserve">artition coefficient of </w:t>
      </w:r>
      <w:r w:rsidRPr="00DC4068">
        <w:rPr>
          <w:rFonts w:cs="Arial"/>
          <w:sz w:val="20"/>
          <w:szCs w:val="20"/>
        </w:rPr>
        <w:t>CPO</w:t>
      </w:r>
      <w:r w:rsidR="00EC1495" w:rsidRPr="00DC4068">
        <w:rPr>
          <w:rFonts w:cs="Arial"/>
          <w:sz w:val="20"/>
          <w:szCs w:val="20"/>
        </w:rPr>
        <w:t xml:space="preserve"> was determined in 7.4</w:t>
      </w:r>
      <w:r w:rsidRPr="00DC4068">
        <w:rPr>
          <w:rFonts w:cs="Arial"/>
          <w:sz w:val="20"/>
          <w:szCs w:val="20"/>
        </w:rPr>
        <w:t xml:space="preserve"> pH of</w:t>
      </w:r>
      <w:r w:rsidR="00EC1495" w:rsidRPr="00DC4068">
        <w:rPr>
          <w:rFonts w:cs="Arial"/>
          <w:sz w:val="20"/>
          <w:szCs w:val="20"/>
        </w:rPr>
        <w:t xml:space="preserve"> phosphate buffer (PB) and n-octanol system</w:t>
      </w:r>
      <w:r w:rsidRPr="00DC4068">
        <w:rPr>
          <w:rFonts w:cs="Arial"/>
          <w:sz w:val="20"/>
          <w:szCs w:val="20"/>
        </w:rPr>
        <w:t xml:space="preserve"> </w:t>
      </w:r>
      <w:r w:rsidR="005969FE" w:rsidRPr="00DC4068">
        <w:rPr>
          <w:rFonts w:cs="Arial"/>
          <w:sz w:val="20"/>
          <w:szCs w:val="20"/>
          <w:vertAlign w:val="superscript"/>
        </w:rPr>
        <w:t>12</w:t>
      </w:r>
      <w:r w:rsidR="00EC1495" w:rsidRPr="00DC4068">
        <w:rPr>
          <w:rFonts w:cs="Arial"/>
          <w:sz w:val="20"/>
          <w:szCs w:val="20"/>
        </w:rPr>
        <w:t xml:space="preserve">. </w:t>
      </w:r>
      <w:r w:rsidRPr="00DC4068">
        <w:rPr>
          <w:rFonts w:cs="Arial"/>
          <w:sz w:val="20"/>
          <w:szCs w:val="20"/>
        </w:rPr>
        <w:t xml:space="preserve">Following the </w:t>
      </w:r>
      <w:r w:rsidR="00EC1495" w:rsidRPr="00DC4068">
        <w:rPr>
          <w:rFonts w:cs="Arial"/>
          <w:sz w:val="20"/>
          <w:szCs w:val="20"/>
        </w:rPr>
        <w:t>sonicati</w:t>
      </w:r>
      <w:r w:rsidRPr="00DC4068">
        <w:rPr>
          <w:rFonts w:cs="Arial"/>
          <w:sz w:val="20"/>
          <w:szCs w:val="20"/>
        </w:rPr>
        <w:t>on of</w:t>
      </w:r>
      <w:r w:rsidR="00EC1495" w:rsidRPr="00DC4068">
        <w:rPr>
          <w:rFonts w:cs="Arial"/>
          <w:sz w:val="20"/>
          <w:szCs w:val="20"/>
        </w:rPr>
        <w:t xml:space="preserve"> 5</w:t>
      </w:r>
      <w:r w:rsidR="00602474" w:rsidRPr="00DC4068">
        <w:rPr>
          <w:rFonts w:cs="Arial"/>
          <w:sz w:val="20"/>
          <w:szCs w:val="20"/>
        </w:rPr>
        <w:t xml:space="preserve"> </w:t>
      </w:r>
      <w:r w:rsidR="00EC1495" w:rsidRPr="00DC4068">
        <w:rPr>
          <w:rFonts w:cs="Arial"/>
          <w:sz w:val="20"/>
          <w:szCs w:val="20"/>
        </w:rPr>
        <w:t xml:space="preserve">mL of PB </w:t>
      </w:r>
      <w:r w:rsidRPr="00DC4068">
        <w:rPr>
          <w:rFonts w:cs="Arial"/>
          <w:sz w:val="20"/>
          <w:szCs w:val="20"/>
        </w:rPr>
        <w:t>with</w:t>
      </w:r>
      <w:r w:rsidR="00EC1495" w:rsidRPr="00DC4068">
        <w:rPr>
          <w:rFonts w:cs="Arial"/>
          <w:sz w:val="20"/>
          <w:szCs w:val="20"/>
        </w:rPr>
        <w:t xml:space="preserve"> </w:t>
      </w:r>
      <w:r w:rsidRPr="00DC4068">
        <w:rPr>
          <w:rFonts w:cs="Arial"/>
          <w:sz w:val="20"/>
          <w:szCs w:val="20"/>
        </w:rPr>
        <w:t>CPO</w:t>
      </w:r>
      <w:r w:rsidR="00EC1495" w:rsidRPr="00DC4068">
        <w:rPr>
          <w:rFonts w:cs="Arial"/>
          <w:sz w:val="20"/>
          <w:szCs w:val="20"/>
        </w:rPr>
        <w:t xml:space="preserve"> (10mg) to </w:t>
      </w:r>
      <w:r w:rsidRPr="00DC4068">
        <w:rPr>
          <w:rFonts w:cs="Arial"/>
          <w:sz w:val="20"/>
          <w:szCs w:val="20"/>
        </w:rPr>
        <w:t>achieve</w:t>
      </w:r>
      <w:r w:rsidR="00EC1495" w:rsidRPr="00DC4068">
        <w:rPr>
          <w:rFonts w:cs="Arial"/>
          <w:sz w:val="20"/>
          <w:szCs w:val="20"/>
        </w:rPr>
        <w:t xml:space="preserve"> a </w:t>
      </w:r>
      <w:r w:rsidRPr="00DC4068">
        <w:rPr>
          <w:rFonts w:cs="Arial"/>
          <w:sz w:val="20"/>
          <w:szCs w:val="20"/>
        </w:rPr>
        <w:t>transparent</w:t>
      </w:r>
      <w:r w:rsidR="00EC1495" w:rsidRPr="00DC4068">
        <w:rPr>
          <w:rFonts w:cs="Arial"/>
          <w:sz w:val="20"/>
          <w:szCs w:val="20"/>
        </w:rPr>
        <w:t xml:space="preserve"> solution, an </w:t>
      </w:r>
      <w:r w:rsidR="001550B7" w:rsidRPr="00DC4068">
        <w:rPr>
          <w:rFonts w:cs="Arial"/>
          <w:sz w:val="20"/>
          <w:szCs w:val="20"/>
        </w:rPr>
        <w:t>identical</w:t>
      </w:r>
      <w:r w:rsidR="00EC1495" w:rsidRPr="00DC4068">
        <w:rPr>
          <w:rFonts w:cs="Arial"/>
          <w:sz w:val="20"/>
          <w:szCs w:val="20"/>
        </w:rPr>
        <w:t xml:space="preserve"> </w:t>
      </w:r>
      <w:r w:rsidR="001550B7" w:rsidRPr="00DC4068">
        <w:rPr>
          <w:rFonts w:cs="Arial"/>
          <w:sz w:val="20"/>
          <w:szCs w:val="20"/>
        </w:rPr>
        <w:t>amount</w:t>
      </w:r>
      <w:r w:rsidR="00EC1495" w:rsidRPr="00DC4068">
        <w:rPr>
          <w:rFonts w:cs="Arial"/>
          <w:sz w:val="20"/>
          <w:szCs w:val="20"/>
        </w:rPr>
        <w:t xml:space="preserve"> of n-octanol was </w:t>
      </w:r>
      <w:r w:rsidR="001550B7" w:rsidRPr="00DC4068">
        <w:rPr>
          <w:rFonts w:cs="Arial"/>
          <w:sz w:val="20"/>
          <w:szCs w:val="20"/>
        </w:rPr>
        <w:t>introduced</w:t>
      </w:r>
      <w:r w:rsidR="00EC1495" w:rsidRPr="00DC4068">
        <w:rPr>
          <w:rFonts w:cs="Arial"/>
          <w:sz w:val="20"/>
          <w:szCs w:val="20"/>
        </w:rPr>
        <w:t>, and</w:t>
      </w:r>
      <w:r w:rsidR="00602474" w:rsidRPr="00DC4068">
        <w:rPr>
          <w:rFonts w:cs="Arial"/>
          <w:sz w:val="20"/>
          <w:szCs w:val="20"/>
        </w:rPr>
        <w:t xml:space="preserve"> the</w:t>
      </w:r>
      <w:r w:rsidR="00EC1495" w:rsidRPr="00DC4068">
        <w:rPr>
          <w:rFonts w:cs="Arial"/>
          <w:sz w:val="20"/>
          <w:szCs w:val="20"/>
        </w:rPr>
        <w:t xml:space="preserve"> </w:t>
      </w:r>
      <w:r w:rsidR="001550B7" w:rsidRPr="00DC4068">
        <w:rPr>
          <w:rFonts w:cs="Arial"/>
          <w:sz w:val="20"/>
          <w:szCs w:val="20"/>
        </w:rPr>
        <w:t>blend</w:t>
      </w:r>
      <w:r w:rsidR="00EC1495" w:rsidRPr="00DC4068">
        <w:rPr>
          <w:rFonts w:cs="Arial"/>
          <w:sz w:val="20"/>
          <w:szCs w:val="20"/>
        </w:rPr>
        <w:t xml:space="preserve"> was </w:t>
      </w:r>
      <w:r w:rsidR="001550B7" w:rsidRPr="00DC4068">
        <w:rPr>
          <w:rFonts w:cs="Arial"/>
          <w:sz w:val="20"/>
          <w:szCs w:val="20"/>
        </w:rPr>
        <w:t>agitated periodically</w:t>
      </w:r>
      <w:r w:rsidR="00EC1495" w:rsidRPr="00DC4068">
        <w:rPr>
          <w:rFonts w:cs="Arial"/>
          <w:sz w:val="20"/>
          <w:szCs w:val="20"/>
        </w:rPr>
        <w:t xml:space="preserve"> for 24h. </w:t>
      </w:r>
      <w:r w:rsidR="001550B7" w:rsidRPr="00DC4068">
        <w:rPr>
          <w:rFonts w:cs="Arial"/>
          <w:sz w:val="20"/>
          <w:szCs w:val="20"/>
        </w:rPr>
        <w:t xml:space="preserve">After centrifuging at 3000 rpm for 10 minutes, the concentration of CPO in the aqueous phase was </w:t>
      </w:r>
      <w:proofErr w:type="spellStart"/>
      <w:r w:rsidR="0092363B" w:rsidRPr="00DC4068">
        <w:rPr>
          <w:rFonts w:cs="Arial"/>
          <w:sz w:val="20"/>
          <w:szCs w:val="20"/>
        </w:rPr>
        <w:t>analysed</w:t>
      </w:r>
      <w:proofErr w:type="spellEnd"/>
      <w:r w:rsidR="001550B7" w:rsidRPr="00DC4068">
        <w:rPr>
          <w:rFonts w:cs="Arial"/>
          <w:sz w:val="20"/>
          <w:szCs w:val="20"/>
        </w:rPr>
        <w:t xml:space="preserve"> at 222 nm using a UV spectrophotometer (UV 1900-i, Shimadzu Corporation), and the partition coefficient was determined using the corresponding formula</w:t>
      </w:r>
      <w:r w:rsidR="005969FE" w:rsidRPr="00DC4068">
        <w:rPr>
          <w:rFonts w:cs="Arial"/>
          <w:sz w:val="20"/>
          <w:szCs w:val="20"/>
          <w:vertAlign w:val="superscript"/>
        </w:rPr>
        <w:t>13</w:t>
      </w:r>
      <w:r w:rsidR="00B4464C" w:rsidRPr="00DC4068">
        <w:rPr>
          <w:rFonts w:cs="Arial"/>
          <w:sz w:val="20"/>
          <w:szCs w:val="20"/>
        </w:rPr>
        <w:t>.</w:t>
      </w:r>
    </w:p>
    <w:p w14:paraId="5849397E" w14:textId="71C9E0C8" w:rsidR="0044454B" w:rsidRPr="00DC4068" w:rsidRDefault="009F1BEE" w:rsidP="00B4464C">
      <w:pPr>
        <w:spacing w:line="240" w:lineRule="auto"/>
        <w:ind w:left="360"/>
        <w:jc w:val="both"/>
        <w:rPr>
          <w:rFonts w:cs="Arial"/>
          <w:sz w:val="20"/>
          <w:szCs w:val="20"/>
        </w:rPr>
      </w:pPr>
      <m:oMathPara>
        <m:oMath>
          <m:func>
            <m:funcPr>
              <m:ctrlPr>
                <w:rPr>
                  <w:rFonts w:ascii="Cambria Math" w:hAnsi="Cambria Math" w:cs="Arial"/>
                  <w:i/>
                  <w:sz w:val="20"/>
                  <w:szCs w:val="20"/>
                </w:rPr>
              </m:ctrlPr>
            </m:funcPr>
            <m:fName>
              <m:r>
                <w:rPr>
                  <w:rFonts w:ascii="Cambria Math" w:hAnsi="Cambria Math" w:cs="Arial"/>
                  <w:sz w:val="20"/>
                  <w:szCs w:val="20"/>
                </w:rPr>
                <m:t>log</m:t>
              </m:r>
            </m:fName>
            <m:e>
              <m:r>
                <w:rPr>
                  <w:rFonts w:ascii="Cambria Math" w:hAnsi="Cambria Math" w:cs="Arial"/>
                  <w:sz w:val="20"/>
                  <w:szCs w:val="20"/>
                </w:rPr>
                <m:t>P</m:t>
              </m:r>
            </m:e>
          </m:func>
          <m:r>
            <m:rPr>
              <m:sty m:val="p"/>
            </m:rPr>
            <w:rPr>
              <w:rFonts w:ascii="Cambria Math" w:hAnsi="Cambria Math" w:cs="Arial"/>
              <w:sz w:val="20"/>
              <w:szCs w:val="20"/>
            </w:rPr>
            <m:t>=</m:t>
          </m:r>
          <m:r>
            <w:rPr>
              <w:rFonts w:ascii="Cambria Math" w:hAnsi="Cambria Math" w:cs="Arial"/>
              <w:sz w:val="20"/>
              <w:szCs w:val="20"/>
            </w:rPr>
            <m:t>log</m:t>
          </m:r>
          <m:f>
            <m:fPr>
              <m:ctrlPr>
                <w:rPr>
                  <w:rFonts w:ascii="Cambria Math" w:hAnsi="Cambria Math" w:cs="Arial"/>
                  <w:sz w:val="20"/>
                  <w:szCs w:val="20"/>
                </w:rPr>
              </m:ctrlPr>
            </m:fPr>
            <m:num>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o</m:t>
                  </m:r>
                </m:sub>
              </m:sSub>
            </m:num>
            <m:den>
              <m:sSub>
                <m:sSubPr>
                  <m:ctrlPr>
                    <w:rPr>
                      <w:rFonts w:ascii="Cambria Math" w:hAnsi="Cambria Math" w:cs="Arial"/>
                      <w:sz w:val="20"/>
                      <w:szCs w:val="20"/>
                    </w:rPr>
                  </m:ctrlPr>
                </m:sSubPr>
                <m:e>
                  <m:r>
                    <w:rPr>
                      <w:rFonts w:ascii="Cambria Math" w:hAnsi="Cambria Math" w:cs="Arial"/>
                      <w:sz w:val="20"/>
                      <w:szCs w:val="20"/>
                    </w:rPr>
                    <m:t>C</m:t>
                  </m:r>
                </m:e>
                <m:sub>
                  <m:r>
                    <w:rPr>
                      <w:rFonts w:ascii="Cambria Math" w:hAnsi="Cambria Math" w:cs="Arial"/>
                      <w:sz w:val="20"/>
                      <w:szCs w:val="20"/>
                    </w:rPr>
                    <m:t>PB</m:t>
                  </m:r>
                </m:sub>
              </m:sSub>
            </m:den>
          </m:f>
        </m:oMath>
      </m:oMathPara>
    </w:p>
    <w:p w14:paraId="0A0EF33D" w14:textId="25DEA15A" w:rsidR="009819AD" w:rsidRPr="009819AD" w:rsidRDefault="00CA1250" w:rsidP="009819AD">
      <w:pPr>
        <w:pStyle w:val="ListParagraph"/>
        <w:numPr>
          <w:ilvl w:val="2"/>
          <w:numId w:val="4"/>
        </w:numPr>
        <w:spacing w:line="240" w:lineRule="auto"/>
        <w:ind w:left="720"/>
        <w:jc w:val="both"/>
        <w:rPr>
          <w:rFonts w:cs="Arial"/>
          <w:sz w:val="20"/>
          <w:szCs w:val="20"/>
          <w:u w:val="single"/>
        </w:rPr>
      </w:pPr>
      <w:r w:rsidRPr="009819AD">
        <w:rPr>
          <w:rFonts w:cs="Arial"/>
          <w:sz w:val="20"/>
          <w:szCs w:val="20"/>
          <w:u w:val="single"/>
        </w:rPr>
        <w:t xml:space="preserve">Preparation of </w:t>
      </w:r>
      <w:r w:rsidR="00602474" w:rsidRPr="009819AD">
        <w:rPr>
          <w:rFonts w:cs="Arial"/>
          <w:sz w:val="20"/>
          <w:szCs w:val="20"/>
          <w:u w:val="single"/>
        </w:rPr>
        <w:t xml:space="preserve">polymeric </w:t>
      </w:r>
      <w:r w:rsidRPr="009819AD">
        <w:rPr>
          <w:rFonts w:cs="Arial"/>
          <w:sz w:val="20"/>
          <w:szCs w:val="20"/>
          <w:u w:val="single"/>
        </w:rPr>
        <w:t>film forming solution</w:t>
      </w:r>
    </w:p>
    <w:p w14:paraId="2BBAE2D7" w14:textId="13E83D3A" w:rsidR="00F16C84" w:rsidRPr="00DC4068" w:rsidRDefault="00F16C84" w:rsidP="00B4464C">
      <w:pPr>
        <w:spacing w:line="240" w:lineRule="auto"/>
        <w:jc w:val="both"/>
        <w:rPr>
          <w:rFonts w:cs="Arial"/>
          <w:sz w:val="20"/>
          <w:szCs w:val="20"/>
        </w:rPr>
      </w:pPr>
      <w:r w:rsidRPr="00DC4068">
        <w:rPr>
          <w:rFonts w:cs="Arial"/>
          <w:sz w:val="20"/>
          <w:szCs w:val="20"/>
        </w:rPr>
        <w:t>PFFS</w:t>
      </w:r>
      <w:r w:rsidR="00602474" w:rsidRPr="00DC4068">
        <w:rPr>
          <w:rFonts w:cs="Arial"/>
          <w:sz w:val="20"/>
          <w:szCs w:val="20"/>
        </w:rPr>
        <w:t>s</w:t>
      </w:r>
      <w:r w:rsidRPr="00DC4068">
        <w:rPr>
          <w:rFonts w:cs="Arial"/>
          <w:sz w:val="20"/>
          <w:szCs w:val="20"/>
        </w:rPr>
        <w:t xml:space="preserve"> were developed by using </w:t>
      </w:r>
      <w:r w:rsidR="00602474" w:rsidRPr="00DC4068">
        <w:rPr>
          <w:rFonts w:cs="Arial"/>
          <w:sz w:val="20"/>
          <w:szCs w:val="20"/>
        </w:rPr>
        <w:t xml:space="preserve">the </w:t>
      </w:r>
      <w:r w:rsidRPr="00DC4068">
        <w:rPr>
          <w:rFonts w:cs="Arial"/>
          <w:sz w:val="20"/>
          <w:szCs w:val="20"/>
        </w:rPr>
        <w:t xml:space="preserve">common solvent method. </w:t>
      </w:r>
      <w:r w:rsidR="000F4965" w:rsidRPr="00DC4068">
        <w:rPr>
          <w:rFonts w:cs="Arial"/>
          <w:sz w:val="20"/>
          <w:szCs w:val="20"/>
        </w:rPr>
        <w:t xml:space="preserve">The polymer was </w:t>
      </w:r>
      <w:r w:rsidR="00CE1D12" w:rsidRPr="00DC4068">
        <w:rPr>
          <w:rFonts w:cs="Arial"/>
          <w:sz w:val="20"/>
          <w:szCs w:val="20"/>
        </w:rPr>
        <w:t>sonicated</w:t>
      </w:r>
      <w:r w:rsidR="000F4965" w:rsidRPr="00DC4068">
        <w:rPr>
          <w:rFonts w:cs="Arial"/>
          <w:sz w:val="20"/>
          <w:szCs w:val="20"/>
        </w:rPr>
        <w:t xml:space="preserve"> in</w:t>
      </w:r>
      <w:r w:rsidR="00CE1D12" w:rsidRPr="00DC4068">
        <w:rPr>
          <w:rFonts w:cs="Arial"/>
          <w:sz w:val="20"/>
          <w:szCs w:val="20"/>
        </w:rPr>
        <w:t xml:space="preserve"> </w:t>
      </w:r>
      <w:r w:rsidR="000F4965" w:rsidRPr="00DC4068">
        <w:rPr>
          <w:rFonts w:cs="Arial"/>
          <w:sz w:val="20"/>
          <w:szCs w:val="20"/>
        </w:rPr>
        <w:t>ethanol for 30</w:t>
      </w:r>
      <w:r w:rsidR="00EF635A" w:rsidRPr="00DC4068">
        <w:rPr>
          <w:rFonts w:cs="Arial"/>
          <w:sz w:val="20"/>
          <w:szCs w:val="20"/>
        </w:rPr>
        <w:t xml:space="preserve"> </w:t>
      </w:r>
      <w:r w:rsidR="000F4965" w:rsidRPr="00DC4068">
        <w:rPr>
          <w:rFonts w:cs="Arial"/>
          <w:sz w:val="20"/>
          <w:szCs w:val="20"/>
        </w:rPr>
        <w:t>mins</w:t>
      </w:r>
      <w:r w:rsidR="00EF635A" w:rsidRPr="00DC4068">
        <w:rPr>
          <w:rFonts w:cs="Arial"/>
          <w:sz w:val="20"/>
          <w:szCs w:val="20"/>
        </w:rPr>
        <w:t xml:space="preserve"> </w:t>
      </w:r>
      <w:r w:rsidR="00512AF5" w:rsidRPr="00DC4068">
        <w:rPr>
          <w:rFonts w:cs="Arial"/>
          <w:sz w:val="20"/>
          <w:szCs w:val="20"/>
          <w:vertAlign w:val="superscript"/>
        </w:rPr>
        <w:t>14</w:t>
      </w:r>
      <w:r w:rsidR="000F4965" w:rsidRPr="00DC4068">
        <w:rPr>
          <w:rFonts w:cs="Arial"/>
          <w:sz w:val="20"/>
          <w:szCs w:val="20"/>
        </w:rPr>
        <w:t>.</w:t>
      </w:r>
      <w:r w:rsidR="00CE1D12" w:rsidRPr="00DC4068">
        <w:rPr>
          <w:rFonts w:cs="Arial"/>
          <w:sz w:val="20"/>
          <w:szCs w:val="20"/>
        </w:rPr>
        <w:t xml:space="preserve"> </w:t>
      </w:r>
      <w:bookmarkStart w:id="4" w:name="_Hlk195204963"/>
      <w:r w:rsidR="00CE1D12" w:rsidRPr="00DC4068">
        <w:rPr>
          <w:rFonts w:cs="Arial"/>
          <w:sz w:val="20"/>
          <w:szCs w:val="20"/>
        </w:rPr>
        <w:t xml:space="preserve">To </w:t>
      </w:r>
      <w:r w:rsidR="00602474" w:rsidRPr="00DC4068">
        <w:rPr>
          <w:rFonts w:cs="Arial"/>
          <w:sz w:val="20"/>
          <w:szCs w:val="20"/>
        </w:rPr>
        <w:t xml:space="preserve">the </w:t>
      </w:r>
      <w:r w:rsidR="00CE1D12" w:rsidRPr="00DC4068">
        <w:rPr>
          <w:rFonts w:cs="Arial"/>
          <w:sz w:val="20"/>
          <w:szCs w:val="20"/>
        </w:rPr>
        <w:t>obtained</w:t>
      </w:r>
      <w:r w:rsidR="00602474" w:rsidRPr="00DC4068">
        <w:rPr>
          <w:rFonts w:cs="Arial"/>
          <w:sz w:val="20"/>
          <w:szCs w:val="20"/>
        </w:rPr>
        <w:t xml:space="preserve"> </w:t>
      </w:r>
      <w:r w:rsidR="00CE1D12" w:rsidRPr="00DC4068">
        <w:rPr>
          <w:rFonts w:cs="Arial"/>
          <w:sz w:val="20"/>
          <w:szCs w:val="20"/>
        </w:rPr>
        <w:t>clear solution</w:t>
      </w:r>
      <w:bookmarkEnd w:id="4"/>
      <w:r w:rsidR="00D0679B" w:rsidRPr="00DC4068">
        <w:rPr>
          <w:rFonts w:cs="Arial"/>
          <w:sz w:val="20"/>
          <w:szCs w:val="20"/>
        </w:rPr>
        <w:t xml:space="preserve">, with continuous mixing on </w:t>
      </w:r>
      <w:r w:rsidR="00131CCD" w:rsidRPr="00DC4068">
        <w:rPr>
          <w:rFonts w:cs="Arial"/>
          <w:sz w:val="20"/>
          <w:szCs w:val="20"/>
        </w:rPr>
        <w:t xml:space="preserve">a </w:t>
      </w:r>
      <w:r w:rsidR="00D0679B" w:rsidRPr="00DC4068">
        <w:rPr>
          <w:rFonts w:cs="Arial"/>
          <w:sz w:val="20"/>
          <w:szCs w:val="20"/>
        </w:rPr>
        <w:t>magnetic stirrer</w:t>
      </w:r>
      <w:r w:rsidR="00EF635A" w:rsidRPr="00DC4068">
        <w:rPr>
          <w:rFonts w:cs="Arial"/>
          <w:sz w:val="20"/>
          <w:szCs w:val="20"/>
        </w:rPr>
        <w:t>,</w:t>
      </w:r>
      <w:r w:rsidR="00D0679B" w:rsidRPr="00DC4068">
        <w:rPr>
          <w:rFonts w:cs="Arial"/>
          <w:sz w:val="20"/>
          <w:szCs w:val="20"/>
        </w:rPr>
        <w:t xml:space="preserve"> </w:t>
      </w:r>
      <w:r w:rsidR="00CE1D12" w:rsidRPr="00DC4068">
        <w:rPr>
          <w:rFonts w:cs="Arial"/>
          <w:sz w:val="20"/>
          <w:szCs w:val="20"/>
        </w:rPr>
        <w:t>CPO and plasticizer w</w:t>
      </w:r>
      <w:r w:rsidR="00EF635A" w:rsidRPr="00DC4068">
        <w:rPr>
          <w:rFonts w:cs="Arial"/>
          <w:sz w:val="20"/>
          <w:szCs w:val="20"/>
        </w:rPr>
        <w:t>ere</w:t>
      </w:r>
      <w:r w:rsidR="00CE1D12" w:rsidRPr="00DC4068">
        <w:rPr>
          <w:rFonts w:cs="Arial"/>
          <w:sz w:val="20"/>
          <w:szCs w:val="20"/>
        </w:rPr>
        <w:t xml:space="preserve"> added</w:t>
      </w:r>
      <w:r w:rsidR="00EF635A" w:rsidRPr="00DC4068">
        <w:rPr>
          <w:rFonts w:cs="Arial"/>
          <w:sz w:val="20"/>
          <w:szCs w:val="20"/>
        </w:rPr>
        <w:t xml:space="preserve"> </w:t>
      </w:r>
      <w:r w:rsidR="00D0679B" w:rsidRPr="00DC4068">
        <w:rPr>
          <w:rFonts w:cs="Arial"/>
          <w:sz w:val="20"/>
          <w:szCs w:val="20"/>
          <w:vertAlign w:val="superscript"/>
        </w:rPr>
        <w:t>1</w:t>
      </w:r>
      <w:r w:rsidR="00512AF5" w:rsidRPr="00DC4068">
        <w:rPr>
          <w:rFonts w:cs="Arial"/>
          <w:sz w:val="20"/>
          <w:szCs w:val="20"/>
          <w:vertAlign w:val="superscript"/>
        </w:rPr>
        <w:t>5</w:t>
      </w:r>
      <w:r w:rsidR="00340AE6" w:rsidRPr="00DC4068">
        <w:rPr>
          <w:rFonts w:cs="Arial"/>
          <w:sz w:val="20"/>
          <w:szCs w:val="20"/>
        </w:rPr>
        <w:t xml:space="preserve">. </w:t>
      </w:r>
      <w:r w:rsidR="00BF3FEE" w:rsidRPr="00DC4068">
        <w:rPr>
          <w:rFonts w:cs="Arial"/>
          <w:sz w:val="20"/>
          <w:szCs w:val="20"/>
        </w:rPr>
        <w:t>Further, the permeation enhancer was added</w:t>
      </w:r>
      <w:r w:rsidR="00A607C4" w:rsidRPr="00DC4068">
        <w:rPr>
          <w:rFonts w:cs="Arial"/>
          <w:sz w:val="20"/>
          <w:szCs w:val="20"/>
        </w:rPr>
        <w:t xml:space="preserve"> and kept stirring for 30</w:t>
      </w:r>
      <w:r w:rsidR="00EF635A" w:rsidRPr="00DC4068">
        <w:rPr>
          <w:rFonts w:cs="Arial"/>
          <w:sz w:val="20"/>
          <w:szCs w:val="20"/>
        </w:rPr>
        <w:t xml:space="preserve"> </w:t>
      </w:r>
      <w:r w:rsidR="00A607C4" w:rsidRPr="00DC4068">
        <w:rPr>
          <w:rFonts w:cs="Arial"/>
          <w:sz w:val="20"/>
          <w:szCs w:val="20"/>
        </w:rPr>
        <w:t>mins</w:t>
      </w:r>
      <w:r w:rsidR="00EF635A" w:rsidRPr="00DC4068">
        <w:rPr>
          <w:rFonts w:cs="Arial"/>
          <w:sz w:val="20"/>
          <w:szCs w:val="20"/>
        </w:rPr>
        <w:t xml:space="preserve"> </w:t>
      </w:r>
      <w:r w:rsidR="00512AF5" w:rsidRPr="00DC4068">
        <w:rPr>
          <w:rFonts w:cs="Arial"/>
          <w:sz w:val="20"/>
          <w:szCs w:val="20"/>
          <w:vertAlign w:val="superscript"/>
        </w:rPr>
        <w:t>16</w:t>
      </w:r>
      <w:r w:rsidR="00A607C4" w:rsidRPr="00DC4068">
        <w:rPr>
          <w:rFonts w:cs="Arial"/>
          <w:sz w:val="20"/>
          <w:szCs w:val="20"/>
        </w:rPr>
        <w:t xml:space="preserve">. </w:t>
      </w:r>
      <w:r w:rsidR="00512AF5" w:rsidRPr="00DC4068">
        <w:rPr>
          <w:rFonts w:cs="Arial"/>
          <w:sz w:val="20"/>
          <w:szCs w:val="20"/>
        </w:rPr>
        <w:t xml:space="preserve">The resulting formulations, whose compositions are outlined in Table 1, were then placed in glass vials for </w:t>
      </w:r>
      <w:r w:rsidR="00450385" w:rsidRPr="00DC4068">
        <w:rPr>
          <w:rFonts w:cs="Arial"/>
          <w:sz w:val="20"/>
          <w:szCs w:val="20"/>
        </w:rPr>
        <w:t>further</w:t>
      </w:r>
      <w:r w:rsidR="00512AF5" w:rsidRPr="00DC4068">
        <w:rPr>
          <w:rFonts w:cs="Arial"/>
          <w:sz w:val="20"/>
          <w:szCs w:val="20"/>
        </w:rPr>
        <w:t xml:space="preserve"> analysis</w:t>
      </w:r>
      <w:r w:rsidR="00512AF5" w:rsidRPr="00DC4068">
        <w:rPr>
          <w:rFonts w:cs="Arial"/>
          <w:sz w:val="20"/>
          <w:szCs w:val="20"/>
          <w:vertAlign w:val="superscript"/>
        </w:rPr>
        <w:t>17</w:t>
      </w:r>
      <w:r w:rsidR="00512AF5" w:rsidRPr="00DC4068">
        <w:rPr>
          <w:rFonts w:cs="Arial"/>
          <w:sz w:val="20"/>
          <w:szCs w:val="20"/>
        </w:rPr>
        <w:t xml:space="preserve">. </w:t>
      </w:r>
    </w:p>
    <w:p w14:paraId="386771C8" w14:textId="3AF3E050" w:rsidR="00133109" w:rsidRPr="00DC4068" w:rsidRDefault="00133109" w:rsidP="00B4464C">
      <w:pPr>
        <w:spacing w:line="240" w:lineRule="auto"/>
        <w:jc w:val="both"/>
        <w:rPr>
          <w:rFonts w:cs="Arial"/>
          <w:b/>
          <w:bCs/>
          <w:sz w:val="20"/>
          <w:szCs w:val="20"/>
        </w:rPr>
      </w:pPr>
      <w:r w:rsidRPr="00DC4068">
        <w:rPr>
          <w:rFonts w:cs="Arial"/>
          <w:b/>
          <w:bCs/>
          <w:sz w:val="20"/>
          <w:szCs w:val="20"/>
        </w:rPr>
        <w:t xml:space="preserve">Table 1: Components of </w:t>
      </w:r>
      <w:r w:rsidR="00EF635A" w:rsidRPr="00DC4068">
        <w:rPr>
          <w:rFonts w:cs="Arial"/>
          <w:b/>
          <w:bCs/>
          <w:sz w:val="20"/>
          <w:szCs w:val="20"/>
        </w:rPr>
        <w:t xml:space="preserve">formulated </w:t>
      </w:r>
      <w:r w:rsidR="005B45A1" w:rsidRPr="00DC4068">
        <w:rPr>
          <w:rFonts w:cs="Arial"/>
          <w:b/>
          <w:bCs/>
          <w:sz w:val="20"/>
          <w:szCs w:val="20"/>
        </w:rPr>
        <w:t>PFFS</w:t>
      </w:r>
      <w:r w:rsidR="00EF635A" w:rsidRPr="00DC4068">
        <w:rPr>
          <w:rFonts w:cs="Arial"/>
          <w:b/>
          <w:bCs/>
          <w:sz w:val="20"/>
          <w:szCs w:val="20"/>
        </w:rPr>
        <w:t xml:space="preserve"> (%w/v) of Ciclopirox olamine</w:t>
      </w:r>
    </w:p>
    <w:tbl>
      <w:tblPr>
        <w:tblpPr w:leftFromText="180" w:rightFromText="180" w:vertAnchor="text" w:horzAnchor="margin" w:tblpXSpec="center" w:tblpY="100"/>
        <w:tblW w:w="9465" w:type="dxa"/>
        <w:tblLook w:val="04A0" w:firstRow="1" w:lastRow="0" w:firstColumn="1" w:lastColumn="0" w:noHBand="0" w:noVBand="1"/>
      </w:tblPr>
      <w:tblGrid>
        <w:gridCol w:w="1167"/>
        <w:gridCol w:w="557"/>
        <w:gridCol w:w="557"/>
        <w:gridCol w:w="557"/>
        <w:gridCol w:w="557"/>
        <w:gridCol w:w="557"/>
        <w:gridCol w:w="557"/>
        <w:gridCol w:w="557"/>
        <w:gridCol w:w="557"/>
        <w:gridCol w:w="557"/>
        <w:gridCol w:w="657"/>
        <w:gridCol w:w="657"/>
        <w:gridCol w:w="657"/>
        <w:gridCol w:w="657"/>
        <w:gridCol w:w="657"/>
      </w:tblGrid>
      <w:tr w:rsidR="002B6B44" w:rsidRPr="00B67CB3" w14:paraId="1B6B79A9" w14:textId="77777777" w:rsidTr="002B6B44">
        <w:trPr>
          <w:trHeight w:val="288"/>
        </w:trPr>
        <w:tc>
          <w:tcPr>
            <w:tcW w:w="1167" w:type="dxa"/>
            <w:tcBorders>
              <w:top w:val="single" w:sz="4" w:space="0" w:color="ED7D31"/>
              <w:left w:val="nil"/>
              <w:bottom w:val="single" w:sz="4" w:space="0" w:color="ED7D31"/>
              <w:right w:val="nil"/>
            </w:tcBorders>
            <w:shd w:val="clear" w:color="auto" w:fill="auto"/>
            <w:vAlign w:val="center"/>
            <w:hideMark/>
          </w:tcPr>
          <w:p w14:paraId="60B3A1E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Formulation code</w:t>
            </w:r>
          </w:p>
        </w:tc>
        <w:tc>
          <w:tcPr>
            <w:tcW w:w="557" w:type="dxa"/>
            <w:tcBorders>
              <w:top w:val="single" w:sz="4" w:space="0" w:color="ED7D31"/>
              <w:left w:val="nil"/>
              <w:bottom w:val="single" w:sz="4" w:space="0" w:color="ED7D31"/>
              <w:right w:val="nil"/>
            </w:tcBorders>
            <w:shd w:val="clear" w:color="auto" w:fill="auto"/>
            <w:vAlign w:val="center"/>
            <w:hideMark/>
          </w:tcPr>
          <w:p w14:paraId="6656DA01"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w:t>
            </w:r>
          </w:p>
        </w:tc>
        <w:tc>
          <w:tcPr>
            <w:tcW w:w="557" w:type="dxa"/>
            <w:tcBorders>
              <w:top w:val="single" w:sz="4" w:space="0" w:color="ED7D31"/>
              <w:left w:val="nil"/>
              <w:bottom w:val="single" w:sz="4" w:space="0" w:color="ED7D31"/>
              <w:right w:val="nil"/>
            </w:tcBorders>
            <w:shd w:val="clear" w:color="auto" w:fill="auto"/>
            <w:vAlign w:val="center"/>
            <w:hideMark/>
          </w:tcPr>
          <w:p w14:paraId="2CF6565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TR2</w:t>
            </w:r>
          </w:p>
        </w:tc>
        <w:tc>
          <w:tcPr>
            <w:tcW w:w="557" w:type="dxa"/>
            <w:tcBorders>
              <w:top w:val="single" w:sz="4" w:space="0" w:color="ED7D31"/>
              <w:left w:val="nil"/>
              <w:bottom w:val="single" w:sz="4" w:space="0" w:color="ED7D31"/>
              <w:right w:val="nil"/>
            </w:tcBorders>
            <w:shd w:val="clear" w:color="auto" w:fill="auto"/>
            <w:vAlign w:val="center"/>
            <w:hideMark/>
          </w:tcPr>
          <w:p w14:paraId="015A483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TR3</w:t>
            </w:r>
          </w:p>
        </w:tc>
        <w:tc>
          <w:tcPr>
            <w:tcW w:w="557" w:type="dxa"/>
            <w:tcBorders>
              <w:top w:val="single" w:sz="4" w:space="0" w:color="ED7D31"/>
              <w:left w:val="nil"/>
              <w:bottom w:val="single" w:sz="4" w:space="0" w:color="ED7D31"/>
              <w:right w:val="nil"/>
            </w:tcBorders>
            <w:shd w:val="clear" w:color="auto" w:fill="auto"/>
            <w:vAlign w:val="center"/>
            <w:hideMark/>
          </w:tcPr>
          <w:p w14:paraId="7F91BAFF"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TR4</w:t>
            </w:r>
          </w:p>
        </w:tc>
        <w:tc>
          <w:tcPr>
            <w:tcW w:w="557" w:type="dxa"/>
            <w:tcBorders>
              <w:top w:val="single" w:sz="4" w:space="0" w:color="ED7D31"/>
              <w:left w:val="nil"/>
              <w:bottom w:val="single" w:sz="4" w:space="0" w:color="ED7D31"/>
              <w:right w:val="nil"/>
            </w:tcBorders>
            <w:shd w:val="clear" w:color="auto" w:fill="auto"/>
            <w:vAlign w:val="center"/>
            <w:hideMark/>
          </w:tcPr>
          <w:p w14:paraId="14BFD85A"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TR5</w:t>
            </w:r>
          </w:p>
        </w:tc>
        <w:tc>
          <w:tcPr>
            <w:tcW w:w="557" w:type="dxa"/>
            <w:tcBorders>
              <w:top w:val="single" w:sz="4" w:space="0" w:color="ED7D31"/>
              <w:left w:val="nil"/>
              <w:bottom w:val="single" w:sz="4" w:space="0" w:color="ED7D31"/>
              <w:right w:val="nil"/>
            </w:tcBorders>
            <w:shd w:val="clear" w:color="auto" w:fill="auto"/>
            <w:vAlign w:val="center"/>
            <w:hideMark/>
          </w:tcPr>
          <w:p w14:paraId="1EDBC28C"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TR6</w:t>
            </w:r>
          </w:p>
        </w:tc>
        <w:tc>
          <w:tcPr>
            <w:tcW w:w="557" w:type="dxa"/>
            <w:tcBorders>
              <w:top w:val="single" w:sz="4" w:space="0" w:color="ED7D31"/>
              <w:left w:val="nil"/>
              <w:bottom w:val="single" w:sz="4" w:space="0" w:color="ED7D31"/>
              <w:right w:val="nil"/>
            </w:tcBorders>
            <w:shd w:val="clear" w:color="auto" w:fill="auto"/>
            <w:vAlign w:val="center"/>
            <w:hideMark/>
          </w:tcPr>
          <w:p w14:paraId="6FC3442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TR7</w:t>
            </w:r>
          </w:p>
        </w:tc>
        <w:tc>
          <w:tcPr>
            <w:tcW w:w="557" w:type="dxa"/>
            <w:tcBorders>
              <w:top w:val="single" w:sz="4" w:space="0" w:color="ED7D31"/>
              <w:left w:val="nil"/>
              <w:bottom w:val="single" w:sz="4" w:space="0" w:color="ED7D31"/>
              <w:right w:val="nil"/>
            </w:tcBorders>
            <w:shd w:val="clear" w:color="auto" w:fill="auto"/>
            <w:vAlign w:val="center"/>
            <w:hideMark/>
          </w:tcPr>
          <w:p w14:paraId="3119ACEF"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TR8</w:t>
            </w:r>
          </w:p>
        </w:tc>
        <w:tc>
          <w:tcPr>
            <w:tcW w:w="557" w:type="dxa"/>
            <w:tcBorders>
              <w:top w:val="single" w:sz="4" w:space="0" w:color="ED7D31"/>
              <w:left w:val="nil"/>
              <w:bottom w:val="single" w:sz="4" w:space="0" w:color="ED7D31"/>
              <w:right w:val="nil"/>
            </w:tcBorders>
            <w:shd w:val="clear" w:color="auto" w:fill="auto"/>
            <w:vAlign w:val="center"/>
            <w:hideMark/>
          </w:tcPr>
          <w:p w14:paraId="410C2BE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TR9</w:t>
            </w:r>
          </w:p>
        </w:tc>
        <w:tc>
          <w:tcPr>
            <w:tcW w:w="657" w:type="dxa"/>
            <w:tcBorders>
              <w:top w:val="single" w:sz="4" w:space="0" w:color="ED7D31"/>
              <w:left w:val="nil"/>
              <w:bottom w:val="single" w:sz="4" w:space="0" w:color="ED7D31"/>
              <w:right w:val="nil"/>
            </w:tcBorders>
            <w:shd w:val="clear" w:color="auto" w:fill="auto"/>
            <w:vAlign w:val="center"/>
            <w:hideMark/>
          </w:tcPr>
          <w:p w14:paraId="0AFD5061"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TR10</w:t>
            </w:r>
          </w:p>
        </w:tc>
        <w:tc>
          <w:tcPr>
            <w:tcW w:w="657" w:type="dxa"/>
            <w:tcBorders>
              <w:top w:val="single" w:sz="4" w:space="0" w:color="ED7D31"/>
              <w:left w:val="nil"/>
              <w:bottom w:val="single" w:sz="4" w:space="0" w:color="ED7D31"/>
              <w:right w:val="nil"/>
            </w:tcBorders>
            <w:shd w:val="clear" w:color="auto" w:fill="auto"/>
            <w:vAlign w:val="center"/>
            <w:hideMark/>
          </w:tcPr>
          <w:p w14:paraId="33015EB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TR11</w:t>
            </w:r>
          </w:p>
        </w:tc>
        <w:tc>
          <w:tcPr>
            <w:tcW w:w="657" w:type="dxa"/>
            <w:tcBorders>
              <w:top w:val="single" w:sz="4" w:space="0" w:color="ED7D31"/>
              <w:left w:val="nil"/>
              <w:bottom w:val="single" w:sz="4" w:space="0" w:color="ED7D31"/>
              <w:right w:val="nil"/>
            </w:tcBorders>
            <w:shd w:val="clear" w:color="auto" w:fill="auto"/>
            <w:vAlign w:val="center"/>
            <w:hideMark/>
          </w:tcPr>
          <w:p w14:paraId="569ABB1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TR12</w:t>
            </w:r>
          </w:p>
        </w:tc>
        <w:tc>
          <w:tcPr>
            <w:tcW w:w="657" w:type="dxa"/>
            <w:tcBorders>
              <w:top w:val="single" w:sz="4" w:space="0" w:color="ED7D31"/>
              <w:left w:val="nil"/>
              <w:bottom w:val="single" w:sz="4" w:space="0" w:color="ED7D31"/>
              <w:right w:val="nil"/>
            </w:tcBorders>
            <w:shd w:val="clear" w:color="auto" w:fill="auto"/>
            <w:vAlign w:val="center"/>
            <w:hideMark/>
          </w:tcPr>
          <w:p w14:paraId="0909295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TR13</w:t>
            </w:r>
          </w:p>
        </w:tc>
        <w:tc>
          <w:tcPr>
            <w:tcW w:w="657" w:type="dxa"/>
            <w:tcBorders>
              <w:top w:val="single" w:sz="4" w:space="0" w:color="ED7D31"/>
              <w:left w:val="nil"/>
              <w:bottom w:val="single" w:sz="4" w:space="0" w:color="ED7D31"/>
              <w:right w:val="nil"/>
            </w:tcBorders>
            <w:shd w:val="clear" w:color="auto" w:fill="auto"/>
            <w:vAlign w:val="center"/>
            <w:hideMark/>
          </w:tcPr>
          <w:p w14:paraId="3F82E3D7"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TR14</w:t>
            </w:r>
          </w:p>
        </w:tc>
      </w:tr>
      <w:tr w:rsidR="002B6B44" w:rsidRPr="00B67CB3" w14:paraId="78EA0EF6" w14:textId="77777777" w:rsidTr="002B6B44">
        <w:trPr>
          <w:trHeight w:val="288"/>
        </w:trPr>
        <w:tc>
          <w:tcPr>
            <w:tcW w:w="1167" w:type="dxa"/>
            <w:tcBorders>
              <w:top w:val="nil"/>
              <w:left w:val="nil"/>
              <w:bottom w:val="nil"/>
              <w:right w:val="nil"/>
            </w:tcBorders>
            <w:shd w:val="clear" w:color="auto" w:fill="auto"/>
            <w:vAlign w:val="center"/>
            <w:hideMark/>
          </w:tcPr>
          <w:p w14:paraId="052717F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CPO</w:t>
            </w:r>
          </w:p>
        </w:tc>
        <w:tc>
          <w:tcPr>
            <w:tcW w:w="8298" w:type="dxa"/>
            <w:gridSpan w:val="14"/>
            <w:tcBorders>
              <w:top w:val="nil"/>
              <w:left w:val="nil"/>
              <w:bottom w:val="nil"/>
              <w:right w:val="nil"/>
            </w:tcBorders>
            <w:shd w:val="clear" w:color="auto" w:fill="auto"/>
            <w:vAlign w:val="center"/>
            <w:hideMark/>
          </w:tcPr>
          <w:p w14:paraId="47CF5B3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w:t>
            </w:r>
          </w:p>
        </w:tc>
      </w:tr>
      <w:tr w:rsidR="002B6B44" w:rsidRPr="00B67CB3" w14:paraId="257EF652" w14:textId="77777777" w:rsidTr="002B6B44">
        <w:trPr>
          <w:trHeight w:val="288"/>
        </w:trPr>
        <w:tc>
          <w:tcPr>
            <w:tcW w:w="1167" w:type="dxa"/>
            <w:tcBorders>
              <w:top w:val="nil"/>
              <w:left w:val="nil"/>
              <w:bottom w:val="nil"/>
              <w:right w:val="nil"/>
            </w:tcBorders>
            <w:shd w:val="clear" w:color="auto" w:fill="auto"/>
            <w:vAlign w:val="center"/>
            <w:hideMark/>
          </w:tcPr>
          <w:p w14:paraId="464CDAF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Eudragit RL 100</w:t>
            </w:r>
          </w:p>
        </w:tc>
        <w:tc>
          <w:tcPr>
            <w:tcW w:w="557" w:type="dxa"/>
            <w:tcBorders>
              <w:top w:val="nil"/>
              <w:left w:val="nil"/>
              <w:bottom w:val="nil"/>
              <w:right w:val="nil"/>
            </w:tcBorders>
            <w:shd w:val="clear" w:color="auto" w:fill="auto"/>
            <w:vAlign w:val="center"/>
            <w:hideMark/>
          </w:tcPr>
          <w:p w14:paraId="0D7A243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557" w:type="dxa"/>
            <w:tcBorders>
              <w:top w:val="nil"/>
              <w:left w:val="nil"/>
              <w:bottom w:val="nil"/>
              <w:right w:val="nil"/>
            </w:tcBorders>
            <w:shd w:val="clear" w:color="auto" w:fill="auto"/>
            <w:vAlign w:val="center"/>
            <w:hideMark/>
          </w:tcPr>
          <w:p w14:paraId="21CBC83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21CDB4D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15</w:t>
            </w:r>
          </w:p>
        </w:tc>
        <w:tc>
          <w:tcPr>
            <w:tcW w:w="557" w:type="dxa"/>
            <w:tcBorders>
              <w:top w:val="nil"/>
              <w:left w:val="nil"/>
              <w:bottom w:val="nil"/>
              <w:right w:val="nil"/>
            </w:tcBorders>
            <w:shd w:val="clear" w:color="auto" w:fill="auto"/>
            <w:vAlign w:val="center"/>
            <w:hideMark/>
          </w:tcPr>
          <w:p w14:paraId="6B9F461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584FC93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7E781D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76C47A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004CC5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3212D0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2AC9618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0AB0294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32D5FF7"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EC75D4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657" w:type="dxa"/>
            <w:tcBorders>
              <w:top w:val="nil"/>
              <w:left w:val="nil"/>
              <w:bottom w:val="nil"/>
              <w:right w:val="nil"/>
            </w:tcBorders>
            <w:shd w:val="clear" w:color="auto" w:fill="auto"/>
            <w:vAlign w:val="center"/>
            <w:hideMark/>
          </w:tcPr>
          <w:p w14:paraId="6152186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r>
      <w:tr w:rsidR="002B6B44" w:rsidRPr="00B67CB3" w14:paraId="293A32F1" w14:textId="77777777" w:rsidTr="002B6B44">
        <w:trPr>
          <w:trHeight w:val="288"/>
        </w:trPr>
        <w:tc>
          <w:tcPr>
            <w:tcW w:w="1167" w:type="dxa"/>
            <w:tcBorders>
              <w:top w:val="nil"/>
              <w:left w:val="nil"/>
              <w:bottom w:val="nil"/>
              <w:right w:val="nil"/>
            </w:tcBorders>
            <w:shd w:val="clear" w:color="auto" w:fill="auto"/>
            <w:vAlign w:val="center"/>
            <w:hideMark/>
          </w:tcPr>
          <w:p w14:paraId="12BC658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Eudragit RS 100</w:t>
            </w:r>
          </w:p>
        </w:tc>
        <w:tc>
          <w:tcPr>
            <w:tcW w:w="557" w:type="dxa"/>
            <w:tcBorders>
              <w:top w:val="nil"/>
              <w:left w:val="nil"/>
              <w:bottom w:val="nil"/>
              <w:right w:val="nil"/>
            </w:tcBorders>
            <w:shd w:val="clear" w:color="auto" w:fill="auto"/>
            <w:vAlign w:val="center"/>
            <w:hideMark/>
          </w:tcPr>
          <w:p w14:paraId="608FDFA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0A84144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80B0FB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B666EC4"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557" w:type="dxa"/>
            <w:tcBorders>
              <w:top w:val="nil"/>
              <w:left w:val="nil"/>
              <w:bottom w:val="nil"/>
              <w:right w:val="nil"/>
            </w:tcBorders>
            <w:shd w:val="clear" w:color="auto" w:fill="auto"/>
            <w:vAlign w:val="center"/>
            <w:hideMark/>
          </w:tcPr>
          <w:p w14:paraId="13B4312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02CE070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15</w:t>
            </w:r>
          </w:p>
        </w:tc>
        <w:tc>
          <w:tcPr>
            <w:tcW w:w="557" w:type="dxa"/>
            <w:tcBorders>
              <w:top w:val="nil"/>
              <w:left w:val="nil"/>
              <w:bottom w:val="nil"/>
              <w:right w:val="nil"/>
            </w:tcBorders>
            <w:shd w:val="clear" w:color="auto" w:fill="auto"/>
            <w:vAlign w:val="center"/>
            <w:hideMark/>
          </w:tcPr>
          <w:p w14:paraId="34F1307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23DC847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DD3C90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657" w:type="dxa"/>
            <w:tcBorders>
              <w:top w:val="nil"/>
              <w:left w:val="nil"/>
              <w:bottom w:val="nil"/>
              <w:right w:val="nil"/>
            </w:tcBorders>
            <w:shd w:val="clear" w:color="auto" w:fill="auto"/>
            <w:vAlign w:val="center"/>
            <w:hideMark/>
          </w:tcPr>
          <w:p w14:paraId="20D35FD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6811911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4F7866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6EC0AF7"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86D6EA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7F6DBDED" w14:textId="77777777" w:rsidTr="002B6B44">
        <w:trPr>
          <w:trHeight w:val="288"/>
        </w:trPr>
        <w:tc>
          <w:tcPr>
            <w:tcW w:w="1167" w:type="dxa"/>
            <w:tcBorders>
              <w:top w:val="nil"/>
              <w:left w:val="nil"/>
              <w:bottom w:val="nil"/>
              <w:right w:val="nil"/>
            </w:tcBorders>
            <w:shd w:val="clear" w:color="auto" w:fill="auto"/>
            <w:vAlign w:val="center"/>
            <w:hideMark/>
          </w:tcPr>
          <w:p w14:paraId="38C1053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PVP K30</w:t>
            </w:r>
          </w:p>
        </w:tc>
        <w:tc>
          <w:tcPr>
            <w:tcW w:w="557" w:type="dxa"/>
            <w:tcBorders>
              <w:top w:val="nil"/>
              <w:left w:val="nil"/>
              <w:bottom w:val="nil"/>
              <w:right w:val="nil"/>
            </w:tcBorders>
            <w:shd w:val="clear" w:color="auto" w:fill="auto"/>
            <w:vAlign w:val="center"/>
            <w:hideMark/>
          </w:tcPr>
          <w:p w14:paraId="5FF1FBA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614F118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15F365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CB37A9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C7309C2"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644A50E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20FCB9A"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0302803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11FD19A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35CD7EC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78451E2"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A46258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01B023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772FCA38"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36877116" w14:textId="77777777" w:rsidTr="002B6B44">
        <w:trPr>
          <w:trHeight w:val="288"/>
        </w:trPr>
        <w:tc>
          <w:tcPr>
            <w:tcW w:w="1167" w:type="dxa"/>
            <w:tcBorders>
              <w:top w:val="nil"/>
              <w:left w:val="nil"/>
              <w:bottom w:val="nil"/>
              <w:right w:val="nil"/>
            </w:tcBorders>
            <w:shd w:val="clear" w:color="auto" w:fill="auto"/>
            <w:vAlign w:val="center"/>
            <w:hideMark/>
          </w:tcPr>
          <w:p w14:paraId="301C296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PVP K90</w:t>
            </w:r>
          </w:p>
        </w:tc>
        <w:tc>
          <w:tcPr>
            <w:tcW w:w="557" w:type="dxa"/>
            <w:tcBorders>
              <w:top w:val="nil"/>
              <w:left w:val="nil"/>
              <w:bottom w:val="nil"/>
              <w:right w:val="nil"/>
            </w:tcBorders>
            <w:shd w:val="clear" w:color="auto" w:fill="auto"/>
            <w:vAlign w:val="center"/>
            <w:hideMark/>
          </w:tcPr>
          <w:p w14:paraId="436D3B7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508E54E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F5B657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04FD69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1E7B18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0923FB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5A327B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F38A353"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557" w:type="dxa"/>
            <w:tcBorders>
              <w:top w:val="nil"/>
              <w:left w:val="nil"/>
              <w:bottom w:val="nil"/>
              <w:right w:val="nil"/>
            </w:tcBorders>
            <w:shd w:val="clear" w:color="auto" w:fill="auto"/>
            <w:vAlign w:val="center"/>
            <w:hideMark/>
          </w:tcPr>
          <w:p w14:paraId="4ADE984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588559B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ECFFE4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5C5B9F9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20773D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32F3300F"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40073875" w14:textId="77777777" w:rsidTr="002B6B44">
        <w:trPr>
          <w:trHeight w:val="288"/>
        </w:trPr>
        <w:tc>
          <w:tcPr>
            <w:tcW w:w="1167" w:type="dxa"/>
            <w:tcBorders>
              <w:top w:val="nil"/>
              <w:left w:val="nil"/>
              <w:bottom w:val="nil"/>
              <w:right w:val="nil"/>
            </w:tcBorders>
            <w:shd w:val="clear" w:color="auto" w:fill="auto"/>
            <w:vAlign w:val="center"/>
            <w:hideMark/>
          </w:tcPr>
          <w:p w14:paraId="050A375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HPC</w:t>
            </w:r>
          </w:p>
        </w:tc>
        <w:tc>
          <w:tcPr>
            <w:tcW w:w="557" w:type="dxa"/>
            <w:tcBorders>
              <w:top w:val="nil"/>
              <w:left w:val="nil"/>
              <w:bottom w:val="nil"/>
              <w:right w:val="nil"/>
            </w:tcBorders>
            <w:shd w:val="clear" w:color="auto" w:fill="auto"/>
            <w:vAlign w:val="center"/>
            <w:hideMark/>
          </w:tcPr>
          <w:p w14:paraId="73F95F4A"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40C9888D"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E886E0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2F0DB9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D25887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3F1688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F4372A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991933C"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0CA2B3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76E94661"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10</w:t>
            </w:r>
          </w:p>
        </w:tc>
        <w:tc>
          <w:tcPr>
            <w:tcW w:w="657" w:type="dxa"/>
            <w:tcBorders>
              <w:top w:val="nil"/>
              <w:left w:val="nil"/>
              <w:bottom w:val="nil"/>
              <w:right w:val="nil"/>
            </w:tcBorders>
            <w:shd w:val="clear" w:color="auto" w:fill="auto"/>
            <w:vAlign w:val="center"/>
            <w:hideMark/>
          </w:tcPr>
          <w:p w14:paraId="6E3DF02C"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5933A86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DD0E20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17BA8C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56F9ACE6" w14:textId="77777777" w:rsidTr="002B6B44">
        <w:trPr>
          <w:trHeight w:val="288"/>
        </w:trPr>
        <w:tc>
          <w:tcPr>
            <w:tcW w:w="1167" w:type="dxa"/>
            <w:tcBorders>
              <w:top w:val="nil"/>
              <w:left w:val="nil"/>
              <w:bottom w:val="nil"/>
              <w:right w:val="nil"/>
            </w:tcBorders>
            <w:shd w:val="clear" w:color="auto" w:fill="auto"/>
            <w:vAlign w:val="center"/>
            <w:hideMark/>
          </w:tcPr>
          <w:p w14:paraId="700DA9A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HPMC K4M</w:t>
            </w:r>
          </w:p>
        </w:tc>
        <w:tc>
          <w:tcPr>
            <w:tcW w:w="557" w:type="dxa"/>
            <w:tcBorders>
              <w:top w:val="nil"/>
              <w:left w:val="nil"/>
              <w:bottom w:val="nil"/>
              <w:right w:val="nil"/>
            </w:tcBorders>
            <w:shd w:val="clear" w:color="auto" w:fill="auto"/>
            <w:vAlign w:val="center"/>
            <w:hideMark/>
          </w:tcPr>
          <w:p w14:paraId="5731907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2380966D"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717A1F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0ADA726"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0F2208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3D72FC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71504B2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0610528"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50F9EE2"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134F054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598AC2C5"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3B5EE612"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42AD069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2E2EF0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73320FB3" w14:textId="77777777" w:rsidTr="002B6B44">
        <w:trPr>
          <w:trHeight w:val="288"/>
        </w:trPr>
        <w:tc>
          <w:tcPr>
            <w:tcW w:w="1167" w:type="dxa"/>
            <w:tcBorders>
              <w:top w:val="nil"/>
              <w:left w:val="nil"/>
              <w:bottom w:val="nil"/>
              <w:right w:val="nil"/>
            </w:tcBorders>
            <w:shd w:val="clear" w:color="auto" w:fill="auto"/>
            <w:vAlign w:val="center"/>
            <w:hideMark/>
          </w:tcPr>
          <w:p w14:paraId="436AD1F7"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HPMC K15</w:t>
            </w:r>
          </w:p>
        </w:tc>
        <w:tc>
          <w:tcPr>
            <w:tcW w:w="557" w:type="dxa"/>
            <w:tcBorders>
              <w:top w:val="nil"/>
              <w:left w:val="nil"/>
              <w:bottom w:val="nil"/>
              <w:right w:val="nil"/>
            </w:tcBorders>
            <w:shd w:val="clear" w:color="auto" w:fill="auto"/>
            <w:vAlign w:val="center"/>
            <w:hideMark/>
          </w:tcPr>
          <w:p w14:paraId="7405DC7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1FE815CE"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25993F7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32400C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73EE8FA"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637C7D0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9D4C3CB"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268053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5B9CA08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2C6AEC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3B2B3B44"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48D840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440F091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657" w:type="dxa"/>
            <w:tcBorders>
              <w:top w:val="nil"/>
              <w:left w:val="nil"/>
              <w:bottom w:val="nil"/>
              <w:right w:val="nil"/>
            </w:tcBorders>
            <w:shd w:val="clear" w:color="auto" w:fill="auto"/>
            <w:vAlign w:val="center"/>
            <w:hideMark/>
          </w:tcPr>
          <w:p w14:paraId="0FDB82B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r>
      <w:tr w:rsidR="002B6B44" w:rsidRPr="00B67CB3" w14:paraId="7D702680" w14:textId="77777777" w:rsidTr="002B6B44">
        <w:trPr>
          <w:trHeight w:val="288"/>
        </w:trPr>
        <w:tc>
          <w:tcPr>
            <w:tcW w:w="1167" w:type="dxa"/>
            <w:tcBorders>
              <w:top w:val="nil"/>
              <w:left w:val="nil"/>
              <w:bottom w:val="nil"/>
              <w:right w:val="nil"/>
            </w:tcBorders>
            <w:shd w:val="clear" w:color="auto" w:fill="auto"/>
            <w:vAlign w:val="center"/>
            <w:hideMark/>
          </w:tcPr>
          <w:p w14:paraId="62913DD6"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Oleic acid</w:t>
            </w:r>
          </w:p>
        </w:tc>
        <w:tc>
          <w:tcPr>
            <w:tcW w:w="557" w:type="dxa"/>
            <w:tcBorders>
              <w:top w:val="nil"/>
              <w:left w:val="nil"/>
              <w:bottom w:val="nil"/>
              <w:right w:val="nil"/>
            </w:tcBorders>
            <w:shd w:val="clear" w:color="auto" w:fill="auto"/>
            <w:vAlign w:val="center"/>
            <w:hideMark/>
          </w:tcPr>
          <w:p w14:paraId="78FE25A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c>
          <w:tcPr>
            <w:tcW w:w="557" w:type="dxa"/>
            <w:tcBorders>
              <w:top w:val="nil"/>
              <w:left w:val="nil"/>
              <w:bottom w:val="nil"/>
              <w:right w:val="nil"/>
            </w:tcBorders>
            <w:shd w:val="clear" w:color="auto" w:fill="auto"/>
            <w:vAlign w:val="center"/>
            <w:hideMark/>
          </w:tcPr>
          <w:p w14:paraId="48F7CC50"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6566061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1604387C"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3AF7B34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BA4A605"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0681ECC1"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16460E9"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557" w:type="dxa"/>
            <w:tcBorders>
              <w:top w:val="nil"/>
              <w:left w:val="nil"/>
              <w:bottom w:val="nil"/>
              <w:right w:val="nil"/>
            </w:tcBorders>
            <w:shd w:val="clear" w:color="auto" w:fill="auto"/>
            <w:vAlign w:val="center"/>
            <w:hideMark/>
          </w:tcPr>
          <w:p w14:paraId="42E69858"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36F4FAC"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00503BF3"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2118912D" w14:textId="77777777" w:rsidR="002B6B44" w:rsidRPr="00B67CB3" w:rsidRDefault="002B6B44" w:rsidP="00B4464C">
            <w:pPr>
              <w:spacing w:after="0" w:line="240" w:lineRule="auto"/>
              <w:jc w:val="center"/>
              <w:rPr>
                <w:rFonts w:eastAsia="Times New Roman" w:cs="Arial"/>
                <w:color w:val="auto"/>
                <w:kern w:val="0"/>
                <w:sz w:val="18"/>
                <w:szCs w:val="18"/>
                <w14:ligatures w14:val="none"/>
              </w:rPr>
            </w:pPr>
          </w:p>
        </w:tc>
        <w:tc>
          <w:tcPr>
            <w:tcW w:w="657" w:type="dxa"/>
            <w:tcBorders>
              <w:top w:val="nil"/>
              <w:left w:val="nil"/>
              <w:bottom w:val="nil"/>
              <w:right w:val="nil"/>
            </w:tcBorders>
            <w:shd w:val="clear" w:color="auto" w:fill="auto"/>
            <w:vAlign w:val="center"/>
            <w:hideMark/>
          </w:tcPr>
          <w:p w14:paraId="46863228"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5</w:t>
            </w:r>
          </w:p>
        </w:tc>
        <w:tc>
          <w:tcPr>
            <w:tcW w:w="657" w:type="dxa"/>
            <w:tcBorders>
              <w:top w:val="nil"/>
              <w:left w:val="nil"/>
              <w:bottom w:val="nil"/>
              <w:right w:val="nil"/>
            </w:tcBorders>
            <w:shd w:val="clear" w:color="auto" w:fill="auto"/>
            <w:vAlign w:val="center"/>
            <w:hideMark/>
          </w:tcPr>
          <w:p w14:paraId="253F0359"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
        </w:tc>
      </w:tr>
      <w:tr w:rsidR="002B6B44" w:rsidRPr="00B67CB3" w14:paraId="1C4A26CC" w14:textId="77777777" w:rsidTr="002B6B44">
        <w:trPr>
          <w:trHeight w:val="288"/>
        </w:trPr>
        <w:tc>
          <w:tcPr>
            <w:tcW w:w="1167" w:type="dxa"/>
            <w:tcBorders>
              <w:top w:val="nil"/>
              <w:left w:val="nil"/>
              <w:bottom w:val="nil"/>
              <w:right w:val="nil"/>
            </w:tcBorders>
            <w:shd w:val="clear" w:color="auto" w:fill="auto"/>
            <w:vAlign w:val="center"/>
            <w:hideMark/>
          </w:tcPr>
          <w:p w14:paraId="5281ED0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Menthol: Camphor</w:t>
            </w:r>
          </w:p>
        </w:tc>
        <w:tc>
          <w:tcPr>
            <w:tcW w:w="8298" w:type="dxa"/>
            <w:gridSpan w:val="14"/>
            <w:tcBorders>
              <w:top w:val="nil"/>
              <w:left w:val="nil"/>
              <w:bottom w:val="nil"/>
              <w:right w:val="nil"/>
            </w:tcBorders>
            <w:shd w:val="clear" w:color="auto" w:fill="auto"/>
            <w:vAlign w:val="center"/>
            <w:hideMark/>
          </w:tcPr>
          <w:p w14:paraId="5D6F923D"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1:1</w:t>
            </w:r>
          </w:p>
        </w:tc>
      </w:tr>
      <w:tr w:rsidR="002B6B44" w:rsidRPr="00B67CB3" w14:paraId="1D6426F1" w14:textId="77777777" w:rsidTr="002B6B44">
        <w:trPr>
          <w:trHeight w:val="288"/>
        </w:trPr>
        <w:tc>
          <w:tcPr>
            <w:tcW w:w="1167" w:type="dxa"/>
            <w:tcBorders>
              <w:top w:val="nil"/>
              <w:left w:val="nil"/>
              <w:bottom w:val="nil"/>
              <w:right w:val="nil"/>
            </w:tcBorders>
            <w:shd w:val="clear" w:color="auto" w:fill="auto"/>
            <w:vAlign w:val="center"/>
            <w:hideMark/>
          </w:tcPr>
          <w:p w14:paraId="63BF2484"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PEG 400 (%)*</w:t>
            </w:r>
          </w:p>
        </w:tc>
        <w:tc>
          <w:tcPr>
            <w:tcW w:w="8298" w:type="dxa"/>
            <w:gridSpan w:val="14"/>
            <w:tcBorders>
              <w:top w:val="nil"/>
              <w:left w:val="nil"/>
              <w:bottom w:val="nil"/>
              <w:right w:val="nil"/>
            </w:tcBorders>
            <w:shd w:val="clear" w:color="auto" w:fill="auto"/>
            <w:vAlign w:val="center"/>
            <w:hideMark/>
          </w:tcPr>
          <w:p w14:paraId="36E8D5F0"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0.5</w:t>
            </w:r>
          </w:p>
        </w:tc>
      </w:tr>
      <w:tr w:rsidR="002B6B44" w:rsidRPr="00B67CB3" w14:paraId="57DE4FBA" w14:textId="77777777" w:rsidTr="002B6B44">
        <w:trPr>
          <w:trHeight w:val="288"/>
        </w:trPr>
        <w:tc>
          <w:tcPr>
            <w:tcW w:w="1167" w:type="dxa"/>
            <w:tcBorders>
              <w:top w:val="nil"/>
              <w:left w:val="nil"/>
              <w:bottom w:val="single" w:sz="4" w:space="0" w:color="ED7D31"/>
              <w:right w:val="nil"/>
            </w:tcBorders>
            <w:shd w:val="clear" w:color="auto" w:fill="auto"/>
            <w:vAlign w:val="center"/>
            <w:hideMark/>
          </w:tcPr>
          <w:p w14:paraId="26369B5B"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r w:rsidRPr="00B67CB3">
              <w:rPr>
                <w:rFonts w:eastAsia="Times New Roman" w:cs="Arial"/>
                <w:color w:val="000000"/>
                <w:kern w:val="0"/>
                <w:sz w:val="18"/>
                <w:szCs w:val="18"/>
                <w14:ligatures w14:val="none"/>
              </w:rPr>
              <w:t>Ethanol (%)*</w:t>
            </w:r>
          </w:p>
        </w:tc>
        <w:tc>
          <w:tcPr>
            <w:tcW w:w="8298" w:type="dxa"/>
            <w:gridSpan w:val="14"/>
            <w:tcBorders>
              <w:top w:val="nil"/>
              <w:left w:val="nil"/>
              <w:bottom w:val="single" w:sz="4" w:space="0" w:color="ED7D31"/>
              <w:right w:val="nil"/>
            </w:tcBorders>
            <w:shd w:val="clear" w:color="auto" w:fill="auto"/>
            <w:vAlign w:val="center"/>
            <w:hideMark/>
          </w:tcPr>
          <w:p w14:paraId="17F2C78E" w14:textId="77777777" w:rsidR="002B6B44" w:rsidRPr="00B67CB3" w:rsidRDefault="002B6B44" w:rsidP="00B4464C">
            <w:pPr>
              <w:spacing w:after="0" w:line="240" w:lineRule="auto"/>
              <w:jc w:val="center"/>
              <w:rPr>
                <w:rFonts w:eastAsia="Times New Roman" w:cs="Arial"/>
                <w:color w:val="000000"/>
                <w:kern w:val="0"/>
                <w:sz w:val="18"/>
                <w:szCs w:val="18"/>
                <w14:ligatures w14:val="none"/>
              </w:rPr>
            </w:pPr>
            <w:proofErr w:type="spellStart"/>
            <w:r w:rsidRPr="00B67CB3">
              <w:rPr>
                <w:rFonts w:eastAsia="Times New Roman" w:cs="Arial"/>
                <w:color w:val="000000"/>
                <w:kern w:val="0"/>
                <w:sz w:val="18"/>
                <w:szCs w:val="18"/>
                <w14:ligatures w14:val="none"/>
              </w:rPr>
              <w:t>q.s</w:t>
            </w:r>
            <w:proofErr w:type="spellEnd"/>
            <w:r w:rsidRPr="00B67CB3">
              <w:rPr>
                <w:rFonts w:eastAsia="Times New Roman" w:cs="Arial"/>
                <w:color w:val="000000"/>
                <w:kern w:val="0"/>
                <w:sz w:val="18"/>
                <w:szCs w:val="18"/>
                <w14:ligatures w14:val="none"/>
              </w:rPr>
              <w:t>.</w:t>
            </w:r>
          </w:p>
        </w:tc>
      </w:tr>
    </w:tbl>
    <w:p w14:paraId="1871EA7E" w14:textId="4F038679" w:rsidR="00225304" w:rsidRPr="00DC4068" w:rsidRDefault="00E42253" w:rsidP="00B4464C">
      <w:pPr>
        <w:spacing w:line="240" w:lineRule="auto"/>
        <w:rPr>
          <w:rFonts w:cs="Arial"/>
          <w:bCs/>
          <w:i/>
          <w:iCs/>
          <w:sz w:val="20"/>
          <w:szCs w:val="16"/>
        </w:rPr>
      </w:pPr>
      <w:r w:rsidRPr="00DC4068">
        <w:rPr>
          <w:rFonts w:cs="Arial"/>
          <w:bCs/>
          <w:i/>
          <w:iCs/>
          <w:sz w:val="20"/>
          <w:szCs w:val="16"/>
        </w:rPr>
        <w:t xml:space="preserve">* Indicates the </w:t>
      </w:r>
      <w:r w:rsidR="00EF635A" w:rsidRPr="00DC4068">
        <w:rPr>
          <w:rFonts w:cs="Arial"/>
          <w:bCs/>
          <w:i/>
          <w:iCs/>
          <w:sz w:val="20"/>
          <w:szCs w:val="16"/>
        </w:rPr>
        <w:t xml:space="preserve">percentage in terms of </w:t>
      </w:r>
      <w:r w:rsidR="00C252DF" w:rsidRPr="00DC4068">
        <w:rPr>
          <w:rFonts w:cs="Arial"/>
          <w:bCs/>
          <w:i/>
          <w:iCs/>
          <w:sz w:val="20"/>
          <w:szCs w:val="16"/>
        </w:rPr>
        <w:t>the polymer's wet weight</w:t>
      </w:r>
      <w:r w:rsidR="00EF635A" w:rsidRPr="00DC4068">
        <w:rPr>
          <w:rFonts w:cs="Arial"/>
          <w:bCs/>
          <w:i/>
          <w:iCs/>
          <w:sz w:val="20"/>
          <w:szCs w:val="16"/>
        </w:rPr>
        <w:t>.</w:t>
      </w:r>
    </w:p>
    <w:p w14:paraId="478FA9F0" w14:textId="5EC27340" w:rsidR="009819AD" w:rsidRPr="009819AD" w:rsidRDefault="00CA1250" w:rsidP="009819AD">
      <w:pPr>
        <w:pStyle w:val="ListParagraph"/>
        <w:numPr>
          <w:ilvl w:val="2"/>
          <w:numId w:val="4"/>
        </w:numPr>
        <w:spacing w:line="240" w:lineRule="auto"/>
        <w:ind w:left="720"/>
        <w:jc w:val="both"/>
        <w:rPr>
          <w:rFonts w:cs="Arial"/>
          <w:sz w:val="20"/>
          <w:szCs w:val="16"/>
          <w:u w:val="single"/>
        </w:rPr>
      </w:pPr>
      <w:r w:rsidRPr="009819AD">
        <w:rPr>
          <w:rFonts w:cs="Arial"/>
          <w:sz w:val="20"/>
          <w:szCs w:val="16"/>
          <w:u w:val="single"/>
        </w:rPr>
        <w:t>Evaluation of the PFFS</w:t>
      </w:r>
    </w:p>
    <w:p w14:paraId="531E7A93" w14:textId="76A862BF" w:rsidR="00220446" w:rsidRPr="00DC4068" w:rsidRDefault="00220446" w:rsidP="00B4464C">
      <w:pPr>
        <w:spacing w:line="240" w:lineRule="auto"/>
        <w:jc w:val="both"/>
        <w:rPr>
          <w:rFonts w:cs="Arial"/>
          <w:sz w:val="20"/>
          <w:szCs w:val="20"/>
        </w:rPr>
      </w:pPr>
      <w:r w:rsidRPr="00DC4068">
        <w:rPr>
          <w:rFonts w:cs="Arial"/>
          <w:sz w:val="20"/>
          <w:szCs w:val="20"/>
        </w:rPr>
        <w:t xml:space="preserve">The PFFS were </w:t>
      </w:r>
      <w:r w:rsidR="008E75CA" w:rsidRPr="00DC4068">
        <w:rPr>
          <w:rFonts w:cs="Arial"/>
          <w:sz w:val="20"/>
          <w:szCs w:val="20"/>
        </w:rPr>
        <w:t>assessed for the physicochemical characteristics</w:t>
      </w:r>
      <w:r w:rsidR="00060B87" w:rsidRPr="00DC4068">
        <w:rPr>
          <w:rFonts w:cs="Arial"/>
          <w:sz w:val="20"/>
          <w:szCs w:val="20"/>
        </w:rPr>
        <w:t>,</w:t>
      </w:r>
      <w:r w:rsidR="008E75CA" w:rsidRPr="00DC4068">
        <w:rPr>
          <w:rFonts w:cs="Arial"/>
          <w:sz w:val="20"/>
          <w:szCs w:val="20"/>
        </w:rPr>
        <w:t xml:space="preserve"> </w:t>
      </w:r>
      <w:r w:rsidR="00F1543E" w:rsidRPr="00DC4068">
        <w:rPr>
          <w:rFonts w:cs="Arial"/>
          <w:sz w:val="20"/>
          <w:szCs w:val="20"/>
        </w:rPr>
        <w:t>which are discussed below</w:t>
      </w:r>
      <w:r w:rsidR="009C63D3" w:rsidRPr="00DC4068">
        <w:rPr>
          <w:rFonts w:cs="Arial"/>
          <w:sz w:val="20"/>
          <w:szCs w:val="20"/>
          <w:vertAlign w:val="superscript"/>
        </w:rPr>
        <w:t>1</w:t>
      </w:r>
      <w:r w:rsidR="006B797C" w:rsidRPr="00DC4068">
        <w:rPr>
          <w:rFonts w:cs="Arial"/>
          <w:sz w:val="20"/>
          <w:szCs w:val="20"/>
          <w:vertAlign w:val="superscript"/>
        </w:rPr>
        <w:t>8</w:t>
      </w:r>
      <w:r w:rsidR="00852444" w:rsidRPr="00DC4068">
        <w:rPr>
          <w:rFonts w:cs="Arial"/>
          <w:sz w:val="20"/>
          <w:szCs w:val="20"/>
        </w:rPr>
        <w:t>.</w:t>
      </w:r>
    </w:p>
    <w:p w14:paraId="1109F1C2" w14:textId="0352FC5B" w:rsidR="0098509B" w:rsidRPr="009819AD" w:rsidRDefault="00D2704D" w:rsidP="009819AD">
      <w:pPr>
        <w:pStyle w:val="ListParagraph"/>
        <w:numPr>
          <w:ilvl w:val="2"/>
          <w:numId w:val="4"/>
        </w:numPr>
        <w:spacing w:line="240" w:lineRule="auto"/>
        <w:ind w:left="720"/>
        <w:jc w:val="both"/>
        <w:rPr>
          <w:rFonts w:cs="Arial"/>
          <w:sz w:val="20"/>
          <w:szCs w:val="16"/>
          <w:u w:val="single"/>
        </w:rPr>
      </w:pPr>
      <w:bookmarkStart w:id="5" w:name="_Hlk193450727"/>
      <w:r w:rsidRPr="009819AD">
        <w:rPr>
          <w:rFonts w:cs="Arial"/>
          <w:sz w:val="20"/>
          <w:szCs w:val="16"/>
          <w:u w:val="single"/>
        </w:rPr>
        <w:lastRenderedPageBreak/>
        <w:t>pH of the solution</w:t>
      </w:r>
    </w:p>
    <w:bookmarkEnd w:id="5"/>
    <w:p w14:paraId="7ECF1062" w14:textId="25BF2583" w:rsidR="00D4568E" w:rsidRPr="00DC4068" w:rsidRDefault="00D4568E" w:rsidP="00B4464C">
      <w:pPr>
        <w:spacing w:line="240" w:lineRule="auto"/>
        <w:jc w:val="both"/>
        <w:rPr>
          <w:rFonts w:cs="Arial"/>
          <w:sz w:val="20"/>
          <w:szCs w:val="18"/>
        </w:rPr>
      </w:pPr>
      <w:r w:rsidRPr="00DC4068">
        <w:rPr>
          <w:rFonts w:cs="Arial"/>
          <w:sz w:val="20"/>
          <w:szCs w:val="18"/>
        </w:rPr>
        <w:t>The pH of the formulation was measured using a digital pH meter calibrated with pH 4, 7, and 9 buffer solutions. The meter rod was immersed in the sample, and the pH was recorded directly</w:t>
      </w:r>
      <w:r w:rsidR="00316686" w:rsidRPr="00DC4068">
        <w:rPr>
          <w:rFonts w:cs="Arial"/>
          <w:sz w:val="20"/>
          <w:szCs w:val="18"/>
          <w:vertAlign w:val="superscript"/>
        </w:rPr>
        <w:t>1</w:t>
      </w:r>
      <w:r w:rsidR="00852444" w:rsidRPr="00DC4068">
        <w:rPr>
          <w:rFonts w:cs="Arial"/>
          <w:sz w:val="20"/>
          <w:szCs w:val="18"/>
          <w:vertAlign w:val="superscript"/>
        </w:rPr>
        <w:t>9</w:t>
      </w:r>
      <w:r w:rsidR="00DC4068">
        <w:rPr>
          <w:rFonts w:cs="Arial"/>
          <w:sz w:val="20"/>
          <w:szCs w:val="18"/>
        </w:rPr>
        <w:t>.</w:t>
      </w:r>
    </w:p>
    <w:p w14:paraId="23B4AA7C" w14:textId="3B877AC2" w:rsidR="00940BB8" w:rsidRPr="009819AD" w:rsidRDefault="00EE5722" w:rsidP="009819AD">
      <w:pPr>
        <w:pStyle w:val="ListParagraph"/>
        <w:numPr>
          <w:ilvl w:val="2"/>
          <w:numId w:val="4"/>
        </w:numPr>
        <w:spacing w:line="240" w:lineRule="auto"/>
        <w:ind w:left="720"/>
        <w:jc w:val="both"/>
        <w:rPr>
          <w:rFonts w:cs="Arial"/>
          <w:sz w:val="20"/>
          <w:szCs w:val="16"/>
          <w:u w:val="single"/>
        </w:rPr>
      </w:pPr>
      <w:bookmarkStart w:id="6" w:name="_Hlk193450738"/>
      <w:r w:rsidRPr="009819AD">
        <w:rPr>
          <w:rFonts w:cs="Arial"/>
          <w:sz w:val="20"/>
          <w:szCs w:val="16"/>
          <w:u w:val="single"/>
        </w:rPr>
        <w:t>V</w:t>
      </w:r>
      <w:r w:rsidR="00D2704D" w:rsidRPr="009819AD">
        <w:rPr>
          <w:rFonts w:cs="Arial"/>
          <w:sz w:val="20"/>
          <w:szCs w:val="16"/>
          <w:u w:val="single"/>
        </w:rPr>
        <w:t>iscosity of the solution</w:t>
      </w:r>
    </w:p>
    <w:bookmarkEnd w:id="6"/>
    <w:p w14:paraId="18ABCC46" w14:textId="3B9AECAF" w:rsidR="0097770B" w:rsidRPr="00DC4068" w:rsidRDefault="00060B87" w:rsidP="00B4464C">
      <w:pPr>
        <w:spacing w:line="240" w:lineRule="auto"/>
        <w:jc w:val="both"/>
        <w:rPr>
          <w:rFonts w:cs="Arial"/>
          <w:sz w:val="20"/>
          <w:szCs w:val="20"/>
        </w:rPr>
      </w:pPr>
      <w:r w:rsidRPr="00DC4068">
        <w:rPr>
          <w:rFonts w:cs="Arial"/>
          <w:sz w:val="20"/>
          <w:szCs w:val="20"/>
        </w:rPr>
        <w:t xml:space="preserve">The </w:t>
      </w:r>
      <w:r w:rsidR="0097770B" w:rsidRPr="00DC4068">
        <w:rPr>
          <w:rFonts w:cs="Arial"/>
          <w:sz w:val="20"/>
          <w:szCs w:val="20"/>
        </w:rPr>
        <w:t>viscosity of each formulation was measured using</w:t>
      </w:r>
      <w:r w:rsidRPr="00DC4068">
        <w:rPr>
          <w:rFonts w:cs="Arial"/>
          <w:sz w:val="20"/>
          <w:szCs w:val="20"/>
        </w:rPr>
        <w:t xml:space="preserve"> a</w:t>
      </w:r>
      <w:r w:rsidR="0097770B" w:rsidRPr="00DC4068">
        <w:rPr>
          <w:rFonts w:cs="Arial"/>
          <w:sz w:val="20"/>
          <w:szCs w:val="20"/>
        </w:rPr>
        <w:t xml:space="preserve"> Brookfield Viscometer with spindle no.18</w:t>
      </w:r>
      <w:r w:rsidR="00BC54C8" w:rsidRPr="00DC4068">
        <w:rPr>
          <w:rFonts w:cs="Arial"/>
          <w:sz w:val="20"/>
          <w:szCs w:val="20"/>
        </w:rPr>
        <w:t>,</w:t>
      </w:r>
      <w:r w:rsidR="0097770B" w:rsidRPr="00DC4068">
        <w:rPr>
          <w:rFonts w:cs="Arial"/>
          <w:sz w:val="20"/>
          <w:szCs w:val="20"/>
        </w:rPr>
        <w:t xml:space="preserve"> </w:t>
      </w:r>
      <w:r w:rsidR="00BC54C8" w:rsidRPr="00DC4068">
        <w:rPr>
          <w:rFonts w:cs="Arial"/>
          <w:sz w:val="20"/>
          <w:szCs w:val="20"/>
        </w:rPr>
        <w:t>e</w:t>
      </w:r>
      <w:r w:rsidR="0097770B" w:rsidRPr="00DC4068">
        <w:rPr>
          <w:rFonts w:cs="Arial"/>
          <w:sz w:val="20"/>
          <w:szCs w:val="20"/>
        </w:rPr>
        <w:t>nsuring the spindle was immersed without touching the base. Three trials were recorded to determine the torque and cps</w:t>
      </w:r>
      <w:r w:rsidR="00364B37" w:rsidRPr="00DC4068">
        <w:rPr>
          <w:rFonts w:cs="Arial"/>
          <w:sz w:val="20"/>
          <w:szCs w:val="20"/>
        </w:rPr>
        <w:t xml:space="preserve"> </w:t>
      </w:r>
      <w:r w:rsidR="00364B37" w:rsidRPr="00DC4068">
        <w:rPr>
          <w:rFonts w:cs="Arial"/>
          <w:sz w:val="20"/>
          <w:szCs w:val="20"/>
          <w:vertAlign w:val="superscript"/>
        </w:rPr>
        <w:t>20</w:t>
      </w:r>
      <w:r w:rsidR="00FB6739" w:rsidRPr="00DC4068">
        <w:rPr>
          <w:rFonts w:cs="Arial"/>
          <w:sz w:val="20"/>
          <w:szCs w:val="20"/>
        </w:rPr>
        <w:t>.</w:t>
      </w:r>
    </w:p>
    <w:p w14:paraId="4F11DEEC" w14:textId="008B0111" w:rsidR="00940BB8" w:rsidRPr="009819AD" w:rsidRDefault="007A3B9E" w:rsidP="009819AD">
      <w:pPr>
        <w:pStyle w:val="ListParagraph"/>
        <w:numPr>
          <w:ilvl w:val="2"/>
          <w:numId w:val="4"/>
        </w:numPr>
        <w:spacing w:line="240" w:lineRule="auto"/>
        <w:ind w:left="720"/>
        <w:jc w:val="both"/>
        <w:rPr>
          <w:rFonts w:cs="Arial"/>
          <w:sz w:val="20"/>
          <w:szCs w:val="16"/>
          <w:u w:val="single"/>
        </w:rPr>
      </w:pPr>
      <w:bookmarkStart w:id="7" w:name="_Hlk193450747"/>
      <w:r w:rsidRPr="009819AD">
        <w:rPr>
          <w:rFonts w:cs="Arial"/>
          <w:sz w:val="20"/>
          <w:szCs w:val="16"/>
          <w:u w:val="single"/>
        </w:rPr>
        <w:t>Drying time</w:t>
      </w:r>
    </w:p>
    <w:bookmarkEnd w:id="7"/>
    <w:p w14:paraId="5115F5DF" w14:textId="6D115997" w:rsidR="00E42253" w:rsidRPr="00DC4068" w:rsidRDefault="00E42253" w:rsidP="00B4464C">
      <w:pPr>
        <w:spacing w:line="240" w:lineRule="auto"/>
        <w:jc w:val="both"/>
        <w:rPr>
          <w:rFonts w:cs="Arial"/>
          <w:sz w:val="20"/>
          <w:szCs w:val="18"/>
        </w:rPr>
      </w:pPr>
      <w:r w:rsidRPr="00DC4068">
        <w:rPr>
          <w:rFonts w:cs="Arial"/>
          <w:sz w:val="20"/>
          <w:szCs w:val="18"/>
        </w:rPr>
        <w:t xml:space="preserve">The formulations were poured onto </w:t>
      </w:r>
      <w:r w:rsidR="00060B87" w:rsidRPr="00DC4068">
        <w:rPr>
          <w:rFonts w:cs="Arial"/>
          <w:sz w:val="20"/>
          <w:szCs w:val="18"/>
        </w:rPr>
        <w:t>the</w:t>
      </w:r>
      <w:r w:rsidRPr="00DC4068">
        <w:rPr>
          <w:rFonts w:cs="Arial"/>
          <w:sz w:val="20"/>
          <w:szCs w:val="18"/>
        </w:rPr>
        <w:t xml:space="preserve"> </w:t>
      </w:r>
      <w:r w:rsidR="000668AA" w:rsidRPr="00DC4068">
        <w:rPr>
          <w:rFonts w:cs="Arial"/>
          <w:sz w:val="20"/>
          <w:szCs w:val="18"/>
        </w:rPr>
        <w:t>center of</w:t>
      </w:r>
      <w:r w:rsidR="00060B87" w:rsidRPr="00DC4068">
        <w:rPr>
          <w:rFonts w:cs="Arial"/>
          <w:sz w:val="20"/>
          <w:szCs w:val="18"/>
        </w:rPr>
        <w:t xml:space="preserve"> a</w:t>
      </w:r>
      <w:r w:rsidRPr="00DC4068">
        <w:rPr>
          <w:rFonts w:cs="Arial"/>
          <w:sz w:val="20"/>
          <w:szCs w:val="18"/>
        </w:rPr>
        <w:t xml:space="preserve"> glass slide using a pipette</w:t>
      </w:r>
      <w:r w:rsidR="00060B87" w:rsidRPr="00DC4068">
        <w:rPr>
          <w:rFonts w:cs="Arial"/>
          <w:sz w:val="20"/>
          <w:szCs w:val="18"/>
        </w:rPr>
        <w:t>.</w:t>
      </w:r>
      <w:r w:rsidRPr="00DC4068">
        <w:rPr>
          <w:rFonts w:cs="Arial"/>
          <w:sz w:val="20"/>
          <w:szCs w:val="18"/>
        </w:rPr>
        <w:t xml:space="preserve"> </w:t>
      </w:r>
      <w:r w:rsidR="00060B87" w:rsidRPr="00DC4068">
        <w:rPr>
          <w:rFonts w:cs="Arial"/>
          <w:sz w:val="20"/>
          <w:szCs w:val="18"/>
        </w:rPr>
        <w:t>After</w:t>
      </w:r>
      <w:r w:rsidR="000668AA" w:rsidRPr="00DC4068">
        <w:rPr>
          <w:rFonts w:cs="Arial"/>
          <w:sz w:val="20"/>
          <w:szCs w:val="18"/>
        </w:rPr>
        <w:t xml:space="preserve"> </w:t>
      </w:r>
      <w:r w:rsidR="00060B87" w:rsidRPr="00DC4068">
        <w:rPr>
          <w:rFonts w:cs="Arial"/>
          <w:sz w:val="20"/>
          <w:szCs w:val="18"/>
        </w:rPr>
        <w:t xml:space="preserve">a </w:t>
      </w:r>
      <w:r w:rsidR="000668AA" w:rsidRPr="00DC4068">
        <w:rPr>
          <w:rFonts w:cs="Arial"/>
          <w:sz w:val="20"/>
          <w:szCs w:val="18"/>
        </w:rPr>
        <w:t>certain period</w:t>
      </w:r>
      <w:r w:rsidR="00060B87" w:rsidRPr="00DC4068">
        <w:rPr>
          <w:rFonts w:cs="Arial"/>
          <w:sz w:val="20"/>
          <w:szCs w:val="18"/>
        </w:rPr>
        <w:t>,</w:t>
      </w:r>
      <w:r w:rsidR="000668AA" w:rsidRPr="00DC4068">
        <w:rPr>
          <w:rFonts w:cs="Arial"/>
          <w:sz w:val="20"/>
          <w:szCs w:val="18"/>
        </w:rPr>
        <w:t xml:space="preserve"> </w:t>
      </w:r>
      <w:r w:rsidRPr="00DC4068">
        <w:rPr>
          <w:rFonts w:cs="Arial"/>
          <w:sz w:val="20"/>
          <w:szCs w:val="18"/>
        </w:rPr>
        <w:t>a second glass slide was placed on</w:t>
      </w:r>
      <w:r w:rsidR="000668AA" w:rsidRPr="00DC4068">
        <w:rPr>
          <w:rFonts w:cs="Arial"/>
          <w:sz w:val="20"/>
          <w:szCs w:val="18"/>
        </w:rPr>
        <w:t>to</w:t>
      </w:r>
      <w:r w:rsidRPr="00DC4068">
        <w:rPr>
          <w:rFonts w:cs="Arial"/>
          <w:sz w:val="20"/>
          <w:szCs w:val="18"/>
        </w:rPr>
        <w:t xml:space="preserve"> </w:t>
      </w:r>
      <w:r w:rsidR="00060B87" w:rsidRPr="00DC4068">
        <w:rPr>
          <w:rFonts w:cs="Arial"/>
          <w:sz w:val="20"/>
          <w:szCs w:val="18"/>
        </w:rPr>
        <w:t xml:space="preserve">the </w:t>
      </w:r>
      <w:r w:rsidRPr="00DC4068">
        <w:rPr>
          <w:rFonts w:cs="Arial"/>
          <w:sz w:val="20"/>
          <w:szCs w:val="18"/>
        </w:rPr>
        <w:t>first glass slide</w:t>
      </w:r>
      <w:r w:rsidR="000668AA" w:rsidRPr="00DC4068">
        <w:rPr>
          <w:rFonts w:cs="Arial"/>
          <w:sz w:val="20"/>
          <w:szCs w:val="18"/>
        </w:rPr>
        <w:t xml:space="preserve"> to form a sandwich. Start the timer, </w:t>
      </w:r>
      <w:r w:rsidR="00CC2E05" w:rsidRPr="00DC4068">
        <w:rPr>
          <w:rFonts w:cs="Arial"/>
          <w:sz w:val="20"/>
          <w:szCs w:val="18"/>
        </w:rPr>
        <w:t xml:space="preserve">after some time </w:t>
      </w:r>
      <w:r w:rsidR="000668AA" w:rsidRPr="00DC4068">
        <w:rPr>
          <w:rFonts w:cs="Arial"/>
          <w:sz w:val="20"/>
          <w:szCs w:val="18"/>
        </w:rPr>
        <w:t>slid</w:t>
      </w:r>
      <w:r w:rsidR="00CC2E05" w:rsidRPr="00DC4068">
        <w:rPr>
          <w:rFonts w:cs="Arial"/>
          <w:sz w:val="20"/>
          <w:szCs w:val="18"/>
        </w:rPr>
        <w:t>e</w:t>
      </w:r>
      <w:r w:rsidR="000668AA" w:rsidRPr="00DC4068">
        <w:rPr>
          <w:rFonts w:cs="Arial"/>
          <w:sz w:val="20"/>
          <w:szCs w:val="18"/>
        </w:rPr>
        <w:t xml:space="preserve"> the two glass slides</w:t>
      </w:r>
      <w:r w:rsidR="00060B87" w:rsidRPr="00DC4068">
        <w:rPr>
          <w:rFonts w:cs="Arial"/>
          <w:sz w:val="20"/>
          <w:szCs w:val="18"/>
        </w:rPr>
        <w:t xml:space="preserve"> in</w:t>
      </w:r>
      <w:r w:rsidR="000668AA" w:rsidRPr="00DC4068">
        <w:rPr>
          <w:rFonts w:cs="Arial"/>
          <w:sz w:val="20"/>
          <w:szCs w:val="18"/>
        </w:rPr>
        <w:t xml:space="preserve"> </w:t>
      </w:r>
      <w:r w:rsidR="00CC2E05" w:rsidRPr="00DC4068">
        <w:rPr>
          <w:rFonts w:cs="Arial"/>
          <w:sz w:val="20"/>
          <w:szCs w:val="18"/>
        </w:rPr>
        <w:t>opposite</w:t>
      </w:r>
      <w:r w:rsidR="000668AA" w:rsidRPr="00DC4068">
        <w:rPr>
          <w:rFonts w:cs="Arial"/>
          <w:sz w:val="20"/>
          <w:szCs w:val="18"/>
        </w:rPr>
        <w:t xml:space="preserve"> direction</w:t>
      </w:r>
      <w:r w:rsidR="00CC2E05" w:rsidRPr="00DC4068">
        <w:rPr>
          <w:rFonts w:cs="Arial"/>
          <w:sz w:val="20"/>
          <w:szCs w:val="18"/>
        </w:rPr>
        <w:t xml:space="preserve"> if they slide easily</w:t>
      </w:r>
      <w:r w:rsidR="00060B87" w:rsidRPr="00DC4068">
        <w:rPr>
          <w:rFonts w:cs="Arial"/>
          <w:sz w:val="20"/>
          <w:szCs w:val="18"/>
        </w:rPr>
        <w:t>,</w:t>
      </w:r>
      <w:r w:rsidR="00CC2E05" w:rsidRPr="00DC4068">
        <w:rPr>
          <w:rFonts w:cs="Arial"/>
          <w:sz w:val="20"/>
          <w:szCs w:val="18"/>
        </w:rPr>
        <w:t xml:space="preserve"> and film transferred to</w:t>
      </w:r>
      <w:r w:rsidR="00060B87" w:rsidRPr="00DC4068">
        <w:rPr>
          <w:rFonts w:cs="Arial"/>
          <w:sz w:val="20"/>
          <w:szCs w:val="18"/>
        </w:rPr>
        <w:t xml:space="preserve"> the</w:t>
      </w:r>
      <w:r w:rsidR="00CC2E05" w:rsidRPr="00DC4068">
        <w:rPr>
          <w:rFonts w:cs="Arial"/>
          <w:sz w:val="20"/>
          <w:szCs w:val="18"/>
        </w:rPr>
        <w:t xml:space="preserve"> top slide is the end point and stop the timer</w:t>
      </w:r>
      <w:r w:rsidR="00060B87" w:rsidRPr="00DC4068">
        <w:rPr>
          <w:rFonts w:cs="Arial"/>
          <w:sz w:val="20"/>
          <w:szCs w:val="18"/>
        </w:rPr>
        <w:t xml:space="preserve"> </w:t>
      </w:r>
      <w:r w:rsidR="0066327D" w:rsidRPr="00DC4068">
        <w:rPr>
          <w:rFonts w:cs="Arial"/>
          <w:sz w:val="20"/>
          <w:szCs w:val="18"/>
          <w:vertAlign w:val="superscript"/>
        </w:rPr>
        <w:t>21</w:t>
      </w:r>
      <w:r w:rsidR="00CC2E05" w:rsidRPr="00DC4068">
        <w:rPr>
          <w:rFonts w:cs="Arial"/>
          <w:sz w:val="20"/>
          <w:szCs w:val="18"/>
        </w:rPr>
        <w:t>.</w:t>
      </w:r>
    </w:p>
    <w:p w14:paraId="5FF5DC32" w14:textId="3242E3D3" w:rsidR="0028319A" w:rsidRPr="009819AD" w:rsidRDefault="007A3B9E" w:rsidP="009819AD">
      <w:pPr>
        <w:pStyle w:val="ListParagraph"/>
        <w:numPr>
          <w:ilvl w:val="2"/>
          <w:numId w:val="4"/>
        </w:numPr>
        <w:spacing w:line="240" w:lineRule="auto"/>
        <w:ind w:left="720"/>
        <w:jc w:val="both"/>
        <w:rPr>
          <w:rFonts w:cs="Arial"/>
          <w:sz w:val="20"/>
          <w:szCs w:val="16"/>
          <w:u w:val="single"/>
        </w:rPr>
      </w:pPr>
      <w:bookmarkStart w:id="8" w:name="_Hlk193450754"/>
      <w:r w:rsidRPr="009819AD">
        <w:rPr>
          <w:rFonts w:cs="Arial"/>
          <w:sz w:val="20"/>
          <w:szCs w:val="16"/>
          <w:u w:val="single"/>
        </w:rPr>
        <w:t>Film stickiness</w:t>
      </w:r>
    </w:p>
    <w:bookmarkEnd w:id="8"/>
    <w:p w14:paraId="33B04765" w14:textId="22B0BB1A" w:rsidR="00235717" w:rsidRPr="00DC4068" w:rsidRDefault="003A25E1" w:rsidP="00B4464C">
      <w:pPr>
        <w:spacing w:line="240" w:lineRule="auto"/>
        <w:jc w:val="both"/>
        <w:rPr>
          <w:rFonts w:cs="Arial"/>
          <w:sz w:val="20"/>
          <w:szCs w:val="18"/>
        </w:rPr>
      </w:pPr>
      <w:r w:rsidRPr="00DC4068">
        <w:rPr>
          <w:rFonts w:cs="Arial"/>
          <w:sz w:val="20"/>
          <w:szCs w:val="18"/>
        </w:rPr>
        <w:t xml:space="preserve">The solution was applied to a glass slide, cotton wool was gently rubbed over the dried film. Films were classified as high, medium, or low according to the quantity of the cotton fiber </w:t>
      </w:r>
      <w:r w:rsidR="00134937" w:rsidRPr="00DC4068">
        <w:rPr>
          <w:rFonts w:cs="Arial"/>
          <w:sz w:val="20"/>
          <w:szCs w:val="18"/>
        </w:rPr>
        <w:t>adhering</w:t>
      </w:r>
      <w:r w:rsidR="00364B37" w:rsidRPr="00DC4068">
        <w:rPr>
          <w:rFonts w:cs="Arial"/>
          <w:sz w:val="20"/>
          <w:szCs w:val="18"/>
        </w:rPr>
        <w:t xml:space="preserve"> </w:t>
      </w:r>
      <w:r w:rsidR="00134937" w:rsidRPr="00DC4068">
        <w:rPr>
          <w:rFonts w:cs="Arial"/>
          <w:sz w:val="20"/>
          <w:szCs w:val="18"/>
        </w:rPr>
        <w:t xml:space="preserve">to the film </w:t>
      </w:r>
      <w:r w:rsidR="00316686" w:rsidRPr="00DC4068">
        <w:rPr>
          <w:rFonts w:cs="Arial"/>
          <w:sz w:val="20"/>
          <w:szCs w:val="18"/>
          <w:vertAlign w:val="superscript"/>
        </w:rPr>
        <w:t>2</w:t>
      </w:r>
      <w:r w:rsidR="00364B37" w:rsidRPr="00DC4068">
        <w:rPr>
          <w:rFonts w:cs="Arial"/>
          <w:sz w:val="20"/>
          <w:szCs w:val="18"/>
          <w:vertAlign w:val="superscript"/>
        </w:rPr>
        <w:t>2</w:t>
      </w:r>
      <w:r w:rsidR="00364B37" w:rsidRPr="00DC4068">
        <w:rPr>
          <w:rFonts w:cs="Arial"/>
          <w:sz w:val="20"/>
          <w:szCs w:val="18"/>
        </w:rPr>
        <w:t>.</w:t>
      </w:r>
    </w:p>
    <w:p w14:paraId="34957936" w14:textId="709B8295" w:rsidR="0028319A" w:rsidRPr="00926670" w:rsidRDefault="00D2704D" w:rsidP="00926670">
      <w:pPr>
        <w:pStyle w:val="ListParagraph"/>
        <w:numPr>
          <w:ilvl w:val="2"/>
          <w:numId w:val="4"/>
        </w:numPr>
        <w:spacing w:line="240" w:lineRule="auto"/>
        <w:ind w:left="720"/>
        <w:jc w:val="both"/>
        <w:rPr>
          <w:rFonts w:cs="Arial"/>
          <w:sz w:val="20"/>
          <w:szCs w:val="20"/>
          <w:u w:val="single"/>
        </w:rPr>
      </w:pPr>
      <w:bookmarkStart w:id="9" w:name="_Hlk193450769"/>
      <w:r w:rsidRPr="00926670">
        <w:rPr>
          <w:rFonts w:cs="Arial"/>
          <w:sz w:val="20"/>
          <w:szCs w:val="20"/>
          <w:u w:val="single"/>
        </w:rPr>
        <w:t>Drug content</w:t>
      </w:r>
    </w:p>
    <w:bookmarkEnd w:id="9"/>
    <w:p w14:paraId="72D22C36" w14:textId="3A857DE1" w:rsidR="00AC69AD" w:rsidRPr="00DC4068" w:rsidRDefault="00BD110B" w:rsidP="00B4464C">
      <w:pPr>
        <w:spacing w:line="240" w:lineRule="auto"/>
        <w:jc w:val="both"/>
        <w:rPr>
          <w:rFonts w:cs="Arial"/>
          <w:sz w:val="20"/>
          <w:szCs w:val="18"/>
          <w:vertAlign w:val="superscript"/>
        </w:rPr>
      </w:pPr>
      <w:r w:rsidRPr="00DC4068">
        <w:rPr>
          <w:rFonts w:cs="Arial"/>
          <w:sz w:val="20"/>
          <w:szCs w:val="18"/>
        </w:rPr>
        <w:t>In the formulation TR</w:t>
      </w:r>
      <w:r w:rsidRPr="00DC4068">
        <w:rPr>
          <w:rFonts w:cs="Arial"/>
          <w:sz w:val="20"/>
          <w:szCs w:val="18"/>
          <w:vertAlign w:val="subscript"/>
        </w:rPr>
        <w:t>2</w:t>
      </w:r>
      <w:r w:rsidRPr="00DC4068">
        <w:rPr>
          <w:rFonts w:cs="Arial"/>
          <w:sz w:val="20"/>
          <w:szCs w:val="18"/>
        </w:rPr>
        <w:t xml:space="preserve">, 1 mL of the CPO PFFS was mixed with 10 mL of pH 7.4 phosphate buffer and stirred for three hours to assess the CPO content. The resulting mixture was then filtered and analyzed using a UV spectrophotometer at 222 nm, utilizing pH 7.4 phosphate buffer as the reference. The percentage of drug content was calculated using the relevant formula </w:t>
      </w:r>
      <w:r w:rsidRPr="00DC4068">
        <w:rPr>
          <w:rFonts w:cs="Arial"/>
          <w:sz w:val="20"/>
          <w:szCs w:val="18"/>
          <w:vertAlign w:val="superscript"/>
        </w:rPr>
        <w:t>23</w:t>
      </w:r>
      <w:r w:rsidR="00292028" w:rsidRPr="00DC4068">
        <w:rPr>
          <w:rFonts w:cs="Arial"/>
          <w:sz w:val="20"/>
          <w:szCs w:val="18"/>
        </w:rPr>
        <w:t xml:space="preserve">. </w:t>
      </w:r>
    </w:p>
    <w:p w14:paraId="757B33A8" w14:textId="1ABF28E3" w:rsidR="00316444" w:rsidRPr="00AC0307" w:rsidRDefault="00316444" w:rsidP="00B4464C">
      <w:pPr>
        <w:spacing w:line="240" w:lineRule="auto"/>
        <w:jc w:val="both"/>
        <w:rPr>
          <w:rFonts w:cs="Arial"/>
          <w:sz w:val="20"/>
          <w:szCs w:val="20"/>
        </w:rPr>
      </w:pPr>
      <m:oMathPara>
        <m:oMath>
          <m:r>
            <w:rPr>
              <w:rFonts w:ascii="Cambria Math" w:hAnsi="Cambria Math" w:cs="Arial"/>
              <w:sz w:val="20"/>
              <w:szCs w:val="20"/>
            </w:rPr>
            <m:t>Drug content</m:t>
          </m:r>
          <m:d>
            <m:dPr>
              <m:ctrlPr>
                <w:rPr>
                  <w:rFonts w:ascii="Cambria Math" w:hAnsi="Cambria Math" w:cs="Arial"/>
                  <w:i/>
                  <w:sz w:val="20"/>
                  <w:szCs w:val="20"/>
                </w:rPr>
              </m:ctrlPr>
            </m:dPr>
            <m:e>
              <m:r>
                <w:rPr>
                  <w:rFonts w:ascii="Cambria Math" w:hAnsi="Cambria Math" w:cs="Arial"/>
                  <w:sz w:val="20"/>
                  <w:szCs w:val="20"/>
                </w:rPr>
                <m:t>%</m:t>
              </m:r>
            </m:e>
          </m:d>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Amount of drug detected</m:t>
              </m:r>
            </m:num>
            <m:den>
              <m:r>
                <w:rPr>
                  <w:rFonts w:ascii="Cambria Math" w:hAnsi="Cambria Math" w:cs="Arial"/>
                  <w:sz w:val="20"/>
                  <w:szCs w:val="20"/>
                </w:rPr>
                <m:t>Theoritical amount of drug added</m:t>
              </m:r>
            </m:den>
          </m:f>
          <m:r>
            <w:rPr>
              <w:rFonts w:ascii="Cambria Math" w:hAnsi="Cambria Math" w:cs="Arial"/>
              <w:sz w:val="20"/>
              <w:szCs w:val="20"/>
            </w:rPr>
            <m:t>×100</m:t>
          </m:r>
        </m:oMath>
      </m:oMathPara>
    </w:p>
    <w:p w14:paraId="06968B1B" w14:textId="0F1E9E2A" w:rsidR="0028319A" w:rsidRPr="00926670" w:rsidRDefault="00517F7D" w:rsidP="00926670">
      <w:pPr>
        <w:pStyle w:val="ListParagraph"/>
        <w:numPr>
          <w:ilvl w:val="2"/>
          <w:numId w:val="4"/>
        </w:numPr>
        <w:spacing w:line="240" w:lineRule="auto"/>
        <w:ind w:left="720"/>
        <w:jc w:val="both"/>
        <w:rPr>
          <w:rFonts w:cs="Arial"/>
          <w:sz w:val="20"/>
          <w:szCs w:val="16"/>
          <w:u w:val="single"/>
        </w:rPr>
      </w:pPr>
      <w:bookmarkStart w:id="10" w:name="_Hlk193450783"/>
      <w:r w:rsidRPr="00926670">
        <w:rPr>
          <w:rFonts w:cs="Arial"/>
          <w:sz w:val="20"/>
          <w:szCs w:val="16"/>
          <w:u w:val="single"/>
        </w:rPr>
        <w:t>FTIR</w:t>
      </w:r>
    </w:p>
    <w:bookmarkEnd w:id="10"/>
    <w:p w14:paraId="4791016D" w14:textId="2ECD06B8" w:rsidR="00A3708C" w:rsidRPr="008242B2" w:rsidRDefault="00292028" w:rsidP="00B4464C">
      <w:pPr>
        <w:spacing w:line="240" w:lineRule="auto"/>
        <w:jc w:val="both"/>
        <w:rPr>
          <w:rFonts w:cs="Arial"/>
          <w:sz w:val="20"/>
          <w:szCs w:val="18"/>
          <w:vertAlign w:val="superscript"/>
        </w:rPr>
      </w:pPr>
      <w:r w:rsidRPr="008242B2">
        <w:rPr>
          <w:rFonts w:cs="Arial"/>
          <w:sz w:val="20"/>
          <w:szCs w:val="18"/>
        </w:rPr>
        <w:t xml:space="preserve">FTIR is extensively used </w:t>
      </w:r>
      <w:r w:rsidR="00060B87" w:rsidRPr="008242B2">
        <w:rPr>
          <w:rFonts w:cs="Arial"/>
          <w:sz w:val="20"/>
          <w:szCs w:val="18"/>
        </w:rPr>
        <w:t>to</w:t>
      </w:r>
      <w:r w:rsidRPr="008242B2">
        <w:rPr>
          <w:rFonts w:cs="Arial"/>
          <w:sz w:val="20"/>
          <w:szCs w:val="18"/>
        </w:rPr>
        <w:t xml:space="preserve"> investigate drug-excipient interactions. </w:t>
      </w:r>
      <w:r w:rsidR="00FB020E" w:rsidRPr="008242B2">
        <w:rPr>
          <w:rFonts w:cs="Arial"/>
          <w:sz w:val="20"/>
          <w:szCs w:val="18"/>
        </w:rPr>
        <w:t>FTIR spectra w</w:t>
      </w:r>
      <w:r w:rsidR="00060B87" w:rsidRPr="008242B2">
        <w:rPr>
          <w:rFonts w:cs="Arial"/>
          <w:sz w:val="20"/>
          <w:szCs w:val="18"/>
        </w:rPr>
        <w:t>ere</w:t>
      </w:r>
      <w:r w:rsidR="00FB020E" w:rsidRPr="008242B2">
        <w:rPr>
          <w:rFonts w:cs="Arial"/>
          <w:sz w:val="20"/>
          <w:szCs w:val="18"/>
        </w:rPr>
        <w:t xml:space="preserve"> r</w:t>
      </w:r>
      <w:r w:rsidRPr="008242B2">
        <w:rPr>
          <w:rFonts w:cs="Arial"/>
          <w:sz w:val="20"/>
          <w:szCs w:val="18"/>
        </w:rPr>
        <w:t xml:space="preserve">ecorded using a Jasco 460 Plus FTIR spectrophotometer. Infrared-grade potassium bromide was triturated with all the samples, and </w:t>
      </w:r>
      <w:r w:rsidR="00A3708C" w:rsidRPr="008242B2">
        <w:rPr>
          <w:rFonts w:cs="Arial"/>
          <w:sz w:val="20"/>
          <w:szCs w:val="18"/>
        </w:rPr>
        <w:t>set</w:t>
      </w:r>
      <w:r w:rsidRPr="008242B2">
        <w:rPr>
          <w:rFonts w:cs="Arial"/>
          <w:sz w:val="20"/>
          <w:szCs w:val="18"/>
        </w:rPr>
        <w:t xml:space="preserve"> in a</w:t>
      </w:r>
      <w:r w:rsidR="00A3708C" w:rsidRPr="008242B2">
        <w:rPr>
          <w:rFonts w:cs="Arial"/>
          <w:sz w:val="20"/>
          <w:szCs w:val="18"/>
        </w:rPr>
        <w:t xml:space="preserve"> sample holder of </w:t>
      </w:r>
      <w:r w:rsidRPr="008242B2">
        <w:rPr>
          <w:rFonts w:cs="Arial"/>
          <w:sz w:val="20"/>
          <w:szCs w:val="18"/>
        </w:rPr>
        <w:t>diffuse reflectance</w:t>
      </w:r>
      <w:r w:rsidR="00A3708C" w:rsidRPr="008242B2">
        <w:rPr>
          <w:rFonts w:cs="Arial"/>
          <w:sz w:val="20"/>
          <w:szCs w:val="18"/>
        </w:rPr>
        <w:t xml:space="preserve"> and scanned under</w:t>
      </w:r>
      <w:r w:rsidR="00060B87" w:rsidRPr="008242B2">
        <w:rPr>
          <w:rFonts w:cs="Arial"/>
          <w:sz w:val="20"/>
          <w:szCs w:val="18"/>
        </w:rPr>
        <w:t xml:space="preserve"> a</w:t>
      </w:r>
      <w:r w:rsidR="00A3708C" w:rsidRPr="008242B2">
        <w:rPr>
          <w:rFonts w:cs="Arial"/>
          <w:sz w:val="20"/>
          <w:szCs w:val="18"/>
        </w:rPr>
        <w:t xml:space="preserve"> </w:t>
      </w:r>
      <w:r w:rsidR="00FD263A" w:rsidRPr="008242B2">
        <w:rPr>
          <w:rFonts w:cs="Arial"/>
          <w:sz w:val="20"/>
          <w:szCs w:val="18"/>
        </w:rPr>
        <w:t>400</w:t>
      </w:r>
      <w:r w:rsidR="00A3708C" w:rsidRPr="008242B2">
        <w:rPr>
          <w:rFonts w:cs="Arial"/>
          <w:sz w:val="20"/>
          <w:szCs w:val="18"/>
        </w:rPr>
        <w:t xml:space="preserve"> to 4000cm</w:t>
      </w:r>
      <w:r w:rsidR="00926670" w:rsidRPr="008242B2">
        <w:rPr>
          <w:rFonts w:cs="Arial"/>
          <w:sz w:val="20"/>
          <w:szCs w:val="18"/>
          <w:vertAlign w:val="superscript"/>
        </w:rPr>
        <w:t>-</w:t>
      </w:r>
      <w:r w:rsidR="00A3708C" w:rsidRPr="008242B2">
        <w:rPr>
          <w:rFonts w:cs="Arial"/>
          <w:sz w:val="20"/>
          <w:szCs w:val="18"/>
          <w:vertAlign w:val="superscript"/>
        </w:rPr>
        <w:t>1</w:t>
      </w:r>
      <w:r w:rsidR="00A3708C" w:rsidRPr="008242B2">
        <w:rPr>
          <w:rFonts w:cs="Arial"/>
          <w:sz w:val="20"/>
          <w:szCs w:val="18"/>
        </w:rPr>
        <w:t xml:space="preserve"> range</w:t>
      </w:r>
      <w:r w:rsidR="00364B37" w:rsidRPr="008242B2">
        <w:rPr>
          <w:rFonts w:cs="Arial"/>
          <w:sz w:val="20"/>
          <w:szCs w:val="18"/>
        </w:rPr>
        <w:t xml:space="preserve"> </w:t>
      </w:r>
      <w:r w:rsidR="00364B37" w:rsidRPr="008242B2">
        <w:rPr>
          <w:rFonts w:cs="Arial"/>
          <w:sz w:val="20"/>
          <w:szCs w:val="18"/>
          <w:vertAlign w:val="superscript"/>
        </w:rPr>
        <w:t>24</w:t>
      </w:r>
      <w:r w:rsidR="00FD263A" w:rsidRPr="008242B2">
        <w:rPr>
          <w:rFonts w:cs="Arial"/>
          <w:sz w:val="20"/>
          <w:szCs w:val="18"/>
        </w:rPr>
        <w:t xml:space="preserve">. </w:t>
      </w:r>
    </w:p>
    <w:p w14:paraId="71C593BA" w14:textId="1DAE63DC" w:rsidR="0028319A" w:rsidRPr="00926670" w:rsidRDefault="00517F7D" w:rsidP="00926670">
      <w:pPr>
        <w:pStyle w:val="ListParagraph"/>
        <w:numPr>
          <w:ilvl w:val="2"/>
          <w:numId w:val="4"/>
        </w:numPr>
        <w:spacing w:line="240" w:lineRule="auto"/>
        <w:ind w:left="720"/>
        <w:jc w:val="both"/>
        <w:rPr>
          <w:rFonts w:cs="Arial"/>
          <w:sz w:val="20"/>
          <w:szCs w:val="16"/>
          <w:u w:val="single"/>
        </w:rPr>
      </w:pPr>
      <w:bookmarkStart w:id="11" w:name="_Hlk193450791"/>
      <w:r w:rsidRPr="00926670">
        <w:rPr>
          <w:rFonts w:cs="Arial"/>
          <w:sz w:val="20"/>
          <w:szCs w:val="16"/>
          <w:u w:val="single"/>
        </w:rPr>
        <w:t>DSC</w:t>
      </w:r>
    </w:p>
    <w:bookmarkEnd w:id="11"/>
    <w:p w14:paraId="6892E795" w14:textId="53EF8B6D" w:rsidR="00FD263A" w:rsidRPr="008242B2" w:rsidRDefault="003148A9" w:rsidP="00B4464C">
      <w:pPr>
        <w:spacing w:line="240" w:lineRule="auto"/>
        <w:jc w:val="both"/>
        <w:rPr>
          <w:rFonts w:cs="Arial"/>
          <w:sz w:val="20"/>
          <w:szCs w:val="18"/>
        </w:rPr>
      </w:pPr>
      <w:proofErr w:type="spellStart"/>
      <w:r w:rsidRPr="008242B2">
        <w:rPr>
          <w:rFonts w:cs="Arial"/>
          <w:sz w:val="20"/>
          <w:szCs w:val="18"/>
        </w:rPr>
        <w:t>Ciclopirox</w:t>
      </w:r>
      <w:proofErr w:type="spellEnd"/>
      <w:r w:rsidRPr="008242B2">
        <w:rPr>
          <w:rFonts w:cs="Arial"/>
          <w:sz w:val="20"/>
          <w:szCs w:val="18"/>
        </w:rPr>
        <w:t xml:space="preserve"> </w:t>
      </w:r>
      <w:proofErr w:type="spellStart"/>
      <w:r w:rsidRPr="008242B2">
        <w:rPr>
          <w:rFonts w:cs="Arial"/>
          <w:sz w:val="20"/>
          <w:szCs w:val="18"/>
        </w:rPr>
        <w:t>olamine</w:t>
      </w:r>
      <w:proofErr w:type="spellEnd"/>
      <w:r w:rsidRPr="008242B2">
        <w:rPr>
          <w:rFonts w:cs="Arial"/>
          <w:sz w:val="20"/>
          <w:szCs w:val="18"/>
        </w:rPr>
        <w:t xml:space="preserve">, </w:t>
      </w:r>
      <w:proofErr w:type="spellStart"/>
      <w:r w:rsidRPr="008242B2">
        <w:rPr>
          <w:rFonts w:cs="Arial"/>
          <w:sz w:val="20"/>
          <w:szCs w:val="18"/>
        </w:rPr>
        <w:t>eudragit</w:t>
      </w:r>
      <w:proofErr w:type="spellEnd"/>
      <w:r w:rsidRPr="008242B2">
        <w:rPr>
          <w:rFonts w:cs="Arial"/>
          <w:sz w:val="20"/>
          <w:szCs w:val="18"/>
        </w:rPr>
        <w:t xml:space="preserve"> RL 100, and their mixture were evaluated for the DSC analysis using</w:t>
      </w:r>
      <w:r w:rsidR="00060B87" w:rsidRPr="008242B2">
        <w:rPr>
          <w:rFonts w:cs="Arial"/>
          <w:sz w:val="20"/>
          <w:szCs w:val="18"/>
        </w:rPr>
        <w:t xml:space="preserve"> a</w:t>
      </w:r>
      <w:r w:rsidRPr="008242B2">
        <w:rPr>
          <w:rFonts w:cs="Arial"/>
          <w:sz w:val="20"/>
          <w:szCs w:val="18"/>
        </w:rPr>
        <w:t xml:space="preserve"> DSC 60 SHIMADZU analyzer to know the drug-excipient interactions. The sealed aluminum pans containing samples were heated from ambient temperature to 700°C at a controlled rate of 10°C per minute, which generates thermograms for analysis</w:t>
      </w:r>
      <w:r w:rsidR="00364B37" w:rsidRPr="008242B2">
        <w:rPr>
          <w:rFonts w:cs="Arial"/>
          <w:sz w:val="20"/>
          <w:szCs w:val="18"/>
        </w:rPr>
        <w:t xml:space="preserve"> </w:t>
      </w:r>
      <w:r w:rsidR="00364B37" w:rsidRPr="008242B2">
        <w:rPr>
          <w:rFonts w:cs="Arial"/>
          <w:sz w:val="20"/>
          <w:szCs w:val="18"/>
          <w:vertAlign w:val="superscript"/>
        </w:rPr>
        <w:t>25</w:t>
      </w:r>
      <w:r w:rsidR="00316444" w:rsidRPr="008242B2">
        <w:rPr>
          <w:rFonts w:cs="Arial"/>
          <w:sz w:val="20"/>
          <w:szCs w:val="18"/>
        </w:rPr>
        <w:t xml:space="preserve">. </w:t>
      </w:r>
    </w:p>
    <w:p w14:paraId="4AFB1C31" w14:textId="56DFD4DD" w:rsidR="0028319A" w:rsidRPr="00926670" w:rsidRDefault="0025422C" w:rsidP="00926670">
      <w:pPr>
        <w:pStyle w:val="ListParagraph"/>
        <w:numPr>
          <w:ilvl w:val="2"/>
          <w:numId w:val="4"/>
        </w:numPr>
        <w:spacing w:line="240" w:lineRule="auto"/>
        <w:ind w:left="720"/>
        <w:jc w:val="both"/>
        <w:rPr>
          <w:rFonts w:cs="Arial"/>
          <w:sz w:val="20"/>
          <w:szCs w:val="20"/>
          <w:u w:val="single"/>
        </w:rPr>
      </w:pPr>
      <w:bookmarkStart w:id="12" w:name="_Hlk193450799"/>
      <w:r w:rsidRPr="008242B2">
        <w:rPr>
          <w:rFonts w:cs="Arial"/>
          <w:i/>
          <w:iCs/>
          <w:sz w:val="20"/>
          <w:szCs w:val="20"/>
          <w:u w:val="single"/>
        </w:rPr>
        <w:t>In vitro</w:t>
      </w:r>
      <w:r w:rsidR="0044454B" w:rsidRPr="00926670">
        <w:rPr>
          <w:rFonts w:cs="Arial"/>
          <w:sz w:val="20"/>
          <w:szCs w:val="20"/>
          <w:u w:val="single"/>
        </w:rPr>
        <w:t xml:space="preserve"> drug release</w:t>
      </w:r>
    </w:p>
    <w:bookmarkEnd w:id="12"/>
    <w:p w14:paraId="481806EF" w14:textId="66C3E488" w:rsidR="001A2435" w:rsidRPr="008242B2" w:rsidRDefault="0025422C" w:rsidP="00B4464C">
      <w:pPr>
        <w:spacing w:line="240" w:lineRule="auto"/>
        <w:jc w:val="both"/>
        <w:rPr>
          <w:rFonts w:cs="Arial"/>
          <w:sz w:val="20"/>
          <w:szCs w:val="18"/>
        </w:rPr>
      </w:pPr>
      <w:r w:rsidRPr="008242B2">
        <w:rPr>
          <w:rFonts w:cs="Arial"/>
          <w:i/>
          <w:iCs/>
          <w:sz w:val="20"/>
          <w:szCs w:val="18"/>
        </w:rPr>
        <w:t>In vitro</w:t>
      </w:r>
      <w:r w:rsidR="0092363B" w:rsidRPr="008242B2">
        <w:rPr>
          <w:rFonts w:cs="Arial"/>
          <w:sz w:val="20"/>
          <w:szCs w:val="18"/>
        </w:rPr>
        <w:t xml:space="preserve"> diffusion studies were conducted using vertical Franz diffusion cells</w:t>
      </w:r>
      <w:r w:rsidR="00060B87" w:rsidRPr="008242B2">
        <w:rPr>
          <w:rFonts w:cs="Arial"/>
          <w:sz w:val="20"/>
          <w:szCs w:val="18"/>
        </w:rPr>
        <w:t>;</w:t>
      </w:r>
      <w:r w:rsidR="0092363B" w:rsidRPr="008242B2">
        <w:rPr>
          <w:rFonts w:cs="Arial"/>
          <w:sz w:val="20"/>
          <w:szCs w:val="18"/>
        </w:rPr>
        <w:t xml:space="preserve"> </w:t>
      </w:r>
      <w:r w:rsidR="0089277E" w:rsidRPr="008242B2">
        <w:rPr>
          <w:rFonts w:cs="Arial"/>
          <w:sz w:val="20"/>
          <w:szCs w:val="18"/>
        </w:rPr>
        <w:t xml:space="preserve">the barrier used here is dialysis membrane with a molecular weight cut-off of 12,000. This membrane was placed between the donor and receiver compartments and tightly held in place with a </w:t>
      </w:r>
      <w:r w:rsidR="0089277E" w:rsidRPr="008242B2">
        <w:rPr>
          <w:rFonts w:cs="Arial"/>
          <w:sz w:val="20"/>
          <w:szCs w:val="18"/>
        </w:rPr>
        <w:lastRenderedPageBreak/>
        <w:t xml:space="preserve">stainless-steel clamp. A small magnetic bead was utilized within the receiver compartment to </w:t>
      </w:r>
      <w:r w:rsidR="0092363B" w:rsidRPr="008242B2">
        <w:rPr>
          <w:rFonts w:cs="Arial"/>
          <w:sz w:val="20"/>
          <w:szCs w:val="18"/>
        </w:rPr>
        <w:t>stir</w:t>
      </w:r>
      <w:r w:rsidR="0089277E" w:rsidRPr="008242B2">
        <w:rPr>
          <w:rFonts w:cs="Arial"/>
          <w:sz w:val="20"/>
          <w:szCs w:val="18"/>
        </w:rPr>
        <w:t xml:space="preserve"> the PBS </w:t>
      </w:r>
      <w:r w:rsidR="00A65457" w:rsidRPr="008242B2">
        <w:rPr>
          <w:rFonts w:cs="Arial"/>
          <w:sz w:val="20"/>
          <w:szCs w:val="18"/>
        </w:rPr>
        <w:t>(</w:t>
      </w:r>
      <w:r w:rsidR="0089277E" w:rsidRPr="008242B2">
        <w:rPr>
          <w:rFonts w:cs="Arial"/>
          <w:sz w:val="20"/>
          <w:szCs w:val="18"/>
        </w:rPr>
        <w:t>pH of 7.4</w:t>
      </w:r>
      <w:r w:rsidR="00A65457" w:rsidRPr="008242B2">
        <w:rPr>
          <w:rFonts w:cs="Arial"/>
          <w:sz w:val="20"/>
          <w:szCs w:val="18"/>
        </w:rPr>
        <w:t>)</w:t>
      </w:r>
      <w:r w:rsidR="0089277E" w:rsidRPr="008242B2">
        <w:rPr>
          <w:rFonts w:cs="Arial"/>
          <w:sz w:val="20"/>
          <w:szCs w:val="18"/>
        </w:rPr>
        <w:t xml:space="preserve"> throughout the experiment's duration.</w:t>
      </w:r>
      <w:r w:rsidR="00A65457" w:rsidRPr="008242B2">
        <w:rPr>
          <w:rFonts w:cs="Arial"/>
          <w:sz w:val="20"/>
          <w:szCs w:val="18"/>
        </w:rPr>
        <w:t xml:space="preserve"> At a </w:t>
      </w:r>
      <w:r w:rsidR="0092363B" w:rsidRPr="008242B2">
        <w:rPr>
          <w:rFonts w:cs="Arial"/>
          <w:sz w:val="20"/>
          <w:szCs w:val="18"/>
        </w:rPr>
        <w:t>predetermined</w:t>
      </w:r>
      <w:r w:rsidR="00A65457" w:rsidRPr="008242B2">
        <w:rPr>
          <w:rFonts w:cs="Arial"/>
          <w:sz w:val="20"/>
          <w:szCs w:val="18"/>
        </w:rPr>
        <w:t xml:space="preserve"> interval, from the receptor compartment</w:t>
      </w:r>
      <w:r w:rsidR="00060B87" w:rsidRPr="008242B2">
        <w:rPr>
          <w:rFonts w:cs="Arial"/>
          <w:sz w:val="20"/>
          <w:szCs w:val="18"/>
        </w:rPr>
        <w:t>,</w:t>
      </w:r>
      <w:r w:rsidR="00A65457" w:rsidRPr="008242B2">
        <w:rPr>
          <w:rFonts w:cs="Arial"/>
          <w:sz w:val="20"/>
          <w:szCs w:val="18"/>
        </w:rPr>
        <w:t xml:space="preserve"> samples of 1ml were </w:t>
      </w:r>
      <w:r w:rsidR="0092363B" w:rsidRPr="008242B2">
        <w:rPr>
          <w:rFonts w:cs="Arial"/>
          <w:sz w:val="20"/>
          <w:szCs w:val="18"/>
        </w:rPr>
        <w:t>replace</w:t>
      </w:r>
      <w:r w:rsidR="00060B87" w:rsidRPr="008242B2">
        <w:rPr>
          <w:rFonts w:cs="Arial"/>
          <w:sz w:val="20"/>
          <w:szCs w:val="18"/>
        </w:rPr>
        <w:t>d</w:t>
      </w:r>
      <w:r w:rsidR="00A65457" w:rsidRPr="008242B2">
        <w:rPr>
          <w:rFonts w:cs="Arial"/>
          <w:sz w:val="20"/>
          <w:szCs w:val="18"/>
        </w:rPr>
        <w:t xml:space="preserve"> with fresh buffer. By using </w:t>
      </w:r>
      <w:r w:rsidR="00060B87" w:rsidRPr="008242B2">
        <w:rPr>
          <w:rFonts w:cs="Arial"/>
          <w:sz w:val="20"/>
          <w:szCs w:val="18"/>
        </w:rPr>
        <w:t xml:space="preserve">a </w:t>
      </w:r>
      <w:r w:rsidR="00A65457" w:rsidRPr="008242B2">
        <w:rPr>
          <w:rFonts w:cs="Arial"/>
          <w:sz w:val="20"/>
          <w:szCs w:val="18"/>
        </w:rPr>
        <w:t xml:space="preserve">UV spectrophotometer, trials were </w:t>
      </w:r>
      <w:proofErr w:type="spellStart"/>
      <w:r w:rsidR="0092363B" w:rsidRPr="008242B2">
        <w:rPr>
          <w:rFonts w:cs="Arial"/>
          <w:sz w:val="20"/>
          <w:szCs w:val="18"/>
        </w:rPr>
        <w:t>analysed</w:t>
      </w:r>
      <w:proofErr w:type="spellEnd"/>
      <w:r w:rsidR="00060B87" w:rsidRPr="008242B2">
        <w:rPr>
          <w:rFonts w:cs="Arial"/>
          <w:sz w:val="20"/>
          <w:szCs w:val="18"/>
        </w:rPr>
        <w:t xml:space="preserve"> </w:t>
      </w:r>
      <w:r w:rsidR="00060B87" w:rsidRPr="008242B2">
        <w:rPr>
          <w:rFonts w:cs="Arial"/>
          <w:sz w:val="20"/>
          <w:szCs w:val="18"/>
          <w:vertAlign w:val="superscript"/>
        </w:rPr>
        <w:t>26</w:t>
      </w:r>
      <w:r w:rsidR="00A65457" w:rsidRPr="008242B2">
        <w:rPr>
          <w:rFonts w:cs="Arial"/>
          <w:sz w:val="20"/>
          <w:szCs w:val="18"/>
        </w:rPr>
        <w:t>. It was conducted in triplicate (n=3) for repeatability</w:t>
      </w:r>
      <w:r w:rsidR="001761C1" w:rsidRPr="008242B2">
        <w:rPr>
          <w:rFonts w:cs="Arial"/>
          <w:sz w:val="20"/>
          <w:szCs w:val="18"/>
        </w:rPr>
        <w:t>.</w:t>
      </w:r>
    </w:p>
    <w:p w14:paraId="3E1CC989" w14:textId="0B24D923" w:rsidR="0018496D" w:rsidRPr="00926670" w:rsidRDefault="001A2435" w:rsidP="00926670">
      <w:pPr>
        <w:pStyle w:val="ListParagraph"/>
        <w:numPr>
          <w:ilvl w:val="2"/>
          <w:numId w:val="4"/>
        </w:numPr>
        <w:spacing w:line="240" w:lineRule="auto"/>
        <w:ind w:left="720"/>
        <w:jc w:val="both"/>
        <w:rPr>
          <w:rFonts w:cs="Arial"/>
          <w:sz w:val="20"/>
          <w:szCs w:val="16"/>
          <w:u w:val="single"/>
        </w:rPr>
      </w:pPr>
      <w:bookmarkStart w:id="13" w:name="_Hlk193450808"/>
      <w:r w:rsidRPr="00926670">
        <w:rPr>
          <w:rFonts w:cs="Arial"/>
          <w:sz w:val="20"/>
          <w:szCs w:val="16"/>
          <w:u w:val="single"/>
        </w:rPr>
        <w:t>Drug release kinetics</w:t>
      </w:r>
    </w:p>
    <w:p w14:paraId="273ABBA2" w14:textId="1D2BD7AE" w:rsidR="001A2435" w:rsidRPr="008242B2" w:rsidRDefault="001A2435" w:rsidP="00B4464C">
      <w:pPr>
        <w:spacing w:line="240" w:lineRule="auto"/>
        <w:rPr>
          <w:rFonts w:cs="Arial"/>
          <w:sz w:val="20"/>
          <w:szCs w:val="18"/>
        </w:rPr>
      </w:pPr>
      <w:r w:rsidRPr="008242B2">
        <w:rPr>
          <w:rFonts w:cs="Arial"/>
          <w:sz w:val="20"/>
          <w:szCs w:val="18"/>
        </w:rPr>
        <w:t xml:space="preserve">To assess how the drug is released over time, the </w:t>
      </w:r>
      <w:r w:rsidR="0025422C" w:rsidRPr="008242B2">
        <w:rPr>
          <w:rFonts w:cs="Arial"/>
          <w:i/>
          <w:iCs/>
          <w:sz w:val="20"/>
          <w:szCs w:val="18"/>
        </w:rPr>
        <w:t>in vitro</w:t>
      </w:r>
      <w:r w:rsidR="00E27642" w:rsidRPr="008242B2">
        <w:rPr>
          <w:rFonts w:cs="Arial"/>
          <w:i/>
          <w:iCs/>
          <w:sz w:val="20"/>
          <w:szCs w:val="18"/>
        </w:rPr>
        <w:t xml:space="preserve"> </w:t>
      </w:r>
      <w:r w:rsidR="00E27642" w:rsidRPr="008242B2">
        <w:rPr>
          <w:rFonts w:cs="Arial"/>
          <w:sz w:val="20"/>
          <w:szCs w:val="18"/>
        </w:rPr>
        <w:t xml:space="preserve">drug </w:t>
      </w:r>
      <w:r w:rsidRPr="008242B2">
        <w:rPr>
          <w:rFonts w:cs="Arial"/>
          <w:sz w:val="20"/>
          <w:szCs w:val="18"/>
        </w:rPr>
        <w:t>release information was examined with various models of kinetics: Zero-order kinetics, First-order kinetics, Higuchi kinetics</w:t>
      </w:r>
      <w:r w:rsidR="00E27642" w:rsidRPr="008242B2">
        <w:rPr>
          <w:rFonts w:cs="Arial"/>
          <w:sz w:val="20"/>
          <w:szCs w:val="18"/>
        </w:rPr>
        <w:t xml:space="preserve">, </w:t>
      </w:r>
      <w:proofErr w:type="spellStart"/>
      <w:r w:rsidR="00E27642" w:rsidRPr="008242B2">
        <w:rPr>
          <w:rFonts w:cs="Arial"/>
          <w:sz w:val="20"/>
          <w:szCs w:val="18"/>
        </w:rPr>
        <w:t>Korsmeyer</w:t>
      </w:r>
      <w:proofErr w:type="spellEnd"/>
      <w:r w:rsidR="00E27642" w:rsidRPr="008242B2">
        <w:rPr>
          <w:rFonts w:cs="Arial"/>
          <w:sz w:val="20"/>
          <w:szCs w:val="18"/>
        </w:rPr>
        <w:t xml:space="preserve"> </w:t>
      </w:r>
      <w:proofErr w:type="spellStart"/>
      <w:r w:rsidR="00E27642" w:rsidRPr="008242B2">
        <w:rPr>
          <w:rFonts w:cs="Arial"/>
          <w:sz w:val="20"/>
          <w:szCs w:val="18"/>
        </w:rPr>
        <w:t>Peppas</w:t>
      </w:r>
      <w:proofErr w:type="spellEnd"/>
      <w:r w:rsidR="00E27642" w:rsidRPr="008242B2">
        <w:rPr>
          <w:rFonts w:cs="Arial"/>
          <w:sz w:val="20"/>
          <w:szCs w:val="18"/>
        </w:rPr>
        <w:t xml:space="preserve"> model, and </w:t>
      </w:r>
      <w:r w:rsidR="006E25FE" w:rsidRPr="008242B2">
        <w:rPr>
          <w:rFonts w:cs="Arial"/>
          <w:sz w:val="20"/>
          <w:szCs w:val="18"/>
        </w:rPr>
        <w:t>Hixon-Crowell</w:t>
      </w:r>
      <w:r w:rsidR="00560F45" w:rsidRPr="008242B2">
        <w:rPr>
          <w:rFonts w:cs="Arial"/>
          <w:sz w:val="20"/>
          <w:szCs w:val="18"/>
        </w:rPr>
        <w:t xml:space="preserve"> </w:t>
      </w:r>
      <w:r w:rsidR="00E27642" w:rsidRPr="008242B2">
        <w:rPr>
          <w:rFonts w:cs="Arial"/>
          <w:sz w:val="20"/>
          <w:szCs w:val="18"/>
          <w:vertAlign w:val="superscript"/>
        </w:rPr>
        <w:t>2</w:t>
      </w:r>
      <w:r w:rsidR="00560F45" w:rsidRPr="008242B2">
        <w:rPr>
          <w:rFonts w:cs="Arial"/>
          <w:sz w:val="20"/>
          <w:szCs w:val="18"/>
          <w:vertAlign w:val="superscript"/>
        </w:rPr>
        <w:t>7</w:t>
      </w:r>
      <w:r w:rsidR="00560F45" w:rsidRPr="008242B2">
        <w:rPr>
          <w:rFonts w:cs="Arial"/>
          <w:sz w:val="20"/>
          <w:szCs w:val="18"/>
        </w:rPr>
        <w:t>.</w:t>
      </w:r>
    </w:p>
    <w:p w14:paraId="693F215E" w14:textId="4A781F9E" w:rsidR="0018496D" w:rsidRPr="00926670" w:rsidRDefault="007A3B9E" w:rsidP="00926670">
      <w:pPr>
        <w:pStyle w:val="ListParagraph"/>
        <w:numPr>
          <w:ilvl w:val="2"/>
          <w:numId w:val="4"/>
        </w:numPr>
        <w:spacing w:line="240" w:lineRule="auto"/>
        <w:ind w:left="720"/>
        <w:jc w:val="both"/>
        <w:rPr>
          <w:rFonts w:cs="Arial"/>
          <w:sz w:val="20"/>
          <w:szCs w:val="16"/>
          <w:u w:val="single"/>
        </w:rPr>
      </w:pPr>
      <w:r w:rsidRPr="008242B2">
        <w:rPr>
          <w:rFonts w:cs="Arial"/>
          <w:i/>
          <w:iCs/>
          <w:sz w:val="20"/>
          <w:szCs w:val="16"/>
          <w:u w:val="single"/>
        </w:rPr>
        <w:t>Ex vivo</w:t>
      </w:r>
      <w:r w:rsidRPr="00926670">
        <w:rPr>
          <w:rFonts w:cs="Arial"/>
          <w:sz w:val="20"/>
          <w:szCs w:val="16"/>
          <w:u w:val="single"/>
        </w:rPr>
        <w:t xml:space="preserve"> permeation studies</w:t>
      </w:r>
      <w:bookmarkEnd w:id="13"/>
    </w:p>
    <w:p w14:paraId="14F94FBA" w14:textId="6DC0EAAC" w:rsidR="00C32942" w:rsidRPr="008242B2" w:rsidRDefault="0025422C" w:rsidP="00B4464C">
      <w:pPr>
        <w:spacing w:line="240" w:lineRule="auto"/>
        <w:jc w:val="both"/>
        <w:rPr>
          <w:rFonts w:cs="Arial"/>
          <w:sz w:val="20"/>
          <w:szCs w:val="18"/>
        </w:rPr>
      </w:pPr>
      <w:r w:rsidRPr="008242B2">
        <w:rPr>
          <w:rFonts w:cs="Arial"/>
          <w:i/>
          <w:iCs/>
          <w:sz w:val="20"/>
          <w:szCs w:val="18"/>
        </w:rPr>
        <w:t>Ex vivo</w:t>
      </w:r>
      <w:r w:rsidR="0092363B" w:rsidRPr="008242B2">
        <w:rPr>
          <w:rFonts w:cs="Arial"/>
          <w:i/>
          <w:iCs/>
          <w:sz w:val="20"/>
          <w:szCs w:val="18"/>
        </w:rPr>
        <w:t xml:space="preserve"> </w:t>
      </w:r>
      <w:r w:rsidR="0092363B" w:rsidRPr="008242B2">
        <w:rPr>
          <w:rFonts w:cs="Arial"/>
          <w:sz w:val="20"/>
          <w:szCs w:val="18"/>
        </w:rPr>
        <w:t>permeability trials were conducted b</w:t>
      </w:r>
      <w:r w:rsidR="004329C2" w:rsidRPr="008242B2">
        <w:rPr>
          <w:rFonts w:cs="Arial"/>
          <w:sz w:val="20"/>
          <w:szCs w:val="18"/>
        </w:rPr>
        <w:t>y using snake-shed skin</w:t>
      </w:r>
      <w:r w:rsidR="00FC0451" w:rsidRPr="008242B2">
        <w:rPr>
          <w:rFonts w:cs="Arial"/>
          <w:sz w:val="20"/>
          <w:szCs w:val="18"/>
        </w:rPr>
        <w:t xml:space="preserve"> as a </w:t>
      </w:r>
      <w:r w:rsidR="000F4965" w:rsidRPr="008242B2">
        <w:rPr>
          <w:rFonts w:cs="Arial"/>
          <w:sz w:val="20"/>
          <w:szCs w:val="18"/>
        </w:rPr>
        <w:t xml:space="preserve">barrier </w:t>
      </w:r>
      <w:r w:rsidR="00FC0451" w:rsidRPr="008242B2">
        <w:rPr>
          <w:rFonts w:cs="Arial"/>
          <w:sz w:val="20"/>
          <w:szCs w:val="18"/>
        </w:rPr>
        <w:t>membrane</w:t>
      </w:r>
      <w:r w:rsidR="0092363B" w:rsidRPr="008242B2">
        <w:rPr>
          <w:rFonts w:cs="Arial"/>
          <w:sz w:val="20"/>
          <w:szCs w:val="18"/>
        </w:rPr>
        <w:t xml:space="preserve">. </w:t>
      </w:r>
      <w:r w:rsidR="006E25FE" w:rsidRPr="008242B2">
        <w:rPr>
          <w:rFonts w:cs="Arial"/>
          <w:sz w:val="20"/>
          <w:szCs w:val="18"/>
        </w:rPr>
        <w:t>A</w:t>
      </w:r>
      <w:r w:rsidR="00FC0451" w:rsidRPr="008242B2">
        <w:rPr>
          <w:rFonts w:cs="Arial"/>
          <w:sz w:val="20"/>
          <w:szCs w:val="18"/>
        </w:rPr>
        <w:t>dd 0.5</w:t>
      </w:r>
      <w:r w:rsidR="00BC54C8" w:rsidRPr="008242B2">
        <w:rPr>
          <w:rFonts w:cs="Arial"/>
          <w:sz w:val="20"/>
          <w:szCs w:val="18"/>
        </w:rPr>
        <w:t xml:space="preserve"> </w:t>
      </w:r>
      <w:r w:rsidR="00FC0451" w:rsidRPr="008242B2">
        <w:rPr>
          <w:rFonts w:cs="Arial"/>
          <w:sz w:val="20"/>
          <w:szCs w:val="18"/>
        </w:rPr>
        <w:t xml:space="preserve">ml of PFFS onto to </w:t>
      </w:r>
      <w:r w:rsidR="000F4965" w:rsidRPr="008242B2">
        <w:rPr>
          <w:rFonts w:cs="Arial"/>
          <w:sz w:val="20"/>
          <w:szCs w:val="18"/>
        </w:rPr>
        <w:t>barrier</w:t>
      </w:r>
      <w:r w:rsidR="00FC0451" w:rsidRPr="008242B2">
        <w:rPr>
          <w:rFonts w:cs="Arial"/>
          <w:sz w:val="20"/>
          <w:szCs w:val="18"/>
        </w:rPr>
        <w:t xml:space="preserve"> membrane</w:t>
      </w:r>
      <w:r w:rsidR="00BC54C8" w:rsidRPr="008242B2">
        <w:rPr>
          <w:rFonts w:cs="Arial"/>
          <w:sz w:val="20"/>
          <w:szCs w:val="18"/>
        </w:rPr>
        <w:t>,</w:t>
      </w:r>
      <w:r w:rsidR="0092363B" w:rsidRPr="008242B2">
        <w:rPr>
          <w:rFonts w:cs="Arial"/>
          <w:sz w:val="20"/>
          <w:szCs w:val="18"/>
        </w:rPr>
        <w:t xml:space="preserve"> which is placed inside the donor chamber</w:t>
      </w:r>
      <w:r w:rsidR="00FC0451" w:rsidRPr="008242B2">
        <w:rPr>
          <w:rFonts w:cs="Arial"/>
          <w:sz w:val="20"/>
          <w:szCs w:val="18"/>
        </w:rPr>
        <w:t>,</w:t>
      </w:r>
      <w:r w:rsidR="0092363B" w:rsidRPr="008242B2">
        <w:rPr>
          <w:rFonts w:cs="Arial"/>
          <w:sz w:val="20"/>
          <w:szCs w:val="18"/>
        </w:rPr>
        <w:t xml:space="preserve"> the</w:t>
      </w:r>
      <w:r w:rsidR="00FC0451" w:rsidRPr="008242B2">
        <w:rPr>
          <w:rFonts w:cs="Arial"/>
          <w:sz w:val="20"/>
          <w:szCs w:val="18"/>
        </w:rPr>
        <w:t xml:space="preserve"> </w:t>
      </w:r>
      <w:r w:rsidR="009950D2" w:rsidRPr="008242B2">
        <w:rPr>
          <w:rFonts w:cs="Arial"/>
          <w:sz w:val="20"/>
          <w:szCs w:val="18"/>
        </w:rPr>
        <w:t>fi</w:t>
      </w:r>
      <w:r w:rsidR="0092363B" w:rsidRPr="008242B2">
        <w:rPr>
          <w:rFonts w:cs="Arial"/>
          <w:sz w:val="20"/>
          <w:szCs w:val="18"/>
        </w:rPr>
        <w:t>lm</w:t>
      </w:r>
      <w:r w:rsidR="009950D2" w:rsidRPr="008242B2">
        <w:rPr>
          <w:rFonts w:cs="Arial"/>
          <w:sz w:val="20"/>
          <w:szCs w:val="18"/>
        </w:rPr>
        <w:t xml:space="preserve"> was formed.</w:t>
      </w:r>
      <w:r w:rsidR="00BC54C8" w:rsidRPr="008242B2">
        <w:rPr>
          <w:rFonts w:cs="Arial"/>
          <w:sz w:val="20"/>
          <w:szCs w:val="18"/>
        </w:rPr>
        <w:t xml:space="preserve"> A</w:t>
      </w:r>
      <w:r w:rsidR="009950D2" w:rsidRPr="008242B2">
        <w:rPr>
          <w:rFonts w:cs="Arial"/>
          <w:sz w:val="20"/>
          <w:szCs w:val="18"/>
        </w:rPr>
        <w:t xml:space="preserve"> </w:t>
      </w:r>
      <w:r w:rsidR="00BC54C8" w:rsidRPr="008242B2">
        <w:rPr>
          <w:rFonts w:cs="Arial"/>
          <w:sz w:val="20"/>
          <w:szCs w:val="18"/>
        </w:rPr>
        <w:t>r</w:t>
      </w:r>
      <w:r w:rsidR="009950D2" w:rsidRPr="008242B2">
        <w:rPr>
          <w:rFonts w:cs="Arial"/>
          <w:sz w:val="20"/>
          <w:szCs w:val="18"/>
        </w:rPr>
        <w:t>elease experiment was carried out for 24</w:t>
      </w:r>
      <w:r w:rsidR="00BC54C8" w:rsidRPr="008242B2">
        <w:rPr>
          <w:rFonts w:cs="Arial"/>
          <w:sz w:val="20"/>
          <w:szCs w:val="18"/>
        </w:rPr>
        <w:t xml:space="preserve"> </w:t>
      </w:r>
      <w:r w:rsidR="009950D2" w:rsidRPr="008242B2">
        <w:rPr>
          <w:rFonts w:cs="Arial"/>
          <w:sz w:val="20"/>
          <w:szCs w:val="18"/>
        </w:rPr>
        <w:t>h</w:t>
      </w:r>
      <w:r w:rsidR="00BC54C8" w:rsidRPr="008242B2">
        <w:rPr>
          <w:rFonts w:cs="Arial"/>
          <w:sz w:val="20"/>
          <w:szCs w:val="18"/>
        </w:rPr>
        <w:t>ours</w:t>
      </w:r>
      <w:r w:rsidR="00131CCD" w:rsidRPr="008242B2">
        <w:rPr>
          <w:rFonts w:cs="Arial"/>
          <w:sz w:val="20"/>
          <w:szCs w:val="18"/>
        </w:rPr>
        <w:t>;</w:t>
      </w:r>
      <w:r w:rsidR="009950D2" w:rsidRPr="008242B2">
        <w:rPr>
          <w:rFonts w:cs="Arial"/>
          <w:sz w:val="20"/>
          <w:szCs w:val="18"/>
        </w:rPr>
        <w:t xml:space="preserve"> 1 ml of </w:t>
      </w:r>
      <w:r w:rsidR="00BC54C8" w:rsidRPr="008242B2">
        <w:rPr>
          <w:rFonts w:cs="Arial"/>
          <w:sz w:val="20"/>
          <w:szCs w:val="18"/>
        </w:rPr>
        <w:t xml:space="preserve">the </w:t>
      </w:r>
      <w:r w:rsidR="009950D2" w:rsidRPr="008242B2">
        <w:rPr>
          <w:rFonts w:cs="Arial"/>
          <w:sz w:val="20"/>
          <w:szCs w:val="18"/>
        </w:rPr>
        <w:t xml:space="preserve">sample was withdrawn and </w:t>
      </w:r>
      <w:r w:rsidR="0092363B" w:rsidRPr="008242B2">
        <w:rPr>
          <w:rFonts w:cs="Arial"/>
          <w:sz w:val="20"/>
          <w:szCs w:val="18"/>
        </w:rPr>
        <w:t>replace</w:t>
      </w:r>
      <w:r w:rsidR="00131CCD" w:rsidRPr="008242B2">
        <w:rPr>
          <w:rFonts w:cs="Arial"/>
          <w:sz w:val="20"/>
          <w:szCs w:val="18"/>
        </w:rPr>
        <w:t>d</w:t>
      </w:r>
      <w:r w:rsidR="009950D2" w:rsidRPr="008242B2">
        <w:rPr>
          <w:rFonts w:cs="Arial"/>
          <w:sz w:val="20"/>
          <w:szCs w:val="18"/>
        </w:rPr>
        <w:t xml:space="preserve"> with PBS (pH 7.4) at </w:t>
      </w:r>
      <w:r w:rsidR="0092363B" w:rsidRPr="008242B2">
        <w:rPr>
          <w:rFonts w:cs="Arial"/>
          <w:sz w:val="20"/>
          <w:szCs w:val="18"/>
        </w:rPr>
        <w:t xml:space="preserve">predetermined </w:t>
      </w:r>
      <w:r w:rsidR="009950D2" w:rsidRPr="008242B2">
        <w:rPr>
          <w:rFonts w:cs="Arial"/>
          <w:sz w:val="20"/>
          <w:szCs w:val="18"/>
        </w:rPr>
        <w:t>time intervals</w:t>
      </w:r>
      <w:r w:rsidR="00131CCD" w:rsidRPr="008242B2">
        <w:rPr>
          <w:rFonts w:cs="Arial"/>
          <w:sz w:val="20"/>
          <w:szCs w:val="18"/>
          <w:vertAlign w:val="superscript"/>
        </w:rPr>
        <w:t>28</w:t>
      </w:r>
      <w:r w:rsidR="009950D2" w:rsidRPr="008242B2">
        <w:rPr>
          <w:rFonts w:cs="Arial"/>
          <w:sz w:val="20"/>
          <w:szCs w:val="18"/>
        </w:rPr>
        <w:t>. For reproducibility</w:t>
      </w:r>
      <w:r w:rsidR="006E25FE" w:rsidRPr="008242B2">
        <w:rPr>
          <w:rFonts w:cs="Arial"/>
          <w:sz w:val="20"/>
          <w:szCs w:val="18"/>
        </w:rPr>
        <w:t>,</w:t>
      </w:r>
      <w:r w:rsidR="009950D2" w:rsidRPr="008242B2">
        <w:rPr>
          <w:rFonts w:cs="Arial"/>
          <w:sz w:val="20"/>
          <w:szCs w:val="18"/>
        </w:rPr>
        <w:t xml:space="preserve"> it was carried out in triplicate (n=3</w:t>
      </w:r>
      <w:r w:rsidR="00765CA2" w:rsidRPr="008242B2">
        <w:rPr>
          <w:rFonts w:cs="Arial"/>
          <w:sz w:val="20"/>
          <w:szCs w:val="18"/>
        </w:rPr>
        <w:t>).</w:t>
      </w:r>
    </w:p>
    <w:p w14:paraId="177D3C22" w14:textId="52A9F4DB" w:rsidR="0018496D" w:rsidRPr="00926670" w:rsidRDefault="007A3B9E" w:rsidP="00926670">
      <w:pPr>
        <w:pStyle w:val="ListParagraph"/>
        <w:numPr>
          <w:ilvl w:val="2"/>
          <w:numId w:val="4"/>
        </w:numPr>
        <w:spacing w:line="240" w:lineRule="auto"/>
        <w:ind w:left="720"/>
        <w:jc w:val="both"/>
        <w:rPr>
          <w:rFonts w:cs="Arial"/>
          <w:sz w:val="20"/>
          <w:szCs w:val="16"/>
          <w:u w:val="single"/>
        </w:rPr>
      </w:pPr>
      <w:bookmarkStart w:id="14" w:name="_Hlk193450816"/>
      <w:r w:rsidRPr="00926670">
        <w:rPr>
          <w:rFonts w:cs="Arial"/>
          <w:sz w:val="20"/>
          <w:szCs w:val="16"/>
          <w:u w:val="single"/>
        </w:rPr>
        <w:t>Antifungal assay</w:t>
      </w:r>
    </w:p>
    <w:bookmarkEnd w:id="14"/>
    <w:p w14:paraId="0708B097" w14:textId="54EF08A4" w:rsidR="00D36399" w:rsidRPr="00926670" w:rsidRDefault="00DB7892" w:rsidP="00B4464C">
      <w:pPr>
        <w:spacing w:line="240" w:lineRule="auto"/>
        <w:jc w:val="both"/>
        <w:rPr>
          <w:rFonts w:cs="Arial"/>
          <w:sz w:val="20"/>
          <w:szCs w:val="18"/>
        </w:rPr>
      </w:pPr>
      <w:r w:rsidRPr="00926670">
        <w:rPr>
          <w:rFonts w:cs="Arial"/>
          <w:sz w:val="20"/>
          <w:szCs w:val="18"/>
        </w:rPr>
        <w:t xml:space="preserve">The antifungal assay was carried out by growing </w:t>
      </w:r>
      <w:r w:rsidR="00D36399" w:rsidRPr="00926670">
        <w:rPr>
          <w:rFonts w:cs="Arial"/>
          <w:i/>
          <w:iCs/>
          <w:sz w:val="20"/>
          <w:szCs w:val="18"/>
        </w:rPr>
        <w:t xml:space="preserve">Candida albicans </w:t>
      </w:r>
      <w:r w:rsidR="00D36399" w:rsidRPr="00926670">
        <w:rPr>
          <w:rFonts w:cs="Arial"/>
          <w:sz w:val="20"/>
          <w:szCs w:val="18"/>
        </w:rPr>
        <w:t xml:space="preserve">ATCC90028 in a potato dextrose broth for three days at 30°C under constant </w:t>
      </w:r>
      <w:r w:rsidR="000F4965" w:rsidRPr="00926670">
        <w:rPr>
          <w:rFonts w:cs="Arial"/>
          <w:sz w:val="20"/>
          <w:szCs w:val="18"/>
        </w:rPr>
        <w:t xml:space="preserve">mixing </w:t>
      </w:r>
      <w:r w:rsidR="00D36399" w:rsidRPr="00926670">
        <w:rPr>
          <w:rFonts w:cs="Arial"/>
          <w:sz w:val="20"/>
          <w:szCs w:val="18"/>
        </w:rPr>
        <w:t>(150</w:t>
      </w:r>
      <w:r w:rsidR="00131CCD" w:rsidRPr="00926670">
        <w:rPr>
          <w:rFonts w:cs="Arial"/>
          <w:sz w:val="20"/>
          <w:szCs w:val="18"/>
        </w:rPr>
        <w:t xml:space="preserve"> </w:t>
      </w:r>
      <w:r w:rsidR="00D36399" w:rsidRPr="00926670">
        <w:rPr>
          <w:rFonts w:cs="Arial"/>
          <w:sz w:val="20"/>
          <w:szCs w:val="18"/>
        </w:rPr>
        <w:t>rpm)</w:t>
      </w:r>
      <w:r w:rsidR="000640BB" w:rsidRPr="00926670">
        <w:rPr>
          <w:rFonts w:cs="Arial"/>
          <w:sz w:val="20"/>
          <w:szCs w:val="18"/>
        </w:rPr>
        <w:t xml:space="preserve"> </w:t>
      </w:r>
      <w:r w:rsidR="00765CA2" w:rsidRPr="00926670">
        <w:rPr>
          <w:rFonts w:cs="Arial"/>
          <w:sz w:val="20"/>
          <w:szCs w:val="18"/>
          <w:vertAlign w:val="superscript"/>
        </w:rPr>
        <w:t>29</w:t>
      </w:r>
      <w:r w:rsidR="000640BB" w:rsidRPr="00926670">
        <w:rPr>
          <w:rFonts w:cs="Arial"/>
          <w:sz w:val="20"/>
          <w:szCs w:val="18"/>
        </w:rPr>
        <w:t>. A Petri dish was sterilized</w:t>
      </w:r>
      <w:r w:rsidR="00131CCD" w:rsidRPr="00926670">
        <w:rPr>
          <w:rFonts w:cs="Arial"/>
          <w:sz w:val="20"/>
          <w:szCs w:val="18"/>
        </w:rPr>
        <w:t>,</w:t>
      </w:r>
      <w:r w:rsidR="000640BB" w:rsidRPr="00926670">
        <w:rPr>
          <w:rFonts w:cs="Arial"/>
          <w:sz w:val="20"/>
          <w:szCs w:val="18"/>
        </w:rPr>
        <w:t xml:space="preserve"> and Potato Dextrose Agar (PDA) medi</w:t>
      </w:r>
      <w:r w:rsidR="00B72B17" w:rsidRPr="00926670">
        <w:rPr>
          <w:rFonts w:cs="Arial"/>
          <w:sz w:val="20"/>
          <w:szCs w:val="18"/>
        </w:rPr>
        <w:t>a</w:t>
      </w:r>
      <w:r w:rsidR="00131CCD" w:rsidRPr="00926670">
        <w:rPr>
          <w:rFonts w:cs="Arial"/>
          <w:sz w:val="20"/>
          <w:szCs w:val="18"/>
        </w:rPr>
        <w:t>,</w:t>
      </w:r>
      <w:r w:rsidR="000640BB" w:rsidRPr="00926670">
        <w:rPr>
          <w:rFonts w:cs="Arial"/>
          <w:sz w:val="20"/>
          <w:szCs w:val="18"/>
        </w:rPr>
        <w:t xml:space="preserve"> </w:t>
      </w:r>
      <w:r w:rsidRPr="00926670">
        <w:rPr>
          <w:rFonts w:cs="Arial"/>
          <w:sz w:val="20"/>
          <w:szCs w:val="18"/>
        </w:rPr>
        <w:t xml:space="preserve">which </w:t>
      </w:r>
      <w:r w:rsidR="00131CCD" w:rsidRPr="00926670">
        <w:rPr>
          <w:rFonts w:cs="Arial"/>
          <w:sz w:val="20"/>
          <w:szCs w:val="18"/>
        </w:rPr>
        <w:t>had been</w:t>
      </w:r>
      <w:r w:rsidRPr="00926670">
        <w:rPr>
          <w:rFonts w:cs="Arial"/>
          <w:sz w:val="20"/>
          <w:szCs w:val="18"/>
        </w:rPr>
        <w:t xml:space="preserve"> </w:t>
      </w:r>
      <w:r w:rsidR="00B72B17" w:rsidRPr="00926670">
        <w:rPr>
          <w:rFonts w:cs="Arial"/>
          <w:sz w:val="20"/>
          <w:szCs w:val="18"/>
        </w:rPr>
        <w:t>previously inoculated with</w:t>
      </w:r>
      <w:r w:rsidR="00131CCD" w:rsidRPr="00926670">
        <w:rPr>
          <w:rFonts w:cs="Arial"/>
          <w:sz w:val="20"/>
          <w:szCs w:val="18"/>
        </w:rPr>
        <w:t xml:space="preserve"> a</w:t>
      </w:r>
      <w:r w:rsidR="00B72B17" w:rsidRPr="00926670">
        <w:rPr>
          <w:rFonts w:cs="Arial"/>
          <w:sz w:val="20"/>
          <w:szCs w:val="18"/>
        </w:rPr>
        <w:t xml:space="preserve"> fungal pathogen</w:t>
      </w:r>
      <w:r w:rsidR="00131CCD" w:rsidRPr="00926670">
        <w:rPr>
          <w:rFonts w:cs="Arial"/>
          <w:sz w:val="20"/>
          <w:szCs w:val="18"/>
        </w:rPr>
        <w:t>,</w:t>
      </w:r>
      <w:r w:rsidR="00B72B17" w:rsidRPr="00926670">
        <w:rPr>
          <w:rFonts w:cs="Arial"/>
          <w:sz w:val="20"/>
          <w:szCs w:val="18"/>
        </w:rPr>
        <w:t xml:space="preserve"> </w:t>
      </w:r>
      <w:r w:rsidR="00434505" w:rsidRPr="00926670">
        <w:rPr>
          <w:rFonts w:cs="Arial"/>
          <w:sz w:val="20"/>
          <w:szCs w:val="18"/>
        </w:rPr>
        <w:t xml:space="preserve">was poured and allowed to </w:t>
      </w:r>
      <w:r w:rsidR="00B72B17" w:rsidRPr="00926670">
        <w:rPr>
          <w:rFonts w:cs="Arial"/>
          <w:sz w:val="20"/>
          <w:szCs w:val="18"/>
        </w:rPr>
        <w:t>solidify.</w:t>
      </w:r>
      <w:r w:rsidR="00681D67" w:rsidRPr="00926670">
        <w:rPr>
          <w:rFonts w:cs="Arial"/>
          <w:sz w:val="20"/>
          <w:szCs w:val="18"/>
        </w:rPr>
        <w:t xml:space="preserve"> </w:t>
      </w:r>
      <w:r w:rsidR="00434505" w:rsidRPr="00926670">
        <w:rPr>
          <w:rFonts w:cs="Arial"/>
          <w:sz w:val="20"/>
          <w:szCs w:val="18"/>
        </w:rPr>
        <w:t>W</w:t>
      </w:r>
      <w:r w:rsidR="00681D67" w:rsidRPr="00926670">
        <w:rPr>
          <w:rFonts w:cs="Arial"/>
          <w:sz w:val="20"/>
          <w:szCs w:val="18"/>
        </w:rPr>
        <w:t xml:space="preserve">ells </w:t>
      </w:r>
      <w:r w:rsidR="00434505" w:rsidRPr="00926670">
        <w:rPr>
          <w:rFonts w:cs="Arial"/>
          <w:sz w:val="20"/>
          <w:szCs w:val="18"/>
        </w:rPr>
        <w:t xml:space="preserve">(4mm) </w:t>
      </w:r>
      <w:r w:rsidR="00681D67" w:rsidRPr="00926670">
        <w:rPr>
          <w:rFonts w:cs="Arial"/>
          <w:sz w:val="20"/>
          <w:szCs w:val="18"/>
        </w:rPr>
        <w:t xml:space="preserve">were created using a sterile </w:t>
      </w:r>
      <w:proofErr w:type="spellStart"/>
      <w:r w:rsidR="00681D67" w:rsidRPr="00926670">
        <w:rPr>
          <w:rFonts w:cs="Arial"/>
          <w:sz w:val="20"/>
          <w:szCs w:val="18"/>
        </w:rPr>
        <w:t>cork</w:t>
      </w:r>
      <w:proofErr w:type="spellEnd"/>
      <w:r w:rsidR="00681D67" w:rsidRPr="00926670">
        <w:rPr>
          <w:rFonts w:cs="Arial"/>
          <w:sz w:val="20"/>
          <w:szCs w:val="18"/>
        </w:rPr>
        <w:t xml:space="preserve"> borer and filled with 100μL of each sample. To allow proper diffusion, the plates were refrigerated at 4°C for 30 minutes, then incubated at 30°C for 2-3 days. The zone of inhibition was then measured in millimeters</w:t>
      </w:r>
      <w:r w:rsidR="00765CA2" w:rsidRPr="00926670">
        <w:rPr>
          <w:rFonts w:cs="Arial"/>
          <w:sz w:val="20"/>
          <w:szCs w:val="18"/>
        </w:rPr>
        <w:t xml:space="preserve"> </w:t>
      </w:r>
      <w:r w:rsidR="00765CA2" w:rsidRPr="00926670">
        <w:rPr>
          <w:rFonts w:cs="Arial"/>
          <w:sz w:val="20"/>
          <w:szCs w:val="18"/>
          <w:vertAlign w:val="superscript"/>
        </w:rPr>
        <w:t>30</w:t>
      </w:r>
      <w:r w:rsidR="00681D67" w:rsidRPr="00926670">
        <w:rPr>
          <w:rFonts w:cs="Arial"/>
          <w:sz w:val="20"/>
          <w:szCs w:val="18"/>
        </w:rPr>
        <w:t>.</w:t>
      </w:r>
    </w:p>
    <w:p w14:paraId="565452F6" w14:textId="018F18A6" w:rsidR="004104B5" w:rsidRPr="00926670" w:rsidRDefault="007A3B9E" w:rsidP="00926670">
      <w:pPr>
        <w:pStyle w:val="ListParagraph"/>
        <w:numPr>
          <w:ilvl w:val="2"/>
          <w:numId w:val="4"/>
        </w:numPr>
        <w:spacing w:line="240" w:lineRule="auto"/>
        <w:ind w:left="720"/>
        <w:jc w:val="both"/>
        <w:rPr>
          <w:rFonts w:cs="Arial"/>
          <w:sz w:val="20"/>
          <w:szCs w:val="16"/>
          <w:u w:val="single"/>
        </w:rPr>
      </w:pPr>
      <w:bookmarkStart w:id="15" w:name="_Hlk193450826"/>
      <w:r w:rsidRPr="00926670">
        <w:rPr>
          <w:rFonts w:cs="Arial"/>
          <w:sz w:val="20"/>
          <w:szCs w:val="16"/>
          <w:u w:val="single"/>
        </w:rPr>
        <w:t>Short-term stability studies</w:t>
      </w:r>
    </w:p>
    <w:bookmarkEnd w:id="15"/>
    <w:p w14:paraId="57C40280" w14:textId="75589EDF" w:rsidR="00681D67" w:rsidRPr="00926670" w:rsidRDefault="007E711B" w:rsidP="00B4464C">
      <w:pPr>
        <w:spacing w:line="240" w:lineRule="auto"/>
        <w:jc w:val="both"/>
        <w:rPr>
          <w:rFonts w:cs="Arial"/>
          <w:sz w:val="20"/>
          <w:szCs w:val="20"/>
        </w:rPr>
      </w:pPr>
      <w:r w:rsidRPr="00926670">
        <w:rPr>
          <w:rFonts w:cs="Arial"/>
          <w:sz w:val="20"/>
          <w:szCs w:val="20"/>
        </w:rPr>
        <w:t xml:space="preserve">Short-term stability was assessed over one month at </w:t>
      </w:r>
      <w:r w:rsidR="00E77632" w:rsidRPr="00926670">
        <w:rPr>
          <w:rFonts w:cs="Arial"/>
          <w:sz w:val="20"/>
          <w:szCs w:val="20"/>
        </w:rPr>
        <w:t>room temperature</w:t>
      </w:r>
      <w:r w:rsidRPr="00926670">
        <w:rPr>
          <w:rFonts w:cs="Arial"/>
          <w:sz w:val="20"/>
          <w:szCs w:val="20"/>
        </w:rPr>
        <w:t>. This testing evaluated how formulation quality varied over time under different environmental conditions, including pH, viscosity, film appearance, and drug content percentage</w:t>
      </w:r>
      <w:r w:rsidR="00765CA2" w:rsidRPr="00926670">
        <w:rPr>
          <w:rFonts w:cs="Arial"/>
          <w:sz w:val="20"/>
          <w:szCs w:val="20"/>
        </w:rPr>
        <w:t xml:space="preserve"> </w:t>
      </w:r>
      <w:r w:rsidR="00765CA2" w:rsidRPr="00926670">
        <w:rPr>
          <w:rFonts w:cs="Arial"/>
          <w:sz w:val="20"/>
          <w:szCs w:val="20"/>
          <w:vertAlign w:val="superscript"/>
        </w:rPr>
        <w:t>31</w:t>
      </w:r>
      <w:r w:rsidRPr="00926670">
        <w:rPr>
          <w:rFonts w:cs="Arial"/>
          <w:sz w:val="20"/>
          <w:szCs w:val="20"/>
        </w:rPr>
        <w:t>.</w:t>
      </w:r>
    </w:p>
    <w:p w14:paraId="00D47212" w14:textId="39D52543" w:rsidR="007A3B9E" w:rsidRPr="00B67CB3" w:rsidRDefault="00723356" w:rsidP="00926670">
      <w:pPr>
        <w:pStyle w:val="Title"/>
        <w:numPr>
          <w:ilvl w:val="0"/>
          <w:numId w:val="4"/>
        </w:numPr>
        <w:ind w:left="360"/>
        <w:contextualSpacing w:val="0"/>
        <w:jc w:val="both"/>
        <w:rPr>
          <w:rFonts w:cs="Arial"/>
          <w:sz w:val="24"/>
          <w:szCs w:val="24"/>
        </w:rPr>
      </w:pPr>
      <w:r w:rsidRPr="00B67CB3">
        <w:rPr>
          <w:rFonts w:cs="Arial"/>
          <w:sz w:val="24"/>
          <w:szCs w:val="24"/>
        </w:rPr>
        <w:t>RESULTS AND DISCUSSION</w:t>
      </w:r>
    </w:p>
    <w:p w14:paraId="7D9C4C2E" w14:textId="310A1323" w:rsidR="00A017D9" w:rsidRDefault="002D1BE5" w:rsidP="00B4464C">
      <w:pPr>
        <w:spacing w:line="240" w:lineRule="auto"/>
        <w:jc w:val="both"/>
        <w:rPr>
          <w:rFonts w:cs="Arial"/>
          <w:sz w:val="20"/>
          <w:szCs w:val="20"/>
        </w:rPr>
      </w:pPr>
      <w:r w:rsidRPr="00926670">
        <w:rPr>
          <w:rFonts w:cs="Arial"/>
          <w:sz w:val="20"/>
          <w:szCs w:val="20"/>
        </w:rPr>
        <w:t>Conventional transdermal patches exhibit low absorption, as a significant portion of the drug remains unabsorbed, either on the skin's surface or within the dosage form</w:t>
      </w:r>
      <w:r w:rsidR="00F72C7E" w:rsidRPr="00926670">
        <w:rPr>
          <w:rFonts w:cs="Arial"/>
          <w:sz w:val="20"/>
          <w:szCs w:val="20"/>
        </w:rPr>
        <w:t xml:space="preserve"> </w:t>
      </w:r>
      <w:r w:rsidR="00316686" w:rsidRPr="00926670">
        <w:rPr>
          <w:rFonts w:cs="Arial"/>
          <w:sz w:val="20"/>
          <w:szCs w:val="20"/>
          <w:vertAlign w:val="superscript"/>
        </w:rPr>
        <w:t>3</w:t>
      </w:r>
      <w:r w:rsidR="00765CA2" w:rsidRPr="00926670">
        <w:rPr>
          <w:rFonts w:cs="Arial"/>
          <w:sz w:val="20"/>
          <w:szCs w:val="20"/>
          <w:vertAlign w:val="superscript"/>
        </w:rPr>
        <w:t>2</w:t>
      </w:r>
      <w:r w:rsidRPr="00926670">
        <w:rPr>
          <w:rFonts w:cs="Arial"/>
          <w:sz w:val="20"/>
          <w:szCs w:val="20"/>
        </w:rPr>
        <w:t>. Additionally, applying, retaining, and removing these patches can be challenging. PFFS offer</w:t>
      </w:r>
      <w:r w:rsidR="00131CCD" w:rsidRPr="00926670">
        <w:rPr>
          <w:rFonts w:cs="Arial"/>
          <w:sz w:val="20"/>
          <w:szCs w:val="20"/>
        </w:rPr>
        <w:t>s</w:t>
      </w:r>
      <w:r w:rsidRPr="00926670">
        <w:rPr>
          <w:rFonts w:cs="Arial"/>
          <w:sz w:val="20"/>
          <w:szCs w:val="20"/>
        </w:rPr>
        <w:t xml:space="preserve"> several advantages over conventional formulations, including ease of application over a large surface area, reduced product loss, and</w:t>
      </w:r>
      <w:r w:rsidR="007C2C60" w:rsidRPr="00926670">
        <w:rPr>
          <w:rFonts w:cs="Arial"/>
          <w:sz w:val="20"/>
          <w:szCs w:val="20"/>
        </w:rPr>
        <w:t xml:space="preserve"> significant enhance</w:t>
      </w:r>
      <w:r w:rsidR="00DB5187" w:rsidRPr="00926670">
        <w:rPr>
          <w:rFonts w:cs="Arial"/>
          <w:sz w:val="20"/>
          <w:szCs w:val="20"/>
        </w:rPr>
        <w:t>ment of</w:t>
      </w:r>
      <w:r w:rsidR="007C2C60" w:rsidRPr="00926670">
        <w:rPr>
          <w:rFonts w:cs="Arial"/>
          <w:sz w:val="20"/>
          <w:szCs w:val="20"/>
        </w:rPr>
        <w:t xml:space="preserve"> the total absorption to about 50 to 60 percent after overcoming the challenges of dissolving it</w:t>
      </w:r>
      <w:r w:rsidRPr="00926670">
        <w:rPr>
          <w:rFonts w:cs="Arial"/>
          <w:sz w:val="20"/>
          <w:szCs w:val="20"/>
        </w:rPr>
        <w:t>.</w:t>
      </w:r>
      <w:r w:rsidR="00A017D9" w:rsidRPr="00926670">
        <w:rPr>
          <w:rFonts w:cs="Arial"/>
          <w:sz w:val="20"/>
          <w:szCs w:val="20"/>
        </w:rPr>
        <w:t xml:space="preserve"> Molecular weight and lipophilicity are key factors in skin permeation</w:t>
      </w:r>
      <w:r w:rsidR="00131CCD" w:rsidRPr="00926670">
        <w:rPr>
          <w:rFonts w:cs="Arial"/>
          <w:sz w:val="20"/>
          <w:szCs w:val="20"/>
        </w:rPr>
        <w:t xml:space="preserve"> </w:t>
      </w:r>
      <w:r w:rsidR="003657DA" w:rsidRPr="00926670">
        <w:rPr>
          <w:rFonts w:cs="Arial"/>
          <w:sz w:val="20"/>
          <w:szCs w:val="20"/>
          <w:vertAlign w:val="superscript"/>
        </w:rPr>
        <w:t>33</w:t>
      </w:r>
      <w:r w:rsidR="00A017D9" w:rsidRPr="00926670">
        <w:rPr>
          <w:rFonts w:cs="Arial"/>
          <w:sz w:val="20"/>
          <w:szCs w:val="20"/>
        </w:rPr>
        <w:t>. Compounds with intermediate polarity (log P 1–3) effectively penetrate the epidermis.</w:t>
      </w:r>
      <w:r w:rsidRPr="00926670">
        <w:rPr>
          <w:rFonts w:cs="Arial"/>
          <w:sz w:val="20"/>
          <w:szCs w:val="20"/>
        </w:rPr>
        <w:t xml:space="preserve"> </w:t>
      </w:r>
      <w:r w:rsidR="00A017D9" w:rsidRPr="00926670">
        <w:rPr>
          <w:rFonts w:cs="Arial"/>
          <w:sz w:val="20"/>
          <w:szCs w:val="20"/>
        </w:rPr>
        <w:t>Drug CPO</w:t>
      </w:r>
      <w:r w:rsidR="00F643E6" w:rsidRPr="00926670">
        <w:rPr>
          <w:rFonts w:cs="Arial"/>
          <w:sz w:val="20"/>
          <w:szCs w:val="20"/>
        </w:rPr>
        <w:t>,</w:t>
      </w:r>
      <w:r w:rsidR="00A017D9" w:rsidRPr="00926670">
        <w:rPr>
          <w:rFonts w:cs="Arial"/>
          <w:sz w:val="20"/>
          <w:szCs w:val="20"/>
        </w:rPr>
        <w:t xml:space="preserve"> having </w:t>
      </w:r>
      <w:r w:rsidR="00131CCD" w:rsidRPr="00926670">
        <w:rPr>
          <w:rFonts w:cs="Arial"/>
          <w:sz w:val="20"/>
          <w:szCs w:val="20"/>
        </w:rPr>
        <w:t xml:space="preserve">a </w:t>
      </w:r>
      <w:r w:rsidR="00A017D9" w:rsidRPr="00926670">
        <w:rPr>
          <w:rFonts w:cs="Arial"/>
          <w:sz w:val="20"/>
          <w:szCs w:val="20"/>
        </w:rPr>
        <w:t>molecular weight of 268.35g/mol with moderate lipophilicity</w:t>
      </w:r>
      <w:r w:rsidR="00CC5232">
        <w:rPr>
          <w:rFonts w:cs="Arial"/>
          <w:sz w:val="20"/>
          <w:szCs w:val="20"/>
        </w:rPr>
        <w:t xml:space="preserve">, </w:t>
      </w:r>
      <w:r w:rsidRPr="00926670">
        <w:rPr>
          <w:rFonts w:cs="Arial"/>
          <w:sz w:val="20"/>
          <w:szCs w:val="20"/>
        </w:rPr>
        <w:t>makes PFFS an ideal platform for delivering</w:t>
      </w:r>
      <w:r w:rsidR="00A017D9" w:rsidRPr="00926670">
        <w:rPr>
          <w:rFonts w:cs="Arial"/>
          <w:sz w:val="20"/>
          <w:szCs w:val="20"/>
        </w:rPr>
        <w:t xml:space="preserve"> the dose</w:t>
      </w:r>
      <w:r w:rsidR="003657DA" w:rsidRPr="00926670">
        <w:rPr>
          <w:rFonts w:cs="Arial"/>
          <w:sz w:val="20"/>
          <w:szCs w:val="20"/>
          <w:vertAlign w:val="superscript"/>
        </w:rPr>
        <w:t>34</w:t>
      </w:r>
      <w:r w:rsidR="003657DA" w:rsidRPr="00926670">
        <w:rPr>
          <w:rFonts w:cs="Arial"/>
          <w:sz w:val="20"/>
          <w:szCs w:val="20"/>
        </w:rPr>
        <w:t>.</w:t>
      </w:r>
    </w:p>
    <w:p w14:paraId="1D940838" w14:textId="77777777" w:rsidR="002E33C2" w:rsidRPr="00926670" w:rsidRDefault="002E33C2" w:rsidP="00B4464C">
      <w:pPr>
        <w:spacing w:line="240" w:lineRule="auto"/>
        <w:jc w:val="both"/>
        <w:rPr>
          <w:rFonts w:cs="Arial"/>
          <w:strike/>
          <w:sz w:val="20"/>
          <w:szCs w:val="20"/>
        </w:rPr>
      </w:pPr>
    </w:p>
    <w:p w14:paraId="512F1EB3" w14:textId="5433CC88" w:rsidR="00CF4D38" w:rsidRPr="00CF4D38" w:rsidRDefault="00FA2526" w:rsidP="00CF4D38">
      <w:pPr>
        <w:pStyle w:val="ListParagraph"/>
        <w:numPr>
          <w:ilvl w:val="1"/>
          <w:numId w:val="4"/>
        </w:numPr>
        <w:spacing w:line="240" w:lineRule="auto"/>
        <w:ind w:left="450" w:hanging="450"/>
        <w:jc w:val="both"/>
        <w:rPr>
          <w:rFonts w:cs="Arial"/>
          <w:bCs/>
          <w:sz w:val="22"/>
          <w:szCs w:val="24"/>
        </w:rPr>
      </w:pPr>
      <w:r w:rsidRPr="00CF4D38">
        <w:rPr>
          <w:rFonts w:cs="Arial"/>
          <w:bCs/>
          <w:sz w:val="22"/>
          <w:szCs w:val="24"/>
        </w:rPr>
        <w:t xml:space="preserve">Partition </w:t>
      </w:r>
      <w:r w:rsidR="00133109" w:rsidRPr="00CF4D38">
        <w:rPr>
          <w:rFonts w:cs="Arial"/>
          <w:bCs/>
          <w:sz w:val="22"/>
          <w:szCs w:val="24"/>
        </w:rPr>
        <w:t>C</w:t>
      </w:r>
      <w:r w:rsidRPr="00CF4D38">
        <w:rPr>
          <w:rFonts w:cs="Arial"/>
          <w:bCs/>
          <w:sz w:val="22"/>
          <w:szCs w:val="24"/>
        </w:rPr>
        <w:t>oefficient</w:t>
      </w:r>
    </w:p>
    <w:p w14:paraId="1D424534" w14:textId="29FA1BDD" w:rsidR="00FA2526" w:rsidRPr="00B67CB3" w:rsidRDefault="00092C7F" w:rsidP="00B4464C">
      <w:pPr>
        <w:spacing w:line="240" w:lineRule="auto"/>
        <w:jc w:val="both"/>
        <w:rPr>
          <w:rFonts w:cs="Arial"/>
        </w:rPr>
      </w:pPr>
      <w:r w:rsidRPr="008242B2">
        <w:rPr>
          <w:rFonts w:cs="Arial"/>
          <w:sz w:val="20"/>
          <w:szCs w:val="18"/>
        </w:rPr>
        <w:t>The partition coefficient of CPO in the n-octanol</w:t>
      </w:r>
      <w:r w:rsidR="00EA1F60" w:rsidRPr="008242B2">
        <w:rPr>
          <w:rFonts w:cs="Arial"/>
          <w:sz w:val="20"/>
          <w:szCs w:val="18"/>
        </w:rPr>
        <w:t>/</w:t>
      </w:r>
      <w:r w:rsidRPr="008242B2">
        <w:rPr>
          <w:rFonts w:cs="Arial"/>
          <w:sz w:val="20"/>
          <w:szCs w:val="18"/>
        </w:rPr>
        <w:t>PB system was determined to be 1.089 ± 0.89, indicating its distribution between the aqueous and lipid phases</w:t>
      </w:r>
      <w:r w:rsidR="00026957" w:rsidRPr="008242B2">
        <w:rPr>
          <w:rFonts w:cs="Arial"/>
          <w:sz w:val="20"/>
          <w:szCs w:val="18"/>
        </w:rPr>
        <w:t xml:space="preserve"> (moderate lipophilicity)</w:t>
      </w:r>
      <w:r w:rsidRPr="008242B2">
        <w:rPr>
          <w:rFonts w:cs="Arial"/>
          <w:sz w:val="20"/>
          <w:szCs w:val="18"/>
        </w:rPr>
        <w:t>.</w:t>
      </w:r>
      <w:r w:rsidR="00026957" w:rsidRPr="008242B2">
        <w:rPr>
          <w:rFonts w:cs="Arial"/>
          <w:sz w:val="20"/>
          <w:szCs w:val="18"/>
        </w:rPr>
        <w:t xml:space="preserve"> </w:t>
      </w:r>
      <w:r w:rsidR="00DD0C6B" w:rsidRPr="008242B2">
        <w:rPr>
          <w:rFonts w:cs="Arial"/>
          <w:sz w:val="20"/>
          <w:szCs w:val="18"/>
        </w:rPr>
        <w:lastRenderedPageBreak/>
        <w:t>T</w:t>
      </w:r>
      <w:r w:rsidR="00026957" w:rsidRPr="008242B2">
        <w:rPr>
          <w:rFonts w:cs="Arial"/>
          <w:sz w:val="20"/>
          <w:szCs w:val="18"/>
        </w:rPr>
        <w:t>his balance between hydrophilicity and lipophilicity indicates effective permeat</w:t>
      </w:r>
      <w:r w:rsidR="00DD0C6B" w:rsidRPr="008242B2">
        <w:rPr>
          <w:rFonts w:cs="Arial"/>
          <w:sz w:val="20"/>
          <w:szCs w:val="18"/>
        </w:rPr>
        <w:t>ion of the</w:t>
      </w:r>
      <w:r w:rsidR="00026957" w:rsidRPr="008242B2">
        <w:rPr>
          <w:rFonts w:cs="Arial"/>
          <w:sz w:val="20"/>
          <w:szCs w:val="18"/>
        </w:rPr>
        <w:t xml:space="preserve"> biological membrane, making it suitable for transdermal delivery</w:t>
      </w:r>
      <w:r w:rsidR="00765CA2" w:rsidRPr="008242B2">
        <w:rPr>
          <w:rFonts w:cs="Arial"/>
          <w:sz w:val="20"/>
          <w:szCs w:val="18"/>
        </w:rPr>
        <w:t xml:space="preserve"> </w:t>
      </w:r>
      <w:r w:rsidR="00765CA2" w:rsidRPr="008242B2">
        <w:rPr>
          <w:rFonts w:cs="Arial"/>
          <w:sz w:val="20"/>
          <w:szCs w:val="18"/>
          <w:vertAlign w:val="superscript"/>
        </w:rPr>
        <w:t>8</w:t>
      </w:r>
      <w:r w:rsidR="00765CA2" w:rsidRPr="008242B2">
        <w:rPr>
          <w:rFonts w:cs="Arial"/>
          <w:sz w:val="20"/>
          <w:szCs w:val="18"/>
        </w:rPr>
        <w:t>.</w:t>
      </w:r>
      <w:r w:rsidR="00384929" w:rsidRPr="00B67CB3">
        <w:rPr>
          <w:rFonts w:cs="Arial"/>
          <w:vertAlign w:val="superscript"/>
        </w:rPr>
        <w:t xml:space="preserve"> </w:t>
      </w:r>
    </w:p>
    <w:p w14:paraId="63982CB8" w14:textId="76EF87E0" w:rsidR="00DE14AF" w:rsidRPr="00CF4D38" w:rsidRDefault="00FA2526" w:rsidP="00CF4D38">
      <w:pPr>
        <w:pStyle w:val="ListParagraph"/>
        <w:numPr>
          <w:ilvl w:val="1"/>
          <w:numId w:val="4"/>
        </w:numPr>
        <w:spacing w:line="240" w:lineRule="auto"/>
        <w:ind w:left="450" w:hanging="450"/>
        <w:jc w:val="both"/>
        <w:rPr>
          <w:rFonts w:cs="Arial"/>
          <w:sz w:val="22"/>
          <w:szCs w:val="24"/>
        </w:rPr>
      </w:pPr>
      <w:r w:rsidRPr="00CF4D38">
        <w:rPr>
          <w:rFonts w:cs="Arial"/>
          <w:sz w:val="22"/>
          <w:szCs w:val="24"/>
        </w:rPr>
        <w:t>Evaluation of PFFS</w:t>
      </w:r>
    </w:p>
    <w:p w14:paraId="76727E28" w14:textId="457A9BFB" w:rsidR="00E35E0D" w:rsidRPr="00CF4D38" w:rsidRDefault="00A63987" w:rsidP="00B4464C">
      <w:pPr>
        <w:spacing w:line="240" w:lineRule="auto"/>
        <w:jc w:val="both"/>
        <w:rPr>
          <w:rFonts w:cs="Arial"/>
          <w:sz w:val="20"/>
          <w:szCs w:val="18"/>
        </w:rPr>
      </w:pPr>
      <w:r w:rsidRPr="00CF4D38">
        <w:rPr>
          <w:rFonts w:cs="Arial"/>
          <w:sz w:val="20"/>
          <w:szCs w:val="18"/>
        </w:rPr>
        <w:t>By using</w:t>
      </w:r>
      <w:r w:rsidR="008E557E" w:rsidRPr="00CF4D38">
        <w:rPr>
          <w:rFonts w:cs="Arial"/>
          <w:sz w:val="20"/>
          <w:szCs w:val="18"/>
        </w:rPr>
        <w:t xml:space="preserve"> the</w:t>
      </w:r>
      <w:r w:rsidRPr="00CF4D38">
        <w:rPr>
          <w:rFonts w:cs="Arial"/>
          <w:sz w:val="20"/>
          <w:szCs w:val="18"/>
        </w:rPr>
        <w:t xml:space="preserve"> common solvent method</w:t>
      </w:r>
      <w:r w:rsidR="008E557E" w:rsidRPr="00CF4D38">
        <w:rPr>
          <w:rFonts w:cs="Arial"/>
          <w:sz w:val="20"/>
          <w:szCs w:val="18"/>
        </w:rPr>
        <w:t>,</w:t>
      </w:r>
      <w:r w:rsidRPr="00CF4D38">
        <w:rPr>
          <w:rFonts w:cs="Arial"/>
          <w:sz w:val="20"/>
          <w:szCs w:val="18"/>
        </w:rPr>
        <w:t xml:space="preserve"> 14 formulations were developed </w:t>
      </w:r>
      <w:r w:rsidR="00EC151F" w:rsidRPr="00CF4D38">
        <w:rPr>
          <w:rFonts w:cs="Arial"/>
          <w:sz w:val="20"/>
          <w:szCs w:val="18"/>
        </w:rPr>
        <w:t>with seven different polymers with their varying concentrations</w:t>
      </w:r>
      <w:r w:rsidR="00DD0C6B" w:rsidRPr="00CF4D38">
        <w:rPr>
          <w:rFonts w:cs="Arial"/>
          <w:sz w:val="20"/>
          <w:szCs w:val="18"/>
        </w:rPr>
        <w:t>,</w:t>
      </w:r>
      <w:r w:rsidR="00EC151F" w:rsidRPr="00CF4D38">
        <w:rPr>
          <w:rFonts w:cs="Arial"/>
          <w:sz w:val="20"/>
          <w:szCs w:val="18"/>
        </w:rPr>
        <w:t xml:space="preserve"> along with the </w:t>
      </w:r>
      <w:r w:rsidR="00DD0C6B" w:rsidRPr="00CF4D38">
        <w:rPr>
          <w:rFonts w:cs="Arial"/>
          <w:sz w:val="20"/>
          <w:szCs w:val="18"/>
        </w:rPr>
        <w:t xml:space="preserve">1:1 </w:t>
      </w:r>
      <w:r w:rsidR="00EC151F" w:rsidRPr="00CF4D38">
        <w:rPr>
          <w:rFonts w:cs="Arial"/>
          <w:sz w:val="20"/>
          <w:szCs w:val="18"/>
        </w:rPr>
        <w:t xml:space="preserve">ratio of menthol and camphor in ethanol. </w:t>
      </w:r>
      <w:r w:rsidR="005B211E" w:rsidRPr="00CF4D38">
        <w:rPr>
          <w:rFonts w:cs="Arial"/>
          <w:sz w:val="20"/>
          <w:szCs w:val="18"/>
        </w:rPr>
        <w:t>The physicochemical evaluation was performed to identify PFFS formulations with the most favorable characteristics. Table 2 presents the physicochemical properties of the tested formulations</w:t>
      </w:r>
      <w:r w:rsidR="0019084C" w:rsidRPr="00CF4D38">
        <w:rPr>
          <w:rFonts w:cs="Arial"/>
          <w:sz w:val="20"/>
          <w:szCs w:val="18"/>
        </w:rPr>
        <w:t xml:space="preserve"> </w:t>
      </w:r>
      <w:r w:rsidR="005B211E" w:rsidRPr="00CF4D38">
        <w:rPr>
          <w:rFonts w:cs="Arial"/>
          <w:sz w:val="20"/>
          <w:szCs w:val="18"/>
          <w:vertAlign w:val="superscript"/>
        </w:rPr>
        <w:t>3</w:t>
      </w:r>
      <w:r w:rsidR="0019084C" w:rsidRPr="00CF4D38">
        <w:rPr>
          <w:rFonts w:cs="Arial"/>
          <w:sz w:val="20"/>
          <w:szCs w:val="18"/>
          <w:vertAlign w:val="superscript"/>
        </w:rPr>
        <w:t>5</w:t>
      </w:r>
      <w:r w:rsidR="009D2198" w:rsidRPr="00CF4D38">
        <w:rPr>
          <w:rFonts w:cs="Arial"/>
          <w:sz w:val="20"/>
          <w:szCs w:val="18"/>
        </w:rPr>
        <w:t>,</w:t>
      </w:r>
      <w:r w:rsidR="0019084C" w:rsidRPr="00CF4D38">
        <w:rPr>
          <w:rFonts w:cs="Arial"/>
          <w:sz w:val="20"/>
          <w:szCs w:val="18"/>
        </w:rPr>
        <w:t xml:space="preserve"> </w:t>
      </w:r>
      <w:r w:rsidR="00F643E6" w:rsidRPr="00CF4D38">
        <w:rPr>
          <w:rFonts w:cs="Arial"/>
          <w:sz w:val="20"/>
          <w:szCs w:val="18"/>
        </w:rPr>
        <w:t>I</w:t>
      </w:r>
      <w:r w:rsidR="00B4353B" w:rsidRPr="00CF4D38">
        <w:rPr>
          <w:rFonts w:cs="Arial"/>
          <w:sz w:val="20"/>
          <w:szCs w:val="18"/>
        </w:rPr>
        <w:t xml:space="preserve">t was observed that </w:t>
      </w:r>
      <w:r w:rsidR="00CA0A4B" w:rsidRPr="00CF4D38">
        <w:rPr>
          <w:rFonts w:cs="Arial"/>
          <w:sz w:val="20"/>
          <w:szCs w:val="18"/>
        </w:rPr>
        <w:t>formulations have shown a drying time of less than 1 minute, which varied based on polymer concentration</w:t>
      </w:r>
      <w:r w:rsidR="008E557E" w:rsidRPr="00CF4D38">
        <w:rPr>
          <w:rFonts w:cs="Arial"/>
          <w:sz w:val="20"/>
          <w:szCs w:val="18"/>
        </w:rPr>
        <w:t>;</w:t>
      </w:r>
      <w:r w:rsidR="00E218E2" w:rsidRPr="00CF4D38">
        <w:rPr>
          <w:rFonts w:cs="Arial"/>
          <w:sz w:val="20"/>
          <w:szCs w:val="18"/>
        </w:rPr>
        <w:t xml:space="preserve"> as concentration increases</w:t>
      </w:r>
      <w:r w:rsidR="008E557E" w:rsidRPr="00CF4D38">
        <w:rPr>
          <w:rFonts w:cs="Arial"/>
          <w:sz w:val="20"/>
          <w:szCs w:val="18"/>
        </w:rPr>
        <w:t>,</w:t>
      </w:r>
      <w:r w:rsidR="00E218E2" w:rsidRPr="00CF4D38">
        <w:rPr>
          <w:rFonts w:cs="Arial"/>
          <w:sz w:val="20"/>
          <w:szCs w:val="18"/>
        </w:rPr>
        <w:t xml:space="preserve"> the drying time increases</w:t>
      </w:r>
      <w:r w:rsidR="00CA0A4B" w:rsidRPr="00CF4D38">
        <w:rPr>
          <w:rFonts w:cs="Arial"/>
          <w:sz w:val="20"/>
          <w:szCs w:val="18"/>
        </w:rPr>
        <w:t xml:space="preserve">. The </w:t>
      </w:r>
      <w:r w:rsidR="00B26B25" w:rsidRPr="00CF4D38">
        <w:rPr>
          <w:rFonts w:cs="Arial"/>
          <w:sz w:val="20"/>
          <w:szCs w:val="18"/>
        </w:rPr>
        <w:t>formulations TR</w:t>
      </w:r>
      <w:r w:rsidR="00B26B25" w:rsidRPr="00CF4D38">
        <w:rPr>
          <w:rFonts w:cs="Arial"/>
          <w:sz w:val="20"/>
          <w:szCs w:val="18"/>
          <w:vertAlign w:val="subscript"/>
        </w:rPr>
        <w:t>3</w:t>
      </w:r>
      <w:r w:rsidR="00B26B25" w:rsidRPr="00CF4D38">
        <w:rPr>
          <w:rFonts w:cs="Arial"/>
          <w:sz w:val="20"/>
          <w:szCs w:val="18"/>
        </w:rPr>
        <w:t>,</w:t>
      </w:r>
      <w:r w:rsidR="00BA5EAD" w:rsidRPr="00CF4D38">
        <w:rPr>
          <w:rFonts w:cs="Arial"/>
          <w:sz w:val="20"/>
          <w:szCs w:val="18"/>
        </w:rPr>
        <w:t xml:space="preserve"> TR</w:t>
      </w:r>
      <w:r w:rsidR="00BA5EAD" w:rsidRPr="00CF4D38">
        <w:rPr>
          <w:rFonts w:cs="Arial"/>
          <w:sz w:val="20"/>
          <w:szCs w:val="18"/>
          <w:vertAlign w:val="subscript"/>
        </w:rPr>
        <w:t>5</w:t>
      </w:r>
      <w:r w:rsidR="00BA5EAD" w:rsidRPr="00CF4D38">
        <w:rPr>
          <w:rFonts w:cs="Arial"/>
          <w:sz w:val="20"/>
          <w:szCs w:val="18"/>
        </w:rPr>
        <w:t>, TR</w:t>
      </w:r>
      <w:r w:rsidR="00BA5EAD" w:rsidRPr="00CF4D38">
        <w:rPr>
          <w:rFonts w:cs="Arial"/>
          <w:sz w:val="20"/>
          <w:szCs w:val="18"/>
          <w:vertAlign w:val="subscript"/>
        </w:rPr>
        <w:t>6</w:t>
      </w:r>
      <w:r w:rsidR="00BA5EAD" w:rsidRPr="00CF4D38">
        <w:rPr>
          <w:rFonts w:cs="Arial"/>
          <w:sz w:val="20"/>
          <w:szCs w:val="18"/>
        </w:rPr>
        <w:t xml:space="preserve">, </w:t>
      </w:r>
      <w:r w:rsidR="00971BE3" w:rsidRPr="00CF4D38">
        <w:rPr>
          <w:rFonts w:cs="Arial"/>
          <w:sz w:val="20"/>
          <w:szCs w:val="18"/>
        </w:rPr>
        <w:t>TR</w:t>
      </w:r>
      <w:r w:rsidR="00971BE3" w:rsidRPr="00CF4D38">
        <w:rPr>
          <w:rFonts w:cs="Arial"/>
          <w:sz w:val="20"/>
          <w:szCs w:val="18"/>
          <w:vertAlign w:val="subscript"/>
        </w:rPr>
        <w:t>7</w:t>
      </w:r>
      <w:r w:rsidR="00971BE3" w:rsidRPr="00CF4D38">
        <w:rPr>
          <w:rFonts w:cs="Arial"/>
          <w:sz w:val="20"/>
          <w:szCs w:val="18"/>
        </w:rPr>
        <w:t xml:space="preserve">, </w:t>
      </w:r>
      <w:r w:rsidR="00BA5EAD" w:rsidRPr="00CF4D38">
        <w:rPr>
          <w:rFonts w:cs="Arial"/>
          <w:sz w:val="20"/>
          <w:szCs w:val="18"/>
        </w:rPr>
        <w:t>TR9, &amp; TR</w:t>
      </w:r>
      <w:r w:rsidR="00BA5EAD" w:rsidRPr="00CF4D38">
        <w:rPr>
          <w:rFonts w:cs="Arial"/>
          <w:sz w:val="20"/>
          <w:szCs w:val="18"/>
          <w:vertAlign w:val="subscript"/>
        </w:rPr>
        <w:t>10</w:t>
      </w:r>
      <w:r w:rsidR="00CA0A4B" w:rsidRPr="00CF4D38">
        <w:rPr>
          <w:rFonts w:cs="Arial"/>
          <w:sz w:val="20"/>
          <w:szCs w:val="18"/>
        </w:rPr>
        <w:t xml:space="preserve"> </w:t>
      </w:r>
      <w:r w:rsidR="00BA5EAD" w:rsidRPr="00CF4D38">
        <w:rPr>
          <w:rFonts w:cs="Arial"/>
          <w:sz w:val="20"/>
          <w:szCs w:val="18"/>
        </w:rPr>
        <w:t>have shown</w:t>
      </w:r>
      <w:r w:rsidR="009D2198" w:rsidRPr="00CF4D38">
        <w:rPr>
          <w:rFonts w:cs="Arial"/>
          <w:sz w:val="20"/>
          <w:szCs w:val="18"/>
        </w:rPr>
        <w:t xml:space="preserve"> a</w:t>
      </w:r>
      <w:r w:rsidR="00BA5EAD" w:rsidRPr="00CF4D38">
        <w:rPr>
          <w:rFonts w:cs="Arial"/>
          <w:sz w:val="20"/>
          <w:szCs w:val="18"/>
        </w:rPr>
        <w:t xml:space="preserve"> higher viscosity and formulations TR</w:t>
      </w:r>
      <w:r w:rsidR="00BA5EAD" w:rsidRPr="00CF4D38">
        <w:rPr>
          <w:rFonts w:cs="Arial"/>
          <w:sz w:val="20"/>
          <w:szCs w:val="18"/>
          <w:vertAlign w:val="subscript"/>
        </w:rPr>
        <w:t>1</w:t>
      </w:r>
      <w:r w:rsidR="00BA5EAD" w:rsidRPr="00CF4D38">
        <w:rPr>
          <w:rFonts w:cs="Arial"/>
          <w:sz w:val="20"/>
          <w:szCs w:val="18"/>
        </w:rPr>
        <w:t>, TR</w:t>
      </w:r>
      <w:r w:rsidR="00BA5EAD" w:rsidRPr="00CF4D38">
        <w:rPr>
          <w:rFonts w:cs="Arial"/>
          <w:sz w:val="20"/>
          <w:szCs w:val="18"/>
          <w:vertAlign w:val="subscript"/>
        </w:rPr>
        <w:t>2</w:t>
      </w:r>
      <w:r w:rsidR="00BA5EAD" w:rsidRPr="00CF4D38">
        <w:rPr>
          <w:rFonts w:cs="Arial"/>
          <w:sz w:val="20"/>
          <w:szCs w:val="18"/>
        </w:rPr>
        <w:t>, TR</w:t>
      </w:r>
      <w:r w:rsidR="00BA5EAD" w:rsidRPr="00CF4D38">
        <w:rPr>
          <w:rFonts w:cs="Arial"/>
          <w:sz w:val="20"/>
          <w:szCs w:val="18"/>
          <w:vertAlign w:val="subscript"/>
        </w:rPr>
        <w:t>4</w:t>
      </w:r>
      <w:r w:rsidR="00BA5EAD" w:rsidRPr="00CF4D38">
        <w:rPr>
          <w:rFonts w:cs="Arial"/>
          <w:sz w:val="20"/>
          <w:szCs w:val="18"/>
        </w:rPr>
        <w:t>, TR</w:t>
      </w:r>
      <w:r w:rsidR="00971BE3" w:rsidRPr="00CF4D38">
        <w:rPr>
          <w:rFonts w:cs="Arial"/>
          <w:sz w:val="20"/>
          <w:szCs w:val="18"/>
          <w:vertAlign w:val="subscript"/>
        </w:rPr>
        <w:t>8</w:t>
      </w:r>
      <w:r w:rsidR="00BA5EAD" w:rsidRPr="00CF4D38">
        <w:rPr>
          <w:rFonts w:cs="Arial"/>
          <w:sz w:val="20"/>
          <w:szCs w:val="18"/>
        </w:rPr>
        <w:t>, TR</w:t>
      </w:r>
      <w:r w:rsidR="00BA5EAD" w:rsidRPr="00CF4D38">
        <w:rPr>
          <w:rFonts w:cs="Arial"/>
          <w:sz w:val="20"/>
          <w:szCs w:val="18"/>
          <w:vertAlign w:val="subscript"/>
        </w:rPr>
        <w:t>13</w:t>
      </w:r>
      <w:r w:rsidR="00BA5EAD" w:rsidRPr="00CF4D38">
        <w:rPr>
          <w:rFonts w:cs="Arial"/>
          <w:sz w:val="20"/>
          <w:szCs w:val="18"/>
        </w:rPr>
        <w:t>, &amp; TR</w:t>
      </w:r>
      <w:r w:rsidR="00BA5EAD" w:rsidRPr="00CF4D38">
        <w:rPr>
          <w:rFonts w:cs="Arial"/>
          <w:sz w:val="20"/>
          <w:szCs w:val="18"/>
          <w:vertAlign w:val="subscript"/>
        </w:rPr>
        <w:t>14</w:t>
      </w:r>
      <w:r w:rsidR="00BA5EAD" w:rsidRPr="00CF4D38">
        <w:rPr>
          <w:rFonts w:cs="Arial"/>
          <w:sz w:val="20"/>
          <w:szCs w:val="18"/>
        </w:rPr>
        <w:t xml:space="preserve"> have shown</w:t>
      </w:r>
      <w:r w:rsidR="009D2198" w:rsidRPr="00CF4D38">
        <w:rPr>
          <w:rFonts w:cs="Arial"/>
          <w:sz w:val="20"/>
          <w:szCs w:val="18"/>
        </w:rPr>
        <w:t xml:space="preserve"> a</w:t>
      </w:r>
      <w:r w:rsidR="00BA5EAD" w:rsidRPr="00CF4D38">
        <w:rPr>
          <w:rFonts w:cs="Arial"/>
          <w:sz w:val="20"/>
          <w:szCs w:val="18"/>
        </w:rPr>
        <w:t xml:space="preserve"> lower viscosity</w:t>
      </w:r>
      <w:r w:rsidR="00402C88" w:rsidRPr="00CF4D38">
        <w:rPr>
          <w:rFonts w:cs="Arial"/>
          <w:sz w:val="20"/>
          <w:szCs w:val="18"/>
        </w:rPr>
        <w:t xml:space="preserve"> (table 2)</w:t>
      </w:r>
      <w:r w:rsidR="00BA5EAD" w:rsidRPr="00CF4D38">
        <w:rPr>
          <w:rFonts w:cs="Arial"/>
          <w:sz w:val="20"/>
          <w:szCs w:val="18"/>
        </w:rPr>
        <w:t>, these viscosity changes are due to the polymeric concentrations and grade used for the formulation</w:t>
      </w:r>
      <w:r w:rsidR="00D107F5" w:rsidRPr="00CF4D38">
        <w:rPr>
          <w:rFonts w:cs="Arial"/>
          <w:sz w:val="20"/>
          <w:szCs w:val="18"/>
        </w:rPr>
        <w:t xml:space="preserve"> </w:t>
      </w:r>
      <w:r w:rsidR="00D107F5" w:rsidRPr="00CF4D38">
        <w:rPr>
          <w:rFonts w:cs="Arial"/>
          <w:sz w:val="20"/>
          <w:szCs w:val="18"/>
          <w:vertAlign w:val="superscript"/>
        </w:rPr>
        <w:t>36</w:t>
      </w:r>
      <w:r w:rsidR="00CA0A4B" w:rsidRPr="00CF4D38">
        <w:rPr>
          <w:rFonts w:cs="Arial"/>
          <w:sz w:val="20"/>
          <w:szCs w:val="18"/>
        </w:rPr>
        <w:t xml:space="preserve">. </w:t>
      </w:r>
      <w:r w:rsidR="00BA5EAD" w:rsidRPr="00CF4D38">
        <w:rPr>
          <w:rFonts w:cs="Arial"/>
          <w:sz w:val="20"/>
          <w:szCs w:val="18"/>
        </w:rPr>
        <w:t xml:space="preserve">The </w:t>
      </w:r>
      <w:r w:rsidR="00F159D4" w:rsidRPr="00CF4D38">
        <w:rPr>
          <w:rFonts w:cs="Arial"/>
          <w:sz w:val="20"/>
          <w:szCs w:val="18"/>
        </w:rPr>
        <w:t>solution with low visc</w:t>
      </w:r>
      <w:r w:rsidR="008E557E" w:rsidRPr="00CF4D38">
        <w:rPr>
          <w:rFonts w:cs="Arial"/>
          <w:sz w:val="20"/>
          <w:szCs w:val="18"/>
        </w:rPr>
        <w:t>osity</w:t>
      </w:r>
      <w:r w:rsidR="00F159D4" w:rsidRPr="00CF4D38">
        <w:rPr>
          <w:rFonts w:cs="Arial"/>
          <w:sz w:val="20"/>
          <w:szCs w:val="18"/>
        </w:rPr>
        <w:t xml:space="preserve"> is ideal for the PFFS</w:t>
      </w:r>
      <w:r w:rsidR="008E557E" w:rsidRPr="00CF4D38">
        <w:rPr>
          <w:rFonts w:cs="Arial"/>
          <w:sz w:val="20"/>
          <w:szCs w:val="18"/>
        </w:rPr>
        <w:t>,</w:t>
      </w:r>
      <w:r w:rsidR="00F159D4" w:rsidRPr="00CF4D38">
        <w:rPr>
          <w:rFonts w:cs="Arial"/>
          <w:sz w:val="20"/>
          <w:szCs w:val="18"/>
        </w:rPr>
        <w:t xml:space="preserve"> which were observed in formulations TR</w:t>
      </w:r>
      <w:r w:rsidR="00F159D4" w:rsidRPr="00CF4D38">
        <w:rPr>
          <w:rFonts w:cs="Arial"/>
          <w:sz w:val="20"/>
          <w:szCs w:val="18"/>
          <w:vertAlign w:val="subscript"/>
        </w:rPr>
        <w:t>1</w:t>
      </w:r>
      <w:r w:rsidR="00F159D4" w:rsidRPr="00CF4D38">
        <w:rPr>
          <w:rFonts w:cs="Arial"/>
          <w:sz w:val="20"/>
          <w:szCs w:val="18"/>
        </w:rPr>
        <w:t>, TR</w:t>
      </w:r>
      <w:r w:rsidR="00F159D4" w:rsidRPr="00CF4D38">
        <w:rPr>
          <w:rFonts w:cs="Arial"/>
          <w:sz w:val="20"/>
          <w:szCs w:val="18"/>
          <w:vertAlign w:val="subscript"/>
        </w:rPr>
        <w:t>2</w:t>
      </w:r>
      <w:r w:rsidR="00F159D4" w:rsidRPr="00CF4D38">
        <w:rPr>
          <w:rFonts w:cs="Arial"/>
          <w:sz w:val="20"/>
          <w:szCs w:val="18"/>
        </w:rPr>
        <w:t>, TR</w:t>
      </w:r>
      <w:r w:rsidR="00F159D4" w:rsidRPr="00CF4D38">
        <w:rPr>
          <w:rFonts w:cs="Arial"/>
          <w:sz w:val="20"/>
          <w:szCs w:val="18"/>
          <w:vertAlign w:val="subscript"/>
        </w:rPr>
        <w:t>4</w:t>
      </w:r>
      <w:r w:rsidR="00F159D4" w:rsidRPr="00CF4D38">
        <w:rPr>
          <w:rFonts w:cs="Arial"/>
          <w:sz w:val="20"/>
          <w:szCs w:val="18"/>
        </w:rPr>
        <w:t>, TR</w:t>
      </w:r>
      <w:r w:rsidR="00F159D4" w:rsidRPr="00CF4D38">
        <w:rPr>
          <w:rFonts w:cs="Arial"/>
          <w:sz w:val="20"/>
          <w:szCs w:val="18"/>
          <w:vertAlign w:val="subscript"/>
        </w:rPr>
        <w:t>7</w:t>
      </w:r>
      <w:r w:rsidR="00F159D4" w:rsidRPr="00CF4D38">
        <w:rPr>
          <w:rFonts w:cs="Arial"/>
          <w:sz w:val="20"/>
          <w:szCs w:val="18"/>
        </w:rPr>
        <w:t>, TR</w:t>
      </w:r>
      <w:r w:rsidR="00F159D4" w:rsidRPr="00CF4D38">
        <w:rPr>
          <w:rFonts w:cs="Arial"/>
          <w:sz w:val="20"/>
          <w:szCs w:val="18"/>
          <w:vertAlign w:val="subscript"/>
        </w:rPr>
        <w:t>13</w:t>
      </w:r>
      <w:r w:rsidR="00F159D4" w:rsidRPr="00CF4D38">
        <w:rPr>
          <w:rFonts w:cs="Arial"/>
          <w:sz w:val="20"/>
          <w:szCs w:val="18"/>
        </w:rPr>
        <w:t>, &amp; TR</w:t>
      </w:r>
      <w:r w:rsidR="00F159D4" w:rsidRPr="00CF4D38">
        <w:rPr>
          <w:rFonts w:cs="Arial"/>
          <w:sz w:val="20"/>
          <w:szCs w:val="18"/>
          <w:vertAlign w:val="subscript"/>
        </w:rPr>
        <w:t>14</w:t>
      </w:r>
      <w:r w:rsidR="00BA5EAD" w:rsidRPr="00CF4D38">
        <w:rPr>
          <w:rFonts w:cs="Arial"/>
          <w:sz w:val="20"/>
          <w:szCs w:val="18"/>
        </w:rPr>
        <w:t xml:space="preserve">. </w:t>
      </w:r>
      <w:r w:rsidR="00F159D4" w:rsidRPr="00CF4D38">
        <w:rPr>
          <w:rFonts w:cs="Arial"/>
          <w:sz w:val="20"/>
          <w:szCs w:val="18"/>
        </w:rPr>
        <w:t>The pH of the formulations</w:t>
      </w:r>
      <w:r w:rsidR="008E557E" w:rsidRPr="00CF4D38">
        <w:rPr>
          <w:rFonts w:cs="Arial"/>
          <w:sz w:val="20"/>
          <w:szCs w:val="18"/>
        </w:rPr>
        <w:t xml:space="preserve"> </w:t>
      </w:r>
      <w:r w:rsidR="00F159D4" w:rsidRPr="00CF4D38">
        <w:rPr>
          <w:rFonts w:cs="Arial"/>
          <w:sz w:val="20"/>
          <w:szCs w:val="18"/>
        </w:rPr>
        <w:t>TR</w:t>
      </w:r>
      <w:r w:rsidR="00F159D4" w:rsidRPr="00CF4D38">
        <w:rPr>
          <w:rFonts w:cs="Arial"/>
          <w:sz w:val="20"/>
          <w:szCs w:val="18"/>
          <w:vertAlign w:val="subscript"/>
        </w:rPr>
        <w:t>1</w:t>
      </w:r>
      <w:r w:rsidR="00F159D4" w:rsidRPr="00CF4D38">
        <w:rPr>
          <w:rFonts w:cs="Arial"/>
          <w:sz w:val="20"/>
          <w:szCs w:val="18"/>
        </w:rPr>
        <w:t>-TR</w:t>
      </w:r>
      <w:r w:rsidR="00F159D4" w:rsidRPr="00CF4D38">
        <w:rPr>
          <w:rFonts w:cs="Arial"/>
          <w:sz w:val="20"/>
          <w:szCs w:val="18"/>
          <w:vertAlign w:val="subscript"/>
        </w:rPr>
        <w:t>14</w:t>
      </w:r>
      <w:r w:rsidR="00F159D4" w:rsidRPr="00CF4D38">
        <w:rPr>
          <w:rFonts w:cs="Arial"/>
          <w:sz w:val="20"/>
          <w:szCs w:val="18"/>
        </w:rPr>
        <w:t xml:space="preserve"> ranged between 5.5-6 (</w:t>
      </w:r>
      <w:r w:rsidR="008E557E" w:rsidRPr="00CF4D38">
        <w:rPr>
          <w:rFonts w:cs="Arial"/>
          <w:sz w:val="20"/>
          <w:szCs w:val="18"/>
        </w:rPr>
        <w:t>T</w:t>
      </w:r>
      <w:r w:rsidR="00F159D4" w:rsidRPr="00CF4D38">
        <w:rPr>
          <w:rFonts w:cs="Arial"/>
          <w:sz w:val="20"/>
          <w:szCs w:val="18"/>
        </w:rPr>
        <w:t>able 2), the ideal pH range for the transdermal solutions is between 4.5-6. Therefore, formulations TR</w:t>
      </w:r>
      <w:r w:rsidR="00F159D4" w:rsidRPr="00CF4D38">
        <w:rPr>
          <w:rFonts w:cs="Arial"/>
          <w:sz w:val="20"/>
          <w:szCs w:val="18"/>
          <w:vertAlign w:val="subscript"/>
        </w:rPr>
        <w:t>1</w:t>
      </w:r>
      <w:r w:rsidR="00F159D4" w:rsidRPr="00CF4D38">
        <w:rPr>
          <w:rFonts w:cs="Arial"/>
          <w:sz w:val="20"/>
          <w:szCs w:val="18"/>
        </w:rPr>
        <w:t>-TR</w:t>
      </w:r>
      <w:r w:rsidR="00F159D4" w:rsidRPr="00CF4D38">
        <w:rPr>
          <w:rFonts w:cs="Arial"/>
          <w:sz w:val="20"/>
          <w:szCs w:val="18"/>
          <w:vertAlign w:val="subscript"/>
        </w:rPr>
        <w:t>14</w:t>
      </w:r>
      <w:r w:rsidR="00F159D4" w:rsidRPr="00CF4D38">
        <w:rPr>
          <w:rFonts w:cs="Arial"/>
          <w:sz w:val="20"/>
          <w:szCs w:val="18"/>
        </w:rPr>
        <w:t xml:space="preserve"> were in the permissible limits</w:t>
      </w:r>
      <w:r w:rsidR="00250A0F" w:rsidRPr="00CF4D38">
        <w:rPr>
          <w:rFonts w:cs="Arial"/>
          <w:sz w:val="20"/>
          <w:szCs w:val="18"/>
        </w:rPr>
        <w:t xml:space="preserve"> </w:t>
      </w:r>
      <w:r w:rsidR="00250A0F" w:rsidRPr="00CF4D38">
        <w:rPr>
          <w:rFonts w:cs="Arial"/>
          <w:sz w:val="20"/>
          <w:szCs w:val="18"/>
          <w:vertAlign w:val="superscript"/>
        </w:rPr>
        <w:t>37</w:t>
      </w:r>
      <w:r w:rsidR="00F159D4" w:rsidRPr="00CF4D38">
        <w:rPr>
          <w:rFonts w:cs="Arial"/>
          <w:sz w:val="20"/>
          <w:szCs w:val="18"/>
        </w:rPr>
        <w:t xml:space="preserve">. </w:t>
      </w:r>
      <w:r w:rsidR="009A4DD6" w:rsidRPr="00CF4D38">
        <w:rPr>
          <w:rFonts w:cs="Arial"/>
          <w:sz w:val="20"/>
          <w:szCs w:val="18"/>
        </w:rPr>
        <w:t>F</w:t>
      </w:r>
      <w:r w:rsidR="008E557E" w:rsidRPr="00CF4D38">
        <w:rPr>
          <w:rFonts w:cs="Arial"/>
          <w:sz w:val="20"/>
          <w:szCs w:val="18"/>
        </w:rPr>
        <w:t>ro</w:t>
      </w:r>
      <w:r w:rsidR="009A4DD6" w:rsidRPr="00CF4D38">
        <w:rPr>
          <w:rFonts w:cs="Arial"/>
          <w:sz w:val="20"/>
          <w:szCs w:val="18"/>
        </w:rPr>
        <w:t xml:space="preserve">m </w:t>
      </w:r>
      <w:r w:rsidR="008E557E" w:rsidRPr="00CF4D38">
        <w:rPr>
          <w:rFonts w:cs="Arial"/>
          <w:sz w:val="20"/>
          <w:szCs w:val="18"/>
        </w:rPr>
        <w:t>T</w:t>
      </w:r>
      <w:r w:rsidR="009A4DD6" w:rsidRPr="00CF4D38">
        <w:rPr>
          <w:rFonts w:cs="Arial"/>
          <w:sz w:val="20"/>
          <w:szCs w:val="18"/>
        </w:rPr>
        <w:t>able 2</w:t>
      </w:r>
      <w:r w:rsidR="008E557E" w:rsidRPr="00CF4D38">
        <w:rPr>
          <w:rFonts w:cs="Arial"/>
          <w:sz w:val="20"/>
          <w:szCs w:val="18"/>
        </w:rPr>
        <w:t>,</w:t>
      </w:r>
      <w:r w:rsidR="009A4DD6" w:rsidRPr="00CF4D38">
        <w:rPr>
          <w:rFonts w:cs="Arial"/>
          <w:sz w:val="20"/>
          <w:szCs w:val="18"/>
        </w:rPr>
        <w:t xml:space="preserve"> </w:t>
      </w:r>
      <w:r w:rsidR="00D93D4A" w:rsidRPr="00CF4D38">
        <w:rPr>
          <w:rFonts w:cs="Arial"/>
          <w:sz w:val="20"/>
          <w:szCs w:val="18"/>
        </w:rPr>
        <w:t xml:space="preserve">it was observed that </w:t>
      </w:r>
      <w:r w:rsidR="005E111B" w:rsidRPr="00CF4D38">
        <w:rPr>
          <w:rFonts w:cs="Arial"/>
          <w:sz w:val="20"/>
          <w:szCs w:val="18"/>
        </w:rPr>
        <w:t>formulations TR</w:t>
      </w:r>
      <w:r w:rsidR="005E111B" w:rsidRPr="00CF4D38">
        <w:rPr>
          <w:rFonts w:cs="Arial"/>
          <w:sz w:val="20"/>
          <w:szCs w:val="18"/>
          <w:vertAlign w:val="subscript"/>
        </w:rPr>
        <w:t>1</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2</w:t>
      </w:r>
      <w:r w:rsidR="005E111B" w:rsidRPr="00CF4D38">
        <w:rPr>
          <w:rFonts w:cs="Arial"/>
          <w:sz w:val="20"/>
          <w:szCs w:val="18"/>
        </w:rPr>
        <w:t>, TR</w:t>
      </w:r>
      <w:r w:rsidR="005E111B" w:rsidRPr="00CF4D38">
        <w:rPr>
          <w:rFonts w:cs="Arial"/>
          <w:sz w:val="20"/>
          <w:szCs w:val="18"/>
          <w:vertAlign w:val="subscript"/>
        </w:rPr>
        <w:t>3</w:t>
      </w:r>
      <w:r w:rsidR="005E111B" w:rsidRPr="00CF4D38">
        <w:rPr>
          <w:rFonts w:cs="Arial"/>
          <w:sz w:val="20"/>
          <w:szCs w:val="18"/>
        </w:rPr>
        <w:t xml:space="preserve">, </w:t>
      </w:r>
      <w:bookmarkStart w:id="16" w:name="_Hlk195049177"/>
      <w:r w:rsidR="005E111B" w:rsidRPr="00CF4D38">
        <w:rPr>
          <w:rFonts w:cs="Arial"/>
          <w:sz w:val="20"/>
          <w:szCs w:val="18"/>
        </w:rPr>
        <w:t>TR</w:t>
      </w:r>
      <w:r w:rsidR="005E111B" w:rsidRPr="00CF4D38">
        <w:rPr>
          <w:rFonts w:cs="Arial"/>
          <w:sz w:val="20"/>
          <w:szCs w:val="18"/>
          <w:vertAlign w:val="subscript"/>
        </w:rPr>
        <w:t>4</w:t>
      </w:r>
      <w:r w:rsidR="005E111B" w:rsidRPr="00CF4D38">
        <w:rPr>
          <w:rFonts w:cs="Arial"/>
          <w:sz w:val="20"/>
          <w:szCs w:val="18"/>
        </w:rPr>
        <w:t>, TR</w:t>
      </w:r>
      <w:r w:rsidR="005E111B" w:rsidRPr="00CF4D38">
        <w:rPr>
          <w:rFonts w:cs="Arial"/>
          <w:sz w:val="20"/>
          <w:szCs w:val="18"/>
          <w:vertAlign w:val="subscript"/>
        </w:rPr>
        <w:t>5</w:t>
      </w:r>
      <w:r w:rsidR="005E111B" w:rsidRPr="00CF4D38">
        <w:rPr>
          <w:rFonts w:cs="Arial"/>
          <w:sz w:val="20"/>
          <w:szCs w:val="18"/>
        </w:rPr>
        <w:t>,</w:t>
      </w:r>
      <w:bookmarkEnd w:id="16"/>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6</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927E59" w:rsidRPr="00CF4D38">
        <w:rPr>
          <w:rFonts w:cs="Arial"/>
          <w:sz w:val="20"/>
          <w:szCs w:val="18"/>
          <w:vertAlign w:val="subscript"/>
        </w:rPr>
        <w:t>7</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12</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13</w:t>
      </w:r>
      <w:r w:rsidR="005E111B" w:rsidRPr="00CF4D38">
        <w:rPr>
          <w:rFonts w:cs="Arial"/>
          <w:sz w:val="20"/>
          <w:szCs w:val="18"/>
        </w:rPr>
        <w:t>, and TR</w:t>
      </w:r>
      <w:r w:rsidR="005E111B" w:rsidRPr="00CF4D38">
        <w:rPr>
          <w:rFonts w:cs="Arial"/>
          <w:sz w:val="20"/>
          <w:szCs w:val="18"/>
          <w:vertAlign w:val="subscript"/>
        </w:rPr>
        <w:t>14</w:t>
      </w:r>
      <w:r w:rsidR="005E111B" w:rsidRPr="00CF4D38">
        <w:rPr>
          <w:rFonts w:cs="Arial"/>
          <w:sz w:val="20"/>
          <w:szCs w:val="18"/>
        </w:rPr>
        <w:t xml:space="preserve"> have show</w:t>
      </w:r>
      <w:r w:rsidR="008E557E" w:rsidRPr="00CF4D38">
        <w:rPr>
          <w:rFonts w:cs="Arial"/>
          <w:sz w:val="20"/>
          <w:szCs w:val="18"/>
        </w:rPr>
        <w:t>n</w:t>
      </w:r>
      <w:r w:rsidR="00F669F9" w:rsidRPr="00CF4D38">
        <w:rPr>
          <w:rFonts w:cs="Arial"/>
          <w:sz w:val="20"/>
          <w:szCs w:val="18"/>
        </w:rPr>
        <w:t xml:space="preserve"> low</w:t>
      </w:r>
      <w:r w:rsidR="008E557E" w:rsidRPr="00CF4D38">
        <w:rPr>
          <w:rFonts w:cs="Arial"/>
          <w:sz w:val="20"/>
          <w:szCs w:val="18"/>
        </w:rPr>
        <w:t>-</w:t>
      </w:r>
      <w:r w:rsidR="00F669F9" w:rsidRPr="00CF4D38">
        <w:rPr>
          <w:rFonts w:cs="Arial"/>
          <w:sz w:val="20"/>
          <w:szCs w:val="18"/>
        </w:rPr>
        <w:t xml:space="preserve">level </w:t>
      </w:r>
      <w:r w:rsidR="005E111B" w:rsidRPr="00CF4D38">
        <w:rPr>
          <w:rFonts w:cs="Arial"/>
          <w:sz w:val="20"/>
          <w:szCs w:val="18"/>
        </w:rPr>
        <w:t>outward stickiness</w:t>
      </w:r>
      <w:r w:rsidR="008E557E" w:rsidRPr="00CF4D38">
        <w:rPr>
          <w:rFonts w:cs="Arial"/>
          <w:sz w:val="20"/>
          <w:szCs w:val="18"/>
        </w:rPr>
        <w:t>,</w:t>
      </w:r>
      <w:r w:rsidR="00F669F9" w:rsidRPr="00CF4D38">
        <w:rPr>
          <w:rFonts w:cs="Arial"/>
          <w:sz w:val="20"/>
          <w:szCs w:val="18"/>
        </w:rPr>
        <w:t xml:space="preserve"> which was</w:t>
      </w:r>
      <w:r w:rsidR="005E111B" w:rsidRPr="00CF4D38">
        <w:rPr>
          <w:rFonts w:cs="Arial"/>
          <w:sz w:val="20"/>
          <w:szCs w:val="18"/>
        </w:rPr>
        <w:t xml:space="preserve"> within a permissible limit</w:t>
      </w:r>
      <w:r w:rsidR="002E4D79" w:rsidRPr="00CF4D38">
        <w:rPr>
          <w:rFonts w:cs="Arial"/>
          <w:sz w:val="20"/>
          <w:szCs w:val="18"/>
        </w:rPr>
        <w:t xml:space="preserve"> </w:t>
      </w:r>
      <w:r w:rsidR="002E4D79" w:rsidRPr="00CF4D38">
        <w:rPr>
          <w:rFonts w:cs="Arial"/>
          <w:sz w:val="20"/>
          <w:szCs w:val="18"/>
          <w:vertAlign w:val="superscript"/>
        </w:rPr>
        <w:t>38</w:t>
      </w:r>
      <w:r w:rsidR="005E111B" w:rsidRPr="00CF4D38">
        <w:rPr>
          <w:rFonts w:cs="Arial"/>
          <w:sz w:val="20"/>
          <w:szCs w:val="18"/>
        </w:rPr>
        <w:t xml:space="preserve">. </w:t>
      </w:r>
      <w:r w:rsidR="009D2198" w:rsidRPr="00CF4D38">
        <w:rPr>
          <w:rFonts w:cs="Arial"/>
          <w:sz w:val="20"/>
          <w:szCs w:val="18"/>
        </w:rPr>
        <w:t>Formulations</w:t>
      </w:r>
      <w:r w:rsidR="005E111B" w:rsidRPr="00CF4D38">
        <w:rPr>
          <w:rFonts w:cs="Arial"/>
          <w:sz w:val="20"/>
          <w:szCs w:val="18"/>
        </w:rPr>
        <w:t xml:space="preserve"> TR</w:t>
      </w:r>
      <w:r w:rsidR="005E111B" w:rsidRPr="00CF4D38">
        <w:rPr>
          <w:rFonts w:cs="Arial"/>
          <w:sz w:val="20"/>
          <w:szCs w:val="18"/>
          <w:vertAlign w:val="subscript"/>
        </w:rPr>
        <w:t>1</w:t>
      </w:r>
      <w:r w:rsidR="005E111B" w:rsidRPr="00CF4D38">
        <w:rPr>
          <w:rFonts w:cs="Arial"/>
          <w:sz w:val="20"/>
          <w:szCs w:val="18"/>
        </w:rPr>
        <w:t>,</w:t>
      </w:r>
      <w:r w:rsidR="005E111B" w:rsidRPr="00CF4D38">
        <w:rPr>
          <w:rFonts w:cs="Arial"/>
          <w:sz w:val="20"/>
          <w:szCs w:val="18"/>
          <w:vertAlign w:val="subscript"/>
        </w:rPr>
        <w:t xml:space="preserve"> </w:t>
      </w:r>
      <w:r w:rsidR="005E111B" w:rsidRPr="00CF4D38">
        <w:rPr>
          <w:rFonts w:cs="Arial"/>
          <w:sz w:val="20"/>
          <w:szCs w:val="18"/>
        </w:rPr>
        <w:t>TR</w:t>
      </w:r>
      <w:r w:rsidR="005E111B" w:rsidRPr="00CF4D38">
        <w:rPr>
          <w:rFonts w:cs="Arial"/>
          <w:sz w:val="20"/>
          <w:szCs w:val="18"/>
          <w:vertAlign w:val="subscript"/>
        </w:rPr>
        <w:t>2</w:t>
      </w:r>
      <w:r w:rsidR="005E111B" w:rsidRPr="00CF4D38">
        <w:rPr>
          <w:rFonts w:cs="Arial"/>
          <w:sz w:val="20"/>
          <w:szCs w:val="18"/>
        </w:rPr>
        <w:t>,</w:t>
      </w:r>
      <w:r w:rsidR="009D2198" w:rsidRPr="00CF4D38">
        <w:rPr>
          <w:rFonts w:cs="Arial"/>
          <w:sz w:val="20"/>
          <w:szCs w:val="18"/>
        </w:rPr>
        <w:t xml:space="preserve"> </w:t>
      </w:r>
      <w:r w:rsidR="005E111B" w:rsidRPr="00CF4D38">
        <w:rPr>
          <w:rFonts w:cs="Arial"/>
          <w:sz w:val="20"/>
          <w:szCs w:val="18"/>
        </w:rPr>
        <w:t>TR</w:t>
      </w:r>
      <w:r w:rsidR="005E111B" w:rsidRPr="00CF4D38">
        <w:rPr>
          <w:rFonts w:cs="Arial"/>
          <w:sz w:val="20"/>
          <w:szCs w:val="18"/>
          <w:vertAlign w:val="subscript"/>
        </w:rPr>
        <w:t>4</w:t>
      </w:r>
      <w:r w:rsidR="005E111B" w:rsidRPr="00CF4D38">
        <w:rPr>
          <w:rFonts w:cs="Arial"/>
          <w:sz w:val="20"/>
          <w:szCs w:val="18"/>
        </w:rPr>
        <w:t>, TR</w:t>
      </w:r>
      <w:r w:rsidR="005E111B" w:rsidRPr="00CF4D38">
        <w:rPr>
          <w:rFonts w:cs="Arial"/>
          <w:sz w:val="20"/>
          <w:szCs w:val="18"/>
          <w:vertAlign w:val="subscript"/>
        </w:rPr>
        <w:t>5</w:t>
      </w:r>
      <w:r w:rsidR="005E111B" w:rsidRPr="00CF4D38">
        <w:rPr>
          <w:rFonts w:cs="Arial"/>
          <w:sz w:val="20"/>
          <w:szCs w:val="18"/>
        </w:rPr>
        <w:t>,</w:t>
      </w:r>
      <w:r w:rsidR="00927E59" w:rsidRPr="00CF4D38">
        <w:rPr>
          <w:rFonts w:cs="Arial"/>
          <w:sz w:val="20"/>
          <w:szCs w:val="18"/>
        </w:rPr>
        <w:t xml:space="preserve"> TR</w:t>
      </w:r>
      <w:r w:rsidR="00927E59" w:rsidRPr="00CF4D38">
        <w:rPr>
          <w:rFonts w:cs="Arial"/>
          <w:sz w:val="20"/>
          <w:szCs w:val="18"/>
          <w:vertAlign w:val="subscript"/>
        </w:rPr>
        <w:t>7</w:t>
      </w:r>
      <w:r w:rsidR="00927E59" w:rsidRPr="00CF4D38">
        <w:rPr>
          <w:rFonts w:cs="Arial"/>
          <w:sz w:val="20"/>
          <w:szCs w:val="18"/>
        </w:rPr>
        <w:t xml:space="preserve">, </w:t>
      </w:r>
      <w:r w:rsidR="00F74596" w:rsidRPr="00CF4D38">
        <w:rPr>
          <w:rFonts w:cs="Arial"/>
          <w:sz w:val="20"/>
          <w:szCs w:val="18"/>
        </w:rPr>
        <w:t>TR</w:t>
      </w:r>
      <w:r w:rsidR="00F74596" w:rsidRPr="00CF4D38">
        <w:rPr>
          <w:rFonts w:cs="Arial"/>
          <w:sz w:val="20"/>
          <w:szCs w:val="18"/>
          <w:vertAlign w:val="subscript"/>
        </w:rPr>
        <w:t>13</w:t>
      </w:r>
      <w:r w:rsidR="00F74596" w:rsidRPr="00CF4D38">
        <w:rPr>
          <w:rFonts w:cs="Arial"/>
          <w:sz w:val="20"/>
          <w:szCs w:val="18"/>
        </w:rPr>
        <w:t>, and TR</w:t>
      </w:r>
      <w:r w:rsidR="00F74596" w:rsidRPr="00CF4D38">
        <w:rPr>
          <w:rFonts w:cs="Arial"/>
          <w:sz w:val="20"/>
          <w:szCs w:val="18"/>
          <w:vertAlign w:val="subscript"/>
        </w:rPr>
        <w:t>14</w:t>
      </w:r>
      <w:r w:rsidR="005E111B" w:rsidRPr="00CF4D38">
        <w:rPr>
          <w:rFonts w:cs="Arial"/>
          <w:sz w:val="20"/>
          <w:szCs w:val="18"/>
        </w:rPr>
        <w:t xml:space="preserve"> </w:t>
      </w:r>
      <w:r w:rsidR="001E1AD1" w:rsidRPr="00CF4D38">
        <w:rPr>
          <w:rFonts w:cs="Arial"/>
          <w:sz w:val="20"/>
          <w:szCs w:val="18"/>
        </w:rPr>
        <w:t>have shown the required physicochemical characteristics and therefore have been selected for drug content estimation</w:t>
      </w:r>
      <w:r w:rsidR="00EF621E" w:rsidRPr="00CF4D38">
        <w:rPr>
          <w:rFonts w:cs="Arial"/>
          <w:sz w:val="20"/>
          <w:szCs w:val="18"/>
        </w:rPr>
        <w:t>,</w:t>
      </w:r>
      <w:r w:rsidR="003A6C12" w:rsidRPr="00CF4D38">
        <w:rPr>
          <w:rFonts w:cs="Arial"/>
          <w:sz w:val="20"/>
          <w:szCs w:val="18"/>
        </w:rPr>
        <w:t xml:space="preserve"> followed by</w:t>
      </w:r>
      <w:r w:rsidR="00EF621E" w:rsidRPr="00CF4D38">
        <w:rPr>
          <w:rFonts w:cs="Arial"/>
          <w:sz w:val="20"/>
          <w:szCs w:val="18"/>
        </w:rPr>
        <w:t xml:space="preserve"> </w:t>
      </w:r>
      <w:r w:rsidR="0025422C" w:rsidRPr="00CF4D38">
        <w:rPr>
          <w:rFonts w:cs="Arial"/>
          <w:i/>
          <w:iCs/>
          <w:sz w:val="20"/>
          <w:szCs w:val="18"/>
        </w:rPr>
        <w:t>in vitro</w:t>
      </w:r>
      <w:r w:rsidR="009D2198" w:rsidRPr="00CF4D38">
        <w:rPr>
          <w:rFonts w:cs="Arial"/>
          <w:sz w:val="20"/>
          <w:szCs w:val="18"/>
        </w:rPr>
        <w:t xml:space="preserve"> stu</w:t>
      </w:r>
      <w:r w:rsidR="002E4D79" w:rsidRPr="00CF4D38">
        <w:rPr>
          <w:rFonts w:cs="Arial"/>
          <w:sz w:val="20"/>
          <w:szCs w:val="18"/>
        </w:rPr>
        <w:t>die</w:t>
      </w:r>
      <w:r w:rsidR="009D2198" w:rsidRPr="00CF4D38">
        <w:rPr>
          <w:rFonts w:cs="Arial"/>
          <w:sz w:val="20"/>
          <w:szCs w:val="18"/>
        </w:rPr>
        <w:t>s</w:t>
      </w:r>
      <w:r w:rsidR="00395043" w:rsidRPr="00CF4D38">
        <w:rPr>
          <w:rFonts w:cs="Arial"/>
          <w:sz w:val="20"/>
          <w:szCs w:val="18"/>
        </w:rPr>
        <w:t>.</w:t>
      </w:r>
    </w:p>
    <w:p w14:paraId="67C9973C" w14:textId="215EBAD8" w:rsidR="00E00D4B" w:rsidRPr="00CF4D38" w:rsidRDefault="0032390F" w:rsidP="00CF4D38">
      <w:pPr>
        <w:spacing w:line="240" w:lineRule="auto"/>
        <w:rPr>
          <w:rFonts w:cs="Arial"/>
          <w:b/>
          <w:bCs/>
          <w:sz w:val="20"/>
          <w:szCs w:val="18"/>
        </w:rPr>
      </w:pPr>
      <w:r w:rsidRPr="00CF4D38">
        <w:rPr>
          <w:rFonts w:cs="Arial"/>
          <w:b/>
          <w:bCs/>
          <w:sz w:val="20"/>
          <w:szCs w:val="18"/>
        </w:rPr>
        <w:t xml:space="preserve">Table 2: </w:t>
      </w:r>
      <w:bookmarkStart w:id="17" w:name="_Hlk194997758"/>
      <w:r w:rsidRPr="00CF4D38">
        <w:rPr>
          <w:rFonts w:cs="Arial"/>
          <w:b/>
          <w:bCs/>
          <w:sz w:val="20"/>
          <w:szCs w:val="18"/>
        </w:rPr>
        <w:t>Physicochemical</w:t>
      </w:r>
      <w:bookmarkEnd w:id="17"/>
      <w:r w:rsidRPr="00CF4D38">
        <w:rPr>
          <w:rFonts w:cs="Arial"/>
          <w:b/>
          <w:bCs/>
          <w:sz w:val="20"/>
          <w:szCs w:val="18"/>
        </w:rPr>
        <w:t xml:space="preserve"> evaluation of prepared </w:t>
      </w:r>
      <w:r w:rsidR="00EC151F" w:rsidRPr="00CF4D38">
        <w:rPr>
          <w:rFonts w:cs="Arial"/>
          <w:b/>
          <w:bCs/>
          <w:sz w:val="20"/>
          <w:szCs w:val="18"/>
        </w:rPr>
        <w:t>PFFS</w:t>
      </w:r>
    </w:p>
    <w:tbl>
      <w:tblPr>
        <w:tblStyle w:val="TableGrid"/>
        <w:tblW w:w="0" w:type="auto"/>
        <w:jc w:val="center"/>
        <w:tblLook w:val="04A0" w:firstRow="1" w:lastRow="0" w:firstColumn="1" w:lastColumn="0" w:noHBand="0" w:noVBand="1"/>
      </w:tblPr>
      <w:tblGrid>
        <w:gridCol w:w="1372"/>
        <w:gridCol w:w="1400"/>
        <w:gridCol w:w="1091"/>
        <w:gridCol w:w="850"/>
        <w:gridCol w:w="1184"/>
        <w:gridCol w:w="1195"/>
        <w:gridCol w:w="1106"/>
      </w:tblGrid>
      <w:tr w:rsidR="009B20B4" w:rsidRPr="00CF4D38" w14:paraId="5E91AE8C" w14:textId="77777777" w:rsidTr="00971BE3">
        <w:trPr>
          <w:jc w:val="center"/>
        </w:trPr>
        <w:tc>
          <w:tcPr>
            <w:tcW w:w="1372" w:type="dxa"/>
            <w:vMerge w:val="restart"/>
            <w:vAlign w:val="center"/>
          </w:tcPr>
          <w:p w14:paraId="74F85725" w14:textId="77777777" w:rsidR="009B20B4" w:rsidRPr="00CF4D38" w:rsidRDefault="009B20B4" w:rsidP="00B4464C">
            <w:pPr>
              <w:jc w:val="center"/>
              <w:rPr>
                <w:rFonts w:cs="Arial"/>
                <w:b/>
                <w:bCs/>
                <w:sz w:val="20"/>
                <w:szCs w:val="20"/>
              </w:rPr>
            </w:pPr>
            <w:r w:rsidRPr="00CF4D38">
              <w:rPr>
                <w:rFonts w:cs="Arial"/>
                <w:b/>
                <w:bCs/>
                <w:sz w:val="20"/>
                <w:szCs w:val="20"/>
              </w:rPr>
              <w:t>Formulation Code</w:t>
            </w:r>
          </w:p>
        </w:tc>
        <w:tc>
          <w:tcPr>
            <w:tcW w:w="2491" w:type="dxa"/>
            <w:gridSpan w:val="2"/>
            <w:vAlign w:val="center"/>
          </w:tcPr>
          <w:p w14:paraId="76341ACD" w14:textId="77777777" w:rsidR="009B20B4" w:rsidRPr="00CF4D38" w:rsidRDefault="009B20B4" w:rsidP="00B4464C">
            <w:pPr>
              <w:jc w:val="center"/>
              <w:rPr>
                <w:rFonts w:cs="Arial"/>
                <w:b/>
                <w:bCs/>
                <w:sz w:val="20"/>
                <w:szCs w:val="20"/>
              </w:rPr>
            </w:pPr>
            <w:r w:rsidRPr="00CF4D38">
              <w:rPr>
                <w:rFonts w:cs="Arial"/>
                <w:b/>
                <w:bCs/>
                <w:sz w:val="20"/>
                <w:szCs w:val="20"/>
              </w:rPr>
              <w:t>PFFS</w:t>
            </w:r>
          </w:p>
        </w:tc>
        <w:tc>
          <w:tcPr>
            <w:tcW w:w="3229" w:type="dxa"/>
            <w:gridSpan w:val="3"/>
            <w:vAlign w:val="center"/>
          </w:tcPr>
          <w:p w14:paraId="47F52E1F" w14:textId="77777777" w:rsidR="009B20B4" w:rsidRPr="00CF4D38" w:rsidRDefault="009B20B4" w:rsidP="00B4464C">
            <w:pPr>
              <w:jc w:val="center"/>
              <w:rPr>
                <w:rFonts w:cs="Arial"/>
                <w:b/>
                <w:bCs/>
                <w:sz w:val="20"/>
                <w:szCs w:val="20"/>
              </w:rPr>
            </w:pPr>
            <w:r w:rsidRPr="00CF4D38">
              <w:rPr>
                <w:rFonts w:cs="Arial"/>
                <w:b/>
                <w:bCs/>
                <w:sz w:val="20"/>
                <w:szCs w:val="20"/>
              </w:rPr>
              <w:t>Polymeric film</w:t>
            </w:r>
          </w:p>
        </w:tc>
        <w:tc>
          <w:tcPr>
            <w:tcW w:w="1106" w:type="dxa"/>
            <w:vMerge w:val="restart"/>
            <w:vAlign w:val="center"/>
          </w:tcPr>
          <w:p w14:paraId="23F73AA6" w14:textId="77777777" w:rsidR="009B20B4" w:rsidRPr="00CF4D38" w:rsidRDefault="009B20B4" w:rsidP="00B4464C">
            <w:pPr>
              <w:jc w:val="center"/>
              <w:rPr>
                <w:rFonts w:cs="Arial"/>
                <w:b/>
                <w:bCs/>
                <w:sz w:val="20"/>
                <w:szCs w:val="20"/>
              </w:rPr>
            </w:pPr>
            <w:r w:rsidRPr="00CF4D38">
              <w:rPr>
                <w:rFonts w:cs="Arial"/>
                <w:b/>
                <w:bCs/>
                <w:sz w:val="20"/>
                <w:szCs w:val="20"/>
              </w:rPr>
              <w:t>Inference</w:t>
            </w:r>
          </w:p>
        </w:tc>
      </w:tr>
      <w:tr w:rsidR="009B20B4" w:rsidRPr="00CF4D38" w14:paraId="48878D4B" w14:textId="77777777" w:rsidTr="00971BE3">
        <w:trPr>
          <w:jc w:val="center"/>
        </w:trPr>
        <w:tc>
          <w:tcPr>
            <w:tcW w:w="1372" w:type="dxa"/>
            <w:vMerge/>
            <w:vAlign w:val="center"/>
          </w:tcPr>
          <w:p w14:paraId="15E20C33" w14:textId="77777777" w:rsidR="009B20B4" w:rsidRPr="00CF4D38" w:rsidRDefault="009B20B4" w:rsidP="00B4464C">
            <w:pPr>
              <w:jc w:val="center"/>
              <w:rPr>
                <w:rFonts w:cs="Arial"/>
                <w:b/>
                <w:bCs/>
                <w:sz w:val="20"/>
                <w:szCs w:val="20"/>
              </w:rPr>
            </w:pPr>
          </w:p>
        </w:tc>
        <w:tc>
          <w:tcPr>
            <w:tcW w:w="1400" w:type="dxa"/>
            <w:vAlign w:val="center"/>
          </w:tcPr>
          <w:p w14:paraId="2FE6AB6F" w14:textId="77777777" w:rsidR="009B20B4" w:rsidRPr="00CF4D38" w:rsidRDefault="009B20B4" w:rsidP="00B4464C">
            <w:pPr>
              <w:jc w:val="center"/>
              <w:rPr>
                <w:rFonts w:cs="Arial"/>
                <w:b/>
                <w:bCs/>
                <w:sz w:val="20"/>
                <w:szCs w:val="20"/>
              </w:rPr>
            </w:pPr>
          </w:p>
          <w:p w14:paraId="29B3AFF0" w14:textId="6D71556A" w:rsidR="009B20B4" w:rsidRPr="00CF4D38" w:rsidRDefault="009B20B4" w:rsidP="00B4464C">
            <w:pPr>
              <w:jc w:val="center"/>
              <w:rPr>
                <w:rFonts w:cs="Arial"/>
                <w:b/>
                <w:bCs/>
                <w:sz w:val="20"/>
                <w:szCs w:val="20"/>
              </w:rPr>
            </w:pPr>
            <w:r w:rsidRPr="00CF4D38">
              <w:rPr>
                <w:rFonts w:cs="Arial"/>
                <w:b/>
                <w:bCs/>
                <w:sz w:val="20"/>
                <w:szCs w:val="20"/>
              </w:rPr>
              <w:t>pH observed</w:t>
            </w:r>
          </w:p>
          <w:p w14:paraId="1BFAC41D" w14:textId="03608AA6" w:rsidR="009B20B4" w:rsidRPr="00CF4D38" w:rsidRDefault="009B20B4" w:rsidP="00B4464C">
            <w:pPr>
              <w:jc w:val="center"/>
              <w:rPr>
                <w:rFonts w:cs="Arial"/>
                <w:b/>
                <w:bCs/>
                <w:sz w:val="20"/>
                <w:szCs w:val="20"/>
              </w:rPr>
            </w:pPr>
            <w:r w:rsidRPr="00CF4D38">
              <w:rPr>
                <w:rFonts w:cs="Arial"/>
                <w:b/>
                <w:bCs/>
                <w:sz w:val="20"/>
                <w:szCs w:val="20"/>
              </w:rPr>
              <w:t>(±SD)</w:t>
            </w:r>
          </w:p>
        </w:tc>
        <w:tc>
          <w:tcPr>
            <w:tcW w:w="1091" w:type="dxa"/>
            <w:vAlign w:val="center"/>
          </w:tcPr>
          <w:p w14:paraId="7E42603A" w14:textId="77777777" w:rsidR="009B20B4" w:rsidRPr="00CF4D38" w:rsidRDefault="009B20B4" w:rsidP="00B4464C">
            <w:pPr>
              <w:jc w:val="center"/>
              <w:rPr>
                <w:rFonts w:cs="Arial"/>
                <w:b/>
                <w:bCs/>
                <w:sz w:val="20"/>
                <w:szCs w:val="20"/>
              </w:rPr>
            </w:pPr>
            <w:r w:rsidRPr="00CF4D38">
              <w:rPr>
                <w:rFonts w:cs="Arial"/>
                <w:b/>
                <w:bCs/>
                <w:sz w:val="20"/>
                <w:szCs w:val="20"/>
              </w:rPr>
              <w:t>Viscosity (Cps)</w:t>
            </w:r>
          </w:p>
        </w:tc>
        <w:tc>
          <w:tcPr>
            <w:tcW w:w="850" w:type="dxa"/>
            <w:vAlign w:val="center"/>
          </w:tcPr>
          <w:p w14:paraId="53728D27" w14:textId="77777777" w:rsidR="009B20B4" w:rsidRPr="00CF4D38" w:rsidRDefault="009B20B4" w:rsidP="00B4464C">
            <w:pPr>
              <w:jc w:val="center"/>
              <w:rPr>
                <w:rFonts w:cs="Arial"/>
                <w:b/>
                <w:bCs/>
                <w:sz w:val="20"/>
                <w:szCs w:val="20"/>
              </w:rPr>
            </w:pPr>
            <w:r w:rsidRPr="00CF4D38">
              <w:rPr>
                <w:rFonts w:cs="Arial"/>
                <w:b/>
                <w:bCs/>
                <w:sz w:val="20"/>
                <w:szCs w:val="20"/>
              </w:rPr>
              <w:t>Drying time</w:t>
            </w:r>
          </w:p>
        </w:tc>
        <w:tc>
          <w:tcPr>
            <w:tcW w:w="1184" w:type="dxa"/>
            <w:vAlign w:val="center"/>
          </w:tcPr>
          <w:p w14:paraId="6C9DE336" w14:textId="77777777" w:rsidR="009B20B4" w:rsidRPr="00CF4D38" w:rsidRDefault="009B20B4" w:rsidP="00B4464C">
            <w:pPr>
              <w:jc w:val="center"/>
              <w:rPr>
                <w:rFonts w:cs="Arial"/>
                <w:b/>
                <w:bCs/>
                <w:sz w:val="20"/>
                <w:szCs w:val="20"/>
              </w:rPr>
            </w:pPr>
            <w:r w:rsidRPr="00CF4D38">
              <w:rPr>
                <w:rFonts w:cs="Arial"/>
                <w:b/>
                <w:bCs/>
                <w:sz w:val="20"/>
                <w:szCs w:val="20"/>
              </w:rPr>
              <w:t>Outward stickiness</w:t>
            </w:r>
          </w:p>
        </w:tc>
        <w:tc>
          <w:tcPr>
            <w:tcW w:w="1195" w:type="dxa"/>
            <w:vAlign w:val="center"/>
          </w:tcPr>
          <w:p w14:paraId="00228ADA" w14:textId="77777777" w:rsidR="009B20B4" w:rsidRPr="00CF4D38" w:rsidRDefault="009B20B4" w:rsidP="00B4464C">
            <w:pPr>
              <w:jc w:val="center"/>
              <w:rPr>
                <w:rFonts w:cs="Arial"/>
                <w:b/>
                <w:bCs/>
                <w:sz w:val="20"/>
                <w:szCs w:val="20"/>
              </w:rPr>
            </w:pPr>
            <w:r w:rsidRPr="00CF4D38">
              <w:rPr>
                <w:rFonts w:cs="Arial"/>
                <w:b/>
                <w:bCs/>
                <w:sz w:val="20"/>
                <w:szCs w:val="20"/>
              </w:rPr>
              <w:t>Film formation</w:t>
            </w:r>
          </w:p>
        </w:tc>
        <w:tc>
          <w:tcPr>
            <w:tcW w:w="1106" w:type="dxa"/>
            <w:vMerge/>
            <w:vAlign w:val="center"/>
          </w:tcPr>
          <w:p w14:paraId="483586F7" w14:textId="77777777" w:rsidR="009B20B4" w:rsidRPr="00CF4D38" w:rsidRDefault="009B20B4" w:rsidP="00B4464C">
            <w:pPr>
              <w:jc w:val="center"/>
              <w:rPr>
                <w:rFonts w:cs="Arial"/>
                <w:sz w:val="20"/>
                <w:szCs w:val="20"/>
              </w:rPr>
            </w:pPr>
          </w:p>
        </w:tc>
      </w:tr>
      <w:tr w:rsidR="009B20B4" w:rsidRPr="00CF4D38" w14:paraId="18E911D5" w14:textId="77777777" w:rsidTr="00971BE3">
        <w:trPr>
          <w:jc w:val="center"/>
        </w:trPr>
        <w:tc>
          <w:tcPr>
            <w:tcW w:w="1372" w:type="dxa"/>
            <w:vAlign w:val="center"/>
          </w:tcPr>
          <w:p w14:paraId="13445D20"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w:t>
            </w:r>
          </w:p>
        </w:tc>
        <w:tc>
          <w:tcPr>
            <w:tcW w:w="1400" w:type="dxa"/>
            <w:vAlign w:val="center"/>
          </w:tcPr>
          <w:p w14:paraId="40B55729" w14:textId="77777777" w:rsidR="009B20B4" w:rsidRPr="00CF4D38" w:rsidRDefault="009B20B4" w:rsidP="00B4464C">
            <w:pPr>
              <w:jc w:val="center"/>
              <w:rPr>
                <w:rFonts w:cs="Arial"/>
                <w:sz w:val="20"/>
                <w:szCs w:val="20"/>
              </w:rPr>
            </w:pPr>
            <w:r w:rsidRPr="00CF4D38">
              <w:rPr>
                <w:rFonts w:cs="Arial"/>
                <w:sz w:val="20"/>
                <w:szCs w:val="20"/>
              </w:rPr>
              <w:t>5.71±0.01</w:t>
            </w:r>
          </w:p>
        </w:tc>
        <w:tc>
          <w:tcPr>
            <w:tcW w:w="1091" w:type="dxa"/>
            <w:vAlign w:val="center"/>
          </w:tcPr>
          <w:p w14:paraId="07DDA520" w14:textId="77777777" w:rsidR="009B20B4" w:rsidRPr="00CF4D38" w:rsidRDefault="009B20B4" w:rsidP="00B4464C">
            <w:pPr>
              <w:jc w:val="center"/>
              <w:rPr>
                <w:rFonts w:cs="Arial"/>
                <w:sz w:val="20"/>
                <w:szCs w:val="20"/>
              </w:rPr>
            </w:pPr>
            <w:r w:rsidRPr="00CF4D38">
              <w:rPr>
                <w:rFonts w:cs="Arial"/>
                <w:sz w:val="20"/>
                <w:szCs w:val="20"/>
              </w:rPr>
              <w:t>39.45</w:t>
            </w:r>
          </w:p>
        </w:tc>
        <w:tc>
          <w:tcPr>
            <w:tcW w:w="850" w:type="dxa"/>
            <w:vAlign w:val="center"/>
          </w:tcPr>
          <w:p w14:paraId="5D147F4F"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7664ECDC"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8DFBB18"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5A195545"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7FA6B8E6" w14:textId="77777777" w:rsidTr="00971BE3">
        <w:trPr>
          <w:jc w:val="center"/>
        </w:trPr>
        <w:tc>
          <w:tcPr>
            <w:tcW w:w="1372" w:type="dxa"/>
            <w:vAlign w:val="center"/>
          </w:tcPr>
          <w:p w14:paraId="405DE315"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2</w:t>
            </w:r>
          </w:p>
        </w:tc>
        <w:tc>
          <w:tcPr>
            <w:tcW w:w="1400" w:type="dxa"/>
            <w:vAlign w:val="center"/>
          </w:tcPr>
          <w:p w14:paraId="6CDD7A23" w14:textId="77777777" w:rsidR="009B20B4" w:rsidRPr="00CF4D38" w:rsidRDefault="009B20B4" w:rsidP="00B4464C">
            <w:pPr>
              <w:jc w:val="center"/>
              <w:rPr>
                <w:rFonts w:cs="Arial"/>
                <w:sz w:val="20"/>
                <w:szCs w:val="20"/>
              </w:rPr>
            </w:pPr>
            <w:r w:rsidRPr="00CF4D38">
              <w:rPr>
                <w:rFonts w:cs="Arial"/>
                <w:sz w:val="20"/>
                <w:szCs w:val="20"/>
              </w:rPr>
              <w:t>5.84±0.01</w:t>
            </w:r>
          </w:p>
        </w:tc>
        <w:tc>
          <w:tcPr>
            <w:tcW w:w="1091" w:type="dxa"/>
            <w:vAlign w:val="center"/>
          </w:tcPr>
          <w:p w14:paraId="07A384EF" w14:textId="77777777" w:rsidR="009B20B4" w:rsidRPr="00CF4D38" w:rsidRDefault="009B20B4" w:rsidP="00B4464C">
            <w:pPr>
              <w:jc w:val="center"/>
              <w:rPr>
                <w:rFonts w:cs="Arial"/>
                <w:sz w:val="20"/>
                <w:szCs w:val="20"/>
              </w:rPr>
            </w:pPr>
            <w:r w:rsidRPr="00CF4D38">
              <w:rPr>
                <w:rFonts w:cs="Arial"/>
                <w:sz w:val="20"/>
                <w:szCs w:val="20"/>
              </w:rPr>
              <w:t>40.26</w:t>
            </w:r>
          </w:p>
        </w:tc>
        <w:tc>
          <w:tcPr>
            <w:tcW w:w="850" w:type="dxa"/>
            <w:vAlign w:val="center"/>
          </w:tcPr>
          <w:p w14:paraId="272F6DD0"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619485C0"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9DBF1A4"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25D1E0B8"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22DB8C0A" w14:textId="77777777" w:rsidTr="00971BE3">
        <w:trPr>
          <w:jc w:val="center"/>
        </w:trPr>
        <w:tc>
          <w:tcPr>
            <w:tcW w:w="1372" w:type="dxa"/>
            <w:vAlign w:val="center"/>
          </w:tcPr>
          <w:p w14:paraId="3A104964"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3</w:t>
            </w:r>
          </w:p>
        </w:tc>
        <w:tc>
          <w:tcPr>
            <w:tcW w:w="1400" w:type="dxa"/>
            <w:vAlign w:val="center"/>
          </w:tcPr>
          <w:p w14:paraId="1DDC424B" w14:textId="77777777" w:rsidR="009B20B4" w:rsidRPr="00CF4D38" w:rsidRDefault="009B20B4" w:rsidP="00B4464C">
            <w:pPr>
              <w:jc w:val="center"/>
              <w:rPr>
                <w:rFonts w:cs="Arial"/>
                <w:sz w:val="20"/>
                <w:szCs w:val="20"/>
              </w:rPr>
            </w:pPr>
            <w:r w:rsidRPr="00CF4D38">
              <w:rPr>
                <w:rFonts w:cs="Arial"/>
                <w:sz w:val="20"/>
                <w:szCs w:val="20"/>
              </w:rPr>
              <w:t>5.54±0.01</w:t>
            </w:r>
          </w:p>
        </w:tc>
        <w:tc>
          <w:tcPr>
            <w:tcW w:w="1091" w:type="dxa"/>
            <w:vAlign w:val="center"/>
          </w:tcPr>
          <w:p w14:paraId="25E7FD3B" w14:textId="77777777" w:rsidR="009B20B4" w:rsidRPr="00CF4D38" w:rsidRDefault="009B20B4" w:rsidP="00B4464C">
            <w:pPr>
              <w:jc w:val="center"/>
              <w:rPr>
                <w:rFonts w:cs="Arial"/>
                <w:sz w:val="20"/>
                <w:szCs w:val="20"/>
              </w:rPr>
            </w:pPr>
            <w:r w:rsidRPr="00CF4D38">
              <w:rPr>
                <w:rFonts w:cs="Arial"/>
                <w:sz w:val="20"/>
                <w:szCs w:val="20"/>
              </w:rPr>
              <w:t>45.36</w:t>
            </w:r>
          </w:p>
        </w:tc>
        <w:tc>
          <w:tcPr>
            <w:tcW w:w="850" w:type="dxa"/>
            <w:vAlign w:val="center"/>
          </w:tcPr>
          <w:p w14:paraId="4FEA8CEF" w14:textId="77777777" w:rsidR="009B20B4" w:rsidRPr="00CF4D38" w:rsidRDefault="009B20B4" w:rsidP="00B4464C">
            <w:pPr>
              <w:jc w:val="center"/>
              <w:rPr>
                <w:rFonts w:cs="Arial"/>
                <w:sz w:val="20"/>
                <w:szCs w:val="20"/>
              </w:rPr>
            </w:pPr>
            <w:r w:rsidRPr="00CF4D38">
              <w:rPr>
                <w:rFonts w:cs="Arial"/>
                <w:sz w:val="20"/>
                <w:szCs w:val="20"/>
              </w:rPr>
              <w:t>≥1min</w:t>
            </w:r>
          </w:p>
        </w:tc>
        <w:tc>
          <w:tcPr>
            <w:tcW w:w="1184" w:type="dxa"/>
            <w:vAlign w:val="center"/>
          </w:tcPr>
          <w:p w14:paraId="742D981E"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1431BB4D"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52EB2AF3" w14:textId="77777777" w:rsidR="009B20B4" w:rsidRPr="00CF4D38" w:rsidRDefault="009B20B4" w:rsidP="00B4464C">
            <w:pPr>
              <w:jc w:val="center"/>
              <w:rPr>
                <w:rFonts w:cs="Arial"/>
                <w:sz w:val="20"/>
                <w:szCs w:val="20"/>
              </w:rPr>
            </w:pPr>
            <w:r w:rsidRPr="00CF4D38">
              <w:rPr>
                <w:rFonts w:cs="Arial"/>
                <w:sz w:val="20"/>
                <w:szCs w:val="20"/>
              </w:rPr>
              <w:t>Fail</w:t>
            </w:r>
          </w:p>
        </w:tc>
      </w:tr>
      <w:tr w:rsidR="009B20B4" w:rsidRPr="00CF4D38" w14:paraId="644F3EB5" w14:textId="77777777" w:rsidTr="00971BE3">
        <w:trPr>
          <w:jc w:val="center"/>
        </w:trPr>
        <w:tc>
          <w:tcPr>
            <w:tcW w:w="1372" w:type="dxa"/>
            <w:vAlign w:val="center"/>
          </w:tcPr>
          <w:p w14:paraId="5B98145A"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4</w:t>
            </w:r>
          </w:p>
        </w:tc>
        <w:tc>
          <w:tcPr>
            <w:tcW w:w="1400" w:type="dxa"/>
            <w:vAlign w:val="center"/>
          </w:tcPr>
          <w:p w14:paraId="7451ADCA" w14:textId="77777777" w:rsidR="009B20B4" w:rsidRPr="00CF4D38" w:rsidRDefault="009B20B4" w:rsidP="00B4464C">
            <w:pPr>
              <w:jc w:val="center"/>
              <w:rPr>
                <w:rFonts w:cs="Arial"/>
                <w:sz w:val="20"/>
                <w:szCs w:val="20"/>
              </w:rPr>
            </w:pPr>
            <w:r w:rsidRPr="00CF4D38">
              <w:rPr>
                <w:rFonts w:cs="Arial"/>
                <w:sz w:val="20"/>
                <w:szCs w:val="20"/>
              </w:rPr>
              <w:t>5.89±0.01</w:t>
            </w:r>
          </w:p>
        </w:tc>
        <w:tc>
          <w:tcPr>
            <w:tcW w:w="1091" w:type="dxa"/>
            <w:vAlign w:val="center"/>
          </w:tcPr>
          <w:p w14:paraId="7C850A34" w14:textId="77777777" w:rsidR="009B20B4" w:rsidRPr="00CF4D38" w:rsidRDefault="009B20B4" w:rsidP="00B4464C">
            <w:pPr>
              <w:jc w:val="center"/>
              <w:rPr>
                <w:rFonts w:cs="Arial"/>
                <w:sz w:val="20"/>
                <w:szCs w:val="20"/>
              </w:rPr>
            </w:pPr>
            <w:r w:rsidRPr="00CF4D38">
              <w:rPr>
                <w:rFonts w:cs="Arial"/>
                <w:sz w:val="20"/>
                <w:szCs w:val="20"/>
              </w:rPr>
              <w:t>36.23</w:t>
            </w:r>
          </w:p>
        </w:tc>
        <w:tc>
          <w:tcPr>
            <w:tcW w:w="850" w:type="dxa"/>
            <w:vAlign w:val="center"/>
          </w:tcPr>
          <w:p w14:paraId="16E5556B"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770AAC54"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6F821723"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6CBE8708"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709C26DB" w14:textId="77777777" w:rsidTr="00971BE3">
        <w:trPr>
          <w:jc w:val="center"/>
        </w:trPr>
        <w:tc>
          <w:tcPr>
            <w:tcW w:w="1372" w:type="dxa"/>
            <w:vAlign w:val="center"/>
          </w:tcPr>
          <w:p w14:paraId="4F2588E2"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5</w:t>
            </w:r>
          </w:p>
        </w:tc>
        <w:tc>
          <w:tcPr>
            <w:tcW w:w="1400" w:type="dxa"/>
            <w:vAlign w:val="center"/>
          </w:tcPr>
          <w:p w14:paraId="6E012BDA" w14:textId="77777777" w:rsidR="009B20B4" w:rsidRPr="00CF4D38" w:rsidRDefault="009B20B4" w:rsidP="00B4464C">
            <w:pPr>
              <w:jc w:val="center"/>
              <w:rPr>
                <w:rFonts w:cs="Arial"/>
                <w:sz w:val="20"/>
                <w:szCs w:val="20"/>
              </w:rPr>
            </w:pPr>
            <w:r w:rsidRPr="00CF4D38">
              <w:rPr>
                <w:rFonts w:cs="Arial"/>
                <w:sz w:val="20"/>
                <w:szCs w:val="20"/>
              </w:rPr>
              <w:t>5.78±0.01</w:t>
            </w:r>
          </w:p>
        </w:tc>
        <w:tc>
          <w:tcPr>
            <w:tcW w:w="1091" w:type="dxa"/>
            <w:vAlign w:val="center"/>
          </w:tcPr>
          <w:p w14:paraId="3DFC3DA9" w14:textId="77777777" w:rsidR="009B20B4" w:rsidRPr="00CF4D38" w:rsidRDefault="009B20B4" w:rsidP="00B4464C">
            <w:pPr>
              <w:jc w:val="center"/>
              <w:rPr>
                <w:rFonts w:cs="Arial"/>
                <w:sz w:val="20"/>
                <w:szCs w:val="20"/>
              </w:rPr>
            </w:pPr>
            <w:r w:rsidRPr="00CF4D38">
              <w:rPr>
                <w:rFonts w:cs="Arial"/>
                <w:sz w:val="20"/>
                <w:szCs w:val="20"/>
              </w:rPr>
              <w:t>41.26</w:t>
            </w:r>
          </w:p>
        </w:tc>
        <w:tc>
          <w:tcPr>
            <w:tcW w:w="850" w:type="dxa"/>
            <w:vAlign w:val="center"/>
          </w:tcPr>
          <w:p w14:paraId="10D652CA" w14:textId="77777777" w:rsidR="009B20B4" w:rsidRPr="00CF4D38" w:rsidRDefault="009B20B4" w:rsidP="00B4464C">
            <w:pPr>
              <w:jc w:val="center"/>
              <w:rPr>
                <w:rFonts w:cs="Arial"/>
                <w:sz w:val="20"/>
                <w:szCs w:val="20"/>
              </w:rPr>
            </w:pPr>
            <w:r w:rsidRPr="00CF4D38">
              <w:rPr>
                <w:rFonts w:cs="Arial"/>
                <w:sz w:val="20"/>
                <w:szCs w:val="20"/>
              </w:rPr>
              <w:t>&lt;1min</w:t>
            </w:r>
          </w:p>
        </w:tc>
        <w:tc>
          <w:tcPr>
            <w:tcW w:w="1184" w:type="dxa"/>
            <w:vAlign w:val="center"/>
          </w:tcPr>
          <w:p w14:paraId="0932D36C"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7DE58702"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69796171" w14:textId="77777777" w:rsidR="009B20B4" w:rsidRPr="00CF4D38" w:rsidRDefault="009B20B4" w:rsidP="00B4464C">
            <w:pPr>
              <w:jc w:val="center"/>
              <w:rPr>
                <w:rFonts w:cs="Arial"/>
                <w:sz w:val="20"/>
                <w:szCs w:val="20"/>
              </w:rPr>
            </w:pPr>
            <w:r w:rsidRPr="00CF4D38">
              <w:rPr>
                <w:rFonts w:cs="Arial"/>
                <w:sz w:val="20"/>
                <w:szCs w:val="20"/>
              </w:rPr>
              <w:t>Pass</w:t>
            </w:r>
          </w:p>
        </w:tc>
      </w:tr>
      <w:tr w:rsidR="009B20B4" w:rsidRPr="00CF4D38" w14:paraId="633B502B" w14:textId="77777777" w:rsidTr="00971BE3">
        <w:trPr>
          <w:jc w:val="center"/>
        </w:trPr>
        <w:tc>
          <w:tcPr>
            <w:tcW w:w="1372" w:type="dxa"/>
            <w:vAlign w:val="center"/>
          </w:tcPr>
          <w:p w14:paraId="318B9499" w14:textId="77777777" w:rsidR="009B20B4" w:rsidRPr="00CF4D38" w:rsidRDefault="009B20B4"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6</w:t>
            </w:r>
          </w:p>
        </w:tc>
        <w:tc>
          <w:tcPr>
            <w:tcW w:w="1400" w:type="dxa"/>
            <w:vAlign w:val="center"/>
          </w:tcPr>
          <w:p w14:paraId="52D080EE" w14:textId="77777777" w:rsidR="009B20B4" w:rsidRPr="00CF4D38" w:rsidRDefault="009B20B4" w:rsidP="00B4464C">
            <w:pPr>
              <w:jc w:val="center"/>
              <w:rPr>
                <w:rFonts w:cs="Arial"/>
                <w:sz w:val="20"/>
                <w:szCs w:val="20"/>
              </w:rPr>
            </w:pPr>
            <w:r w:rsidRPr="00CF4D38">
              <w:rPr>
                <w:rFonts w:cs="Arial"/>
                <w:sz w:val="20"/>
                <w:szCs w:val="20"/>
              </w:rPr>
              <w:t>5.94±0.02</w:t>
            </w:r>
          </w:p>
        </w:tc>
        <w:tc>
          <w:tcPr>
            <w:tcW w:w="1091" w:type="dxa"/>
            <w:vAlign w:val="center"/>
          </w:tcPr>
          <w:p w14:paraId="23EF1204" w14:textId="77777777" w:rsidR="009B20B4" w:rsidRPr="00CF4D38" w:rsidRDefault="009B20B4" w:rsidP="00B4464C">
            <w:pPr>
              <w:jc w:val="center"/>
              <w:rPr>
                <w:rFonts w:cs="Arial"/>
                <w:sz w:val="20"/>
                <w:szCs w:val="20"/>
              </w:rPr>
            </w:pPr>
            <w:r w:rsidRPr="00CF4D38">
              <w:rPr>
                <w:rFonts w:cs="Arial"/>
                <w:sz w:val="20"/>
                <w:szCs w:val="20"/>
              </w:rPr>
              <w:t>43.54</w:t>
            </w:r>
          </w:p>
        </w:tc>
        <w:tc>
          <w:tcPr>
            <w:tcW w:w="850" w:type="dxa"/>
            <w:vAlign w:val="center"/>
          </w:tcPr>
          <w:p w14:paraId="2592D7FB" w14:textId="77777777" w:rsidR="009B20B4" w:rsidRPr="00CF4D38" w:rsidRDefault="009B20B4" w:rsidP="00B4464C">
            <w:pPr>
              <w:jc w:val="center"/>
              <w:rPr>
                <w:rFonts w:cs="Arial"/>
                <w:sz w:val="20"/>
                <w:szCs w:val="20"/>
              </w:rPr>
            </w:pPr>
            <w:r w:rsidRPr="00CF4D38">
              <w:rPr>
                <w:rFonts w:cs="Arial"/>
                <w:sz w:val="20"/>
                <w:szCs w:val="20"/>
              </w:rPr>
              <w:t>≥1min</w:t>
            </w:r>
          </w:p>
        </w:tc>
        <w:tc>
          <w:tcPr>
            <w:tcW w:w="1184" w:type="dxa"/>
            <w:vAlign w:val="center"/>
          </w:tcPr>
          <w:p w14:paraId="0D747853" w14:textId="77777777" w:rsidR="009B20B4" w:rsidRPr="00CF4D38" w:rsidRDefault="009B20B4" w:rsidP="00B4464C">
            <w:pPr>
              <w:jc w:val="center"/>
              <w:rPr>
                <w:rFonts w:cs="Arial"/>
                <w:sz w:val="20"/>
                <w:szCs w:val="20"/>
              </w:rPr>
            </w:pPr>
            <w:r w:rsidRPr="00CF4D38">
              <w:rPr>
                <w:rFonts w:cs="Arial"/>
                <w:sz w:val="20"/>
                <w:szCs w:val="20"/>
              </w:rPr>
              <w:t>Low</w:t>
            </w:r>
          </w:p>
        </w:tc>
        <w:tc>
          <w:tcPr>
            <w:tcW w:w="1195" w:type="dxa"/>
            <w:vAlign w:val="center"/>
          </w:tcPr>
          <w:p w14:paraId="4838CE36" w14:textId="77777777" w:rsidR="009B20B4" w:rsidRPr="00CF4D38" w:rsidRDefault="009B20B4" w:rsidP="00B4464C">
            <w:pPr>
              <w:jc w:val="center"/>
              <w:rPr>
                <w:rFonts w:cs="Arial"/>
                <w:sz w:val="20"/>
                <w:szCs w:val="20"/>
              </w:rPr>
            </w:pPr>
            <w:r w:rsidRPr="00CF4D38">
              <w:rPr>
                <w:rFonts w:cs="Arial"/>
                <w:sz w:val="20"/>
                <w:szCs w:val="20"/>
              </w:rPr>
              <w:t>Uniform</w:t>
            </w:r>
          </w:p>
        </w:tc>
        <w:tc>
          <w:tcPr>
            <w:tcW w:w="1106" w:type="dxa"/>
            <w:vAlign w:val="center"/>
          </w:tcPr>
          <w:p w14:paraId="464BC116" w14:textId="77777777" w:rsidR="009B20B4" w:rsidRPr="00CF4D38" w:rsidRDefault="009B20B4" w:rsidP="00B4464C">
            <w:pPr>
              <w:jc w:val="center"/>
              <w:rPr>
                <w:rFonts w:cs="Arial"/>
                <w:sz w:val="20"/>
                <w:szCs w:val="20"/>
              </w:rPr>
            </w:pPr>
            <w:r w:rsidRPr="00CF4D38">
              <w:rPr>
                <w:rFonts w:cs="Arial"/>
                <w:sz w:val="20"/>
                <w:szCs w:val="20"/>
              </w:rPr>
              <w:t>Fail</w:t>
            </w:r>
          </w:p>
        </w:tc>
      </w:tr>
      <w:tr w:rsidR="00971BE3" w:rsidRPr="00CF4D38" w14:paraId="1D572FB6" w14:textId="77777777" w:rsidTr="008A14F1">
        <w:trPr>
          <w:jc w:val="center"/>
        </w:trPr>
        <w:tc>
          <w:tcPr>
            <w:tcW w:w="1372" w:type="dxa"/>
            <w:vAlign w:val="center"/>
          </w:tcPr>
          <w:p w14:paraId="757F6007"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7</w:t>
            </w:r>
          </w:p>
        </w:tc>
        <w:tc>
          <w:tcPr>
            <w:tcW w:w="1400" w:type="dxa"/>
          </w:tcPr>
          <w:p w14:paraId="3293E7A7" w14:textId="135F22B7" w:rsidR="00971BE3" w:rsidRPr="00CF4D38" w:rsidRDefault="00971BE3" w:rsidP="00B4464C">
            <w:pPr>
              <w:jc w:val="center"/>
              <w:rPr>
                <w:rFonts w:cs="Arial"/>
                <w:sz w:val="20"/>
                <w:szCs w:val="20"/>
              </w:rPr>
            </w:pPr>
            <w:r w:rsidRPr="00CF4D38">
              <w:rPr>
                <w:rFonts w:cs="Arial"/>
                <w:sz w:val="20"/>
                <w:szCs w:val="20"/>
              </w:rPr>
              <w:t>5.68±0.01</w:t>
            </w:r>
          </w:p>
        </w:tc>
        <w:tc>
          <w:tcPr>
            <w:tcW w:w="1091" w:type="dxa"/>
          </w:tcPr>
          <w:p w14:paraId="6F2AB5ED" w14:textId="43C38D5D" w:rsidR="00971BE3" w:rsidRPr="00CF4D38" w:rsidRDefault="00971BE3" w:rsidP="00B4464C">
            <w:pPr>
              <w:jc w:val="center"/>
              <w:rPr>
                <w:rFonts w:cs="Arial"/>
                <w:sz w:val="20"/>
                <w:szCs w:val="20"/>
              </w:rPr>
            </w:pPr>
            <w:r w:rsidRPr="00CF4D38">
              <w:rPr>
                <w:rFonts w:cs="Arial"/>
                <w:sz w:val="20"/>
                <w:szCs w:val="20"/>
              </w:rPr>
              <w:t>36.21</w:t>
            </w:r>
          </w:p>
        </w:tc>
        <w:tc>
          <w:tcPr>
            <w:tcW w:w="850" w:type="dxa"/>
          </w:tcPr>
          <w:p w14:paraId="54923125" w14:textId="4012FC2E" w:rsidR="00971BE3" w:rsidRPr="00CF4D38" w:rsidRDefault="00971BE3" w:rsidP="00B4464C">
            <w:pPr>
              <w:jc w:val="center"/>
              <w:rPr>
                <w:rFonts w:cs="Arial"/>
                <w:sz w:val="20"/>
                <w:szCs w:val="20"/>
              </w:rPr>
            </w:pPr>
            <w:r w:rsidRPr="00CF4D38">
              <w:rPr>
                <w:rFonts w:cs="Arial"/>
                <w:sz w:val="20"/>
                <w:szCs w:val="20"/>
              </w:rPr>
              <w:t>&lt;1min</w:t>
            </w:r>
          </w:p>
        </w:tc>
        <w:tc>
          <w:tcPr>
            <w:tcW w:w="1184" w:type="dxa"/>
          </w:tcPr>
          <w:p w14:paraId="07742F96" w14:textId="336150EC" w:rsidR="00971BE3" w:rsidRPr="00CF4D38" w:rsidRDefault="00971BE3" w:rsidP="00B4464C">
            <w:pPr>
              <w:jc w:val="center"/>
              <w:rPr>
                <w:rFonts w:cs="Arial"/>
                <w:sz w:val="20"/>
                <w:szCs w:val="20"/>
              </w:rPr>
            </w:pPr>
            <w:r w:rsidRPr="00CF4D38">
              <w:rPr>
                <w:rFonts w:cs="Arial"/>
                <w:sz w:val="20"/>
                <w:szCs w:val="20"/>
              </w:rPr>
              <w:t>Low</w:t>
            </w:r>
          </w:p>
        </w:tc>
        <w:tc>
          <w:tcPr>
            <w:tcW w:w="1195" w:type="dxa"/>
          </w:tcPr>
          <w:p w14:paraId="0F524A7D" w14:textId="376A29E7" w:rsidR="00971BE3" w:rsidRPr="00CF4D38" w:rsidRDefault="00971BE3" w:rsidP="00B4464C">
            <w:pPr>
              <w:jc w:val="center"/>
              <w:rPr>
                <w:rFonts w:cs="Arial"/>
                <w:sz w:val="20"/>
                <w:szCs w:val="20"/>
              </w:rPr>
            </w:pPr>
            <w:r w:rsidRPr="00CF4D38">
              <w:rPr>
                <w:rFonts w:cs="Arial"/>
                <w:sz w:val="20"/>
                <w:szCs w:val="20"/>
              </w:rPr>
              <w:t>Uniform</w:t>
            </w:r>
          </w:p>
        </w:tc>
        <w:tc>
          <w:tcPr>
            <w:tcW w:w="1106" w:type="dxa"/>
          </w:tcPr>
          <w:p w14:paraId="63004B57" w14:textId="7ED65749" w:rsidR="00971BE3" w:rsidRPr="00CF4D38" w:rsidRDefault="00971BE3" w:rsidP="00B4464C">
            <w:pPr>
              <w:jc w:val="center"/>
              <w:rPr>
                <w:rFonts w:cs="Arial"/>
                <w:sz w:val="20"/>
                <w:szCs w:val="20"/>
              </w:rPr>
            </w:pPr>
            <w:r w:rsidRPr="00CF4D38">
              <w:rPr>
                <w:rFonts w:cs="Arial"/>
                <w:sz w:val="20"/>
                <w:szCs w:val="20"/>
              </w:rPr>
              <w:t>Pass</w:t>
            </w:r>
          </w:p>
        </w:tc>
      </w:tr>
      <w:tr w:rsidR="00971BE3" w:rsidRPr="00CF4D38" w14:paraId="750DCA18" w14:textId="77777777" w:rsidTr="00971BE3">
        <w:trPr>
          <w:jc w:val="center"/>
        </w:trPr>
        <w:tc>
          <w:tcPr>
            <w:tcW w:w="1372" w:type="dxa"/>
            <w:vAlign w:val="center"/>
          </w:tcPr>
          <w:p w14:paraId="34CE0A32"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8</w:t>
            </w:r>
          </w:p>
        </w:tc>
        <w:tc>
          <w:tcPr>
            <w:tcW w:w="1400" w:type="dxa"/>
            <w:vAlign w:val="center"/>
          </w:tcPr>
          <w:p w14:paraId="5F69F907" w14:textId="3F801F87" w:rsidR="00971BE3" w:rsidRPr="00CF4D38" w:rsidRDefault="00971BE3" w:rsidP="00B4464C">
            <w:pPr>
              <w:jc w:val="center"/>
              <w:rPr>
                <w:rFonts w:cs="Arial"/>
                <w:sz w:val="20"/>
                <w:szCs w:val="20"/>
              </w:rPr>
            </w:pPr>
            <w:r w:rsidRPr="00CF4D38">
              <w:rPr>
                <w:rFonts w:cs="Arial"/>
                <w:sz w:val="20"/>
                <w:szCs w:val="20"/>
              </w:rPr>
              <w:t>5.63±0.01</w:t>
            </w:r>
          </w:p>
        </w:tc>
        <w:tc>
          <w:tcPr>
            <w:tcW w:w="1091" w:type="dxa"/>
            <w:vAlign w:val="center"/>
          </w:tcPr>
          <w:p w14:paraId="7F836BB6" w14:textId="3146587C" w:rsidR="00971BE3" w:rsidRPr="00CF4D38" w:rsidRDefault="00971BE3" w:rsidP="00B4464C">
            <w:pPr>
              <w:jc w:val="center"/>
              <w:rPr>
                <w:rFonts w:cs="Arial"/>
                <w:sz w:val="20"/>
                <w:szCs w:val="20"/>
              </w:rPr>
            </w:pPr>
            <w:r w:rsidRPr="00CF4D38">
              <w:rPr>
                <w:rFonts w:cs="Arial"/>
                <w:sz w:val="20"/>
                <w:szCs w:val="20"/>
              </w:rPr>
              <w:t>41.32</w:t>
            </w:r>
          </w:p>
        </w:tc>
        <w:tc>
          <w:tcPr>
            <w:tcW w:w="850" w:type="dxa"/>
            <w:vAlign w:val="center"/>
          </w:tcPr>
          <w:p w14:paraId="6FC83414" w14:textId="72BD49BC"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6E82D2FB" w14:textId="62C2B671"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2BE4E0CB" w14:textId="62DE04B6"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06909E19" w14:textId="7A679706"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4EC7F350" w14:textId="77777777" w:rsidTr="00971BE3">
        <w:trPr>
          <w:jc w:val="center"/>
        </w:trPr>
        <w:tc>
          <w:tcPr>
            <w:tcW w:w="1372" w:type="dxa"/>
            <w:vAlign w:val="center"/>
          </w:tcPr>
          <w:p w14:paraId="2D0EF095"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9</w:t>
            </w:r>
          </w:p>
        </w:tc>
        <w:tc>
          <w:tcPr>
            <w:tcW w:w="1400" w:type="dxa"/>
            <w:vAlign w:val="center"/>
          </w:tcPr>
          <w:p w14:paraId="31305354" w14:textId="77777777" w:rsidR="00971BE3" w:rsidRPr="00CF4D38" w:rsidRDefault="00971BE3" w:rsidP="00B4464C">
            <w:pPr>
              <w:jc w:val="center"/>
              <w:rPr>
                <w:rFonts w:cs="Arial"/>
                <w:sz w:val="20"/>
                <w:szCs w:val="20"/>
              </w:rPr>
            </w:pPr>
            <w:r w:rsidRPr="00CF4D38">
              <w:rPr>
                <w:rFonts w:cs="Arial"/>
                <w:sz w:val="20"/>
                <w:szCs w:val="20"/>
              </w:rPr>
              <w:t>5.94±0.02</w:t>
            </w:r>
          </w:p>
        </w:tc>
        <w:tc>
          <w:tcPr>
            <w:tcW w:w="1091" w:type="dxa"/>
            <w:vAlign w:val="center"/>
          </w:tcPr>
          <w:p w14:paraId="25F99722" w14:textId="77777777" w:rsidR="00971BE3" w:rsidRPr="00CF4D38" w:rsidRDefault="00971BE3" w:rsidP="00B4464C">
            <w:pPr>
              <w:jc w:val="center"/>
              <w:rPr>
                <w:rFonts w:cs="Arial"/>
                <w:sz w:val="20"/>
                <w:szCs w:val="20"/>
              </w:rPr>
            </w:pPr>
            <w:r w:rsidRPr="00CF4D38">
              <w:rPr>
                <w:rFonts w:cs="Arial"/>
                <w:sz w:val="20"/>
                <w:szCs w:val="20"/>
              </w:rPr>
              <w:t>69.89</w:t>
            </w:r>
          </w:p>
        </w:tc>
        <w:tc>
          <w:tcPr>
            <w:tcW w:w="850" w:type="dxa"/>
            <w:vAlign w:val="center"/>
          </w:tcPr>
          <w:p w14:paraId="7327B01E"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549C54A6" w14:textId="77777777" w:rsidR="00971BE3" w:rsidRPr="00CF4D38" w:rsidRDefault="00971BE3" w:rsidP="00B4464C">
            <w:pPr>
              <w:jc w:val="center"/>
              <w:rPr>
                <w:rFonts w:cs="Arial"/>
                <w:sz w:val="20"/>
                <w:szCs w:val="20"/>
              </w:rPr>
            </w:pPr>
            <w:r w:rsidRPr="00CF4D38">
              <w:rPr>
                <w:rFonts w:cs="Arial"/>
                <w:sz w:val="20"/>
                <w:szCs w:val="20"/>
              </w:rPr>
              <w:t>Medium</w:t>
            </w:r>
          </w:p>
        </w:tc>
        <w:tc>
          <w:tcPr>
            <w:tcW w:w="1195" w:type="dxa"/>
            <w:vAlign w:val="center"/>
          </w:tcPr>
          <w:p w14:paraId="0C6857EC"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1A01B6A1"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6C598120" w14:textId="77777777" w:rsidTr="00971BE3">
        <w:trPr>
          <w:jc w:val="center"/>
        </w:trPr>
        <w:tc>
          <w:tcPr>
            <w:tcW w:w="1372" w:type="dxa"/>
            <w:vAlign w:val="center"/>
          </w:tcPr>
          <w:p w14:paraId="67CE2013"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10</w:t>
            </w:r>
          </w:p>
        </w:tc>
        <w:tc>
          <w:tcPr>
            <w:tcW w:w="1400" w:type="dxa"/>
            <w:vAlign w:val="center"/>
          </w:tcPr>
          <w:p w14:paraId="69B154D6" w14:textId="77777777" w:rsidR="00971BE3" w:rsidRPr="00CF4D38" w:rsidRDefault="00971BE3" w:rsidP="00B4464C">
            <w:pPr>
              <w:jc w:val="center"/>
              <w:rPr>
                <w:rFonts w:cs="Arial"/>
                <w:sz w:val="20"/>
                <w:szCs w:val="20"/>
              </w:rPr>
            </w:pPr>
            <w:r w:rsidRPr="00CF4D38">
              <w:rPr>
                <w:rFonts w:cs="Arial"/>
                <w:sz w:val="20"/>
                <w:szCs w:val="20"/>
              </w:rPr>
              <w:t>5.96±0.01</w:t>
            </w:r>
          </w:p>
        </w:tc>
        <w:tc>
          <w:tcPr>
            <w:tcW w:w="1091" w:type="dxa"/>
            <w:vAlign w:val="center"/>
          </w:tcPr>
          <w:p w14:paraId="53109113" w14:textId="77777777" w:rsidR="00971BE3" w:rsidRPr="00CF4D38" w:rsidRDefault="00971BE3" w:rsidP="00B4464C">
            <w:pPr>
              <w:jc w:val="center"/>
              <w:rPr>
                <w:rFonts w:cs="Arial"/>
                <w:sz w:val="20"/>
                <w:szCs w:val="20"/>
              </w:rPr>
            </w:pPr>
            <w:r w:rsidRPr="00CF4D38">
              <w:rPr>
                <w:rFonts w:cs="Arial"/>
                <w:sz w:val="20"/>
                <w:szCs w:val="20"/>
              </w:rPr>
              <w:t>54.56</w:t>
            </w:r>
          </w:p>
        </w:tc>
        <w:tc>
          <w:tcPr>
            <w:tcW w:w="850" w:type="dxa"/>
            <w:vAlign w:val="center"/>
          </w:tcPr>
          <w:p w14:paraId="3D9A5EFE"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663B0EFD" w14:textId="77777777"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02BADC27"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559C6848"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5485C912" w14:textId="77777777" w:rsidTr="00971BE3">
        <w:trPr>
          <w:jc w:val="center"/>
        </w:trPr>
        <w:tc>
          <w:tcPr>
            <w:tcW w:w="1372" w:type="dxa"/>
            <w:vAlign w:val="center"/>
          </w:tcPr>
          <w:p w14:paraId="40BB99D8"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11</w:t>
            </w:r>
          </w:p>
        </w:tc>
        <w:tc>
          <w:tcPr>
            <w:tcW w:w="1400" w:type="dxa"/>
            <w:vAlign w:val="center"/>
          </w:tcPr>
          <w:p w14:paraId="7809B8A0" w14:textId="77777777" w:rsidR="00971BE3" w:rsidRPr="00CF4D38" w:rsidRDefault="00971BE3" w:rsidP="00B4464C">
            <w:pPr>
              <w:jc w:val="center"/>
              <w:rPr>
                <w:rFonts w:cs="Arial"/>
                <w:sz w:val="20"/>
                <w:szCs w:val="20"/>
              </w:rPr>
            </w:pPr>
            <w:r w:rsidRPr="00CF4D38">
              <w:rPr>
                <w:rFonts w:cs="Arial"/>
                <w:sz w:val="20"/>
                <w:szCs w:val="20"/>
              </w:rPr>
              <w:t>6±0.01</w:t>
            </w:r>
          </w:p>
        </w:tc>
        <w:tc>
          <w:tcPr>
            <w:tcW w:w="1091" w:type="dxa"/>
            <w:vAlign w:val="center"/>
          </w:tcPr>
          <w:p w14:paraId="27FCC511" w14:textId="77777777" w:rsidR="00971BE3" w:rsidRPr="00CF4D38" w:rsidRDefault="00971BE3" w:rsidP="00B4464C">
            <w:pPr>
              <w:jc w:val="center"/>
              <w:rPr>
                <w:rFonts w:cs="Arial"/>
                <w:sz w:val="20"/>
                <w:szCs w:val="20"/>
              </w:rPr>
            </w:pPr>
            <w:r w:rsidRPr="00CF4D38">
              <w:rPr>
                <w:rFonts w:cs="Arial"/>
                <w:sz w:val="20"/>
                <w:szCs w:val="20"/>
              </w:rPr>
              <w:t>51.23</w:t>
            </w:r>
          </w:p>
        </w:tc>
        <w:tc>
          <w:tcPr>
            <w:tcW w:w="850" w:type="dxa"/>
            <w:vAlign w:val="center"/>
          </w:tcPr>
          <w:p w14:paraId="2720E93B" w14:textId="77777777" w:rsidR="00971BE3" w:rsidRPr="00CF4D38" w:rsidRDefault="00971BE3" w:rsidP="00B4464C">
            <w:pPr>
              <w:jc w:val="center"/>
              <w:rPr>
                <w:rFonts w:cs="Arial"/>
                <w:sz w:val="20"/>
                <w:szCs w:val="20"/>
              </w:rPr>
            </w:pPr>
            <w:r w:rsidRPr="00CF4D38">
              <w:rPr>
                <w:rFonts w:cs="Arial"/>
                <w:sz w:val="20"/>
                <w:szCs w:val="20"/>
              </w:rPr>
              <w:t>&gt;1min</w:t>
            </w:r>
          </w:p>
        </w:tc>
        <w:tc>
          <w:tcPr>
            <w:tcW w:w="1184" w:type="dxa"/>
            <w:vAlign w:val="center"/>
          </w:tcPr>
          <w:p w14:paraId="34A03DEC" w14:textId="77777777" w:rsidR="00971BE3" w:rsidRPr="00CF4D38" w:rsidRDefault="00971BE3" w:rsidP="00B4464C">
            <w:pPr>
              <w:jc w:val="center"/>
              <w:rPr>
                <w:rFonts w:cs="Arial"/>
                <w:sz w:val="20"/>
                <w:szCs w:val="20"/>
              </w:rPr>
            </w:pPr>
            <w:r w:rsidRPr="00CF4D38">
              <w:rPr>
                <w:rFonts w:cs="Arial"/>
                <w:sz w:val="20"/>
                <w:szCs w:val="20"/>
              </w:rPr>
              <w:t>High</w:t>
            </w:r>
          </w:p>
        </w:tc>
        <w:tc>
          <w:tcPr>
            <w:tcW w:w="1195" w:type="dxa"/>
            <w:vAlign w:val="center"/>
          </w:tcPr>
          <w:p w14:paraId="02745723"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443F895F"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7AD900BF" w14:textId="77777777" w:rsidTr="00971BE3">
        <w:trPr>
          <w:jc w:val="center"/>
        </w:trPr>
        <w:tc>
          <w:tcPr>
            <w:tcW w:w="1372" w:type="dxa"/>
            <w:vAlign w:val="center"/>
          </w:tcPr>
          <w:p w14:paraId="2B7F93ED"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12</w:t>
            </w:r>
          </w:p>
        </w:tc>
        <w:tc>
          <w:tcPr>
            <w:tcW w:w="1400" w:type="dxa"/>
            <w:vAlign w:val="center"/>
          </w:tcPr>
          <w:p w14:paraId="585AC383" w14:textId="77777777" w:rsidR="00971BE3" w:rsidRPr="00CF4D38" w:rsidRDefault="00971BE3" w:rsidP="00B4464C">
            <w:pPr>
              <w:jc w:val="center"/>
              <w:rPr>
                <w:rFonts w:cs="Arial"/>
                <w:sz w:val="20"/>
                <w:szCs w:val="20"/>
              </w:rPr>
            </w:pPr>
            <w:r w:rsidRPr="00CF4D38">
              <w:rPr>
                <w:rFonts w:cs="Arial"/>
                <w:sz w:val="20"/>
                <w:szCs w:val="20"/>
              </w:rPr>
              <w:t>5.45±0.01</w:t>
            </w:r>
          </w:p>
        </w:tc>
        <w:tc>
          <w:tcPr>
            <w:tcW w:w="1091" w:type="dxa"/>
            <w:vAlign w:val="center"/>
          </w:tcPr>
          <w:p w14:paraId="2D0B5F51" w14:textId="77777777" w:rsidR="00971BE3" w:rsidRPr="00CF4D38" w:rsidRDefault="00971BE3" w:rsidP="00B4464C">
            <w:pPr>
              <w:jc w:val="center"/>
              <w:rPr>
                <w:rFonts w:cs="Arial"/>
                <w:sz w:val="20"/>
                <w:szCs w:val="20"/>
              </w:rPr>
            </w:pPr>
            <w:r w:rsidRPr="00CF4D38">
              <w:rPr>
                <w:rFonts w:cs="Arial"/>
                <w:sz w:val="20"/>
                <w:szCs w:val="20"/>
              </w:rPr>
              <w:t>46.32</w:t>
            </w:r>
          </w:p>
        </w:tc>
        <w:tc>
          <w:tcPr>
            <w:tcW w:w="850" w:type="dxa"/>
            <w:vAlign w:val="center"/>
          </w:tcPr>
          <w:p w14:paraId="28548164"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4CF4A06F"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5FBBAA9F" w14:textId="77777777" w:rsidR="00971BE3" w:rsidRPr="00CF4D38" w:rsidRDefault="00971BE3" w:rsidP="00B4464C">
            <w:pPr>
              <w:jc w:val="center"/>
              <w:rPr>
                <w:rFonts w:cs="Arial"/>
                <w:sz w:val="20"/>
                <w:szCs w:val="20"/>
              </w:rPr>
            </w:pPr>
            <w:r w:rsidRPr="00CF4D38">
              <w:rPr>
                <w:rFonts w:cs="Arial"/>
                <w:sz w:val="20"/>
                <w:szCs w:val="20"/>
              </w:rPr>
              <w:t>Incomplete</w:t>
            </w:r>
          </w:p>
        </w:tc>
        <w:tc>
          <w:tcPr>
            <w:tcW w:w="1106" w:type="dxa"/>
            <w:vAlign w:val="center"/>
          </w:tcPr>
          <w:p w14:paraId="3D8D8FF8" w14:textId="77777777" w:rsidR="00971BE3" w:rsidRPr="00CF4D38" w:rsidRDefault="00971BE3" w:rsidP="00B4464C">
            <w:pPr>
              <w:jc w:val="center"/>
              <w:rPr>
                <w:rFonts w:cs="Arial"/>
                <w:sz w:val="20"/>
                <w:szCs w:val="20"/>
              </w:rPr>
            </w:pPr>
            <w:r w:rsidRPr="00CF4D38">
              <w:rPr>
                <w:rFonts w:cs="Arial"/>
                <w:sz w:val="20"/>
                <w:szCs w:val="20"/>
              </w:rPr>
              <w:t>Fail</w:t>
            </w:r>
          </w:p>
        </w:tc>
      </w:tr>
      <w:tr w:rsidR="00971BE3" w:rsidRPr="00CF4D38" w14:paraId="45F9130D" w14:textId="77777777" w:rsidTr="00971BE3">
        <w:trPr>
          <w:jc w:val="center"/>
        </w:trPr>
        <w:tc>
          <w:tcPr>
            <w:tcW w:w="1372" w:type="dxa"/>
            <w:vAlign w:val="center"/>
          </w:tcPr>
          <w:p w14:paraId="71FE8F8D"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13</w:t>
            </w:r>
          </w:p>
        </w:tc>
        <w:tc>
          <w:tcPr>
            <w:tcW w:w="1400" w:type="dxa"/>
            <w:vAlign w:val="center"/>
          </w:tcPr>
          <w:p w14:paraId="4DD61147" w14:textId="77777777" w:rsidR="00971BE3" w:rsidRPr="00CF4D38" w:rsidRDefault="00971BE3" w:rsidP="00B4464C">
            <w:pPr>
              <w:jc w:val="center"/>
              <w:rPr>
                <w:rFonts w:cs="Arial"/>
                <w:sz w:val="20"/>
                <w:szCs w:val="20"/>
              </w:rPr>
            </w:pPr>
            <w:r w:rsidRPr="00CF4D38">
              <w:rPr>
                <w:rFonts w:cs="Arial"/>
                <w:sz w:val="20"/>
                <w:szCs w:val="20"/>
              </w:rPr>
              <w:t>5.69±0.01</w:t>
            </w:r>
          </w:p>
        </w:tc>
        <w:tc>
          <w:tcPr>
            <w:tcW w:w="1091" w:type="dxa"/>
            <w:vAlign w:val="center"/>
          </w:tcPr>
          <w:p w14:paraId="2861B0C7" w14:textId="77777777" w:rsidR="00971BE3" w:rsidRPr="00CF4D38" w:rsidRDefault="00971BE3" w:rsidP="00B4464C">
            <w:pPr>
              <w:jc w:val="center"/>
              <w:rPr>
                <w:rFonts w:cs="Arial"/>
                <w:sz w:val="20"/>
                <w:szCs w:val="20"/>
              </w:rPr>
            </w:pPr>
            <w:r w:rsidRPr="00CF4D38">
              <w:rPr>
                <w:rFonts w:cs="Arial"/>
                <w:sz w:val="20"/>
                <w:szCs w:val="20"/>
              </w:rPr>
              <w:t>38.65</w:t>
            </w:r>
          </w:p>
        </w:tc>
        <w:tc>
          <w:tcPr>
            <w:tcW w:w="850" w:type="dxa"/>
            <w:vAlign w:val="center"/>
          </w:tcPr>
          <w:p w14:paraId="46C78FEB"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70E90B1A"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375BD164"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587CC75D" w14:textId="77777777" w:rsidR="00971BE3" w:rsidRPr="00CF4D38" w:rsidRDefault="00971BE3" w:rsidP="00B4464C">
            <w:pPr>
              <w:jc w:val="center"/>
              <w:rPr>
                <w:rFonts w:cs="Arial"/>
                <w:sz w:val="20"/>
                <w:szCs w:val="20"/>
              </w:rPr>
            </w:pPr>
            <w:r w:rsidRPr="00CF4D38">
              <w:rPr>
                <w:rFonts w:cs="Arial"/>
                <w:sz w:val="20"/>
                <w:szCs w:val="20"/>
              </w:rPr>
              <w:t>Pass</w:t>
            </w:r>
          </w:p>
        </w:tc>
      </w:tr>
      <w:tr w:rsidR="00971BE3" w:rsidRPr="00CF4D38" w14:paraId="2518E34C" w14:textId="77777777" w:rsidTr="00971BE3">
        <w:trPr>
          <w:jc w:val="center"/>
        </w:trPr>
        <w:tc>
          <w:tcPr>
            <w:tcW w:w="1372" w:type="dxa"/>
            <w:vAlign w:val="center"/>
          </w:tcPr>
          <w:p w14:paraId="7F5CB282" w14:textId="77777777" w:rsidR="00971BE3" w:rsidRPr="00CF4D38" w:rsidRDefault="00971BE3" w:rsidP="00B4464C">
            <w:pPr>
              <w:jc w:val="center"/>
              <w:rPr>
                <w:rFonts w:cs="Arial"/>
                <w:sz w:val="20"/>
                <w:szCs w:val="20"/>
                <w:vertAlign w:val="subscript"/>
              </w:rPr>
            </w:pPr>
            <w:r w:rsidRPr="00CF4D38">
              <w:rPr>
                <w:rFonts w:cs="Arial"/>
                <w:sz w:val="20"/>
                <w:szCs w:val="20"/>
              </w:rPr>
              <w:t>TR</w:t>
            </w:r>
            <w:r w:rsidRPr="00CF4D38">
              <w:rPr>
                <w:rFonts w:cs="Arial"/>
                <w:sz w:val="20"/>
                <w:szCs w:val="20"/>
                <w:vertAlign w:val="subscript"/>
              </w:rPr>
              <w:t>14</w:t>
            </w:r>
          </w:p>
        </w:tc>
        <w:tc>
          <w:tcPr>
            <w:tcW w:w="1400" w:type="dxa"/>
            <w:vAlign w:val="center"/>
          </w:tcPr>
          <w:p w14:paraId="22392ECC" w14:textId="77777777" w:rsidR="00971BE3" w:rsidRPr="00CF4D38" w:rsidRDefault="00971BE3" w:rsidP="00B4464C">
            <w:pPr>
              <w:jc w:val="center"/>
              <w:rPr>
                <w:rFonts w:cs="Arial"/>
                <w:sz w:val="20"/>
                <w:szCs w:val="20"/>
              </w:rPr>
            </w:pPr>
            <w:r w:rsidRPr="00CF4D38">
              <w:rPr>
                <w:rFonts w:cs="Arial"/>
                <w:sz w:val="20"/>
                <w:szCs w:val="20"/>
              </w:rPr>
              <w:t>5.88±0.01</w:t>
            </w:r>
          </w:p>
        </w:tc>
        <w:tc>
          <w:tcPr>
            <w:tcW w:w="1091" w:type="dxa"/>
            <w:vAlign w:val="center"/>
          </w:tcPr>
          <w:p w14:paraId="06C50E79" w14:textId="77777777" w:rsidR="00971BE3" w:rsidRPr="00CF4D38" w:rsidRDefault="00971BE3" w:rsidP="00B4464C">
            <w:pPr>
              <w:jc w:val="center"/>
              <w:rPr>
                <w:rFonts w:cs="Arial"/>
                <w:sz w:val="20"/>
                <w:szCs w:val="20"/>
              </w:rPr>
            </w:pPr>
            <w:r w:rsidRPr="00CF4D38">
              <w:rPr>
                <w:rFonts w:cs="Arial"/>
                <w:sz w:val="20"/>
                <w:szCs w:val="20"/>
              </w:rPr>
              <w:t>40.36</w:t>
            </w:r>
          </w:p>
        </w:tc>
        <w:tc>
          <w:tcPr>
            <w:tcW w:w="850" w:type="dxa"/>
            <w:vAlign w:val="center"/>
          </w:tcPr>
          <w:p w14:paraId="50C8DA93" w14:textId="77777777" w:rsidR="00971BE3" w:rsidRPr="00CF4D38" w:rsidRDefault="00971BE3" w:rsidP="00B4464C">
            <w:pPr>
              <w:jc w:val="center"/>
              <w:rPr>
                <w:rFonts w:cs="Arial"/>
                <w:sz w:val="20"/>
                <w:szCs w:val="20"/>
              </w:rPr>
            </w:pPr>
            <w:r w:rsidRPr="00CF4D38">
              <w:rPr>
                <w:rFonts w:cs="Arial"/>
                <w:sz w:val="20"/>
                <w:szCs w:val="20"/>
              </w:rPr>
              <w:t>&lt;1min</w:t>
            </w:r>
          </w:p>
        </w:tc>
        <w:tc>
          <w:tcPr>
            <w:tcW w:w="1184" w:type="dxa"/>
            <w:vAlign w:val="center"/>
          </w:tcPr>
          <w:p w14:paraId="44761018" w14:textId="77777777" w:rsidR="00971BE3" w:rsidRPr="00CF4D38" w:rsidRDefault="00971BE3" w:rsidP="00B4464C">
            <w:pPr>
              <w:jc w:val="center"/>
              <w:rPr>
                <w:rFonts w:cs="Arial"/>
                <w:sz w:val="20"/>
                <w:szCs w:val="20"/>
              </w:rPr>
            </w:pPr>
            <w:r w:rsidRPr="00CF4D38">
              <w:rPr>
                <w:rFonts w:cs="Arial"/>
                <w:sz w:val="20"/>
                <w:szCs w:val="20"/>
              </w:rPr>
              <w:t>Low</w:t>
            </w:r>
          </w:p>
        </w:tc>
        <w:tc>
          <w:tcPr>
            <w:tcW w:w="1195" w:type="dxa"/>
            <w:vAlign w:val="center"/>
          </w:tcPr>
          <w:p w14:paraId="005448A2" w14:textId="77777777" w:rsidR="00971BE3" w:rsidRPr="00CF4D38" w:rsidRDefault="00971BE3" w:rsidP="00B4464C">
            <w:pPr>
              <w:jc w:val="center"/>
              <w:rPr>
                <w:rFonts w:cs="Arial"/>
                <w:sz w:val="20"/>
                <w:szCs w:val="20"/>
              </w:rPr>
            </w:pPr>
            <w:r w:rsidRPr="00CF4D38">
              <w:rPr>
                <w:rFonts w:cs="Arial"/>
                <w:sz w:val="20"/>
                <w:szCs w:val="20"/>
              </w:rPr>
              <w:t>Uniform</w:t>
            </w:r>
          </w:p>
        </w:tc>
        <w:tc>
          <w:tcPr>
            <w:tcW w:w="1106" w:type="dxa"/>
            <w:vAlign w:val="center"/>
          </w:tcPr>
          <w:p w14:paraId="3C730F25" w14:textId="77777777" w:rsidR="00971BE3" w:rsidRPr="00CF4D38" w:rsidRDefault="00971BE3" w:rsidP="00B4464C">
            <w:pPr>
              <w:jc w:val="center"/>
              <w:rPr>
                <w:rFonts w:cs="Arial"/>
                <w:sz w:val="20"/>
                <w:szCs w:val="20"/>
              </w:rPr>
            </w:pPr>
            <w:r w:rsidRPr="00CF4D38">
              <w:rPr>
                <w:rFonts w:cs="Arial"/>
                <w:sz w:val="20"/>
                <w:szCs w:val="20"/>
              </w:rPr>
              <w:t>Pass</w:t>
            </w:r>
          </w:p>
        </w:tc>
      </w:tr>
    </w:tbl>
    <w:p w14:paraId="0DED89D7" w14:textId="5298A557" w:rsidR="00EF621E" w:rsidRDefault="00EF621E" w:rsidP="00B4464C">
      <w:pPr>
        <w:spacing w:line="240" w:lineRule="auto"/>
        <w:rPr>
          <w:rFonts w:cs="Arial"/>
          <w:b/>
          <w:bCs/>
          <w:sz w:val="22"/>
          <w:szCs w:val="24"/>
        </w:rPr>
      </w:pPr>
    </w:p>
    <w:p w14:paraId="12C8BA45" w14:textId="77777777" w:rsidR="002E33C2" w:rsidRDefault="002E33C2" w:rsidP="00B4464C">
      <w:pPr>
        <w:spacing w:line="240" w:lineRule="auto"/>
        <w:rPr>
          <w:rFonts w:cs="Arial"/>
          <w:b/>
          <w:bCs/>
          <w:sz w:val="22"/>
          <w:szCs w:val="24"/>
        </w:rPr>
      </w:pPr>
    </w:p>
    <w:p w14:paraId="14361A30" w14:textId="77777777" w:rsidR="002E33C2" w:rsidRPr="00B67CB3" w:rsidRDefault="002E33C2" w:rsidP="00B4464C">
      <w:pPr>
        <w:spacing w:line="240" w:lineRule="auto"/>
        <w:rPr>
          <w:rFonts w:cs="Arial"/>
          <w:b/>
          <w:bCs/>
          <w:sz w:val="22"/>
          <w:szCs w:val="24"/>
        </w:rPr>
      </w:pPr>
    </w:p>
    <w:p w14:paraId="255B34E9" w14:textId="427E49B2" w:rsidR="00480918" w:rsidRPr="00CF4D38" w:rsidRDefault="009A10EB" w:rsidP="00CF4D38">
      <w:pPr>
        <w:pStyle w:val="ListParagraph"/>
        <w:numPr>
          <w:ilvl w:val="1"/>
          <w:numId w:val="4"/>
        </w:numPr>
        <w:spacing w:line="240" w:lineRule="auto"/>
        <w:ind w:left="450" w:hanging="450"/>
        <w:jc w:val="both"/>
        <w:rPr>
          <w:rFonts w:cs="Arial"/>
          <w:sz w:val="22"/>
          <w:szCs w:val="24"/>
        </w:rPr>
      </w:pPr>
      <w:r w:rsidRPr="00CF4D38">
        <w:rPr>
          <w:rFonts w:cs="Arial"/>
          <w:sz w:val="22"/>
          <w:szCs w:val="24"/>
        </w:rPr>
        <w:t xml:space="preserve">Drug </w:t>
      </w:r>
      <w:r w:rsidR="00480918" w:rsidRPr="00CF4D38">
        <w:rPr>
          <w:rFonts w:cs="Arial"/>
          <w:sz w:val="22"/>
          <w:szCs w:val="24"/>
        </w:rPr>
        <w:t>C</w:t>
      </w:r>
      <w:r w:rsidRPr="00CF4D38">
        <w:rPr>
          <w:rFonts w:cs="Arial"/>
          <w:sz w:val="22"/>
          <w:szCs w:val="24"/>
        </w:rPr>
        <w:t>ontent</w:t>
      </w:r>
    </w:p>
    <w:p w14:paraId="19E39A9E" w14:textId="7755E8C7" w:rsidR="002B206B" w:rsidRPr="00CF4D38" w:rsidRDefault="00915C87" w:rsidP="00B4464C">
      <w:pPr>
        <w:spacing w:after="0" w:line="240" w:lineRule="auto"/>
        <w:jc w:val="both"/>
        <w:rPr>
          <w:rFonts w:cs="Arial"/>
          <w:sz w:val="20"/>
          <w:szCs w:val="18"/>
        </w:rPr>
      </w:pPr>
      <w:r w:rsidRPr="00CF4D38">
        <w:rPr>
          <w:rFonts w:cs="Arial"/>
          <w:sz w:val="20"/>
          <w:szCs w:val="18"/>
        </w:rPr>
        <w:lastRenderedPageBreak/>
        <w:t>Table 3 showed that the TR2 formulation had the highest drug content (94.36%) among all selected formulations, which might be due to the polymer concentration of 10% w/v and the polymer grade utilized in the formulation (Table 1).</w:t>
      </w:r>
    </w:p>
    <w:p w14:paraId="31B8EAB5" w14:textId="2AF25B33" w:rsidR="00480918" w:rsidRPr="00CF4D38" w:rsidRDefault="00480918" w:rsidP="00CF4D38">
      <w:pPr>
        <w:spacing w:before="240" w:line="240" w:lineRule="auto"/>
        <w:rPr>
          <w:rFonts w:cs="Arial"/>
          <w:b/>
          <w:bCs/>
          <w:sz w:val="20"/>
          <w:szCs w:val="18"/>
        </w:rPr>
      </w:pPr>
      <w:r w:rsidRPr="00CF4D38">
        <w:rPr>
          <w:rFonts w:cs="Arial"/>
          <w:b/>
          <w:bCs/>
          <w:sz w:val="20"/>
          <w:szCs w:val="18"/>
        </w:rPr>
        <w:t>Table 3</w:t>
      </w:r>
      <w:r w:rsidR="00CF4D38">
        <w:rPr>
          <w:rFonts w:cs="Arial"/>
          <w:b/>
          <w:bCs/>
          <w:sz w:val="20"/>
          <w:szCs w:val="18"/>
        </w:rPr>
        <w:t xml:space="preserve">. </w:t>
      </w:r>
      <w:r w:rsidR="00333EB7" w:rsidRPr="00CF4D38">
        <w:rPr>
          <w:rFonts w:cs="Arial"/>
          <w:b/>
          <w:bCs/>
          <w:sz w:val="20"/>
          <w:szCs w:val="18"/>
        </w:rPr>
        <w:t>Drug content estimation for the selected formulations</w:t>
      </w:r>
      <w:r w:rsidR="00F1046A" w:rsidRPr="00CF4D38">
        <w:rPr>
          <w:rFonts w:cs="Arial"/>
          <w:b/>
          <w:bCs/>
          <w:sz w:val="20"/>
          <w:szCs w:val="18"/>
        </w:rPr>
        <w:t xml:space="preserve"> from </w:t>
      </w:r>
      <w:r w:rsidR="00405E72" w:rsidRPr="00CF4D38">
        <w:rPr>
          <w:rFonts w:cs="Arial"/>
          <w:b/>
          <w:bCs/>
          <w:sz w:val="20"/>
          <w:szCs w:val="18"/>
        </w:rPr>
        <w:t>T</w:t>
      </w:r>
      <w:r w:rsidR="00F1046A" w:rsidRPr="00CF4D38">
        <w:rPr>
          <w:rFonts w:cs="Arial"/>
          <w:b/>
          <w:bCs/>
          <w:sz w:val="20"/>
          <w:szCs w:val="18"/>
        </w:rPr>
        <w:t>able 1</w:t>
      </w:r>
    </w:p>
    <w:tbl>
      <w:tblPr>
        <w:tblStyle w:val="TableGrid"/>
        <w:tblW w:w="0" w:type="auto"/>
        <w:jc w:val="center"/>
        <w:tblLook w:val="04A0" w:firstRow="1" w:lastRow="0" w:firstColumn="1" w:lastColumn="0" w:noHBand="0" w:noVBand="1"/>
      </w:tblPr>
      <w:tblGrid>
        <w:gridCol w:w="1875"/>
        <w:gridCol w:w="2074"/>
      </w:tblGrid>
      <w:tr w:rsidR="00D53E67" w:rsidRPr="00CF4D38" w14:paraId="646E0EDB" w14:textId="77777777" w:rsidTr="009743D5">
        <w:trPr>
          <w:trHeight w:val="267"/>
          <w:jc w:val="center"/>
        </w:trPr>
        <w:tc>
          <w:tcPr>
            <w:tcW w:w="1875" w:type="dxa"/>
            <w:vAlign w:val="center"/>
          </w:tcPr>
          <w:p w14:paraId="0C97C934" w14:textId="3F7506A3" w:rsidR="00D53E67" w:rsidRPr="00CF4D38" w:rsidRDefault="00D53E67" w:rsidP="00B4464C">
            <w:pPr>
              <w:spacing w:before="120"/>
              <w:jc w:val="center"/>
              <w:rPr>
                <w:rFonts w:cs="Arial"/>
                <w:b/>
                <w:bCs/>
                <w:sz w:val="20"/>
                <w:szCs w:val="18"/>
              </w:rPr>
            </w:pPr>
            <w:r w:rsidRPr="00CF4D38">
              <w:rPr>
                <w:rFonts w:cs="Arial"/>
                <w:b/>
                <w:bCs/>
                <w:sz w:val="20"/>
                <w:szCs w:val="18"/>
              </w:rPr>
              <w:t>Formulation</w:t>
            </w:r>
          </w:p>
        </w:tc>
        <w:tc>
          <w:tcPr>
            <w:tcW w:w="2074" w:type="dxa"/>
            <w:vAlign w:val="center"/>
          </w:tcPr>
          <w:p w14:paraId="360E7A14" w14:textId="46B78CAD" w:rsidR="00D53E67" w:rsidRPr="00CF4D38" w:rsidRDefault="00D53E67" w:rsidP="00B4464C">
            <w:pPr>
              <w:spacing w:before="120"/>
              <w:jc w:val="center"/>
              <w:rPr>
                <w:rFonts w:cs="Arial"/>
                <w:b/>
                <w:bCs/>
                <w:sz w:val="20"/>
                <w:szCs w:val="18"/>
              </w:rPr>
            </w:pPr>
            <w:r w:rsidRPr="00CF4D38">
              <w:rPr>
                <w:rFonts w:cs="Arial"/>
                <w:b/>
                <w:bCs/>
                <w:sz w:val="20"/>
                <w:szCs w:val="18"/>
              </w:rPr>
              <w:t>Drug content</w:t>
            </w:r>
          </w:p>
        </w:tc>
      </w:tr>
      <w:tr w:rsidR="00D53E67" w:rsidRPr="00CF4D38" w14:paraId="4DE00EAF" w14:textId="77777777" w:rsidTr="009743D5">
        <w:trPr>
          <w:trHeight w:val="267"/>
          <w:jc w:val="center"/>
        </w:trPr>
        <w:tc>
          <w:tcPr>
            <w:tcW w:w="1875" w:type="dxa"/>
            <w:vAlign w:val="center"/>
          </w:tcPr>
          <w:p w14:paraId="6D3CCD3C" w14:textId="67FD9385"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w:t>
            </w:r>
          </w:p>
        </w:tc>
        <w:tc>
          <w:tcPr>
            <w:tcW w:w="2074" w:type="dxa"/>
            <w:vAlign w:val="center"/>
          </w:tcPr>
          <w:p w14:paraId="509A634B" w14:textId="0F0BA71B" w:rsidR="00D53E67" w:rsidRPr="00CF4D38" w:rsidRDefault="00D53E67" w:rsidP="00B4464C">
            <w:pPr>
              <w:spacing w:before="120"/>
              <w:jc w:val="center"/>
              <w:rPr>
                <w:rFonts w:cs="Arial"/>
                <w:sz w:val="20"/>
                <w:szCs w:val="18"/>
              </w:rPr>
            </w:pPr>
            <w:r w:rsidRPr="00CF4D38">
              <w:rPr>
                <w:rFonts w:cs="Arial"/>
                <w:sz w:val="20"/>
                <w:szCs w:val="18"/>
              </w:rPr>
              <w:t>81.45</w:t>
            </w:r>
          </w:p>
        </w:tc>
      </w:tr>
      <w:tr w:rsidR="00D53E67" w:rsidRPr="00CF4D38" w14:paraId="251333A7" w14:textId="77777777" w:rsidTr="009743D5">
        <w:trPr>
          <w:trHeight w:val="267"/>
          <w:jc w:val="center"/>
        </w:trPr>
        <w:tc>
          <w:tcPr>
            <w:tcW w:w="1875" w:type="dxa"/>
            <w:vAlign w:val="center"/>
          </w:tcPr>
          <w:p w14:paraId="27A032A2" w14:textId="39B651E2"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2</w:t>
            </w:r>
          </w:p>
        </w:tc>
        <w:tc>
          <w:tcPr>
            <w:tcW w:w="2074" w:type="dxa"/>
            <w:vAlign w:val="center"/>
          </w:tcPr>
          <w:p w14:paraId="47C32946" w14:textId="03D98381" w:rsidR="00D53E67" w:rsidRPr="00CF4D38" w:rsidRDefault="00D53E67" w:rsidP="00B4464C">
            <w:pPr>
              <w:spacing w:before="120"/>
              <w:jc w:val="center"/>
              <w:rPr>
                <w:rFonts w:cs="Arial"/>
                <w:sz w:val="20"/>
                <w:szCs w:val="18"/>
              </w:rPr>
            </w:pPr>
            <w:r w:rsidRPr="00CF4D38">
              <w:rPr>
                <w:rFonts w:cs="Arial"/>
                <w:sz w:val="20"/>
                <w:szCs w:val="18"/>
              </w:rPr>
              <w:t>94.36</w:t>
            </w:r>
          </w:p>
        </w:tc>
      </w:tr>
      <w:tr w:rsidR="00D53E67" w:rsidRPr="00CF4D38" w14:paraId="043A49C9" w14:textId="77777777" w:rsidTr="009743D5">
        <w:trPr>
          <w:trHeight w:val="267"/>
          <w:jc w:val="center"/>
        </w:trPr>
        <w:tc>
          <w:tcPr>
            <w:tcW w:w="1875" w:type="dxa"/>
            <w:vAlign w:val="center"/>
          </w:tcPr>
          <w:p w14:paraId="6CB1639C" w14:textId="436EAB06"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4</w:t>
            </w:r>
          </w:p>
        </w:tc>
        <w:tc>
          <w:tcPr>
            <w:tcW w:w="2074" w:type="dxa"/>
            <w:vAlign w:val="center"/>
          </w:tcPr>
          <w:p w14:paraId="6C473E9F" w14:textId="57E53024" w:rsidR="00D53E67" w:rsidRPr="00CF4D38" w:rsidRDefault="00D53E67" w:rsidP="00B4464C">
            <w:pPr>
              <w:spacing w:before="120"/>
              <w:jc w:val="center"/>
              <w:rPr>
                <w:rFonts w:cs="Arial"/>
                <w:sz w:val="20"/>
                <w:szCs w:val="18"/>
              </w:rPr>
            </w:pPr>
            <w:r w:rsidRPr="00CF4D38">
              <w:rPr>
                <w:rFonts w:cs="Arial"/>
                <w:sz w:val="20"/>
                <w:szCs w:val="18"/>
              </w:rPr>
              <w:t>89.36</w:t>
            </w:r>
          </w:p>
        </w:tc>
      </w:tr>
      <w:tr w:rsidR="00D53E67" w:rsidRPr="00CF4D38" w14:paraId="6211B384" w14:textId="77777777" w:rsidTr="009743D5">
        <w:trPr>
          <w:trHeight w:val="267"/>
          <w:jc w:val="center"/>
        </w:trPr>
        <w:tc>
          <w:tcPr>
            <w:tcW w:w="1875" w:type="dxa"/>
            <w:vAlign w:val="center"/>
          </w:tcPr>
          <w:p w14:paraId="4B2D4669" w14:textId="54A4C39E"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5</w:t>
            </w:r>
          </w:p>
        </w:tc>
        <w:tc>
          <w:tcPr>
            <w:tcW w:w="2074" w:type="dxa"/>
            <w:vAlign w:val="center"/>
          </w:tcPr>
          <w:p w14:paraId="22F3124C" w14:textId="14B1D5EE" w:rsidR="00D53E67" w:rsidRPr="00CF4D38" w:rsidRDefault="00D53E67" w:rsidP="00B4464C">
            <w:pPr>
              <w:spacing w:before="120"/>
              <w:jc w:val="center"/>
              <w:rPr>
                <w:rFonts w:cs="Arial"/>
                <w:sz w:val="20"/>
                <w:szCs w:val="18"/>
              </w:rPr>
            </w:pPr>
            <w:r w:rsidRPr="00CF4D38">
              <w:rPr>
                <w:rFonts w:cs="Arial"/>
                <w:sz w:val="20"/>
                <w:szCs w:val="18"/>
              </w:rPr>
              <w:t>84.25</w:t>
            </w:r>
          </w:p>
        </w:tc>
      </w:tr>
      <w:tr w:rsidR="00D53E67" w:rsidRPr="00CF4D38" w14:paraId="7ED5A2E8" w14:textId="77777777" w:rsidTr="009743D5">
        <w:trPr>
          <w:trHeight w:val="267"/>
          <w:jc w:val="center"/>
        </w:trPr>
        <w:tc>
          <w:tcPr>
            <w:tcW w:w="1875" w:type="dxa"/>
            <w:vAlign w:val="center"/>
          </w:tcPr>
          <w:p w14:paraId="5C20BAD9" w14:textId="616B876D" w:rsidR="00D53E67" w:rsidRPr="00CF4D38" w:rsidRDefault="00D53E67" w:rsidP="00B4464C">
            <w:pPr>
              <w:spacing w:before="120"/>
              <w:jc w:val="center"/>
              <w:rPr>
                <w:rFonts w:cs="Arial"/>
                <w:sz w:val="20"/>
                <w:szCs w:val="18"/>
              </w:rPr>
            </w:pPr>
            <w:r w:rsidRPr="00CF4D38">
              <w:rPr>
                <w:rFonts w:cs="Arial"/>
                <w:sz w:val="20"/>
                <w:szCs w:val="18"/>
              </w:rPr>
              <w:t>TR</w:t>
            </w:r>
            <w:r w:rsidR="00966C98" w:rsidRPr="00CF4D38">
              <w:rPr>
                <w:rFonts w:cs="Arial"/>
                <w:sz w:val="20"/>
                <w:szCs w:val="18"/>
                <w:vertAlign w:val="subscript"/>
              </w:rPr>
              <w:t>7</w:t>
            </w:r>
          </w:p>
        </w:tc>
        <w:tc>
          <w:tcPr>
            <w:tcW w:w="2074" w:type="dxa"/>
            <w:vAlign w:val="center"/>
          </w:tcPr>
          <w:p w14:paraId="6EAD063F" w14:textId="6C08F9F6" w:rsidR="00D53E67" w:rsidRPr="00CF4D38" w:rsidRDefault="00D53E67" w:rsidP="00B4464C">
            <w:pPr>
              <w:spacing w:before="120"/>
              <w:jc w:val="center"/>
              <w:rPr>
                <w:rFonts w:cs="Arial"/>
                <w:sz w:val="20"/>
                <w:szCs w:val="18"/>
              </w:rPr>
            </w:pPr>
            <w:r w:rsidRPr="00CF4D38">
              <w:rPr>
                <w:rFonts w:cs="Arial"/>
                <w:sz w:val="20"/>
                <w:szCs w:val="18"/>
              </w:rPr>
              <w:t>87.60</w:t>
            </w:r>
          </w:p>
        </w:tc>
      </w:tr>
      <w:tr w:rsidR="00D53E67" w:rsidRPr="00CF4D38" w14:paraId="12B42585" w14:textId="77777777" w:rsidTr="009743D5">
        <w:trPr>
          <w:trHeight w:val="267"/>
          <w:jc w:val="center"/>
        </w:trPr>
        <w:tc>
          <w:tcPr>
            <w:tcW w:w="1875" w:type="dxa"/>
            <w:vAlign w:val="center"/>
          </w:tcPr>
          <w:p w14:paraId="5D554E39" w14:textId="343F1676"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13</w:t>
            </w:r>
          </w:p>
        </w:tc>
        <w:tc>
          <w:tcPr>
            <w:tcW w:w="2074" w:type="dxa"/>
            <w:vAlign w:val="center"/>
          </w:tcPr>
          <w:p w14:paraId="2CA6B680" w14:textId="4E5EC674" w:rsidR="00D53E67" w:rsidRPr="00CF4D38" w:rsidRDefault="00D53E67" w:rsidP="00B4464C">
            <w:pPr>
              <w:spacing w:before="120"/>
              <w:jc w:val="center"/>
              <w:rPr>
                <w:rFonts w:cs="Arial"/>
                <w:sz w:val="20"/>
                <w:szCs w:val="18"/>
              </w:rPr>
            </w:pPr>
            <w:r w:rsidRPr="00CF4D38">
              <w:rPr>
                <w:rFonts w:cs="Arial"/>
                <w:sz w:val="20"/>
                <w:szCs w:val="18"/>
              </w:rPr>
              <w:t>87.60</w:t>
            </w:r>
          </w:p>
        </w:tc>
      </w:tr>
      <w:tr w:rsidR="00D53E67" w:rsidRPr="00CF4D38" w14:paraId="04087795" w14:textId="77777777" w:rsidTr="009743D5">
        <w:trPr>
          <w:trHeight w:val="267"/>
          <w:jc w:val="center"/>
        </w:trPr>
        <w:tc>
          <w:tcPr>
            <w:tcW w:w="1875" w:type="dxa"/>
            <w:vAlign w:val="center"/>
          </w:tcPr>
          <w:p w14:paraId="7B138111" w14:textId="7C2EB8FB" w:rsidR="00D53E67" w:rsidRPr="00CF4D38" w:rsidRDefault="00D53E67" w:rsidP="00B4464C">
            <w:pPr>
              <w:spacing w:before="120"/>
              <w:jc w:val="center"/>
              <w:rPr>
                <w:rFonts w:cs="Arial"/>
                <w:sz w:val="20"/>
                <w:szCs w:val="18"/>
              </w:rPr>
            </w:pPr>
            <w:r w:rsidRPr="00CF4D38">
              <w:rPr>
                <w:rFonts w:cs="Arial"/>
                <w:sz w:val="20"/>
                <w:szCs w:val="18"/>
              </w:rPr>
              <w:t>TR</w:t>
            </w:r>
            <w:r w:rsidRPr="00CF4D38">
              <w:rPr>
                <w:rFonts w:cs="Arial"/>
                <w:sz w:val="20"/>
                <w:szCs w:val="18"/>
                <w:vertAlign w:val="subscript"/>
              </w:rPr>
              <w:t>14</w:t>
            </w:r>
          </w:p>
        </w:tc>
        <w:tc>
          <w:tcPr>
            <w:tcW w:w="2074" w:type="dxa"/>
            <w:vAlign w:val="center"/>
          </w:tcPr>
          <w:p w14:paraId="364B5BAB" w14:textId="4D863A18" w:rsidR="00D53E67" w:rsidRPr="00CF4D38" w:rsidRDefault="00D53E67" w:rsidP="00B4464C">
            <w:pPr>
              <w:spacing w:before="120"/>
              <w:jc w:val="center"/>
              <w:rPr>
                <w:rFonts w:cs="Arial"/>
                <w:sz w:val="20"/>
                <w:szCs w:val="18"/>
              </w:rPr>
            </w:pPr>
            <w:r w:rsidRPr="00CF4D38">
              <w:rPr>
                <w:rFonts w:cs="Arial"/>
                <w:sz w:val="20"/>
                <w:szCs w:val="18"/>
              </w:rPr>
              <w:t>85.41</w:t>
            </w:r>
          </w:p>
        </w:tc>
      </w:tr>
    </w:tbl>
    <w:p w14:paraId="023D994D" w14:textId="3C906A29" w:rsidR="001962C1" w:rsidRPr="00CF4D38" w:rsidRDefault="009A10EB" w:rsidP="00CF4D38">
      <w:pPr>
        <w:pStyle w:val="ListParagraph"/>
        <w:numPr>
          <w:ilvl w:val="1"/>
          <w:numId w:val="4"/>
        </w:numPr>
        <w:spacing w:before="240" w:line="240" w:lineRule="auto"/>
        <w:ind w:left="450" w:hanging="450"/>
        <w:jc w:val="both"/>
        <w:rPr>
          <w:rFonts w:cs="Arial"/>
          <w:sz w:val="22"/>
          <w:szCs w:val="24"/>
        </w:rPr>
      </w:pPr>
      <w:r w:rsidRPr="00CF4D38">
        <w:rPr>
          <w:rFonts w:cs="Arial"/>
          <w:sz w:val="22"/>
          <w:szCs w:val="24"/>
        </w:rPr>
        <w:t>FTIR</w:t>
      </w:r>
    </w:p>
    <w:p w14:paraId="36C4AB79" w14:textId="310EE6F6" w:rsidR="00B82ED1" w:rsidRPr="00DC4068" w:rsidRDefault="009F096A" w:rsidP="00B4464C">
      <w:pPr>
        <w:spacing w:line="240" w:lineRule="auto"/>
        <w:jc w:val="both"/>
        <w:rPr>
          <w:rFonts w:cs="Arial"/>
          <w:sz w:val="20"/>
          <w:szCs w:val="18"/>
        </w:rPr>
      </w:pPr>
      <w:r w:rsidRPr="00CF4D38">
        <w:rPr>
          <w:rFonts w:cs="Arial"/>
          <w:sz w:val="20"/>
          <w:szCs w:val="18"/>
        </w:rPr>
        <w:t>F</w:t>
      </w:r>
      <w:r w:rsidR="00DB5CCD" w:rsidRPr="00CF4D38">
        <w:rPr>
          <w:rFonts w:cs="Arial"/>
          <w:sz w:val="20"/>
          <w:szCs w:val="18"/>
        </w:rPr>
        <w:t>igure 1</w:t>
      </w:r>
      <w:r w:rsidRPr="00CF4D38">
        <w:rPr>
          <w:rFonts w:cs="Arial"/>
          <w:sz w:val="20"/>
          <w:szCs w:val="18"/>
        </w:rPr>
        <w:t xml:space="preserve"> shows that</w:t>
      </w:r>
      <w:r w:rsidR="000F276C" w:rsidRPr="00CF4D38">
        <w:rPr>
          <w:rFonts w:cs="Arial"/>
          <w:sz w:val="20"/>
          <w:szCs w:val="18"/>
        </w:rPr>
        <w:t xml:space="preserve"> </w:t>
      </w:r>
      <w:r w:rsidR="003E5828" w:rsidRPr="00CF4D38">
        <w:rPr>
          <w:rFonts w:cs="Arial"/>
          <w:sz w:val="20"/>
          <w:szCs w:val="18"/>
        </w:rPr>
        <w:t>t</w:t>
      </w:r>
      <w:r w:rsidR="00AB280D" w:rsidRPr="00CF4D38">
        <w:rPr>
          <w:rFonts w:cs="Arial"/>
          <w:sz w:val="20"/>
          <w:szCs w:val="18"/>
        </w:rPr>
        <w:t>he infrared spectrum exhibited characteristic peaks at 3639 cm</w:t>
      </w:r>
      <w:r w:rsidR="00AB280D" w:rsidRPr="00CF4D38">
        <w:rPr>
          <w:rFonts w:ascii="Cambria Math" w:hAnsi="Cambria Math" w:cs="Cambria Math"/>
          <w:sz w:val="20"/>
          <w:szCs w:val="18"/>
        </w:rPr>
        <w:t>⁻</w:t>
      </w:r>
      <w:r w:rsidR="00AB280D" w:rsidRPr="00CF4D38">
        <w:rPr>
          <w:rFonts w:cs="Arial"/>
          <w:sz w:val="20"/>
          <w:szCs w:val="18"/>
        </w:rPr>
        <w:t>¹ (O–H stretching), 2923 cm</w:t>
      </w:r>
      <w:r w:rsidR="00AB280D" w:rsidRPr="00CF4D38">
        <w:rPr>
          <w:rFonts w:ascii="Cambria Math" w:hAnsi="Cambria Math" w:cs="Cambria Math"/>
          <w:sz w:val="20"/>
          <w:szCs w:val="18"/>
        </w:rPr>
        <w:t>⁻</w:t>
      </w:r>
      <w:r w:rsidR="00AB280D" w:rsidRPr="00CF4D38">
        <w:rPr>
          <w:rFonts w:cs="Arial"/>
          <w:sz w:val="20"/>
          <w:szCs w:val="18"/>
        </w:rPr>
        <w:t>¹ (C–H stretching), 1860 cm</w:t>
      </w:r>
      <w:r w:rsidR="00AB280D" w:rsidRPr="00CF4D38">
        <w:rPr>
          <w:rFonts w:ascii="Cambria Math" w:hAnsi="Cambria Math" w:cs="Cambria Math"/>
          <w:sz w:val="20"/>
          <w:szCs w:val="18"/>
        </w:rPr>
        <w:t>⁻</w:t>
      </w:r>
      <w:r w:rsidR="00AB280D" w:rsidRPr="00CF4D38">
        <w:rPr>
          <w:rFonts w:cs="Arial"/>
          <w:sz w:val="20"/>
          <w:szCs w:val="18"/>
        </w:rPr>
        <w:t>¹ (C=C stretching), and 1436 cm</w:t>
      </w:r>
      <w:r w:rsidR="00AB280D" w:rsidRPr="00CF4D38">
        <w:rPr>
          <w:rFonts w:ascii="Cambria Math" w:hAnsi="Cambria Math" w:cs="Cambria Math"/>
          <w:sz w:val="20"/>
          <w:szCs w:val="18"/>
        </w:rPr>
        <w:t>⁻</w:t>
      </w:r>
      <w:r w:rsidR="00AB280D" w:rsidRPr="00CF4D38">
        <w:rPr>
          <w:rFonts w:cs="Arial"/>
          <w:sz w:val="20"/>
          <w:szCs w:val="18"/>
        </w:rPr>
        <w:t>¹ (C–C vibrations</w:t>
      </w:r>
      <w:r w:rsidR="00B82ED1" w:rsidRPr="00CF4D38">
        <w:rPr>
          <w:rFonts w:cs="Arial"/>
          <w:sz w:val="20"/>
          <w:szCs w:val="18"/>
        </w:rPr>
        <w:t>)</w:t>
      </w:r>
      <w:r w:rsidR="000F276C" w:rsidRPr="00CF4D38">
        <w:rPr>
          <w:rFonts w:cs="Arial"/>
          <w:sz w:val="20"/>
          <w:szCs w:val="18"/>
        </w:rPr>
        <w:t xml:space="preserve">. These </w:t>
      </w:r>
      <w:r w:rsidR="003E5828" w:rsidRPr="00CF4D38">
        <w:rPr>
          <w:rFonts w:cs="Arial"/>
          <w:sz w:val="20"/>
          <w:szCs w:val="18"/>
        </w:rPr>
        <w:t xml:space="preserve">characteristic </w:t>
      </w:r>
      <w:r w:rsidR="000F276C" w:rsidRPr="00CF4D38">
        <w:rPr>
          <w:rFonts w:cs="Arial"/>
          <w:sz w:val="20"/>
          <w:szCs w:val="18"/>
        </w:rPr>
        <w:t>peaks</w:t>
      </w:r>
      <w:r w:rsidR="003E5828" w:rsidRPr="00CF4D38">
        <w:rPr>
          <w:rFonts w:cs="Arial"/>
          <w:sz w:val="20"/>
          <w:szCs w:val="18"/>
        </w:rPr>
        <w:t xml:space="preserve"> were o</w:t>
      </w:r>
      <w:r w:rsidR="00962BC6" w:rsidRPr="00CF4D38">
        <w:rPr>
          <w:rFonts w:cs="Arial"/>
          <w:sz w:val="20"/>
          <w:szCs w:val="18"/>
        </w:rPr>
        <w:t>bserved in</w:t>
      </w:r>
      <w:r w:rsidR="000F276C" w:rsidRPr="00CF4D38">
        <w:rPr>
          <w:rFonts w:cs="Arial"/>
          <w:sz w:val="20"/>
          <w:szCs w:val="18"/>
        </w:rPr>
        <w:t xml:space="preserve"> </w:t>
      </w:r>
      <w:r w:rsidR="00962BC6" w:rsidRPr="00CF4D38">
        <w:rPr>
          <w:rFonts w:cs="Arial"/>
          <w:sz w:val="20"/>
          <w:szCs w:val="18"/>
        </w:rPr>
        <w:t xml:space="preserve">both the </w:t>
      </w:r>
      <w:r w:rsidR="000F276C" w:rsidRPr="00CF4D38">
        <w:rPr>
          <w:rFonts w:cs="Arial"/>
          <w:sz w:val="20"/>
          <w:szCs w:val="18"/>
        </w:rPr>
        <w:t>PM and CPO</w:t>
      </w:r>
      <w:r w:rsidRPr="00CF4D38">
        <w:rPr>
          <w:rFonts w:cs="Arial"/>
          <w:sz w:val="20"/>
          <w:szCs w:val="18"/>
        </w:rPr>
        <w:t>, which</w:t>
      </w:r>
      <w:r w:rsidR="00336B58" w:rsidRPr="00CF4D38">
        <w:rPr>
          <w:rFonts w:cs="Arial"/>
          <w:sz w:val="20"/>
          <w:szCs w:val="18"/>
        </w:rPr>
        <w:t xml:space="preserve"> </w:t>
      </w:r>
      <w:r w:rsidR="00962BC6" w:rsidRPr="00CF4D38">
        <w:rPr>
          <w:rFonts w:cs="Arial"/>
          <w:sz w:val="20"/>
          <w:szCs w:val="18"/>
        </w:rPr>
        <w:t>shows</w:t>
      </w:r>
      <w:r w:rsidR="00336B58" w:rsidRPr="00CF4D38">
        <w:rPr>
          <w:rFonts w:cs="Arial"/>
          <w:sz w:val="20"/>
          <w:szCs w:val="18"/>
        </w:rPr>
        <w:t xml:space="preserve"> that there was no evidence of chemical interactions between the drug and excipient</w:t>
      </w:r>
      <w:r w:rsidR="00A66515" w:rsidRPr="00CF4D38">
        <w:rPr>
          <w:rFonts w:cs="Arial"/>
          <w:sz w:val="20"/>
          <w:szCs w:val="18"/>
        </w:rPr>
        <w:t>.</w:t>
      </w:r>
    </w:p>
    <w:p w14:paraId="34DB5834" w14:textId="77777777" w:rsidR="00053AC5" w:rsidRPr="00B67CB3" w:rsidRDefault="00162EC4" w:rsidP="00B4464C">
      <w:pPr>
        <w:spacing w:line="240" w:lineRule="auto"/>
        <w:jc w:val="center"/>
        <w:rPr>
          <w:rFonts w:cs="Arial"/>
          <w:b/>
          <w:bCs/>
        </w:rPr>
      </w:pPr>
      <w:r w:rsidRPr="00B67CB3">
        <w:rPr>
          <w:rFonts w:cs="Arial"/>
          <w:noProof/>
          <w:lang w:val="en-GB" w:eastAsia="en-GB"/>
        </w:rPr>
        <w:drawing>
          <wp:inline distT="0" distB="0" distL="0" distR="0" wp14:anchorId="3891B599" wp14:editId="59728159">
            <wp:extent cx="3656581" cy="2238000"/>
            <wp:effectExtent l="0" t="0" r="1270" b="0"/>
            <wp:docPr id="1332545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45563" name="Picture 13325455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0756" cy="2265037"/>
                    </a:xfrm>
                    <a:prstGeom prst="rect">
                      <a:avLst/>
                    </a:prstGeom>
                  </pic:spPr>
                </pic:pic>
              </a:graphicData>
            </a:graphic>
          </wp:inline>
        </w:drawing>
      </w:r>
      <w:r w:rsidR="00053AC5" w:rsidRPr="00B67CB3">
        <w:rPr>
          <w:rFonts w:cs="Arial"/>
          <w:b/>
          <w:bCs/>
        </w:rPr>
        <w:t xml:space="preserve"> </w:t>
      </w:r>
    </w:p>
    <w:p w14:paraId="20FE525E" w14:textId="2CA0EE1B" w:rsidR="00162EC4" w:rsidRPr="00DC4068" w:rsidRDefault="00053AC5" w:rsidP="00B4464C">
      <w:pPr>
        <w:spacing w:line="240" w:lineRule="auto"/>
        <w:jc w:val="center"/>
        <w:rPr>
          <w:rFonts w:cs="Arial"/>
          <w:sz w:val="20"/>
          <w:szCs w:val="18"/>
        </w:rPr>
      </w:pPr>
      <w:r w:rsidRPr="00DC4068">
        <w:rPr>
          <w:rFonts w:cs="Arial"/>
          <w:b/>
          <w:bCs/>
          <w:sz w:val="20"/>
          <w:szCs w:val="18"/>
        </w:rPr>
        <w:t>Figure 1: Representing the FTIR spectra of CPO and PM (Physical mixture)</w:t>
      </w:r>
    </w:p>
    <w:p w14:paraId="537269E7" w14:textId="5D1B404B" w:rsidR="00B4464C" w:rsidRPr="00CF4D38" w:rsidRDefault="00B03C84" w:rsidP="00CF4D38">
      <w:pPr>
        <w:pStyle w:val="ListParagraph"/>
        <w:numPr>
          <w:ilvl w:val="1"/>
          <w:numId w:val="4"/>
        </w:numPr>
        <w:spacing w:after="240" w:line="240" w:lineRule="auto"/>
        <w:ind w:left="450" w:hanging="450"/>
        <w:jc w:val="both"/>
        <w:rPr>
          <w:rFonts w:cs="Arial"/>
          <w:sz w:val="22"/>
          <w:szCs w:val="24"/>
        </w:rPr>
      </w:pPr>
      <w:r w:rsidRPr="00CF4D38">
        <w:rPr>
          <w:rFonts w:cs="Arial"/>
          <w:sz w:val="22"/>
          <w:szCs w:val="24"/>
        </w:rPr>
        <w:t>DSC</w:t>
      </w:r>
    </w:p>
    <w:p w14:paraId="51464EE8" w14:textId="78327138" w:rsidR="0094136E" w:rsidRPr="00CF4D38" w:rsidRDefault="0094136E" w:rsidP="00B4464C">
      <w:pPr>
        <w:spacing w:after="240" w:line="240" w:lineRule="auto"/>
        <w:jc w:val="both"/>
        <w:rPr>
          <w:rFonts w:cs="Arial"/>
          <w:b/>
          <w:sz w:val="18"/>
          <w:szCs w:val="20"/>
        </w:rPr>
      </w:pPr>
      <w:r w:rsidRPr="00CF4D38">
        <w:rPr>
          <w:rFonts w:cs="Arial"/>
          <w:sz w:val="20"/>
          <w:szCs w:val="18"/>
        </w:rPr>
        <w:t xml:space="preserve">Differential Scanning Calorimetry (DSC 60 SHIMADZU) was utilized to analyze the interaction between Ciclopirox olamine and excipients. The DSC thermograms of </w:t>
      </w:r>
      <w:r w:rsidR="00B86556" w:rsidRPr="00CF4D38">
        <w:rPr>
          <w:rFonts w:cs="Arial"/>
          <w:sz w:val="20"/>
          <w:szCs w:val="18"/>
        </w:rPr>
        <w:t>CPO</w:t>
      </w:r>
      <w:r w:rsidRPr="00CF4D38">
        <w:rPr>
          <w:rFonts w:cs="Arial"/>
          <w:sz w:val="20"/>
          <w:szCs w:val="18"/>
        </w:rPr>
        <w:t xml:space="preserve">, and </w:t>
      </w:r>
      <w:r w:rsidR="009F096A" w:rsidRPr="00CF4D38">
        <w:rPr>
          <w:rFonts w:cs="Arial"/>
          <w:sz w:val="20"/>
          <w:szCs w:val="18"/>
        </w:rPr>
        <w:t xml:space="preserve">the </w:t>
      </w:r>
      <w:r w:rsidRPr="00CF4D38">
        <w:rPr>
          <w:rFonts w:cs="Arial"/>
          <w:sz w:val="20"/>
          <w:szCs w:val="18"/>
        </w:rPr>
        <w:t>physical mixture were recorded</w:t>
      </w:r>
      <w:r w:rsidR="00712785" w:rsidRPr="00CF4D38">
        <w:rPr>
          <w:rFonts w:cs="Arial"/>
          <w:sz w:val="20"/>
          <w:szCs w:val="18"/>
        </w:rPr>
        <w:t xml:space="preserve"> and studied</w:t>
      </w:r>
      <w:r w:rsidR="00B44EB6" w:rsidRPr="00CF4D38">
        <w:rPr>
          <w:rFonts w:cs="Arial"/>
          <w:sz w:val="20"/>
          <w:szCs w:val="18"/>
        </w:rPr>
        <w:t>.</w:t>
      </w:r>
      <w:r w:rsidR="00712785" w:rsidRPr="00CF4D38">
        <w:rPr>
          <w:rFonts w:cs="Arial"/>
          <w:sz w:val="20"/>
          <w:szCs w:val="18"/>
        </w:rPr>
        <w:t xml:space="preserve"> </w:t>
      </w:r>
      <w:r w:rsidR="00B44EB6" w:rsidRPr="00CF4D38">
        <w:rPr>
          <w:rFonts w:cs="Arial"/>
          <w:sz w:val="20"/>
          <w:szCs w:val="18"/>
        </w:rPr>
        <w:t xml:space="preserve">From </w:t>
      </w:r>
      <w:r w:rsidR="009F096A" w:rsidRPr="00CF4D38">
        <w:rPr>
          <w:rFonts w:cs="Arial"/>
          <w:sz w:val="20"/>
          <w:szCs w:val="18"/>
        </w:rPr>
        <w:t>Figure</w:t>
      </w:r>
      <w:r w:rsidR="00B44EB6" w:rsidRPr="00CF4D38">
        <w:rPr>
          <w:rFonts w:cs="Arial"/>
          <w:sz w:val="20"/>
          <w:szCs w:val="18"/>
        </w:rPr>
        <w:t xml:space="preserve"> 2,</w:t>
      </w:r>
      <w:r w:rsidR="009F096A" w:rsidRPr="00CF4D38">
        <w:rPr>
          <w:rFonts w:cs="Arial"/>
          <w:sz w:val="20"/>
          <w:szCs w:val="18"/>
        </w:rPr>
        <w:t xml:space="preserve"> A1 showed an</w:t>
      </w:r>
      <w:r w:rsidR="00B44EB6" w:rsidRPr="00CF4D38">
        <w:rPr>
          <w:rFonts w:cs="Arial"/>
          <w:sz w:val="20"/>
          <w:szCs w:val="18"/>
        </w:rPr>
        <w:t xml:space="preserve"> endothermic peak at 155°C</w:t>
      </w:r>
      <w:r w:rsidR="009F096A" w:rsidRPr="00CF4D38">
        <w:rPr>
          <w:rFonts w:cs="Arial"/>
          <w:sz w:val="20"/>
          <w:szCs w:val="18"/>
        </w:rPr>
        <w:t xml:space="preserve">, </w:t>
      </w:r>
      <w:r w:rsidR="00712785" w:rsidRPr="00CF4D38">
        <w:rPr>
          <w:rFonts w:cs="Arial"/>
          <w:sz w:val="20"/>
          <w:szCs w:val="18"/>
        </w:rPr>
        <w:t>which confirmed the crystalline nature of Ciclopirox olamine</w:t>
      </w:r>
      <w:r w:rsidR="009F096A" w:rsidRPr="00CF4D38">
        <w:rPr>
          <w:rFonts w:cs="Arial"/>
          <w:sz w:val="20"/>
          <w:szCs w:val="18"/>
        </w:rPr>
        <w:t xml:space="preserve"> </w:t>
      </w:r>
      <w:r w:rsidR="00A73C34" w:rsidRPr="00CF4D38">
        <w:rPr>
          <w:rFonts w:cs="Arial"/>
          <w:sz w:val="20"/>
          <w:szCs w:val="18"/>
          <w:vertAlign w:val="superscript"/>
        </w:rPr>
        <w:t>39</w:t>
      </w:r>
      <w:r w:rsidR="00A73C34">
        <w:rPr>
          <w:rFonts w:cs="Arial"/>
          <w:sz w:val="20"/>
          <w:szCs w:val="18"/>
          <w:vertAlign w:val="superscript"/>
        </w:rPr>
        <w:t>,</w:t>
      </w:r>
      <w:r w:rsidR="00403283" w:rsidRPr="00CF4D38">
        <w:rPr>
          <w:rFonts w:cs="Arial"/>
          <w:sz w:val="20"/>
          <w:szCs w:val="18"/>
          <w:vertAlign w:val="superscript"/>
        </w:rPr>
        <w:t>40</w:t>
      </w:r>
      <w:r w:rsidR="009F096A" w:rsidRPr="00CF4D38">
        <w:rPr>
          <w:rFonts w:cs="Arial"/>
          <w:sz w:val="20"/>
          <w:szCs w:val="18"/>
        </w:rPr>
        <w:t>.</w:t>
      </w:r>
      <w:r w:rsidR="00B44EB6" w:rsidRPr="00CF4D38">
        <w:rPr>
          <w:rFonts w:cs="Arial"/>
          <w:sz w:val="20"/>
          <w:szCs w:val="18"/>
        </w:rPr>
        <w:t xml:space="preserve"> </w:t>
      </w:r>
      <w:r w:rsidR="009F096A" w:rsidRPr="00CF4D38">
        <w:rPr>
          <w:rFonts w:cs="Arial"/>
          <w:sz w:val="20"/>
          <w:szCs w:val="18"/>
        </w:rPr>
        <w:t xml:space="preserve">A2 </w:t>
      </w:r>
      <w:r w:rsidR="00B44EB6" w:rsidRPr="00CF4D38">
        <w:rPr>
          <w:rFonts w:cs="Arial"/>
          <w:sz w:val="20"/>
          <w:szCs w:val="18"/>
        </w:rPr>
        <w:t>had conf</w:t>
      </w:r>
      <w:r w:rsidR="009F096A" w:rsidRPr="00CF4D38">
        <w:rPr>
          <w:rFonts w:cs="Arial"/>
          <w:sz w:val="20"/>
          <w:szCs w:val="18"/>
        </w:rPr>
        <w:t>i</w:t>
      </w:r>
      <w:r w:rsidR="00B44EB6" w:rsidRPr="00CF4D38">
        <w:rPr>
          <w:rFonts w:cs="Arial"/>
          <w:sz w:val="20"/>
          <w:szCs w:val="18"/>
        </w:rPr>
        <w:t>rmed that there were no interactions between</w:t>
      </w:r>
      <w:r w:rsidR="009F096A" w:rsidRPr="00CF4D38">
        <w:rPr>
          <w:rFonts w:cs="Arial"/>
          <w:sz w:val="20"/>
          <w:szCs w:val="18"/>
        </w:rPr>
        <w:t xml:space="preserve"> the</w:t>
      </w:r>
      <w:r w:rsidR="00B44EB6" w:rsidRPr="00CF4D38">
        <w:rPr>
          <w:rFonts w:cs="Arial"/>
          <w:sz w:val="20"/>
          <w:szCs w:val="18"/>
        </w:rPr>
        <w:t xml:space="preserve"> drug and excipients</w:t>
      </w:r>
      <w:r w:rsidR="00A66515" w:rsidRPr="00CF4D38">
        <w:rPr>
          <w:rFonts w:cs="Arial"/>
          <w:sz w:val="20"/>
          <w:szCs w:val="18"/>
        </w:rPr>
        <w:t>.</w:t>
      </w:r>
    </w:p>
    <w:p w14:paraId="1E2B990E" w14:textId="0F97B98D" w:rsidR="0094136E" w:rsidRPr="00B67CB3" w:rsidRDefault="005E0EFC" w:rsidP="00B4464C">
      <w:pPr>
        <w:spacing w:line="240" w:lineRule="auto"/>
        <w:jc w:val="center"/>
        <w:rPr>
          <w:rFonts w:cs="Arial"/>
          <w:b/>
          <w:bCs/>
        </w:rPr>
      </w:pPr>
      <w:r w:rsidRPr="00B67CB3">
        <w:rPr>
          <w:rFonts w:cs="Arial"/>
          <w:noProof/>
          <w:lang w:val="en-GB" w:eastAsia="en-GB"/>
        </w:rPr>
        <w:lastRenderedPageBreak/>
        <w:drawing>
          <wp:inline distT="0" distB="0" distL="0" distR="0" wp14:anchorId="5601619A" wp14:editId="2138EF04">
            <wp:extent cx="3007995" cy="2457450"/>
            <wp:effectExtent l="0" t="0" r="1905" b="0"/>
            <wp:docPr id="20798574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57481" name="Picture 2079857481"/>
                    <pic:cNvPicPr/>
                  </pic:nvPicPr>
                  <pic:blipFill rotWithShape="1">
                    <a:blip r:embed="rId9" cstate="print">
                      <a:extLst>
                        <a:ext uri="{BEBA8EAE-BF5A-486C-A8C5-ECC9F3942E4B}">
                          <a14:imgProps xmlns:a14="http://schemas.microsoft.com/office/drawing/2010/main">
                            <a14:imgLayer r:embed="rId10">
                              <a14:imgEffect>
                                <a14:sharpenSoften amount="43000"/>
                              </a14:imgEffect>
                            </a14:imgLayer>
                          </a14:imgProps>
                        </a:ext>
                        <a:ext uri="{28A0092B-C50C-407E-A947-70E740481C1C}">
                          <a14:useLocalDpi xmlns:a14="http://schemas.microsoft.com/office/drawing/2010/main" val="0"/>
                        </a:ext>
                      </a:extLst>
                    </a:blip>
                    <a:srcRect l="20183" t="20307" r="26869"/>
                    <a:stretch/>
                  </pic:blipFill>
                  <pic:spPr bwMode="auto">
                    <a:xfrm>
                      <a:off x="0" y="0"/>
                      <a:ext cx="3039956" cy="2483561"/>
                    </a:xfrm>
                    <a:prstGeom prst="rect">
                      <a:avLst/>
                    </a:prstGeom>
                    <a:ln>
                      <a:noFill/>
                    </a:ln>
                    <a:extLst>
                      <a:ext uri="{53640926-AAD7-44D8-BBD7-CCE9431645EC}">
                        <a14:shadowObscured xmlns:a14="http://schemas.microsoft.com/office/drawing/2010/main"/>
                      </a:ext>
                    </a:extLst>
                  </pic:spPr>
                </pic:pic>
              </a:graphicData>
            </a:graphic>
          </wp:inline>
        </w:drawing>
      </w:r>
    </w:p>
    <w:p w14:paraId="481A019C" w14:textId="28BC8B86" w:rsidR="00BB6E61" w:rsidRPr="00392A44" w:rsidRDefault="00BB6E61" w:rsidP="00B4464C">
      <w:pPr>
        <w:spacing w:line="240" w:lineRule="auto"/>
        <w:jc w:val="center"/>
        <w:rPr>
          <w:rFonts w:cs="Arial"/>
          <w:b/>
          <w:bCs/>
          <w:sz w:val="20"/>
          <w:szCs w:val="18"/>
        </w:rPr>
      </w:pPr>
      <w:r w:rsidRPr="00392A44">
        <w:rPr>
          <w:rFonts w:cs="Arial"/>
          <w:b/>
          <w:bCs/>
          <w:sz w:val="20"/>
          <w:szCs w:val="18"/>
        </w:rPr>
        <w:t>Figure 2: A1-DSC curve of CPO, A2-DSC curve of PM</w:t>
      </w:r>
    </w:p>
    <w:p w14:paraId="54CD14C3" w14:textId="0CA0DD75" w:rsidR="001962C1" w:rsidRPr="00392A44" w:rsidRDefault="00866C08" w:rsidP="00392A44">
      <w:pPr>
        <w:pStyle w:val="ListParagraph"/>
        <w:numPr>
          <w:ilvl w:val="1"/>
          <w:numId w:val="4"/>
        </w:numPr>
        <w:spacing w:line="240" w:lineRule="auto"/>
        <w:ind w:left="450" w:hanging="450"/>
        <w:jc w:val="both"/>
        <w:rPr>
          <w:rFonts w:cs="Arial"/>
          <w:sz w:val="22"/>
          <w:szCs w:val="24"/>
        </w:rPr>
      </w:pPr>
      <w:r w:rsidRPr="00392A44">
        <w:rPr>
          <w:rFonts w:cs="Arial"/>
          <w:i/>
          <w:iCs/>
          <w:sz w:val="22"/>
          <w:szCs w:val="24"/>
        </w:rPr>
        <w:t>I</w:t>
      </w:r>
      <w:r w:rsidR="009A10EB" w:rsidRPr="00392A44">
        <w:rPr>
          <w:rFonts w:cs="Arial"/>
          <w:i/>
          <w:iCs/>
          <w:sz w:val="22"/>
          <w:szCs w:val="24"/>
        </w:rPr>
        <w:t xml:space="preserve">n </w:t>
      </w:r>
      <w:r w:rsidRPr="00392A44">
        <w:rPr>
          <w:rFonts w:cs="Arial"/>
          <w:i/>
          <w:iCs/>
          <w:sz w:val="22"/>
          <w:szCs w:val="24"/>
        </w:rPr>
        <w:t>V</w:t>
      </w:r>
      <w:r w:rsidR="009A10EB" w:rsidRPr="00392A44">
        <w:rPr>
          <w:rFonts w:cs="Arial"/>
          <w:i/>
          <w:iCs/>
          <w:sz w:val="22"/>
          <w:szCs w:val="24"/>
        </w:rPr>
        <w:t>itro</w:t>
      </w:r>
      <w:r w:rsidR="009A10EB" w:rsidRPr="00392A44">
        <w:rPr>
          <w:rFonts w:cs="Arial"/>
          <w:sz w:val="22"/>
          <w:szCs w:val="24"/>
        </w:rPr>
        <w:t xml:space="preserve"> </w:t>
      </w:r>
      <w:r w:rsidRPr="00392A44">
        <w:rPr>
          <w:rFonts w:cs="Arial"/>
          <w:sz w:val="22"/>
          <w:szCs w:val="24"/>
        </w:rPr>
        <w:t>D</w:t>
      </w:r>
      <w:r w:rsidR="009A10EB" w:rsidRPr="00392A44">
        <w:rPr>
          <w:rFonts w:cs="Arial"/>
          <w:sz w:val="22"/>
          <w:szCs w:val="24"/>
        </w:rPr>
        <w:t xml:space="preserve">rug </w:t>
      </w:r>
      <w:r w:rsidRPr="00392A44">
        <w:rPr>
          <w:rFonts w:cs="Arial"/>
          <w:sz w:val="22"/>
          <w:szCs w:val="24"/>
        </w:rPr>
        <w:t>R</w:t>
      </w:r>
      <w:r w:rsidR="009A10EB" w:rsidRPr="00392A44">
        <w:rPr>
          <w:rFonts w:cs="Arial"/>
          <w:sz w:val="22"/>
          <w:szCs w:val="24"/>
        </w:rPr>
        <w:t>elease</w:t>
      </w:r>
      <w:r w:rsidR="00F414E7" w:rsidRPr="00392A44">
        <w:rPr>
          <w:rFonts w:cs="Arial"/>
          <w:sz w:val="22"/>
          <w:szCs w:val="24"/>
        </w:rPr>
        <w:t xml:space="preserve"> </w:t>
      </w:r>
      <w:r w:rsidRPr="00392A44">
        <w:rPr>
          <w:rFonts w:cs="Arial"/>
          <w:sz w:val="22"/>
          <w:szCs w:val="24"/>
        </w:rPr>
        <w:t>S</w:t>
      </w:r>
      <w:r w:rsidR="00F414E7" w:rsidRPr="00392A44">
        <w:rPr>
          <w:rFonts w:cs="Arial"/>
          <w:sz w:val="22"/>
          <w:szCs w:val="24"/>
        </w:rPr>
        <w:t>tudy</w:t>
      </w:r>
    </w:p>
    <w:p w14:paraId="53CDCB44" w14:textId="12D29206" w:rsidR="00DD4BD6" w:rsidRPr="00B67CB3" w:rsidRDefault="00F643E6" w:rsidP="00B4464C">
      <w:pPr>
        <w:spacing w:line="240" w:lineRule="auto"/>
        <w:jc w:val="both"/>
        <w:rPr>
          <w:rFonts w:cs="Arial"/>
        </w:rPr>
      </w:pPr>
      <w:r w:rsidRPr="00392A44">
        <w:rPr>
          <w:rFonts w:cs="Arial"/>
          <w:sz w:val="20"/>
          <w:szCs w:val="18"/>
        </w:rPr>
        <w:t>An</w:t>
      </w:r>
      <w:r w:rsidRPr="00392A44">
        <w:rPr>
          <w:rFonts w:cs="Arial"/>
          <w:i/>
          <w:iCs/>
          <w:sz w:val="20"/>
          <w:szCs w:val="18"/>
        </w:rPr>
        <w:t xml:space="preserve"> i</w:t>
      </w:r>
      <w:r w:rsidR="0025422C" w:rsidRPr="00392A44">
        <w:rPr>
          <w:rFonts w:cs="Arial"/>
          <w:i/>
          <w:iCs/>
          <w:sz w:val="20"/>
          <w:szCs w:val="18"/>
        </w:rPr>
        <w:t>n vitro</w:t>
      </w:r>
      <w:r w:rsidR="00BD32D3" w:rsidRPr="00392A44">
        <w:rPr>
          <w:rFonts w:cs="Arial"/>
          <w:i/>
          <w:iCs/>
          <w:sz w:val="20"/>
          <w:szCs w:val="18"/>
        </w:rPr>
        <w:t xml:space="preserve"> </w:t>
      </w:r>
      <w:r w:rsidR="00BD32D3" w:rsidRPr="00392A44">
        <w:rPr>
          <w:rFonts w:cs="Arial"/>
          <w:sz w:val="20"/>
          <w:szCs w:val="18"/>
        </w:rPr>
        <w:t xml:space="preserve">drug release study was performed in a </w:t>
      </w:r>
      <w:r w:rsidRPr="00392A44">
        <w:rPr>
          <w:rFonts w:cs="Arial"/>
          <w:sz w:val="20"/>
          <w:szCs w:val="18"/>
        </w:rPr>
        <w:t>F</w:t>
      </w:r>
      <w:r w:rsidR="00BD32D3" w:rsidRPr="00392A44">
        <w:rPr>
          <w:rFonts w:cs="Arial"/>
          <w:sz w:val="20"/>
          <w:szCs w:val="18"/>
        </w:rPr>
        <w:t xml:space="preserve">ranz diffusion cell using PBS pH 7.4 for </w:t>
      </w:r>
      <w:r w:rsidR="003246D7" w:rsidRPr="00392A44">
        <w:rPr>
          <w:rFonts w:cs="Arial"/>
          <w:sz w:val="20"/>
          <w:szCs w:val="18"/>
        </w:rPr>
        <w:t>12</w:t>
      </w:r>
      <w:r w:rsidRPr="00392A44">
        <w:rPr>
          <w:rFonts w:cs="Arial"/>
          <w:sz w:val="20"/>
          <w:szCs w:val="18"/>
        </w:rPr>
        <w:t xml:space="preserve"> hours</w:t>
      </w:r>
      <w:r w:rsidR="00B43EF9" w:rsidRPr="00392A44">
        <w:rPr>
          <w:rFonts w:cs="Arial"/>
          <w:sz w:val="20"/>
          <w:szCs w:val="18"/>
          <w:vertAlign w:val="superscript"/>
        </w:rPr>
        <w:t>4</w:t>
      </w:r>
      <w:r w:rsidR="00ED572B">
        <w:rPr>
          <w:rFonts w:cs="Arial"/>
          <w:sz w:val="20"/>
          <w:szCs w:val="18"/>
          <w:vertAlign w:val="superscript"/>
        </w:rPr>
        <w:t>1</w:t>
      </w:r>
      <w:r w:rsidR="00EE1107" w:rsidRPr="00392A44">
        <w:rPr>
          <w:rFonts w:cs="Arial"/>
          <w:sz w:val="20"/>
          <w:szCs w:val="18"/>
        </w:rPr>
        <w:t xml:space="preserve">. </w:t>
      </w:r>
      <w:r w:rsidR="001943B3" w:rsidRPr="00392A44">
        <w:rPr>
          <w:rFonts w:cs="Arial"/>
          <w:sz w:val="20"/>
          <w:szCs w:val="18"/>
        </w:rPr>
        <w:t>Figure 3 indicates</w:t>
      </w:r>
      <w:r w:rsidR="00924CE4" w:rsidRPr="00392A44">
        <w:rPr>
          <w:rFonts w:cs="Arial"/>
          <w:sz w:val="20"/>
          <w:szCs w:val="18"/>
        </w:rPr>
        <w:t xml:space="preserve"> that</w:t>
      </w:r>
      <w:r w:rsidR="002E47CC" w:rsidRPr="00392A44">
        <w:rPr>
          <w:rFonts w:cs="Arial"/>
          <w:sz w:val="20"/>
          <w:szCs w:val="18"/>
        </w:rPr>
        <w:t>, among the formulations mentioned above</w:t>
      </w:r>
      <w:r w:rsidR="00426214" w:rsidRPr="00392A44">
        <w:rPr>
          <w:rFonts w:cs="Arial"/>
          <w:sz w:val="20"/>
          <w:szCs w:val="18"/>
        </w:rPr>
        <w:t>,</w:t>
      </w:r>
      <w:r w:rsidR="002E47CC" w:rsidRPr="00392A44">
        <w:rPr>
          <w:rFonts w:cs="Arial"/>
          <w:sz w:val="20"/>
          <w:szCs w:val="18"/>
        </w:rPr>
        <w:t xml:space="preserve"> formulation </w:t>
      </w:r>
      <w:r w:rsidR="003A6C12" w:rsidRPr="00392A44">
        <w:rPr>
          <w:rFonts w:cs="Arial"/>
          <w:sz w:val="20"/>
          <w:szCs w:val="18"/>
        </w:rPr>
        <w:t>TR</w:t>
      </w:r>
      <w:r w:rsidR="003A6C12" w:rsidRPr="00392A44">
        <w:rPr>
          <w:rFonts w:cs="Arial"/>
          <w:sz w:val="20"/>
          <w:szCs w:val="18"/>
          <w:vertAlign w:val="subscript"/>
        </w:rPr>
        <w:t xml:space="preserve">2 </w:t>
      </w:r>
      <w:r w:rsidR="003A6C12" w:rsidRPr="00392A44">
        <w:rPr>
          <w:rFonts w:cs="Arial"/>
          <w:sz w:val="20"/>
          <w:szCs w:val="18"/>
        </w:rPr>
        <w:t>had</w:t>
      </w:r>
      <w:r w:rsidR="003A6C12" w:rsidRPr="00392A44">
        <w:rPr>
          <w:rFonts w:cs="Arial"/>
          <w:sz w:val="20"/>
          <w:szCs w:val="18"/>
          <w:vertAlign w:val="subscript"/>
        </w:rPr>
        <w:t xml:space="preserve"> </w:t>
      </w:r>
      <w:r w:rsidR="003A6C12" w:rsidRPr="00392A44">
        <w:rPr>
          <w:rFonts w:cs="Arial"/>
          <w:sz w:val="20"/>
          <w:szCs w:val="18"/>
        </w:rPr>
        <w:t xml:space="preserve">shown </w:t>
      </w:r>
      <w:r w:rsidR="00924CE4" w:rsidRPr="00392A44">
        <w:rPr>
          <w:rFonts w:cs="Arial"/>
          <w:sz w:val="20"/>
          <w:szCs w:val="18"/>
        </w:rPr>
        <w:t xml:space="preserve">the </w:t>
      </w:r>
      <w:r w:rsidR="003A6C12" w:rsidRPr="00392A44">
        <w:rPr>
          <w:rFonts w:cs="Arial"/>
          <w:sz w:val="20"/>
          <w:szCs w:val="18"/>
        </w:rPr>
        <w:t xml:space="preserve">highest drug release </w:t>
      </w:r>
      <w:r w:rsidR="00426214" w:rsidRPr="00392A44">
        <w:rPr>
          <w:rFonts w:cs="Arial"/>
          <w:sz w:val="20"/>
          <w:szCs w:val="18"/>
        </w:rPr>
        <w:t xml:space="preserve">83.17% within 12 hours compared </w:t>
      </w:r>
      <w:r w:rsidR="003A6C12" w:rsidRPr="00392A44">
        <w:rPr>
          <w:rFonts w:cs="Arial"/>
          <w:sz w:val="20"/>
          <w:szCs w:val="18"/>
        </w:rPr>
        <w:t>to other formulations, which is due to polymer concentration and grade (</w:t>
      </w:r>
      <w:r w:rsidR="00924CE4" w:rsidRPr="00392A44">
        <w:rPr>
          <w:rFonts w:cs="Arial"/>
          <w:sz w:val="20"/>
          <w:szCs w:val="18"/>
        </w:rPr>
        <w:t>T</w:t>
      </w:r>
      <w:r w:rsidR="003A6C12" w:rsidRPr="00392A44">
        <w:rPr>
          <w:rFonts w:cs="Arial"/>
          <w:sz w:val="20"/>
          <w:szCs w:val="18"/>
        </w:rPr>
        <w:t>able 1)</w:t>
      </w:r>
      <w:r w:rsidR="001D24BB" w:rsidRPr="00392A44">
        <w:rPr>
          <w:rFonts w:cs="Arial"/>
          <w:sz w:val="20"/>
          <w:szCs w:val="18"/>
        </w:rPr>
        <w:t>.</w:t>
      </w:r>
      <w:r w:rsidR="00D62D0A" w:rsidRPr="00B67CB3">
        <w:rPr>
          <w:rFonts w:cs="Arial"/>
        </w:rPr>
        <w:t xml:space="preserve"> </w:t>
      </w:r>
    </w:p>
    <w:p w14:paraId="64DBB6BA" w14:textId="5926EA09" w:rsidR="00963AC9" w:rsidRPr="00B67CB3" w:rsidRDefault="008B6BA2" w:rsidP="00B4464C">
      <w:pPr>
        <w:spacing w:line="240" w:lineRule="auto"/>
        <w:jc w:val="center"/>
        <w:rPr>
          <w:rFonts w:cs="Arial"/>
        </w:rPr>
      </w:pPr>
      <w:r w:rsidRPr="00B67CB3">
        <w:rPr>
          <w:rFonts w:cs="Arial"/>
          <w:noProof/>
          <w:lang w:val="en-GB" w:eastAsia="en-GB"/>
        </w:rPr>
        <w:drawing>
          <wp:inline distT="0" distB="0" distL="0" distR="0" wp14:anchorId="44ED5268" wp14:editId="2AC68332">
            <wp:extent cx="5212080" cy="3178810"/>
            <wp:effectExtent l="0" t="0" r="7620" b="2540"/>
            <wp:docPr id="981129086" name="Chart 1">
              <a:extLst xmlns:a="http://schemas.openxmlformats.org/drawingml/2006/main">
                <a:ext uri="{FF2B5EF4-FFF2-40B4-BE49-F238E27FC236}">
                  <a16:creationId xmlns:a16="http://schemas.microsoft.com/office/drawing/2014/main" id="{175F51A3-D470-6F99-8D52-45D02D706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9796D3" w14:textId="2CFADA21" w:rsidR="003A6C12" w:rsidRDefault="003A6C12" w:rsidP="00B4464C">
      <w:pPr>
        <w:spacing w:line="240" w:lineRule="auto"/>
        <w:jc w:val="center"/>
        <w:rPr>
          <w:rFonts w:cs="Arial"/>
          <w:b/>
          <w:bCs/>
          <w:sz w:val="20"/>
          <w:szCs w:val="18"/>
        </w:rPr>
      </w:pPr>
      <w:r w:rsidRPr="00392A44">
        <w:rPr>
          <w:rFonts w:cs="Arial"/>
          <w:b/>
          <w:bCs/>
          <w:sz w:val="20"/>
          <w:szCs w:val="18"/>
        </w:rPr>
        <w:t xml:space="preserve">Figure 3: Graphical representation of </w:t>
      </w:r>
      <w:r w:rsidR="0025422C" w:rsidRPr="00392A44">
        <w:rPr>
          <w:rFonts w:cs="Arial"/>
          <w:b/>
          <w:bCs/>
          <w:i/>
          <w:iCs/>
          <w:sz w:val="20"/>
          <w:szCs w:val="18"/>
        </w:rPr>
        <w:t>in vitro</w:t>
      </w:r>
      <w:r w:rsidRPr="00392A44">
        <w:rPr>
          <w:rFonts w:cs="Arial"/>
          <w:b/>
          <w:bCs/>
          <w:sz w:val="20"/>
          <w:szCs w:val="18"/>
        </w:rPr>
        <w:t xml:space="preserve"> drug release</w:t>
      </w:r>
    </w:p>
    <w:p w14:paraId="1EA875BF" w14:textId="77777777" w:rsidR="002E33C2" w:rsidRPr="00392A44" w:rsidRDefault="002E33C2" w:rsidP="00B4464C">
      <w:pPr>
        <w:spacing w:line="240" w:lineRule="auto"/>
        <w:jc w:val="center"/>
        <w:rPr>
          <w:rFonts w:cs="Arial"/>
          <w:b/>
          <w:bCs/>
          <w:sz w:val="20"/>
          <w:szCs w:val="18"/>
        </w:rPr>
      </w:pPr>
    </w:p>
    <w:p w14:paraId="48347A5C" w14:textId="46152D3B" w:rsidR="007014F6" w:rsidRPr="00392A44" w:rsidRDefault="00735707" w:rsidP="00392A44">
      <w:pPr>
        <w:pStyle w:val="ListParagraph"/>
        <w:numPr>
          <w:ilvl w:val="1"/>
          <w:numId w:val="4"/>
        </w:numPr>
        <w:spacing w:line="240" w:lineRule="auto"/>
        <w:ind w:left="450" w:hanging="450"/>
        <w:rPr>
          <w:rFonts w:cs="Arial"/>
          <w:sz w:val="22"/>
          <w:szCs w:val="24"/>
        </w:rPr>
      </w:pPr>
      <w:r w:rsidRPr="00392A44">
        <w:rPr>
          <w:rFonts w:cs="Arial"/>
          <w:sz w:val="22"/>
          <w:szCs w:val="24"/>
        </w:rPr>
        <w:lastRenderedPageBreak/>
        <w:t xml:space="preserve">Drug </w:t>
      </w:r>
      <w:r w:rsidR="005234AF" w:rsidRPr="00392A44">
        <w:rPr>
          <w:rFonts w:cs="Arial"/>
          <w:sz w:val="22"/>
          <w:szCs w:val="24"/>
        </w:rPr>
        <w:t>R</w:t>
      </w:r>
      <w:r w:rsidRPr="00392A44">
        <w:rPr>
          <w:rFonts w:cs="Arial"/>
          <w:sz w:val="22"/>
          <w:szCs w:val="24"/>
        </w:rPr>
        <w:t xml:space="preserve">elease </w:t>
      </w:r>
      <w:r w:rsidR="005234AF" w:rsidRPr="00392A44">
        <w:rPr>
          <w:rFonts w:cs="Arial"/>
          <w:sz w:val="22"/>
          <w:szCs w:val="24"/>
        </w:rPr>
        <w:t>K</w:t>
      </w:r>
      <w:r w:rsidRPr="00392A44">
        <w:rPr>
          <w:rFonts w:cs="Arial"/>
          <w:sz w:val="22"/>
          <w:szCs w:val="24"/>
        </w:rPr>
        <w:t>i</w:t>
      </w:r>
      <w:r w:rsidR="00D87D01" w:rsidRPr="00392A44">
        <w:rPr>
          <w:rFonts w:cs="Arial"/>
          <w:sz w:val="22"/>
          <w:szCs w:val="24"/>
        </w:rPr>
        <w:t>netics</w:t>
      </w:r>
    </w:p>
    <w:p w14:paraId="5083F780" w14:textId="1F30329A" w:rsidR="00AC072F" w:rsidRPr="00392A44" w:rsidRDefault="00B91FD5" w:rsidP="00B4464C">
      <w:pPr>
        <w:spacing w:line="240" w:lineRule="auto"/>
        <w:jc w:val="both"/>
        <w:rPr>
          <w:rFonts w:cs="Arial"/>
          <w:sz w:val="20"/>
          <w:szCs w:val="18"/>
        </w:rPr>
      </w:pPr>
      <w:r w:rsidRPr="00392A44">
        <w:rPr>
          <w:rFonts w:cs="Arial"/>
          <w:sz w:val="20"/>
          <w:szCs w:val="18"/>
        </w:rPr>
        <w:t xml:space="preserve">Based on the </w:t>
      </w:r>
      <w:r w:rsidR="0025422C" w:rsidRPr="00392A44">
        <w:rPr>
          <w:rFonts w:cs="Arial"/>
          <w:i/>
          <w:iCs/>
          <w:sz w:val="20"/>
          <w:szCs w:val="18"/>
        </w:rPr>
        <w:t>in vitro</w:t>
      </w:r>
      <w:r w:rsidRPr="00392A44">
        <w:rPr>
          <w:rFonts w:cs="Arial"/>
          <w:i/>
          <w:iCs/>
          <w:sz w:val="20"/>
          <w:szCs w:val="18"/>
        </w:rPr>
        <w:t xml:space="preserve"> </w:t>
      </w:r>
      <w:r w:rsidRPr="00392A44">
        <w:rPr>
          <w:rFonts w:cs="Arial"/>
          <w:sz w:val="20"/>
          <w:szCs w:val="18"/>
        </w:rPr>
        <w:t>studies</w:t>
      </w:r>
      <w:r w:rsidR="003A6C12" w:rsidRPr="00392A44">
        <w:rPr>
          <w:rFonts w:cs="Arial"/>
          <w:sz w:val="20"/>
          <w:szCs w:val="18"/>
        </w:rPr>
        <w:t xml:space="preserve">, </w:t>
      </w:r>
      <w:r w:rsidR="00924CE4" w:rsidRPr="00392A44">
        <w:rPr>
          <w:rFonts w:cs="Arial"/>
          <w:sz w:val="20"/>
          <w:szCs w:val="18"/>
        </w:rPr>
        <w:t xml:space="preserve">the </w:t>
      </w:r>
      <w:r w:rsidRPr="00392A44">
        <w:rPr>
          <w:rFonts w:cs="Arial"/>
          <w:sz w:val="20"/>
          <w:szCs w:val="18"/>
        </w:rPr>
        <w:t>TR</w:t>
      </w:r>
      <w:r w:rsidRPr="00392A44">
        <w:rPr>
          <w:rFonts w:cs="Arial"/>
          <w:sz w:val="20"/>
          <w:szCs w:val="18"/>
          <w:vertAlign w:val="subscript"/>
        </w:rPr>
        <w:t xml:space="preserve">2 </w:t>
      </w:r>
      <w:r w:rsidRPr="00392A44">
        <w:rPr>
          <w:rFonts w:cs="Arial"/>
          <w:sz w:val="20"/>
          <w:szCs w:val="18"/>
        </w:rPr>
        <w:t>formulation h</w:t>
      </w:r>
      <w:r w:rsidR="00924CE4" w:rsidRPr="00392A44">
        <w:rPr>
          <w:rFonts w:cs="Arial"/>
          <w:sz w:val="20"/>
          <w:szCs w:val="18"/>
        </w:rPr>
        <w:t>as</w:t>
      </w:r>
      <w:r w:rsidRPr="00392A44">
        <w:rPr>
          <w:rFonts w:cs="Arial"/>
          <w:sz w:val="20"/>
          <w:szCs w:val="18"/>
        </w:rPr>
        <w:t xml:space="preserve"> shown </w:t>
      </w:r>
      <w:r w:rsidR="00924CE4" w:rsidRPr="00392A44">
        <w:rPr>
          <w:rFonts w:cs="Arial"/>
          <w:sz w:val="20"/>
          <w:szCs w:val="18"/>
        </w:rPr>
        <w:t xml:space="preserve">the </w:t>
      </w:r>
      <w:r w:rsidRPr="00392A44">
        <w:rPr>
          <w:rFonts w:cs="Arial"/>
          <w:sz w:val="20"/>
          <w:szCs w:val="18"/>
        </w:rPr>
        <w:t>highest drug release</w:t>
      </w:r>
      <w:r w:rsidR="00924CE4" w:rsidRPr="00392A44">
        <w:rPr>
          <w:rFonts w:cs="Arial"/>
          <w:sz w:val="20"/>
          <w:szCs w:val="18"/>
        </w:rPr>
        <w:t>,</w:t>
      </w:r>
      <w:r w:rsidRPr="00392A44">
        <w:rPr>
          <w:rFonts w:cs="Arial"/>
          <w:sz w:val="20"/>
          <w:szCs w:val="18"/>
        </w:rPr>
        <w:t xml:space="preserve"> which is further evaluated for </w:t>
      </w:r>
      <w:r w:rsidR="00AC072F" w:rsidRPr="00392A44">
        <w:rPr>
          <w:rFonts w:cs="Arial"/>
          <w:sz w:val="20"/>
          <w:szCs w:val="18"/>
        </w:rPr>
        <w:t>various kinetic models, such as the Zero</w:t>
      </w:r>
      <w:r w:rsidR="00924CE4" w:rsidRPr="00392A44">
        <w:rPr>
          <w:rFonts w:cs="Arial"/>
          <w:sz w:val="20"/>
          <w:szCs w:val="18"/>
        </w:rPr>
        <w:t>-</w:t>
      </w:r>
      <w:r w:rsidR="00AC072F" w:rsidRPr="00392A44">
        <w:rPr>
          <w:rFonts w:cs="Arial"/>
          <w:sz w:val="20"/>
          <w:szCs w:val="18"/>
        </w:rPr>
        <w:t xml:space="preserve">order, </w:t>
      </w:r>
      <w:r w:rsidRPr="00392A44">
        <w:rPr>
          <w:rFonts w:cs="Arial"/>
          <w:sz w:val="20"/>
          <w:szCs w:val="18"/>
        </w:rPr>
        <w:t>first</w:t>
      </w:r>
      <w:r w:rsidR="00924CE4" w:rsidRPr="00392A44">
        <w:rPr>
          <w:rFonts w:cs="Arial"/>
          <w:sz w:val="20"/>
          <w:szCs w:val="18"/>
        </w:rPr>
        <w:t>-</w:t>
      </w:r>
      <w:r w:rsidR="00AC072F" w:rsidRPr="00392A44">
        <w:rPr>
          <w:rFonts w:cs="Arial"/>
          <w:sz w:val="20"/>
          <w:szCs w:val="18"/>
        </w:rPr>
        <w:t xml:space="preserve">order, </w:t>
      </w:r>
      <w:r w:rsidRPr="00392A44">
        <w:rPr>
          <w:rFonts w:cs="Arial"/>
          <w:noProof/>
          <w:sz w:val="20"/>
          <w:szCs w:val="18"/>
        </w:rPr>
        <w:t xml:space="preserve">Korsmeyer </w:t>
      </w:r>
      <w:proofErr w:type="spellStart"/>
      <w:r w:rsidR="00AC072F" w:rsidRPr="00392A44">
        <w:rPr>
          <w:rFonts w:cs="Arial"/>
          <w:sz w:val="20"/>
          <w:szCs w:val="18"/>
        </w:rPr>
        <w:t>Peppas</w:t>
      </w:r>
      <w:proofErr w:type="spellEnd"/>
      <w:r w:rsidR="00AC072F" w:rsidRPr="00392A44">
        <w:rPr>
          <w:rFonts w:cs="Arial"/>
          <w:sz w:val="20"/>
          <w:szCs w:val="18"/>
        </w:rPr>
        <w:t>, Higuchi, and Hixon Crowell models</w:t>
      </w:r>
      <w:r w:rsidR="004D4CDF" w:rsidRPr="00392A44">
        <w:rPr>
          <w:rFonts w:cs="Arial"/>
          <w:sz w:val="20"/>
          <w:szCs w:val="18"/>
          <w:vertAlign w:val="superscript"/>
        </w:rPr>
        <w:t>4</w:t>
      </w:r>
      <w:r w:rsidR="00ED572B">
        <w:rPr>
          <w:rFonts w:cs="Arial"/>
          <w:sz w:val="20"/>
          <w:szCs w:val="18"/>
          <w:vertAlign w:val="superscript"/>
        </w:rPr>
        <w:t>2</w:t>
      </w:r>
      <w:r w:rsidR="00AC072F" w:rsidRPr="00392A44">
        <w:rPr>
          <w:rFonts w:cs="Arial"/>
          <w:sz w:val="20"/>
          <w:szCs w:val="18"/>
        </w:rPr>
        <w:t xml:space="preserve">. </w:t>
      </w:r>
      <w:r w:rsidR="0057120B" w:rsidRPr="00392A44">
        <w:rPr>
          <w:rFonts w:cs="Arial"/>
          <w:sz w:val="20"/>
          <w:szCs w:val="18"/>
        </w:rPr>
        <w:t>Results</w:t>
      </w:r>
      <w:r w:rsidR="00AC072F" w:rsidRPr="00392A44">
        <w:rPr>
          <w:rFonts w:cs="Arial"/>
          <w:sz w:val="20"/>
          <w:szCs w:val="18"/>
        </w:rPr>
        <w:t xml:space="preserve"> are presented in </w:t>
      </w:r>
      <w:r w:rsidR="00924CE4" w:rsidRPr="00392A44">
        <w:rPr>
          <w:rFonts w:cs="Arial"/>
          <w:sz w:val="20"/>
          <w:szCs w:val="18"/>
        </w:rPr>
        <w:t>T</w:t>
      </w:r>
      <w:r w:rsidR="001A2435" w:rsidRPr="00392A44">
        <w:rPr>
          <w:rFonts w:cs="Arial"/>
          <w:sz w:val="20"/>
          <w:szCs w:val="18"/>
        </w:rPr>
        <w:t>able</w:t>
      </w:r>
      <w:r w:rsidR="007C7104" w:rsidRPr="00392A44">
        <w:rPr>
          <w:rFonts w:cs="Arial"/>
          <w:sz w:val="20"/>
          <w:szCs w:val="18"/>
        </w:rPr>
        <w:t xml:space="preserve"> </w:t>
      </w:r>
      <w:r w:rsidR="00D62D0A" w:rsidRPr="00392A44">
        <w:rPr>
          <w:rFonts w:cs="Arial"/>
          <w:sz w:val="20"/>
          <w:szCs w:val="18"/>
        </w:rPr>
        <w:t>4</w:t>
      </w:r>
      <w:r w:rsidR="00924CE4" w:rsidRPr="00392A44">
        <w:rPr>
          <w:rFonts w:cs="Arial"/>
          <w:sz w:val="20"/>
          <w:szCs w:val="18"/>
        </w:rPr>
        <w:t>,</w:t>
      </w:r>
      <w:r w:rsidR="00706A16" w:rsidRPr="00392A44">
        <w:rPr>
          <w:rFonts w:cs="Arial"/>
          <w:sz w:val="20"/>
          <w:szCs w:val="18"/>
        </w:rPr>
        <w:t xml:space="preserve"> </w:t>
      </w:r>
      <w:r w:rsidR="00924CE4" w:rsidRPr="00392A44">
        <w:rPr>
          <w:rFonts w:cs="Arial"/>
          <w:sz w:val="20"/>
          <w:szCs w:val="18"/>
        </w:rPr>
        <w:t>a</w:t>
      </w:r>
      <w:r w:rsidR="00C2464D" w:rsidRPr="00392A44">
        <w:rPr>
          <w:rFonts w:cs="Arial"/>
          <w:sz w:val="20"/>
          <w:szCs w:val="18"/>
        </w:rPr>
        <w:t>mong t</w:t>
      </w:r>
      <w:r w:rsidR="00706A16" w:rsidRPr="00392A44">
        <w:rPr>
          <w:rFonts w:cs="Arial"/>
          <w:sz w:val="20"/>
          <w:szCs w:val="18"/>
        </w:rPr>
        <w:t xml:space="preserve">he </w:t>
      </w:r>
      <w:r w:rsidR="00C2464D" w:rsidRPr="00392A44">
        <w:rPr>
          <w:rFonts w:cs="Arial"/>
          <w:sz w:val="20"/>
          <w:szCs w:val="18"/>
        </w:rPr>
        <w:t xml:space="preserve">release kinetic models, </w:t>
      </w:r>
      <w:r w:rsidR="00924CE4" w:rsidRPr="00392A44">
        <w:rPr>
          <w:rFonts w:cs="Arial"/>
          <w:sz w:val="20"/>
          <w:szCs w:val="18"/>
        </w:rPr>
        <w:t xml:space="preserve">the </w:t>
      </w:r>
      <w:r w:rsidR="00C2464D" w:rsidRPr="00392A44">
        <w:rPr>
          <w:rFonts w:cs="Arial"/>
          <w:noProof/>
          <w:sz w:val="20"/>
          <w:szCs w:val="16"/>
        </w:rPr>
        <w:t>Korsmeyer peppas model</w:t>
      </w:r>
      <w:r w:rsidR="00C2464D" w:rsidRPr="00392A44">
        <w:rPr>
          <w:rFonts w:cs="Arial"/>
          <w:sz w:val="20"/>
          <w:szCs w:val="18"/>
        </w:rPr>
        <w:t xml:space="preserve"> </w:t>
      </w:r>
      <w:r w:rsidR="007D3D64" w:rsidRPr="00392A44">
        <w:rPr>
          <w:rFonts w:cs="Arial"/>
          <w:sz w:val="20"/>
          <w:szCs w:val="18"/>
        </w:rPr>
        <w:t>with R</w:t>
      </w:r>
      <w:r w:rsidR="007D3D64" w:rsidRPr="00392A44">
        <w:rPr>
          <w:rFonts w:cs="Arial"/>
          <w:sz w:val="20"/>
          <w:szCs w:val="18"/>
          <w:vertAlign w:val="superscript"/>
        </w:rPr>
        <w:t>2</w:t>
      </w:r>
      <w:r w:rsidR="007D3D64" w:rsidRPr="00392A44">
        <w:rPr>
          <w:rFonts w:cs="Arial"/>
          <w:sz w:val="20"/>
          <w:szCs w:val="18"/>
        </w:rPr>
        <w:t xml:space="preserve"> value </w:t>
      </w:r>
      <w:r w:rsidR="00706A16" w:rsidRPr="00392A44">
        <w:rPr>
          <w:rFonts w:cs="Arial"/>
          <w:sz w:val="20"/>
          <w:szCs w:val="18"/>
        </w:rPr>
        <w:t>0.9913</w:t>
      </w:r>
      <w:r w:rsidR="007D3D64" w:rsidRPr="00392A44">
        <w:rPr>
          <w:rFonts w:cs="Arial"/>
          <w:sz w:val="20"/>
          <w:szCs w:val="18"/>
        </w:rPr>
        <w:t xml:space="preserve"> </w:t>
      </w:r>
      <w:r w:rsidR="00C2464D" w:rsidRPr="00392A44">
        <w:rPr>
          <w:rFonts w:cs="Arial"/>
          <w:sz w:val="20"/>
          <w:szCs w:val="18"/>
        </w:rPr>
        <w:t xml:space="preserve">was </w:t>
      </w:r>
      <w:r w:rsidR="00924CE4" w:rsidRPr="00392A44">
        <w:rPr>
          <w:rFonts w:cs="Arial"/>
          <w:sz w:val="20"/>
          <w:szCs w:val="18"/>
        </w:rPr>
        <w:t xml:space="preserve">the </w:t>
      </w:r>
      <w:r w:rsidR="00C2464D" w:rsidRPr="00392A44">
        <w:rPr>
          <w:rFonts w:cs="Arial"/>
          <w:sz w:val="20"/>
          <w:szCs w:val="18"/>
        </w:rPr>
        <w:t>close</w:t>
      </w:r>
      <w:r w:rsidR="00924CE4" w:rsidRPr="00392A44">
        <w:rPr>
          <w:rFonts w:cs="Arial"/>
          <w:sz w:val="20"/>
          <w:szCs w:val="18"/>
        </w:rPr>
        <w:t>s</w:t>
      </w:r>
      <w:r w:rsidR="00C2464D" w:rsidRPr="00392A44">
        <w:rPr>
          <w:rFonts w:cs="Arial"/>
          <w:sz w:val="20"/>
          <w:szCs w:val="18"/>
        </w:rPr>
        <w:t>t match to the 1</w:t>
      </w:r>
      <w:r w:rsidR="00706A16" w:rsidRPr="00392A44">
        <w:rPr>
          <w:rFonts w:cs="Arial"/>
          <w:sz w:val="20"/>
          <w:szCs w:val="18"/>
        </w:rPr>
        <w:t xml:space="preserve"> </w:t>
      </w:r>
      <w:r w:rsidR="00C2464D" w:rsidRPr="00392A44">
        <w:rPr>
          <w:rFonts w:cs="Arial"/>
          <w:sz w:val="20"/>
          <w:szCs w:val="18"/>
        </w:rPr>
        <w:t>with</w:t>
      </w:r>
      <w:r w:rsidR="00706A16" w:rsidRPr="00392A44">
        <w:rPr>
          <w:rFonts w:cs="Arial"/>
          <w:sz w:val="20"/>
          <w:szCs w:val="18"/>
        </w:rPr>
        <w:t xml:space="preserve"> n </w:t>
      </w:r>
      <w:r w:rsidR="00C66A5A" w:rsidRPr="00392A44">
        <w:rPr>
          <w:rFonts w:cs="Arial"/>
          <w:sz w:val="20"/>
          <w:szCs w:val="18"/>
        </w:rPr>
        <w:t>=</w:t>
      </w:r>
      <w:r w:rsidR="00706A16" w:rsidRPr="00392A44">
        <w:rPr>
          <w:rFonts w:cs="Arial"/>
          <w:sz w:val="20"/>
          <w:szCs w:val="18"/>
        </w:rPr>
        <w:t>0.86</w:t>
      </w:r>
      <w:r w:rsidR="00924CE4" w:rsidRPr="00392A44">
        <w:rPr>
          <w:rFonts w:cs="Arial"/>
          <w:sz w:val="20"/>
          <w:szCs w:val="18"/>
        </w:rPr>
        <w:t>,</w:t>
      </w:r>
      <w:r w:rsidR="00C2464D" w:rsidRPr="00392A44">
        <w:rPr>
          <w:rFonts w:cs="Arial"/>
          <w:sz w:val="20"/>
          <w:szCs w:val="18"/>
        </w:rPr>
        <w:t xml:space="preserve"> </w:t>
      </w:r>
      <w:r w:rsidR="00C66A5A" w:rsidRPr="00392A44">
        <w:rPr>
          <w:rFonts w:cs="Arial"/>
          <w:sz w:val="20"/>
          <w:szCs w:val="18"/>
        </w:rPr>
        <w:t xml:space="preserve">which </w:t>
      </w:r>
      <w:r w:rsidR="007D3D64" w:rsidRPr="00392A44">
        <w:rPr>
          <w:rFonts w:cs="Arial"/>
          <w:sz w:val="20"/>
          <w:szCs w:val="18"/>
        </w:rPr>
        <w:t xml:space="preserve">indicates it </w:t>
      </w:r>
      <w:r w:rsidR="00C66A5A" w:rsidRPr="00392A44">
        <w:rPr>
          <w:rFonts w:cs="Arial"/>
          <w:sz w:val="20"/>
          <w:szCs w:val="18"/>
        </w:rPr>
        <w:t>follows</w:t>
      </w:r>
      <w:r w:rsidR="009D7710" w:rsidRPr="00392A44">
        <w:rPr>
          <w:rFonts w:cs="Arial"/>
          <w:sz w:val="20"/>
          <w:szCs w:val="18"/>
        </w:rPr>
        <w:t xml:space="preserve"> non-</w:t>
      </w:r>
      <w:proofErr w:type="spellStart"/>
      <w:r w:rsidR="009D7710" w:rsidRPr="00392A44">
        <w:rPr>
          <w:rFonts w:cs="Arial"/>
          <w:sz w:val="20"/>
          <w:szCs w:val="18"/>
        </w:rPr>
        <w:t>Fickian</w:t>
      </w:r>
      <w:proofErr w:type="spellEnd"/>
      <w:r w:rsidR="009D7710" w:rsidRPr="00392A44">
        <w:rPr>
          <w:rFonts w:cs="Arial"/>
          <w:sz w:val="20"/>
          <w:szCs w:val="18"/>
        </w:rPr>
        <w:t xml:space="preserve"> </w:t>
      </w:r>
      <w:r w:rsidR="00C66A5A" w:rsidRPr="00392A44">
        <w:rPr>
          <w:rFonts w:cs="Arial"/>
          <w:sz w:val="20"/>
          <w:szCs w:val="18"/>
        </w:rPr>
        <w:t>diffusion with anomalous transport</w:t>
      </w:r>
      <w:r w:rsidR="001D24BB" w:rsidRPr="00392A44">
        <w:rPr>
          <w:rFonts w:cs="Arial"/>
          <w:sz w:val="20"/>
          <w:szCs w:val="18"/>
        </w:rPr>
        <w:t>.</w:t>
      </w:r>
    </w:p>
    <w:p w14:paraId="33885918" w14:textId="16891805" w:rsidR="00866C08" w:rsidRPr="00392A44" w:rsidRDefault="00866C08" w:rsidP="00B4464C">
      <w:pPr>
        <w:spacing w:line="240" w:lineRule="auto"/>
        <w:jc w:val="center"/>
        <w:rPr>
          <w:rFonts w:cs="Arial"/>
          <w:b/>
          <w:bCs/>
          <w:noProof/>
          <w:sz w:val="20"/>
          <w:szCs w:val="18"/>
        </w:rPr>
      </w:pPr>
      <w:r w:rsidRPr="00392A44">
        <w:rPr>
          <w:rFonts w:cs="Arial"/>
          <w:b/>
          <w:bCs/>
          <w:noProof/>
          <w:sz w:val="20"/>
          <w:szCs w:val="18"/>
        </w:rPr>
        <w:t xml:space="preserve">Table  </w:t>
      </w:r>
      <w:r w:rsidR="000B53F8" w:rsidRPr="00392A44">
        <w:rPr>
          <w:rFonts w:cs="Arial"/>
          <w:b/>
          <w:bCs/>
          <w:noProof/>
          <w:sz w:val="20"/>
          <w:szCs w:val="18"/>
        </w:rPr>
        <w:t>4</w:t>
      </w:r>
      <w:r w:rsidRPr="00392A44">
        <w:rPr>
          <w:rFonts w:cs="Arial"/>
          <w:b/>
          <w:bCs/>
          <w:noProof/>
          <w:sz w:val="20"/>
          <w:szCs w:val="18"/>
        </w:rPr>
        <w:t xml:space="preserve">: Regression coefficient values for </w:t>
      </w:r>
      <w:r w:rsidR="00924CE4" w:rsidRPr="00392A44">
        <w:rPr>
          <w:rFonts w:cs="Arial"/>
          <w:b/>
          <w:bCs/>
          <w:noProof/>
          <w:sz w:val="20"/>
          <w:szCs w:val="18"/>
        </w:rPr>
        <w:t>Z</w:t>
      </w:r>
      <w:r w:rsidRPr="00392A44">
        <w:rPr>
          <w:rFonts w:cs="Arial"/>
          <w:b/>
          <w:bCs/>
          <w:noProof/>
          <w:sz w:val="20"/>
          <w:szCs w:val="18"/>
        </w:rPr>
        <w:t>ero</w:t>
      </w:r>
      <w:r w:rsidR="00924CE4" w:rsidRPr="00392A44">
        <w:rPr>
          <w:rFonts w:cs="Arial"/>
          <w:b/>
          <w:bCs/>
          <w:noProof/>
          <w:sz w:val="20"/>
          <w:szCs w:val="18"/>
        </w:rPr>
        <w:t>-</w:t>
      </w:r>
      <w:r w:rsidRPr="00392A44">
        <w:rPr>
          <w:rFonts w:cs="Arial"/>
          <w:b/>
          <w:bCs/>
          <w:noProof/>
          <w:sz w:val="20"/>
          <w:szCs w:val="18"/>
        </w:rPr>
        <w:t xml:space="preserve">order, </w:t>
      </w:r>
      <w:r w:rsidR="00924CE4" w:rsidRPr="00392A44">
        <w:rPr>
          <w:rFonts w:cs="Arial"/>
          <w:b/>
          <w:bCs/>
          <w:noProof/>
          <w:sz w:val="20"/>
          <w:szCs w:val="18"/>
        </w:rPr>
        <w:t>F</w:t>
      </w:r>
      <w:r w:rsidRPr="00392A44">
        <w:rPr>
          <w:rFonts w:cs="Arial"/>
          <w:b/>
          <w:bCs/>
          <w:noProof/>
          <w:sz w:val="20"/>
          <w:szCs w:val="18"/>
        </w:rPr>
        <w:t>irst</w:t>
      </w:r>
      <w:r w:rsidR="00924CE4" w:rsidRPr="00392A44">
        <w:rPr>
          <w:rFonts w:cs="Arial"/>
          <w:b/>
          <w:bCs/>
          <w:noProof/>
          <w:sz w:val="20"/>
          <w:szCs w:val="18"/>
        </w:rPr>
        <w:t>-</w:t>
      </w:r>
      <w:r w:rsidRPr="00392A44">
        <w:rPr>
          <w:rFonts w:cs="Arial"/>
          <w:b/>
          <w:bCs/>
          <w:noProof/>
          <w:sz w:val="20"/>
          <w:szCs w:val="18"/>
        </w:rPr>
        <w:t xml:space="preserve">order, </w:t>
      </w:r>
      <w:r w:rsidR="00924CE4" w:rsidRPr="00392A44">
        <w:rPr>
          <w:rFonts w:cs="Arial"/>
          <w:b/>
          <w:bCs/>
          <w:noProof/>
          <w:sz w:val="20"/>
          <w:szCs w:val="18"/>
        </w:rPr>
        <w:t>Higuchi</w:t>
      </w:r>
      <w:r w:rsidRPr="00392A44">
        <w:rPr>
          <w:rFonts w:cs="Arial"/>
          <w:b/>
          <w:bCs/>
          <w:noProof/>
          <w:sz w:val="20"/>
          <w:szCs w:val="18"/>
        </w:rPr>
        <w:t xml:space="preserve">, Korsmeyer </w:t>
      </w:r>
      <w:r w:rsidR="00924CE4" w:rsidRPr="00392A44">
        <w:rPr>
          <w:rFonts w:cs="Arial"/>
          <w:b/>
          <w:bCs/>
          <w:noProof/>
          <w:sz w:val="20"/>
          <w:szCs w:val="18"/>
        </w:rPr>
        <w:t>P</w:t>
      </w:r>
      <w:r w:rsidRPr="00392A44">
        <w:rPr>
          <w:rFonts w:cs="Arial"/>
          <w:b/>
          <w:bCs/>
          <w:noProof/>
          <w:sz w:val="20"/>
          <w:szCs w:val="18"/>
        </w:rPr>
        <w:t xml:space="preserve">eppas, </w:t>
      </w:r>
      <w:r w:rsidR="00924CE4" w:rsidRPr="00392A44">
        <w:rPr>
          <w:rFonts w:cs="Arial"/>
          <w:b/>
          <w:bCs/>
          <w:noProof/>
          <w:sz w:val="20"/>
          <w:szCs w:val="18"/>
        </w:rPr>
        <w:t>H</w:t>
      </w:r>
      <w:r w:rsidRPr="00392A44">
        <w:rPr>
          <w:rFonts w:cs="Arial"/>
          <w:b/>
          <w:bCs/>
          <w:noProof/>
          <w:sz w:val="20"/>
          <w:szCs w:val="18"/>
        </w:rPr>
        <w:t>ixon</w:t>
      </w:r>
      <w:r w:rsidR="00924CE4" w:rsidRPr="00392A44">
        <w:rPr>
          <w:rFonts w:cs="Arial"/>
          <w:b/>
          <w:bCs/>
          <w:noProof/>
          <w:sz w:val="20"/>
          <w:szCs w:val="18"/>
        </w:rPr>
        <w:t xml:space="preserve"> C</w:t>
      </w:r>
      <w:r w:rsidRPr="00392A44">
        <w:rPr>
          <w:rFonts w:cs="Arial"/>
          <w:b/>
          <w:bCs/>
          <w:noProof/>
          <w:sz w:val="20"/>
          <w:szCs w:val="18"/>
        </w:rPr>
        <w:t>rowell release kinetic models</w:t>
      </w:r>
    </w:p>
    <w:tbl>
      <w:tblPr>
        <w:tblStyle w:val="TableGrid"/>
        <w:tblW w:w="0" w:type="auto"/>
        <w:jc w:val="center"/>
        <w:tblLook w:val="04A0" w:firstRow="1" w:lastRow="0" w:firstColumn="1" w:lastColumn="0" w:noHBand="0" w:noVBand="1"/>
      </w:tblPr>
      <w:tblGrid>
        <w:gridCol w:w="2799"/>
        <w:gridCol w:w="3351"/>
      </w:tblGrid>
      <w:tr w:rsidR="003E2752" w:rsidRPr="00392A44" w14:paraId="04771665" w14:textId="77777777" w:rsidTr="00D62D0A">
        <w:trPr>
          <w:trHeight w:val="64"/>
          <w:jc w:val="center"/>
        </w:trPr>
        <w:tc>
          <w:tcPr>
            <w:tcW w:w="2799" w:type="dxa"/>
            <w:vAlign w:val="center"/>
          </w:tcPr>
          <w:p w14:paraId="78351611" w14:textId="4EA67C80" w:rsidR="003E2752" w:rsidRPr="00392A44" w:rsidRDefault="003E2752" w:rsidP="00B4464C">
            <w:pPr>
              <w:spacing w:before="120"/>
              <w:jc w:val="center"/>
              <w:rPr>
                <w:rFonts w:cs="Arial"/>
                <w:b/>
                <w:bCs/>
                <w:noProof/>
                <w:sz w:val="20"/>
                <w:szCs w:val="16"/>
              </w:rPr>
            </w:pPr>
            <w:r w:rsidRPr="00392A44">
              <w:rPr>
                <w:rFonts w:cs="Arial"/>
                <w:b/>
                <w:bCs/>
                <w:noProof/>
                <w:sz w:val="20"/>
                <w:szCs w:val="16"/>
              </w:rPr>
              <w:t>Kinetic model</w:t>
            </w:r>
          </w:p>
        </w:tc>
        <w:tc>
          <w:tcPr>
            <w:tcW w:w="3351" w:type="dxa"/>
            <w:vAlign w:val="center"/>
          </w:tcPr>
          <w:p w14:paraId="3781AA82" w14:textId="7320728A" w:rsidR="003E2752" w:rsidRPr="00392A44" w:rsidRDefault="003E2752" w:rsidP="00B4464C">
            <w:pPr>
              <w:spacing w:before="120"/>
              <w:jc w:val="center"/>
              <w:rPr>
                <w:rFonts w:cs="Arial"/>
                <w:b/>
                <w:bCs/>
                <w:noProof/>
                <w:sz w:val="20"/>
                <w:szCs w:val="16"/>
              </w:rPr>
            </w:pPr>
            <w:r w:rsidRPr="00392A44">
              <w:rPr>
                <w:rFonts w:cs="Arial"/>
                <w:b/>
                <w:bCs/>
                <w:noProof/>
                <w:sz w:val="20"/>
                <w:szCs w:val="16"/>
              </w:rPr>
              <w:t>Regression coefficient value</w:t>
            </w:r>
          </w:p>
        </w:tc>
      </w:tr>
      <w:tr w:rsidR="003E2752" w:rsidRPr="00392A44" w14:paraId="76CE6854" w14:textId="77777777" w:rsidTr="003246D7">
        <w:trPr>
          <w:trHeight w:val="305"/>
          <w:jc w:val="center"/>
        </w:trPr>
        <w:tc>
          <w:tcPr>
            <w:tcW w:w="2799" w:type="dxa"/>
            <w:vAlign w:val="center"/>
          </w:tcPr>
          <w:p w14:paraId="67A2DA02" w14:textId="5641A6F8" w:rsidR="003E2752" w:rsidRPr="00392A44" w:rsidRDefault="003E2752" w:rsidP="00B4464C">
            <w:pPr>
              <w:spacing w:before="120"/>
              <w:jc w:val="center"/>
              <w:rPr>
                <w:rFonts w:cs="Arial"/>
                <w:noProof/>
                <w:sz w:val="20"/>
                <w:szCs w:val="16"/>
              </w:rPr>
            </w:pPr>
            <w:r w:rsidRPr="00392A44">
              <w:rPr>
                <w:rFonts w:cs="Arial"/>
                <w:noProof/>
                <w:sz w:val="20"/>
                <w:szCs w:val="16"/>
              </w:rPr>
              <w:t>Zero order</w:t>
            </w:r>
          </w:p>
        </w:tc>
        <w:tc>
          <w:tcPr>
            <w:tcW w:w="3351" w:type="dxa"/>
            <w:vAlign w:val="center"/>
          </w:tcPr>
          <w:p w14:paraId="27DA251C" w14:textId="72E46D66" w:rsidR="003E2752" w:rsidRPr="00392A44" w:rsidRDefault="003E2752" w:rsidP="00B4464C">
            <w:pPr>
              <w:spacing w:before="120"/>
              <w:jc w:val="center"/>
              <w:rPr>
                <w:rFonts w:cs="Arial"/>
                <w:noProof/>
                <w:sz w:val="20"/>
                <w:szCs w:val="16"/>
              </w:rPr>
            </w:pPr>
            <w:r w:rsidRPr="00392A44">
              <w:rPr>
                <w:rFonts w:cs="Arial"/>
                <w:noProof/>
                <w:sz w:val="20"/>
                <w:szCs w:val="16"/>
              </w:rPr>
              <w:t>0.9804</w:t>
            </w:r>
          </w:p>
        </w:tc>
      </w:tr>
      <w:tr w:rsidR="003E2752" w:rsidRPr="00392A44" w14:paraId="54393516" w14:textId="77777777" w:rsidTr="003246D7">
        <w:trPr>
          <w:trHeight w:val="319"/>
          <w:jc w:val="center"/>
        </w:trPr>
        <w:tc>
          <w:tcPr>
            <w:tcW w:w="2799" w:type="dxa"/>
            <w:vAlign w:val="center"/>
          </w:tcPr>
          <w:p w14:paraId="67855174" w14:textId="6CE23DED" w:rsidR="003E2752" w:rsidRPr="00392A44" w:rsidRDefault="003E2752" w:rsidP="00B4464C">
            <w:pPr>
              <w:spacing w:before="120"/>
              <w:jc w:val="center"/>
              <w:rPr>
                <w:rFonts w:cs="Arial"/>
                <w:noProof/>
                <w:sz w:val="20"/>
                <w:szCs w:val="16"/>
              </w:rPr>
            </w:pPr>
            <w:r w:rsidRPr="00392A44">
              <w:rPr>
                <w:rFonts w:cs="Arial"/>
                <w:noProof/>
                <w:sz w:val="20"/>
                <w:szCs w:val="16"/>
              </w:rPr>
              <w:t>First order</w:t>
            </w:r>
          </w:p>
        </w:tc>
        <w:tc>
          <w:tcPr>
            <w:tcW w:w="3351" w:type="dxa"/>
            <w:vAlign w:val="center"/>
          </w:tcPr>
          <w:p w14:paraId="19184C70" w14:textId="6B648057" w:rsidR="003E2752" w:rsidRPr="00392A44" w:rsidRDefault="003E2752" w:rsidP="00B4464C">
            <w:pPr>
              <w:spacing w:before="120"/>
              <w:jc w:val="center"/>
              <w:rPr>
                <w:rFonts w:cs="Arial"/>
                <w:noProof/>
                <w:sz w:val="20"/>
                <w:szCs w:val="16"/>
              </w:rPr>
            </w:pPr>
            <w:r w:rsidRPr="00392A44">
              <w:rPr>
                <w:rFonts w:cs="Arial"/>
                <w:noProof/>
                <w:sz w:val="20"/>
                <w:szCs w:val="16"/>
              </w:rPr>
              <w:t>0.908</w:t>
            </w:r>
          </w:p>
        </w:tc>
      </w:tr>
      <w:tr w:rsidR="003E2752" w:rsidRPr="00392A44" w14:paraId="678D8D99" w14:textId="77777777" w:rsidTr="003246D7">
        <w:trPr>
          <w:trHeight w:val="319"/>
          <w:jc w:val="center"/>
        </w:trPr>
        <w:tc>
          <w:tcPr>
            <w:tcW w:w="2799" w:type="dxa"/>
            <w:vAlign w:val="center"/>
          </w:tcPr>
          <w:p w14:paraId="31B66E83" w14:textId="26FE60DA" w:rsidR="003E2752" w:rsidRPr="00392A44" w:rsidRDefault="003E2752" w:rsidP="00B4464C">
            <w:pPr>
              <w:spacing w:before="120"/>
              <w:jc w:val="center"/>
              <w:rPr>
                <w:rFonts w:cs="Arial"/>
                <w:noProof/>
                <w:sz w:val="20"/>
                <w:szCs w:val="16"/>
              </w:rPr>
            </w:pPr>
            <w:r w:rsidRPr="00392A44">
              <w:rPr>
                <w:rFonts w:cs="Arial"/>
                <w:noProof/>
                <w:sz w:val="20"/>
                <w:szCs w:val="16"/>
              </w:rPr>
              <w:t>Higuchi</w:t>
            </w:r>
          </w:p>
        </w:tc>
        <w:tc>
          <w:tcPr>
            <w:tcW w:w="3351" w:type="dxa"/>
            <w:vAlign w:val="center"/>
          </w:tcPr>
          <w:p w14:paraId="111180F9" w14:textId="6FB051FA" w:rsidR="003E2752" w:rsidRPr="00392A44" w:rsidRDefault="003E2752" w:rsidP="00B4464C">
            <w:pPr>
              <w:spacing w:before="120"/>
              <w:jc w:val="center"/>
              <w:rPr>
                <w:rFonts w:cs="Arial"/>
                <w:noProof/>
                <w:sz w:val="20"/>
                <w:szCs w:val="16"/>
              </w:rPr>
            </w:pPr>
            <w:r w:rsidRPr="00392A44">
              <w:rPr>
                <w:rFonts w:cs="Arial"/>
                <w:noProof/>
                <w:sz w:val="20"/>
                <w:szCs w:val="16"/>
              </w:rPr>
              <w:t>0.776</w:t>
            </w:r>
          </w:p>
        </w:tc>
      </w:tr>
      <w:tr w:rsidR="003E2752" w:rsidRPr="00392A44" w14:paraId="4F5EB46B" w14:textId="77777777" w:rsidTr="003246D7">
        <w:trPr>
          <w:trHeight w:val="305"/>
          <w:jc w:val="center"/>
        </w:trPr>
        <w:tc>
          <w:tcPr>
            <w:tcW w:w="2799" w:type="dxa"/>
            <w:vAlign w:val="center"/>
          </w:tcPr>
          <w:p w14:paraId="3C7E08D0" w14:textId="1B40F439" w:rsidR="003E2752" w:rsidRPr="00392A44" w:rsidRDefault="003E2752" w:rsidP="00B4464C">
            <w:pPr>
              <w:spacing w:before="120"/>
              <w:jc w:val="center"/>
              <w:rPr>
                <w:rFonts w:cs="Arial"/>
                <w:noProof/>
                <w:sz w:val="20"/>
                <w:szCs w:val="16"/>
              </w:rPr>
            </w:pPr>
            <w:r w:rsidRPr="00392A44">
              <w:rPr>
                <w:rFonts w:cs="Arial"/>
                <w:noProof/>
                <w:sz w:val="20"/>
                <w:szCs w:val="16"/>
              </w:rPr>
              <w:t>Korsmeyer peppas model</w:t>
            </w:r>
          </w:p>
        </w:tc>
        <w:tc>
          <w:tcPr>
            <w:tcW w:w="3351" w:type="dxa"/>
            <w:vAlign w:val="center"/>
          </w:tcPr>
          <w:p w14:paraId="0674F16E" w14:textId="2900947A" w:rsidR="003E2752" w:rsidRPr="00392A44" w:rsidRDefault="003E2752" w:rsidP="00B4464C">
            <w:pPr>
              <w:spacing w:before="120"/>
              <w:jc w:val="center"/>
              <w:rPr>
                <w:rFonts w:cs="Arial"/>
                <w:noProof/>
                <w:sz w:val="20"/>
                <w:szCs w:val="16"/>
              </w:rPr>
            </w:pPr>
            <w:r w:rsidRPr="00392A44">
              <w:rPr>
                <w:rFonts w:cs="Arial"/>
                <w:noProof/>
                <w:sz w:val="20"/>
                <w:szCs w:val="16"/>
              </w:rPr>
              <w:t>0.9913</w:t>
            </w:r>
          </w:p>
        </w:tc>
      </w:tr>
      <w:tr w:rsidR="003E2752" w:rsidRPr="00392A44" w14:paraId="0B48F166" w14:textId="77777777" w:rsidTr="003246D7">
        <w:trPr>
          <w:trHeight w:val="319"/>
          <w:jc w:val="center"/>
        </w:trPr>
        <w:tc>
          <w:tcPr>
            <w:tcW w:w="2799" w:type="dxa"/>
            <w:vAlign w:val="center"/>
          </w:tcPr>
          <w:p w14:paraId="7F3C5432" w14:textId="263DF4A6" w:rsidR="003E2752" w:rsidRPr="00392A44" w:rsidRDefault="003E2752" w:rsidP="00B4464C">
            <w:pPr>
              <w:spacing w:before="120"/>
              <w:jc w:val="center"/>
              <w:rPr>
                <w:rFonts w:cs="Arial"/>
                <w:noProof/>
                <w:sz w:val="20"/>
                <w:szCs w:val="16"/>
              </w:rPr>
            </w:pPr>
            <w:r w:rsidRPr="00392A44">
              <w:rPr>
                <w:rFonts w:cs="Arial"/>
                <w:noProof/>
                <w:sz w:val="20"/>
                <w:szCs w:val="16"/>
              </w:rPr>
              <w:t>Hixon crowell</w:t>
            </w:r>
          </w:p>
        </w:tc>
        <w:tc>
          <w:tcPr>
            <w:tcW w:w="3351" w:type="dxa"/>
            <w:vAlign w:val="center"/>
          </w:tcPr>
          <w:p w14:paraId="15A8E43F" w14:textId="38D7706E" w:rsidR="003E2752" w:rsidRPr="00392A44" w:rsidRDefault="003E2752" w:rsidP="00B4464C">
            <w:pPr>
              <w:spacing w:before="120"/>
              <w:jc w:val="center"/>
              <w:rPr>
                <w:rFonts w:cs="Arial"/>
                <w:noProof/>
                <w:sz w:val="20"/>
                <w:szCs w:val="16"/>
              </w:rPr>
            </w:pPr>
            <w:r w:rsidRPr="00392A44">
              <w:rPr>
                <w:rFonts w:cs="Arial"/>
                <w:noProof/>
                <w:sz w:val="20"/>
                <w:szCs w:val="16"/>
              </w:rPr>
              <w:t>0.97</w:t>
            </w:r>
          </w:p>
        </w:tc>
      </w:tr>
    </w:tbl>
    <w:p w14:paraId="12CA1DAC" w14:textId="1F569D0F" w:rsidR="00866C08" w:rsidRPr="00392A44" w:rsidRDefault="009A10EB" w:rsidP="00392A44">
      <w:pPr>
        <w:pStyle w:val="ListParagraph"/>
        <w:numPr>
          <w:ilvl w:val="1"/>
          <w:numId w:val="4"/>
        </w:numPr>
        <w:spacing w:before="240" w:line="240" w:lineRule="auto"/>
        <w:ind w:left="450" w:hanging="450"/>
        <w:rPr>
          <w:rFonts w:cs="Arial"/>
          <w:sz w:val="22"/>
          <w:szCs w:val="24"/>
        </w:rPr>
      </w:pPr>
      <w:r w:rsidRPr="00392A44">
        <w:rPr>
          <w:rFonts w:cs="Arial"/>
          <w:i/>
          <w:iCs/>
          <w:sz w:val="22"/>
          <w:szCs w:val="24"/>
        </w:rPr>
        <w:t>Ex</w:t>
      </w:r>
      <w:r w:rsidR="0025422C" w:rsidRPr="00392A44">
        <w:rPr>
          <w:rFonts w:cs="Arial"/>
          <w:i/>
          <w:iCs/>
          <w:sz w:val="22"/>
          <w:szCs w:val="24"/>
        </w:rPr>
        <w:t xml:space="preserve"> </w:t>
      </w:r>
      <w:r w:rsidR="00866C08" w:rsidRPr="00392A44">
        <w:rPr>
          <w:rFonts w:cs="Arial"/>
          <w:i/>
          <w:iCs/>
          <w:sz w:val="22"/>
          <w:szCs w:val="24"/>
        </w:rPr>
        <w:t>V</w:t>
      </w:r>
      <w:r w:rsidRPr="00392A44">
        <w:rPr>
          <w:rFonts w:cs="Arial"/>
          <w:i/>
          <w:iCs/>
          <w:sz w:val="22"/>
          <w:szCs w:val="24"/>
        </w:rPr>
        <w:t>ivo</w:t>
      </w:r>
      <w:r w:rsidRPr="00392A44">
        <w:rPr>
          <w:rFonts w:cs="Arial"/>
          <w:sz w:val="22"/>
          <w:szCs w:val="24"/>
        </w:rPr>
        <w:t xml:space="preserve"> </w:t>
      </w:r>
      <w:r w:rsidR="00866C08" w:rsidRPr="00392A44">
        <w:rPr>
          <w:rFonts w:cs="Arial"/>
          <w:sz w:val="22"/>
          <w:szCs w:val="24"/>
        </w:rPr>
        <w:t>P</w:t>
      </w:r>
      <w:r w:rsidRPr="00392A44">
        <w:rPr>
          <w:rFonts w:cs="Arial"/>
          <w:sz w:val="22"/>
          <w:szCs w:val="24"/>
        </w:rPr>
        <w:t xml:space="preserve">ermeation </w:t>
      </w:r>
      <w:r w:rsidR="00866C08" w:rsidRPr="00392A44">
        <w:rPr>
          <w:rFonts w:cs="Arial"/>
          <w:sz w:val="22"/>
          <w:szCs w:val="24"/>
        </w:rPr>
        <w:t>S</w:t>
      </w:r>
      <w:r w:rsidRPr="00392A44">
        <w:rPr>
          <w:rFonts w:cs="Arial"/>
          <w:sz w:val="22"/>
          <w:szCs w:val="24"/>
        </w:rPr>
        <w:t>tudies</w:t>
      </w:r>
    </w:p>
    <w:p w14:paraId="6BEF9155" w14:textId="28C332C0" w:rsidR="00850A30" w:rsidRPr="00392A44" w:rsidRDefault="00AA5783" w:rsidP="00B4464C">
      <w:pPr>
        <w:spacing w:before="240" w:line="240" w:lineRule="auto"/>
        <w:jc w:val="both"/>
        <w:rPr>
          <w:rFonts w:cs="Arial"/>
          <w:sz w:val="20"/>
          <w:szCs w:val="18"/>
        </w:rPr>
      </w:pPr>
      <w:r w:rsidRPr="00392A44">
        <w:rPr>
          <w:rFonts w:cs="Arial"/>
          <w:i/>
          <w:iCs/>
          <w:sz w:val="20"/>
          <w:szCs w:val="18"/>
        </w:rPr>
        <w:t>Ex</w:t>
      </w:r>
      <w:r w:rsidR="0025422C" w:rsidRPr="00392A44">
        <w:rPr>
          <w:rFonts w:cs="Arial"/>
          <w:i/>
          <w:iCs/>
          <w:sz w:val="20"/>
          <w:szCs w:val="18"/>
        </w:rPr>
        <w:t xml:space="preserve"> </w:t>
      </w:r>
      <w:r w:rsidRPr="00392A44">
        <w:rPr>
          <w:rFonts w:cs="Arial"/>
          <w:i/>
          <w:iCs/>
          <w:sz w:val="20"/>
          <w:szCs w:val="18"/>
        </w:rPr>
        <w:t>vivo</w:t>
      </w:r>
      <w:r w:rsidRPr="00392A44">
        <w:rPr>
          <w:rFonts w:cs="Arial"/>
          <w:sz w:val="20"/>
          <w:szCs w:val="18"/>
        </w:rPr>
        <w:t xml:space="preserve"> </w:t>
      </w:r>
      <w:r w:rsidR="00CF5B9D" w:rsidRPr="00392A44">
        <w:rPr>
          <w:rFonts w:cs="Arial"/>
          <w:sz w:val="20"/>
          <w:szCs w:val="18"/>
        </w:rPr>
        <w:t>studies</w:t>
      </w:r>
      <w:r w:rsidR="00DF0D7B" w:rsidRPr="00392A44">
        <w:rPr>
          <w:rFonts w:cs="Arial"/>
          <w:sz w:val="20"/>
          <w:szCs w:val="18"/>
        </w:rPr>
        <w:t xml:space="preserve"> </w:t>
      </w:r>
      <w:r w:rsidR="000B53F8" w:rsidRPr="00392A44">
        <w:rPr>
          <w:rFonts w:cs="Arial"/>
          <w:sz w:val="20"/>
          <w:szCs w:val="18"/>
        </w:rPr>
        <w:t xml:space="preserve">were </w:t>
      </w:r>
      <w:r w:rsidR="00707AD0" w:rsidRPr="00392A44">
        <w:rPr>
          <w:rFonts w:cs="Arial"/>
          <w:sz w:val="20"/>
          <w:szCs w:val="18"/>
        </w:rPr>
        <w:t xml:space="preserve">done using </w:t>
      </w:r>
      <w:r w:rsidRPr="00392A44">
        <w:rPr>
          <w:rFonts w:cs="Arial"/>
          <w:sz w:val="20"/>
          <w:szCs w:val="18"/>
        </w:rPr>
        <w:t xml:space="preserve">snake shed skin </w:t>
      </w:r>
      <w:r w:rsidR="00707AD0" w:rsidRPr="00392A44">
        <w:rPr>
          <w:rFonts w:cs="Arial"/>
          <w:sz w:val="20"/>
          <w:szCs w:val="18"/>
        </w:rPr>
        <w:t xml:space="preserve">in </w:t>
      </w:r>
      <w:r w:rsidRPr="00392A44">
        <w:rPr>
          <w:rFonts w:cs="Arial"/>
          <w:sz w:val="20"/>
          <w:szCs w:val="18"/>
        </w:rPr>
        <w:t>a Franz</w:t>
      </w:r>
      <w:r w:rsidR="00741154" w:rsidRPr="00392A44">
        <w:rPr>
          <w:rFonts w:cs="Arial"/>
          <w:sz w:val="20"/>
          <w:szCs w:val="18"/>
        </w:rPr>
        <w:t xml:space="preserve"> diffusion </w:t>
      </w:r>
      <w:r w:rsidRPr="00392A44">
        <w:rPr>
          <w:rFonts w:cs="Arial"/>
          <w:sz w:val="20"/>
          <w:szCs w:val="18"/>
        </w:rPr>
        <w:t>cell</w:t>
      </w:r>
      <w:r w:rsidR="00806435" w:rsidRPr="00392A44">
        <w:rPr>
          <w:rFonts w:cs="Arial"/>
          <w:sz w:val="20"/>
          <w:szCs w:val="18"/>
        </w:rPr>
        <w:t>. In the study, TR</w:t>
      </w:r>
      <w:r w:rsidR="00806435" w:rsidRPr="00392A44">
        <w:rPr>
          <w:rFonts w:cs="Arial"/>
          <w:sz w:val="20"/>
          <w:szCs w:val="18"/>
          <w:vertAlign w:val="subscript"/>
        </w:rPr>
        <w:t>2</w:t>
      </w:r>
      <w:r w:rsidR="00806435" w:rsidRPr="00392A44">
        <w:rPr>
          <w:rFonts w:cs="Arial"/>
          <w:sz w:val="20"/>
          <w:szCs w:val="18"/>
        </w:rPr>
        <w:t xml:space="preserve"> formulation had shown a </w:t>
      </w:r>
      <w:r w:rsidR="00707AD0" w:rsidRPr="00392A44">
        <w:rPr>
          <w:rFonts w:cs="Arial"/>
          <w:sz w:val="20"/>
          <w:szCs w:val="18"/>
        </w:rPr>
        <w:t>1341.046µg/cm</w:t>
      </w:r>
      <w:r w:rsidR="00707AD0" w:rsidRPr="00392A44">
        <w:rPr>
          <w:rFonts w:cs="Arial"/>
          <w:sz w:val="20"/>
          <w:szCs w:val="18"/>
          <w:vertAlign w:val="superscript"/>
        </w:rPr>
        <w:t>2</w:t>
      </w:r>
      <w:r w:rsidR="00707AD0" w:rsidRPr="00392A44">
        <w:rPr>
          <w:rFonts w:cs="Arial"/>
          <w:sz w:val="20"/>
          <w:szCs w:val="18"/>
        </w:rPr>
        <w:t xml:space="preserve"> in 24hr with a flux value of 68.31 µg/cm2 /</w:t>
      </w:r>
      <w:proofErr w:type="spellStart"/>
      <w:r w:rsidR="00707AD0" w:rsidRPr="00392A44">
        <w:rPr>
          <w:rFonts w:cs="Arial"/>
          <w:sz w:val="20"/>
          <w:szCs w:val="18"/>
        </w:rPr>
        <w:t>hr</w:t>
      </w:r>
      <w:proofErr w:type="spellEnd"/>
      <w:r w:rsidR="00707AD0" w:rsidRPr="00392A44">
        <w:rPr>
          <w:rFonts w:cs="Arial"/>
          <w:sz w:val="20"/>
          <w:szCs w:val="18"/>
        </w:rPr>
        <w:t xml:space="preserve"> which is 57% higher permeation as compared to the </w:t>
      </w:r>
      <w:r w:rsidR="001D4399" w:rsidRPr="00392A44">
        <w:rPr>
          <w:rFonts w:cs="Arial"/>
          <w:sz w:val="20"/>
          <w:szCs w:val="18"/>
        </w:rPr>
        <w:t>pure drug (</w:t>
      </w:r>
      <w:r w:rsidR="00707AD0" w:rsidRPr="00392A44">
        <w:rPr>
          <w:rFonts w:cs="Arial"/>
          <w:sz w:val="20"/>
          <w:szCs w:val="18"/>
        </w:rPr>
        <w:t>TR</w:t>
      </w:r>
      <w:r w:rsidR="00707AD0" w:rsidRPr="00392A44">
        <w:rPr>
          <w:rFonts w:cs="Arial"/>
          <w:sz w:val="20"/>
          <w:szCs w:val="18"/>
          <w:vertAlign w:val="subscript"/>
        </w:rPr>
        <w:t>14</w:t>
      </w:r>
      <w:r w:rsidR="001D4399" w:rsidRPr="00392A44">
        <w:rPr>
          <w:rFonts w:cs="Arial"/>
          <w:sz w:val="20"/>
          <w:szCs w:val="18"/>
        </w:rPr>
        <w:t xml:space="preserve"> </w:t>
      </w:r>
      <w:r w:rsidR="00707AD0" w:rsidRPr="00392A44">
        <w:rPr>
          <w:rFonts w:cs="Arial"/>
          <w:sz w:val="20"/>
          <w:szCs w:val="18"/>
        </w:rPr>
        <w:t>formulation</w:t>
      </w:r>
      <w:r w:rsidR="001D4399" w:rsidRPr="00392A44">
        <w:rPr>
          <w:rFonts w:cs="Arial"/>
          <w:sz w:val="20"/>
          <w:szCs w:val="18"/>
        </w:rPr>
        <w:t>)</w:t>
      </w:r>
      <w:r w:rsidR="00707AD0" w:rsidRPr="00392A44">
        <w:rPr>
          <w:rFonts w:cs="Arial"/>
          <w:sz w:val="20"/>
          <w:szCs w:val="18"/>
        </w:rPr>
        <w:t>: which had shown 853.318 µg/cm</w:t>
      </w:r>
      <w:r w:rsidR="00707AD0" w:rsidRPr="00392A44">
        <w:rPr>
          <w:rFonts w:cs="Arial"/>
          <w:sz w:val="20"/>
          <w:szCs w:val="18"/>
          <w:vertAlign w:val="superscript"/>
        </w:rPr>
        <w:t>2</w:t>
      </w:r>
      <w:r w:rsidR="00707AD0" w:rsidRPr="00392A44">
        <w:rPr>
          <w:rFonts w:cs="Arial"/>
          <w:sz w:val="20"/>
          <w:szCs w:val="18"/>
        </w:rPr>
        <w:t xml:space="preserve"> in 24hr with a flux value of 45.231 µg/cm</w:t>
      </w:r>
      <w:r w:rsidR="00BD1E80" w:rsidRPr="00392A44">
        <w:rPr>
          <w:rFonts w:cs="Arial"/>
          <w:sz w:val="20"/>
          <w:szCs w:val="18"/>
          <w:vertAlign w:val="superscript"/>
        </w:rPr>
        <w:t>2</w:t>
      </w:r>
      <w:r w:rsidR="00707AD0" w:rsidRPr="00392A44">
        <w:rPr>
          <w:rFonts w:cs="Arial"/>
          <w:sz w:val="20"/>
          <w:szCs w:val="18"/>
        </w:rPr>
        <w:t>/</w:t>
      </w:r>
      <w:proofErr w:type="spellStart"/>
      <w:r w:rsidR="00707AD0" w:rsidRPr="00392A44">
        <w:rPr>
          <w:rFonts w:cs="Arial"/>
          <w:sz w:val="20"/>
          <w:szCs w:val="18"/>
        </w:rPr>
        <w:t>h</w:t>
      </w:r>
      <w:r w:rsidR="000F276C" w:rsidRPr="00392A44">
        <w:rPr>
          <w:rFonts w:cs="Arial"/>
          <w:sz w:val="20"/>
          <w:szCs w:val="18"/>
        </w:rPr>
        <w:t>r</w:t>
      </w:r>
      <w:proofErr w:type="spellEnd"/>
      <w:r w:rsidR="000F276C" w:rsidRPr="00392A44">
        <w:rPr>
          <w:rFonts w:cs="Arial"/>
          <w:sz w:val="20"/>
          <w:szCs w:val="18"/>
        </w:rPr>
        <w:t xml:space="preserve"> see figure 4</w:t>
      </w:r>
      <w:r w:rsidR="00707AD0" w:rsidRPr="00392A44">
        <w:rPr>
          <w:rFonts w:cs="Arial"/>
          <w:sz w:val="20"/>
          <w:szCs w:val="18"/>
        </w:rPr>
        <w:t xml:space="preserve">. </w:t>
      </w:r>
      <w:r w:rsidR="00741154" w:rsidRPr="00392A44">
        <w:rPr>
          <w:rFonts w:cs="Arial"/>
          <w:sz w:val="20"/>
          <w:szCs w:val="18"/>
        </w:rPr>
        <w:t xml:space="preserve">The eutectic mixture facilitated lipid leaching, </w:t>
      </w:r>
      <w:r w:rsidR="00C26979" w:rsidRPr="00392A44">
        <w:rPr>
          <w:rFonts w:cs="Arial"/>
          <w:sz w:val="20"/>
          <w:szCs w:val="18"/>
        </w:rPr>
        <w:t xml:space="preserve">which enhanced the drug permeation by </w:t>
      </w:r>
      <w:r w:rsidR="00741154" w:rsidRPr="00392A44">
        <w:rPr>
          <w:rFonts w:cs="Arial"/>
          <w:sz w:val="20"/>
          <w:szCs w:val="18"/>
        </w:rPr>
        <w:t>both intracellular and transcellular drug delivery</w:t>
      </w:r>
      <w:r w:rsidR="001D24BB" w:rsidRPr="00392A44">
        <w:rPr>
          <w:rFonts w:cs="Arial"/>
          <w:sz w:val="20"/>
          <w:szCs w:val="18"/>
        </w:rPr>
        <w:t xml:space="preserve"> </w:t>
      </w:r>
      <w:r w:rsidR="001D24BB" w:rsidRPr="00392A44">
        <w:rPr>
          <w:rFonts w:cs="Arial"/>
          <w:sz w:val="20"/>
          <w:szCs w:val="18"/>
          <w:vertAlign w:val="superscript"/>
        </w:rPr>
        <w:t>4</w:t>
      </w:r>
      <w:r w:rsidR="00ED572B">
        <w:rPr>
          <w:rFonts w:cs="Arial"/>
          <w:sz w:val="20"/>
          <w:szCs w:val="18"/>
          <w:vertAlign w:val="superscript"/>
        </w:rPr>
        <w:t>3</w:t>
      </w:r>
      <w:r w:rsidR="001D24BB" w:rsidRPr="00392A44">
        <w:rPr>
          <w:rFonts w:cs="Arial"/>
          <w:sz w:val="20"/>
          <w:szCs w:val="18"/>
        </w:rPr>
        <w:t>.</w:t>
      </w:r>
    </w:p>
    <w:p w14:paraId="5B3472C1" w14:textId="77777777" w:rsidR="00C26979" w:rsidRPr="00B67CB3" w:rsidRDefault="00304CC0" w:rsidP="00B4464C">
      <w:pPr>
        <w:spacing w:before="240" w:line="240" w:lineRule="auto"/>
        <w:jc w:val="center"/>
        <w:rPr>
          <w:rFonts w:cs="Arial"/>
          <w:b/>
          <w:bCs/>
        </w:rPr>
      </w:pPr>
      <w:r w:rsidRPr="00B67CB3">
        <w:rPr>
          <w:rFonts w:cs="Arial"/>
          <w:b/>
          <w:bCs/>
          <w:i/>
          <w:iCs/>
          <w:noProof/>
          <w:lang w:val="en-GB" w:eastAsia="en-GB"/>
        </w:rPr>
        <w:drawing>
          <wp:inline distT="0" distB="0" distL="0" distR="0" wp14:anchorId="0368EE77" wp14:editId="7C357F8F">
            <wp:extent cx="5039360" cy="2028825"/>
            <wp:effectExtent l="0" t="0" r="8890" b="9525"/>
            <wp:docPr id="1476787900" name="Chart 1">
              <a:extLst xmlns:a="http://schemas.openxmlformats.org/drawingml/2006/main">
                <a:ext uri="{FF2B5EF4-FFF2-40B4-BE49-F238E27FC236}">
                  <a16:creationId xmlns:a16="http://schemas.microsoft.com/office/drawing/2014/main" id="{84B4649F-AE52-675E-E30B-A3A160F21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26979" w:rsidRPr="00B67CB3">
        <w:rPr>
          <w:rFonts w:cs="Arial"/>
          <w:b/>
          <w:bCs/>
        </w:rPr>
        <w:t xml:space="preserve"> </w:t>
      </w:r>
    </w:p>
    <w:p w14:paraId="5EE18C8C" w14:textId="1369C197" w:rsidR="000B53F8" w:rsidRPr="00392A44" w:rsidRDefault="00C26979" w:rsidP="00B4464C">
      <w:pPr>
        <w:spacing w:before="240" w:line="240" w:lineRule="auto"/>
        <w:jc w:val="center"/>
        <w:rPr>
          <w:rFonts w:cs="Arial"/>
          <w:sz w:val="20"/>
          <w:szCs w:val="18"/>
        </w:rPr>
      </w:pPr>
      <w:r w:rsidRPr="00392A44">
        <w:rPr>
          <w:rFonts w:cs="Arial"/>
          <w:b/>
          <w:bCs/>
          <w:sz w:val="20"/>
          <w:szCs w:val="18"/>
        </w:rPr>
        <w:t xml:space="preserve">Figure 4: Graphical representation of </w:t>
      </w:r>
      <w:r w:rsidRPr="00392A44">
        <w:rPr>
          <w:rFonts w:cs="Arial"/>
          <w:b/>
          <w:bCs/>
          <w:i/>
          <w:iCs/>
          <w:sz w:val="20"/>
          <w:szCs w:val="18"/>
        </w:rPr>
        <w:t>Ex vivo</w:t>
      </w:r>
      <w:r w:rsidRPr="00392A44">
        <w:rPr>
          <w:rFonts w:cs="Arial"/>
          <w:b/>
          <w:bCs/>
          <w:sz w:val="20"/>
          <w:szCs w:val="18"/>
        </w:rPr>
        <w:t xml:space="preserve"> permeation of CPO from the formulations TR</w:t>
      </w:r>
      <w:r w:rsidRPr="00392A44">
        <w:rPr>
          <w:rFonts w:cs="Arial"/>
          <w:b/>
          <w:bCs/>
          <w:sz w:val="20"/>
          <w:szCs w:val="18"/>
          <w:vertAlign w:val="subscript"/>
        </w:rPr>
        <w:t>2</w:t>
      </w:r>
      <w:r w:rsidRPr="00392A44">
        <w:rPr>
          <w:rFonts w:cs="Arial"/>
          <w:b/>
          <w:bCs/>
          <w:sz w:val="20"/>
          <w:szCs w:val="18"/>
        </w:rPr>
        <w:t xml:space="preserve"> and TR</w:t>
      </w:r>
      <w:r w:rsidRPr="00392A44">
        <w:rPr>
          <w:rFonts w:cs="Arial"/>
          <w:b/>
          <w:bCs/>
          <w:sz w:val="20"/>
          <w:szCs w:val="18"/>
          <w:vertAlign w:val="subscript"/>
        </w:rPr>
        <w:t>14</w:t>
      </w:r>
    </w:p>
    <w:p w14:paraId="2E1075B7" w14:textId="1F4655AF" w:rsidR="00681304" w:rsidRPr="00392A44" w:rsidRDefault="009A10EB" w:rsidP="00392A44">
      <w:pPr>
        <w:pStyle w:val="ListParagraph"/>
        <w:numPr>
          <w:ilvl w:val="1"/>
          <w:numId w:val="4"/>
        </w:numPr>
        <w:spacing w:before="240" w:line="240" w:lineRule="auto"/>
        <w:ind w:left="450" w:hanging="450"/>
        <w:jc w:val="both"/>
        <w:rPr>
          <w:rFonts w:cs="Arial"/>
          <w:sz w:val="22"/>
          <w:szCs w:val="24"/>
        </w:rPr>
      </w:pPr>
      <w:r w:rsidRPr="00392A44">
        <w:rPr>
          <w:rFonts w:cs="Arial"/>
          <w:sz w:val="22"/>
          <w:szCs w:val="24"/>
        </w:rPr>
        <w:t xml:space="preserve">Antifungal </w:t>
      </w:r>
      <w:r w:rsidR="00681304" w:rsidRPr="00392A44">
        <w:rPr>
          <w:rFonts w:cs="Arial"/>
          <w:sz w:val="22"/>
          <w:szCs w:val="24"/>
        </w:rPr>
        <w:t>A</w:t>
      </w:r>
      <w:r w:rsidRPr="00392A44">
        <w:rPr>
          <w:rFonts w:cs="Arial"/>
          <w:sz w:val="22"/>
          <w:szCs w:val="24"/>
        </w:rPr>
        <w:t>ssay</w:t>
      </w:r>
    </w:p>
    <w:p w14:paraId="7A159CEB" w14:textId="77777777" w:rsidR="002F2FD3" w:rsidRDefault="004A4077" w:rsidP="00F44ABD">
      <w:pPr>
        <w:spacing w:line="240" w:lineRule="auto"/>
        <w:jc w:val="both"/>
        <w:rPr>
          <w:rFonts w:cs="Arial"/>
          <w:sz w:val="20"/>
          <w:szCs w:val="18"/>
        </w:rPr>
      </w:pPr>
      <w:r w:rsidRPr="00392A44">
        <w:rPr>
          <w:rFonts w:cs="Arial"/>
          <w:sz w:val="20"/>
          <w:szCs w:val="18"/>
        </w:rPr>
        <w:t xml:space="preserve">The antifungal </w:t>
      </w:r>
      <w:r w:rsidR="00B17758" w:rsidRPr="00392A44">
        <w:rPr>
          <w:rFonts w:cs="Arial"/>
          <w:sz w:val="20"/>
          <w:szCs w:val="18"/>
        </w:rPr>
        <w:t>activity</w:t>
      </w:r>
      <w:r w:rsidRPr="00392A44">
        <w:rPr>
          <w:rFonts w:cs="Arial"/>
          <w:sz w:val="20"/>
          <w:szCs w:val="18"/>
        </w:rPr>
        <w:t xml:space="preserve"> of the formulation was </w:t>
      </w:r>
      <w:r w:rsidR="00B17758" w:rsidRPr="00392A44">
        <w:rPr>
          <w:rFonts w:cs="Arial"/>
          <w:sz w:val="20"/>
          <w:szCs w:val="18"/>
        </w:rPr>
        <w:t xml:space="preserve">tested against </w:t>
      </w:r>
      <w:r w:rsidRPr="00392A44">
        <w:rPr>
          <w:rFonts w:cs="Arial"/>
          <w:sz w:val="20"/>
          <w:szCs w:val="18"/>
        </w:rPr>
        <w:t>Candida albicans, measuring the zone of inhibition (ZOI) in millimeters (mm)</w:t>
      </w:r>
      <w:r w:rsidR="0082673B" w:rsidRPr="00392A44">
        <w:rPr>
          <w:rFonts w:cs="Arial"/>
          <w:sz w:val="20"/>
          <w:szCs w:val="18"/>
        </w:rPr>
        <w:t xml:space="preserve"> </w:t>
      </w:r>
      <w:r w:rsidR="0082673B" w:rsidRPr="00392A44">
        <w:rPr>
          <w:rFonts w:cs="Arial"/>
          <w:sz w:val="20"/>
          <w:szCs w:val="18"/>
          <w:vertAlign w:val="superscript"/>
        </w:rPr>
        <w:t>4</w:t>
      </w:r>
      <w:r w:rsidR="00734DA9">
        <w:rPr>
          <w:rFonts w:cs="Arial"/>
          <w:sz w:val="20"/>
          <w:szCs w:val="18"/>
          <w:vertAlign w:val="superscript"/>
        </w:rPr>
        <w:t>4</w:t>
      </w:r>
      <w:r w:rsidRPr="00392A44">
        <w:rPr>
          <w:rFonts w:cs="Arial"/>
          <w:sz w:val="20"/>
          <w:szCs w:val="18"/>
        </w:rPr>
        <w:t xml:space="preserve">. </w:t>
      </w:r>
      <w:r w:rsidR="00FE17C0" w:rsidRPr="00392A44">
        <w:rPr>
          <w:rFonts w:cs="Arial"/>
          <w:sz w:val="20"/>
          <w:szCs w:val="18"/>
        </w:rPr>
        <w:t xml:space="preserve">In comparison with the pure drug and marketed </w:t>
      </w:r>
      <w:r w:rsidR="00FE17C0" w:rsidRPr="00392A44">
        <w:rPr>
          <w:rFonts w:cs="Arial"/>
          <w:sz w:val="20"/>
          <w:szCs w:val="18"/>
        </w:rPr>
        <w:lastRenderedPageBreak/>
        <w:t>cream, the results of the final selected formulation TR</w:t>
      </w:r>
      <w:r w:rsidR="00FE17C0" w:rsidRPr="00392A44">
        <w:rPr>
          <w:rFonts w:cs="Arial"/>
          <w:sz w:val="20"/>
          <w:szCs w:val="18"/>
          <w:vertAlign w:val="subscript"/>
        </w:rPr>
        <w:t>2</w:t>
      </w:r>
      <w:r w:rsidR="00B17758" w:rsidRPr="00392A44">
        <w:rPr>
          <w:rFonts w:cs="Arial"/>
          <w:sz w:val="20"/>
          <w:szCs w:val="18"/>
        </w:rPr>
        <w:t xml:space="preserve"> exhibited a ZOI of </w:t>
      </w:r>
      <w:r w:rsidR="00B17758" w:rsidRPr="000E2E58">
        <w:rPr>
          <w:rFonts w:cs="Arial"/>
          <w:color w:val="FF0000"/>
          <w:sz w:val="20"/>
          <w:szCs w:val="18"/>
          <w:highlight w:val="yellow"/>
        </w:rPr>
        <w:t>20 mm</w:t>
      </w:r>
      <w:r w:rsidR="00FE17C0" w:rsidRPr="00392A44">
        <w:rPr>
          <w:rFonts w:cs="Arial"/>
          <w:sz w:val="20"/>
          <w:szCs w:val="18"/>
        </w:rPr>
        <w:t xml:space="preserve">, </w:t>
      </w:r>
      <w:r w:rsidR="00CF2BBF" w:rsidRPr="00392A44">
        <w:rPr>
          <w:rFonts w:cs="Arial"/>
          <w:sz w:val="20"/>
          <w:szCs w:val="18"/>
        </w:rPr>
        <w:t xml:space="preserve">the </w:t>
      </w:r>
      <w:r w:rsidR="00B17758" w:rsidRPr="00392A44">
        <w:rPr>
          <w:rFonts w:cs="Arial"/>
          <w:sz w:val="20"/>
          <w:szCs w:val="18"/>
        </w:rPr>
        <w:t>marketed cream 18 mm</w:t>
      </w:r>
      <w:r w:rsidR="00CF2BBF" w:rsidRPr="00392A44">
        <w:rPr>
          <w:rFonts w:cs="Arial"/>
          <w:sz w:val="20"/>
          <w:szCs w:val="18"/>
        </w:rPr>
        <w:t>,</w:t>
      </w:r>
      <w:r w:rsidR="00B17758" w:rsidRPr="00392A44">
        <w:rPr>
          <w:rFonts w:cs="Arial"/>
          <w:sz w:val="20"/>
          <w:szCs w:val="18"/>
        </w:rPr>
        <w:t xml:space="preserve"> and </w:t>
      </w:r>
      <w:r w:rsidR="00CF2BBF" w:rsidRPr="00392A44">
        <w:rPr>
          <w:rFonts w:cs="Arial"/>
          <w:sz w:val="20"/>
          <w:szCs w:val="18"/>
        </w:rPr>
        <w:t xml:space="preserve">the </w:t>
      </w:r>
      <w:r w:rsidR="00B17758" w:rsidRPr="00392A44">
        <w:rPr>
          <w:rFonts w:cs="Arial"/>
          <w:sz w:val="20"/>
          <w:szCs w:val="18"/>
        </w:rPr>
        <w:t xml:space="preserve">pure drug </w:t>
      </w:r>
      <w:r w:rsidR="00B17758" w:rsidRPr="000E2E58">
        <w:rPr>
          <w:rFonts w:cs="Arial"/>
          <w:color w:val="FF0000"/>
          <w:sz w:val="20"/>
          <w:szCs w:val="18"/>
          <w:highlight w:val="yellow"/>
        </w:rPr>
        <w:t>22 mm</w:t>
      </w:r>
      <w:r w:rsidR="00CF2BBF" w:rsidRPr="00392A44">
        <w:rPr>
          <w:rFonts w:cs="Arial"/>
          <w:sz w:val="20"/>
          <w:szCs w:val="18"/>
        </w:rPr>
        <w:t>,</w:t>
      </w:r>
      <w:r w:rsidR="00B17758" w:rsidRPr="00392A44">
        <w:rPr>
          <w:rFonts w:cs="Arial"/>
          <w:sz w:val="20"/>
          <w:szCs w:val="18"/>
        </w:rPr>
        <w:t xml:space="preserve"> as shown in </w:t>
      </w:r>
      <w:r w:rsidR="00CF2BBF" w:rsidRPr="00392A44">
        <w:rPr>
          <w:rFonts w:cs="Arial"/>
          <w:sz w:val="20"/>
          <w:szCs w:val="18"/>
        </w:rPr>
        <w:t>F</w:t>
      </w:r>
      <w:r w:rsidR="00B17758" w:rsidRPr="00392A44">
        <w:rPr>
          <w:rFonts w:cs="Arial"/>
          <w:sz w:val="20"/>
          <w:szCs w:val="18"/>
        </w:rPr>
        <w:t xml:space="preserve">igure 5. Due to the presence of </w:t>
      </w:r>
      <w:r w:rsidR="00FE17C0" w:rsidRPr="00392A44">
        <w:rPr>
          <w:rFonts w:cs="Arial"/>
          <w:sz w:val="20"/>
          <w:szCs w:val="18"/>
        </w:rPr>
        <w:t>10% Eudragit RL 100</w:t>
      </w:r>
      <w:r w:rsidR="00CF2BBF" w:rsidRPr="00392A44">
        <w:rPr>
          <w:rFonts w:cs="Arial"/>
          <w:sz w:val="20"/>
          <w:szCs w:val="18"/>
        </w:rPr>
        <w:t xml:space="preserve">, </w:t>
      </w:r>
      <w:r w:rsidR="00B17758" w:rsidRPr="00392A44">
        <w:rPr>
          <w:rFonts w:cs="Arial"/>
          <w:sz w:val="20"/>
          <w:szCs w:val="18"/>
        </w:rPr>
        <w:t>t</w:t>
      </w:r>
      <w:r w:rsidR="00CC5AC5" w:rsidRPr="00392A44">
        <w:rPr>
          <w:rFonts w:cs="Arial"/>
          <w:sz w:val="20"/>
          <w:szCs w:val="18"/>
        </w:rPr>
        <w:t>he TR2 formulation</w:t>
      </w:r>
      <w:r w:rsidR="00B17758" w:rsidRPr="00392A44">
        <w:rPr>
          <w:rFonts w:cs="Arial"/>
          <w:sz w:val="20"/>
          <w:szCs w:val="18"/>
        </w:rPr>
        <w:t xml:space="preserve"> </w:t>
      </w:r>
      <w:r w:rsidR="00CC5AC5" w:rsidRPr="00392A44">
        <w:rPr>
          <w:rFonts w:cs="Arial"/>
          <w:sz w:val="20"/>
          <w:szCs w:val="18"/>
        </w:rPr>
        <w:t>demonstra</w:t>
      </w:r>
      <w:r w:rsidR="007A0DA0" w:rsidRPr="00392A44">
        <w:rPr>
          <w:rFonts w:cs="Arial"/>
          <w:sz w:val="20"/>
          <w:szCs w:val="18"/>
        </w:rPr>
        <w:t>ted</w:t>
      </w:r>
      <w:r w:rsidR="00CC5AC5" w:rsidRPr="00392A44">
        <w:rPr>
          <w:rFonts w:cs="Arial"/>
          <w:sz w:val="20"/>
          <w:szCs w:val="18"/>
        </w:rPr>
        <w:t xml:space="preserve"> </w:t>
      </w:r>
      <w:r w:rsidR="00B17758" w:rsidRPr="00392A44">
        <w:rPr>
          <w:rFonts w:cs="Arial"/>
          <w:sz w:val="20"/>
          <w:szCs w:val="18"/>
        </w:rPr>
        <w:t>higher ZOI as compared to</w:t>
      </w:r>
      <w:r w:rsidR="00CF2BBF" w:rsidRPr="00392A44">
        <w:rPr>
          <w:rFonts w:cs="Arial"/>
          <w:sz w:val="20"/>
          <w:szCs w:val="18"/>
        </w:rPr>
        <w:t xml:space="preserve"> the</w:t>
      </w:r>
      <w:r w:rsidR="00B17758" w:rsidRPr="00392A44">
        <w:rPr>
          <w:rFonts w:cs="Arial"/>
          <w:sz w:val="20"/>
          <w:szCs w:val="18"/>
        </w:rPr>
        <w:t xml:space="preserve"> marketed cream</w:t>
      </w:r>
      <w:r w:rsidR="00C55568" w:rsidRPr="00392A44">
        <w:rPr>
          <w:rFonts w:cs="Arial"/>
          <w:sz w:val="20"/>
          <w:szCs w:val="18"/>
        </w:rPr>
        <w:t>.</w:t>
      </w:r>
    </w:p>
    <w:p w14:paraId="14BE3B68" w14:textId="72491E20" w:rsidR="008044C1" w:rsidRPr="00605EDB" w:rsidRDefault="009C351B" w:rsidP="00F44ABD">
      <w:pPr>
        <w:spacing w:line="240" w:lineRule="auto"/>
        <w:jc w:val="both"/>
        <w:rPr>
          <w:rFonts w:ascii="Times New Roman" w:hAnsi="Times New Roman" w:cs="Times New Roman"/>
          <w:sz w:val="20"/>
          <w:szCs w:val="18"/>
        </w:rPr>
      </w:pPr>
      <w:r w:rsidRPr="00605EDB">
        <w:rPr>
          <w:rFonts w:ascii="Times New Roman" w:hAnsi="Times New Roman" w:cs="Times New Roman"/>
          <w:sz w:val="20"/>
          <w:szCs w:val="18"/>
        </w:rPr>
        <w:t xml:space="preserve"> </w:t>
      </w:r>
      <w:r w:rsidR="002F2FD3" w:rsidRPr="00605EDB">
        <w:rPr>
          <w:rFonts w:ascii="Times New Roman" w:hAnsi="Times New Roman" w:cs="Times New Roman"/>
          <w:color w:val="404040"/>
          <w:sz w:val="22"/>
          <w:highlight w:val="yellow"/>
          <w:shd w:val="clear" w:color="auto" w:fill="FFFFFF"/>
        </w:rPr>
        <w:t>In the antifungal assay, the TR2 formulation exhibited a lower zone of inhibition (ZOI) compared to the pure drug (20 mm vs. 22 mm, respectively). This finding warrants further discussion (e.g., whether controlled release accounts for this difference?).</w:t>
      </w:r>
    </w:p>
    <w:p w14:paraId="5B0E7B3B" w14:textId="377E2F42" w:rsidR="00850A30" w:rsidRPr="00B67CB3" w:rsidRDefault="00640672" w:rsidP="00B4464C">
      <w:pPr>
        <w:spacing w:line="240" w:lineRule="auto"/>
        <w:jc w:val="center"/>
        <w:rPr>
          <w:rFonts w:cs="Arial"/>
        </w:rPr>
      </w:pPr>
      <w:r w:rsidRPr="00B67CB3">
        <w:rPr>
          <w:rFonts w:cs="Arial"/>
          <w:noProof/>
          <w:lang w:val="en-GB" w:eastAsia="en-GB"/>
        </w:rPr>
        <w:drawing>
          <wp:inline distT="0" distB="0" distL="0" distR="0" wp14:anchorId="469FAEAE" wp14:editId="13D86800">
            <wp:extent cx="2290471" cy="2118360"/>
            <wp:effectExtent l="0" t="0" r="0" b="3175"/>
            <wp:docPr id="786480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80211" name="Picture 7864802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0471" cy="2118360"/>
                    </a:xfrm>
                    <a:prstGeom prst="rect">
                      <a:avLst/>
                    </a:prstGeom>
                  </pic:spPr>
                </pic:pic>
              </a:graphicData>
            </a:graphic>
          </wp:inline>
        </w:drawing>
      </w:r>
      <w:r w:rsidR="00924D51" w:rsidRPr="00B67CB3">
        <w:rPr>
          <w:rFonts w:cs="Arial"/>
          <w:noProof/>
          <w:lang w:val="en-GB" w:eastAsia="en-GB"/>
        </w:rPr>
        <w:drawing>
          <wp:inline distT="0" distB="0" distL="0" distR="0" wp14:anchorId="53AB726E" wp14:editId="46DF7C60">
            <wp:extent cx="2303813" cy="2132582"/>
            <wp:effectExtent l="0" t="0" r="0" b="0"/>
            <wp:docPr id="1610911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11656" name="Picture 1610911656"/>
                    <pic:cNvPicPr/>
                  </pic:nvPicPr>
                  <pic:blipFill>
                    <a:blip r:embed="rId14">
                      <a:extLst>
                        <a:ext uri="{28A0092B-C50C-407E-A947-70E740481C1C}">
                          <a14:useLocalDpi xmlns:a14="http://schemas.microsoft.com/office/drawing/2010/main" val="0"/>
                        </a:ext>
                      </a:extLst>
                    </a:blip>
                    <a:stretch>
                      <a:fillRect/>
                    </a:stretch>
                  </pic:blipFill>
                  <pic:spPr>
                    <a:xfrm>
                      <a:off x="0" y="0"/>
                      <a:ext cx="2303813" cy="2132582"/>
                    </a:xfrm>
                    <a:prstGeom prst="rect">
                      <a:avLst/>
                    </a:prstGeom>
                  </pic:spPr>
                </pic:pic>
              </a:graphicData>
            </a:graphic>
          </wp:inline>
        </w:drawing>
      </w:r>
    </w:p>
    <w:p w14:paraId="30A618F0" w14:textId="60F3043F" w:rsidR="00AC7416" w:rsidRPr="00392A44" w:rsidRDefault="00AC7416" w:rsidP="00F44ABD">
      <w:pPr>
        <w:spacing w:before="240" w:after="240" w:line="240" w:lineRule="auto"/>
        <w:jc w:val="center"/>
        <w:rPr>
          <w:rFonts w:cs="Arial"/>
          <w:b/>
          <w:bCs/>
          <w:sz w:val="20"/>
          <w:szCs w:val="18"/>
        </w:rPr>
      </w:pPr>
      <w:r w:rsidRPr="00392A44">
        <w:rPr>
          <w:rFonts w:cs="Arial"/>
          <w:b/>
          <w:bCs/>
          <w:sz w:val="20"/>
          <w:szCs w:val="18"/>
        </w:rPr>
        <w:t>Figure 5: Antifungal activity of D-Ciclopirox olamine, P-Formulation TR</w:t>
      </w:r>
      <w:r w:rsidRPr="00392A44">
        <w:rPr>
          <w:rFonts w:cs="Arial"/>
          <w:b/>
          <w:bCs/>
          <w:sz w:val="20"/>
          <w:szCs w:val="18"/>
          <w:vertAlign w:val="subscript"/>
        </w:rPr>
        <w:t>2</w:t>
      </w:r>
      <w:r w:rsidRPr="00392A44">
        <w:rPr>
          <w:rFonts w:cs="Arial"/>
          <w:b/>
          <w:bCs/>
          <w:sz w:val="20"/>
          <w:szCs w:val="18"/>
        </w:rPr>
        <w:t xml:space="preserve"> of PFFS and M-Marketed cream</w:t>
      </w:r>
    </w:p>
    <w:p w14:paraId="6159655A" w14:textId="6A3FDD8F" w:rsidR="00004C01" w:rsidRPr="00392A44" w:rsidRDefault="009A10EB" w:rsidP="00392A44">
      <w:pPr>
        <w:pStyle w:val="ListParagraph"/>
        <w:numPr>
          <w:ilvl w:val="1"/>
          <w:numId w:val="4"/>
        </w:numPr>
        <w:spacing w:after="240" w:line="240" w:lineRule="auto"/>
        <w:ind w:left="540" w:hanging="540"/>
        <w:jc w:val="both"/>
        <w:rPr>
          <w:rFonts w:cs="Arial"/>
          <w:sz w:val="22"/>
          <w:szCs w:val="24"/>
        </w:rPr>
      </w:pPr>
      <w:r w:rsidRPr="00392A44">
        <w:rPr>
          <w:rFonts w:cs="Arial"/>
          <w:sz w:val="22"/>
          <w:szCs w:val="24"/>
        </w:rPr>
        <w:t>Short</w:t>
      </w:r>
      <w:r w:rsidR="004D5F9E" w:rsidRPr="00392A44">
        <w:rPr>
          <w:rFonts w:cs="Arial"/>
          <w:sz w:val="22"/>
          <w:szCs w:val="24"/>
        </w:rPr>
        <w:t>-</w:t>
      </w:r>
      <w:r w:rsidR="00004C01" w:rsidRPr="00392A44">
        <w:rPr>
          <w:rFonts w:cs="Arial"/>
          <w:sz w:val="22"/>
          <w:szCs w:val="24"/>
        </w:rPr>
        <w:t>T</w:t>
      </w:r>
      <w:r w:rsidRPr="00392A44">
        <w:rPr>
          <w:rFonts w:cs="Arial"/>
          <w:sz w:val="22"/>
          <w:szCs w:val="24"/>
        </w:rPr>
        <w:t xml:space="preserve">erm </w:t>
      </w:r>
      <w:r w:rsidR="00004C01" w:rsidRPr="00392A44">
        <w:rPr>
          <w:rFonts w:cs="Arial"/>
          <w:sz w:val="22"/>
          <w:szCs w:val="24"/>
        </w:rPr>
        <w:t>S</w:t>
      </w:r>
      <w:r w:rsidRPr="00392A44">
        <w:rPr>
          <w:rFonts w:cs="Arial"/>
          <w:sz w:val="22"/>
          <w:szCs w:val="24"/>
        </w:rPr>
        <w:t xml:space="preserve">tability </w:t>
      </w:r>
      <w:r w:rsidR="00004C01" w:rsidRPr="00392A44">
        <w:rPr>
          <w:rFonts w:cs="Arial"/>
          <w:sz w:val="22"/>
          <w:szCs w:val="24"/>
        </w:rPr>
        <w:t>S</w:t>
      </w:r>
      <w:r w:rsidRPr="00392A44">
        <w:rPr>
          <w:rFonts w:cs="Arial"/>
          <w:sz w:val="22"/>
          <w:szCs w:val="24"/>
        </w:rPr>
        <w:t>tudies</w:t>
      </w:r>
    </w:p>
    <w:p w14:paraId="6EB98DCD" w14:textId="470E922B" w:rsidR="00A9770C" w:rsidRPr="00392A44" w:rsidRDefault="003A4E1C" w:rsidP="00392A44">
      <w:pPr>
        <w:spacing w:line="240" w:lineRule="auto"/>
        <w:jc w:val="both"/>
        <w:rPr>
          <w:rFonts w:cs="Arial"/>
          <w:sz w:val="20"/>
          <w:szCs w:val="18"/>
        </w:rPr>
      </w:pPr>
      <w:r w:rsidRPr="00392A44">
        <w:rPr>
          <w:rFonts w:cs="Arial"/>
          <w:sz w:val="20"/>
          <w:szCs w:val="18"/>
        </w:rPr>
        <w:t>The stability assessment of the selected formulation TR</w:t>
      </w:r>
      <w:r w:rsidRPr="00392A44">
        <w:rPr>
          <w:rFonts w:cs="Arial"/>
          <w:sz w:val="20"/>
          <w:szCs w:val="18"/>
          <w:vertAlign w:val="subscript"/>
        </w:rPr>
        <w:t>2</w:t>
      </w:r>
      <w:r w:rsidRPr="00392A44">
        <w:rPr>
          <w:rFonts w:cs="Arial"/>
          <w:sz w:val="20"/>
          <w:szCs w:val="18"/>
        </w:rPr>
        <w:t xml:space="preserve"> was conducted over 30 days. After </w:t>
      </w:r>
      <w:r w:rsidR="003E05B7" w:rsidRPr="00392A44">
        <w:rPr>
          <w:rFonts w:cs="Arial"/>
          <w:sz w:val="20"/>
          <w:szCs w:val="18"/>
        </w:rPr>
        <w:t xml:space="preserve">a </w:t>
      </w:r>
      <w:r w:rsidRPr="00392A44">
        <w:rPr>
          <w:rFonts w:cs="Arial"/>
          <w:sz w:val="20"/>
          <w:szCs w:val="18"/>
        </w:rPr>
        <w:t xml:space="preserve">month, various evaluations were performed, including viscosity, pH, drug content, film appearance, outward stickiness, and </w:t>
      </w:r>
      <w:r w:rsidR="0025422C" w:rsidRPr="00392A44">
        <w:rPr>
          <w:rFonts w:cs="Arial"/>
          <w:sz w:val="20"/>
          <w:szCs w:val="18"/>
        </w:rPr>
        <w:t>in vitro</w:t>
      </w:r>
      <w:r w:rsidRPr="00392A44">
        <w:rPr>
          <w:rFonts w:cs="Arial"/>
          <w:sz w:val="20"/>
          <w:szCs w:val="18"/>
        </w:rPr>
        <w:t xml:space="preserve"> drug release</w:t>
      </w:r>
      <w:r w:rsidR="002C7D53" w:rsidRPr="00392A44">
        <w:rPr>
          <w:rFonts w:cs="Arial"/>
          <w:sz w:val="20"/>
          <w:szCs w:val="18"/>
          <w:vertAlign w:val="superscript"/>
        </w:rPr>
        <w:t>4</w:t>
      </w:r>
      <w:r w:rsidR="00734DA9">
        <w:rPr>
          <w:rFonts w:cs="Arial"/>
          <w:sz w:val="20"/>
          <w:szCs w:val="18"/>
          <w:vertAlign w:val="superscript"/>
        </w:rPr>
        <w:t>5</w:t>
      </w:r>
      <w:r w:rsidR="00AC7416" w:rsidRPr="00392A44">
        <w:rPr>
          <w:rFonts w:cs="Arial"/>
          <w:sz w:val="20"/>
          <w:szCs w:val="18"/>
        </w:rPr>
        <w:t xml:space="preserve">, and the values are tabulated in </w:t>
      </w:r>
      <w:r w:rsidR="003E05B7" w:rsidRPr="00392A44">
        <w:rPr>
          <w:rFonts w:cs="Arial"/>
          <w:sz w:val="20"/>
          <w:szCs w:val="18"/>
        </w:rPr>
        <w:t>T</w:t>
      </w:r>
      <w:r w:rsidR="00AC7416" w:rsidRPr="00392A44">
        <w:rPr>
          <w:rFonts w:cs="Arial"/>
          <w:sz w:val="20"/>
          <w:szCs w:val="18"/>
        </w:rPr>
        <w:t>able 5</w:t>
      </w:r>
      <w:r w:rsidRPr="00392A44">
        <w:rPr>
          <w:rFonts w:cs="Arial"/>
          <w:sz w:val="20"/>
          <w:szCs w:val="18"/>
        </w:rPr>
        <w:t>.</w:t>
      </w:r>
      <w:r w:rsidR="00AC7416" w:rsidRPr="00392A44">
        <w:rPr>
          <w:rFonts w:cs="Arial"/>
          <w:sz w:val="20"/>
          <w:szCs w:val="18"/>
        </w:rPr>
        <w:t xml:space="preserve"> These values give us an idea </w:t>
      </w:r>
      <w:r w:rsidR="00CF2BBF" w:rsidRPr="00392A44">
        <w:rPr>
          <w:rFonts w:cs="Arial"/>
          <w:sz w:val="20"/>
          <w:szCs w:val="18"/>
        </w:rPr>
        <w:t xml:space="preserve">that </w:t>
      </w:r>
      <w:r w:rsidR="00AC7416" w:rsidRPr="00392A44">
        <w:rPr>
          <w:rFonts w:cs="Arial"/>
          <w:sz w:val="20"/>
          <w:szCs w:val="18"/>
        </w:rPr>
        <w:t xml:space="preserve">there </w:t>
      </w:r>
      <w:r w:rsidR="00CF2BBF" w:rsidRPr="00392A44">
        <w:rPr>
          <w:rFonts w:cs="Arial"/>
          <w:sz w:val="20"/>
          <w:szCs w:val="18"/>
        </w:rPr>
        <w:t>are</w:t>
      </w:r>
      <w:r w:rsidR="00AC7416" w:rsidRPr="00392A44">
        <w:rPr>
          <w:rFonts w:cs="Arial"/>
          <w:sz w:val="20"/>
          <w:szCs w:val="18"/>
        </w:rPr>
        <w:t xml:space="preserve"> no chemical changes or interaction</w:t>
      </w:r>
      <w:r w:rsidR="00CF2BBF" w:rsidRPr="00392A44">
        <w:rPr>
          <w:rFonts w:cs="Arial"/>
          <w:sz w:val="20"/>
          <w:szCs w:val="18"/>
        </w:rPr>
        <w:t>s that</w:t>
      </w:r>
      <w:r w:rsidR="00AC7416" w:rsidRPr="00392A44">
        <w:rPr>
          <w:rFonts w:cs="Arial"/>
          <w:sz w:val="20"/>
          <w:szCs w:val="18"/>
        </w:rPr>
        <w:t xml:space="preserve"> occurred during the trial period</w:t>
      </w:r>
      <w:r w:rsidR="00C55568" w:rsidRPr="00392A44">
        <w:rPr>
          <w:rFonts w:cs="Arial"/>
          <w:sz w:val="20"/>
          <w:szCs w:val="18"/>
        </w:rPr>
        <w:t>.</w:t>
      </w:r>
    </w:p>
    <w:p w14:paraId="7E407417" w14:textId="65DD1D4A" w:rsidR="000867BB" w:rsidRPr="00392A44" w:rsidRDefault="000867BB" w:rsidP="00B4464C">
      <w:pPr>
        <w:spacing w:before="240" w:line="240" w:lineRule="auto"/>
        <w:jc w:val="center"/>
        <w:rPr>
          <w:rFonts w:cs="Arial"/>
          <w:b/>
          <w:bCs/>
          <w:sz w:val="20"/>
          <w:szCs w:val="18"/>
        </w:rPr>
      </w:pPr>
      <w:r w:rsidRPr="00392A44">
        <w:rPr>
          <w:rFonts w:cs="Arial"/>
          <w:b/>
          <w:bCs/>
          <w:sz w:val="20"/>
          <w:szCs w:val="18"/>
        </w:rPr>
        <w:t xml:space="preserve">Table </w:t>
      </w:r>
      <w:r w:rsidR="000B53F8" w:rsidRPr="00392A44">
        <w:rPr>
          <w:rFonts w:cs="Arial"/>
          <w:b/>
          <w:bCs/>
          <w:sz w:val="20"/>
          <w:szCs w:val="18"/>
        </w:rPr>
        <w:t>5</w:t>
      </w:r>
      <w:r w:rsidRPr="00392A44">
        <w:rPr>
          <w:rFonts w:cs="Arial"/>
          <w:b/>
          <w:bCs/>
          <w:sz w:val="20"/>
          <w:szCs w:val="18"/>
        </w:rPr>
        <w:t xml:space="preserve">: </w:t>
      </w:r>
      <w:r w:rsidR="000B53F8" w:rsidRPr="00392A44">
        <w:rPr>
          <w:rFonts w:cs="Arial"/>
          <w:b/>
          <w:bCs/>
          <w:sz w:val="20"/>
          <w:szCs w:val="18"/>
        </w:rPr>
        <w:t xml:space="preserve">Representing </w:t>
      </w:r>
      <w:r w:rsidRPr="00392A44">
        <w:rPr>
          <w:rFonts w:cs="Arial"/>
          <w:b/>
          <w:bCs/>
          <w:sz w:val="20"/>
          <w:szCs w:val="18"/>
        </w:rPr>
        <w:t>data of short-term stability before and after the trial period</w:t>
      </w:r>
    </w:p>
    <w:tbl>
      <w:tblPr>
        <w:tblStyle w:val="TableGrid"/>
        <w:tblW w:w="0" w:type="auto"/>
        <w:jc w:val="center"/>
        <w:tblLook w:val="04A0" w:firstRow="1" w:lastRow="0" w:firstColumn="1" w:lastColumn="0" w:noHBand="0" w:noVBand="1"/>
      </w:tblPr>
      <w:tblGrid>
        <w:gridCol w:w="2130"/>
        <w:gridCol w:w="1927"/>
        <w:gridCol w:w="1744"/>
      </w:tblGrid>
      <w:tr w:rsidR="00E934CF" w:rsidRPr="00392A44" w14:paraId="6905311E" w14:textId="77777777" w:rsidTr="000867BB">
        <w:trPr>
          <w:trHeight w:val="326"/>
          <w:jc w:val="center"/>
        </w:trPr>
        <w:tc>
          <w:tcPr>
            <w:tcW w:w="2130" w:type="dxa"/>
            <w:vAlign w:val="center"/>
          </w:tcPr>
          <w:p w14:paraId="798BCC84" w14:textId="77777777" w:rsidR="00E934CF" w:rsidRPr="00392A44" w:rsidRDefault="00E934CF" w:rsidP="00B4464C">
            <w:pPr>
              <w:jc w:val="center"/>
              <w:rPr>
                <w:rFonts w:cs="Arial"/>
                <w:b/>
                <w:bCs/>
                <w:sz w:val="20"/>
                <w:szCs w:val="18"/>
              </w:rPr>
            </w:pPr>
            <w:r w:rsidRPr="00392A44">
              <w:rPr>
                <w:rFonts w:cs="Arial"/>
                <w:b/>
                <w:bCs/>
                <w:sz w:val="20"/>
                <w:szCs w:val="18"/>
              </w:rPr>
              <w:t>Test parameter</w:t>
            </w:r>
          </w:p>
        </w:tc>
        <w:tc>
          <w:tcPr>
            <w:tcW w:w="1927" w:type="dxa"/>
            <w:vAlign w:val="center"/>
          </w:tcPr>
          <w:p w14:paraId="0331CC1C" w14:textId="77777777" w:rsidR="00E934CF" w:rsidRPr="00392A44" w:rsidRDefault="00E934CF" w:rsidP="00B4464C">
            <w:pPr>
              <w:jc w:val="center"/>
              <w:rPr>
                <w:rFonts w:cs="Arial"/>
                <w:b/>
                <w:bCs/>
                <w:sz w:val="20"/>
                <w:szCs w:val="18"/>
              </w:rPr>
            </w:pPr>
            <w:r w:rsidRPr="00392A44">
              <w:rPr>
                <w:rFonts w:cs="Arial"/>
                <w:b/>
                <w:bCs/>
                <w:sz w:val="20"/>
                <w:szCs w:val="18"/>
              </w:rPr>
              <w:t>Initial</w:t>
            </w:r>
          </w:p>
        </w:tc>
        <w:tc>
          <w:tcPr>
            <w:tcW w:w="1744" w:type="dxa"/>
            <w:vAlign w:val="center"/>
          </w:tcPr>
          <w:p w14:paraId="286FEDDE" w14:textId="77777777" w:rsidR="00E934CF" w:rsidRPr="00392A44" w:rsidRDefault="00E934CF" w:rsidP="00B4464C">
            <w:pPr>
              <w:jc w:val="center"/>
              <w:rPr>
                <w:rFonts w:cs="Arial"/>
                <w:b/>
                <w:bCs/>
                <w:sz w:val="20"/>
                <w:szCs w:val="18"/>
              </w:rPr>
            </w:pPr>
            <w:r w:rsidRPr="00392A44">
              <w:rPr>
                <w:rFonts w:cs="Arial"/>
                <w:b/>
                <w:bCs/>
                <w:sz w:val="20"/>
                <w:szCs w:val="18"/>
              </w:rPr>
              <w:t>After 30 days</w:t>
            </w:r>
          </w:p>
        </w:tc>
      </w:tr>
      <w:tr w:rsidR="00E934CF" w:rsidRPr="00392A44" w14:paraId="1E2692A3" w14:textId="77777777" w:rsidTr="000867BB">
        <w:trPr>
          <w:trHeight w:val="201"/>
          <w:jc w:val="center"/>
        </w:trPr>
        <w:tc>
          <w:tcPr>
            <w:tcW w:w="2130" w:type="dxa"/>
            <w:vAlign w:val="center"/>
          </w:tcPr>
          <w:p w14:paraId="073A4A15" w14:textId="77777777" w:rsidR="00E934CF" w:rsidRPr="00392A44" w:rsidRDefault="00E934CF" w:rsidP="00B4464C">
            <w:pPr>
              <w:jc w:val="center"/>
              <w:rPr>
                <w:rFonts w:cs="Arial"/>
                <w:b/>
                <w:bCs/>
                <w:sz w:val="20"/>
                <w:szCs w:val="18"/>
              </w:rPr>
            </w:pPr>
            <w:r w:rsidRPr="00392A44">
              <w:rPr>
                <w:rFonts w:cs="Arial"/>
                <w:b/>
                <w:bCs/>
                <w:sz w:val="20"/>
                <w:szCs w:val="18"/>
              </w:rPr>
              <w:t>Viscosity</w:t>
            </w:r>
          </w:p>
        </w:tc>
        <w:tc>
          <w:tcPr>
            <w:tcW w:w="1927" w:type="dxa"/>
            <w:vAlign w:val="center"/>
          </w:tcPr>
          <w:p w14:paraId="6238B69B" w14:textId="77777777" w:rsidR="00E934CF" w:rsidRPr="00392A44" w:rsidRDefault="00E934CF" w:rsidP="00B4464C">
            <w:pPr>
              <w:jc w:val="center"/>
              <w:rPr>
                <w:rFonts w:cs="Arial"/>
                <w:sz w:val="20"/>
                <w:szCs w:val="18"/>
              </w:rPr>
            </w:pPr>
            <w:r w:rsidRPr="00392A44">
              <w:rPr>
                <w:rFonts w:cs="Arial"/>
                <w:sz w:val="20"/>
                <w:szCs w:val="18"/>
              </w:rPr>
              <w:t>40.26Cps</w:t>
            </w:r>
          </w:p>
        </w:tc>
        <w:tc>
          <w:tcPr>
            <w:tcW w:w="1744" w:type="dxa"/>
            <w:vAlign w:val="center"/>
          </w:tcPr>
          <w:p w14:paraId="34C2543E" w14:textId="77777777" w:rsidR="00E934CF" w:rsidRPr="00392A44" w:rsidRDefault="00E934CF" w:rsidP="00B4464C">
            <w:pPr>
              <w:jc w:val="center"/>
              <w:rPr>
                <w:rFonts w:cs="Arial"/>
                <w:sz w:val="20"/>
                <w:szCs w:val="18"/>
              </w:rPr>
            </w:pPr>
            <w:r w:rsidRPr="00392A44">
              <w:rPr>
                <w:rFonts w:cs="Arial"/>
                <w:sz w:val="20"/>
                <w:szCs w:val="18"/>
              </w:rPr>
              <w:t>39.36Cps</w:t>
            </w:r>
          </w:p>
        </w:tc>
      </w:tr>
      <w:tr w:rsidR="00E934CF" w:rsidRPr="00392A44" w14:paraId="3B8D349E" w14:textId="77777777" w:rsidTr="000867BB">
        <w:trPr>
          <w:trHeight w:val="326"/>
          <w:jc w:val="center"/>
        </w:trPr>
        <w:tc>
          <w:tcPr>
            <w:tcW w:w="2130" w:type="dxa"/>
            <w:vAlign w:val="center"/>
          </w:tcPr>
          <w:p w14:paraId="48D42EF6" w14:textId="77777777" w:rsidR="00E934CF" w:rsidRPr="00392A44" w:rsidRDefault="00E934CF" w:rsidP="00B4464C">
            <w:pPr>
              <w:jc w:val="center"/>
              <w:rPr>
                <w:rFonts w:cs="Arial"/>
                <w:b/>
                <w:bCs/>
                <w:sz w:val="20"/>
                <w:szCs w:val="18"/>
              </w:rPr>
            </w:pPr>
            <w:r w:rsidRPr="00392A44">
              <w:rPr>
                <w:rFonts w:cs="Arial"/>
                <w:b/>
                <w:bCs/>
                <w:sz w:val="20"/>
                <w:szCs w:val="18"/>
              </w:rPr>
              <w:t>pH</w:t>
            </w:r>
          </w:p>
        </w:tc>
        <w:tc>
          <w:tcPr>
            <w:tcW w:w="1927" w:type="dxa"/>
            <w:vAlign w:val="center"/>
          </w:tcPr>
          <w:p w14:paraId="0F1A729B" w14:textId="77777777" w:rsidR="00E934CF" w:rsidRPr="00392A44" w:rsidRDefault="00E934CF" w:rsidP="00B4464C">
            <w:pPr>
              <w:jc w:val="center"/>
              <w:rPr>
                <w:rFonts w:cs="Arial"/>
                <w:sz w:val="20"/>
                <w:szCs w:val="18"/>
              </w:rPr>
            </w:pPr>
            <w:r w:rsidRPr="00392A44">
              <w:rPr>
                <w:rFonts w:cs="Arial"/>
                <w:sz w:val="20"/>
                <w:szCs w:val="18"/>
              </w:rPr>
              <w:t>5.84</w:t>
            </w:r>
          </w:p>
        </w:tc>
        <w:tc>
          <w:tcPr>
            <w:tcW w:w="1744" w:type="dxa"/>
            <w:vAlign w:val="center"/>
          </w:tcPr>
          <w:p w14:paraId="04AB529E" w14:textId="77777777" w:rsidR="00E934CF" w:rsidRPr="00392A44" w:rsidRDefault="00E934CF" w:rsidP="00B4464C">
            <w:pPr>
              <w:jc w:val="center"/>
              <w:rPr>
                <w:rFonts w:cs="Arial"/>
                <w:sz w:val="20"/>
                <w:szCs w:val="18"/>
              </w:rPr>
            </w:pPr>
            <w:r w:rsidRPr="00392A44">
              <w:rPr>
                <w:rFonts w:cs="Arial"/>
                <w:sz w:val="20"/>
                <w:szCs w:val="18"/>
              </w:rPr>
              <w:t>5.69</w:t>
            </w:r>
          </w:p>
        </w:tc>
      </w:tr>
      <w:tr w:rsidR="00E934CF" w:rsidRPr="00392A44" w14:paraId="3481CD8B" w14:textId="77777777" w:rsidTr="000867BB">
        <w:trPr>
          <w:trHeight w:val="326"/>
          <w:jc w:val="center"/>
        </w:trPr>
        <w:tc>
          <w:tcPr>
            <w:tcW w:w="2130" w:type="dxa"/>
            <w:vAlign w:val="center"/>
          </w:tcPr>
          <w:p w14:paraId="3328543C" w14:textId="77777777" w:rsidR="00E934CF" w:rsidRPr="00392A44" w:rsidRDefault="00E934CF" w:rsidP="00B4464C">
            <w:pPr>
              <w:jc w:val="center"/>
              <w:rPr>
                <w:rFonts w:cs="Arial"/>
                <w:b/>
                <w:bCs/>
                <w:sz w:val="20"/>
                <w:szCs w:val="18"/>
              </w:rPr>
            </w:pPr>
            <w:r w:rsidRPr="00392A44">
              <w:rPr>
                <w:rFonts w:cs="Arial"/>
                <w:b/>
                <w:bCs/>
                <w:sz w:val="20"/>
                <w:szCs w:val="18"/>
              </w:rPr>
              <w:t>Drug content</w:t>
            </w:r>
          </w:p>
        </w:tc>
        <w:tc>
          <w:tcPr>
            <w:tcW w:w="1927" w:type="dxa"/>
            <w:vAlign w:val="center"/>
          </w:tcPr>
          <w:p w14:paraId="2D345C89" w14:textId="77777777" w:rsidR="00E934CF" w:rsidRPr="00392A44" w:rsidRDefault="00E934CF" w:rsidP="00B4464C">
            <w:pPr>
              <w:jc w:val="center"/>
              <w:rPr>
                <w:rFonts w:cs="Arial"/>
                <w:sz w:val="20"/>
                <w:szCs w:val="18"/>
              </w:rPr>
            </w:pPr>
            <w:r w:rsidRPr="00392A44">
              <w:rPr>
                <w:rFonts w:cs="Arial"/>
                <w:sz w:val="20"/>
                <w:szCs w:val="18"/>
              </w:rPr>
              <w:t>94.36</w:t>
            </w:r>
          </w:p>
        </w:tc>
        <w:tc>
          <w:tcPr>
            <w:tcW w:w="1744" w:type="dxa"/>
            <w:vAlign w:val="center"/>
          </w:tcPr>
          <w:p w14:paraId="4CCECC56" w14:textId="77777777" w:rsidR="00E934CF" w:rsidRPr="00392A44" w:rsidRDefault="00E934CF" w:rsidP="00B4464C">
            <w:pPr>
              <w:jc w:val="center"/>
              <w:rPr>
                <w:rFonts w:cs="Arial"/>
                <w:sz w:val="20"/>
                <w:szCs w:val="18"/>
              </w:rPr>
            </w:pPr>
            <w:r w:rsidRPr="00392A44">
              <w:rPr>
                <w:rFonts w:cs="Arial"/>
                <w:sz w:val="20"/>
                <w:szCs w:val="18"/>
              </w:rPr>
              <w:t>92.65</w:t>
            </w:r>
          </w:p>
        </w:tc>
      </w:tr>
      <w:tr w:rsidR="00E934CF" w:rsidRPr="00392A44" w14:paraId="650F4CF6" w14:textId="77777777" w:rsidTr="000867BB">
        <w:trPr>
          <w:trHeight w:val="337"/>
          <w:jc w:val="center"/>
        </w:trPr>
        <w:tc>
          <w:tcPr>
            <w:tcW w:w="2130" w:type="dxa"/>
            <w:vAlign w:val="center"/>
          </w:tcPr>
          <w:p w14:paraId="72B72037" w14:textId="77777777" w:rsidR="00E934CF" w:rsidRPr="00392A44" w:rsidRDefault="00E934CF" w:rsidP="00B4464C">
            <w:pPr>
              <w:jc w:val="center"/>
              <w:rPr>
                <w:rFonts w:cs="Arial"/>
                <w:b/>
                <w:bCs/>
                <w:sz w:val="20"/>
                <w:szCs w:val="18"/>
              </w:rPr>
            </w:pPr>
            <w:r w:rsidRPr="00392A44">
              <w:rPr>
                <w:rFonts w:cs="Arial"/>
                <w:b/>
                <w:bCs/>
                <w:sz w:val="20"/>
                <w:szCs w:val="18"/>
              </w:rPr>
              <w:t>Film appearance</w:t>
            </w:r>
          </w:p>
        </w:tc>
        <w:tc>
          <w:tcPr>
            <w:tcW w:w="1927" w:type="dxa"/>
            <w:vAlign w:val="center"/>
          </w:tcPr>
          <w:p w14:paraId="765BCC32" w14:textId="77777777" w:rsidR="00E934CF" w:rsidRPr="00392A44" w:rsidRDefault="00E934CF" w:rsidP="00B4464C">
            <w:pPr>
              <w:jc w:val="center"/>
              <w:rPr>
                <w:rFonts w:cs="Arial"/>
                <w:sz w:val="20"/>
                <w:szCs w:val="18"/>
              </w:rPr>
            </w:pPr>
            <w:r w:rsidRPr="00392A44">
              <w:rPr>
                <w:rFonts w:cs="Arial"/>
                <w:sz w:val="20"/>
                <w:szCs w:val="18"/>
              </w:rPr>
              <w:t>Uniform</w:t>
            </w:r>
          </w:p>
        </w:tc>
        <w:tc>
          <w:tcPr>
            <w:tcW w:w="1744" w:type="dxa"/>
            <w:vAlign w:val="center"/>
          </w:tcPr>
          <w:p w14:paraId="3AB5A1DC" w14:textId="77777777" w:rsidR="00E934CF" w:rsidRPr="00392A44" w:rsidRDefault="00E934CF" w:rsidP="00B4464C">
            <w:pPr>
              <w:jc w:val="center"/>
              <w:rPr>
                <w:rFonts w:cs="Arial"/>
                <w:sz w:val="20"/>
                <w:szCs w:val="18"/>
              </w:rPr>
            </w:pPr>
            <w:r w:rsidRPr="00392A44">
              <w:rPr>
                <w:rFonts w:cs="Arial"/>
                <w:sz w:val="20"/>
                <w:szCs w:val="18"/>
              </w:rPr>
              <w:t>Uniform</w:t>
            </w:r>
          </w:p>
        </w:tc>
      </w:tr>
      <w:tr w:rsidR="00E934CF" w:rsidRPr="00392A44" w14:paraId="2D4FE00B" w14:textId="77777777" w:rsidTr="000867BB">
        <w:trPr>
          <w:trHeight w:val="326"/>
          <w:jc w:val="center"/>
        </w:trPr>
        <w:tc>
          <w:tcPr>
            <w:tcW w:w="2130" w:type="dxa"/>
            <w:vAlign w:val="center"/>
          </w:tcPr>
          <w:p w14:paraId="1708639E" w14:textId="77777777" w:rsidR="00E934CF" w:rsidRPr="00392A44" w:rsidRDefault="00E934CF" w:rsidP="00B4464C">
            <w:pPr>
              <w:jc w:val="center"/>
              <w:rPr>
                <w:rFonts w:cs="Arial"/>
                <w:b/>
                <w:bCs/>
                <w:sz w:val="20"/>
                <w:szCs w:val="18"/>
              </w:rPr>
            </w:pPr>
            <w:r w:rsidRPr="00392A44">
              <w:rPr>
                <w:rFonts w:cs="Arial"/>
                <w:b/>
                <w:bCs/>
                <w:sz w:val="20"/>
                <w:szCs w:val="18"/>
              </w:rPr>
              <w:t>Outward stickiness</w:t>
            </w:r>
          </w:p>
        </w:tc>
        <w:tc>
          <w:tcPr>
            <w:tcW w:w="1927" w:type="dxa"/>
            <w:vAlign w:val="center"/>
          </w:tcPr>
          <w:p w14:paraId="37E26D9B" w14:textId="77777777" w:rsidR="00E934CF" w:rsidRPr="00392A44" w:rsidRDefault="00E934CF" w:rsidP="00B4464C">
            <w:pPr>
              <w:jc w:val="center"/>
              <w:rPr>
                <w:rFonts w:cs="Arial"/>
                <w:sz w:val="20"/>
                <w:szCs w:val="18"/>
              </w:rPr>
            </w:pPr>
            <w:r w:rsidRPr="00392A44">
              <w:rPr>
                <w:rFonts w:cs="Arial"/>
                <w:sz w:val="20"/>
                <w:szCs w:val="18"/>
              </w:rPr>
              <w:t>Low</w:t>
            </w:r>
          </w:p>
        </w:tc>
        <w:tc>
          <w:tcPr>
            <w:tcW w:w="1744" w:type="dxa"/>
            <w:vAlign w:val="center"/>
          </w:tcPr>
          <w:p w14:paraId="0493988C" w14:textId="77777777" w:rsidR="00E934CF" w:rsidRPr="00392A44" w:rsidRDefault="00E934CF" w:rsidP="00B4464C">
            <w:pPr>
              <w:jc w:val="center"/>
              <w:rPr>
                <w:rFonts w:cs="Arial"/>
                <w:sz w:val="20"/>
                <w:szCs w:val="18"/>
              </w:rPr>
            </w:pPr>
            <w:r w:rsidRPr="00392A44">
              <w:rPr>
                <w:rFonts w:cs="Arial"/>
                <w:sz w:val="20"/>
                <w:szCs w:val="18"/>
              </w:rPr>
              <w:t>Low</w:t>
            </w:r>
          </w:p>
        </w:tc>
      </w:tr>
      <w:tr w:rsidR="00E934CF" w:rsidRPr="00392A44" w14:paraId="1D3829C9" w14:textId="77777777" w:rsidTr="000867BB">
        <w:trPr>
          <w:trHeight w:val="326"/>
          <w:jc w:val="center"/>
        </w:trPr>
        <w:tc>
          <w:tcPr>
            <w:tcW w:w="2130" w:type="dxa"/>
            <w:vAlign w:val="center"/>
          </w:tcPr>
          <w:p w14:paraId="6C52CDC6" w14:textId="77777777" w:rsidR="00E934CF" w:rsidRPr="00392A44" w:rsidRDefault="00E934CF" w:rsidP="00B4464C">
            <w:pPr>
              <w:jc w:val="center"/>
              <w:rPr>
                <w:rFonts w:cs="Arial"/>
                <w:b/>
                <w:bCs/>
                <w:sz w:val="20"/>
                <w:szCs w:val="18"/>
              </w:rPr>
            </w:pPr>
            <w:r w:rsidRPr="00392A44">
              <w:rPr>
                <w:rFonts w:cs="Arial"/>
                <w:b/>
                <w:bCs/>
                <w:sz w:val="20"/>
                <w:szCs w:val="18"/>
              </w:rPr>
              <w:t>Drying time</w:t>
            </w:r>
          </w:p>
        </w:tc>
        <w:tc>
          <w:tcPr>
            <w:tcW w:w="1927" w:type="dxa"/>
            <w:vAlign w:val="center"/>
          </w:tcPr>
          <w:p w14:paraId="3FAD2595" w14:textId="77777777" w:rsidR="00E934CF" w:rsidRPr="00392A44" w:rsidRDefault="00E934CF" w:rsidP="00B4464C">
            <w:pPr>
              <w:jc w:val="center"/>
              <w:rPr>
                <w:rFonts w:cs="Arial"/>
                <w:sz w:val="20"/>
                <w:szCs w:val="18"/>
              </w:rPr>
            </w:pPr>
            <w:r w:rsidRPr="00392A44">
              <w:rPr>
                <w:rFonts w:cs="Arial"/>
                <w:sz w:val="20"/>
                <w:szCs w:val="18"/>
              </w:rPr>
              <w:t>&lt;1 min</w:t>
            </w:r>
          </w:p>
        </w:tc>
        <w:tc>
          <w:tcPr>
            <w:tcW w:w="1744" w:type="dxa"/>
            <w:vAlign w:val="center"/>
          </w:tcPr>
          <w:p w14:paraId="70879A52" w14:textId="77777777" w:rsidR="00E934CF" w:rsidRPr="00392A44" w:rsidRDefault="00E934CF" w:rsidP="00B4464C">
            <w:pPr>
              <w:jc w:val="center"/>
              <w:rPr>
                <w:rFonts w:cs="Arial"/>
                <w:sz w:val="20"/>
                <w:szCs w:val="18"/>
              </w:rPr>
            </w:pPr>
            <w:r w:rsidRPr="00392A44">
              <w:rPr>
                <w:rFonts w:cs="Arial"/>
                <w:sz w:val="20"/>
                <w:szCs w:val="18"/>
              </w:rPr>
              <w:t>&lt;1 min</w:t>
            </w:r>
          </w:p>
        </w:tc>
      </w:tr>
      <w:tr w:rsidR="00E934CF" w:rsidRPr="00392A44" w14:paraId="1F740C67" w14:textId="77777777" w:rsidTr="000867BB">
        <w:trPr>
          <w:trHeight w:val="665"/>
          <w:jc w:val="center"/>
        </w:trPr>
        <w:tc>
          <w:tcPr>
            <w:tcW w:w="2130" w:type="dxa"/>
            <w:vAlign w:val="center"/>
          </w:tcPr>
          <w:p w14:paraId="0EA7D060" w14:textId="1FD83AD4" w:rsidR="00E934CF" w:rsidRPr="00392A44" w:rsidRDefault="0025422C" w:rsidP="00B4464C">
            <w:pPr>
              <w:jc w:val="center"/>
              <w:rPr>
                <w:rFonts w:cs="Arial"/>
                <w:b/>
                <w:bCs/>
                <w:sz w:val="20"/>
                <w:szCs w:val="18"/>
              </w:rPr>
            </w:pPr>
            <w:r w:rsidRPr="00392A44">
              <w:rPr>
                <w:rFonts w:cs="Arial"/>
                <w:b/>
                <w:bCs/>
                <w:i/>
                <w:iCs/>
                <w:sz w:val="20"/>
                <w:szCs w:val="18"/>
              </w:rPr>
              <w:t>In vitro</w:t>
            </w:r>
            <w:r w:rsidR="00AB50C5" w:rsidRPr="00392A44">
              <w:rPr>
                <w:rFonts w:cs="Arial"/>
                <w:b/>
                <w:bCs/>
                <w:i/>
                <w:iCs/>
                <w:sz w:val="20"/>
                <w:szCs w:val="18"/>
              </w:rPr>
              <w:t xml:space="preserve"> </w:t>
            </w:r>
            <w:r w:rsidR="00E934CF" w:rsidRPr="00392A44">
              <w:rPr>
                <w:rFonts w:cs="Arial"/>
                <w:b/>
                <w:bCs/>
                <w:sz w:val="20"/>
                <w:szCs w:val="18"/>
              </w:rPr>
              <w:t>drug release</w:t>
            </w:r>
          </w:p>
        </w:tc>
        <w:tc>
          <w:tcPr>
            <w:tcW w:w="1927" w:type="dxa"/>
            <w:vAlign w:val="center"/>
          </w:tcPr>
          <w:p w14:paraId="56F1A9DF" w14:textId="77777777" w:rsidR="00E934CF" w:rsidRPr="00392A44" w:rsidRDefault="00E934CF" w:rsidP="00B4464C">
            <w:pPr>
              <w:jc w:val="center"/>
              <w:rPr>
                <w:rFonts w:cs="Arial"/>
                <w:sz w:val="20"/>
                <w:szCs w:val="18"/>
              </w:rPr>
            </w:pPr>
            <w:r w:rsidRPr="00392A44">
              <w:rPr>
                <w:rFonts w:cs="Arial"/>
                <w:sz w:val="20"/>
                <w:szCs w:val="18"/>
              </w:rPr>
              <w:t>83.17%</w:t>
            </w:r>
          </w:p>
        </w:tc>
        <w:tc>
          <w:tcPr>
            <w:tcW w:w="1744" w:type="dxa"/>
            <w:vAlign w:val="center"/>
          </w:tcPr>
          <w:p w14:paraId="100EB64B" w14:textId="77777777" w:rsidR="00E934CF" w:rsidRPr="00392A44" w:rsidRDefault="00E934CF" w:rsidP="00B4464C">
            <w:pPr>
              <w:jc w:val="center"/>
              <w:rPr>
                <w:rFonts w:cs="Arial"/>
                <w:sz w:val="20"/>
                <w:szCs w:val="18"/>
              </w:rPr>
            </w:pPr>
            <w:r w:rsidRPr="00392A44">
              <w:rPr>
                <w:rFonts w:cs="Arial"/>
                <w:sz w:val="20"/>
                <w:szCs w:val="18"/>
              </w:rPr>
              <w:t>81.26%</w:t>
            </w:r>
          </w:p>
        </w:tc>
      </w:tr>
    </w:tbl>
    <w:p w14:paraId="22FEED6B" w14:textId="6D11816C" w:rsidR="00E934CF" w:rsidRPr="00B67CB3" w:rsidRDefault="00E934CF" w:rsidP="00B4464C">
      <w:pPr>
        <w:spacing w:line="240" w:lineRule="auto"/>
        <w:jc w:val="both"/>
        <w:rPr>
          <w:rFonts w:cs="Arial"/>
        </w:rPr>
      </w:pPr>
    </w:p>
    <w:p w14:paraId="482363C0" w14:textId="13671E20" w:rsidR="00FB3B96" w:rsidRPr="00AC0307" w:rsidRDefault="00B4464C" w:rsidP="00AC0307">
      <w:pPr>
        <w:pStyle w:val="Title"/>
        <w:numPr>
          <w:ilvl w:val="0"/>
          <w:numId w:val="4"/>
        </w:numPr>
        <w:ind w:left="360"/>
        <w:contextualSpacing w:val="0"/>
        <w:rPr>
          <w:rFonts w:cs="Arial"/>
          <w:sz w:val="22"/>
          <w:szCs w:val="22"/>
        </w:rPr>
      </w:pPr>
      <w:r w:rsidRPr="00AC0307">
        <w:rPr>
          <w:rFonts w:cs="Arial"/>
          <w:sz w:val="22"/>
          <w:szCs w:val="22"/>
        </w:rPr>
        <w:t>CONCLUSION</w:t>
      </w:r>
    </w:p>
    <w:p w14:paraId="3833EB40" w14:textId="7296BC30" w:rsidR="00EF501A" w:rsidRDefault="00CB7D84" w:rsidP="00B4464C">
      <w:pPr>
        <w:spacing w:line="240" w:lineRule="auto"/>
        <w:jc w:val="both"/>
        <w:rPr>
          <w:rFonts w:cs="Arial"/>
          <w:sz w:val="20"/>
          <w:szCs w:val="18"/>
        </w:rPr>
      </w:pPr>
      <w:r w:rsidRPr="00AC0307">
        <w:rPr>
          <w:rFonts w:cs="Arial"/>
          <w:sz w:val="20"/>
          <w:szCs w:val="18"/>
        </w:rPr>
        <w:lastRenderedPageBreak/>
        <w:t>CPO loaded polymeric film forming solutions were developed and characterized in this study. The PFFS</w:t>
      </w:r>
      <w:r w:rsidR="00462776" w:rsidRPr="00AC0307">
        <w:rPr>
          <w:rFonts w:cs="Arial"/>
          <w:sz w:val="20"/>
          <w:szCs w:val="18"/>
        </w:rPr>
        <w:t xml:space="preserve"> were developed </w:t>
      </w:r>
      <w:r w:rsidRPr="00AC0307">
        <w:rPr>
          <w:rFonts w:cs="Arial"/>
          <w:sz w:val="20"/>
          <w:szCs w:val="18"/>
        </w:rPr>
        <w:t>using various polymers</w:t>
      </w:r>
      <w:r w:rsidR="00284D7B" w:rsidRPr="00AC0307">
        <w:rPr>
          <w:rFonts w:cs="Arial"/>
          <w:sz w:val="20"/>
          <w:szCs w:val="18"/>
        </w:rPr>
        <w:t xml:space="preserve"> and</w:t>
      </w:r>
      <w:r w:rsidRPr="00AC0307">
        <w:rPr>
          <w:rFonts w:cs="Arial"/>
          <w:sz w:val="20"/>
          <w:szCs w:val="18"/>
        </w:rPr>
        <w:t xml:space="preserve"> investigated for</w:t>
      </w:r>
      <w:r w:rsidR="0034225D" w:rsidRPr="00AC0307">
        <w:rPr>
          <w:rFonts w:cs="Arial"/>
          <w:sz w:val="20"/>
          <w:szCs w:val="18"/>
        </w:rPr>
        <w:t xml:space="preserve"> physicochemical evaluations</w:t>
      </w:r>
      <w:r w:rsidR="00CF2BBF" w:rsidRPr="00AC0307">
        <w:rPr>
          <w:rFonts w:cs="Arial"/>
          <w:sz w:val="20"/>
          <w:szCs w:val="18"/>
        </w:rPr>
        <w:t>.</w:t>
      </w:r>
      <w:r w:rsidR="002942F9" w:rsidRPr="00AC0307">
        <w:rPr>
          <w:rFonts w:cs="Arial"/>
          <w:sz w:val="20"/>
          <w:szCs w:val="18"/>
        </w:rPr>
        <w:t xml:space="preserve"> </w:t>
      </w:r>
      <w:r w:rsidR="00CF2BBF" w:rsidRPr="00AC0307">
        <w:rPr>
          <w:rFonts w:cs="Arial"/>
          <w:sz w:val="20"/>
          <w:szCs w:val="18"/>
        </w:rPr>
        <w:t>S</w:t>
      </w:r>
      <w:r w:rsidR="002942F9" w:rsidRPr="00AC0307">
        <w:rPr>
          <w:rFonts w:cs="Arial"/>
          <w:sz w:val="20"/>
          <w:szCs w:val="18"/>
        </w:rPr>
        <w:t xml:space="preserve">elected formulations </w:t>
      </w:r>
      <w:r w:rsidR="008F775F" w:rsidRPr="00AC0307">
        <w:rPr>
          <w:rFonts w:cs="Arial"/>
          <w:sz w:val="20"/>
          <w:szCs w:val="18"/>
        </w:rPr>
        <w:t>were</w:t>
      </w:r>
      <w:r w:rsidR="001A292D" w:rsidRPr="00AC0307">
        <w:rPr>
          <w:rFonts w:cs="Arial"/>
          <w:sz w:val="20"/>
          <w:szCs w:val="18"/>
        </w:rPr>
        <w:t xml:space="preserve"> subjected </w:t>
      </w:r>
      <w:r w:rsidR="00CF2BBF" w:rsidRPr="00AC0307">
        <w:rPr>
          <w:rFonts w:cs="Arial"/>
          <w:sz w:val="20"/>
          <w:szCs w:val="18"/>
        </w:rPr>
        <w:t>to</w:t>
      </w:r>
      <w:r w:rsidR="001A292D" w:rsidRPr="00AC0307">
        <w:rPr>
          <w:rFonts w:cs="Arial"/>
          <w:sz w:val="20"/>
          <w:szCs w:val="18"/>
        </w:rPr>
        <w:t xml:space="preserve"> </w:t>
      </w:r>
      <w:r w:rsidR="0034225D" w:rsidRPr="00AC0307">
        <w:rPr>
          <w:rFonts w:cs="Arial"/>
          <w:sz w:val="20"/>
          <w:szCs w:val="18"/>
        </w:rPr>
        <w:t>drug release</w:t>
      </w:r>
      <w:r w:rsidR="006D7DE8" w:rsidRPr="00AC0307">
        <w:rPr>
          <w:rFonts w:cs="Arial"/>
          <w:sz w:val="20"/>
          <w:szCs w:val="18"/>
        </w:rPr>
        <w:t xml:space="preserve"> studies</w:t>
      </w:r>
      <w:r w:rsidR="001D4399" w:rsidRPr="00AC0307">
        <w:rPr>
          <w:rFonts w:cs="Arial"/>
          <w:sz w:val="20"/>
          <w:szCs w:val="18"/>
        </w:rPr>
        <w:t>,</w:t>
      </w:r>
      <w:r w:rsidR="006D7DE8" w:rsidRPr="00AC0307">
        <w:rPr>
          <w:rFonts w:cs="Arial"/>
          <w:sz w:val="20"/>
          <w:szCs w:val="18"/>
        </w:rPr>
        <w:t xml:space="preserve"> w</w:t>
      </w:r>
      <w:r w:rsidR="001D4399" w:rsidRPr="00AC0307">
        <w:rPr>
          <w:rFonts w:cs="Arial"/>
          <w:sz w:val="20"/>
          <w:szCs w:val="18"/>
        </w:rPr>
        <w:t>here formulation TR</w:t>
      </w:r>
      <w:r w:rsidR="001D4399" w:rsidRPr="00AC0307">
        <w:rPr>
          <w:rFonts w:cs="Arial"/>
          <w:sz w:val="20"/>
          <w:szCs w:val="18"/>
          <w:vertAlign w:val="subscript"/>
        </w:rPr>
        <w:t>2</w:t>
      </w:r>
      <w:r w:rsidR="001D4399" w:rsidRPr="00AC0307">
        <w:rPr>
          <w:rFonts w:cs="Arial"/>
          <w:sz w:val="20"/>
          <w:szCs w:val="18"/>
        </w:rPr>
        <w:t xml:space="preserve"> showed</w:t>
      </w:r>
      <w:r w:rsidR="00BD1E80" w:rsidRPr="00AC0307">
        <w:rPr>
          <w:rFonts w:cs="Arial"/>
          <w:sz w:val="20"/>
          <w:szCs w:val="18"/>
        </w:rPr>
        <w:t xml:space="preserve"> an</w:t>
      </w:r>
      <w:r w:rsidR="001D4399" w:rsidRPr="00AC0307">
        <w:rPr>
          <w:rFonts w:cs="Arial"/>
          <w:sz w:val="20"/>
          <w:szCs w:val="18"/>
        </w:rPr>
        <w:t xml:space="preserve"> 83.17 percent </w:t>
      </w:r>
      <w:r w:rsidR="00BD1E80" w:rsidRPr="00AC0307">
        <w:rPr>
          <w:rFonts w:cs="Arial"/>
          <w:sz w:val="20"/>
          <w:szCs w:val="18"/>
        </w:rPr>
        <w:t>controlled release drug profile</w:t>
      </w:r>
      <w:r w:rsidR="001D4399" w:rsidRPr="00AC0307">
        <w:rPr>
          <w:rFonts w:cs="Arial"/>
          <w:sz w:val="20"/>
          <w:szCs w:val="18"/>
        </w:rPr>
        <w:t>.</w:t>
      </w:r>
      <w:r w:rsidR="001A292D" w:rsidRPr="00AC0307">
        <w:rPr>
          <w:rFonts w:cs="Arial"/>
          <w:sz w:val="20"/>
          <w:szCs w:val="18"/>
        </w:rPr>
        <w:t xml:space="preserve"> </w:t>
      </w:r>
      <w:r w:rsidR="001D4399" w:rsidRPr="00AC0307">
        <w:rPr>
          <w:rFonts w:cs="Arial"/>
          <w:sz w:val="20"/>
          <w:szCs w:val="18"/>
        </w:rPr>
        <w:t>B</w:t>
      </w:r>
      <w:r w:rsidR="001A292D" w:rsidRPr="00AC0307">
        <w:rPr>
          <w:rFonts w:cs="Arial"/>
          <w:sz w:val="20"/>
          <w:szCs w:val="18"/>
        </w:rPr>
        <w:t xml:space="preserve">ased upon </w:t>
      </w:r>
      <w:r w:rsidR="00BD1E80" w:rsidRPr="00AC0307">
        <w:rPr>
          <w:rFonts w:cs="Arial"/>
          <w:sz w:val="20"/>
          <w:szCs w:val="18"/>
        </w:rPr>
        <w:t>this,</w:t>
      </w:r>
      <w:r w:rsidR="00CF2BBF" w:rsidRPr="00AC0307">
        <w:rPr>
          <w:rFonts w:cs="Arial"/>
          <w:sz w:val="20"/>
          <w:szCs w:val="18"/>
        </w:rPr>
        <w:t xml:space="preserve"> </w:t>
      </w:r>
      <w:r w:rsidR="001A292D" w:rsidRPr="00AC0307">
        <w:rPr>
          <w:rFonts w:cs="Arial"/>
          <w:sz w:val="20"/>
          <w:szCs w:val="18"/>
        </w:rPr>
        <w:t>t</w:t>
      </w:r>
      <w:r w:rsidR="00CF2BBF" w:rsidRPr="00AC0307">
        <w:rPr>
          <w:rFonts w:cs="Arial"/>
          <w:sz w:val="20"/>
          <w:szCs w:val="18"/>
        </w:rPr>
        <w:t>he</w:t>
      </w:r>
      <w:r w:rsidR="001A292D" w:rsidRPr="00AC0307">
        <w:rPr>
          <w:rFonts w:cs="Arial"/>
          <w:sz w:val="20"/>
          <w:szCs w:val="18"/>
        </w:rPr>
        <w:t xml:space="preserve"> TR</w:t>
      </w:r>
      <w:r w:rsidR="001A292D" w:rsidRPr="00AC0307">
        <w:rPr>
          <w:rFonts w:cs="Arial"/>
          <w:sz w:val="20"/>
          <w:szCs w:val="18"/>
          <w:vertAlign w:val="subscript"/>
        </w:rPr>
        <w:t>2</w:t>
      </w:r>
      <w:r w:rsidR="00CF2BBF" w:rsidRPr="00AC0307">
        <w:rPr>
          <w:rFonts w:cs="Arial"/>
          <w:sz w:val="20"/>
          <w:szCs w:val="18"/>
          <w:vertAlign w:val="subscript"/>
        </w:rPr>
        <w:t xml:space="preserve"> </w:t>
      </w:r>
      <w:r w:rsidR="001A292D" w:rsidRPr="00AC0307">
        <w:rPr>
          <w:rFonts w:cs="Arial"/>
          <w:sz w:val="20"/>
          <w:szCs w:val="18"/>
        </w:rPr>
        <w:t xml:space="preserve">and TR14 formulations </w:t>
      </w:r>
      <w:r w:rsidR="00CF2BBF" w:rsidRPr="00AC0307">
        <w:rPr>
          <w:rFonts w:cs="Arial"/>
          <w:sz w:val="20"/>
          <w:szCs w:val="18"/>
        </w:rPr>
        <w:t>were</w:t>
      </w:r>
      <w:r w:rsidR="001A292D" w:rsidRPr="00AC0307">
        <w:rPr>
          <w:rFonts w:cs="Arial"/>
          <w:sz w:val="20"/>
          <w:szCs w:val="18"/>
        </w:rPr>
        <w:t xml:space="preserve"> selected for the </w:t>
      </w:r>
      <w:r w:rsidR="0034225D" w:rsidRPr="00AC0307">
        <w:rPr>
          <w:rFonts w:cs="Arial"/>
          <w:sz w:val="20"/>
          <w:szCs w:val="18"/>
        </w:rPr>
        <w:t xml:space="preserve">permeation </w:t>
      </w:r>
      <w:r w:rsidR="004B581F" w:rsidRPr="00AC0307">
        <w:rPr>
          <w:rFonts w:cs="Arial"/>
          <w:sz w:val="20"/>
          <w:szCs w:val="18"/>
        </w:rPr>
        <w:t>studies. TR</w:t>
      </w:r>
      <w:r w:rsidR="004B581F" w:rsidRPr="00AC0307">
        <w:rPr>
          <w:rFonts w:cs="Arial"/>
          <w:sz w:val="20"/>
          <w:szCs w:val="18"/>
          <w:vertAlign w:val="subscript"/>
        </w:rPr>
        <w:t xml:space="preserve">2 </w:t>
      </w:r>
      <w:r w:rsidR="004B581F" w:rsidRPr="00AC0307">
        <w:rPr>
          <w:rFonts w:cs="Arial"/>
          <w:sz w:val="20"/>
          <w:szCs w:val="18"/>
        </w:rPr>
        <w:t>has demonstrated 57 percent higher permeation compared to TR</w:t>
      </w:r>
      <w:r w:rsidR="004B581F" w:rsidRPr="00AC0307">
        <w:rPr>
          <w:rFonts w:cs="Arial"/>
          <w:sz w:val="20"/>
          <w:szCs w:val="18"/>
          <w:vertAlign w:val="subscript"/>
        </w:rPr>
        <w:t>14</w:t>
      </w:r>
      <w:r w:rsidR="004B581F" w:rsidRPr="00AC0307">
        <w:rPr>
          <w:rFonts w:cs="Arial"/>
          <w:sz w:val="20"/>
          <w:szCs w:val="18"/>
        </w:rPr>
        <w:t>, with an anomalous transport mechanism</w:t>
      </w:r>
      <w:r w:rsidR="004B581F" w:rsidRPr="00AC0307">
        <w:rPr>
          <w:rFonts w:cs="Arial"/>
          <w:sz w:val="20"/>
          <w:szCs w:val="18"/>
          <w:vertAlign w:val="subscript"/>
        </w:rPr>
        <w:t xml:space="preserve"> </w:t>
      </w:r>
      <w:r w:rsidR="004B581F" w:rsidRPr="00AC0307">
        <w:rPr>
          <w:rFonts w:cs="Arial"/>
          <w:sz w:val="20"/>
          <w:szCs w:val="18"/>
        </w:rPr>
        <w:t>and non-</w:t>
      </w:r>
      <w:proofErr w:type="spellStart"/>
      <w:r w:rsidR="004B581F" w:rsidRPr="00AC0307">
        <w:rPr>
          <w:rFonts w:cs="Arial"/>
          <w:sz w:val="20"/>
          <w:szCs w:val="18"/>
        </w:rPr>
        <w:t>Fickian</w:t>
      </w:r>
      <w:proofErr w:type="spellEnd"/>
      <w:r w:rsidR="004B581F" w:rsidRPr="00AC0307">
        <w:rPr>
          <w:rFonts w:cs="Arial"/>
          <w:sz w:val="20"/>
          <w:szCs w:val="18"/>
        </w:rPr>
        <w:t xml:space="preserve"> diffusion behavior</w:t>
      </w:r>
      <w:r w:rsidR="0034225D" w:rsidRPr="00AC0307">
        <w:rPr>
          <w:rFonts w:cs="Arial"/>
          <w:sz w:val="20"/>
          <w:szCs w:val="18"/>
        </w:rPr>
        <w:t>.</w:t>
      </w:r>
      <w:r w:rsidR="004B581F" w:rsidRPr="00AC0307">
        <w:rPr>
          <w:rFonts w:cs="Arial"/>
          <w:sz w:val="20"/>
          <w:szCs w:val="18"/>
        </w:rPr>
        <w:t xml:space="preserve"> Further</w:t>
      </w:r>
      <w:r w:rsidR="00E01B14" w:rsidRPr="00AC0307">
        <w:rPr>
          <w:rFonts w:cs="Arial"/>
          <w:sz w:val="20"/>
          <w:szCs w:val="18"/>
        </w:rPr>
        <w:t>,</w:t>
      </w:r>
      <w:r w:rsidR="004B581F" w:rsidRPr="00AC0307">
        <w:rPr>
          <w:rFonts w:cs="Arial"/>
          <w:sz w:val="20"/>
          <w:szCs w:val="18"/>
        </w:rPr>
        <w:t xml:space="preserve"> it is subjected to antifungal activity</w:t>
      </w:r>
      <w:r w:rsidR="00E01B14" w:rsidRPr="00AC0307">
        <w:rPr>
          <w:rFonts w:cs="Arial"/>
          <w:sz w:val="20"/>
          <w:szCs w:val="18"/>
        </w:rPr>
        <w:t>,</w:t>
      </w:r>
      <w:r w:rsidR="004B581F" w:rsidRPr="00AC0307">
        <w:rPr>
          <w:rFonts w:cs="Arial"/>
          <w:sz w:val="20"/>
          <w:szCs w:val="18"/>
        </w:rPr>
        <w:t xml:space="preserve"> where it has demonstrated </w:t>
      </w:r>
      <w:r w:rsidR="00E01B14" w:rsidRPr="00AC0307">
        <w:rPr>
          <w:rFonts w:cs="Arial"/>
          <w:sz w:val="20"/>
          <w:szCs w:val="18"/>
        </w:rPr>
        <w:t>a 20±0.9 mm zone of inhibition against Candida albicans</w:t>
      </w:r>
      <w:r w:rsidR="005849AF" w:rsidRPr="00AC0307">
        <w:rPr>
          <w:rFonts w:cs="Arial"/>
          <w:sz w:val="20"/>
          <w:szCs w:val="18"/>
        </w:rPr>
        <w:t xml:space="preserve"> in comparison with the marketed formulation</w:t>
      </w:r>
      <w:r w:rsidR="00587B24" w:rsidRPr="00AC0307">
        <w:rPr>
          <w:rFonts w:cs="Arial"/>
          <w:sz w:val="20"/>
          <w:szCs w:val="18"/>
        </w:rPr>
        <w:t>.</w:t>
      </w:r>
      <w:r w:rsidR="00E01B14" w:rsidRPr="00AC0307">
        <w:rPr>
          <w:rFonts w:cs="Arial"/>
          <w:sz w:val="20"/>
          <w:szCs w:val="18"/>
        </w:rPr>
        <w:t xml:space="preserve"> </w:t>
      </w:r>
      <w:r w:rsidR="00587B24" w:rsidRPr="00AC0307">
        <w:rPr>
          <w:rFonts w:cs="Arial"/>
          <w:sz w:val="20"/>
          <w:szCs w:val="18"/>
        </w:rPr>
        <w:t xml:space="preserve">The activity </w:t>
      </w:r>
      <w:r w:rsidR="00E01B14" w:rsidRPr="00AC0307">
        <w:rPr>
          <w:rFonts w:cs="Arial"/>
          <w:sz w:val="20"/>
          <w:szCs w:val="18"/>
        </w:rPr>
        <w:t xml:space="preserve">indicates effective </w:t>
      </w:r>
      <w:r w:rsidR="00587B24" w:rsidRPr="00AC0307">
        <w:rPr>
          <w:rFonts w:cs="Arial"/>
          <w:sz w:val="20"/>
          <w:szCs w:val="18"/>
        </w:rPr>
        <w:t>management of</w:t>
      </w:r>
      <w:r w:rsidR="00E01B14" w:rsidRPr="00AC0307">
        <w:rPr>
          <w:rFonts w:cs="Arial"/>
          <w:sz w:val="20"/>
          <w:szCs w:val="18"/>
        </w:rPr>
        <w:t xml:space="preserve"> antifungal growth</w:t>
      </w:r>
      <w:r w:rsidR="005849AF" w:rsidRPr="00AC0307">
        <w:rPr>
          <w:rFonts w:cs="Arial"/>
          <w:sz w:val="20"/>
          <w:szCs w:val="18"/>
        </w:rPr>
        <w:t>.</w:t>
      </w:r>
      <w:r w:rsidR="0034225D" w:rsidRPr="00AC0307">
        <w:rPr>
          <w:rFonts w:cs="Arial"/>
          <w:sz w:val="20"/>
          <w:szCs w:val="18"/>
        </w:rPr>
        <w:t xml:space="preserve"> </w:t>
      </w:r>
      <w:r w:rsidR="00A628D1" w:rsidRPr="00AC0307">
        <w:rPr>
          <w:rFonts w:cs="Arial"/>
          <w:sz w:val="20"/>
          <w:szCs w:val="18"/>
        </w:rPr>
        <w:t>T</w:t>
      </w:r>
      <w:r w:rsidR="0034225D" w:rsidRPr="00AC0307">
        <w:rPr>
          <w:rFonts w:cs="Arial"/>
          <w:sz w:val="20"/>
          <w:szCs w:val="18"/>
        </w:rPr>
        <w:t>her</w:t>
      </w:r>
      <w:r w:rsidR="00A628D1" w:rsidRPr="00AC0307">
        <w:rPr>
          <w:rFonts w:cs="Arial"/>
          <w:sz w:val="20"/>
          <w:szCs w:val="18"/>
        </w:rPr>
        <w:t>efore, it could be useful for transdermal delivery of CPO. Further studies should be conducted to support its efficacy claims by</w:t>
      </w:r>
      <w:r w:rsidR="008F775F" w:rsidRPr="00AC0307">
        <w:rPr>
          <w:rFonts w:cs="Arial"/>
          <w:sz w:val="20"/>
          <w:szCs w:val="18"/>
        </w:rPr>
        <w:t xml:space="preserve"> an</w:t>
      </w:r>
      <w:r w:rsidR="00A628D1" w:rsidRPr="00AC0307">
        <w:rPr>
          <w:rFonts w:cs="Arial"/>
          <w:sz w:val="20"/>
          <w:szCs w:val="18"/>
        </w:rPr>
        <w:t xml:space="preserve"> extended period of pharmacokinetics and pharmacodynamic</w:t>
      </w:r>
      <w:r w:rsidR="008F775F" w:rsidRPr="00AC0307">
        <w:rPr>
          <w:rFonts w:cs="Arial"/>
          <w:sz w:val="20"/>
          <w:szCs w:val="18"/>
        </w:rPr>
        <w:t>s</w:t>
      </w:r>
      <w:r w:rsidR="00A628D1" w:rsidRPr="00AC0307">
        <w:rPr>
          <w:rFonts w:cs="Arial"/>
          <w:sz w:val="20"/>
          <w:szCs w:val="18"/>
        </w:rPr>
        <w:t xml:space="preserve"> in animals.</w:t>
      </w:r>
    </w:p>
    <w:p w14:paraId="0DA73186" w14:textId="27016D17" w:rsidR="009C6943" w:rsidRDefault="00914DEA" w:rsidP="00914DEA">
      <w:pPr>
        <w:pStyle w:val="ListParagraph"/>
        <w:numPr>
          <w:ilvl w:val="0"/>
          <w:numId w:val="4"/>
        </w:numPr>
        <w:spacing w:line="240" w:lineRule="auto"/>
        <w:ind w:left="360"/>
        <w:jc w:val="both"/>
        <w:rPr>
          <w:rFonts w:cs="Arial"/>
          <w:sz w:val="22"/>
          <w:szCs w:val="20"/>
        </w:rPr>
      </w:pPr>
      <w:r w:rsidRPr="00914DEA">
        <w:rPr>
          <w:rFonts w:cs="Arial"/>
          <w:sz w:val="22"/>
          <w:szCs w:val="20"/>
        </w:rPr>
        <w:t>REFERENCES</w:t>
      </w:r>
    </w:p>
    <w:p w14:paraId="6090332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Jain, S., Patel, N., Shah, M. K., Khatri, P., &amp; Vora, N. (2017). Recent advances in lipid</w:t>
      </w:r>
      <w:r w:rsidRPr="00EC2628">
        <w:rPr>
          <w:rFonts w:eastAsiaTheme="majorEastAsia" w:cs="Arial"/>
          <w:sz w:val="20"/>
          <w:szCs w:val="20"/>
        </w:rPr>
        <w:noBreakHyphen/>
        <w:t xml:space="preserve">based vesicles and particulate carriers for topical and transdermal application. </w:t>
      </w:r>
      <w:r w:rsidRPr="00EC2628">
        <w:rPr>
          <w:rFonts w:eastAsiaTheme="majorEastAsia" w:cs="Arial"/>
          <w:i/>
          <w:iCs/>
          <w:sz w:val="20"/>
          <w:szCs w:val="20"/>
        </w:rPr>
        <w:t>Journal of Pharmaceutical Sciences, 106</w:t>
      </w:r>
      <w:r w:rsidRPr="00EC2628">
        <w:rPr>
          <w:rFonts w:eastAsiaTheme="majorEastAsia" w:cs="Arial"/>
          <w:sz w:val="20"/>
          <w:szCs w:val="20"/>
        </w:rPr>
        <w:t xml:space="preserve">(2), 423–445. </w:t>
      </w:r>
      <w:hyperlink r:id="rId15" w:history="1">
        <w:r w:rsidRPr="00EC2628">
          <w:rPr>
            <w:rStyle w:val="Hyperlink"/>
            <w:rFonts w:eastAsiaTheme="majorEastAsia" w:cs="Arial"/>
            <w:sz w:val="20"/>
            <w:szCs w:val="20"/>
          </w:rPr>
          <w:t>https://doi.org/10.1016/j.xphs.2016.10.001</w:t>
        </w:r>
      </w:hyperlink>
    </w:p>
    <w:p w14:paraId="170658C0"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Mucha</w:t>
      </w:r>
      <w:proofErr w:type="spellEnd"/>
      <w:r w:rsidRPr="00EC2628">
        <w:rPr>
          <w:rFonts w:eastAsiaTheme="majorEastAsia" w:cs="Arial"/>
          <w:sz w:val="20"/>
          <w:szCs w:val="20"/>
        </w:rPr>
        <w:t xml:space="preserve">, P., Borkowski, B., </w:t>
      </w:r>
      <w:proofErr w:type="spellStart"/>
      <w:r w:rsidRPr="00EC2628">
        <w:rPr>
          <w:rFonts w:eastAsiaTheme="majorEastAsia" w:cs="Arial"/>
          <w:sz w:val="20"/>
          <w:szCs w:val="20"/>
        </w:rPr>
        <w:t>Erkiert</w:t>
      </w:r>
      <w:r w:rsidRPr="00EC2628">
        <w:rPr>
          <w:rFonts w:eastAsiaTheme="majorEastAsia" w:cs="Arial"/>
          <w:sz w:val="20"/>
          <w:szCs w:val="20"/>
        </w:rPr>
        <w:noBreakHyphen/>
        <w:t>Polguj</w:t>
      </w:r>
      <w:proofErr w:type="spellEnd"/>
      <w:r w:rsidRPr="00EC2628">
        <w:rPr>
          <w:rFonts w:eastAsiaTheme="majorEastAsia" w:cs="Arial"/>
          <w:sz w:val="20"/>
          <w:szCs w:val="20"/>
        </w:rPr>
        <w:t xml:space="preserve">, A., &amp; </w:t>
      </w:r>
      <w:proofErr w:type="spellStart"/>
      <w:r w:rsidRPr="00EC2628">
        <w:rPr>
          <w:rFonts w:eastAsiaTheme="majorEastAsia" w:cs="Arial"/>
          <w:sz w:val="20"/>
          <w:szCs w:val="20"/>
        </w:rPr>
        <w:t>Budzisz</w:t>
      </w:r>
      <w:proofErr w:type="spellEnd"/>
      <w:r w:rsidRPr="00EC2628">
        <w:rPr>
          <w:rFonts w:eastAsiaTheme="majorEastAsia" w:cs="Arial"/>
          <w:sz w:val="20"/>
          <w:szCs w:val="20"/>
        </w:rPr>
        <w:t xml:space="preserve">, E. (2024). Ciclopirox and ciclopirox olamine: Antifungal agents in dermatology with expanding therapeutic potential. </w:t>
      </w:r>
      <w:r w:rsidRPr="00EC2628">
        <w:rPr>
          <w:rFonts w:eastAsiaTheme="majorEastAsia" w:cs="Arial"/>
          <w:i/>
          <w:iCs/>
          <w:sz w:val="20"/>
          <w:szCs w:val="20"/>
        </w:rPr>
        <w:t>Applied Sciences, 14</w:t>
      </w:r>
      <w:r w:rsidRPr="00EC2628">
        <w:rPr>
          <w:rFonts w:eastAsiaTheme="majorEastAsia" w:cs="Arial"/>
          <w:sz w:val="20"/>
          <w:szCs w:val="20"/>
        </w:rPr>
        <w:t xml:space="preserve">(24), 11859. </w:t>
      </w:r>
      <w:hyperlink r:id="rId16" w:history="1">
        <w:r w:rsidRPr="00EC2628">
          <w:rPr>
            <w:rStyle w:val="Hyperlink"/>
            <w:rFonts w:eastAsiaTheme="majorEastAsia" w:cs="Arial"/>
            <w:sz w:val="20"/>
            <w:szCs w:val="20"/>
          </w:rPr>
          <w:t>https://doi.org/10.3390/app142411859</w:t>
        </w:r>
      </w:hyperlink>
    </w:p>
    <w:p w14:paraId="69877678"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Helal</w:t>
      </w:r>
      <w:proofErr w:type="spellEnd"/>
      <w:r w:rsidRPr="00EC2628">
        <w:rPr>
          <w:rFonts w:eastAsiaTheme="majorEastAsia" w:cs="Arial"/>
          <w:sz w:val="20"/>
          <w:szCs w:val="20"/>
        </w:rPr>
        <w:t>, D. A., El</w:t>
      </w:r>
      <w:r w:rsidRPr="00EC2628">
        <w:rPr>
          <w:rFonts w:eastAsiaTheme="majorEastAsia" w:cs="Arial"/>
          <w:sz w:val="20"/>
          <w:szCs w:val="20"/>
        </w:rPr>
        <w:noBreakHyphen/>
      </w:r>
      <w:proofErr w:type="spellStart"/>
      <w:r w:rsidRPr="00EC2628">
        <w:rPr>
          <w:rFonts w:eastAsiaTheme="majorEastAsia" w:cs="Arial"/>
          <w:sz w:val="20"/>
          <w:szCs w:val="20"/>
        </w:rPr>
        <w:t>Rhman</w:t>
      </w:r>
      <w:proofErr w:type="spellEnd"/>
      <w:r w:rsidRPr="00EC2628">
        <w:rPr>
          <w:rFonts w:eastAsiaTheme="majorEastAsia" w:cs="Arial"/>
          <w:sz w:val="20"/>
          <w:szCs w:val="20"/>
        </w:rPr>
        <w:t>, D. A., Abdel</w:t>
      </w:r>
      <w:r w:rsidRPr="00EC2628">
        <w:rPr>
          <w:rFonts w:eastAsiaTheme="majorEastAsia" w:cs="Arial"/>
          <w:sz w:val="20"/>
          <w:szCs w:val="20"/>
        </w:rPr>
        <w:noBreakHyphen/>
        <w:t>Halim, S. A., &amp; El</w:t>
      </w:r>
      <w:r w:rsidRPr="00EC2628">
        <w:rPr>
          <w:rFonts w:eastAsiaTheme="majorEastAsia" w:cs="Arial"/>
          <w:sz w:val="20"/>
          <w:szCs w:val="20"/>
        </w:rPr>
        <w:noBreakHyphen/>
      </w:r>
      <w:proofErr w:type="spellStart"/>
      <w:r w:rsidRPr="00EC2628">
        <w:rPr>
          <w:rFonts w:eastAsiaTheme="majorEastAsia" w:cs="Arial"/>
          <w:sz w:val="20"/>
          <w:szCs w:val="20"/>
        </w:rPr>
        <w:t>Nabarawi</w:t>
      </w:r>
      <w:proofErr w:type="spellEnd"/>
      <w:r w:rsidRPr="00EC2628">
        <w:rPr>
          <w:rFonts w:eastAsiaTheme="majorEastAsia" w:cs="Arial"/>
          <w:sz w:val="20"/>
          <w:szCs w:val="20"/>
        </w:rPr>
        <w:t xml:space="preserve">, M. A. (2012). Formulation and evaluation of fluconazole topical gel. </w:t>
      </w:r>
      <w:r w:rsidRPr="00EC2628">
        <w:rPr>
          <w:rFonts w:eastAsiaTheme="majorEastAsia" w:cs="Arial"/>
          <w:i/>
          <w:iCs/>
          <w:sz w:val="20"/>
          <w:szCs w:val="20"/>
        </w:rPr>
        <w:t>International Journal of Pharmacy and Pharmaceutical Sciences, 4</w:t>
      </w:r>
      <w:r w:rsidRPr="00EC2628">
        <w:rPr>
          <w:rFonts w:eastAsiaTheme="majorEastAsia" w:cs="Arial"/>
          <w:sz w:val="20"/>
          <w:szCs w:val="20"/>
        </w:rPr>
        <w:t>(5), 176–183.</w:t>
      </w:r>
    </w:p>
    <w:p w14:paraId="0CD8C6B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Ameen, M. (2010). Epidemiology of superficial fungal infections. </w:t>
      </w:r>
      <w:r w:rsidRPr="00EC2628">
        <w:rPr>
          <w:rFonts w:eastAsiaTheme="majorEastAsia" w:cs="Arial"/>
          <w:i/>
          <w:iCs/>
          <w:sz w:val="20"/>
          <w:szCs w:val="20"/>
        </w:rPr>
        <w:t>Clinics in Dermatology, 28</w:t>
      </w:r>
      <w:r w:rsidRPr="00EC2628">
        <w:rPr>
          <w:rFonts w:eastAsiaTheme="majorEastAsia" w:cs="Arial"/>
          <w:sz w:val="20"/>
          <w:szCs w:val="20"/>
        </w:rPr>
        <w:t>(2), 197–201.</w:t>
      </w:r>
    </w:p>
    <w:p w14:paraId="734B39C2" w14:textId="57ED386F" w:rsidR="00914DEA" w:rsidRPr="00F77096" w:rsidRDefault="00914DEA" w:rsidP="00914DEA">
      <w:pPr>
        <w:numPr>
          <w:ilvl w:val="0"/>
          <w:numId w:val="6"/>
        </w:numPr>
        <w:ind w:left="360"/>
        <w:jc w:val="both"/>
        <w:rPr>
          <w:rStyle w:val="Hyperlink"/>
          <w:rFonts w:eastAsiaTheme="majorEastAsia" w:cs="Arial"/>
          <w:color w:val="000000" w:themeColor="text1"/>
          <w:sz w:val="20"/>
          <w:szCs w:val="20"/>
          <w:u w:val="none"/>
        </w:rPr>
      </w:pPr>
      <w:proofErr w:type="spellStart"/>
      <w:r w:rsidRPr="00EC2628">
        <w:rPr>
          <w:rFonts w:eastAsiaTheme="majorEastAsia" w:cs="Arial"/>
          <w:sz w:val="20"/>
          <w:szCs w:val="20"/>
        </w:rPr>
        <w:t>Saudagar</w:t>
      </w:r>
      <w:proofErr w:type="spellEnd"/>
      <w:r w:rsidRPr="00EC2628">
        <w:rPr>
          <w:rFonts w:eastAsiaTheme="majorEastAsia" w:cs="Arial"/>
          <w:sz w:val="20"/>
          <w:szCs w:val="20"/>
        </w:rPr>
        <w:t xml:space="preserve">, R. B., &amp; </w:t>
      </w:r>
      <w:proofErr w:type="spellStart"/>
      <w:r w:rsidRPr="00EC2628">
        <w:rPr>
          <w:rFonts w:eastAsiaTheme="majorEastAsia" w:cs="Arial"/>
          <w:sz w:val="20"/>
          <w:szCs w:val="20"/>
        </w:rPr>
        <w:t>Bornare</w:t>
      </w:r>
      <w:proofErr w:type="spellEnd"/>
      <w:r w:rsidRPr="00EC2628">
        <w:rPr>
          <w:rFonts w:eastAsiaTheme="majorEastAsia" w:cs="Arial"/>
          <w:sz w:val="20"/>
          <w:szCs w:val="20"/>
        </w:rPr>
        <w:t xml:space="preserve">, A. S. (2018). Formulation and development of nanostructured lipid carrier loaded </w:t>
      </w:r>
      <w:proofErr w:type="spellStart"/>
      <w:r w:rsidRPr="00EC2628">
        <w:rPr>
          <w:rFonts w:eastAsiaTheme="majorEastAsia" w:cs="Arial"/>
          <w:sz w:val="20"/>
          <w:szCs w:val="20"/>
        </w:rPr>
        <w:t>emulgel</w:t>
      </w:r>
      <w:proofErr w:type="spellEnd"/>
      <w:r w:rsidRPr="00EC2628">
        <w:rPr>
          <w:rFonts w:eastAsiaTheme="majorEastAsia" w:cs="Arial"/>
          <w:sz w:val="20"/>
          <w:szCs w:val="20"/>
        </w:rPr>
        <w:t xml:space="preserve"> of </w:t>
      </w:r>
      <w:proofErr w:type="spellStart"/>
      <w:r w:rsidRPr="00EC2628">
        <w:rPr>
          <w:rFonts w:eastAsiaTheme="majorEastAsia" w:cs="Arial"/>
          <w:sz w:val="20"/>
          <w:szCs w:val="20"/>
        </w:rPr>
        <w:t>ciclopirox</w:t>
      </w:r>
      <w:proofErr w:type="spellEnd"/>
      <w:r w:rsidRPr="00EC2628">
        <w:rPr>
          <w:rFonts w:eastAsiaTheme="majorEastAsia" w:cs="Arial"/>
          <w:sz w:val="20"/>
          <w:szCs w:val="20"/>
        </w:rPr>
        <w:t xml:space="preserve"> </w:t>
      </w:r>
      <w:proofErr w:type="spellStart"/>
      <w:r w:rsidRPr="00EC2628">
        <w:rPr>
          <w:rFonts w:eastAsiaTheme="majorEastAsia" w:cs="Arial"/>
          <w:sz w:val="20"/>
          <w:szCs w:val="20"/>
        </w:rPr>
        <w:t>olamine</w:t>
      </w:r>
      <w:proofErr w:type="spellEnd"/>
      <w:r w:rsidRPr="00EC2628">
        <w:rPr>
          <w:rFonts w:eastAsiaTheme="majorEastAsia" w:cs="Arial"/>
          <w:sz w:val="20"/>
          <w:szCs w:val="20"/>
        </w:rPr>
        <w:t xml:space="preserve">. </w:t>
      </w:r>
      <w:r w:rsidRPr="00EC2628">
        <w:rPr>
          <w:rFonts w:eastAsiaTheme="majorEastAsia" w:cs="Arial"/>
          <w:i/>
          <w:iCs/>
          <w:sz w:val="20"/>
          <w:szCs w:val="20"/>
        </w:rPr>
        <w:t>International Journal of Current Pharmaceutical Review and Research, 9</w:t>
      </w:r>
      <w:r w:rsidRPr="00EC2628">
        <w:rPr>
          <w:rFonts w:eastAsiaTheme="majorEastAsia" w:cs="Arial"/>
          <w:sz w:val="20"/>
          <w:szCs w:val="20"/>
        </w:rPr>
        <w:t xml:space="preserve">(6), 82–88. Retrieved from </w:t>
      </w:r>
      <w:hyperlink r:id="rId17" w:history="1">
        <w:r w:rsidRPr="00605EDB">
          <w:rPr>
            <w:rStyle w:val="Hyperlink"/>
            <w:rFonts w:eastAsiaTheme="majorEastAsia" w:cs="Arial"/>
            <w:sz w:val="20"/>
            <w:szCs w:val="20"/>
            <w:highlight w:val="yellow"/>
          </w:rPr>
          <w:t>http://www.ijcpr.com</w:t>
        </w:r>
      </w:hyperlink>
    </w:p>
    <w:p w14:paraId="429AF01D" w14:textId="2F5FA50A" w:rsidR="00F77096" w:rsidRPr="000E2E58" w:rsidRDefault="00F77096" w:rsidP="00F77096">
      <w:pPr>
        <w:ind w:left="360"/>
        <w:jc w:val="both"/>
        <w:rPr>
          <w:rFonts w:eastAsiaTheme="majorEastAsia" w:cs="Arial"/>
          <w:sz w:val="20"/>
          <w:szCs w:val="20"/>
          <w:lang w:val="en-GB"/>
        </w:rPr>
      </w:pPr>
      <w:r w:rsidRPr="000E2E58">
        <w:rPr>
          <w:rFonts w:eastAsiaTheme="majorEastAsia" w:cs="Arial"/>
          <w:i/>
          <w:iCs/>
          <w:color w:val="FF0000"/>
          <w:szCs w:val="24"/>
          <w:highlight w:val="yellow"/>
        </w:rPr>
        <w:t>Note:</w:t>
      </w:r>
      <w:r w:rsidR="000E2E58" w:rsidRPr="000E2E58">
        <w:rPr>
          <w:rFonts w:ascii="Segoe UI" w:hAnsi="Segoe UI" w:cs="Segoe UI"/>
          <w:color w:val="404040"/>
          <w:highlight w:val="yellow"/>
          <w:shd w:val="clear" w:color="auto" w:fill="FFFFFF"/>
        </w:rPr>
        <w:t xml:space="preserve"> </w:t>
      </w:r>
      <w:r w:rsidR="000E2E58" w:rsidRPr="000E2E58">
        <w:rPr>
          <w:rFonts w:asciiTheme="majorBidi" w:hAnsiTheme="majorBidi" w:cstheme="majorBidi"/>
          <w:color w:val="404040"/>
          <w:highlight w:val="yellow"/>
          <w:shd w:val="clear" w:color="auto" w:fill="FFFFFF"/>
        </w:rPr>
        <w:t>Reference 5 lacks a DOI; instead, the URL has been provided.</w:t>
      </w:r>
    </w:p>
    <w:p w14:paraId="27F3AFEE"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Subissi</w:t>
      </w:r>
      <w:proofErr w:type="spellEnd"/>
      <w:r w:rsidRPr="00EC2628">
        <w:rPr>
          <w:rFonts w:eastAsiaTheme="majorEastAsia" w:cs="Arial"/>
          <w:sz w:val="20"/>
          <w:szCs w:val="20"/>
        </w:rPr>
        <w:t xml:space="preserve">, A., Monti, D., </w:t>
      </w:r>
      <w:proofErr w:type="spellStart"/>
      <w:r w:rsidRPr="00EC2628">
        <w:rPr>
          <w:rFonts w:eastAsiaTheme="majorEastAsia" w:cs="Arial"/>
          <w:sz w:val="20"/>
          <w:szCs w:val="20"/>
        </w:rPr>
        <w:t>Togni</w:t>
      </w:r>
      <w:proofErr w:type="spellEnd"/>
      <w:r w:rsidRPr="00EC2628">
        <w:rPr>
          <w:rFonts w:eastAsiaTheme="majorEastAsia" w:cs="Arial"/>
          <w:sz w:val="20"/>
          <w:szCs w:val="20"/>
        </w:rPr>
        <w:t xml:space="preserve">, G., &amp; </w:t>
      </w:r>
      <w:proofErr w:type="spellStart"/>
      <w:r w:rsidRPr="00EC2628">
        <w:rPr>
          <w:rFonts w:eastAsiaTheme="majorEastAsia" w:cs="Arial"/>
          <w:sz w:val="20"/>
          <w:szCs w:val="20"/>
        </w:rPr>
        <w:t>Mailland</w:t>
      </w:r>
      <w:proofErr w:type="spellEnd"/>
      <w:r w:rsidRPr="00EC2628">
        <w:rPr>
          <w:rFonts w:eastAsiaTheme="majorEastAsia" w:cs="Arial"/>
          <w:sz w:val="20"/>
          <w:szCs w:val="20"/>
        </w:rPr>
        <w:t xml:space="preserve">, F. (2010). Ciclopirox: Recent nonclinical and clinical data relevant to its use as a topical antimycotic agent. </w:t>
      </w:r>
      <w:r w:rsidRPr="00EC2628">
        <w:rPr>
          <w:rFonts w:eastAsiaTheme="majorEastAsia" w:cs="Arial"/>
          <w:i/>
          <w:iCs/>
          <w:sz w:val="20"/>
          <w:szCs w:val="20"/>
        </w:rPr>
        <w:t>Drugs, 70</w:t>
      </w:r>
      <w:r w:rsidRPr="00EC2628">
        <w:rPr>
          <w:rFonts w:eastAsiaTheme="majorEastAsia" w:cs="Arial"/>
          <w:sz w:val="20"/>
          <w:szCs w:val="20"/>
        </w:rPr>
        <w:t xml:space="preserve">(16), 2133–2152. </w:t>
      </w:r>
      <w:hyperlink r:id="rId18" w:history="1">
        <w:r w:rsidRPr="00EC2628">
          <w:rPr>
            <w:rStyle w:val="Hyperlink"/>
            <w:rFonts w:eastAsiaTheme="majorEastAsia" w:cs="Arial"/>
            <w:sz w:val="20"/>
            <w:szCs w:val="20"/>
          </w:rPr>
          <w:t>https://doi.org/10.2165/11538110-000000000-00000</w:t>
        </w:r>
      </w:hyperlink>
    </w:p>
    <w:p w14:paraId="4AB0F907"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Minden, M. D., </w:t>
      </w:r>
      <w:proofErr w:type="spellStart"/>
      <w:r w:rsidRPr="00EC2628">
        <w:rPr>
          <w:rFonts w:eastAsiaTheme="majorEastAsia" w:cs="Arial"/>
          <w:sz w:val="20"/>
          <w:szCs w:val="20"/>
        </w:rPr>
        <w:t>Hogge</w:t>
      </w:r>
      <w:proofErr w:type="spellEnd"/>
      <w:r w:rsidRPr="00EC2628">
        <w:rPr>
          <w:rFonts w:eastAsiaTheme="majorEastAsia" w:cs="Arial"/>
          <w:sz w:val="20"/>
          <w:szCs w:val="20"/>
        </w:rPr>
        <w:t xml:space="preserve">, D. E., Weir, S. J., Kasper, J., Webster, D. A., Patton, L., et al. (2013). Oral ciclopirox olamine displays biological activity in a phase I study in patients with advanced hematologic malignancies. </w:t>
      </w:r>
      <w:r w:rsidRPr="00EC2628">
        <w:rPr>
          <w:rFonts w:eastAsiaTheme="majorEastAsia" w:cs="Arial"/>
          <w:i/>
          <w:iCs/>
          <w:sz w:val="20"/>
          <w:szCs w:val="20"/>
        </w:rPr>
        <w:t>American Journal of Hematology.</w:t>
      </w:r>
      <w:r w:rsidRPr="00EC2628">
        <w:rPr>
          <w:rFonts w:eastAsiaTheme="majorEastAsia" w:cs="Arial"/>
          <w:sz w:val="20"/>
          <w:szCs w:val="20"/>
        </w:rPr>
        <w:t xml:space="preserve"> </w:t>
      </w:r>
      <w:hyperlink r:id="rId19" w:history="1">
        <w:r w:rsidRPr="00EC2628">
          <w:rPr>
            <w:rStyle w:val="Hyperlink"/>
            <w:rFonts w:eastAsiaTheme="majorEastAsia" w:cs="Arial"/>
            <w:sz w:val="20"/>
            <w:szCs w:val="20"/>
          </w:rPr>
          <w:t>https://doi.org/10.1002/ajh.23640</w:t>
        </w:r>
      </w:hyperlink>
    </w:p>
    <w:p w14:paraId="024E6AE5"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Arunkumar</w:t>
      </w:r>
      <w:proofErr w:type="spellEnd"/>
      <w:r w:rsidRPr="00EC2628">
        <w:rPr>
          <w:rFonts w:eastAsiaTheme="majorEastAsia" w:cs="Arial"/>
          <w:sz w:val="20"/>
          <w:szCs w:val="20"/>
        </w:rPr>
        <w:t xml:space="preserve">, S.,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&amp; Murthy, S. N. (2018). Effect of terpenes on transdermal iontophoretic delivery of diclofenac potassium under constant voltage. </w:t>
      </w:r>
      <w:r w:rsidRPr="00EC2628">
        <w:rPr>
          <w:rFonts w:eastAsiaTheme="majorEastAsia" w:cs="Arial"/>
          <w:i/>
          <w:iCs/>
          <w:sz w:val="20"/>
          <w:szCs w:val="20"/>
        </w:rPr>
        <w:t>Pharmaceutical Development and Technology, 23</w:t>
      </w:r>
      <w:r w:rsidRPr="00EC2628">
        <w:rPr>
          <w:rFonts w:eastAsiaTheme="majorEastAsia" w:cs="Arial"/>
          <w:sz w:val="20"/>
          <w:szCs w:val="20"/>
        </w:rPr>
        <w:t xml:space="preserve">(8), 806–814. </w:t>
      </w:r>
      <w:hyperlink r:id="rId20" w:history="1">
        <w:r w:rsidRPr="00EC2628">
          <w:rPr>
            <w:rStyle w:val="Hyperlink"/>
            <w:rFonts w:eastAsiaTheme="majorEastAsia" w:cs="Arial"/>
            <w:sz w:val="20"/>
            <w:szCs w:val="20"/>
          </w:rPr>
          <w:t>https://doi.org/10.1080/10837450.2017.1369110</w:t>
        </w:r>
      </w:hyperlink>
    </w:p>
    <w:p w14:paraId="1567958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lastRenderedPageBreak/>
        <w:t xml:space="preserve">Kaur, I. P., &amp; </w:t>
      </w:r>
      <w:proofErr w:type="spellStart"/>
      <w:r w:rsidRPr="00EC2628">
        <w:rPr>
          <w:rFonts w:eastAsiaTheme="majorEastAsia" w:cs="Arial"/>
          <w:sz w:val="20"/>
          <w:szCs w:val="20"/>
        </w:rPr>
        <w:t>Kakkar</w:t>
      </w:r>
      <w:proofErr w:type="spellEnd"/>
      <w:r w:rsidRPr="00EC2628">
        <w:rPr>
          <w:rFonts w:eastAsiaTheme="majorEastAsia" w:cs="Arial"/>
          <w:sz w:val="20"/>
          <w:szCs w:val="20"/>
        </w:rPr>
        <w:t xml:space="preserve">, S. (2010). Topical delivery of antifungal agents. </w:t>
      </w:r>
      <w:r w:rsidRPr="00EC2628">
        <w:rPr>
          <w:rFonts w:eastAsiaTheme="majorEastAsia" w:cs="Arial"/>
          <w:i/>
          <w:iCs/>
          <w:sz w:val="20"/>
          <w:szCs w:val="20"/>
        </w:rPr>
        <w:t>Expert Opinion on Drug Delivery, 7</w:t>
      </w:r>
      <w:r w:rsidRPr="00EC2628">
        <w:rPr>
          <w:rFonts w:eastAsiaTheme="majorEastAsia" w:cs="Arial"/>
          <w:sz w:val="20"/>
          <w:szCs w:val="20"/>
        </w:rPr>
        <w:t>(11), 1303–1327.</w:t>
      </w:r>
    </w:p>
    <w:p w14:paraId="41DF4630"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Tran, T. T. D., &amp; Tran, P. H. L. (2019). Controlled release film forming systems in drug delivery: The potential for efficient drug delivery. </w:t>
      </w:r>
      <w:r w:rsidRPr="00EC2628">
        <w:rPr>
          <w:rFonts w:eastAsiaTheme="majorEastAsia" w:cs="Arial"/>
          <w:i/>
          <w:iCs/>
          <w:sz w:val="20"/>
          <w:szCs w:val="20"/>
        </w:rPr>
        <w:t>Pharmaceutics, 11</w:t>
      </w:r>
      <w:r w:rsidRPr="00EC2628">
        <w:rPr>
          <w:rFonts w:eastAsiaTheme="majorEastAsia" w:cs="Arial"/>
          <w:sz w:val="20"/>
          <w:szCs w:val="20"/>
        </w:rPr>
        <w:t xml:space="preserve">(6), 290. </w:t>
      </w:r>
      <w:hyperlink r:id="rId21" w:history="1">
        <w:r w:rsidRPr="00EC2628">
          <w:rPr>
            <w:rStyle w:val="Hyperlink"/>
            <w:rFonts w:eastAsiaTheme="majorEastAsia" w:cs="Arial"/>
            <w:sz w:val="20"/>
            <w:szCs w:val="20"/>
          </w:rPr>
          <w:t>https://doi.org/10.3390/pharmaceutics11060290</w:t>
        </w:r>
      </w:hyperlink>
    </w:p>
    <w:p w14:paraId="2D94857E"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Lind, M., Nielsen, K. T., </w:t>
      </w:r>
      <w:proofErr w:type="spellStart"/>
      <w:r w:rsidRPr="00EC2628">
        <w:rPr>
          <w:rFonts w:eastAsiaTheme="majorEastAsia" w:cs="Arial"/>
          <w:sz w:val="20"/>
          <w:szCs w:val="20"/>
        </w:rPr>
        <w:t>Schefe</w:t>
      </w:r>
      <w:proofErr w:type="spellEnd"/>
      <w:r w:rsidRPr="00EC2628">
        <w:rPr>
          <w:rFonts w:eastAsiaTheme="majorEastAsia" w:cs="Arial"/>
          <w:sz w:val="20"/>
          <w:szCs w:val="20"/>
        </w:rPr>
        <w:t xml:space="preserve">, L. H., </w:t>
      </w:r>
      <w:proofErr w:type="spellStart"/>
      <w:r w:rsidRPr="00EC2628">
        <w:rPr>
          <w:rFonts w:eastAsiaTheme="majorEastAsia" w:cs="Arial"/>
          <w:sz w:val="20"/>
          <w:szCs w:val="20"/>
        </w:rPr>
        <w:t>Nørremark</w:t>
      </w:r>
      <w:proofErr w:type="spellEnd"/>
      <w:r w:rsidRPr="00EC2628">
        <w:rPr>
          <w:rFonts w:eastAsiaTheme="majorEastAsia" w:cs="Arial"/>
          <w:sz w:val="20"/>
          <w:szCs w:val="20"/>
        </w:rPr>
        <w:t xml:space="preserve">, K., Eriksson, A. H., </w:t>
      </w:r>
      <w:proofErr w:type="spellStart"/>
      <w:r w:rsidRPr="00EC2628">
        <w:rPr>
          <w:rFonts w:eastAsiaTheme="majorEastAsia" w:cs="Arial"/>
          <w:sz w:val="20"/>
          <w:szCs w:val="20"/>
        </w:rPr>
        <w:t>Norsgaard</w:t>
      </w:r>
      <w:proofErr w:type="spellEnd"/>
      <w:r w:rsidRPr="00EC2628">
        <w:rPr>
          <w:rFonts w:eastAsiaTheme="majorEastAsia" w:cs="Arial"/>
          <w:sz w:val="20"/>
          <w:szCs w:val="20"/>
        </w:rPr>
        <w:t xml:space="preserve">, H., Pedersen, B. T., &amp; </w:t>
      </w:r>
      <w:proofErr w:type="spellStart"/>
      <w:r w:rsidRPr="00EC2628">
        <w:rPr>
          <w:rFonts w:eastAsiaTheme="majorEastAsia" w:cs="Arial"/>
          <w:sz w:val="20"/>
          <w:szCs w:val="20"/>
        </w:rPr>
        <w:t>Petersson</w:t>
      </w:r>
      <w:proofErr w:type="spellEnd"/>
      <w:r w:rsidRPr="00EC2628">
        <w:rPr>
          <w:rFonts w:eastAsiaTheme="majorEastAsia" w:cs="Arial"/>
          <w:sz w:val="20"/>
          <w:szCs w:val="20"/>
        </w:rPr>
        <w:t xml:space="preserve">, K. (2016). Supersaturation of calcipotriene and betamethasone dipropionate in a novel aerosol foam formulation for topical treatment of psoriasis provides enhanced bioavailability of the active ingredients. </w:t>
      </w:r>
      <w:r w:rsidRPr="00EC2628">
        <w:rPr>
          <w:rFonts w:eastAsiaTheme="majorEastAsia" w:cs="Arial"/>
          <w:i/>
          <w:iCs/>
          <w:sz w:val="20"/>
          <w:szCs w:val="20"/>
        </w:rPr>
        <w:t>Dermatology and Therapy, 6</w:t>
      </w:r>
      <w:r w:rsidRPr="00EC2628">
        <w:rPr>
          <w:rFonts w:eastAsiaTheme="majorEastAsia" w:cs="Arial"/>
          <w:sz w:val="20"/>
          <w:szCs w:val="20"/>
        </w:rPr>
        <w:t xml:space="preserve">(3), 413–425. </w:t>
      </w:r>
      <w:hyperlink r:id="rId22" w:history="1">
        <w:r w:rsidRPr="00EC2628">
          <w:rPr>
            <w:rStyle w:val="Hyperlink"/>
            <w:rFonts w:eastAsiaTheme="majorEastAsia" w:cs="Arial"/>
            <w:sz w:val="20"/>
            <w:szCs w:val="20"/>
          </w:rPr>
          <w:t>https://doi.org/10.1007/s13555-016-0125-6</w:t>
        </w:r>
      </w:hyperlink>
    </w:p>
    <w:p w14:paraId="35D1F563"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McAuley, W. J., &amp; Caserta, F. (2015). Film</w:t>
      </w:r>
      <w:r w:rsidRPr="00EC2628">
        <w:rPr>
          <w:rFonts w:eastAsiaTheme="majorEastAsia" w:cs="Arial"/>
          <w:sz w:val="20"/>
          <w:szCs w:val="20"/>
        </w:rPr>
        <w:noBreakHyphen/>
        <w:t xml:space="preserve">forming and heated systems. In R. F. Donnelly &amp; T. R. R. Singh (Eds.), </w:t>
      </w:r>
      <w:r w:rsidRPr="00EC2628">
        <w:rPr>
          <w:rFonts w:eastAsiaTheme="majorEastAsia" w:cs="Arial"/>
          <w:i/>
          <w:iCs/>
          <w:sz w:val="20"/>
          <w:szCs w:val="20"/>
        </w:rPr>
        <w:t>Novel delivery systems for transdermal and intradermal drug delivery</w:t>
      </w:r>
      <w:r w:rsidRPr="00EC2628">
        <w:rPr>
          <w:rFonts w:eastAsiaTheme="majorEastAsia" w:cs="Arial"/>
          <w:sz w:val="20"/>
          <w:szCs w:val="20"/>
        </w:rPr>
        <w:t xml:space="preserve"> (Vol. 15, pp. 97–124). John Wiley and Sons.</w:t>
      </w:r>
    </w:p>
    <w:p w14:paraId="52BF9CC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Milinković</w:t>
      </w:r>
      <w:proofErr w:type="spellEnd"/>
      <w:r w:rsidRPr="00EC2628">
        <w:rPr>
          <w:rFonts w:eastAsiaTheme="majorEastAsia" w:cs="Arial"/>
          <w:sz w:val="20"/>
          <w:szCs w:val="20"/>
        </w:rPr>
        <w:t xml:space="preserve">, S., &amp; </w:t>
      </w:r>
      <w:proofErr w:type="spellStart"/>
      <w:r w:rsidRPr="00EC2628">
        <w:rPr>
          <w:rFonts w:eastAsiaTheme="majorEastAsia" w:cs="Arial"/>
          <w:sz w:val="20"/>
          <w:szCs w:val="20"/>
        </w:rPr>
        <w:t>Đekić</w:t>
      </w:r>
      <w:proofErr w:type="spellEnd"/>
      <w:r w:rsidRPr="00EC2628">
        <w:rPr>
          <w:rFonts w:eastAsiaTheme="majorEastAsia" w:cs="Arial"/>
          <w:sz w:val="20"/>
          <w:szCs w:val="20"/>
        </w:rPr>
        <w:t>, L. (2025). Film</w:t>
      </w:r>
      <w:r w:rsidRPr="00EC2628">
        <w:rPr>
          <w:rFonts w:eastAsiaTheme="majorEastAsia" w:cs="Arial"/>
          <w:sz w:val="20"/>
          <w:szCs w:val="20"/>
        </w:rPr>
        <w:noBreakHyphen/>
        <w:t xml:space="preserve">forming solutions for cutaneous application: Current challenges and future directions in formulation design and characterization framework. </w:t>
      </w:r>
      <w:r w:rsidRPr="00EC2628">
        <w:rPr>
          <w:rFonts w:eastAsiaTheme="majorEastAsia" w:cs="Arial"/>
          <w:i/>
          <w:iCs/>
          <w:sz w:val="20"/>
          <w:szCs w:val="20"/>
        </w:rPr>
        <w:t>Journal of Drug Delivery Science and Technology</w:t>
      </w:r>
      <w:r w:rsidRPr="00EC2628">
        <w:rPr>
          <w:rFonts w:eastAsiaTheme="majorEastAsia" w:cs="Arial"/>
          <w:sz w:val="20"/>
          <w:szCs w:val="20"/>
        </w:rPr>
        <w:t>. Article 106863.</w:t>
      </w:r>
    </w:p>
    <w:p w14:paraId="1BEF230A"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Ranade, S., Bajaj, A., </w:t>
      </w:r>
      <w:proofErr w:type="spellStart"/>
      <w:r w:rsidRPr="00EC2628">
        <w:rPr>
          <w:rFonts w:eastAsiaTheme="majorEastAsia" w:cs="Arial"/>
          <w:sz w:val="20"/>
          <w:szCs w:val="20"/>
        </w:rPr>
        <w:t>Londhe</w:t>
      </w:r>
      <w:proofErr w:type="spellEnd"/>
      <w:r w:rsidRPr="00EC2628">
        <w:rPr>
          <w:rFonts w:eastAsiaTheme="majorEastAsia" w:cs="Arial"/>
          <w:sz w:val="20"/>
          <w:szCs w:val="20"/>
        </w:rPr>
        <w:t xml:space="preserve">, V., et al. (2017). Fabrication of topical metered dose film forming sprays for pain management. </w:t>
      </w:r>
      <w:r w:rsidRPr="00EC2628">
        <w:rPr>
          <w:rFonts w:eastAsiaTheme="majorEastAsia" w:cs="Arial"/>
          <w:i/>
          <w:iCs/>
          <w:sz w:val="20"/>
          <w:szCs w:val="20"/>
        </w:rPr>
        <w:t>European Journal of Pharmaceutical Sciences, 100</w:t>
      </w:r>
      <w:r w:rsidRPr="00EC2628">
        <w:rPr>
          <w:rFonts w:eastAsiaTheme="majorEastAsia" w:cs="Arial"/>
          <w:sz w:val="20"/>
          <w:szCs w:val="20"/>
        </w:rPr>
        <w:t xml:space="preserve">, 132–141. </w:t>
      </w:r>
      <w:hyperlink r:id="rId23" w:history="1">
        <w:r w:rsidRPr="00EC2628">
          <w:rPr>
            <w:rStyle w:val="Hyperlink"/>
            <w:rFonts w:eastAsiaTheme="majorEastAsia" w:cs="Arial"/>
            <w:sz w:val="20"/>
            <w:szCs w:val="20"/>
          </w:rPr>
          <w:t>https://doi.org/10.1016/j.ejps.2017.01.004</w:t>
        </w:r>
      </w:hyperlink>
    </w:p>
    <w:p w14:paraId="402003CF"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Kathe, K., &amp; </w:t>
      </w:r>
      <w:proofErr w:type="spellStart"/>
      <w:r w:rsidRPr="00EC2628">
        <w:rPr>
          <w:rFonts w:eastAsiaTheme="majorEastAsia" w:cs="Arial"/>
          <w:sz w:val="20"/>
          <w:szCs w:val="20"/>
        </w:rPr>
        <w:t>Kathpalia</w:t>
      </w:r>
      <w:proofErr w:type="spellEnd"/>
      <w:r w:rsidRPr="00EC2628">
        <w:rPr>
          <w:rFonts w:eastAsiaTheme="majorEastAsia" w:cs="Arial"/>
          <w:sz w:val="20"/>
          <w:szCs w:val="20"/>
        </w:rPr>
        <w:t xml:space="preserve">, H. (2017). Film forming systems for topical and transdermal drug delivery. </w:t>
      </w:r>
      <w:r w:rsidRPr="00EC2628">
        <w:rPr>
          <w:rFonts w:eastAsiaTheme="majorEastAsia" w:cs="Arial"/>
          <w:i/>
          <w:iCs/>
          <w:sz w:val="20"/>
          <w:szCs w:val="20"/>
        </w:rPr>
        <w:t>Asian Journal of Pharmaceutical Sciences, 12</w:t>
      </w:r>
      <w:r w:rsidRPr="00EC2628">
        <w:rPr>
          <w:rFonts w:eastAsiaTheme="majorEastAsia" w:cs="Arial"/>
          <w:sz w:val="20"/>
          <w:szCs w:val="20"/>
        </w:rPr>
        <w:t xml:space="preserve">(6), 487–497. </w:t>
      </w:r>
      <w:hyperlink r:id="rId24" w:history="1">
        <w:r w:rsidRPr="00EC2628">
          <w:rPr>
            <w:rStyle w:val="Hyperlink"/>
            <w:rFonts w:eastAsiaTheme="majorEastAsia" w:cs="Arial"/>
            <w:sz w:val="20"/>
            <w:szCs w:val="20"/>
          </w:rPr>
          <w:t>https://doi.org/10.1016/j.ajps.2017.07.004</w:t>
        </w:r>
      </w:hyperlink>
    </w:p>
    <w:p w14:paraId="273EF97D" w14:textId="77777777" w:rsidR="00914DEA" w:rsidRPr="00F77096" w:rsidRDefault="00914DEA" w:rsidP="00914DEA">
      <w:pPr>
        <w:numPr>
          <w:ilvl w:val="0"/>
          <w:numId w:val="6"/>
        </w:numPr>
        <w:ind w:left="360"/>
        <w:jc w:val="both"/>
        <w:rPr>
          <w:rFonts w:eastAsiaTheme="majorEastAsia" w:cs="Arial"/>
          <w:sz w:val="20"/>
          <w:szCs w:val="20"/>
          <w:highlight w:val="yellow"/>
        </w:rPr>
      </w:pPr>
      <w:r w:rsidRPr="00F77096">
        <w:rPr>
          <w:rFonts w:eastAsiaTheme="majorEastAsia" w:cs="Arial"/>
          <w:sz w:val="20"/>
          <w:szCs w:val="20"/>
          <w:highlight w:val="yellow"/>
        </w:rPr>
        <w:t xml:space="preserve">Frederiksen, K., Guy, R. H., &amp; </w:t>
      </w:r>
      <w:proofErr w:type="spellStart"/>
      <w:r w:rsidRPr="00F77096">
        <w:rPr>
          <w:rFonts w:eastAsiaTheme="majorEastAsia" w:cs="Arial"/>
          <w:sz w:val="20"/>
          <w:szCs w:val="20"/>
          <w:highlight w:val="yellow"/>
        </w:rPr>
        <w:t>Petersson</w:t>
      </w:r>
      <w:proofErr w:type="spellEnd"/>
      <w:r w:rsidRPr="00F77096">
        <w:rPr>
          <w:rFonts w:eastAsiaTheme="majorEastAsia" w:cs="Arial"/>
          <w:sz w:val="20"/>
          <w:szCs w:val="20"/>
          <w:highlight w:val="yellow"/>
        </w:rPr>
        <w:t>, K. (2015). Formulation considerations in the design of topical, polymeric film</w:t>
      </w:r>
      <w:r w:rsidRPr="00F77096">
        <w:rPr>
          <w:rFonts w:eastAsiaTheme="majorEastAsia" w:cs="Arial"/>
          <w:sz w:val="20"/>
          <w:szCs w:val="20"/>
          <w:highlight w:val="yellow"/>
        </w:rPr>
        <w:noBreakHyphen/>
        <w:t xml:space="preserve">forming systems for sustained drug delivery to the skin. </w:t>
      </w:r>
      <w:r w:rsidRPr="00F77096">
        <w:rPr>
          <w:rFonts w:eastAsiaTheme="majorEastAsia" w:cs="Arial"/>
          <w:i/>
          <w:iCs/>
          <w:sz w:val="20"/>
          <w:szCs w:val="20"/>
          <w:highlight w:val="yellow"/>
        </w:rPr>
        <w:t>European Journal of Pharmaceutics and Biopharmaceutics, 91</w:t>
      </w:r>
      <w:r w:rsidRPr="00F77096">
        <w:rPr>
          <w:rFonts w:eastAsiaTheme="majorEastAsia" w:cs="Arial"/>
          <w:sz w:val="20"/>
          <w:szCs w:val="20"/>
          <w:highlight w:val="yellow"/>
        </w:rPr>
        <w:t xml:space="preserve">, 9–15. </w:t>
      </w:r>
      <w:hyperlink r:id="rId25" w:history="1">
        <w:r w:rsidRPr="00F77096">
          <w:rPr>
            <w:rStyle w:val="Hyperlink"/>
            <w:rFonts w:eastAsiaTheme="majorEastAsia" w:cs="Arial"/>
            <w:sz w:val="20"/>
            <w:szCs w:val="20"/>
            <w:highlight w:val="yellow"/>
          </w:rPr>
          <w:t>https://doi.org/10.1016/j.ejpb.2015.01.002</w:t>
        </w:r>
      </w:hyperlink>
    </w:p>
    <w:p w14:paraId="35F5E95B"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Frederiksen, K., Guy, R. H., &amp; </w:t>
      </w:r>
      <w:proofErr w:type="spellStart"/>
      <w:r w:rsidRPr="00EC2628">
        <w:rPr>
          <w:rFonts w:eastAsiaTheme="majorEastAsia" w:cs="Arial"/>
          <w:sz w:val="20"/>
          <w:szCs w:val="20"/>
        </w:rPr>
        <w:t>Petersson</w:t>
      </w:r>
      <w:proofErr w:type="spellEnd"/>
      <w:r w:rsidRPr="00EC2628">
        <w:rPr>
          <w:rFonts w:eastAsiaTheme="majorEastAsia" w:cs="Arial"/>
          <w:sz w:val="20"/>
          <w:szCs w:val="20"/>
        </w:rPr>
        <w:t>, K. (2015). Formulation considerations in the design of topical, polymeric film</w:t>
      </w:r>
      <w:r w:rsidRPr="00EC2628">
        <w:rPr>
          <w:rFonts w:eastAsiaTheme="majorEastAsia" w:cs="Arial"/>
          <w:sz w:val="20"/>
          <w:szCs w:val="20"/>
        </w:rPr>
        <w:noBreakHyphen/>
        <w:t xml:space="preserve">forming systems for sustained drug delivery to the skin. </w:t>
      </w:r>
      <w:r w:rsidRPr="00EC2628">
        <w:rPr>
          <w:rFonts w:eastAsiaTheme="majorEastAsia" w:cs="Arial"/>
          <w:i/>
          <w:iCs/>
          <w:sz w:val="20"/>
          <w:szCs w:val="20"/>
        </w:rPr>
        <w:t>European Journal of Pharmaceutics and Biopharmaceutics, 91</w:t>
      </w:r>
      <w:r w:rsidRPr="00EC2628">
        <w:rPr>
          <w:rFonts w:eastAsiaTheme="majorEastAsia" w:cs="Arial"/>
          <w:sz w:val="20"/>
          <w:szCs w:val="20"/>
        </w:rPr>
        <w:t xml:space="preserve">, 9–15. </w:t>
      </w:r>
      <w:hyperlink r:id="rId26" w:history="1">
        <w:r w:rsidRPr="00EC2628">
          <w:rPr>
            <w:rStyle w:val="Hyperlink"/>
            <w:rFonts w:eastAsiaTheme="majorEastAsia" w:cs="Arial"/>
            <w:sz w:val="20"/>
            <w:szCs w:val="20"/>
          </w:rPr>
          <w:t>https://doi.org/10.1016/j.ejpb.2015.01.002</w:t>
        </w:r>
      </w:hyperlink>
      <w:r w:rsidRPr="00EC2628">
        <w:rPr>
          <w:rFonts w:eastAsiaTheme="majorEastAsia" w:cs="Arial"/>
          <w:sz w:val="20"/>
          <w:szCs w:val="20"/>
        </w:rPr>
        <w:br/>
      </w:r>
      <w:r w:rsidRPr="00F77096">
        <w:rPr>
          <w:rFonts w:eastAsiaTheme="majorEastAsia" w:cs="Arial"/>
          <w:i/>
          <w:iCs/>
          <w:color w:val="FF0000"/>
          <w:szCs w:val="24"/>
          <w:highlight w:val="yellow"/>
        </w:rPr>
        <w:t>Note: This reference is identical to reference 16.</w:t>
      </w:r>
    </w:p>
    <w:p w14:paraId="360623B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Singh, G., Ghosh, B., </w:t>
      </w:r>
      <w:proofErr w:type="spellStart"/>
      <w:r w:rsidRPr="00EC2628">
        <w:rPr>
          <w:rFonts w:eastAsiaTheme="majorEastAsia" w:cs="Arial"/>
          <w:sz w:val="20"/>
          <w:szCs w:val="20"/>
        </w:rPr>
        <w:t>Kaushalkumar</w:t>
      </w:r>
      <w:proofErr w:type="spellEnd"/>
      <w:r w:rsidRPr="00EC2628">
        <w:rPr>
          <w:rFonts w:eastAsiaTheme="majorEastAsia" w:cs="Arial"/>
          <w:sz w:val="20"/>
          <w:szCs w:val="20"/>
        </w:rPr>
        <w:t xml:space="preserve">, D., &amp; </w:t>
      </w:r>
      <w:proofErr w:type="spellStart"/>
      <w:r w:rsidRPr="00EC2628">
        <w:rPr>
          <w:rFonts w:eastAsiaTheme="majorEastAsia" w:cs="Arial"/>
          <w:sz w:val="20"/>
          <w:szCs w:val="20"/>
        </w:rPr>
        <w:t>Somsekhar</w:t>
      </w:r>
      <w:proofErr w:type="spellEnd"/>
      <w:r w:rsidRPr="00EC2628">
        <w:rPr>
          <w:rFonts w:eastAsiaTheme="majorEastAsia" w:cs="Arial"/>
          <w:sz w:val="20"/>
          <w:szCs w:val="20"/>
        </w:rPr>
        <w:t xml:space="preserve">, V. (2008). Screening of venlafaxine hydrochloride for transdermal delivery: Passive diffusion and iontophoresis. </w:t>
      </w:r>
      <w:r w:rsidRPr="00EC2628">
        <w:rPr>
          <w:rFonts w:eastAsiaTheme="majorEastAsia" w:cs="Arial"/>
          <w:i/>
          <w:iCs/>
          <w:sz w:val="20"/>
          <w:szCs w:val="20"/>
        </w:rPr>
        <w:t xml:space="preserve">AAPS </w:t>
      </w:r>
      <w:proofErr w:type="spellStart"/>
      <w:r w:rsidRPr="00EC2628">
        <w:rPr>
          <w:rFonts w:eastAsiaTheme="majorEastAsia" w:cs="Arial"/>
          <w:i/>
          <w:iCs/>
          <w:sz w:val="20"/>
          <w:szCs w:val="20"/>
        </w:rPr>
        <w:t>PharmSciTech</w:t>
      </w:r>
      <w:proofErr w:type="spellEnd"/>
      <w:r w:rsidRPr="00EC2628">
        <w:rPr>
          <w:rFonts w:eastAsiaTheme="majorEastAsia" w:cs="Arial"/>
          <w:i/>
          <w:iCs/>
          <w:sz w:val="20"/>
          <w:szCs w:val="20"/>
        </w:rPr>
        <w:t>, 9</w:t>
      </w:r>
      <w:r w:rsidRPr="00EC2628">
        <w:rPr>
          <w:rFonts w:eastAsiaTheme="majorEastAsia" w:cs="Arial"/>
          <w:sz w:val="20"/>
          <w:szCs w:val="20"/>
        </w:rPr>
        <w:t>, 1–7.</w:t>
      </w:r>
    </w:p>
    <w:p w14:paraId="24944320"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Flynn, G. L., &amp; Stewart, B. (1988). Percutaneous drug penetration: Choosing candidates for transdermal development. </w:t>
      </w:r>
      <w:r w:rsidRPr="00EC2628">
        <w:rPr>
          <w:rFonts w:eastAsiaTheme="majorEastAsia" w:cs="Arial"/>
          <w:i/>
          <w:iCs/>
          <w:sz w:val="20"/>
          <w:szCs w:val="20"/>
        </w:rPr>
        <w:t>Drug Development Research, 13</w:t>
      </w:r>
      <w:r w:rsidRPr="00EC2628">
        <w:rPr>
          <w:rFonts w:eastAsiaTheme="majorEastAsia" w:cs="Arial"/>
          <w:sz w:val="20"/>
          <w:szCs w:val="20"/>
        </w:rPr>
        <w:t>, 169–185.</w:t>
      </w:r>
    </w:p>
    <w:p w14:paraId="66DFE5D5"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lastRenderedPageBreak/>
        <w:t>Tundisi</w:t>
      </w:r>
      <w:proofErr w:type="spellEnd"/>
      <w:r w:rsidRPr="00EC2628">
        <w:rPr>
          <w:rFonts w:eastAsiaTheme="majorEastAsia" w:cs="Arial"/>
          <w:sz w:val="20"/>
          <w:szCs w:val="20"/>
        </w:rPr>
        <w:t xml:space="preserve">, L. L., </w:t>
      </w:r>
      <w:proofErr w:type="spellStart"/>
      <w:r w:rsidRPr="00EC2628">
        <w:rPr>
          <w:rFonts w:eastAsiaTheme="majorEastAsia" w:cs="Arial"/>
          <w:sz w:val="20"/>
          <w:szCs w:val="20"/>
        </w:rPr>
        <w:t>Mostaço</w:t>
      </w:r>
      <w:proofErr w:type="spellEnd"/>
      <w:r w:rsidRPr="00EC2628">
        <w:rPr>
          <w:rFonts w:eastAsiaTheme="majorEastAsia" w:cs="Arial"/>
          <w:sz w:val="20"/>
          <w:szCs w:val="20"/>
        </w:rPr>
        <w:t xml:space="preserve">, G. B., </w:t>
      </w:r>
      <w:proofErr w:type="spellStart"/>
      <w:r w:rsidRPr="00EC2628">
        <w:rPr>
          <w:rFonts w:eastAsiaTheme="majorEastAsia" w:cs="Arial"/>
          <w:sz w:val="20"/>
          <w:szCs w:val="20"/>
        </w:rPr>
        <w:t>Carricondo</w:t>
      </w:r>
      <w:proofErr w:type="spellEnd"/>
      <w:r w:rsidRPr="00EC2628">
        <w:rPr>
          <w:rFonts w:eastAsiaTheme="majorEastAsia" w:cs="Arial"/>
          <w:sz w:val="20"/>
          <w:szCs w:val="20"/>
        </w:rPr>
        <w:t xml:space="preserve">, P. C., &amp; Petri, D. F. (2021). Hydroxypropyl methylcellulose: Physicochemical properties and ocular drug delivery formulations. </w:t>
      </w:r>
      <w:r w:rsidRPr="00EC2628">
        <w:rPr>
          <w:rFonts w:eastAsiaTheme="majorEastAsia" w:cs="Arial"/>
          <w:i/>
          <w:iCs/>
          <w:sz w:val="20"/>
          <w:szCs w:val="20"/>
        </w:rPr>
        <w:t>European Journal of Pharmaceutical Sciences, 159</w:t>
      </w:r>
      <w:r w:rsidRPr="00EC2628">
        <w:rPr>
          <w:rFonts w:eastAsiaTheme="majorEastAsia" w:cs="Arial"/>
          <w:sz w:val="20"/>
          <w:szCs w:val="20"/>
        </w:rPr>
        <w:t>, 105736.</w:t>
      </w:r>
    </w:p>
    <w:p w14:paraId="368119F6"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Alayadan</w:t>
      </w:r>
      <w:proofErr w:type="spellEnd"/>
      <w:r w:rsidRPr="00EC2628">
        <w:rPr>
          <w:rFonts w:eastAsiaTheme="majorEastAsia" w:cs="Arial"/>
          <w:sz w:val="20"/>
          <w:szCs w:val="20"/>
        </w:rPr>
        <w:t xml:space="preserve">, P., Kumar, A., Prakash, S. S., Bashir, B., Bhagya, V., Murthy, S. N., &amp;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(2024). Development, in vitro and in vivo evaluation of film forming solutions for transdermal drug delivery of zaltoprofen. </w:t>
      </w:r>
      <w:r w:rsidRPr="00EC2628">
        <w:rPr>
          <w:rFonts w:eastAsiaTheme="majorEastAsia" w:cs="Arial"/>
          <w:i/>
          <w:iCs/>
          <w:sz w:val="20"/>
          <w:szCs w:val="20"/>
        </w:rPr>
        <w:t>Journal of Biomaterials Science, Polymer Edition</w:t>
      </w:r>
      <w:r w:rsidRPr="00EC2628">
        <w:rPr>
          <w:rFonts w:eastAsiaTheme="majorEastAsia" w:cs="Arial"/>
          <w:sz w:val="20"/>
          <w:szCs w:val="20"/>
        </w:rPr>
        <w:t xml:space="preserve">, 1–24. </w:t>
      </w:r>
      <w:hyperlink r:id="rId27" w:history="1">
        <w:r w:rsidRPr="00EC2628">
          <w:rPr>
            <w:rStyle w:val="Hyperlink"/>
            <w:rFonts w:eastAsiaTheme="majorEastAsia" w:cs="Arial"/>
            <w:sz w:val="20"/>
            <w:szCs w:val="20"/>
          </w:rPr>
          <w:t>https://doi.org/10.1080/09205063.2024.2443332</w:t>
        </w:r>
      </w:hyperlink>
    </w:p>
    <w:p w14:paraId="11CDB655"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Rajab, N. A. (2013). Preparation and evaluation of ketoprofen as dermal spray film. </w:t>
      </w:r>
      <w:r w:rsidRPr="00EC2628">
        <w:rPr>
          <w:rFonts w:eastAsiaTheme="majorEastAsia" w:cs="Arial"/>
          <w:i/>
          <w:iCs/>
          <w:sz w:val="20"/>
          <w:szCs w:val="20"/>
        </w:rPr>
        <w:t>Karbala Journal of Pharmaceutical Sciences, 4</w:t>
      </w:r>
      <w:r w:rsidRPr="00EC2628">
        <w:rPr>
          <w:rFonts w:eastAsiaTheme="majorEastAsia" w:cs="Arial"/>
          <w:sz w:val="20"/>
          <w:szCs w:val="20"/>
        </w:rPr>
        <w:t>(6), 1–8.</w:t>
      </w:r>
    </w:p>
    <w:p w14:paraId="1BD884B1"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Cheng, W., Chen, J., Liu, D., Ye, X., &amp; </w:t>
      </w:r>
      <w:proofErr w:type="spellStart"/>
      <w:r w:rsidRPr="00EC2628">
        <w:rPr>
          <w:rFonts w:eastAsiaTheme="majorEastAsia" w:cs="Arial"/>
          <w:sz w:val="20"/>
          <w:szCs w:val="20"/>
        </w:rPr>
        <w:t>Ke</w:t>
      </w:r>
      <w:proofErr w:type="spellEnd"/>
      <w:r w:rsidRPr="00EC2628">
        <w:rPr>
          <w:rFonts w:eastAsiaTheme="majorEastAsia" w:cs="Arial"/>
          <w:sz w:val="20"/>
          <w:szCs w:val="20"/>
        </w:rPr>
        <w:t>, F. (2010). Impact of ultrasonic treatment on properties of starch film</w:t>
      </w:r>
      <w:r w:rsidRPr="00EC2628">
        <w:rPr>
          <w:rFonts w:eastAsiaTheme="majorEastAsia" w:cs="Arial"/>
          <w:sz w:val="20"/>
          <w:szCs w:val="20"/>
        </w:rPr>
        <w:noBreakHyphen/>
        <w:t xml:space="preserve">forming dispersion and the resulting films. </w:t>
      </w:r>
      <w:r w:rsidRPr="00EC2628">
        <w:rPr>
          <w:rFonts w:eastAsiaTheme="majorEastAsia" w:cs="Arial"/>
          <w:i/>
          <w:iCs/>
          <w:sz w:val="20"/>
          <w:szCs w:val="20"/>
        </w:rPr>
        <w:t>Carbohydrate Polymers, 81</w:t>
      </w:r>
      <w:r w:rsidRPr="00EC2628">
        <w:rPr>
          <w:rFonts w:eastAsiaTheme="majorEastAsia" w:cs="Arial"/>
          <w:sz w:val="20"/>
          <w:szCs w:val="20"/>
        </w:rPr>
        <w:t>(3), 707–711.</w:t>
      </w:r>
    </w:p>
    <w:p w14:paraId="5C673B69"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Harak</w:t>
      </w:r>
      <w:proofErr w:type="spellEnd"/>
      <w:r w:rsidRPr="00EC2628">
        <w:rPr>
          <w:rFonts w:eastAsiaTheme="majorEastAsia" w:cs="Arial"/>
          <w:sz w:val="20"/>
          <w:szCs w:val="20"/>
        </w:rPr>
        <w:t xml:space="preserve">, P. D., </w:t>
      </w:r>
      <w:proofErr w:type="spellStart"/>
      <w:r w:rsidRPr="00EC2628">
        <w:rPr>
          <w:rFonts w:eastAsiaTheme="majorEastAsia" w:cs="Arial"/>
          <w:sz w:val="20"/>
          <w:szCs w:val="20"/>
        </w:rPr>
        <w:t>Zalte</w:t>
      </w:r>
      <w:proofErr w:type="spellEnd"/>
      <w:r w:rsidRPr="00EC2628">
        <w:rPr>
          <w:rFonts w:eastAsiaTheme="majorEastAsia" w:cs="Arial"/>
          <w:sz w:val="20"/>
          <w:szCs w:val="20"/>
        </w:rPr>
        <w:t xml:space="preserve">, A. G., &amp; </w:t>
      </w:r>
      <w:proofErr w:type="spellStart"/>
      <w:r w:rsidRPr="00EC2628">
        <w:rPr>
          <w:rFonts w:eastAsiaTheme="majorEastAsia" w:cs="Arial"/>
          <w:sz w:val="20"/>
          <w:szCs w:val="20"/>
        </w:rPr>
        <w:t>Gulecha</w:t>
      </w:r>
      <w:proofErr w:type="spellEnd"/>
      <w:r w:rsidRPr="00EC2628">
        <w:rPr>
          <w:rFonts w:eastAsiaTheme="majorEastAsia" w:cs="Arial"/>
          <w:sz w:val="20"/>
          <w:szCs w:val="20"/>
        </w:rPr>
        <w:t xml:space="preserve">, V. S. (2023). Formulation and evaluation of film forming solution of tavaborole for treatment of skin infections. </w:t>
      </w:r>
      <w:r w:rsidRPr="00EC2628">
        <w:rPr>
          <w:rFonts w:eastAsiaTheme="majorEastAsia" w:cs="Arial"/>
          <w:i/>
          <w:iCs/>
          <w:sz w:val="20"/>
          <w:szCs w:val="20"/>
        </w:rPr>
        <w:t>Research Journal of Pharmacy and Technology, 16</w:t>
      </w:r>
      <w:r w:rsidRPr="00EC2628">
        <w:rPr>
          <w:rFonts w:eastAsiaTheme="majorEastAsia" w:cs="Arial"/>
          <w:sz w:val="20"/>
          <w:szCs w:val="20"/>
        </w:rPr>
        <w:t>(3), 1342–1346.</w:t>
      </w:r>
    </w:p>
    <w:p w14:paraId="7F5F256D"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Muzaffar, K., </w:t>
      </w:r>
      <w:proofErr w:type="spellStart"/>
      <w:r w:rsidRPr="00EC2628">
        <w:rPr>
          <w:rFonts w:eastAsiaTheme="majorEastAsia" w:cs="Arial"/>
          <w:sz w:val="20"/>
          <w:szCs w:val="20"/>
        </w:rPr>
        <w:t>Nayik</w:t>
      </w:r>
      <w:proofErr w:type="spellEnd"/>
      <w:r w:rsidRPr="00EC2628">
        <w:rPr>
          <w:rFonts w:eastAsiaTheme="majorEastAsia" w:cs="Arial"/>
          <w:sz w:val="20"/>
          <w:szCs w:val="20"/>
        </w:rPr>
        <w:t xml:space="preserve">, G. A., &amp; Kumar, P. (2015). Stickiness problem associated with spray drying of sugar and acid rich foods: A mini review. </w:t>
      </w:r>
      <w:r w:rsidRPr="00EC2628">
        <w:rPr>
          <w:rFonts w:eastAsiaTheme="majorEastAsia" w:cs="Arial"/>
          <w:i/>
          <w:iCs/>
          <w:sz w:val="20"/>
          <w:szCs w:val="20"/>
        </w:rPr>
        <w:t>Journal of Nutrition &amp; Food Sciences, 1</w:t>
      </w:r>
      <w:r w:rsidRPr="00EC2628">
        <w:rPr>
          <w:rFonts w:eastAsiaTheme="majorEastAsia" w:cs="Arial"/>
          <w:sz w:val="20"/>
          <w:szCs w:val="20"/>
        </w:rPr>
        <w:t>(Suppl. 12), 1.</w:t>
      </w:r>
    </w:p>
    <w:p w14:paraId="002BB13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Saudagar</w:t>
      </w:r>
      <w:proofErr w:type="spellEnd"/>
      <w:r w:rsidRPr="00EC2628">
        <w:rPr>
          <w:rFonts w:eastAsiaTheme="majorEastAsia" w:cs="Arial"/>
          <w:sz w:val="20"/>
          <w:szCs w:val="20"/>
        </w:rPr>
        <w:t xml:space="preserve">, R. B., &amp; </w:t>
      </w:r>
      <w:proofErr w:type="spellStart"/>
      <w:r w:rsidRPr="00EC2628">
        <w:rPr>
          <w:rFonts w:eastAsiaTheme="majorEastAsia" w:cs="Arial"/>
          <w:sz w:val="20"/>
          <w:szCs w:val="20"/>
        </w:rPr>
        <w:t>Gangurde</w:t>
      </w:r>
      <w:proofErr w:type="spellEnd"/>
      <w:r w:rsidRPr="00EC2628">
        <w:rPr>
          <w:rFonts w:eastAsiaTheme="majorEastAsia" w:cs="Arial"/>
          <w:sz w:val="20"/>
          <w:szCs w:val="20"/>
        </w:rPr>
        <w:t>, P. A. (2017). Formulation, development and evaluation of film</w:t>
      </w:r>
      <w:r w:rsidRPr="00EC2628">
        <w:rPr>
          <w:rFonts w:eastAsiaTheme="majorEastAsia" w:cs="Arial"/>
          <w:sz w:val="20"/>
          <w:szCs w:val="20"/>
        </w:rPr>
        <w:noBreakHyphen/>
        <w:t xml:space="preserve">forming gel for prolonged dermal delivery of </w:t>
      </w:r>
      <w:proofErr w:type="spellStart"/>
      <w:r w:rsidRPr="00EC2628">
        <w:rPr>
          <w:rFonts w:eastAsiaTheme="majorEastAsia" w:cs="Arial"/>
          <w:sz w:val="20"/>
          <w:szCs w:val="20"/>
        </w:rPr>
        <w:t>miconaole</w:t>
      </w:r>
      <w:proofErr w:type="spellEnd"/>
      <w:r w:rsidRPr="00EC2628">
        <w:rPr>
          <w:rFonts w:eastAsiaTheme="majorEastAsia" w:cs="Arial"/>
          <w:sz w:val="20"/>
          <w:szCs w:val="20"/>
        </w:rPr>
        <w:t xml:space="preserve"> nitrate. </w:t>
      </w:r>
      <w:r w:rsidRPr="00EC2628">
        <w:rPr>
          <w:rFonts w:eastAsiaTheme="majorEastAsia" w:cs="Arial"/>
          <w:i/>
          <w:iCs/>
          <w:sz w:val="20"/>
          <w:szCs w:val="20"/>
        </w:rPr>
        <w:t>Research Journal of Topical and Cosmetic Sciences, 8</w:t>
      </w:r>
      <w:r w:rsidRPr="00EC2628">
        <w:rPr>
          <w:rFonts w:eastAsiaTheme="majorEastAsia" w:cs="Arial"/>
          <w:sz w:val="20"/>
          <w:szCs w:val="20"/>
        </w:rPr>
        <w:t>(1), 19–29.</w:t>
      </w:r>
    </w:p>
    <w:p w14:paraId="273A9D78"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Mundada</w:t>
      </w:r>
      <w:proofErr w:type="spellEnd"/>
      <w:r w:rsidRPr="00EC2628">
        <w:rPr>
          <w:rFonts w:eastAsiaTheme="majorEastAsia" w:cs="Arial"/>
          <w:sz w:val="20"/>
          <w:szCs w:val="20"/>
        </w:rPr>
        <w:t xml:space="preserve">, A., </w:t>
      </w:r>
      <w:proofErr w:type="spellStart"/>
      <w:r w:rsidRPr="00EC2628">
        <w:rPr>
          <w:rFonts w:eastAsiaTheme="majorEastAsia" w:cs="Arial"/>
          <w:sz w:val="20"/>
          <w:szCs w:val="20"/>
        </w:rPr>
        <w:t>Satturwar</w:t>
      </w:r>
      <w:proofErr w:type="spellEnd"/>
      <w:r w:rsidRPr="00EC2628">
        <w:rPr>
          <w:rFonts w:eastAsiaTheme="majorEastAsia" w:cs="Arial"/>
          <w:sz w:val="20"/>
          <w:szCs w:val="20"/>
        </w:rPr>
        <w:t xml:space="preserve">, P., </w:t>
      </w:r>
      <w:proofErr w:type="spellStart"/>
      <w:r w:rsidRPr="00EC2628">
        <w:rPr>
          <w:rFonts w:eastAsiaTheme="majorEastAsia" w:cs="Arial"/>
          <w:sz w:val="20"/>
          <w:szCs w:val="20"/>
        </w:rPr>
        <w:t>Fulzele</w:t>
      </w:r>
      <w:proofErr w:type="spellEnd"/>
      <w:r w:rsidRPr="00EC2628">
        <w:rPr>
          <w:rFonts w:eastAsiaTheme="majorEastAsia" w:cs="Arial"/>
          <w:sz w:val="20"/>
          <w:szCs w:val="20"/>
        </w:rPr>
        <w:t xml:space="preserve">, S., Joshi, S., &amp; </w:t>
      </w:r>
      <w:proofErr w:type="spellStart"/>
      <w:r w:rsidRPr="00EC2628">
        <w:rPr>
          <w:rFonts w:eastAsiaTheme="majorEastAsia" w:cs="Arial"/>
          <w:sz w:val="20"/>
          <w:szCs w:val="20"/>
        </w:rPr>
        <w:t>Dorle</w:t>
      </w:r>
      <w:proofErr w:type="spellEnd"/>
      <w:r w:rsidRPr="00EC2628">
        <w:rPr>
          <w:rFonts w:eastAsiaTheme="majorEastAsia" w:cs="Arial"/>
          <w:sz w:val="20"/>
          <w:szCs w:val="20"/>
        </w:rPr>
        <w:t xml:space="preserve">, A. (2011). Characterization and evaluation of novel film forming polymer for drug delivery. </w:t>
      </w:r>
      <w:r w:rsidRPr="00EC2628">
        <w:rPr>
          <w:rFonts w:eastAsiaTheme="majorEastAsia" w:cs="Arial"/>
          <w:i/>
          <w:iCs/>
          <w:sz w:val="20"/>
          <w:szCs w:val="20"/>
        </w:rPr>
        <w:t>Iranian Journal of Pharmaceutical Research, 10</w:t>
      </w:r>
      <w:r w:rsidRPr="00EC2628">
        <w:rPr>
          <w:rFonts w:eastAsiaTheme="majorEastAsia" w:cs="Arial"/>
          <w:sz w:val="20"/>
          <w:szCs w:val="20"/>
        </w:rPr>
        <w:t>(1), 35–42.</w:t>
      </w:r>
    </w:p>
    <w:p w14:paraId="0EB7BC3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Song, Y., Cong, Y., Wang, B., et al. (2020). Applications of Fourier transform infrared spectroscopy to pharmaceutical preparations. </w:t>
      </w:r>
      <w:r w:rsidRPr="00EC2628">
        <w:rPr>
          <w:rFonts w:eastAsiaTheme="majorEastAsia" w:cs="Arial"/>
          <w:i/>
          <w:iCs/>
          <w:sz w:val="20"/>
          <w:szCs w:val="20"/>
        </w:rPr>
        <w:t>Expert Opinion on Drug Delivery, 17</w:t>
      </w:r>
      <w:r w:rsidRPr="00EC2628">
        <w:rPr>
          <w:rFonts w:eastAsiaTheme="majorEastAsia" w:cs="Arial"/>
          <w:sz w:val="20"/>
          <w:szCs w:val="20"/>
        </w:rPr>
        <w:t xml:space="preserve">(4), 551–571. </w:t>
      </w:r>
      <w:hyperlink r:id="rId28" w:history="1">
        <w:r w:rsidRPr="00EC2628">
          <w:rPr>
            <w:rStyle w:val="Hyperlink"/>
            <w:rFonts w:eastAsiaTheme="majorEastAsia" w:cs="Arial"/>
            <w:sz w:val="20"/>
            <w:szCs w:val="20"/>
          </w:rPr>
          <w:t>https://doi.org/10.1080/17425247.2020.1737671</w:t>
        </w:r>
      </w:hyperlink>
    </w:p>
    <w:p w14:paraId="39BB837C"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Niranjan, P., Reddy, V., Reddy, G., &amp; Panda, K. (2015). Effect of different grades of HPMC and Eudragit on drug release profile of </w:t>
      </w:r>
      <w:proofErr w:type="spellStart"/>
      <w:r w:rsidRPr="00EC2628">
        <w:rPr>
          <w:rFonts w:eastAsiaTheme="majorEastAsia" w:cs="Arial"/>
          <w:sz w:val="20"/>
          <w:szCs w:val="20"/>
        </w:rPr>
        <w:t>doxofylline</w:t>
      </w:r>
      <w:proofErr w:type="spellEnd"/>
      <w:r w:rsidRPr="00EC2628">
        <w:rPr>
          <w:rFonts w:eastAsiaTheme="majorEastAsia" w:cs="Arial"/>
          <w:sz w:val="20"/>
          <w:szCs w:val="20"/>
        </w:rPr>
        <w:t xml:space="preserve"> sustained release matrix tablets and IVIVC studies. </w:t>
      </w:r>
      <w:r w:rsidRPr="00EC2628">
        <w:rPr>
          <w:rFonts w:eastAsiaTheme="majorEastAsia" w:cs="Arial"/>
          <w:i/>
          <w:iCs/>
          <w:sz w:val="20"/>
          <w:szCs w:val="20"/>
        </w:rPr>
        <w:t>International Research Journal of Pharmacy, 6</w:t>
      </w:r>
      <w:r w:rsidRPr="00EC2628">
        <w:rPr>
          <w:rFonts w:eastAsiaTheme="majorEastAsia" w:cs="Arial"/>
          <w:sz w:val="20"/>
          <w:szCs w:val="20"/>
        </w:rPr>
        <w:t>, 493–504.</w:t>
      </w:r>
    </w:p>
    <w:p w14:paraId="69B00429"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Baby, A., </w:t>
      </w:r>
      <w:proofErr w:type="spellStart"/>
      <w:r w:rsidRPr="00EC2628">
        <w:rPr>
          <w:rFonts w:eastAsiaTheme="majorEastAsia" w:cs="Arial"/>
          <w:sz w:val="20"/>
          <w:szCs w:val="20"/>
        </w:rPr>
        <w:t>Shivakumar</w:t>
      </w:r>
      <w:proofErr w:type="spellEnd"/>
      <w:r w:rsidRPr="00EC2628">
        <w:rPr>
          <w:rFonts w:eastAsiaTheme="majorEastAsia" w:cs="Arial"/>
          <w:sz w:val="20"/>
          <w:szCs w:val="20"/>
        </w:rPr>
        <w:t xml:space="preserve">, H. N., &amp; </w:t>
      </w:r>
      <w:proofErr w:type="spellStart"/>
      <w:r w:rsidRPr="00EC2628">
        <w:rPr>
          <w:rFonts w:eastAsiaTheme="majorEastAsia" w:cs="Arial"/>
          <w:sz w:val="20"/>
          <w:szCs w:val="20"/>
        </w:rPr>
        <w:t>Alayadan</w:t>
      </w:r>
      <w:proofErr w:type="spellEnd"/>
      <w:r w:rsidRPr="00EC2628">
        <w:rPr>
          <w:rFonts w:eastAsiaTheme="majorEastAsia" w:cs="Arial"/>
          <w:sz w:val="20"/>
          <w:szCs w:val="20"/>
        </w:rPr>
        <w:t xml:space="preserve">, P. (2022). Formulation and evaluation of film forming solution of diphenhydramine hydrochloride for transdermal delivery. </w:t>
      </w:r>
      <w:r w:rsidRPr="00EC2628">
        <w:rPr>
          <w:rFonts w:eastAsiaTheme="majorEastAsia" w:cs="Arial"/>
          <w:i/>
          <w:iCs/>
          <w:sz w:val="20"/>
          <w:szCs w:val="20"/>
        </w:rPr>
        <w:t>Indian Journal of Pharmaceutical Education and Research, 56</w:t>
      </w:r>
      <w:r w:rsidRPr="00EC2628">
        <w:rPr>
          <w:rFonts w:eastAsiaTheme="majorEastAsia" w:cs="Arial"/>
          <w:sz w:val="20"/>
          <w:szCs w:val="20"/>
        </w:rPr>
        <w:t>(1), 43–49.</w:t>
      </w:r>
    </w:p>
    <w:p w14:paraId="209C8A1D"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El</w:t>
      </w:r>
      <w:r w:rsidRPr="00EC2628">
        <w:rPr>
          <w:rFonts w:eastAsiaTheme="majorEastAsia" w:cs="Arial"/>
          <w:sz w:val="20"/>
          <w:szCs w:val="20"/>
        </w:rPr>
        <w:noBreakHyphen/>
        <w:t xml:space="preserve">Say, K. M., Ahmed, O. A., </w:t>
      </w:r>
      <w:proofErr w:type="spellStart"/>
      <w:r w:rsidRPr="00EC2628">
        <w:rPr>
          <w:rFonts w:eastAsiaTheme="majorEastAsia" w:cs="Arial"/>
          <w:sz w:val="20"/>
          <w:szCs w:val="20"/>
        </w:rPr>
        <w:t>Aljaeid</w:t>
      </w:r>
      <w:proofErr w:type="spellEnd"/>
      <w:r w:rsidRPr="00EC2628">
        <w:rPr>
          <w:rFonts w:eastAsiaTheme="majorEastAsia" w:cs="Arial"/>
          <w:sz w:val="20"/>
          <w:szCs w:val="20"/>
        </w:rPr>
        <w:t xml:space="preserve">, B. M., &amp; </w:t>
      </w:r>
      <w:proofErr w:type="spellStart"/>
      <w:r w:rsidRPr="00EC2628">
        <w:rPr>
          <w:rFonts w:eastAsiaTheme="majorEastAsia" w:cs="Arial"/>
          <w:sz w:val="20"/>
          <w:szCs w:val="20"/>
        </w:rPr>
        <w:t>Zidan</w:t>
      </w:r>
      <w:proofErr w:type="spellEnd"/>
      <w:r w:rsidRPr="00EC2628">
        <w:rPr>
          <w:rFonts w:eastAsiaTheme="majorEastAsia" w:cs="Arial"/>
          <w:sz w:val="20"/>
          <w:szCs w:val="20"/>
        </w:rPr>
        <w:t>, A. S. (2017). Matrix</w:t>
      </w:r>
      <w:r w:rsidRPr="00EC2628">
        <w:rPr>
          <w:rFonts w:eastAsiaTheme="majorEastAsia" w:cs="Arial"/>
          <w:sz w:val="20"/>
          <w:szCs w:val="20"/>
        </w:rPr>
        <w:noBreakHyphen/>
        <w:t xml:space="preserve">type transdermal films to enhance simvastatin ex vivo skin permeability. </w:t>
      </w:r>
      <w:r w:rsidRPr="00EC2628">
        <w:rPr>
          <w:rFonts w:eastAsiaTheme="majorEastAsia" w:cs="Arial"/>
          <w:i/>
          <w:iCs/>
          <w:sz w:val="20"/>
          <w:szCs w:val="20"/>
        </w:rPr>
        <w:t>Pharmaceutical Development and Technology, 22</w:t>
      </w:r>
      <w:r w:rsidRPr="00EC2628">
        <w:rPr>
          <w:rFonts w:eastAsiaTheme="majorEastAsia" w:cs="Arial"/>
          <w:sz w:val="20"/>
          <w:szCs w:val="20"/>
        </w:rPr>
        <w:t>(4), 492–499.</w:t>
      </w:r>
    </w:p>
    <w:p w14:paraId="306B3F9F"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lastRenderedPageBreak/>
        <w:t xml:space="preserve">Srinivasan, D., Nathan, S., Suresh, T., &amp; </w:t>
      </w:r>
      <w:proofErr w:type="spellStart"/>
      <w:r w:rsidRPr="00EC2628">
        <w:rPr>
          <w:rFonts w:eastAsiaTheme="majorEastAsia" w:cs="Arial"/>
          <w:sz w:val="20"/>
          <w:szCs w:val="20"/>
        </w:rPr>
        <w:t>Perumalsamy</w:t>
      </w:r>
      <w:proofErr w:type="spellEnd"/>
      <w:r w:rsidRPr="00EC2628">
        <w:rPr>
          <w:rFonts w:eastAsiaTheme="majorEastAsia" w:cs="Arial"/>
          <w:sz w:val="20"/>
          <w:szCs w:val="20"/>
        </w:rPr>
        <w:t xml:space="preserve">, P. L. (2001). Antimicrobial activity of certain Indian medicinal plants used in folkloric medicine. </w:t>
      </w:r>
      <w:r w:rsidRPr="00EC2628">
        <w:rPr>
          <w:rFonts w:eastAsiaTheme="majorEastAsia" w:cs="Arial"/>
          <w:i/>
          <w:iCs/>
          <w:sz w:val="20"/>
          <w:szCs w:val="20"/>
        </w:rPr>
        <w:t>Journal of Ethnopharmacology, 74</w:t>
      </w:r>
      <w:r w:rsidRPr="00EC2628">
        <w:rPr>
          <w:rFonts w:eastAsiaTheme="majorEastAsia" w:cs="Arial"/>
          <w:sz w:val="20"/>
          <w:szCs w:val="20"/>
        </w:rPr>
        <w:t>(3), 217–220.</w:t>
      </w:r>
    </w:p>
    <w:p w14:paraId="1D747C5F"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Dhimmar</w:t>
      </w:r>
      <w:proofErr w:type="spellEnd"/>
      <w:r w:rsidRPr="00EC2628">
        <w:rPr>
          <w:rFonts w:eastAsiaTheme="majorEastAsia" w:cs="Arial"/>
          <w:sz w:val="20"/>
          <w:szCs w:val="20"/>
        </w:rPr>
        <w:t xml:space="preserve">, B., </w:t>
      </w:r>
      <w:proofErr w:type="spellStart"/>
      <w:r w:rsidRPr="00EC2628">
        <w:rPr>
          <w:rFonts w:eastAsiaTheme="majorEastAsia" w:cs="Arial"/>
          <w:sz w:val="20"/>
          <w:szCs w:val="20"/>
        </w:rPr>
        <w:t>Pokale</w:t>
      </w:r>
      <w:proofErr w:type="spellEnd"/>
      <w:r w:rsidRPr="00EC2628">
        <w:rPr>
          <w:rFonts w:eastAsiaTheme="majorEastAsia" w:cs="Arial"/>
          <w:sz w:val="20"/>
          <w:szCs w:val="20"/>
        </w:rPr>
        <w:t xml:space="preserve">, R., </w:t>
      </w:r>
      <w:proofErr w:type="spellStart"/>
      <w:r w:rsidRPr="00EC2628">
        <w:rPr>
          <w:rFonts w:eastAsiaTheme="majorEastAsia" w:cs="Arial"/>
          <w:sz w:val="20"/>
          <w:szCs w:val="20"/>
        </w:rPr>
        <w:t>Rahamathulla</w:t>
      </w:r>
      <w:proofErr w:type="spellEnd"/>
      <w:r w:rsidRPr="00EC2628">
        <w:rPr>
          <w:rFonts w:eastAsiaTheme="majorEastAsia" w:cs="Arial"/>
          <w:sz w:val="20"/>
          <w:szCs w:val="20"/>
        </w:rPr>
        <w:t xml:space="preserve">, M., Hani, U., </w:t>
      </w:r>
      <w:proofErr w:type="spellStart"/>
      <w:r w:rsidRPr="00EC2628">
        <w:rPr>
          <w:rFonts w:eastAsiaTheme="majorEastAsia" w:cs="Arial"/>
          <w:sz w:val="20"/>
          <w:szCs w:val="20"/>
        </w:rPr>
        <w:t>Alshahrani</w:t>
      </w:r>
      <w:proofErr w:type="spellEnd"/>
      <w:r w:rsidRPr="00EC2628">
        <w:rPr>
          <w:rFonts w:eastAsiaTheme="majorEastAsia" w:cs="Arial"/>
          <w:sz w:val="20"/>
          <w:szCs w:val="20"/>
        </w:rPr>
        <w:t xml:space="preserve">, M. Y., </w:t>
      </w:r>
      <w:proofErr w:type="spellStart"/>
      <w:r w:rsidRPr="00EC2628">
        <w:rPr>
          <w:rFonts w:eastAsiaTheme="majorEastAsia" w:cs="Arial"/>
          <w:sz w:val="20"/>
          <w:szCs w:val="20"/>
        </w:rPr>
        <w:t>Alshehri</w:t>
      </w:r>
      <w:proofErr w:type="spellEnd"/>
      <w:r w:rsidRPr="00EC2628">
        <w:rPr>
          <w:rFonts w:eastAsiaTheme="majorEastAsia" w:cs="Arial"/>
          <w:sz w:val="20"/>
          <w:szCs w:val="20"/>
        </w:rPr>
        <w:t xml:space="preserve">, S., Shakeel, F., </w:t>
      </w:r>
      <w:proofErr w:type="spellStart"/>
      <w:r w:rsidRPr="00EC2628">
        <w:rPr>
          <w:rFonts w:eastAsiaTheme="majorEastAsia" w:cs="Arial"/>
          <w:sz w:val="20"/>
          <w:szCs w:val="20"/>
        </w:rPr>
        <w:t>Alam</w:t>
      </w:r>
      <w:proofErr w:type="spellEnd"/>
      <w:r w:rsidRPr="00EC2628">
        <w:rPr>
          <w:rFonts w:eastAsiaTheme="majorEastAsia" w:cs="Arial"/>
          <w:sz w:val="20"/>
          <w:szCs w:val="20"/>
        </w:rPr>
        <w:t>, P., Osmani, R. A. M., &amp; Patil, A. B. (2023). Newfangled topical film</w:t>
      </w:r>
      <w:r w:rsidRPr="00EC2628">
        <w:rPr>
          <w:rFonts w:eastAsiaTheme="majorEastAsia" w:cs="Arial"/>
          <w:sz w:val="20"/>
          <w:szCs w:val="20"/>
        </w:rPr>
        <w:noBreakHyphen/>
        <w:t xml:space="preserve">forming solution for facilitated antifungal therapy: Design, development, characterization, and in vitro evaluation. </w:t>
      </w:r>
      <w:r w:rsidRPr="00EC2628">
        <w:rPr>
          <w:rFonts w:eastAsiaTheme="majorEastAsia" w:cs="Arial"/>
          <w:i/>
          <w:iCs/>
          <w:sz w:val="20"/>
          <w:szCs w:val="20"/>
        </w:rPr>
        <w:t>Polymers, 15</w:t>
      </w:r>
      <w:r w:rsidRPr="00EC2628">
        <w:rPr>
          <w:rFonts w:eastAsiaTheme="majorEastAsia" w:cs="Arial"/>
          <w:sz w:val="20"/>
          <w:szCs w:val="20"/>
        </w:rPr>
        <w:t xml:space="preserve">(4), 1003. </w:t>
      </w:r>
      <w:hyperlink r:id="rId29" w:history="1">
        <w:r w:rsidRPr="00EC2628">
          <w:rPr>
            <w:rStyle w:val="Hyperlink"/>
            <w:rFonts w:eastAsiaTheme="majorEastAsia" w:cs="Arial"/>
            <w:sz w:val="20"/>
            <w:szCs w:val="20"/>
          </w:rPr>
          <w:t>https://doi.org/10.3390/polym15041003</w:t>
        </w:r>
      </w:hyperlink>
    </w:p>
    <w:p w14:paraId="18D4188A"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Kittaneh</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Qurt</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Malkieh</w:t>
      </w:r>
      <w:proofErr w:type="spellEnd"/>
      <w:r w:rsidRPr="00EC2628">
        <w:rPr>
          <w:rFonts w:eastAsiaTheme="majorEastAsia" w:cs="Arial"/>
          <w:sz w:val="20"/>
          <w:szCs w:val="20"/>
        </w:rPr>
        <w:t xml:space="preserve">, N., </w:t>
      </w:r>
      <w:proofErr w:type="spellStart"/>
      <w:r w:rsidRPr="00EC2628">
        <w:rPr>
          <w:rFonts w:eastAsiaTheme="majorEastAsia" w:cs="Arial"/>
          <w:sz w:val="20"/>
          <w:szCs w:val="20"/>
        </w:rPr>
        <w:t>Naseef</w:t>
      </w:r>
      <w:proofErr w:type="spellEnd"/>
      <w:r w:rsidRPr="00EC2628">
        <w:rPr>
          <w:rFonts w:eastAsiaTheme="majorEastAsia" w:cs="Arial"/>
          <w:sz w:val="20"/>
          <w:szCs w:val="20"/>
        </w:rPr>
        <w:t xml:space="preserve">, H., &amp; </w:t>
      </w:r>
      <w:proofErr w:type="spellStart"/>
      <w:r w:rsidRPr="00EC2628">
        <w:rPr>
          <w:rFonts w:eastAsiaTheme="majorEastAsia" w:cs="Arial"/>
          <w:sz w:val="20"/>
          <w:szCs w:val="20"/>
        </w:rPr>
        <w:t>Muqedi</w:t>
      </w:r>
      <w:proofErr w:type="spellEnd"/>
      <w:r w:rsidRPr="00EC2628">
        <w:rPr>
          <w:rFonts w:eastAsiaTheme="majorEastAsia" w:cs="Arial"/>
          <w:sz w:val="20"/>
          <w:szCs w:val="20"/>
        </w:rPr>
        <w:t>, R. (2022). Preparation and evaluation of vitamin D3 supplementation as transdermal film</w:t>
      </w:r>
      <w:r w:rsidRPr="00EC2628">
        <w:rPr>
          <w:rFonts w:eastAsiaTheme="majorEastAsia" w:cs="Arial"/>
          <w:sz w:val="20"/>
          <w:szCs w:val="20"/>
        </w:rPr>
        <w:noBreakHyphen/>
        <w:t xml:space="preserve">forming solution. </w:t>
      </w:r>
      <w:r w:rsidRPr="00EC2628">
        <w:rPr>
          <w:rFonts w:eastAsiaTheme="majorEastAsia" w:cs="Arial"/>
          <w:i/>
          <w:iCs/>
          <w:sz w:val="20"/>
          <w:szCs w:val="20"/>
        </w:rPr>
        <w:t>Pharmaceutics, 15</w:t>
      </w:r>
      <w:r w:rsidRPr="00EC2628">
        <w:rPr>
          <w:rFonts w:eastAsiaTheme="majorEastAsia" w:cs="Arial"/>
          <w:sz w:val="20"/>
          <w:szCs w:val="20"/>
        </w:rPr>
        <w:t>(1), 39.</w:t>
      </w:r>
    </w:p>
    <w:p w14:paraId="1BBE1950"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Kienzler</w:t>
      </w:r>
      <w:proofErr w:type="spellEnd"/>
      <w:r w:rsidRPr="00EC2628">
        <w:rPr>
          <w:rFonts w:eastAsiaTheme="majorEastAsia" w:cs="Arial"/>
          <w:sz w:val="20"/>
          <w:szCs w:val="20"/>
        </w:rPr>
        <w:t xml:space="preserve">, J. L., </w:t>
      </w:r>
      <w:proofErr w:type="spellStart"/>
      <w:r w:rsidRPr="00EC2628">
        <w:rPr>
          <w:rFonts w:eastAsiaTheme="majorEastAsia" w:cs="Arial"/>
          <w:sz w:val="20"/>
          <w:szCs w:val="20"/>
        </w:rPr>
        <w:t>Queille</w:t>
      </w:r>
      <w:r w:rsidRPr="00EC2628">
        <w:rPr>
          <w:rFonts w:eastAsiaTheme="majorEastAsia" w:cs="Arial"/>
          <w:sz w:val="20"/>
          <w:szCs w:val="20"/>
        </w:rPr>
        <w:noBreakHyphen/>
        <w:t>Roussel</w:t>
      </w:r>
      <w:proofErr w:type="spellEnd"/>
      <w:r w:rsidRPr="00EC2628">
        <w:rPr>
          <w:rFonts w:eastAsiaTheme="majorEastAsia" w:cs="Arial"/>
          <w:sz w:val="20"/>
          <w:szCs w:val="20"/>
        </w:rPr>
        <w:t xml:space="preserve">, C., </w:t>
      </w:r>
      <w:proofErr w:type="spellStart"/>
      <w:r w:rsidRPr="00EC2628">
        <w:rPr>
          <w:rFonts w:eastAsiaTheme="majorEastAsia" w:cs="Arial"/>
          <w:sz w:val="20"/>
          <w:szCs w:val="20"/>
        </w:rPr>
        <w:t>Mugglestone</w:t>
      </w:r>
      <w:proofErr w:type="spellEnd"/>
      <w:r w:rsidRPr="00EC2628">
        <w:rPr>
          <w:rFonts w:eastAsiaTheme="majorEastAsia" w:cs="Arial"/>
          <w:sz w:val="20"/>
          <w:szCs w:val="20"/>
        </w:rPr>
        <w:t xml:space="preserve">, C., </w:t>
      </w:r>
      <w:proofErr w:type="spellStart"/>
      <w:r w:rsidRPr="00EC2628">
        <w:rPr>
          <w:rFonts w:eastAsiaTheme="majorEastAsia" w:cs="Arial"/>
          <w:sz w:val="20"/>
          <w:szCs w:val="20"/>
        </w:rPr>
        <w:t>Ortonne</w:t>
      </w:r>
      <w:proofErr w:type="spellEnd"/>
      <w:r w:rsidRPr="00EC2628">
        <w:rPr>
          <w:rFonts w:eastAsiaTheme="majorEastAsia" w:cs="Arial"/>
          <w:sz w:val="20"/>
          <w:szCs w:val="20"/>
        </w:rPr>
        <w:t xml:space="preserve">, J. P., &amp; </w:t>
      </w:r>
      <w:proofErr w:type="spellStart"/>
      <w:r w:rsidRPr="00EC2628">
        <w:rPr>
          <w:rFonts w:eastAsiaTheme="majorEastAsia" w:cs="Arial"/>
          <w:sz w:val="20"/>
          <w:szCs w:val="20"/>
        </w:rPr>
        <w:t>Larnier</w:t>
      </w:r>
      <w:proofErr w:type="spellEnd"/>
      <w:r w:rsidRPr="00EC2628">
        <w:rPr>
          <w:rFonts w:eastAsiaTheme="majorEastAsia" w:cs="Arial"/>
          <w:sz w:val="20"/>
          <w:szCs w:val="20"/>
        </w:rPr>
        <w:t>, C. (2007). Stratum corneum pharmacokinetics of the anti</w:t>
      </w:r>
      <w:r w:rsidRPr="00EC2628">
        <w:rPr>
          <w:rFonts w:eastAsiaTheme="majorEastAsia" w:cs="Arial"/>
          <w:sz w:val="20"/>
          <w:szCs w:val="20"/>
        </w:rPr>
        <w:noBreakHyphen/>
        <w:t>fungal drug, terbinafine, in a novel topical formulation for single</w:t>
      </w:r>
      <w:r w:rsidRPr="00EC2628">
        <w:rPr>
          <w:rFonts w:eastAsiaTheme="majorEastAsia" w:cs="Arial"/>
          <w:sz w:val="20"/>
          <w:szCs w:val="20"/>
        </w:rPr>
        <w:noBreakHyphen/>
        <w:t xml:space="preserve">dose application in </w:t>
      </w:r>
      <w:proofErr w:type="spellStart"/>
      <w:r w:rsidRPr="00EC2628">
        <w:rPr>
          <w:rFonts w:eastAsiaTheme="majorEastAsia" w:cs="Arial"/>
          <w:sz w:val="20"/>
          <w:szCs w:val="20"/>
        </w:rPr>
        <w:t>dermatophytoses</w:t>
      </w:r>
      <w:proofErr w:type="spellEnd"/>
      <w:r w:rsidRPr="00EC2628">
        <w:rPr>
          <w:rFonts w:eastAsiaTheme="majorEastAsia" w:cs="Arial"/>
          <w:sz w:val="20"/>
          <w:szCs w:val="20"/>
        </w:rPr>
        <w:t xml:space="preserve">. </w:t>
      </w:r>
      <w:r w:rsidRPr="00EC2628">
        <w:rPr>
          <w:rFonts w:eastAsiaTheme="majorEastAsia" w:cs="Arial"/>
          <w:i/>
          <w:iCs/>
          <w:sz w:val="20"/>
          <w:szCs w:val="20"/>
        </w:rPr>
        <w:t>Current Medical Research and Opinion, 23</w:t>
      </w:r>
      <w:r w:rsidRPr="00EC2628">
        <w:rPr>
          <w:rFonts w:eastAsiaTheme="majorEastAsia" w:cs="Arial"/>
          <w:sz w:val="20"/>
          <w:szCs w:val="20"/>
        </w:rPr>
        <w:t>(6), 1293–1302.</w:t>
      </w:r>
    </w:p>
    <w:p w14:paraId="66DDC7DC"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Sonthalia</w:t>
      </w:r>
      <w:proofErr w:type="spellEnd"/>
      <w:r w:rsidRPr="00EC2628">
        <w:rPr>
          <w:rFonts w:eastAsiaTheme="majorEastAsia" w:cs="Arial"/>
          <w:sz w:val="20"/>
          <w:szCs w:val="20"/>
        </w:rPr>
        <w:t xml:space="preserve">, S., Agrawal, M., &amp; Sehgal, V. N. (2019). Topical ciclopirox olamine 1%: Revisiting a unique antifungal. </w:t>
      </w:r>
      <w:r w:rsidRPr="00EC2628">
        <w:rPr>
          <w:rFonts w:eastAsiaTheme="majorEastAsia" w:cs="Arial"/>
          <w:i/>
          <w:iCs/>
          <w:sz w:val="20"/>
          <w:szCs w:val="20"/>
        </w:rPr>
        <w:t>Indian Dermatology Online Journal, 10</w:t>
      </w:r>
      <w:r w:rsidRPr="00EC2628">
        <w:rPr>
          <w:rFonts w:eastAsiaTheme="majorEastAsia" w:cs="Arial"/>
          <w:sz w:val="20"/>
          <w:szCs w:val="20"/>
        </w:rPr>
        <w:t>(4), 481.</w:t>
      </w:r>
    </w:p>
    <w:p w14:paraId="65492CCB"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Cebrian</w:t>
      </w:r>
      <w:proofErr w:type="spellEnd"/>
      <w:r w:rsidRPr="00EC2628">
        <w:rPr>
          <w:rFonts w:eastAsiaTheme="majorEastAsia" w:cs="Arial"/>
          <w:sz w:val="20"/>
          <w:szCs w:val="20"/>
        </w:rPr>
        <w:t xml:space="preserve">, R. A., </w:t>
      </w:r>
      <w:proofErr w:type="spellStart"/>
      <w:r w:rsidRPr="00EC2628">
        <w:rPr>
          <w:rFonts w:eastAsiaTheme="majorEastAsia" w:cs="Arial"/>
          <w:sz w:val="20"/>
          <w:szCs w:val="20"/>
        </w:rPr>
        <w:t>Dalmagro</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Pinc</w:t>
      </w:r>
      <w:proofErr w:type="spellEnd"/>
      <w:r w:rsidRPr="00EC2628">
        <w:rPr>
          <w:rFonts w:eastAsiaTheme="majorEastAsia" w:cs="Arial"/>
          <w:sz w:val="20"/>
          <w:szCs w:val="20"/>
        </w:rPr>
        <w:t xml:space="preserve">, M. M., </w:t>
      </w:r>
      <w:proofErr w:type="spellStart"/>
      <w:r w:rsidRPr="00EC2628">
        <w:rPr>
          <w:rFonts w:eastAsiaTheme="majorEastAsia" w:cs="Arial"/>
          <w:sz w:val="20"/>
          <w:szCs w:val="20"/>
        </w:rPr>
        <w:t>Donadel</w:t>
      </w:r>
      <w:proofErr w:type="spellEnd"/>
      <w:r w:rsidRPr="00EC2628">
        <w:rPr>
          <w:rFonts w:eastAsiaTheme="majorEastAsia" w:cs="Arial"/>
          <w:sz w:val="20"/>
          <w:szCs w:val="20"/>
        </w:rPr>
        <w:t xml:space="preserve">, G., Engel, L. A., </w:t>
      </w:r>
      <w:proofErr w:type="spellStart"/>
      <w:r w:rsidRPr="00EC2628">
        <w:rPr>
          <w:rFonts w:eastAsiaTheme="majorEastAsia" w:cs="Arial"/>
          <w:sz w:val="20"/>
          <w:szCs w:val="20"/>
        </w:rPr>
        <w:t>Bariccatti</w:t>
      </w:r>
      <w:proofErr w:type="spellEnd"/>
      <w:r w:rsidRPr="00EC2628">
        <w:rPr>
          <w:rFonts w:eastAsiaTheme="majorEastAsia" w:cs="Arial"/>
          <w:sz w:val="20"/>
          <w:szCs w:val="20"/>
        </w:rPr>
        <w:t xml:space="preserve">, R. A., de Almeida, R. M., de Aguiar, K. M., </w:t>
      </w:r>
      <w:proofErr w:type="spellStart"/>
      <w:r w:rsidRPr="00EC2628">
        <w:rPr>
          <w:rFonts w:eastAsiaTheme="majorEastAsia" w:cs="Arial"/>
          <w:sz w:val="20"/>
          <w:szCs w:val="20"/>
        </w:rPr>
        <w:t>Lourenço</w:t>
      </w:r>
      <w:proofErr w:type="spellEnd"/>
      <w:r w:rsidRPr="00EC2628">
        <w:rPr>
          <w:rFonts w:eastAsiaTheme="majorEastAsia" w:cs="Arial"/>
          <w:sz w:val="20"/>
          <w:szCs w:val="20"/>
        </w:rPr>
        <w:t xml:space="preserve">, E. L., &amp; </w:t>
      </w:r>
      <w:proofErr w:type="spellStart"/>
      <w:r w:rsidRPr="00EC2628">
        <w:rPr>
          <w:rFonts w:eastAsiaTheme="majorEastAsia" w:cs="Arial"/>
          <w:sz w:val="20"/>
          <w:szCs w:val="20"/>
        </w:rPr>
        <w:t>Hoscheid</w:t>
      </w:r>
      <w:proofErr w:type="spellEnd"/>
      <w:r w:rsidRPr="00EC2628">
        <w:rPr>
          <w:rFonts w:eastAsiaTheme="majorEastAsia" w:cs="Arial"/>
          <w:sz w:val="20"/>
          <w:szCs w:val="20"/>
        </w:rPr>
        <w:t>, J. (2024). Development and characterization of film</w:t>
      </w:r>
      <w:r w:rsidRPr="00EC2628">
        <w:rPr>
          <w:rFonts w:eastAsiaTheme="majorEastAsia" w:cs="Arial"/>
          <w:sz w:val="20"/>
          <w:szCs w:val="20"/>
        </w:rPr>
        <w:noBreakHyphen/>
        <w:t xml:space="preserve">forming solution loaded with </w:t>
      </w:r>
      <w:proofErr w:type="spellStart"/>
      <w:r w:rsidRPr="00EC2628">
        <w:rPr>
          <w:rFonts w:eastAsiaTheme="majorEastAsia" w:cs="Arial"/>
          <w:i/>
          <w:iCs/>
          <w:sz w:val="20"/>
          <w:szCs w:val="20"/>
        </w:rPr>
        <w:t>Syzygium</w:t>
      </w:r>
      <w:proofErr w:type="spellEnd"/>
      <w:r w:rsidRPr="00EC2628">
        <w:rPr>
          <w:rFonts w:eastAsiaTheme="majorEastAsia" w:cs="Arial"/>
          <w:i/>
          <w:iCs/>
          <w:sz w:val="20"/>
          <w:szCs w:val="20"/>
        </w:rPr>
        <w:t xml:space="preserve"> </w:t>
      </w:r>
      <w:proofErr w:type="spellStart"/>
      <w:r w:rsidRPr="00EC2628">
        <w:rPr>
          <w:rFonts w:eastAsiaTheme="majorEastAsia" w:cs="Arial"/>
          <w:i/>
          <w:iCs/>
          <w:sz w:val="20"/>
          <w:szCs w:val="20"/>
        </w:rPr>
        <w:t>cumini</w:t>
      </w:r>
      <w:proofErr w:type="spellEnd"/>
      <w:r w:rsidRPr="00EC2628">
        <w:rPr>
          <w:rFonts w:eastAsiaTheme="majorEastAsia" w:cs="Arial"/>
          <w:sz w:val="20"/>
          <w:szCs w:val="20"/>
        </w:rPr>
        <w:t xml:space="preserve"> (L.) </w:t>
      </w:r>
      <w:proofErr w:type="spellStart"/>
      <w:r w:rsidRPr="00EC2628">
        <w:rPr>
          <w:rFonts w:eastAsiaTheme="majorEastAsia" w:cs="Arial"/>
          <w:sz w:val="20"/>
          <w:szCs w:val="20"/>
        </w:rPr>
        <w:t>Skeels</w:t>
      </w:r>
      <w:proofErr w:type="spellEnd"/>
      <w:r w:rsidRPr="00EC2628">
        <w:rPr>
          <w:rFonts w:eastAsiaTheme="majorEastAsia" w:cs="Arial"/>
          <w:sz w:val="20"/>
          <w:szCs w:val="20"/>
        </w:rPr>
        <w:t xml:space="preserve"> for topical application in post</w:t>
      </w:r>
      <w:r w:rsidRPr="00EC2628">
        <w:rPr>
          <w:rFonts w:eastAsiaTheme="majorEastAsia" w:cs="Arial"/>
          <w:sz w:val="20"/>
          <w:szCs w:val="20"/>
        </w:rPr>
        <w:noBreakHyphen/>
        <w:t xml:space="preserve">surgical therapies. </w:t>
      </w:r>
      <w:r w:rsidRPr="00EC2628">
        <w:rPr>
          <w:rFonts w:eastAsiaTheme="majorEastAsia" w:cs="Arial"/>
          <w:i/>
          <w:iCs/>
          <w:sz w:val="20"/>
          <w:szCs w:val="20"/>
        </w:rPr>
        <w:t>Pharmaceutics, 16</w:t>
      </w:r>
      <w:r w:rsidRPr="00EC2628">
        <w:rPr>
          <w:rFonts w:eastAsiaTheme="majorEastAsia" w:cs="Arial"/>
          <w:sz w:val="20"/>
          <w:szCs w:val="20"/>
        </w:rPr>
        <w:t>(10), 1294.</w:t>
      </w:r>
    </w:p>
    <w:p w14:paraId="43485AD6"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Dudhipala</w:t>
      </w:r>
      <w:proofErr w:type="spellEnd"/>
      <w:r w:rsidRPr="00EC2628">
        <w:rPr>
          <w:rFonts w:eastAsiaTheme="majorEastAsia" w:cs="Arial"/>
          <w:sz w:val="20"/>
          <w:szCs w:val="20"/>
        </w:rPr>
        <w:t xml:space="preserve">, N., &amp; </w:t>
      </w:r>
      <w:proofErr w:type="spellStart"/>
      <w:r w:rsidRPr="00EC2628">
        <w:rPr>
          <w:rFonts w:eastAsiaTheme="majorEastAsia" w:cs="Arial"/>
          <w:sz w:val="20"/>
          <w:szCs w:val="20"/>
        </w:rPr>
        <w:t>Gorre</w:t>
      </w:r>
      <w:proofErr w:type="spellEnd"/>
      <w:r w:rsidRPr="00EC2628">
        <w:rPr>
          <w:rFonts w:eastAsiaTheme="majorEastAsia" w:cs="Arial"/>
          <w:sz w:val="20"/>
          <w:szCs w:val="20"/>
        </w:rPr>
        <w:t xml:space="preserve">, T. (2020). Neuroprotective effect of ropinirole lipid nanoparticles enriched hydrogel for Parkinson’s disease: In vitro, ex vivo, pharmacokinetic and pharmacodynamic evaluation. </w:t>
      </w:r>
      <w:r w:rsidRPr="00EC2628">
        <w:rPr>
          <w:rFonts w:eastAsiaTheme="majorEastAsia" w:cs="Arial"/>
          <w:i/>
          <w:iCs/>
          <w:sz w:val="20"/>
          <w:szCs w:val="20"/>
        </w:rPr>
        <w:t>Pharmaceutics, 12</w:t>
      </w:r>
      <w:r w:rsidRPr="00EC2628">
        <w:rPr>
          <w:rFonts w:eastAsiaTheme="majorEastAsia" w:cs="Arial"/>
          <w:sz w:val="20"/>
          <w:szCs w:val="20"/>
        </w:rPr>
        <w:t>(5), 448.</w:t>
      </w:r>
    </w:p>
    <w:p w14:paraId="49D19D95"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The Society of Japanese Pharmacopeia. (2016). </w:t>
      </w:r>
      <w:r w:rsidRPr="00EC2628">
        <w:rPr>
          <w:rFonts w:eastAsiaTheme="majorEastAsia" w:cs="Arial"/>
          <w:i/>
          <w:iCs/>
          <w:sz w:val="20"/>
          <w:szCs w:val="20"/>
        </w:rPr>
        <w:t>The Japanese Pharmacopeia</w:t>
      </w:r>
      <w:r w:rsidRPr="00EC2628">
        <w:rPr>
          <w:rFonts w:eastAsiaTheme="majorEastAsia" w:cs="Arial"/>
          <w:sz w:val="20"/>
          <w:szCs w:val="20"/>
        </w:rPr>
        <w:t xml:space="preserve"> (17th ed., p. 1780). Society of Japanese Pharmacopeia.</w:t>
      </w:r>
    </w:p>
    <w:p w14:paraId="09972ECE"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Joshi, M., Sharma, V., &amp; Pathak, K. (2015). Matrix based system of isotretinoin as nail lacquer to enhance </w:t>
      </w:r>
      <w:proofErr w:type="spellStart"/>
      <w:r w:rsidRPr="00EC2628">
        <w:rPr>
          <w:rFonts w:eastAsiaTheme="majorEastAsia" w:cs="Arial"/>
          <w:sz w:val="20"/>
          <w:szCs w:val="20"/>
        </w:rPr>
        <w:t>transungal</w:t>
      </w:r>
      <w:proofErr w:type="spellEnd"/>
      <w:r w:rsidRPr="00EC2628">
        <w:rPr>
          <w:rFonts w:eastAsiaTheme="majorEastAsia" w:cs="Arial"/>
          <w:sz w:val="20"/>
          <w:szCs w:val="20"/>
        </w:rPr>
        <w:t xml:space="preserve"> delivery across human nail plate. </w:t>
      </w:r>
      <w:r w:rsidRPr="00EC2628">
        <w:rPr>
          <w:rFonts w:eastAsiaTheme="majorEastAsia" w:cs="Arial"/>
          <w:i/>
          <w:iCs/>
          <w:sz w:val="20"/>
          <w:szCs w:val="20"/>
        </w:rPr>
        <w:t>International Journal of Pharmaceutics, 478</w:t>
      </w:r>
      <w:r w:rsidRPr="00EC2628">
        <w:rPr>
          <w:rFonts w:eastAsiaTheme="majorEastAsia" w:cs="Arial"/>
          <w:sz w:val="20"/>
          <w:szCs w:val="20"/>
        </w:rPr>
        <w:t>(1), 268–277.</w:t>
      </w:r>
    </w:p>
    <w:p w14:paraId="07EB47DE"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Kittaneh</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Qurt</w:t>
      </w:r>
      <w:proofErr w:type="spellEnd"/>
      <w:r w:rsidRPr="00EC2628">
        <w:rPr>
          <w:rFonts w:eastAsiaTheme="majorEastAsia" w:cs="Arial"/>
          <w:sz w:val="20"/>
          <w:szCs w:val="20"/>
        </w:rPr>
        <w:t xml:space="preserve">, M., </w:t>
      </w:r>
      <w:proofErr w:type="spellStart"/>
      <w:r w:rsidRPr="00EC2628">
        <w:rPr>
          <w:rFonts w:eastAsiaTheme="majorEastAsia" w:cs="Arial"/>
          <w:sz w:val="20"/>
          <w:szCs w:val="20"/>
        </w:rPr>
        <w:t>Malkieh</w:t>
      </w:r>
      <w:proofErr w:type="spellEnd"/>
      <w:r w:rsidRPr="00EC2628">
        <w:rPr>
          <w:rFonts w:eastAsiaTheme="majorEastAsia" w:cs="Arial"/>
          <w:sz w:val="20"/>
          <w:szCs w:val="20"/>
        </w:rPr>
        <w:t xml:space="preserve">, N., </w:t>
      </w:r>
      <w:proofErr w:type="spellStart"/>
      <w:r w:rsidRPr="00EC2628">
        <w:rPr>
          <w:rFonts w:eastAsiaTheme="majorEastAsia" w:cs="Arial"/>
          <w:sz w:val="20"/>
          <w:szCs w:val="20"/>
        </w:rPr>
        <w:t>Naseef</w:t>
      </w:r>
      <w:proofErr w:type="spellEnd"/>
      <w:r w:rsidRPr="00EC2628">
        <w:rPr>
          <w:rFonts w:eastAsiaTheme="majorEastAsia" w:cs="Arial"/>
          <w:sz w:val="20"/>
          <w:szCs w:val="20"/>
        </w:rPr>
        <w:t xml:space="preserve">, H., &amp; </w:t>
      </w:r>
      <w:proofErr w:type="spellStart"/>
      <w:r w:rsidRPr="00EC2628">
        <w:rPr>
          <w:rFonts w:eastAsiaTheme="majorEastAsia" w:cs="Arial"/>
          <w:sz w:val="20"/>
          <w:szCs w:val="20"/>
        </w:rPr>
        <w:t>Muqedi</w:t>
      </w:r>
      <w:proofErr w:type="spellEnd"/>
      <w:r w:rsidRPr="00EC2628">
        <w:rPr>
          <w:rFonts w:eastAsiaTheme="majorEastAsia" w:cs="Arial"/>
          <w:sz w:val="20"/>
          <w:szCs w:val="20"/>
        </w:rPr>
        <w:t>, R. (2022). Preparation and evaluation of vitamin D3 supplementation as transdermal film</w:t>
      </w:r>
      <w:r w:rsidRPr="00EC2628">
        <w:rPr>
          <w:rFonts w:eastAsiaTheme="majorEastAsia" w:cs="Arial"/>
          <w:sz w:val="20"/>
          <w:szCs w:val="20"/>
        </w:rPr>
        <w:noBreakHyphen/>
        <w:t xml:space="preserve">forming solution. </w:t>
      </w:r>
      <w:r w:rsidRPr="00EC2628">
        <w:rPr>
          <w:rFonts w:eastAsiaTheme="majorEastAsia" w:cs="Arial"/>
          <w:i/>
          <w:iCs/>
          <w:sz w:val="20"/>
          <w:szCs w:val="20"/>
        </w:rPr>
        <w:t>Pharmaceutics, 15</w:t>
      </w:r>
      <w:r w:rsidRPr="00EC2628">
        <w:rPr>
          <w:rFonts w:eastAsiaTheme="majorEastAsia" w:cs="Arial"/>
          <w:sz w:val="20"/>
          <w:szCs w:val="20"/>
        </w:rPr>
        <w:t>(1), 39.</w:t>
      </w:r>
      <w:r w:rsidRPr="00EC2628">
        <w:rPr>
          <w:rFonts w:eastAsiaTheme="majorEastAsia" w:cs="Arial"/>
          <w:sz w:val="20"/>
          <w:szCs w:val="20"/>
        </w:rPr>
        <w:br/>
      </w:r>
      <w:r w:rsidRPr="00EC2628">
        <w:rPr>
          <w:rFonts w:eastAsiaTheme="majorEastAsia" w:cs="Arial"/>
          <w:i/>
          <w:iCs/>
          <w:sz w:val="20"/>
          <w:szCs w:val="20"/>
        </w:rPr>
        <w:t>Note: This is a duplicate of reference 34.</w:t>
      </w:r>
    </w:p>
    <w:p w14:paraId="6830B782" w14:textId="77777777" w:rsidR="00914DEA" w:rsidRPr="00EC2628" w:rsidRDefault="00914DEA" w:rsidP="00914DEA">
      <w:pPr>
        <w:numPr>
          <w:ilvl w:val="0"/>
          <w:numId w:val="6"/>
        </w:numPr>
        <w:ind w:left="360"/>
        <w:jc w:val="both"/>
        <w:rPr>
          <w:rFonts w:eastAsiaTheme="majorEastAsia" w:cs="Arial"/>
          <w:sz w:val="20"/>
          <w:szCs w:val="20"/>
        </w:rPr>
      </w:pPr>
      <w:r w:rsidRPr="00EC2628">
        <w:rPr>
          <w:rFonts w:eastAsiaTheme="majorEastAsia" w:cs="Arial"/>
          <w:sz w:val="20"/>
          <w:szCs w:val="20"/>
        </w:rPr>
        <w:t xml:space="preserve">Mori, N. M., Patel, P., </w:t>
      </w:r>
      <w:proofErr w:type="spellStart"/>
      <w:r w:rsidRPr="00EC2628">
        <w:rPr>
          <w:rFonts w:eastAsiaTheme="majorEastAsia" w:cs="Arial"/>
          <w:sz w:val="20"/>
          <w:szCs w:val="20"/>
        </w:rPr>
        <w:t>Sheth</w:t>
      </w:r>
      <w:proofErr w:type="spellEnd"/>
      <w:r w:rsidRPr="00EC2628">
        <w:rPr>
          <w:rFonts w:eastAsiaTheme="majorEastAsia" w:cs="Arial"/>
          <w:sz w:val="20"/>
          <w:szCs w:val="20"/>
        </w:rPr>
        <w:t xml:space="preserve">, N. R., Rathod, L. V., &amp; </w:t>
      </w:r>
      <w:proofErr w:type="spellStart"/>
      <w:r w:rsidRPr="00EC2628">
        <w:rPr>
          <w:rFonts w:eastAsiaTheme="majorEastAsia" w:cs="Arial"/>
          <w:sz w:val="20"/>
          <w:szCs w:val="20"/>
        </w:rPr>
        <w:t>Ashara</w:t>
      </w:r>
      <w:proofErr w:type="spellEnd"/>
      <w:r w:rsidRPr="00EC2628">
        <w:rPr>
          <w:rFonts w:eastAsiaTheme="majorEastAsia" w:cs="Arial"/>
          <w:sz w:val="20"/>
          <w:szCs w:val="20"/>
        </w:rPr>
        <w:t>, K. C. (2017). Fabrication and characterization of film</w:t>
      </w:r>
      <w:r w:rsidRPr="00EC2628">
        <w:rPr>
          <w:rFonts w:eastAsiaTheme="majorEastAsia" w:cs="Arial"/>
          <w:sz w:val="20"/>
          <w:szCs w:val="20"/>
        </w:rPr>
        <w:noBreakHyphen/>
        <w:t xml:space="preserve">forming voriconazole transdermal spray for the treatment of fungal infection. </w:t>
      </w:r>
      <w:r w:rsidRPr="00EC2628">
        <w:rPr>
          <w:rFonts w:eastAsiaTheme="majorEastAsia" w:cs="Arial"/>
          <w:i/>
          <w:iCs/>
          <w:sz w:val="20"/>
          <w:szCs w:val="20"/>
        </w:rPr>
        <w:t>Bulletin of Faculty of Pharmacy, Cairo University, 55</w:t>
      </w:r>
      <w:r w:rsidRPr="00EC2628">
        <w:rPr>
          <w:rFonts w:eastAsiaTheme="majorEastAsia" w:cs="Arial"/>
          <w:sz w:val="20"/>
          <w:szCs w:val="20"/>
        </w:rPr>
        <w:t>(1), 41–51.</w:t>
      </w:r>
    </w:p>
    <w:p w14:paraId="2FFCE858" w14:textId="77777777" w:rsidR="00914DEA" w:rsidRDefault="00914DEA" w:rsidP="00914DEA">
      <w:pPr>
        <w:numPr>
          <w:ilvl w:val="0"/>
          <w:numId w:val="6"/>
        </w:numPr>
        <w:ind w:left="360"/>
        <w:jc w:val="both"/>
        <w:rPr>
          <w:rFonts w:eastAsiaTheme="majorEastAsia" w:cs="Arial"/>
          <w:sz w:val="20"/>
          <w:szCs w:val="20"/>
        </w:rPr>
      </w:pPr>
      <w:r w:rsidRPr="005931D8">
        <w:rPr>
          <w:rFonts w:eastAsiaTheme="majorEastAsia" w:cs="Arial"/>
          <w:sz w:val="20"/>
          <w:szCs w:val="20"/>
        </w:rPr>
        <w:t xml:space="preserve">NN, V., &amp; </w:t>
      </w:r>
      <w:proofErr w:type="spellStart"/>
      <w:r w:rsidRPr="005931D8">
        <w:rPr>
          <w:rFonts w:eastAsiaTheme="majorEastAsia" w:cs="Arial"/>
          <w:sz w:val="20"/>
          <w:szCs w:val="20"/>
        </w:rPr>
        <w:t>Saudagar</w:t>
      </w:r>
      <w:proofErr w:type="spellEnd"/>
      <w:r w:rsidRPr="005931D8">
        <w:rPr>
          <w:rFonts w:eastAsiaTheme="majorEastAsia" w:cs="Arial"/>
          <w:sz w:val="20"/>
          <w:szCs w:val="20"/>
        </w:rPr>
        <w:t>, R. B. (2014). Formulation, development and evaluation of film-forming gel for prolonged dermal delivery of terbinafine hydrochloride.</w:t>
      </w:r>
    </w:p>
    <w:p w14:paraId="146A43F3" w14:textId="77777777" w:rsidR="00914DEA" w:rsidRPr="00EC262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lastRenderedPageBreak/>
        <w:t>Harak</w:t>
      </w:r>
      <w:proofErr w:type="spellEnd"/>
      <w:r w:rsidRPr="00EC2628">
        <w:rPr>
          <w:rFonts w:eastAsiaTheme="majorEastAsia" w:cs="Arial"/>
          <w:sz w:val="20"/>
          <w:szCs w:val="20"/>
        </w:rPr>
        <w:t xml:space="preserve">, P. D., </w:t>
      </w:r>
      <w:proofErr w:type="spellStart"/>
      <w:r w:rsidRPr="00EC2628">
        <w:rPr>
          <w:rFonts w:eastAsiaTheme="majorEastAsia" w:cs="Arial"/>
          <w:sz w:val="20"/>
          <w:szCs w:val="20"/>
        </w:rPr>
        <w:t>Zalte</w:t>
      </w:r>
      <w:proofErr w:type="spellEnd"/>
      <w:r w:rsidRPr="00EC2628">
        <w:rPr>
          <w:rFonts w:eastAsiaTheme="majorEastAsia" w:cs="Arial"/>
          <w:sz w:val="20"/>
          <w:szCs w:val="20"/>
        </w:rPr>
        <w:t xml:space="preserve">, A. G., &amp; </w:t>
      </w:r>
      <w:proofErr w:type="spellStart"/>
      <w:r w:rsidRPr="00EC2628">
        <w:rPr>
          <w:rFonts w:eastAsiaTheme="majorEastAsia" w:cs="Arial"/>
          <w:sz w:val="20"/>
          <w:szCs w:val="20"/>
        </w:rPr>
        <w:t>Gulecha</w:t>
      </w:r>
      <w:proofErr w:type="spellEnd"/>
      <w:r w:rsidRPr="00EC2628">
        <w:rPr>
          <w:rFonts w:eastAsiaTheme="majorEastAsia" w:cs="Arial"/>
          <w:sz w:val="20"/>
          <w:szCs w:val="20"/>
        </w:rPr>
        <w:t xml:space="preserve">, V. S. (2023). Formulation and evaluation of film forming solution of tavaborole for treatment of skin infections. </w:t>
      </w:r>
      <w:r w:rsidRPr="00EC2628">
        <w:rPr>
          <w:rFonts w:eastAsiaTheme="majorEastAsia" w:cs="Arial"/>
          <w:i/>
          <w:iCs/>
          <w:sz w:val="20"/>
          <w:szCs w:val="20"/>
        </w:rPr>
        <w:t>Research Journal of Pharmacy and Technology, 16</w:t>
      </w:r>
      <w:r w:rsidRPr="00EC2628">
        <w:rPr>
          <w:rFonts w:eastAsiaTheme="majorEastAsia" w:cs="Arial"/>
          <w:sz w:val="20"/>
          <w:szCs w:val="20"/>
        </w:rPr>
        <w:t xml:space="preserve">(3), 1342–1346. </w:t>
      </w:r>
      <w:hyperlink r:id="rId30" w:history="1">
        <w:r w:rsidRPr="00EC2628">
          <w:rPr>
            <w:rStyle w:val="Hyperlink"/>
            <w:rFonts w:eastAsiaTheme="majorEastAsia" w:cs="Arial"/>
            <w:sz w:val="20"/>
            <w:szCs w:val="20"/>
          </w:rPr>
          <w:t>https://doi.org/10.52711/0974-360X.2023.00220</w:t>
        </w:r>
      </w:hyperlink>
    </w:p>
    <w:p w14:paraId="4BBD7BCC" w14:textId="77777777" w:rsidR="00914DEA" w:rsidRPr="005931D8" w:rsidRDefault="00914DEA" w:rsidP="00914DEA">
      <w:pPr>
        <w:numPr>
          <w:ilvl w:val="0"/>
          <w:numId w:val="6"/>
        </w:numPr>
        <w:ind w:left="360"/>
        <w:jc w:val="both"/>
        <w:rPr>
          <w:rFonts w:eastAsiaTheme="majorEastAsia" w:cs="Arial"/>
          <w:sz w:val="20"/>
          <w:szCs w:val="20"/>
        </w:rPr>
      </w:pPr>
      <w:proofErr w:type="spellStart"/>
      <w:r w:rsidRPr="00EC2628">
        <w:rPr>
          <w:rFonts w:eastAsiaTheme="majorEastAsia" w:cs="Arial"/>
          <w:sz w:val="20"/>
          <w:szCs w:val="20"/>
        </w:rPr>
        <w:t>Bakshi</w:t>
      </w:r>
      <w:proofErr w:type="spellEnd"/>
      <w:r w:rsidRPr="00EC2628">
        <w:rPr>
          <w:rFonts w:eastAsiaTheme="majorEastAsia" w:cs="Arial"/>
          <w:sz w:val="20"/>
          <w:szCs w:val="20"/>
        </w:rPr>
        <w:t xml:space="preserve">, A., Bajaj, A., Malhotra, G., Madan, M., &amp; </w:t>
      </w:r>
      <w:proofErr w:type="spellStart"/>
      <w:r w:rsidRPr="00EC2628">
        <w:rPr>
          <w:rFonts w:eastAsiaTheme="majorEastAsia" w:cs="Arial"/>
          <w:sz w:val="20"/>
          <w:szCs w:val="20"/>
        </w:rPr>
        <w:t>Amrutiya</w:t>
      </w:r>
      <w:proofErr w:type="spellEnd"/>
      <w:r w:rsidRPr="00EC2628">
        <w:rPr>
          <w:rFonts w:eastAsiaTheme="majorEastAsia" w:cs="Arial"/>
          <w:sz w:val="20"/>
          <w:szCs w:val="20"/>
        </w:rPr>
        <w:t xml:space="preserve">, N. (2008). A novel metered dose transdermal spray formulation for oxybutynin. </w:t>
      </w:r>
      <w:r w:rsidRPr="00EC2628">
        <w:rPr>
          <w:rFonts w:eastAsiaTheme="majorEastAsia" w:cs="Arial"/>
          <w:i/>
          <w:iCs/>
          <w:sz w:val="20"/>
          <w:szCs w:val="20"/>
        </w:rPr>
        <w:t>Indian Journal of Pharmaceutical Sciences, 70</w:t>
      </w:r>
      <w:r w:rsidRPr="00EC2628">
        <w:rPr>
          <w:rFonts w:eastAsiaTheme="majorEastAsia" w:cs="Arial"/>
          <w:sz w:val="20"/>
          <w:szCs w:val="20"/>
        </w:rPr>
        <w:t>(6), 733.</w:t>
      </w:r>
    </w:p>
    <w:p w14:paraId="3F4315A1" w14:textId="77777777" w:rsidR="00914DEA" w:rsidRPr="005931D8" w:rsidRDefault="00914DEA" w:rsidP="00914DEA"/>
    <w:p w14:paraId="24AC05D7" w14:textId="77777777" w:rsidR="00914DEA" w:rsidRPr="00914DEA" w:rsidRDefault="00914DEA" w:rsidP="00914DEA">
      <w:pPr>
        <w:spacing w:line="240" w:lineRule="auto"/>
        <w:jc w:val="both"/>
        <w:rPr>
          <w:rFonts w:cs="Arial"/>
          <w:sz w:val="22"/>
          <w:szCs w:val="20"/>
        </w:rPr>
      </w:pPr>
    </w:p>
    <w:sectPr w:rsidR="00914DEA" w:rsidRPr="00914DEA" w:rsidSect="00E046D7">
      <w:headerReference w:type="even" r:id="rId31"/>
      <w:headerReference w:type="default" r:id="rId32"/>
      <w:footerReference w:type="even" r:id="rId33"/>
      <w:footerReference w:type="default" r:id="rId34"/>
      <w:headerReference w:type="first" r:id="rId35"/>
      <w:footerReference w:type="first" r:id="rId36"/>
      <w:pgSz w:w="12240" w:h="15840" w:code="1"/>
      <w:pgMar w:top="1440" w:right="2016" w:bottom="2016" w:left="2016"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399E9" w14:textId="77777777" w:rsidR="009F1BEE" w:rsidRDefault="009F1BEE" w:rsidP="00C9186C">
      <w:pPr>
        <w:spacing w:after="0" w:line="240" w:lineRule="auto"/>
      </w:pPr>
      <w:r>
        <w:separator/>
      </w:r>
    </w:p>
  </w:endnote>
  <w:endnote w:type="continuationSeparator" w:id="0">
    <w:p w14:paraId="453CA5FE" w14:textId="77777777" w:rsidR="009F1BEE" w:rsidRDefault="009F1BEE" w:rsidP="00C9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758D" w14:textId="77777777" w:rsidR="00DB2A57" w:rsidRDefault="00DB2A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0727" w14:textId="15698AE3" w:rsidR="00E046D7" w:rsidRPr="00E046D7" w:rsidRDefault="00E046D7" w:rsidP="00E046D7">
    <w:pPr>
      <w:pStyle w:val="Footer"/>
      <w:rPr>
        <w:rFonts w:ascii="Helvetica" w:hAnsi="Helvetica" w:cs="Helvetica"/>
        <w:sz w:val="20"/>
        <w:szCs w:val="20"/>
      </w:rPr>
    </w:pPr>
  </w:p>
  <w:p w14:paraId="3A0F4A58" w14:textId="77A3F060" w:rsidR="00E046D7" w:rsidRPr="00E046D7" w:rsidRDefault="00E046D7">
    <w:pPr>
      <w:pStyle w:val="Footer"/>
      <w:rPr>
        <w:rFonts w:ascii="Helvetica" w:hAnsi="Helvetica" w:cs="Helvetica"/>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321F" w14:textId="77777777" w:rsidR="00DB2A57" w:rsidRDefault="00DB2A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E44D0" w14:textId="77777777" w:rsidR="009F1BEE" w:rsidRDefault="009F1BEE" w:rsidP="00C9186C">
      <w:pPr>
        <w:spacing w:after="0" w:line="240" w:lineRule="auto"/>
      </w:pPr>
      <w:r>
        <w:separator/>
      </w:r>
    </w:p>
  </w:footnote>
  <w:footnote w:type="continuationSeparator" w:id="0">
    <w:p w14:paraId="16C6F170" w14:textId="77777777" w:rsidR="009F1BEE" w:rsidRDefault="009F1BEE" w:rsidP="00C9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D66B3" w14:textId="27FF6B5F" w:rsidR="00DB2A57" w:rsidRDefault="009F1BEE">
    <w:pPr>
      <w:pStyle w:val="Header"/>
    </w:pPr>
    <w:r>
      <w:rPr>
        <w:noProof/>
      </w:rPr>
      <w:pict w14:anchorId="39F5D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3A6D" w14:textId="7C475B3E" w:rsidR="00DB2A57" w:rsidRDefault="009F1BEE">
    <w:pPr>
      <w:pStyle w:val="Header"/>
    </w:pPr>
    <w:r>
      <w:rPr>
        <w:noProof/>
      </w:rPr>
      <w:pict w14:anchorId="1ACB1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65A1" w14:textId="4B596618" w:rsidR="00DB2A57" w:rsidRDefault="009F1BEE">
    <w:pPr>
      <w:pStyle w:val="Header"/>
    </w:pPr>
    <w:r>
      <w:rPr>
        <w:noProof/>
      </w:rPr>
      <w:pict w14:anchorId="5A42A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50609"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CEC"/>
    <w:multiLevelType w:val="multilevel"/>
    <w:tmpl w:val="ED940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8E6159"/>
    <w:multiLevelType w:val="multilevel"/>
    <w:tmpl w:val="103E5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365EB3"/>
    <w:multiLevelType w:val="multilevel"/>
    <w:tmpl w:val="C4F8F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4BD3C23"/>
    <w:multiLevelType w:val="multilevel"/>
    <w:tmpl w:val="AD484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37B88"/>
    <w:multiLevelType w:val="multilevel"/>
    <w:tmpl w:val="C380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BB4F2D"/>
    <w:multiLevelType w:val="multilevel"/>
    <w:tmpl w:val="EB1C0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lvlOverride w:ilvl="0">
      <w:startOverride w:val="10"/>
    </w:lvlOverride>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99"/>
    <w:rsid w:val="00001775"/>
    <w:rsid w:val="00001AA0"/>
    <w:rsid w:val="0000316E"/>
    <w:rsid w:val="00004ADA"/>
    <w:rsid w:val="00004C01"/>
    <w:rsid w:val="000072B6"/>
    <w:rsid w:val="00012600"/>
    <w:rsid w:val="00026957"/>
    <w:rsid w:val="00030378"/>
    <w:rsid w:val="00032D9E"/>
    <w:rsid w:val="00035F34"/>
    <w:rsid w:val="000362E6"/>
    <w:rsid w:val="000515DE"/>
    <w:rsid w:val="000531DE"/>
    <w:rsid w:val="00053AC5"/>
    <w:rsid w:val="00060B87"/>
    <w:rsid w:val="0006295C"/>
    <w:rsid w:val="000640BB"/>
    <w:rsid w:val="000668AA"/>
    <w:rsid w:val="00066F62"/>
    <w:rsid w:val="000711D5"/>
    <w:rsid w:val="00072807"/>
    <w:rsid w:val="00073223"/>
    <w:rsid w:val="00074DC7"/>
    <w:rsid w:val="0007576F"/>
    <w:rsid w:val="0007670A"/>
    <w:rsid w:val="000800EF"/>
    <w:rsid w:val="000867BB"/>
    <w:rsid w:val="00091A5E"/>
    <w:rsid w:val="00092245"/>
    <w:rsid w:val="00092C7F"/>
    <w:rsid w:val="0009375B"/>
    <w:rsid w:val="00094602"/>
    <w:rsid w:val="000A1017"/>
    <w:rsid w:val="000A1CCC"/>
    <w:rsid w:val="000A273E"/>
    <w:rsid w:val="000A39B2"/>
    <w:rsid w:val="000A4395"/>
    <w:rsid w:val="000B2B1E"/>
    <w:rsid w:val="000B53F8"/>
    <w:rsid w:val="000B5470"/>
    <w:rsid w:val="000C32A9"/>
    <w:rsid w:val="000C3EF4"/>
    <w:rsid w:val="000C4A17"/>
    <w:rsid w:val="000E2E58"/>
    <w:rsid w:val="000F276C"/>
    <w:rsid w:val="000F4965"/>
    <w:rsid w:val="000F67B0"/>
    <w:rsid w:val="001022CA"/>
    <w:rsid w:val="00106D2D"/>
    <w:rsid w:val="00111252"/>
    <w:rsid w:val="00113418"/>
    <w:rsid w:val="00120802"/>
    <w:rsid w:val="00131CCD"/>
    <w:rsid w:val="00133109"/>
    <w:rsid w:val="00134937"/>
    <w:rsid w:val="00137FB3"/>
    <w:rsid w:val="00146D9A"/>
    <w:rsid w:val="0014751D"/>
    <w:rsid w:val="0015058C"/>
    <w:rsid w:val="001550B7"/>
    <w:rsid w:val="00156444"/>
    <w:rsid w:val="001575F5"/>
    <w:rsid w:val="001618A3"/>
    <w:rsid w:val="00162EC4"/>
    <w:rsid w:val="001631B8"/>
    <w:rsid w:val="00170B8D"/>
    <w:rsid w:val="001715E4"/>
    <w:rsid w:val="00174D07"/>
    <w:rsid w:val="001761C1"/>
    <w:rsid w:val="001779CE"/>
    <w:rsid w:val="00183F29"/>
    <w:rsid w:val="0018496D"/>
    <w:rsid w:val="00187FE2"/>
    <w:rsid w:val="0019084C"/>
    <w:rsid w:val="001923DF"/>
    <w:rsid w:val="00192F4B"/>
    <w:rsid w:val="00193796"/>
    <w:rsid w:val="00193E29"/>
    <w:rsid w:val="001943B3"/>
    <w:rsid w:val="00195260"/>
    <w:rsid w:val="001962C1"/>
    <w:rsid w:val="001A2435"/>
    <w:rsid w:val="001A292D"/>
    <w:rsid w:val="001B03FF"/>
    <w:rsid w:val="001B0ABC"/>
    <w:rsid w:val="001B265A"/>
    <w:rsid w:val="001B3968"/>
    <w:rsid w:val="001D171A"/>
    <w:rsid w:val="001D24BB"/>
    <w:rsid w:val="001D4399"/>
    <w:rsid w:val="001D46C7"/>
    <w:rsid w:val="001D6E4A"/>
    <w:rsid w:val="001D7C48"/>
    <w:rsid w:val="001E1AD1"/>
    <w:rsid w:val="001E3A9F"/>
    <w:rsid w:val="001F01B7"/>
    <w:rsid w:val="002056C4"/>
    <w:rsid w:val="002060B8"/>
    <w:rsid w:val="00217984"/>
    <w:rsid w:val="00220446"/>
    <w:rsid w:val="00224D59"/>
    <w:rsid w:val="00225304"/>
    <w:rsid w:val="00226494"/>
    <w:rsid w:val="002318ED"/>
    <w:rsid w:val="00235717"/>
    <w:rsid w:val="00241596"/>
    <w:rsid w:val="00250A0F"/>
    <w:rsid w:val="0025422C"/>
    <w:rsid w:val="00265515"/>
    <w:rsid w:val="002711F2"/>
    <w:rsid w:val="00277AF1"/>
    <w:rsid w:val="0028123E"/>
    <w:rsid w:val="002830EC"/>
    <w:rsid w:val="0028319A"/>
    <w:rsid w:val="00284D7B"/>
    <w:rsid w:val="00290759"/>
    <w:rsid w:val="0029167D"/>
    <w:rsid w:val="00292028"/>
    <w:rsid w:val="002942F9"/>
    <w:rsid w:val="002A5A03"/>
    <w:rsid w:val="002B069B"/>
    <w:rsid w:val="002B1E6E"/>
    <w:rsid w:val="002B206B"/>
    <w:rsid w:val="002B62B4"/>
    <w:rsid w:val="002B6B44"/>
    <w:rsid w:val="002B798F"/>
    <w:rsid w:val="002C7D53"/>
    <w:rsid w:val="002D1BE5"/>
    <w:rsid w:val="002D5292"/>
    <w:rsid w:val="002D69EF"/>
    <w:rsid w:val="002E33C2"/>
    <w:rsid w:val="002E47CC"/>
    <w:rsid w:val="002E4D79"/>
    <w:rsid w:val="002F0DF0"/>
    <w:rsid w:val="002F2916"/>
    <w:rsid w:val="002F2FD3"/>
    <w:rsid w:val="002F66DD"/>
    <w:rsid w:val="003008EE"/>
    <w:rsid w:val="003013EF"/>
    <w:rsid w:val="00304CC0"/>
    <w:rsid w:val="00310090"/>
    <w:rsid w:val="00310990"/>
    <w:rsid w:val="00311B74"/>
    <w:rsid w:val="00312236"/>
    <w:rsid w:val="003148A9"/>
    <w:rsid w:val="00314DED"/>
    <w:rsid w:val="00316444"/>
    <w:rsid w:val="00316686"/>
    <w:rsid w:val="00316E2B"/>
    <w:rsid w:val="00317847"/>
    <w:rsid w:val="0032390F"/>
    <w:rsid w:val="003246D7"/>
    <w:rsid w:val="003251B0"/>
    <w:rsid w:val="00325359"/>
    <w:rsid w:val="00331FAB"/>
    <w:rsid w:val="00333EB7"/>
    <w:rsid w:val="00336B58"/>
    <w:rsid w:val="00340AE6"/>
    <w:rsid w:val="0034225D"/>
    <w:rsid w:val="00352EA9"/>
    <w:rsid w:val="00356431"/>
    <w:rsid w:val="00360509"/>
    <w:rsid w:val="00364B37"/>
    <w:rsid w:val="003657DA"/>
    <w:rsid w:val="0036637F"/>
    <w:rsid w:val="003718B8"/>
    <w:rsid w:val="003815C5"/>
    <w:rsid w:val="003821E1"/>
    <w:rsid w:val="00384929"/>
    <w:rsid w:val="0038714D"/>
    <w:rsid w:val="00392A44"/>
    <w:rsid w:val="00394587"/>
    <w:rsid w:val="00395043"/>
    <w:rsid w:val="003A25E1"/>
    <w:rsid w:val="003A4C4A"/>
    <w:rsid w:val="003A4E1C"/>
    <w:rsid w:val="003A662B"/>
    <w:rsid w:val="003A6C12"/>
    <w:rsid w:val="003B0596"/>
    <w:rsid w:val="003B11F9"/>
    <w:rsid w:val="003B5877"/>
    <w:rsid w:val="003C30A1"/>
    <w:rsid w:val="003E05B7"/>
    <w:rsid w:val="003E2752"/>
    <w:rsid w:val="003E2E89"/>
    <w:rsid w:val="003E5828"/>
    <w:rsid w:val="00401F6E"/>
    <w:rsid w:val="00402C88"/>
    <w:rsid w:val="00403283"/>
    <w:rsid w:val="00405E72"/>
    <w:rsid w:val="004104B5"/>
    <w:rsid w:val="004119EB"/>
    <w:rsid w:val="00411A84"/>
    <w:rsid w:val="00414E0A"/>
    <w:rsid w:val="00426214"/>
    <w:rsid w:val="00427241"/>
    <w:rsid w:val="004329C2"/>
    <w:rsid w:val="00433A96"/>
    <w:rsid w:val="004341EE"/>
    <w:rsid w:val="00434505"/>
    <w:rsid w:val="004435F6"/>
    <w:rsid w:val="0044454B"/>
    <w:rsid w:val="00444B88"/>
    <w:rsid w:val="004454D8"/>
    <w:rsid w:val="00450385"/>
    <w:rsid w:val="0045133E"/>
    <w:rsid w:val="00453303"/>
    <w:rsid w:val="00455C74"/>
    <w:rsid w:val="0046190E"/>
    <w:rsid w:val="00462776"/>
    <w:rsid w:val="00473B12"/>
    <w:rsid w:val="00474104"/>
    <w:rsid w:val="00475F57"/>
    <w:rsid w:val="00480918"/>
    <w:rsid w:val="0048137A"/>
    <w:rsid w:val="00481EA4"/>
    <w:rsid w:val="004840A8"/>
    <w:rsid w:val="00497A76"/>
    <w:rsid w:val="004A022E"/>
    <w:rsid w:val="004A2775"/>
    <w:rsid w:val="004A4077"/>
    <w:rsid w:val="004B0E53"/>
    <w:rsid w:val="004B143F"/>
    <w:rsid w:val="004B581F"/>
    <w:rsid w:val="004B782F"/>
    <w:rsid w:val="004C2DE5"/>
    <w:rsid w:val="004C6A50"/>
    <w:rsid w:val="004C6F3A"/>
    <w:rsid w:val="004D2941"/>
    <w:rsid w:val="004D4CDF"/>
    <w:rsid w:val="004D5DF5"/>
    <w:rsid w:val="004D5F9E"/>
    <w:rsid w:val="004D6AE9"/>
    <w:rsid w:val="004D7D8E"/>
    <w:rsid w:val="004F3666"/>
    <w:rsid w:val="00500CE6"/>
    <w:rsid w:val="00512AF5"/>
    <w:rsid w:val="00514E0B"/>
    <w:rsid w:val="005169A0"/>
    <w:rsid w:val="00516C56"/>
    <w:rsid w:val="00517EF5"/>
    <w:rsid w:val="00517F7D"/>
    <w:rsid w:val="00520C85"/>
    <w:rsid w:val="005226CA"/>
    <w:rsid w:val="005234AF"/>
    <w:rsid w:val="005238F1"/>
    <w:rsid w:val="00525AE8"/>
    <w:rsid w:val="00527B0F"/>
    <w:rsid w:val="00533C43"/>
    <w:rsid w:val="00536835"/>
    <w:rsid w:val="00541F52"/>
    <w:rsid w:val="00560DE1"/>
    <w:rsid w:val="00560F45"/>
    <w:rsid w:val="00563100"/>
    <w:rsid w:val="0057113C"/>
    <w:rsid w:val="0057120B"/>
    <w:rsid w:val="00574C74"/>
    <w:rsid w:val="005836DB"/>
    <w:rsid w:val="005849AF"/>
    <w:rsid w:val="00586FFF"/>
    <w:rsid w:val="00587B24"/>
    <w:rsid w:val="00591AC3"/>
    <w:rsid w:val="00594E4E"/>
    <w:rsid w:val="005969FE"/>
    <w:rsid w:val="0059776C"/>
    <w:rsid w:val="005A0828"/>
    <w:rsid w:val="005A1D74"/>
    <w:rsid w:val="005B0DF3"/>
    <w:rsid w:val="005B211E"/>
    <w:rsid w:val="005B2F06"/>
    <w:rsid w:val="005B45A1"/>
    <w:rsid w:val="005C377D"/>
    <w:rsid w:val="005D06A4"/>
    <w:rsid w:val="005D1184"/>
    <w:rsid w:val="005D363D"/>
    <w:rsid w:val="005D6C6D"/>
    <w:rsid w:val="005E07FA"/>
    <w:rsid w:val="005E0AD9"/>
    <w:rsid w:val="005E0EFC"/>
    <w:rsid w:val="005E111B"/>
    <w:rsid w:val="005E1F40"/>
    <w:rsid w:val="005E56F4"/>
    <w:rsid w:val="005F39CB"/>
    <w:rsid w:val="005F4967"/>
    <w:rsid w:val="00602474"/>
    <w:rsid w:val="00605EDB"/>
    <w:rsid w:val="00606361"/>
    <w:rsid w:val="0061131A"/>
    <w:rsid w:val="0061354C"/>
    <w:rsid w:val="006160BE"/>
    <w:rsid w:val="0062327F"/>
    <w:rsid w:val="006302B9"/>
    <w:rsid w:val="006343B1"/>
    <w:rsid w:val="00640672"/>
    <w:rsid w:val="00643084"/>
    <w:rsid w:val="00654509"/>
    <w:rsid w:val="006600E3"/>
    <w:rsid w:val="00660112"/>
    <w:rsid w:val="0066327D"/>
    <w:rsid w:val="0066685E"/>
    <w:rsid w:val="006737D9"/>
    <w:rsid w:val="00674F45"/>
    <w:rsid w:val="00681304"/>
    <w:rsid w:val="00681D67"/>
    <w:rsid w:val="00696B2E"/>
    <w:rsid w:val="00696C77"/>
    <w:rsid w:val="006A55F8"/>
    <w:rsid w:val="006B0A80"/>
    <w:rsid w:val="006B1213"/>
    <w:rsid w:val="006B4527"/>
    <w:rsid w:val="006B797C"/>
    <w:rsid w:val="006C4B0A"/>
    <w:rsid w:val="006C6940"/>
    <w:rsid w:val="006D4F54"/>
    <w:rsid w:val="006D6D9B"/>
    <w:rsid w:val="006D744E"/>
    <w:rsid w:val="006D7DE8"/>
    <w:rsid w:val="006E0D5F"/>
    <w:rsid w:val="006E25FE"/>
    <w:rsid w:val="006E761D"/>
    <w:rsid w:val="006F5683"/>
    <w:rsid w:val="006F640A"/>
    <w:rsid w:val="007014F6"/>
    <w:rsid w:val="00706A16"/>
    <w:rsid w:val="00707AD0"/>
    <w:rsid w:val="00712785"/>
    <w:rsid w:val="0071303D"/>
    <w:rsid w:val="007141BE"/>
    <w:rsid w:val="00720BBB"/>
    <w:rsid w:val="00722716"/>
    <w:rsid w:val="00722A65"/>
    <w:rsid w:val="00723356"/>
    <w:rsid w:val="00730047"/>
    <w:rsid w:val="00734DA9"/>
    <w:rsid w:val="00735707"/>
    <w:rsid w:val="00741154"/>
    <w:rsid w:val="00752C1B"/>
    <w:rsid w:val="00753AB3"/>
    <w:rsid w:val="00757EAF"/>
    <w:rsid w:val="00761A82"/>
    <w:rsid w:val="00763B12"/>
    <w:rsid w:val="007656DF"/>
    <w:rsid w:val="00765CA2"/>
    <w:rsid w:val="007701C8"/>
    <w:rsid w:val="0077216F"/>
    <w:rsid w:val="007747AF"/>
    <w:rsid w:val="00785BF5"/>
    <w:rsid w:val="007875EB"/>
    <w:rsid w:val="00793A6E"/>
    <w:rsid w:val="00794216"/>
    <w:rsid w:val="00795743"/>
    <w:rsid w:val="007A0DA0"/>
    <w:rsid w:val="007A2A55"/>
    <w:rsid w:val="007A2FCD"/>
    <w:rsid w:val="007A354B"/>
    <w:rsid w:val="007A3B9E"/>
    <w:rsid w:val="007A5F50"/>
    <w:rsid w:val="007A766B"/>
    <w:rsid w:val="007B4FB7"/>
    <w:rsid w:val="007C2961"/>
    <w:rsid w:val="007C2C60"/>
    <w:rsid w:val="007C7104"/>
    <w:rsid w:val="007D3D64"/>
    <w:rsid w:val="007D46B3"/>
    <w:rsid w:val="007D6FA0"/>
    <w:rsid w:val="007E0F0E"/>
    <w:rsid w:val="007E102C"/>
    <w:rsid w:val="007E3512"/>
    <w:rsid w:val="007E711B"/>
    <w:rsid w:val="007E7616"/>
    <w:rsid w:val="007F0877"/>
    <w:rsid w:val="007F57A6"/>
    <w:rsid w:val="00800F11"/>
    <w:rsid w:val="00801A66"/>
    <w:rsid w:val="008044C1"/>
    <w:rsid w:val="00806435"/>
    <w:rsid w:val="00813188"/>
    <w:rsid w:val="008216BB"/>
    <w:rsid w:val="0082376A"/>
    <w:rsid w:val="008242B2"/>
    <w:rsid w:val="0082673B"/>
    <w:rsid w:val="008317A6"/>
    <w:rsid w:val="00842379"/>
    <w:rsid w:val="00844570"/>
    <w:rsid w:val="00850441"/>
    <w:rsid w:val="00850A30"/>
    <w:rsid w:val="00851867"/>
    <w:rsid w:val="00852444"/>
    <w:rsid w:val="00866C08"/>
    <w:rsid w:val="00871CAE"/>
    <w:rsid w:val="008802B4"/>
    <w:rsid w:val="00891845"/>
    <w:rsid w:val="0089277E"/>
    <w:rsid w:val="00892930"/>
    <w:rsid w:val="00896EC2"/>
    <w:rsid w:val="008A0C87"/>
    <w:rsid w:val="008B0724"/>
    <w:rsid w:val="008B572E"/>
    <w:rsid w:val="008B64C1"/>
    <w:rsid w:val="008B6BA2"/>
    <w:rsid w:val="008C55B1"/>
    <w:rsid w:val="008C7286"/>
    <w:rsid w:val="008D0E15"/>
    <w:rsid w:val="008E3658"/>
    <w:rsid w:val="008E4BAE"/>
    <w:rsid w:val="008E557E"/>
    <w:rsid w:val="008E75CA"/>
    <w:rsid w:val="008F5206"/>
    <w:rsid w:val="008F6276"/>
    <w:rsid w:val="008F775F"/>
    <w:rsid w:val="00902F09"/>
    <w:rsid w:val="00906FEB"/>
    <w:rsid w:val="009139C9"/>
    <w:rsid w:val="00914DEA"/>
    <w:rsid w:val="00915C87"/>
    <w:rsid w:val="00916A92"/>
    <w:rsid w:val="0092363B"/>
    <w:rsid w:val="00924CE4"/>
    <w:rsid w:val="00924D51"/>
    <w:rsid w:val="00926670"/>
    <w:rsid w:val="00927E59"/>
    <w:rsid w:val="00930534"/>
    <w:rsid w:val="00940BB8"/>
    <w:rsid w:val="0094136E"/>
    <w:rsid w:val="00941E82"/>
    <w:rsid w:val="00957FCA"/>
    <w:rsid w:val="00960769"/>
    <w:rsid w:val="00962BC6"/>
    <w:rsid w:val="00963AC9"/>
    <w:rsid w:val="00966C98"/>
    <w:rsid w:val="00971BE3"/>
    <w:rsid w:val="00971D95"/>
    <w:rsid w:val="009743D5"/>
    <w:rsid w:val="0097770B"/>
    <w:rsid w:val="009819AD"/>
    <w:rsid w:val="00982E06"/>
    <w:rsid w:val="0098509B"/>
    <w:rsid w:val="00986CC0"/>
    <w:rsid w:val="00990DFF"/>
    <w:rsid w:val="00992D4E"/>
    <w:rsid w:val="009950D2"/>
    <w:rsid w:val="009A10EB"/>
    <w:rsid w:val="009A4DD6"/>
    <w:rsid w:val="009A6080"/>
    <w:rsid w:val="009A763C"/>
    <w:rsid w:val="009B110F"/>
    <w:rsid w:val="009B20B4"/>
    <w:rsid w:val="009B2947"/>
    <w:rsid w:val="009B3033"/>
    <w:rsid w:val="009C351B"/>
    <w:rsid w:val="009C3587"/>
    <w:rsid w:val="009C5742"/>
    <w:rsid w:val="009C63D3"/>
    <w:rsid w:val="009C6943"/>
    <w:rsid w:val="009C695D"/>
    <w:rsid w:val="009D2198"/>
    <w:rsid w:val="009D32CC"/>
    <w:rsid w:val="009D50AD"/>
    <w:rsid w:val="009D5BAC"/>
    <w:rsid w:val="009D7710"/>
    <w:rsid w:val="009E393E"/>
    <w:rsid w:val="009E4A7A"/>
    <w:rsid w:val="009F00DD"/>
    <w:rsid w:val="009F096A"/>
    <w:rsid w:val="009F1BEE"/>
    <w:rsid w:val="009F5AA8"/>
    <w:rsid w:val="00A00561"/>
    <w:rsid w:val="00A017D9"/>
    <w:rsid w:val="00A07086"/>
    <w:rsid w:val="00A10D7D"/>
    <w:rsid w:val="00A13B12"/>
    <w:rsid w:val="00A1545B"/>
    <w:rsid w:val="00A17E02"/>
    <w:rsid w:val="00A24C55"/>
    <w:rsid w:val="00A35257"/>
    <w:rsid w:val="00A3708C"/>
    <w:rsid w:val="00A4324A"/>
    <w:rsid w:val="00A43FED"/>
    <w:rsid w:val="00A54272"/>
    <w:rsid w:val="00A5743B"/>
    <w:rsid w:val="00A607C4"/>
    <w:rsid w:val="00A628D1"/>
    <w:rsid w:val="00A63987"/>
    <w:rsid w:val="00A65457"/>
    <w:rsid w:val="00A66515"/>
    <w:rsid w:val="00A67441"/>
    <w:rsid w:val="00A73C34"/>
    <w:rsid w:val="00A815AA"/>
    <w:rsid w:val="00A835C9"/>
    <w:rsid w:val="00A9770C"/>
    <w:rsid w:val="00AA5783"/>
    <w:rsid w:val="00AB280D"/>
    <w:rsid w:val="00AB2D49"/>
    <w:rsid w:val="00AB3275"/>
    <w:rsid w:val="00AB50C5"/>
    <w:rsid w:val="00AC0307"/>
    <w:rsid w:val="00AC072F"/>
    <w:rsid w:val="00AC4966"/>
    <w:rsid w:val="00AC69AD"/>
    <w:rsid w:val="00AC7416"/>
    <w:rsid w:val="00AD2A64"/>
    <w:rsid w:val="00AE5C97"/>
    <w:rsid w:val="00AF3282"/>
    <w:rsid w:val="00AF436A"/>
    <w:rsid w:val="00AF5A9E"/>
    <w:rsid w:val="00B0375F"/>
    <w:rsid w:val="00B03C84"/>
    <w:rsid w:val="00B04DCB"/>
    <w:rsid w:val="00B157F6"/>
    <w:rsid w:val="00B17758"/>
    <w:rsid w:val="00B17F3D"/>
    <w:rsid w:val="00B21784"/>
    <w:rsid w:val="00B2185B"/>
    <w:rsid w:val="00B235F8"/>
    <w:rsid w:val="00B26A3A"/>
    <w:rsid w:val="00B26B25"/>
    <w:rsid w:val="00B3162D"/>
    <w:rsid w:val="00B32C91"/>
    <w:rsid w:val="00B337AC"/>
    <w:rsid w:val="00B33C44"/>
    <w:rsid w:val="00B40D03"/>
    <w:rsid w:val="00B414B3"/>
    <w:rsid w:val="00B4226D"/>
    <w:rsid w:val="00B4353B"/>
    <w:rsid w:val="00B43BBB"/>
    <w:rsid w:val="00B43EF9"/>
    <w:rsid w:val="00B4464C"/>
    <w:rsid w:val="00B44EB6"/>
    <w:rsid w:val="00B47664"/>
    <w:rsid w:val="00B50249"/>
    <w:rsid w:val="00B65DCD"/>
    <w:rsid w:val="00B67CB3"/>
    <w:rsid w:val="00B72891"/>
    <w:rsid w:val="00B72B17"/>
    <w:rsid w:val="00B75BC6"/>
    <w:rsid w:val="00B80860"/>
    <w:rsid w:val="00B81867"/>
    <w:rsid w:val="00B82ED1"/>
    <w:rsid w:val="00B861A4"/>
    <w:rsid w:val="00B86203"/>
    <w:rsid w:val="00B86556"/>
    <w:rsid w:val="00B91FD5"/>
    <w:rsid w:val="00BA0ED2"/>
    <w:rsid w:val="00BA18B3"/>
    <w:rsid w:val="00BA2C23"/>
    <w:rsid w:val="00BA3BDC"/>
    <w:rsid w:val="00BA51DF"/>
    <w:rsid w:val="00BA5A48"/>
    <w:rsid w:val="00BA5EAD"/>
    <w:rsid w:val="00BB3768"/>
    <w:rsid w:val="00BB6E61"/>
    <w:rsid w:val="00BC52A2"/>
    <w:rsid w:val="00BC54C8"/>
    <w:rsid w:val="00BC6438"/>
    <w:rsid w:val="00BC7377"/>
    <w:rsid w:val="00BD110B"/>
    <w:rsid w:val="00BD1E80"/>
    <w:rsid w:val="00BD32D3"/>
    <w:rsid w:val="00BD38DD"/>
    <w:rsid w:val="00BE0DD1"/>
    <w:rsid w:val="00BE4762"/>
    <w:rsid w:val="00BE752A"/>
    <w:rsid w:val="00BF017A"/>
    <w:rsid w:val="00BF3FEE"/>
    <w:rsid w:val="00BF73FA"/>
    <w:rsid w:val="00C06C4D"/>
    <w:rsid w:val="00C12F57"/>
    <w:rsid w:val="00C135DC"/>
    <w:rsid w:val="00C2464D"/>
    <w:rsid w:val="00C252DF"/>
    <w:rsid w:val="00C2539B"/>
    <w:rsid w:val="00C25DBF"/>
    <w:rsid w:val="00C26979"/>
    <w:rsid w:val="00C3028D"/>
    <w:rsid w:val="00C30D51"/>
    <w:rsid w:val="00C32942"/>
    <w:rsid w:val="00C32C93"/>
    <w:rsid w:val="00C4353F"/>
    <w:rsid w:val="00C44021"/>
    <w:rsid w:val="00C45D8E"/>
    <w:rsid w:val="00C4692E"/>
    <w:rsid w:val="00C55568"/>
    <w:rsid w:val="00C574A9"/>
    <w:rsid w:val="00C579C3"/>
    <w:rsid w:val="00C57E7B"/>
    <w:rsid w:val="00C65CC0"/>
    <w:rsid w:val="00C65EFE"/>
    <w:rsid w:val="00C66A5A"/>
    <w:rsid w:val="00C67E8C"/>
    <w:rsid w:val="00C7528F"/>
    <w:rsid w:val="00C8331A"/>
    <w:rsid w:val="00C84108"/>
    <w:rsid w:val="00C9186C"/>
    <w:rsid w:val="00C92590"/>
    <w:rsid w:val="00CA0A4B"/>
    <w:rsid w:val="00CA1250"/>
    <w:rsid w:val="00CA3F78"/>
    <w:rsid w:val="00CA4154"/>
    <w:rsid w:val="00CA4191"/>
    <w:rsid w:val="00CB43B5"/>
    <w:rsid w:val="00CB6260"/>
    <w:rsid w:val="00CB6BE4"/>
    <w:rsid w:val="00CB7D84"/>
    <w:rsid w:val="00CC2E05"/>
    <w:rsid w:val="00CC2E5C"/>
    <w:rsid w:val="00CC5232"/>
    <w:rsid w:val="00CC5AC5"/>
    <w:rsid w:val="00CC64DD"/>
    <w:rsid w:val="00CD3417"/>
    <w:rsid w:val="00CD47C2"/>
    <w:rsid w:val="00CE1D12"/>
    <w:rsid w:val="00CE45ED"/>
    <w:rsid w:val="00CE59F6"/>
    <w:rsid w:val="00CF2BBF"/>
    <w:rsid w:val="00CF39E9"/>
    <w:rsid w:val="00CF3D43"/>
    <w:rsid w:val="00CF4D38"/>
    <w:rsid w:val="00CF572F"/>
    <w:rsid w:val="00CF5B9D"/>
    <w:rsid w:val="00CF7086"/>
    <w:rsid w:val="00D045A9"/>
    <w:rsid w:val="00D05218"/>
    <w:rsid w:val="00D0679B"/>
    <w:rsid w:val="00D107F5"/>
    <w:rsid w:val="00D26A6A"/>
    <w:rsid w:val="00D2704D"/>
    <w:rsid w:val="00D34376"/>
    <w:rsid w:val="00D36399"/>
    <w:rsid w:val="00D36B14"/>
    <w:rsid w:val="00D37111"/>
    <w:rsid w:val="00D401AE"/>
    <w:rsid w:val="00D4568E"/>
    <w:rsid w:val="00D46BA2"/>
    <w:rsid w:val="00D46E49"/>
    <w:rsid w:val="00D53E67"/>
    <w:rsid w:val="00D62D0A"/>
    <w:rsid w:val="00D664C0"/>
    <w:rsid w:val="00D80DCC"/>
    <w:rsid w:val="00D87D01"/>
    <w:rsid w:val="00D920D2"/>
    <w:rsid w:val="00D9388D"/>
    <w:rsid w:val="00D93D4A"/>
    <w:rsid w:val="00D97AC8"/>
    <w:rsid w:val="00DA7D90"/>
    <w:rsid w:val="00DB02E7"/>
    <w:rsid w:val="00DB245F"/>
    <w:rsid w:val="00DB2A57"/>
    <w:rsid w:val="00DB4FBA"/>
    <w:rsid w:val="00DB5187"/>
    <w:rsid w:val="00DB5CCD"/>
    <w:rsid w:val="00DB7892"/>
    <w:rsid w:val="00DC4068"/>
    <w:rsid w:val="00DC4CA0"/>
    <w:rsid w:val="00DC65B9"/>
    <w:rsid w:val="00DC742C"/>
    <w:rsid w:val="00DD0C6B"/>
    <w:rsid w:val="00DD3A08"/>
    <w:rsid w:val="00DD4BD6"/>
    <w:rsid w:val="00DD62E5"/>
    <w:rsid w:val="00DD72DB"/>
    <w:rsid w:val="00DE14AF"/>
    <w:rsid w:val="00DE43CF"/>
    <w:rsid w:val="00DE6943"/>
    <w:rsid w:val="00DE696D"/>
    <w:rsid w:val="00DF0D7B"/>
    <w:rsid w:val="00E00172"/>
    <w:rsid w:val="00E00D4B"/>
    <w:rsid w:val="00E01B14"/>
    <w:rsid w:val="00E031F7"/>
    <w:rsid w:val="00E046D7"/>
    <w:rsid w:val="00E04E08"/>
    <w:rsid w:val="00E218E2"/>
    <w:rsid w:val="00E2663E"/>
    <w:rsid w:val="00E26BE3"/>
    <w:rsid w:val="00E27180"/>
    <w:rsid w:val="00E27642"/>
    <w:rsid w:val="00E319A2"/>
    <w:rsid w:val="00E35DD9"/>
    <w:rsid w:val="00E35E0D"/>
    <w:rsid w:val="00E42253"/>
    <w:rsid w:val="00E45A43"/>
    <w:rsid w:val="00E51306"/>
    <w:rsid w:val="00E54E22"/>
    <w:rsid w:val="00E56C22"/>
    <w:rsid w:val="00E623CB"/>
    <w:rsid w:val="00E77632"/>
    <w:rsid w:val="00E812B5"/>
    <w:rsid w:val="00E8248E"/>
    <w:rsid w:val="00E877FE"/>
    <w:rsid w:val="00E934CF"/>
    <w:rsid w:val="00E94EE2"/>
    <w:rsid w:val="00EA1F60"/>
    <w:rsid w:val="00EB1FF0"/>
    <w:rsid w:val="00EB5240"/>
    <w:rsid w:val="00EB73F4"/>
    <w:rsid w:val="00EC11CA"/>
    <w:rsid w:val="00EC1495"/>
    <w:rsid w:val="00EC151F"/>
    <w:rsid w:val="00EC6B2C"/>
    <w:rsid w:val="00ED3B78"/>
    <w:rsid w:val="00ED572B"/>
    <w:rsid w:val="00EE1107"/>
    <w:rsid w:val="00EE5722"/>
    <w:rsid w:val="00EE68A3"/>
    <w:rsid w:val="00EF25ED"/>
    <w:rsid w:val="00EF501A"/>
    <w:rsid w:val="00EF621E"/>
    <w:rsid w:val="00EF635A"/>
    <w:rsid w:val="00F00939"/>
    <w:rsid w:val="00F02BE9"/>
    <w:rsid w:val="00F0435E"/>
    <w:rsid w:val="00F0731C"/>
    <w:rsid w:val="00F1046A"/>
    <w:rsid w:val="00F11040"/>
    <w:rsid w:val="00F133FC"/>
    <w:rsid w:val="00F14141"/>
    <w:rsid w:val="00F1543E"/>
    <w:rsid w:val="00F159D4"/>
    <w:rsid w:val="00F16C84"/>
    <w:rsid w:val="00F226DA"/>
    <w:rsid w:val="00F23CCC"/>
    <w:rsid w:val="00F240FB"/>
    <w:rsid w:val="00F27ED5"/>
    <w:rsid w:val="00F40E99"/>
    <w:rsid w:val="00F414E7"/>
    <w:rsid w:val="00F419B9"/>
    <w:rsid w:val="00F44ABD"/>
    <w:rsid w:val="00F643E6"/>
    <w:rsid w:val="00F669F9"/>
    <w:rsid w:val="00F72C7E"/>
    <w:rsid w:val="00F73248"/>
    <w:rsid w:val="00F74596"/>
    <w:rsid w:val="00F76B31"/>
    <w:rsid w:val="00F77096"/>
    <w:rsid w:val="00F840CD"/>
    <w:rsid w:val="00F85E67"/>
    <w:rsid w:val="00F96B62"/>
    <w:rsid w:val="00F97F2D"/>
    <w:rsid w:val="00FA2526"/>
    <w:rsid w:val="00FA7035"/>
    <w:rsid w:val="00FB020E"/>
    <w:rsid w:val="00FB27C6"/>
    <w:rsid w:val="00FB3B96"/>
    <w:rsid w:val="00FB6739"/>
    <w:rsid w:val="00FB6FD9"/>
    <w:rsid w:val="00FC0451"/>
    <w:rsid w:val="00FC0C96"/>
    <w:rsid w:val="00FD15E4"/>
    <w:rsid w:val="00FD263A"/>
    <w:rsid w:val="00FE17C0"/>
    <w:rsid w:val="00FE5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09C201"/>
  <w15:chartTrackingRefBased/>
  <w15:docId w15:val="{6EF76317-D481-4F83-A588-C77BA61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035"/>
    <w:rPr>
      <w:rFonts w:ascii="Arial" w:hAnsi="Arial"/>
      <w:color w:val="000000" w:themeColor="text1"/>
      <w:sz w:val="24"/>
    </w:rPr>
  </w:style>
  <w:style w:type="paragraph" w:styleId="Heading1">
    <w:name w:val="heading 1"/>
    <w:basedOn w:val="Normal"/>
    <w:next w:val="Normal"/>
    <w:link w:val="Heading1Char"/>
    <w:uiPriority w:val="9"/>
    <w:qFormat/>
    <w:rsid w:val="00763B12"/>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semiHidden/>
    <w:unhideWhenUsed/>
    <w:qFormat/>
    <w:rsid w:val="00F40E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40E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40E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40E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40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B12"/>
    <w:rPr>
      <w:rFonts w:ascii="Times New Roman" w:eastAsiaTheme="majorEastAsia" w:hAnsi="Times New Roman" w:cstheme="majorBidi"/>
      <w:color w:val="000000" w:themeColor="text1"/>
      <w:sz w:val="40"/>
      <w:szCs w:val="40"/>
    </w:rPr>
  </w:style>
  <w:style w:type="character" w:customStyle="1" w:styleId="Heading2Char">
    <w:name w:val="Heading 2 Char"/>
    <w:basedOn w:val="DefaultParagraphFont"/>
    <w:link w:val="Heading2"/>
    <w:uiPriority w:val="9"/>
    <w:semiHidden/>
    <w:rsid w:val="00F40E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40E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40E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40E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40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E99"/>
    <w:rPr>
      <w:rFonts w:eastAsiaTheme="majorEastAsia" w:cstheme="majorBidi"/>
      <w:color w:val="272727" w:themeColor="text1" w:themeTint="D8"/>
    </w:rPr>
  </w:style>
  <w:style w:type="paragraph" w:styleId="Title">
    <w:name w:val="Title"/>
    <w:basedOn w:val="Normal"/>
    <w:next w:val="Normal"/>
    <w:link w:val="TitleChar"/>
    <w:uiPriority w:val="10"/>
    <w:qFormat/>
    <w:rsid w:val="0044454B"/>
    <w:pPr>
      <w:spacing w:before="12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44454B"/>
    <w:rPr>
      <w:rFonts w:ascii="Times New Roman" w:eastAsiaTheme="majorEastAsia" w:hAnsi="Times New Roman"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F40E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E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0E99"/>
    <w:rPr>
      <w:i/>
      <w:iCs/>
      <w:color w:val="404040" w:themeColor="text1" w:themeTint="BF"/>
    </w:rPr>
  </w:style>
  <w:style w:type="paragraph" w:styleId="ListParagraph">
    <w:name w:val="List Paragraph"/>
    <w:basedOn w:val="Normal"/>
    <w:uiPriority w:val="34"/>
    <w:qFormat/>
    <w:rsid w:val="0044454B"/>
    <w:pPr>
      <w:ind w:left="720"/>
      <w:contextualSpacing/>
    </w:pPr>
    <w:rPr>
      <w:b/>
    </w:rPr>
  </w:style>
  <w:style w:type="character" w:styleId="IntenseEmphasis">
    <w:name w:val="Intense Emphasis"/>
    <w:basedOn w:val="DefaultParagraphFont"/>
    <w:uiPriority w:val="21"/>
    <w:qFormat/>
    <w:rsid w:val="00F40E99"/>
    <w:rPr>
      <w:i/>
      <w:iCs/>
      <w:color w:val="365F91" w:themeColor="accent1" w:themeShade="BF"/>
    </w:rPr>
  </w:style>
  <w:style w:type="paragraph" w:styleId="IntenseQuote">
    <w:name w:val="Intense Quote"/>
    <w:basedOn w:val="Normal"/>
    <w:next w:val="Normal"/>
    <w:link w:val="IntenseQuoteChar"/>
    <w:uiPriority w:val="30"/>
    <w:qFormat/>
    <w:rsid w:val="00F40E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40E99"/>
    <w:rPr>
      <w:i/>
      <w:iCs/>
      <w:color w:val="365F91" w:themeColor="accent1" w:themeShade="BF"/>
    </w:rPr>
  </w:style>
  <w:style w:type="character" w:styleId="IntenseReference">
    <w:name w:val="Intense Reference"/>
    <w:basedOn w:val="DefaultParagraphFont"/>
    <w:uiPriority w:val="32"/>
    <w:qFormat/>
    <w:rsid w:val="00F40E99"/>
    <w:rPr>
      <w:b/>
      <w:bCs/>
      <w:smallCaps/>
      <w:color w:val="365F91" w:themeColor="accent1" w:themeShade="BF"/>
      <w:spacing w:val="5"/>
    </w:rPr>
  </w:style>
  <w:style w:type="character" w:styleId="Hyperlink">
    <w:name w:val="Hyperlink"/>
    <w:basedOn w:val="DefaultParagraphFont"/>
    <w:uiPriority w:val="99"/>
    <w:unhideWhenUsed/>
    <w:rsid w:val="00BB3768"/>
    <w:rPr>
      <w:color w:val="0000FF" w:themeColor="hyperlink"/>
      <w:u w:val="single"/>
    </w:rPr>
  </w:style>
  <w:style w:type="character" w:customStyle="1" w:styleId="UnresolvedMention">
    <w:name w:val="Unresolved Mention"/>
    <w:basedOn w:val="DefaultParagraphFont"/>
    <w:uiPriority w:val="99"/>
    <w:semiHidden/>
    <w:unhideWhenUsed/>
    <w:rsid w:val="00BB3768"/>
    <w:rPr>
      <w:color w:val="605E5C"/>
      <w:shd w:val="clear" w:color="auto" w:fill="E1DFDD"/>
    </w:rPr>
  </w:style>
  <w:style w:type="character" w:styleId="PlaceholderText">
    <w:name w:val="Placeholder Text"/>
    <w:basedOn w:val="DefaultParagraphFont"/>
    <w:uiPriority w:val="99"/>
    <w:semiHidden/>
    <w:rsid w:val="00316444"/>
    <w:rPr>
      <w:color w:val="666666"/>
    </w:rPr>
  </w:style>
  <w:style w:type="table" w:styleId="TableGrid">
    <w:name w:val="Table Grid"/>
    <w:basedOn w:val="TableNormal"/>
    <w:uiPriority w:val="59"/>
    <w:rsid w:val="009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6C"/>
    <w:rPr>
      <w:rFonts w:ascii="Times New Roman" w:hAnsi="Times New Roman"/>
      <w:color w:val="000000" w:themeColor="text1"/>
      <w:sz w:val="24"/>
    </w:rPr>
  </w:style>
  <w:style w:type="paragraph" w:styleId="Footer">
    <w:name w:val="footer"/>
    <w:basedOn w:val="Normal"/>
    <w:link w:val="FooterChar"/>
    <w:uiPriority w:val="99"/>
    <w:unhideWhenUsed/>
    <w:rsid w:val="00C91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6C"/>
    <w:rPr>
      <w:rFonts w:ascii="Times New Roman" w:hAnsi="Times New Roman"/>
      <w:color w:val="000000" w:themeColor="text1"/>
      <w:sz w:val="24"/>
    </w:rPr>
  </w:style>
  <w:style w:type="paragraph" w:styleId="FootnoteText">
    <w:name w:val="footnote text"/>
    <w:basedOn w:val="Normal"/>
    <w:link w:val="FootnoteTextChar"/>
    <w:uiPriority w:val="99"/>
    <w:semiHidden/>
    <w:unhideWhenUsed/>
    <w:rsid w:val="000A39B2"/>
    <w:pPr>
      <w:spacing w:after="0" w:line="240" w:lineRule="auto"/>
    </w:pPr>
    <w:rPr>
      <w:szCs w:val="20"/>
    </w:rPr>
  </w:style>
  <w:style w:type="character" w:customStyle="1" w:styleId="FootnoteTextChar">
    <w:name w:val="Footnote Text Char"/>
    <w:basedOn w:val="DefaultParagraphFont"/>
    <w:link w:val="FootnoteText"/>
    <w:uiPriority w:val="99"/>
    <w:semiHidden/>
    <w:rsid w:val="000A39B2"/>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0A39B2"/>
    <w:rPr>
      <w:vertAlign w:val="superscript"/>
    </w:rPr>
  </w:style>
  <w:style w:type="paragraph" w:styleId="EndnoteText">
    <w:name w:val="endnote text"/>
    <w:basedOn w:val="Normal"/>
    <w:link w:val="EndnoteTextChar"/>
    <w:uiPriority w:val="99"/>
    <w:semiHidden/>
    <w:unhideWhenUsed/>
    <w:rsid w:val="000A39B2"/>
    <w:pPr>
      <w:spacing w:after="0" w:line="240" w:lineRule="auto"/>
    </w:pPr>
    <w:rPr>
      <w:szCs w:val="20"/>
    </w:rPr>
  </w:style>
  <w:style w:type="character" w:customStyle="1" w:styleId="EndnoteTextChar">
    <w:name w:val="Endnote Text Char"/>
    <w:basedOn w:val="DefaultParagraphFont"/>
    <w:link w:val="EndnoteText"/>
    <w:uiPriority w:val="99"/>
    <w:semiHidden/>
    <w:rsid w:val="000A39B2"/>
    <w:rPr>
      <w:rFonts w:ascii="Times New Roman" w:hAnsi="Times New Roman"/>
      <w:color w:val="000000" w:themeColor="text1"/>
      <w:sz w:val="20"/>
      <w:szCs w:val="20"/>
    </w:rPr>
  </w:style>
  <w:style w:type="character" w:styleId="EndnoteReference">
    <w:name w:val="endnote reference"/>
    <w:basedOn w:val="DefaultParagraphFont"/>
    <w:uiPriority w:val="99"/>
    <w:semiHidden/>
    <w:unhideWhenUsed/>
    <w:rsid w:val="000A39B2"/>
    <w:rPr>
      <w:vertAlign w:val="superscript"/>
    </w:rPr>
  </w:style>
  <w:style w:type="paragraph" w:styleId="Bibliography">
    <w:name w:val="Bibliography"/>
    <w:basedOn w:val="Normal"/>
    <w:next w:val="Normal"/>
    <w:uiPriority w:val="37"/>
    <w:unhideWhenUsed/>
    <w:rsid w:val="003815C5"/>
  </w:style>
  <w:style w:type="paragraph" w:customStyle="1" w:styleId="Body">
    <w:name w:val="Body"/>
    <w:basedOn w:val="Normal"/>
    <w:rsid w:val="00B67CB3"/>
    <w:pPr>
      <w:spacing w:after="240" w:line="240" w:lineRule="auto"/>
      <w:jc w:val="both"/>
    </w:pPr>
    <w:rPr>
      <w:rFonts w:ascii="Helvetica" w:eastAsia="Times New Roman" w:hAnsi="Helvetica" w:cs="Times New Roman"/>
      <w:color w:val="auto"/>
      <w:kern w:val="0"/>
      <w:sz w:val="20"/>
      <w:szCs w:val="20"/>
      <w14:ligatures w14:val="none"/>
    </w:rPr>
  </w:style>
  <w:style w:type="character" w:styleId="LineNumber">
    <w:name w:val="line number"/>
    <w:basedOn w:val="DefaultParagraphFont"/>
    <w:uiPriority w:val="99"/>
    <w:semiHidden/>
    <w:unhideWhenUsed/>
    <w:rsid w:val="00311B74"/>
  </w:style>
  <w:style w:type="character" w:styleId="FollowedHyperlink">
    <w:name w:val="FollowedHyperlink"/>
    <w:basedOn w:val="DefaultParagraphFont"/>
    <w:uiPriority w:val="99"/>
    <w:semiHidden/>
    <w:unhideWhenUsed/>
    <w:rsid w:val="00217984"/>
    <w:rPr>
      <w:color w:val="800080" w:themeColor="followedHyperlink"/>
      <w:u w:val="single"/>
    </w:rPr>
  </w:style>
  <w:style w:type="character" w:styleId="Strong">
    <w:name w:val="Strong"/>
    <w:basedOn w:val="DefaultParagraphFont"/>
    <w:uiPriority w:val="22"/>
    <w:qFormat/>
    <w:rsid w:val="002D6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3755">
      <w:bodyDiv w:val="1"/>
      <w:marLeft w:val="0"/>
      <w:marRight w:val="0"/>
      <w:marTop w:val="0"/>
      <w:marBottom w:val="0"/>
      <w:divBdr>
        <w:top w:val="none" w:sz="0" w:space="0" w:color="auto"/>
        <w:left w:val="none" w:sz="0" w:space="0" w:color="auto"/>
        <w:bottom w:val="none" w:sz="0" w:space="0" w:color="auto"/>
        <w:right w:val="none" w:sz="0" w:space="0" w:color="auto"/>
      </w:divBdr>
    </w:div>
    <w:div w:id="56125583">
      <w:bodyDiv w:val="1"/>
      <w:marLeft w:val="0"/>
      <w:marRight w:val="0"/>
      <w:marTop w:val="0"/>
      <w:marBottom w:val="0"/>
      <w:divBdr>
        <w:top w:val="none" w:sz="0" w:space="0" w:color="auto"/>
        <w:left w:val="none" w:sz="0" w:space="0" w:color="auto"/>
        <w:bottom w:val="none" w:sz="0" w:space="0" w:color="auto"/>
        <w:right w:val="none" w:sz="0" w:space="0" w:color="auto"/>
      </w:divBdr>
    </w:div>
    <w:div w:id="275719867">
      <w:bodyDiv w:val="1"/>
      <w:marLeft w:val="0"/>
      <w:marRight w:val="0"/>
      <w:marTop w:val="0"/>
      <w:marBottom w:val="0"/>
      <w:divBdr>
        <w:top w:val="none" w:sz="0" w:space="0" w:color="auto"/>
        <w:left w:val="none" w:sz="0" w:space="0" w:color="auto"/>
        <w:bottom w:val="none" w:sz="0" w:space="0" w:color="auto"/>
        <w:right w:val="none" w:sz="0" w:space="0" w:color="auto"/>
      </w:divBdr>
    </w:div>
    <w:div w:id="553124164">
      <w:bodyDiv w:val="1"/>
      <w:marLeft w:val="0"/>
      <w:marRight w:val="0"/>
      <w:marTop w:val="0"/>
      <w:marBottom w:val="0"/>
      <w:divBdr>
        <w:top w:val="none" w:sz="0" w:space="0" w:color="auto"/>
        <w:left w:val="none" w:sz="0" w:space="0" w:color="auto"/>
        <w:bottom w:val="none" w:sz="0" w:space="0" w:color="auto"/>
        <w:right w:val="none" w:sz="0" w:space="0" w:color="auto"/>
      </w:divBdr>
    </w:div>
    <w:div w:id="623660828">
      <w:bodyDiv w:val="1"/>
      <w:marLeft w:val="0"/>
      <w:marRight w:val="0"/>
      <w:marTop w:val="0"/>
      <w:marBottom w:val="0"/>
      <w:divBdr>
        <w:top w:val="none" w:sz="0" w:space="0" w:color="auto"/>
        <w:left w:val="none" w:sz="0" w:space="0" w:color="auto"/>
        <w:bottom w:val="none" w:sz="0" w:space="0" w:color="auto"/>
        <w:right w:val="none" w:sz="0" w:space="0" w:color="auto"/>
      </w:divBdr>
      <w:divsChild>
        <w:div w:id="1871139323">
          <w:marLeft w:val="0"/>
          <w:marRight w:val="0"/>
          <w:marTop w:val="0"/>
          <w:marBottom w:val="0"/>
          <w:divBdr>
            <w:top w:val="none" w:sz="0" w:space="0" w:color="auto"/>
            <w:left w:val="none" w:sz="0" w:space="0" w:color="auto"/>
            <w:bottom w:val="none" w:sz="0" w:space="0" w:color="auto"/>
            <w:right w:val="none" w:sz="0" w:space="0" w:color="auto"/>
          </w:divBdr>
          <w:divsChild>
            <w:div w:id="165440803">
              <w:marLeft w:val="0"/>
              <w:marRight w:val="0"/>
              <w:marTop w:val="0"/>
              <w:marBottom w:val="0"/>
              <w:divBdr>
                <w:top w:val="none" w:sz="0" w:space="0" w:color="auto"/>
                <w:left w:val="none" w:sz="0" w:space="0" w:color="auto"/>
                <w:bottom w:val="none" w:sz="0" w:space="0" w:color="auto"/>
                <w:right w:val="none" w:sz="0" w:space="0" w:color="auto"/>
              </w:divBdr>
              <w:divsChild>
                <w:div w:id="862400696">
                  <w:marLeft w:val="0"/>
                  <w:marRight w:val="0"/>
                  <w:marTop w:val="0"/>
                  <w:marBottom w:val="0"/>
                  <w:divBdr>
                    <w:top w:val="none" w:sz="0" w:space="0" w:color="auto"/>
                    <w:left w:val="none" w:sz="0" w:space="0" w:color="auto"/>
                    <w:bottom w:val="none" w:sz="0" w:space="0" w:color="auto"/>
                    <w:right w:val="none" w:sz="0" w:space="0" w:color="auto"/>
                  </w:divBdr>
                  <w:divsChild>
                    <w:div w:id="1414736513">
                      <w:marLeft w:val="0"/>
                      <w:marRight w:val="0"/>
                      <w:marTop w:val="0"/>
                      <w:marBottom w:val="0"/>
                      <w:divBdr>
                        <w:top w:val="none" w:sz="0" w:space="0" w:color="auto"/>
                        <w:left w:val="none" w:sz="0" w:space="0" w:color="auto"/>
                        <w:bottom w:val="none" w:sz="0" w:space="0" w:color="auto"/>
                        <w:right w:val="none" w:sz="0" w:space="0" w:color="auto"/>
                      </w:divBdr>
                      <w:divsChild>
                        <w:div w:id="1129710795">
                          <w:marLeft w:val="0"/>
                          <w:marRight w:val="0"/>
                          <w:marTop w:val="0"/>
                          <w:marBottom w:val="0"/>
                          <w:divBdr>
                            <w:top w:val="none" w:sz="0" w:space="0" w:color="auto"/>
                            <w:left w:val="none" w:sz="0" w:space="0" w:color="auto"/>
                            <w:bottom w:val="none" w:sz="0" w:space="0" w:color="auto"/>
                            <w:right w:val="none" w:sz="0" w:space="0" w:color="auto"/>
                          </w:divBdr>
                          <w:divsChild>
                            <w:div w:id="827861844">
                              <w:marLeft w:val="0"/>
                              <w:marRight w:val="0"/>
                              <w:marTop w:val="0"/>
                              <w:marBottom w:val="0"/>
                              <w:divBdr>
                                <w:top w:val="none" w:sz="0" w:space="0" w:color="auto"/>
                                <w:left w:val="none" w:sz="0" w:space="0" w:color="auto"/>
                                <w:bottom w:val="none" w:sz="0" w:space="0" w:color="auto"/>
                                <w:right w:val="none" w:sz="0" w:space="0" w:color="auto"/>
                              </w:divBdr>
                              <w:divsChild>
                                <w:div w:id="734813722">
                                  <w:marLeft w:val="0"/>
                                  <w:marRight w:val="0"/>
                                  <w:marTop w:val="0"/>
                                  <w:marBottom w:val="0"/>
                                  <w:divBdr>
                                    <w:top w:val="none" w:sz="0" w:space="0" w:color="auto"/>
                                    <w:left w:val="none" w:sz="0" w:space="0" w:color="auto"/>
                                    <w:bottom w:val="none" w:sz="0" w:space="0" w:color="auto"/>
                                    <w:right w:val="none" w:sz="0" w:space="0" w:color="auto"/>
                                  </w:divBdr>
                                  <w:divsChild>
                                    <w:div w:id="18096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6073">
                          <w:marLeft w:val="0"/>
                          <w:marRight w:val="0"/>
                          <w:marTop w:val="0"/>
                          <w:marBottom w:val="0"/>
                          <w:divBdr>
                            <w:top w:val="none" w:sz="0" w:space="0" w:color="auto"/>
                            <w:left w:val="none" w:sz="0" w:space="0" w:color="auto"/>
                            <w:bottom w:val="none" w:sz="0" w:space="0" w:color="auto"/>
                            <w:right w:val="none" w:sz="0" w:space="0" w:color="auto"/>
                          </w:divBdr>
                          <w:divsChild>
                            <w:div w:id="1235312865">
                              <w:marLeft w:val="0"/>
                              <w:marRight w:val="0"/>
                              <w:marTop w:val="0"/>
                              <w:marBottom w:val="0"/>
                              <w:divBdr>
                                <w:top w:val="none" w:sz="0" w:space="0" w:color="auto"/>
                                <w:left w:val="none" w:sz="0" w:space="0" w:color="auto"/>
                                <w:bottom w:val="none" w:sz="0" w:space="0" w:color="auto"/>
                                <w:right w:val="none" w:sz="0" w:space="0" w:color="auto"/>
                              </w:divBdr>
                              <w:divsChild>
                                <w:div w:id="1527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55167">
      <w:bodyDiv w:val="1"/>
      <w:marLeft w:val="0"/>
      <w:marRight w:val="0"/>
      <w:marTop w:val="0"/>
      <w:marBottom w:val="0"/>
      <w:divBdr>
        <w:top w:val="none" w:sz="0" w:space="0" w:color="auto"/>
        <w:left w:val="none" w:sz="0" w:space="0" w:color="auto"/>
        <w:bottom w:val="none" w:sz="0" w:space="0" w:color="auto"/>
        <w:right w:val="none" w:sz="0" w:space="0" w:color="auto"/>
      </w:divBdr>
    </w:div>
    <w:div w:id="990989699">
      <w:bodyDiv w:val="1"/>
      <w:marLeft w:val="0"/>
      <w:marRight w:val="0"/>
      <w:marTop w:val="0"/>
      <w:marBottom w:val="0"/>
      <w:divBdr>
        <w:top w:val="none" w:sz="0" w:space="0" w:color="auto"/>
        <w:left w:val="none" w:sz="0" w:space="0" w:color="auto"/>
        <w:bottom w:val="none" w:sz="0" w:space="0" w:color="auto"/>
        <w:right w:val="none" w:sz="0" w:space="0" w:color="auto"/>
      </w:divBdr>
    </w:div>
    <w:div w:id="1015158567">
      <w:bodyDiv w:val="1"/>
      <w:marLeft w:val="0"/>
      <w:marRight w:val="0"/>
      <w:marTop w:val="0"/>
      <w:marBottom w:val="0"/>
      <w:divBdr>
        <w:top w:val="none" w:sz="0" w:space="0" w:color="auto"/>
        <w:left w:val="none" w:sz="0" w:space="0" w:color="auto"/>
        <w:bottom w:val="none" w:sz="0" w:space="0" w:color="auto"/>
        <w:right w:val="none" w:sz="0" w:space="0" w:color="auto"/>
      </w:divBdr>
    </w:div>
    <w:div w:id="1043796687">
      <w:bodyDiv w:val="1"/>
      <w:marLeft w:val="0"/>
      <w:marRight w:val="0"/>
      <w:marTop w:val="0"/>
      <w:marBottom w:val="0"/>
      <w:divBdr>
        <w:top w:val="none" w:sz="0" w:space="0" w:color="auto"/>
        <w:left w:val="none" w:sz="0" w:space="0" w:color="auto"/>
        <w:bottom w:val="none" w:sz="0" w:space="0" w:color="auto"/>
        <w:right w:val="none" w:sz="0" w:space="0" w:color="auto"/>
      </w:divBdr>
    </w:div>
    <w:div w:id="1193231974">
      <w:bodyDiv w:val="1"/>
      <w:marLeft w:val="0"/>
      <w:marRight w:val="0"/>
      <w:marTop w:val="0"/>
      <w:marBottom w:val="0"/>
      <w:divBdr>
        <w:top w:val="none" w:sz="0" w:space="0" w:color="auto"/>
        <w:left w:val="none" w:sz="0" w:space="0" w:color="auto"/>
        <w:bottom w:val="none" w:sz="0" w:space="0" w:color="auto"/>
        <w:right w:val="none" w:sz="0" w:space="0" w:color="auto"/>
      </w:divBdr>
    </w:div>
    <w:div w:id="1198346719">
      <w:bodyDiv w:val="1"/>
      <w:marLeft w:val="0"/>
      <w:marRight w:val="0"/>
      <w:marTop w:val="0"/>
      <w:marBottom w:val="0"/>
      <w:divBdr>
        <w:top w:val="none" w:sz="0" w:space="0" w:color="auto"/>
        <w:left w:val="none" w:sz="0" w:space="0" w:color="auto"/>
        <w:bottom w:val="none" w:sz="0" w:space="0" w:color="auto"/>
        <w:right w:val="none" w:sz="0" w:space="0" w:color="auto"/>
      </w:divBdr>
    </w:div>
    <w:div w:id="1203522323">
      <w:bodyDiv w:val="1"/>
      <w:marLeft w:val="0"/>
      <w:marRight w:val="0"/>
      <w:marTop w:val="0"/>
      <w:marBottom w:val="0"/>
      <w:divBdr>
        <w:top w:val="none" w:sz="0" w:space="0" w:color="auto"/>
        <w:left w:val="none" w:sz="0" w:space="0" w:color="auto"/>
        <w:bottom w:val="none" w:sz="0" w:space="0" w:color="auto"/>
        <w:right w:val="none" w:sz="0" w:space="0" w:color="auto"/>
      </w:divBdr>
      <w:divsChild>
        <w:div w:id="1236890370">
          <w:marLeft w:val="0"/>
          <w:marRight w:val="0"/>
          <w:marTop w:val="0"/>
          <w:marBottom w:val="0"/>
          <w:divBdr>
            <w:top w:val="none" w:sz="0" w:space="0" w:color="auto"/>
            <w:left w:val="none" w:sz="0" w:space="0" w:color="auto"/>
            <w:bottom w:val="none" w:sz="0" w:space="0" w:color="auto"/>
            <w:right w:val="none" w:sz="0" w:space="0" w:color="auto"/>
          </w:divBdr>
          <w:divsChild>
            <w:div w:id="1683581848">
              <w:marLeft w:val="0"/>
              <w:marRight w:val="0"/>
              <w:marTop w:val="0"/>
              <w:marBottom w:val="0"/>
              <w:divBdr>
                <w:top w:val="none" w:sz="0" w:space="0" w:color="auto"/>
                <w:left w:val="none" w:sz="0" w:space="0" w:color="auto"/>
                <w:bottom w:val="none" w:sz="0" w:space="0" w:color="auto"/>
                <w:right w:val="none" w:sz="0" w:space="0" w:color="auto"/>
              </w:divBdr>
              <w:divsChild>
                <w:div w:id="2140685369">
                  <w:marLeft w:val="0"/>
                  <w:marRight w:val="0"/>
                  <w:marTop w:val="0"/>
                  <w:marBottom w:val="0"/>
                  <w:divBdr>
                    <w:top w:val="none" w:sz="0" w:space="0" w:color="auto"/>
                    <w:left w:val="none" w:sz="0" w:space="0" w:color="auto"/>
                    <w:bottom w:val="none" w:sz="0" w:space="0" w:color="auto"/>
                    <w:right w:val="none" w:sz="0" w:space="0" w:color="auto"/>
                  </w:divBdr>
                  <w:divsChild>
                    <w:div w:id="610674834">
                      <w:marLeft w:val="0"/>
                      <w:marRight w:val="0"/>
                      <w:marTop w:val="0"/>
                      <w:marBottom w:val="0"/>
                      <w:divBdr>
                        <w:top w:val="none" w:sz="0" w:space="0" w:color="auto"/>
                        <w:left w:val="none" w:sz="0" w:space="0" w:color="auto"/>
                        <w:bottom w:val="none" w:sz="0" w:space="0" w:color="auto"/>
                        <w:right w:val="none" w:sz="0" w:space="0" w:color="auto"/>
                      </w:divBdr>
                      <w:divsChild>
                        <w:div w:id="525489254">
                          <w:marLeft w:val="0"/>
                          <w:marRight w:val="0"/>
                          <w:marTop w:val="0"/>
                          <w:marBottom w:val="0"/>
                          <w:divBdr>
                            <w:top w:val="none" w:sz="0" w:space="0" w:color="auto"/>
                            <w:left w:val="none" w:sz="0" w:space="0" w:color="auto"/>
                            <w:bottom w:val="none" w:sz="0" w:space="0" w:color="auto"/>
                            <w:right w:val="none" w:sz="0" w:space="0" w:color="auto"/>
                          </w:divBdr>
                          <w:divsChild>
                            <w:div w:id="58671663">
                              <w:marLeft w:val="0"/>
                              <w:marRight w:val="0"/>
                              <w:marTop w:val="0"/>
                              <w:marBottom w:val="0"/>
                              <w:divBdr>
                                <w:top w:val="none" w:sz="0" w:space="0" w:color="auto"/>
                                <w:left w:val="none" w:sz="0" w:space="0" w:color="auto"/>
                                <w:bottom w:val="none" w:sz="0" w:space="0" w:color="auto"/>
                                <w:right w:val="none" w:sz="0" w:space="0" w:color="auto"/>
                              </w:divBdr>
                              <w:divsChild>
                                <w:div w:id="706758704">
                                  <w:marLeft w:val="0"/>
                                  <w:marRight w:val="0"/>
                                  <w:marTop w:val="0"/>
                                  <w:marBottom w:val="0"/>
                                  <w:divBdr>
                                    <w:top w:val="none" w:sz="0" w:space="0" w:color="auto"/>
                                    <w:left w:val="none" w:sz="0" w:space="0" w:color="auto"/>
                                    <w:bottom w:val="none" w:sz="0" w:space="0" w:color="auto"/>
                                    <w:right w:val="none" w:sz="0" w:space="0" w:color="auto"/>
                                  </w:divBdr>
                                  <w:divsChild>
                                    <w:div w:id="17945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1101">
                          <w:marLeft w:val="0"/>
                          <w:marRight w:val="0"/>
                          <w:marTop w:val="0"/>
                          <w:marBottom w:val="0"/>
                          <w:divBdr>
                            <w:top w:val="none" w:sz="0" w:space="0" w:color="auto"/>
                            <w:left w:val="none" w:sz="0" w:space="0" w:color="auto"/>
                            <w:bottom w:val="none" w:sz="0" w:space="0" w:color="auto"/>
                            <w:right w:val="none" w:sz="0" w:space="0" w:color="auto"/>
                          </w:divBdr>
                          <w:divsChild>
                            <w:div w:id="1247836137">
                              <w:marLeft w:val="0"/>
                              <w:marRight w:val="0"/>
                              <w:marTop w:val="0"/>
                              <w:marBottom w:val="0"/>
                              <w:divBdr>
                                <w:top w:val="none" w:sz="0" w:space="0" w:color="auto"/>
                                <w:left w:val="none" w:sz="0" w:space="0" w:color="auto"/>
                                <w:bottom w:val="none" w:sz="0" w:space="0" w:color="auto"/>
                                <w:right w:val="none" w:sz="0" w:space="0" w:color="auto"/>
                              </w:divBdr>
                              <w:divsChild>
                                <w:div w:id="16906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25967">
      <w:bodyDiv w:val="1"/>
      <w:marLeft w:val="0"/>
      <w:marRight w:val="0"/>
      <w:marTop w:val="0"/>
      <w:marBottom w:val="0"/>
      <w:divBdr>
        <w:top w:val="none" w:sz="0" w:space="0" w:color="auto"/>
        <w:left w:val="none" w:sz="0" w:space="0" w:color="auto"/>
        <w:bottom w:val="none" w:sz="0" w:space="0" w:color="auto"/>
        <w:right w:val="none" w:sz="0" w:space="0" w:color="auto"/>
      </w:divBdr>
    </w:div>
    <w:div w:id="1387875435">
      <w:bodyDiv w:val="1"/>
      <w:marLeft w:val="0"/>
      <w:marRight w:val="0"/>
      <w:marTop w:val="0"/>
      <w:marBottom w:val="0"/>
      <w:divBdr>
        <w:top w:val="none" w:sz="0" w:space="0" w:color="auto"/>
        <w:left w:val="none" w:sz="0" w:space="0" w:color="auto"/>
        <w:bottom w:val="none" w:sz="0" w:space="0" w:color="auto"/>
        <w:right w:val="none" w:sz="0" w:space="0" w:color="auto"/>
      </w:divBdr>
    </w:div>
    <w:div w:id="1500348222">
      <w:bodyDiv w:val="1"/>
      <w:marLeft w:val="0"/>
      <w:marRight w:val="0"/>
      <w:marTop w:val="0"/>
      <w:marBottom w:val="0"/>
      <w:divBdr>
        <w:top w:val="none" w:sz="0" w:space="0" w:color="auto"/>
        <w:left w:val="none" w:sz="0" w:space="0" w:color="auto"/>
        <w:bottom w:val="none" w:sz="0" w:space="0" w:color="auto"/>
        <w:right w:val="none" w:sz="0" w:space="0" w:color="auto"/>
      </w:divBdr>
    </w:div>
    <w:div w:id="1529483688">
      <w:bodyDiv w:val="1"/>
      <w:marLeft w:val="0"/>
      <w:marRight w:val="0"/>
      <w:marTop w:val="0"/>
      <w:marBottom w:val="0"/>
      <w:divBdr>
        <w:top w:val="none" w:sz="0" w:space="0" w:color="auto"/>
        <w:left w:val="none" w:sz="0" w:space="0" w:color="auto"/>
        <w:bottom w:val="none" w:sz="0" w:space="0" w:color="auto"/>
        <w:right w:val="none" w:sz="0" w:space="0" w:color="auto"/>
      </w:divBdr>
    </w:div>
    <w:div w:id="1552964149">
      <w:bodyDiv w:val="1"/>
      <w:marLeft w:val="0"/>
      <w:marRight w:val="0"/>
      <w:marTop w:val="0"/>
      <w:marBottom w:val="0"/>
      <w:divBdr>
        <w:top w:val="none" w:sz="0" w:space="0" w:color="auto"/>
        <w:left w:val="none" w:sz="0" w:space="0" w:color="auto"/>
        <w:bottom w:val="none" w:sz="0" w:space="0" w:color="auto"/>
        <w:right w:val="none" w:sz="0" w:space="0" w:color="auto"/>
      </w:divBdr>
    </w:div>
    <w:div w:id="1589465457">
      <w:bodyDiv w:val="1"/>
      <w:marLeft w:val="0"/>
      <w:marRight w:val="0"/>
      <w:marTop w:val="0"/>
      <w:marBottom w:val="0"/>
      <w:divBdr>
        <w:top w:val="none" w:sz="0" w:space="0" w:color="auto"/>
        <w:left w:val="none" w:sz="0" w:space="0" w:color="auto"/>
        <w:bottom w:val="none" w:sz="0" w:space="0" w:color="auto"/>
        <w:right w:val="none" w:sz="0" w:space="0" w:color="auto"/>
      </w:divBdr>
    </w:div>
    <w:div w:id="1594707457">
      <w:bodyDiv w:val="1"/>
      <w:marLeft w:val="0"/>
      <w:marRight w:val="0"/>
      <w:marTop w:val="0"/>
      <w:marBottom w:val="0"/>
      <w:divBdr>
        <w:top w:val="none" w:sz="0" w:space="0" w:color="auto"/>
        <w:left w:val="none" w:sz="0" w:space="0" w:color="auto"/>
        <w:bottom w:val="none" w:sz="0" w:space="0" w:color="auto"/>
        <w:right w:val="none" w:sz="0" w:space="0" w:color="auto"/>
      </w:divBdr>
    </w:div>
    <w:div w:id="1664695114">
      <w:bodyDiv w:val="1"/>
      <w:marLeft w:val="0"/>
      <w:marRight w:val="0"/>
      <w:marTop w:val="0"/>
      <w:marBottom w:val="0"/>
      <w:divBdr>
        <w:top w:val="none" w:sz="0" w:space="0" w:color="auto"/>
        <w:left w:val="none" w:sz="0" w:space="0" w:color="auto"/>
        <w:bottom w:val="none" w:sz="0" w:space="0" w:color="auto"/>
        <w:right w:val="none" w:sz="0" w:space="0" w:color="auto"/>
      </w:divBdr>
    </w:div>
    <w:div w:id="1720518859">
      <w:bodyDiv w:val="1"/>
      <w:marLeft w:val="0"/>
      <w:marRight w:val="0"/>
      <w:marTop w:val="0"/>
      <w:marBottom w:val="0"/>
      <w:divBdr>
        <w:top w:val="none" w:sz="0" w:space="0" w:color="auto"/>
        <w:left w:val="none" w:sz="0" w:space="0" w:color="auto"/>
        <w:bottom w:val="none" w:sz="0" w:space="0" w:color="auto"/>
        <w:right w:val="none" w:sz="0" w:space="0" w:color="auto"/>
      </w:divBdr>
      <w:divsChild>
        <w:div w:id="752971469">
          <w:marLeft w:val="0"/>
          <w:marRight w:val="0"/>
          <w:marTop w:val="0"/>
          <w:marBottom w:val="0"/>
          <w:divBdr>
            <w:top w:val="none" w:sz="0" w:space="0" w:color="auto"/>
            <w:left w:val="none" w:sz="0" w:space="0" w:color="auto"/>
            <w:bottom w:val="none" w:sz="0" w:space="0" w:color="auto"/>
            <w:right w:val="none" w:sz="0" w:space="0" w:color="auto"/>
          </w:divBdr>
          <w:divsChild>
            <w:div w:id="1861626070">
              <w:marLeft w:val="0"/>
              <w:marRight w:val="0"/>
              <w:marTop w:val="0"/>
              <w:marBottom w:val="0"/>
              <w:divBdr>
                <w:top w:val="none" w:sz="0" w:space="0" w:color="auto"/>
                <w:left w:val="none" w:sz="0" w:space="0" w:color="auto"/>
                <w:bottom w:val="none" w:sz="0" w:space="0" w:color="auto"/>
                <w:right w:val="none" w:sz="0" w:space="0" w:color="auto"/>
              </w:divBdr>
              <w:divsChild>
                <w:div w:id="1937204267">
                  <w:marLeft w:val="0"/>
                  <w:marRight w:val="0"/>
                  <w:marTop w:val="0"/>
                  <w:marBottom w:val="0"/>
                  <w:divBdr>
                    <w:top w:val="none" w:sz="0" w:space="0" w:color="auto"/>
                    <w:left w:val="none" w:sz="0" w:space="0" w:color="auto"/>
                    <w:bottom w:val="none" w:sz="0" w:space="0" w:color="auto"/>
                    <w:right w:val="none" w:sz="0" w:space="0" w:color="auto"/>
                  </w:divBdr>
                  <w:divsChild>
                    <w:div w:id="4860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4263">
          <w:marLeft w:val="0"/>
          <w:marRight w:val="0"/>
          <w:marTop w:val="0"/>
          <w:marBottom w:val="0"/>
          <w:divBdr>
            <w:top w:val="none" w:sz="0" w:space="0" w:color="auto"/>
            <w:left w:val="none" w:sz="0" w:space="0" w:color="auto"/>
            <w:bottom w:val="none" w:sz="0" w:space="0" w:color="auto"/>
            <w:right w:val="none" w:sz="0" w:space="0" w:color="auto"/>
          </w:divBdr>
          <w:divsChild>
            <w:div w:id="351078791">
              <w:marLeft w:val="0"/>
              <w:marRight w:val="0"/>
              <w:marTop w:val="0"/>
              <w:marBottom w:val="0"/>
              <w:divBdr>
                <w:top w:val="none" w:sz="0" w:space="0" w:color="auto"/>
                <w:left w:val="none" w:sz="0" w:space="0" w:color="auto"/>
                <w:bottom w:val="none" w:sz="0" w:space="0" w:color="auto"/>
                <w:right w:val="none" w:sz="0" w:space="0" w:color="auto"/>
              </w:divBdr>
              <w:divsChild>
                <w:div w:id="1367677544">
                  <w:marLeft w:val="0"/>
                  <w:marRight w:val="0"/>
                  <w:marTop w:val="0"/>
                  <w:marBottom w:val="0"/>
                  <w:divBdr>
                    <w:top w:val="none" w:sz="0" w:space="0" w:color="auto"/>
                    <w:left w:val="none" w:sz="0" w:space="0" w:color="auto"/>
                    <w:bottom w:val="none" w:sz="0" w:space="0" w:color="auto"/>
                    <w:right w:val="none" w:sz="0" w:space="0" w:color="auto"/>
                  </w:divBdr>
                  <w:divsChild>
                    <w:div w:id="727187665">
                      <w:marLeft w:val="0"/>
                      <w:marRight w:val="0"/>
                      <w:marTop w:val="0"/>
                      <w:marBottom w:val="0"/>
                      <w:divBdr>
                        <w:top w:val="none" w:sz="0" w:space="0" w:color="auto"/>
                        <w:left w:val="none" w:sz="0" w:space="0" w:color="auto"/>
                        <w:bottom w:val="none" w:sz="0" w:space="0" w:color="auto"/>
                        <w:right w:val="none" w:sz="0" w:space="0" w:color="auto"/>
                      </w:divBdr>
                      <w:divsChild>
                        <w:div w:id="12587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54209">
      <w:bodyDiv w:val="1"/>
      <w:marLeft w:val="0"/>
      <w:marRight w:val="0"/>
      <w:marTop w:val="0"/>
      <w:marBottom w:val="0"/>
      <w:divBdr>
        <w:top w:val="none" w:sz="0" w:space="0" w:color="auto"/>
        <w:left w:val="none" w:sz="0" w:space="0" w:color="auto"/>
        <w:bottom w:val="none" w:sz="0" w:space="0" w:color="auto"/>
        <w:right w:val="none" w:sz="0" w:space="0" w:color="auto"/>
      </w:divBdr>
    </w:div>
    <w:div w:id="1836532931">
      <w:bodyDiv w:val="1"/>
      <w:marLeft w:val="0"/>
      <w:marRight w:val="0"/>
      <w:marTop w:val="0"/>
      <w:marBottom w:val="0"/>
      <w:divBdr>
        <w:top w:val="none" w:sz="0" w:space="0" w:color="auto"/>
        <w:left w:val="none" w:sz="0" w:space="0" w:color="auto"/>
        <w:bottom w:val="none" w:sz="0" w:space="0" w:color="auto"/>
        <w:right w:val="none" w:sz="0" w:space="0" w:color="auto"/>
      </w:divBdr>
    </w:div>
    <w:div w:id="1876581470">
      <w:bodyDiv w:val="1"/>
      <w:marLeft w:val="0"/>
      <w:marRight w:val="0"/>
      <w:marTop w:val="0"/>
      <w:marBottom w:val="0"/>
      <w:divBdr>
        <w:top w:val="none" w:sz="0" w:space="0" w:color="auto"/>
        <w:left w:val="none" w:sz="0" w:space="0" w:color="auto"/>
        <w:bottom w:val="none" w:sz="0" w:space="0" w:color="auto"/>
        <w:right w:val="none" w:sz="0" w:space="0" w:color="auto"/>
      </w:divBdr>
    </w:div>
    <w:div w:id="1987204676">
      <w:bodyDiv w:val="1"/>
      <w:marLeft w:val="0"/>
      <w:marRight w:val="0"/>
      <w:marTop w:val="0"/>
      <w:marBottom w:val="0"/>
      <w:divBdr>
        <w:top w:val="none" w:sz="0" w:space="0" w:color="auto"/>
        <w:left w:val="none" w:sz="0" w:space="0" w:color="auto"/>
        <w:bottom w:val="none" w:sz="0" w:space="0" w:color="auto"/>
        <w:right w:val="none" w:sz="0" w:space="0" w:color="auto"/>
      </w:divBdr>
    </w:div>
    <w:div w:id="20331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doi.org/10.2165/11538110-000000000-00000" TargetMode="External"/><Relationship Id="rId26" Type="http://schemas.openxmlformats.org/officeDocument/2006/relationships/hyperlink" Target="https://doi.org/10.1016/j.ejpb.2015.01.002" TargetMode="External"/><Relationship Id="rId3" Type="http://schemas.openxmlformats.org/officeDocument/2006/relationships/styles" Target="styles.xml"/><Relationship Id="rId21" Type="http://schemas.openxmlformats.org/officeDocument/2006/relationships/hyperlink" Target="https://doi.org/10.3390/pharmaceutics11060290"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ijcpr.com/" TargetMode="External"/><Relationship Id="rId25" Type="http://schemas.openxmlformats.org/officeDocument/2006/relationships/hyperlink" Target="https://doi.org/10.1016/j.ejpb.2015.01.002"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app142411859" TargetMode="External"/><Relationship Id="rId20" Type="http://schemas.openxmlformats.org/officeDocument/2006/relationships/hyperlink" Target="https://doi.org/10.1080/10837450.2017.1369110" TargetMode="External"/><Relationship Id="rId29" Type="http://schemas.openxmlformats.org/officeDocument/2006/relationships/hyperlink" Target="https://doi.org/10.3390/polym15041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16/j.ajps.2017.07.00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xphs.2016.10.001" TargetMode="External"/><Relationship Id="rId23" Type="http://schemas.openxmlformats.org/officeDocument/2006/relationships/hyperlink" Target="https://doi.org/10.1016/j.ejps.2017.01.004" TargetMode="External"/><Relationship Id="rId28" Type="http://schemas.openxmlformats.org/officeDocument/2006/relationships/hyperlink" Target="https://doi.org/10.1080/17425247.2020.1737671" TargetMode="External"/><Relationship Id="rId36" Type="http://schemas.openxmlformats.org/officeDocument/2006/relationships/footer" Target="footer3.xml"/><Relationship Id="rId10" Type="http://schemas.microsoft.com/office/2007/relationships/hdphoto" Target="media/hdphoto1.wdp"/><Relationship Id="rId19" Type="http://schemas.openxmlformats.org/officeDocument/2006/relationships/hyperlink" Target="https://doi.org/10.1002/ajh.2364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doi.org/10.1007/s13555-016-0125-6" TargetMode="External"/><Relationship Id="rId27" Type="http://schemas.openxmlformats.org/officeDocument/2006/relationships/hyperlink" Target="https://doi.org/10.1080/09205063.2024.2443332" TargetMode="External"/><Relationship Id="rId30" Type="http://schemas.openxmlformats.org/officeDocument/2006/relationships/hyperlink" Target="https://doi.org/10.52711/0974-360X.2023.00220"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E:\data%20for%20thesis%20by%20senior\kkcm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for%20thesis%20by%20senior\kkcm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'in vitro drug release'!$B$2</c:f>
              <c:strCache>
                <c:ptCount val="1"/>
                <c:pt idx="0">
                  <c:v>TR1</c:v>
                </c:pt>
              </c:strCache>
            </c:strRef>
          </c:tx>
          <c:spPr>
            <a:ln w="19050" cap="rnd">
              <a:solidFill>
                <a:schemeClr val="accent1"/>
              </a:solidFill>
              <a:round/>
            </a:ln>
            <a:effectLst/>
          </c:spPr>
          <c:marker>
            <c:symbol val="diamond"/>
            <c:size val="10"/>
            <c:spPr>
              <a:solidFill>
                <a:schemeClr val="accent1"/>
              </a:solidFill>
              <a:ln w="9525">
                <a:solidFill>
                  <a:schemeClr val="accent1"/>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release'!$B$3:$B$13</c:f>
              <c:numCache>
                <c:formatCode>General</c:formatCode>
                <c:ptCount val="11"/>
                <c:pt idx="0">
                  <c:v>0</c:v>
                </c:pt>
                <c:pt idx="1">
                  <c:v>4.74</c:v>
                </c:pt>
                <c:pt idx="2">
                  <c:v>8.1039999999999992</c:v>
                </c:pt>
                <c:pt idx="3">
                  <c:v>12.286</c:v>
                </c:pt>
                <c:pt idx="4">
                  <c:v>14.571</c:v>
                </c:pt>
                <c:pt idx="5">
                  <c:v>18.48</c:v>
                </c:pt>
                <c:pt idx="6">
                  <c:v>27.658999999999999</c:v>
                </c:pt>
                <c:pt idx="7">
                  <c:v>33.451000000000001</c:v>
                </c:pt>
                <c:pt idx="8">
                  <c:v>39.719000000000001</c:v>
                </c:pt>
                <c:pt idx="9">
                  <c:v>45.128999999999998</c:v>
                </c:pt>
                <c:pt idx="10">
                  <c:v>69.811000000000007</c:v>
                </c:pt>
              </c:numCache>
            </c:numRef>
          </c:yVal>
          <c:smooth val="1"/>
          <c:extLst>
            <c:ext xmlns:c16="http://schemas.microsoft.com/office/drawing/2014/chart" uri="{C3380CC4-5D6E-409C-BE32-E72D297353CC}">
              <c16:uniqueId val="{00000000-1B25-4D56-99C5-F749A8B36794}"/>
            </c:ext>
          </c:extLst>
        </c:ser>
        <c:ser>
          <c:idx val="1"/>
          <c:order val="1"/>
          <c:tx>
            <c:strRef>
              <c:f>'in vitro drug release'!$C$2</c:f>
              <c:strCache>
                <c:ptCount val="1"/>
                <c:pt idx="0">
                  <c:v>TR2</c:v>
                </c:pt>
              </c:strCache>
            </c:strRef>
          </c:tx>
          <c:spPr>
            <a:ln w="19050" cap="rnd">
              <a:solidFill>
                <a:schemeClr val="accent2"/>
              </a:solidFill>
              <a:round/>
            </a:ln>
            <a:effectLst/>
          </c:spPr>
          <c:marker>
            <c:symbol val="square"/>
            <c:size val="10"/>
            <c:spPr>
              <a:solidFill>
                <a:schemeClr val="accent2"/>
              </a:solidFill>
              <a:ln w="9525">
                <a:solidFill>
                  <a:schemeClr val="accent2"/>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release'!$C$3:$C$13</c:f>
              <c:numCache>
                <c:formatCode>General</c:formatCode>
                <c:ptCount val="11"/>
                <c:pt idx="0">
                  <c:v>0</c:v>
                </c:pt>
                <c:pt idx="1">
                  <c:v>1.27</c:v>
                </c:pt>
                <c:pt idx="2">
                  <c:v>5.0999999999999996</c:v>
                </c:pt>
                <c:pt idx="3">
                  <c:v>8.11</c:v>
                </c:pt>
                <c:pt idx="4">
                  <c:v>12.46</c:v>
                </c:pt>
                <c:pt idx="5">
                  <c:v>22.03</c:v>
                </c:pt>
                <c:pt idx="6">
                  <c:v>24.86</c:v>
                </c:pt>
                <c:pt idx="7">
                  <c:v>27.35</c:v>
                </c:pt>
                <c:pt idx="8">
                  <c:v>31.58</c:v>
                </c:pt>
                <c:pt idx="9">
                  <c:v>49.74</c:v>
                </c:pt>
                <c:pt idx="10">
                  <c:v>83.17</c:v>
                </c:pt>
              </c:numCache>
            </c:numRef>
          </c:yVal>
          <c:smooth val="1"/>
          <c:extLst>
            <c:ext xmlns:c16="http://schemas.microsoft.com/office/drawing/2014/chart" uri="{C3380CC4-5D6E-409C-BE32-E72D297353CC}">
              <c16:uniqueId val="{00000001-1B25-4D56-99C5-F749A8B36794}"/>
            </c:ext>
          </c:extLst>
        </c:ser>
        <c:ser>
          <c:idx val="2"/>
          <c:order val="2"/>
          <c:tx>
            <c:strRef>
              <c:f>'in vitro drug release'!$D$2</c:f>
              <c:strCache>
                <c:ptCount val="1"/>
                <c:pt idx="0">
                  <c:v>TR4</c:v>
                </c:pt>
              </c:strCache>
            </c:strRef>
          </c:tx>
          <c:spPr>
            <a:ln w="19050" cap="rnd">
              <a:solidFill>
                <a:schemeClr val="accent3"/>
              </a:solidFill>
              <a:round/>
            </a:ln>
            <a:effectLst/>
          </c:spPr>
          <c:marker>
            <c:symbol val="star"/>
            <c:size val="10"/>
            <c:spPr>
              <a:noFill/>
              <a:ln w="9525">
                <a:solidFill>
                  <a:schemeClr val="accent3"/>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release'!$D$3:$D$13</c:f>
              <c:numCache>
                <c:formatCode>General</c:formatCode>
                <c:ptCount val="11"/>
                <c:pt idx="0">
                  <c:v>0</c:v>
                </c:pt>
                <c:pt idx="1">
                  <c:v>3.5630000000000002</c:v>
                </c:pt>
                <c:pt idx="2">
                  <c:v>10.009</c:v>
                </c:pt>
                <c:pt idx="3">
                  <c:v>14.516999999999999</c:v>
                </c:pt>
                <c:pt idx="4">
                  <c:v>16.794</c:v>
                </c:pt>
                <c:pt idx="5">
                  <c:v>20.111999999999998</c:v>
                </c:pt>
                <c:pt idx="6">
                  <c:v>23.495000000000001</c:v>
                </c:pt>
                <c:pt idx="7">
                  <c:v>28.611000000000001</c:v>
                </c:pt>
                <c:pt idx="8">
                  <c:v>30.175999999999998</c:v>
                </c:pt>
                <c:pt idx="9">
                  <c:v>37.722000000000001</c:v>
                </c:pt>
                <c:pt idx="10">
                  <c:v>61.665999999999997</c:v>
                </c:pt>
              </c:numCache>
            </c:numRef>
          </c:yVal>
          <c:smooth val="1"/>
          <c:extLst>
            <c:ext xmlns:c16="http://schemas.microsoft.com/office/drawing/2014/chart" uri="{C3380CC4-5D6E-409C-BE32-E72D297353CC}">
              <c16:uniqueId val="{00000002-1B25-4D56-99C5-F749A8B36794}"/>
            </c:ext>
          </c:extLst>
        </c:ser>
        <c:ser>
          <c:idx val="3"/>
          <c:order val="3"/>
          <c:tx>
            <c:strRef>
              <c:f>'in vitro drug release'!$E$2</c:f>
              <c:strCache>
                <c:ptCount val="1"/>
                <c:pt idx="0">
                  <c:v>TR5</c:v>
                </c:pt>
              </c:strCache>
            </c:strRef>
          </c:tx>
          <c:spPr>
            <a:ln w="19050" cap="rnd">
              <a:solidFill>
                <a:schemeClr val="accent4"/>
              </a:solidFill>
              <a:round/>
            </a:ln>
            <a:effectLst/>
          </c:spPr>
          <c:marker>
            <c:symbol val="circle"/>
            <c:size val="10"/>
            <c:spPr>
              <a:solidFill>
                <a:schemeClr val="accent4"/>
              </a:solidFill>
              <a:ln w="9525">
                <a:solidFill>
                  <a:schemeClr val="accent4"/>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release'!$E$3:$E$13</c:f>
              <c:numCache>
                <c:formatCode>General</c:formatCode>
                <c:ptCount val="11"/>
                <c:pt idx="0">
                  <c:v>0</c:v>
                </c:pt>
                <c:pt idx="1">
                  <c:v>4.6239999999999997</c:v>
                </c:pt>
                <c:pt idx="2">
                  <c:v>8.1039999999999992</c:v>
                </c:pt>
                <c:pt idx="3">
                  <c:v>15.87</c:v>
                </c:pt>
                <c:pt idx="4">
                  <c:v>20.881</c:v>
                </c:pt>
                <c:pt idx="5">
                  <c:v>25.556999999999999</c:v>
                </c:pt>
                <c:pt idx="6">
                  <c:v>30.823</c:v>
                </c:pt>
                <c:pt idx="7">
                  <c:v>34.368000000000002</c:v>
                </c:pt>
                <c:pt idx="8">
                  <c:v>37.343000000000004</c:v>
                </c:pt>
                <c:pt idx="9">
                  <c:v>40.326000000000001</c:v>
                </c:pt>
                <c:pt idx="10">
                  <c:v>67.304000000000002</c:v>
                </c:pt>
              </c:numCache>
            </c:numRef>
          </c:yVal>
          <c:smooth val="1"/>
          <c:extLst>
            <c:ext xmlns:c16="http://schemas.microsoft.com/office/drawing/2014/chart" uri="{C3380CC4-5D6E-409C-BE32-E72D297353CC}">
              <c16:uniqueId val="{00000003-1B25-4D56-99C5-F749A8B36794}"/>
            </c:ext>
          </c:extLst>
        </c:ser>
        <c:ser>
          <c:idx val="4"/>
          <c:order val="4"/>
          <c:tx>
            <c:strRef>
              <c:f>'in vitro drug release'!$F$2</c:f>
              <c:strCache>
                <c:ptCount val="1"/>
                <c:pt idx="0">
                  <c:v>TR7</c:v>
                </c:pt>
              </c:strCache>
            </c:strRef>
          </c:tx>
          <c:spPr>
            <a:ln w="19050" cap="rnd">
              <a:solidFill>
                <a:schemeClr val="accent5"/>
              </a:solidFill>
              <a:round/>
            </a:ln>
            <a:effectLst/>
          </c:spPr>
          <c:marker>
            <c:symbol val="triangle"/>
            <c:size val="10"/>
            <c:spPr>
              <a:solidFill>
                <a:schemeClr val="accent5"/>
              </a:solidFill>
              <a:ln w="9525">
                <a:solidFill>
                  <a:schemeClr val="accent5"/>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release'!$F$3:$F$13</c:f>
              <c:numCache>
                <c:formatCode>General</c:formatCode>
                <c:ptCount val="11"/>
                <c:pt idx="0">
                  <c:v>0</c:v>
                </c:pt>
                <c:pt idx="1">
                  <c:v>2.37</c:v>
                </c:pt>
                <c:pt idx="2">
                  <c:v>5.0229999999999997</c:v>
                </c:pt>
                <c:pt idx="3">
                  <c:v>10.353999999999999</c:v>
                </c:pt>
                <c:pt idx="4">
                  <c:v>12.645</c:v>
                </c:pt>
                <c:pt idx="5">
                  <c:v>17.300999999999998</c:v>
                </c:pt>
                <c:pt idx="6">
                  <c:v>18.038</c:v>
                </c:pt>
                <c:pt idx="7">
                  <c:v>20.742000000000001</c:v>
                </c:pt>
                <c:pt idx="8">
                  <c:v>22.469000000000001</c:v>
                </c:pt>
                <c:pt idx="9">
                  <c:v>31.946999999999999</c:v>
                </c:pt>
                <c:pt idx="10">
                  <c:v>48.037999999999997</c:v>
                </c:pt>
              </c:numCache>
            </c:numRef>
          </c:yVal>
          <c:smooth val="1"/>
          <c:extLst>
            <c:ext xmlns:c16="http://schemas.microsoft.com/office/drawing/2014/chart" uri="{C3380CC4-5D6E-409C-BE32-E72D297353CC}">
              <c16:uniqueId val="{00000004-1B25-4D56-99C5-F749A8B36794}"/>
            </c:ext>
          </c:extLst>
        </c:ser>
        <c:ser>
          <c:idx val="5"/>
          <c:order val="5"/>
          <c:tx>
            <c:strRef>
              <c:f>'in vitro drug release'!$G$2</c:f>
              <c:strCache>
                <c:ptCount val="1"/>
                <c:pt idx="0">
                  <c:v>TR13</c:v>
                </c:pt>
              </c:strCache>
            </c:strRef>
          </c:tx>
          <c:spPr>
            <a:ln w="19050" cap="rnd">
              <a:solidFill>
                <a:schemeClr val="accent6"/>
              </a:solidFill>
              <a:round/>
            </a:ln>
            <a:effectLst/>
          </c:spPr>
          <c:marker>
            <c:symbol val="dot"/>
            <c:size val="10"/>
            <c:spPr>
              <a:solidFill>
                <a:schemeClr val="accent6"/>
              </a:solidFill>
              <a:ln w="9525">
                <a:solidFill>
                  <a:schemeClr val="accent6"/>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release'!$G$3:$G$13</c:f>
              <c:numCache>
                <c:formatCode>General</c:formatCode>
                <c:ptCount val="11"/>
                <c:pt idx="0">
                  <c:v>0</c:v>
                </c:pt>
                <c:pt idx="1">
                  <c:v>1.4</c:v>
                </c:pt>
                <c:pt idx="2">
                  <c:v>5.21</c:v>
                </c:pt>
                <c:pt idx="3">
                  <c:v>10.71</c:v>
                </c:pt>
                <c:pt idx="4">
                  <c:v>12.47</c:v>
                </c:pt>
                <c:pt idx="5">
                  <c:v>16.260000000000002</c:v>
                </c:pt>
                <c:pt idx="6">
                  <c:v>21.96</c:v>
                </c:pt>
                <c:pt idx="7">
                  <c:v>26.64</c:v>
                </c:pt>
                <c:pt idx="8">
                  <c:v>30.41</c:v>
                </c:pt>
                <c:pt idx="9">
                  <c:v>37.19</c:v>
                </c:pt>
                <c:pt idx="10">
                  <c:v>44.16</c:v>
                </c:pt>
              </c:numCache>
            </c:numRef>
          </c:yVal>
          <c:smooth val="1"/>
          <c:extLst>
            <c:ext xmlns:c16="http://schemas.microsoft.com/office/drawing/2014/chart" uri="{C3380CC4-5D6E-409C-BE32-E72D297353CC}">
              <c16:uniqueId val="{00000005-1B25-4D56-99C5-F749A8B36794}"/>
            </c:ext>
          </c:extLst>
        </c:ser>
        <c:ser>
          <c:idx val="6"/>
          <c:order val="6"/>
          <c:tx>
            <c:strRef>
              <c:f>'in vitro drug release'!$H$2</c:f>
              <c:strCache>
                <c:ptCount val="1"/>
                <c:pt idx="0">
                  <c:v>TR14</c:v>
                </c:pt>
              </c:strCache>
            </c:strRef>
          </c:tx>
          <c:spPr>
            <a:ln w="19050" cap="rnd">
              <a:solidFill>
                <a:schemeClr val="accent1">
                  <a:lumMod val="60000"/>
                </a:schemeClr>
              </a:solidFill>
              <a:round/>
            </a:ln>
            <a:effectLst/>
          </c:spPr>
          <c:marker>
            <c:symbol val="plus"/>
            <c:size val="10"/>
            <c:spPr>
              <a:noFill/>
              <a:ln w="9525">
                <a:solidFill>
                  <a:schemeClr val="accent1">
                    <a:lumMod val="60000"/>
                  </a:schemeClr>
                </a:solidFill>
              </a:ln>
              <a:effectLst/>
            </c:spPr>
          </c:marker>
          <c:xVal>
            <c:numRef>
              <c:f>'in vitro drug release'!$A$3:$A$13</c:f>
              <c:numCache>
                <c:formatCode>General</c:formatCode>
                <c:ptCount val="11"/>
                <c:pt idx="0">
                  <c:v>0</c:v>
                </c:pt>
                <c:pt idx="1">
                  <c:v>0.5</c:v>
                </c:pt>
                <c:pt idx="2">
                  <c:v>1</c:v>
                </c:pt>
                <c:pt idx="3">
                  <c:v>2</c:v>
                </c:pt>
                <c:pt idx="4">
                  <c:v>3</c:v>
                </c:pt>
                <c:pt idx="5">
                  <c:v>4</c:v>
                </c:pt>
                <c:pt idx="6">
                  <c:v>5</c:v>
                </c:pt>
                <c:pt idx="7">
                  <c:v>6</c:v>
                </c:pt>
                <c:pt idx="8">
                  <c:v>7</c:v>
                </c:pt>
                <c:pt idx="9">
                  <c:v>8</c:v>
                </c:pt>
                <c:pt idx="10">
                  <c:v>12</c:v>
                </c:pt>
              </c:numCache>
            </c:numRef>
          </c:xVal>
          <c:yVal>
            <c:numRef>
              <c:f>'in vitro drug release'!$H$3:$H$13</c:f>
              <c:numCache>
                <c:formatCode>General</c:formatCode>
                <c:ptCount val="11"/>
                <c:pt idx="0">
                  <c:v>0</c:v>
                </c:pt>
                <c:pt idx="1">
                  <c:v>4.67</c:v>
                </c:pt>
                <c:pt idx="2">
                  <c:v>8.7899999999999991</c:v>
                </c:pt>
                <c:pt idx="3">
                  <c:v>11.07</c:v>
                </c:pt>
                <c:pt idx="4">
                  <c:v>14.16</c:v>
                </c:pt>
                <c:pt idx="5">
                  <c:v>18.649999999999999</c:v>
                </c:pt>
                <c:pt idx="6">
                  <c:v>22.63</c:v>
                </c:pt>
                <c:pt idx="7">
                  <c:v>25.63</c:v>
                </c:pt>
                <c:pt idx="8">
                  <c:v>33.67</c:v>
                </c:pt>
                <c:pt idx="9">
                  <c:v>35.020000000000003</c:v>
                </c:pt>
                <c:pt idx="10">
                  <c:v>48.96</c:v>
                </c:pt>
              </c:numCache>
            </c:numRef>
          </c:yVal>
          <c:smooth val="1"/>
          <c:extLst>
            <c:ext xmlns:c16="http://schemas.microsoft.com/office/drawing/2014/chart" uri="{C3380CC4-5D6E-409C-BE32-E72D297353CC}">
              <c16:uniqueId val="{00000006-1B25-4D56-99C5-F749A8B36794}"/>
            </c:ext>
          </c:extLst>
        </c:ser>
        <c:dLbls>
          <c:showLegendKey val="0"/>
          <c:showVal val="0"/>
          <c:showCatName val="0"/>
          <c:showSerName val="0"/>
          <c:showPercent val="0"/>
          <c:showBubbleSize val="0"/>
        </c:dLbls>
        <c:axId val="658296728"/>
        <c:axId val="658305368"/>
      </c:scatterChart>
      <c:valAx>
        <c:axId val="658296728"/>
        <c:scaling>
          <c:orientation val="minMax"/>
          <c:max val="1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Time (hrs)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305368"/>
        <c:crosses val="autoZero"/>
        <c:crossBetween val="midCat"/>
      </c:valAx>
      <c:valAx>
        <c:axId val="6583053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a:t>
                </a:r>
                <a:r>
                  <a:rPr lang="en-US" baseline="0">
                    <a:solidFill>
                      <a:schemeClr val="tx1"/>
                    </a:solidFill>
                  </a:rPr>
                  <a:t> Drug release</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29672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28923133738548"/>
          <c:y val="6.377003492801421E-2"/>
          <c:w val="0.72879643067185118"/>
          <c:h val="0.74613598712454798"/>
        </c:manualLayout>
      </c:layout>
      <c:lineChart>
        <c:grouping val="standard"/>
        <c:varyColors val="0"/>
        <c:ser>
          <c:idx val="0"/>
          <c:order val="0"/>
          <c:tx>
            <c:v>TR2</c:v>
          </c:tx>
          <c:spPr>
            <a:ln w="28575" cap="rnd">
              <a:solidFill>
                <a:schemeClr val="accent1"/>
              </a:solidFill>
              <a:round/>
            </a:ln>
            <a:effectLst/>
          </c:spPr>
          <c:marker>
            <c:symbol val="triangle"/>
            <c:size val="7"/>
            <c:spPr>
              <a:solidFill>
                <a:schemeClr val="accent1"/>
              </a:solidFill>
              <a:ln w="9525">
                <a:solidFill>
                  <a:schemeClr val="accent1"/>
                </a:solidFill>
              </a:ln>
              <a:effectLst/>
            </c:spPr>
          </c:marker>
          <c:cat>
            <c:numRef>
              <c:f>'EX vivi studies'!$A$3:$A$10</c:f>
              <c:numCache>
                <c:formatCode>General</c:formatCode>
                <c:ptCount val="8"/>
                <c:pt idx="0">
                  <c:v>0</c:v>
                </c:pt>
                <c:pt idx="1">
                  <c:v>1</c:v>
                </c:pt>
                <c:pt idx="2">
                  <c:v>2</c:v>
                </c:pt>
                <c:pt idx="3">
                  <c:v>3</c:v>
                </c:pt>
                <c:pt idx="4">
                  <c:v>5</c:v>
                </c:pt>
                <c:pt idx="5">
                  <c:v>8</c:v>
                </c:pt>
                <c:pt idx="6">
                  <c:v>12</c:v>
                </c:pt>
                <c:pt idx="7">
                  <c:v>24</c:v>
                </c:pt>
              </c:numCache>
            </c:numRef>
          </c:cat>
          <c:val>
            <c:numRef>
              <c:f>'EX vivi studies'!$B$3:$B$10</c:f>
              <c:numCache>
                <c:formatCode>General</c:formatCode>
                <c:ptCount val="8"/>
                <c:pt idx="0">
                  <c:v>0</c:v>
                </c:pt>
                <c:pt idx="1">
                  <c:v>66.793000000000006</c:v>
                </c:pt>
                <c:pt idx="2">
                  <c:v>138.03800000000001</c:v>
                </c:pt>
                <c:pt idx="3">
                  <c:v>212.25200000000001</c:v>
                </c:pt>
                <c:pt idx="4">
                  <c:v>354</c:v>
                </c:pt>
                <c:pt idx="5">
                  <c:v>473.63299999999998</c:v>
                </c:pt>
                <c:pt idx="6">
                  <c:v>953.05499999999995</c:v>
                </c:pt>
                <c:pt idx="7">
                  <c:v>1341.046</c:v>
                </c:pt>
              </c:numCache>
            </c:numRef>
          </c:val>
          <c:smooth val="1"/>
          <c:extLst>
            <c:ext xmlns:c16="http://schemas.microsoft.com/office/drawing/2014/chart" uri="{C3380CC4-5D6E-409C-BE32-E72D297353CC}">
              <c16:uniqueId val="{00000000-502C-463D-812C-A6AFD40B4B30}"/>
            </c:ext>
          </c:extLst>
        </c:ser>
        <c:ser>
          <c:idx val="1"/>
          <c:order val="1"/>
          <c:tx>
            <c:v>TR14</c:v>
          </c:tx>
          <c:spPr>
            <a:ln w="28575" cap="rnd">
              <a:solidFill>
                <a:schemeClr val="accent2"/>
              </a:solidFill>
              <a:round/>
            </a:ln>
            <a:effectLst/>
          </c:spPr>
          <c:marker>
            <c:symbol val="diamond"/>
            <c:size val="8"/>
            <c:spPr>
              <a:solidFill>
                <a:schemeClr val="accent2"/>
              </a:solidFill>
              <a:ln w="9525">
                <a:solidFill>
                  <a:schemeClr val="accent2"/>
                </a:solidFill>
              </a:ln>
              <a:effectLst/>
            </c:spPr>
          </c:marker>
          <c:cat>
            <c:numRef>
              <c:f>'EX vivi studies'!$A$3:$A$10</c:f>
              <c:numCache>
                <c:formatCode>General</c:formatCode>
                <c:ptCount val="8"/>
                <c:pt idx="0">
                  <c:v>0</c:v>
                </c:pt>
                <c:pt idx="1">
                  <c:v>1</c:v>
                </c:pt>
                <c:pt idx="2">
                  <c:v>2</c:v>
                </c:pt>
                <c:pt idx="3">
                  <c:v>3</c:v>
                </c:pt>
                <c:pt idx="4">
                  <c:v>5</c:v>
                </c:pt>
                <c:pt idx="5">
                  <c:v>8</c:v>
                </c:pt>
                <c:pt idx="6">
                  <c:v>12</c:v>
                </c:pt>
                <c:pt idx="7">
                  <c:v>24</c:v>
                </c:pt>
              </c:numCache>
            </c:numRef>
          </c:cat>
          <c:val>
            <c:numRef>
              <c:f>'EX vivi studies'!$C$3:$C$10</c:f>
              <c:numCache>
                <c:formatCode>General</c:formatCode>
                <c:ptCount val="8"/>
                <c:pt idx="0">
                  <c:v>0</c:v>
                </c:pt>
                <c:pt idx="1">
                  <c:v>84.159000000000006</c:v>
                </c:pt>
                <c:pt idx="2">
                  <c:v>121.562</c:v>
                </c:pt>
                <c:pt idx="3">
                  <c:v>174.99600000000001</c:v>
                </c:pt>
                <c:pt idx="4">
                  <c:v>235.852</c:v>
                </c:pt>
                <c:pt idx="5">
                  <c:v>473.33600000000001</c:v>
                </c:pt>
                <c:pt idx="6">
                  <c:v>690.04100000000005</c:v>
                </c:pt>
                <c:pt idx="7">
                  <c:v>853.31200000000001</c:v>
                </c:pt>
              </c:numCache>
            </c:numRef>
          </c:val>
          <c:smooth val="1"/>
          <c:extLst>
            <c:ext xmlns:c16="http://schemas.microsoft.com/office/drawing/2014/chart" uri="{C3380CC4-5D6E-409C-BE32-E72D297353CC}">
              <c16:uniqueId val="{00000001-502C-463D-812C-A6AFD40B4B30}"/>
            </c:ext>
          </c:extLst>
        </c:ser>
        <c:dLbls>
          <c:showLegendKey val="0"/>
          <c:showVal val="0"/>
          <c:showCatName val="0"/>
          <c:showSerName val="0"/>
          <c:showPercent val="0"/>
          <c:showBubbleSize val="0"/>
        </c:dLbls>
        <c:marker val="1"/>
        <c:smooth val="0"/>
        <c:axId val="658296368"/>
        <c:axId val="658303928"/>
      </c:lineChart>
      <c:catAx>
        <c:axId val="65829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solidFill>
                  </a:rPr>
                  <a:t>Time</a:t>
                </a:r>
                <a:r>
                  <a:rPr lang="en-US" baseline="0">
                    <a:solidFill>
                      <a:schemeClr val="tx1"/>
                    </a:solidFill>
                  </a:rPr>
                  <a:t> (hrs)</a:t>
                </a:r>
                <a:endParaRPr lang="en-US">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303928"/>
        <c:crosses val="autoZero"/>
        <c:auto val="1"/>
        <c:lblAlgn val="ctr"/>
        <c:lblOffset val="100"/>
        <c:noMultiLvlLbl val="0"/>
      </c:catAx>
      <c:valAx>
        <c:axId val="658303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Total amount permeated (mcg/sq.cm)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29636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ayout>
        <c:manualLayout>
          <c:xMode val="edge"/>
          <c:yMode val="edge"/>
          <c:x val="0.86461558640473546"/>
          <c:y val="0.30040510159504763"/>
          <c:w val="0.11926404820031561"/>
          <c:h val="0.290934972776576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Jai17</b:Tag>
    <b:SourceType>JournalArticle</b:SourceType>
    <b:Guid>{58173393-4F3C-4178-B8FA-9D19A14BA06F}</b:Guid>
    <b:Author>
      <b:Author>
        <b:NameList>
          <b:Person>
            <b:Last>Jain S</b:Last>
            <b:First>Patel</b:First>
            <b:Middle>N, Shah MK, Khatri P, Vora N</b:Middle>
          </b:Person>
        </b:NameList>
      </b:Author>
    </b:Author>
    <b:Title>Recent Advances in Lipid-Based Vesicles and Particulate Carriers for Topical and Transdermal Application</b:Title>
    <b:Year>2017</b:Year>
    <b:Volume>106</b:Volume>
    <b:Pages>423-445</b:Pages>
    <b:DOI> 10.1016/j.xphs.2016.10.001</b:DOI>
    <b:JournalName>J Pharm Sci</b:JournalName>
    <b:Month>Feburary</b:Month>
    <b:Issue>2</b:Issue>
    <b:RefOrder>1</b:RefOrder>
  </b:Source>
</b:Sources>
</file>

<file path=customXml/itemProps1.xml><?xml version="1.0" encoding="utf-8"?>
<ds:datastoreItem xmlns:ds="http://schemas.openxmlformats.org/officeDocument/2006/customXml" ds:itemID="{2DB11110-6F90-42A9-A74D-6D5D3B75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916364631567</dc:creator>
  <cp:keywords/>
  <dc:description/>
  <cp:lastModifiedBy>safoora</cp:lastModifiedBy>
  <cp:revision>30</cp:revision>
  <cp:lastPrinted>2025-04-07T07:07:00Z</cp:lastPrinted>
  <dcterms:created xsi:type="dcterms:W3CDTF">2025-04-15T09:43:00Z</dcterms:created>
  <dcterms:modified xsi:type="dcterms:W3CDTF">2025-04-17T21:10:00Z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e50de4b3dda382a619fa4a148c1ee38b0bf9df543056452462d0a26a080c1000</vt:lpwstr>
  </property>
</Properties>
</file>