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B4B8" w14:textId="77777777" w:rsidR="00C244EE" w:rsidRDefault="00C244EE">
      <w:pPr>
        <w:ind w:left="180" w:hanging="270"/>
        <w:jc w:val="center"/>
        <w:rPr>
          <w:rFonts w:ascii="Times New Roman" w:hAnsi="Times New Roman" w:cs="Times New Roman"/>
          <w:b/>
          <w:bCs/>
          <w:sz w:val="24"/>
          <w:szCs w:val="24"/>
        </w:rPr>
      </w:pPr>
    </w:p>
    <w:p w14:paraId="13B0F3C1" w14:textId="77777777" w:rsidR="00C244EE" w:rsidRDefault="00000000">
      <w:pPr>
        <w:ind w:left="180" w:hanging="270"/>
        <w:jc w:val="center"/>
        <w:rPr>
          <w:rFonts w:ascii="Times New Roman" w:hAnsi="Times New Roman" w:cs="Times New Roman"/>
          <w:b/>
          <w:bCs/>
          <w:sz w:val="24"/>
          <w:szCs w:val="24"/>
        </w:rPr>
      </w:pPr>
      <w:r>
        <w:rPr>
          <w:rFonts w:ascii="Times New Roman" w:hAnsi="Times New Roman" w:cs="Times New Roman"/>
          <w:b/>
          <w:bCs/>
          <w:sz w:val="24"/>
          <w:szCs w:val="24"/>
        </w:rPr>
        <w:t xml:space="preserve">Effect of Dietary </w:t>
      </w:r>
      <w:proofErr w:type="spellStart"/>
      <w:r>
        <w:rPr>
          <w:rFonts w:ascii="Times New Roman" w:hAnsi="Times New Roman" w:cs="Times New Roman"/>
          <w:b/>
          <w:bCs/>
          <w:sz w:val="24"/>
          <w:szCs w:val="24"/>
        </w:rPr>
        <w:t>Nanoselenium</w:t>
      </w:r>
      <w:proofErr w:type="spellEnd"/>
      <w:r>
        <w:rPr>
          <w:rFonts w:ascii="Times New Roman" w:hAnsi="Times New Roman" w:cs="Times New Roman"/>
          <w:b/>
          <w:bCs/>
          <w:sz w:val="24"/>
          <w:szCs w:val="24"/>
        </w:rPr>
        <w:t xml:space="preserve"> on Biochemical Profile and Histopathology of </w:t>
      </w:r>
      <w:r>
        <w:rPr>
          <w:rFonts w:ascii="Times New Roman" w:hAnsi="Times New Roman" w:cs="Times New Roman"/>
          <w:b/>
          <w:bCs/>
          <w:i/>
          <w:sz w:val="24"/>
          <w:szCs w:val="24"/>
        </w:rPr>
        <w:t xml:space="preserve">Clarias </w:t>
      </w:r>
      <w:proofErr w:type="spellStart"/>
      <w:r>
        <w:rPr>
          <w:rFonts w:ascii="Times New Roman" w:hAnsi="Times New Roman" w:cs="Times New Roman"/>
          <w:b/>
          <w:bCs/>
          <w:i/>
          <w:sz w:val="24"/>
          <w:szCs w:val="24"/>
        </w:rPr>
        <w:t>gariepinus</w:t>
      </w:r>
      <w:proofErr w:type="spellEnd"/>
      <w:r>
        <w:rPr>
          <w:rFonts w:ascii="Times New Roman" w:hAnsi="Times New Roman" w:cs="Times New Roman"/>
          <w:b/>
          <w:bCs/>
          <w:sz w:val="24"/>
          <w:szCs w:val="24"/>
        </w:rPr>
        <w:t>.</w:t>
      </w:r>
    </w:p>
    <w:p w14:paraId="57582806" w14:textId="77777777" w:rsidR="005A39CC" w:rsidRDefault="005A39CC">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p>
    <w:p w14:paraId="7E25D8A3" w14:textId="77777777" w:rsidR="005A39CC" w:rsidRDefault="005A39CC">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p>
    <w:p w14:paraId="74122166" w14:textId="6C045B0C" w:rsidR="00514234" w:rsidRDefault="00514234">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AE62487" w14:textId="77777777" w:rsidR="00C244EE" w:rsidRDefault="00000000">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1A142CEE" w14:textId="77777777" w:rsidR="00C244EE" w:rsidRDefault="00000000">
      <w:pPr>
        <w:jc w:val="both"/>
        <w:rPr>
          <w:rFonts w:ascii="Times New Roman" w:hAnsi="Times New Roman" w:cs="Times New Roman"/>
          <w:sz w:val="24"/>
          <w:szCs w:val="24"/>
        </w:rPr>
      </w:pPr>
      <w:r>
        <w:rPr>
          <w:rFonts w:ascii="Times New Roman" w:hAnsi="Times New Roman" w:cs="Times New Roman"/>
          <w:sz w:val="24"/>
          <w:szCs w:val="24"/>
        </w:rPr>
        <w:t xml:space="preserve">Research was conducted for 60 days to determine the effects of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on biochemical profile and histopathology of </w:t>
      </w:r>
      <w:r>
        <w:rPr>
          <w:rFonts w:ascii="Times New Roman" w:hAnsi="Times New Roman" w:cs="Times New Roman"/>
          <w:i/>
          <w:sz w:val="24"/>
          <w:szCs w:val="24"/>
        </w:rPr>
        <w:t xml:space="preserve">Clarias </w:t>
      </w:r>
      <w:commentRangeStart w:id="0"/>
      <w:proofErr w:type="spellStart"/>
      <w:r>
        <w:rPr>
          <w:rFonts w:ascii="Times New Roman" w:hAnsi="Times New Roman" w:cs="Times New Roman"/>
          <w:i/>
          <w:sz w:val="24"/>
          <w:szCs w:val="24"/>
        </w:rPr>
        <w:t>gariepinus</w:t>
      </w:r>
      <w:commentRangeEnd w:id="0"/>
      <w:proofErr w:type="spellEnd"/>
      <w:r w:rsidR="00866A44">
        <w:rPr>
          <w:rStyle w:val="CommentReference"/>
          <w:rtl/>
        </w:rPr>
        <w:commentReference w:id="0"/>
      </w:r>
      <w:r>
        <w:rPr>
          <w:rFonts w:ascii="Times New Roman" w:hAnsi="Times New Roman" w:cs="Times New Roman"/>
          <w:sz w:val="24"/>
          <w:szCs w:val="24"/>
        </w:rPr>
        <w:t xml:space="preserve">. Fish acclimatization was done for 14 days, randomly selected 10 fish were stocked in triplicate per dietary treatment. Two diets supplemented with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at 2 mg/kg, 4 mg/kg, and the control with absence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were fed to the fish. The proximate composition of the feeds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at the end of the feeding trial likewise the biochemical profile of the blood, gill, liver as well as the histopathology of the gill and liver of </w:t>
      </w:r>
      <w:r>
        <w:rPr>
          <w:rFonts w:ascii="Times New Roman" w:hAnsi="Times New Roman" w:cs="Times New Roman"/>
          <w:i/>
          <w:sz w:val="24"/>
          <w:szCs w:val="24"/>
        </w:rPr>
        <w:t xml:space="preserve">Clarias </w:t>
      </w:r>
      <w:proofErr w:type="spellStart"/>
      <w:r>
        <w:rPr>
          <w:rFonts w:ascii="Times New Roman" w:hAnsi="Times New Roman" w:cs="Times New Roman"/>
          <w:i/>
          <w:sz w:val="24"/>
          <w:szCs w:val="24"/>
        </w:rPr>
        <w:t>gariepinus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fed varying inclusion level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There was no significant difference (</w:t>
      </w:r>
      <w:r>
        <w:rPr>
          <w:rFonts w:ascii="Times New Roman" w:hAnsi="Times New Roman" w:cs="Times New Roman"/>
          <w:i/>
          <w:iCs/>
          <w:sz w:val="24"/>
          <w:szCs w:val="24"/>
        </w:rPr>
        <w:t>P&gt;0.05</w:t>
      </w:r>
      <w:r>
        <w:rPr>
          <w:rFonts w:ascii="Times New Roman" w:hAnsi="Times New Roman" w:cs="Times New Roman"/>
          <w:sz w:val="24"/>
          <w:szCs w:val="24"/>
        </w:rPr>
        <w:t xml:space="preserve">) in the activities of aspartate aminotransferase (AST), alanine aminotransferase (ALT), total protein, uric acid, urea, albumin, and total cholesterol in fish fed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 compared to those fed 4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 and the control. Glutathione peroxidase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and malondialdehyde in the gill and liver of fish fed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 however, increased significantly as compared to those fed 4 mg/kg formulated diet and the control, while the superoxidase dismutase (SOD) in the gill and liver of fish significantly increased as the concentration of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increased. There were histopathology alterations in the gill, and liver of the fish fed the two dietary treatment diets but with less impacts on fish health fed 2 mg/kg. The study indicated that the dietary inclusion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at 2 mg/kg had less effects in the hepatocytes and limited stress on the health of </w:t>
      </w:r>
      <w:r>
        <w:rPr>
          <w:rFonts w:ascii="Times New Roman" w:hAnsi="Times New Roman" w:cs="Times New Roman"/>
          <w:i/>
          <w:sz w:val="24"/>
          <w:szCs w:val="24"/>
        </w:rPr>
        <w:t xml:space="preserve">Clarias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as compared to 4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p>
    <w:p w14:paraId="130C70DE" w14:textId="77777777" w:rsidR="00C244E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Clarias </w:t>
      </w:r>
      <w:proofErr w:type="spellStart"/>
      <w:r>
        <w:rPr>
          <w:rFonts w:ascii="Times New Roman" w:hAnsi="Times New Roman" w:cs="Times New Roman"/>
          <w:sz w:val="24"/>
          <w:szCs w:val="24"/>
        </w:rPr>
        <w:t>gariepinus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biochemical, histopathology, proximate.</w:t>
      </w:r>
    </w:p>
    <w:p w14:paraId="5F52B649" w14:textId="77777777" w:rsidR="00C244EE" w:rsidRDefault="00000000">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327ECDC" w14:textId="77777777" w:rsidR="00C244EE" w:rsidRDefault="00000000">
      <w:p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Fish is an important animal protein source to the world because of its high protein, vitamins, minerals and polyunsaturated fatty acids. Nutritionally, fish is best for human consumption as it is low in fat, calories, and cholesterol. Fish contribute more than 60% of the world protein supply, most especially in the developing countries of the world [1]. Globally, fish products are indispensable to one billion individuals for protein security and particularly vital for juvenile and pregnant women [2]. As a result, </w:t>
      </w:r>
      <w:r>
        <w:rPr>
          <w:rFonts w:ascii="Times New Roman" w:hAnsi="Times New Roman" w:cs="Times New Roman"/>
          <w:sz w:val="24"/>
          <w:szCs w:val="24"/>
        </w:rPr>
        <w:t xml:space="preserve">the demand for fish from consumers around the world is increasing due to growing population, rising average incomes and greater awareness of fish as part of a healthy diet. The yield from the wild catch cannot be increased sustainably, however, aquaculture can fill the gap. Therefore, to fill the gap there is need to improve technologically to overcome these </w:t>
      </w:r>
      <w:commentRangeStart w:id="1"/>
      <w:r>
        <w:rPr>
          <w:rFonts w:ascii="Times New Roman" w:hAnsi="Times New Roman" w:cs="Times New Roman"/>
          <w:sz w:val="24"/>
          <w:szCs w:val="24"/>
        </w:rPr>
        <w:t>challenges</w:t>
      </w:r>
      <w:commentRangeEnd w:id="1"/>
      <w:r w:rsidR="007C6DEB">
        <w:rPr>
          <w:rStyle w:val="CommentReference"/>
          <w:rtl/>
        </w:rPr>
        <w:commentReference w:id="1"/>
      </w:r>
      <w:r>
        <w:rPr>
          <w:rFonts w:ascii="Times New Roman" w:hAnsi="Times New Roman" w:cs="Times New Roman"/>
          <w:sz w:val="24"/>
          <w:szCs w:val="24"/>
        </w:rPr>
        <w:t>.</w:t>
      </w:r>
    </w:p>
    <w:p w14:paraId="2DB65B56" w14:textId="77777777" w:rsidR="00C244EE" w:rsidRDefault="00000000">
      <w:pPr>
        <w:jc w:val="both"/>
        <w:rPr>
          <w:rFonts w:ascii="Times New Roman" w:eastAsia="SimSun" w:hAnsi="Times New Roman" w:cs="Times New Roman"/>
          <w:sz w:val="24"/>
          <w:szCs w:val="24"/>
        </w:rPr>
      </w:pPr>
      <w:r>
        <w:rPr>
          <w:rFonts w:ascii="Times New Roman" w:eastAsia="SimSun" w:hAnsi="Times New Roman" w:cs="Times New Roman"/>
          <w:i/>
          <w:sz w:val="24"/>
          <w:szCs w:val="24"/>
        </w:rPr>
        <w:t xml:space="preserve">Clarias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belong to the family </w:t>
      </w:r>
      <w:proofErr w:type="spellStart"/>
      <w:r>
        <w:rPr>
          <w:rFonts w:ascii="Times New Roman" w:eastAsia="SimSun" w:hAnsi="Times New Roman" w:cs="Times New Roman"/>
          <w:sz w:val="24"/>
          <w:szCs w:val="24"/>
        </w:rPr>
        <w:t>Clariidae</w:t>
      </w:r>
      <w:proofErr w:type="spellEnd"/>
      <w:r>
        <w:rPr>
          <w:rFonts w:ascii="Times New Roman" w:eastAsia="SimSun" w:hAnsi="Times New Roman" w:cs="Times New Roman"/>
          <w:sz w:val="24"/>
          <w:szCs w:val="24"/>
        </w:rPr>
        <w:t>, genus Clarias [3].  They are popularly known as African catfish because of its hardness to withstand adverse environmental condition, omnivorous in nature and efficient in feed utilization. It is commonly known as African catfish because of its hardness and ability to withstand stress to a tolerable range. Catfish is the most cultured fish in Nigeria and are widely distributed throughout the country. It is an economic important fish species with increase growth rate and global market demands [4].</w:t>
      </w:r>
    </w:p>
    <w:p w14:paraId="47DABA8D" w14:textId="77777777" w:rsidR="00C244EE" w:rsidRDefault="00000000">
      <w:pPr>
        <w:autoSpaceDE w:val="0"/>
        <w:autoSpaceDN w:val="0"/>
        <w:adjustRightInd w:val="0"/>
        <w:spacing w:after="0"/>
        <w:jc w:val="both"/>
        <w:rPr>
          <w:rFonts w:ascii="Times New Roman" w:hAnsi="Times New Roman" w:cs="Times New Roman"/>
          <w:sz w:val="24"/>
          <w:szCs w:val="24"/>
        </w:rPr>
      </w:pPr>
      <w:commentRangeStart w:id="2"/>
      <w:proofErr w:type="spellStart"/>
      <w:r>
        <w:rPr>
          <w:rFonts w:ascii="Times New Roman" w:hAnsi="Times New Roman" w:cs="Times New Roman"/>
          <w:sz w:val="24"/>
          <w:szCs w:val="24"/>
        </w:rPr>
        <w:lastRenderedPageBreak/>
        <w:t>Nanoselenium</w:t>
      </w:r>
      <w:commentRangeEnd w:id="2"/>
      <w:proofErr w:type="spellEnd"/>
      <w:r w:rsidR="00BF7BB0">
        <w:rPr>
          <w:rStyle w:val="CommentReference"/>
          <w:rtl/>
        </w:rPr>
        <w:commentReference w:id="2"/>
      </w:r>
      <w:r>
        <w:rPr>
          <w:rFonts w:ascii="Times New Roman" w:hAnsi="Times New Roman" w:cs="Times New Roman"/>
          <w:sz w:val="24"/>
          <w:szCs w:val="24"/>
        </w:rPr>
        <w:t xml:space="preserve"> has being playing important functional roles in the biological system of fish. Biological systems of fish contain chemical composition which can be altered by any chemical reaction in the body. Biological systems of fish and its constituent macromolecules are susceptible to oxidative damages which disrupt their structure by distorting native chemical composition. Apart from these, oxidative stress (OS) leads to the generation of reactive oxygen species (ROS) like superoxide ion, hydroxide radicals, hydrogen peroxide etc. which trigger the apoptosis in tissues. To neutralize these adverse effects of ROS, the living system uses several antioxidative defense systems including various enzymes like catalase, superoxide dismutase, glutathione-S-transferase, and peroxidase, etc. Likewise,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is also an important antioxidant located at the catalytic site of thioredoxin reductase and glutathione peroxidase enzymes [5].</w:t>
      </w:r>
    </w:p>
    <w:p w14:paraId="2D338891" w14:textId="77777777" w:rsidR="00C244EE" w:rsidRDefault="0000000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Cells naturally contain enzymes for their functions but damages to cellular membrane led to their escape into the blood where their presence or activities can be measured as an index of cell integrity [6]. Some chemical composition of fish could be used to identify tissue damage such as Aspartate aminotransferase (AST), Alanine aminotransferase (ALT) and Alkaline phosphatase (ALP) </w:t>
      </w:r>
      <w:proofErr w:type="gramStart"/>
      <w:r>
        <w:rPr>
          <w:rFonts w:ascii="Times New Roman" w:hAnsi="Times New Roman" w:cs="Times New Roman"/>
          <w:sz w:val="24"/>
          <w:szCs w:val="24"/>
        </w:rPr>
        <w:t>which  are</w:t>
      </w:r>
      <w:proofErr w:type="gramEnd"/>
      <w:r>
        <w:rPr>
          <w:rFonts w:ascii="Times New Roman" w:hAnsi="Times New Roman" w:cs="Times New Roman"/>
          <w:sz w:val="24"/>
          <w:szCs w:val="24"/>
        </w:rPr>
        <w:t xml:space="preserve"> normally found within the cells of the liver, heart, gills, kidney, muscles, and organs but their increase in the plasma indicate tissue injury or organ dysfunction [7, 8, and 9].</w:t>
      </w:r>
    </w:p>
    <w:p w14:paraId="2D0AF83F" w14:textId="77777777" w:rsidR="00C244EE" w:rsidRDefault="0000000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However, changes in plasma glucose, total proteins and cholesterol concentrations can be indicative response to stress in fishes exposed to pollutions [10], this is because fish is very sensitive to pollution- induced stress [11]. As good as nanoparticles are in enhancing growth performance, their effects as stressors in fish has been monitored by the assessment of biochemical and physiological changes in both acute and chronic toxicity tests. Changes in enzymes profile are important biotoxicity indices (biomarkers) and have been used to assess the biochemical physiological health of vital organs (tissues) in fishes [12; 13].</w:t>
      </w:r>
    </w:p>
    <w:p w14:paraId="18E24D00" w14:textId="77777777" w:rsidR="00C244EE" w:rsidRDefault="00000000">
      <w:pPr>
        <w:jc w:val="both"/>
        <w:rPr>
          <w:rFonts w:ascii="Times New Roman" w:hAnsi="Times New Roman" w:cs="Times New Roman"/>
          <w:sz w:val="24"/>
          <w:szCs w:val="24"/>
        </w:rPr>
      </w:pPr>
      <w:commentRangeStart w:id="3"/>
      <w:r>
        <w:rPr>
          <w:rFonts w:ascii="Times New Roman" w:hAnsi="Times New Roman" w:cs="Times New Roman"/>
          <w:sz w:val="24"/>
          <w:szCs w:val="24"/>
        </w:rPr>
        <w:t>Earlier</w:t>
      </w:r>
      <w:commentRangeEnd w:id="3"/>
      <w:r w:rsidR="00FE45CA">
        <w:rPr>
          <w:rStyle w:val="CommentReference"/>
          <w:rtl/>
        </w:rPr>
        <w:commentReference w:id="3"/>
      </w:r>
      <w:r>
        <w:rPr>
          <w:rFonts w:ascii="Times New Roman" w:hAnsi="Times New Roman" w:cs="Times New Roman"/>
          <w:sz w:val="24"/>
          <w:szCs w:val="24"/>
        </w:rPr>
        <w:t xml:space="preserve"> research revealed the role that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played on growth performance in animal and various fish species [14, 15, 16 and 4] but little literature on the role that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supplementation played on biochemical profile and histopathology of </w:t>
      </w:r>
      <w:r>
        <w:rPr>
          <w:rFonts w:ascii="Times New Roman" w:hAnsi="Times New Roman" w:cs="Times New Roman"/>
          <w:i/>
          <w:sz w:val="24"/>
          <w:szCs w:val="24"/>
        </w:rPr>
        <w:t xml:space="preserve">Clarias </w:t>
      </w:r>
      <w:proofErr w:type="spellStart"/>
      <w:r>
        <w:rPr>
          <w:rFonts w:ascii="Times New Roman" w:hAnsi="Times New Roman" w:cs="Times New Roman"/>
          <w:i/>
          <w:sz w:val="24"/>
          <w:szCs w:val="24"/>
        </w:rPr>
        <w:t>gariepinus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which led to this study. The research, therefore, aimed to determine the effect of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at different inclusions level on biochemical profile and histopathology of </w:t>
      </w:r>
      <w:r>
        <w:rPr>
          <w:rFonts w:ascii="Times New Roman" w:hAnsi="Times New Roman" w:cs="Times New Roman"/>
          <w:i/>
          <w:sz w:val="24"/>
          <w:szCs w:val="24"/>
        </w:rPr>
        <w:t xml:space="preserve">Clarias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w:t>
      </w:r>
    </w:p>
    <w:p w14:paraId="3CB0B0BF" w14:textId="77777777" w:rsidR="00C244EE"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2. EXPERIMENTAL DETAILS</w:t>
      </w:r>
    </w:p>
    <w:p w14:paraId="61796E9E"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t>Experimental design</w:t>
      </w:r>
      <w:r>
        <w:rPr>
          <w:rFonts w:ascii="Times New Roman" w:hAnsi="Times New Roman" w:cs="Times New Roman"/>
          <w:sz w:val="24"/>
          <w:szCs w:val="24"/>
        </w:rPr>
        <w:t>.</w:t>
      </w:r>
    </w:p>
    <w:p w14:paraId="0A959E6F"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sz w:val="24"/>
          <w:szCs w:val="24"/>
        </w:rPr>
        <w:t>Sizeable healthy uniform fish (average weight of 12.85</w:t>
      </w:r>
      <w:r>
        <w:rPr>
          <w:rFonts w:ascii="Times New Roman" w:hAnsi="Times New Roman" w:cs="Times New Roman"/>
          <w:sz w:val="20"/>
          <w:szCs w:val="20"/>
          <w:u w:val="single"/>
        </w:rPr>
        <w:t>+</w:t>
      </w:r>
      <w:r>
        <w:rPr>
          <w:rFonts w:ascii="Times New Roman" w:hAnsi="Times New Roman" w:cs="Times New Roman"/>
          <w:sz w:val="24"/>
          <w:szCs w:val="24"/>
        </w:rPr>
        <w:t xml:space="preserve">0.01g and average length of 6.65±1.0) were procured from a commercial fish farm and were transferred to the Aquaculture center, University of Ilorin. The fish were acclimatized to the environmental conditions for 14 days and fed with a conventional feed. After acclimatizing the fish, 10 fish were randomly selected per treatment in triplicate. </w:t>
      </w:r>
    </w:p>
    <w:p w14:paraId="28EBC58B" w14:textId="77777777" w:rsidR="00C244EE" w:rsidRDefault="00C244EE">
      <w:pPr>
        <w:spacing w:after="0"/>
        <w:jc w:val="both"/>
        <w:rPr>
          <w:rFonts w:ascii="Times New Roman" w:hAnsi="Times New Roman" w:cs="Times New Roman"/>
          <w:color w:val="231F20"/>
          <w:sz w:val="24"/>
          <w:szCs w:val="24"/>
        </w:rPr>
      </w:pPr>
    </w:p>
    <w:p w14:paraId="78062854" w14:textId="77777777" w:rsidR="00C244EE" w:rsidRDefault="0000000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t>Experimental Diets</w:t>
      </w:r>
    </w:p>
    <w:p w14:paraId="1F461F9F"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Three diets, consisting of control diet (basal diet, without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and two treatment diets at 2 mg/kg and 4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inclusion level were formulated. The diets were fed to the fish twice daily (08:00hr and 18:00hr) for 60 days at 3% body weight [17].</w:t>
      </w:r>
    </w:p>
    <w:p w14:paraId="6037C909" w14:textId="77777777" w:rsidR="00C244EE" w:rsidRDefault="00C244EE">
      <w:pPr>
        <w:spacing w:after="0" w:line="240" w:lineRule="auto"/>
        <w:jc w:val="both"/>
        <w:rPr>
          <w:rFonts w:ascii="Times New Roman" w:hAnsi="Times New Roman" w:cs="Times New Roman"/>
          <w:b/>
          <w:bCs/>
          <w:color w:val="231F20"/>
          <w:sz w:val="24"/>
          <w:szCs w:val="24"/>
        </w:rPr>
      </w:pPr>
    </w:p>
    <w:p w14:paraId="572859E6" w14:textId="77777777" w:rsidR="00C244EE" w:rsidRDefault="00000000">
      <w:pPr>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2.3</w:t>
      </w:r>
      <w:r>
        <w:rPr>
          <w:rFonts w:ascii="Times New Roman" w:hAnsi="Times New Roman" w:cs="Times New Roman"/>
          <w:b/>
          <w:bCs/>
          <w:color w:val="231F20"/>
          <w:sz w:val="24"/>
          <w:szCs w:val="24"/>
        </w:rPr>
        <w:tab/>
        <w:t xml:space="preserve"> Proximate analysis of the feed composition.</w:t>
      </w:r>
    </w:p>
    <w:p w14:paraId="420DC185"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proximate analysis of the formulated diets of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supplemented at different dietary inclusion levels were determined using the methods described by [18]</w:t>
      </w:r>
    </w:p>
    <w:p w14:paraId="24C5D38D" w14:textId="77777777" w:rsidR="00C244EE" w:rsidRDefault="00C244EE">
      <w:pPr>
        <w:autoSpaceDE w:val="0"/>
        <w:autoSpaceDN w:val="0"/>
        <w:adjustRightInd w:val="0"/>
        <w:spacing w:after="0" w:line="240" w:lineRule="auto"/>
        <w:jc w:val="both"/>
        <w:rPr>
          <w:rFonts w:ascii="Times New Roman" w:hAnsi="Times New Roman" w:cs="Times New Roman"/>
          <w:sz w:val="24"/>
          <w:szCs w:val="24"/>
        </w:rPr>
      </w:pPr>
    </w:p>
    <w:p w14:paraId="54517F98"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p w14:paraId="5598CCF9"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p w14:paraId="61FC55BB"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p w14:paraId="2871C8A4"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302B1006"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7F1284DA"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047F94C3"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2D7AB02B"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56C5255B" w14:textId="77777777" w:rsidR="00C244EE" w:rsidRDefault="0000000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Table 1: Percentage composition (%) of the basal diet</w:t>
      </w:r>
    </w:p>
    <w:p w14:paraId="6436F5B0"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tbl>
      <w:tblPr>
        <w:tblStyle w:val="TableGrid"/>
        <w:tblW w:w="4428" w:type="dxa"/>
        <w:tblLayout w:type="fixed"/>
        <w:tblLook w:val="0620" w:firstRow="1" w:lastRow="0" w:firstColumn="0" w:lastColumn="0" w:noHBand="1" w:noVBand="1"/>
      </w:tblPr>
      <w:tblGrid>
        <w:gridCol w:w="2869"/>
        <w:gridCol w:w="1559"/>
      </w:tblGrid>
      <w:tr w:rsidR="00C244EE" w14:paraId="68AE262E" w14:textId="77777777">
        <w:trPr>
          <w:trHeight w:val="42"/>
        </w:trPr>
        <w:tc>
          <w:tcPr>
            <w:tcW w:w="2869" w:type="dxa"/>
            <w:tcBorders>
              <w:top w:val="single" w:sz="4" w:space="0" w:color="000000"/>
              <w:left w:val="single" w:sz="4" w:space="0" w:color="000000"/>
              <w:bottom w:val="single" w:sz="4" w:space="0" w:color="000000"/>
              <w:right w:val="single" w:sz="4" w:space="0" w:color="000000"/>
            </w:tcBorders>
          </w:tcPr>
          <w:p w14:paraId="2B7C54C7"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Ingredient*</w:t>
            </w:r>
          </w:p>
        </w:tc>
        <w:tc>
          <w:tcPr>
            <w:tcW w:w="1559" w:type="dxa"/>
            <w:tcBorders>
              <w:top w:val="single" w:sz="4" w:space="0" w:color="000000"/>
              <w:left w:val="single" w:sz="4" w:space="0" w:color="000000"/>
              <w:bottom w:val="single" w:sz="4" w:space="0" w:color="000000"/>
              <w:right w:val="single" w:sz="4" w:space="0" w:color="000000"/>
            </w:tcBorders>
          </w:tcPr>
          <w:p w14:paraId="5BCD2916"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Quantity (%)</w:t>
            </w:r>
          </w:p>
        </w:tc>
      </w:tr>
      <w:tr w:rsidR="00C244EE" w14:paraId="776733EB" w14:textId="77777777">
        <w:tc>
          <w:tcPr>
            <w:tcW w:w="2869" w:type="dxa"/>
            <w:tcBorders>
              <w:top w:val="single" w:sz="4" w:space="0" w:color="000000"/>
              <w:left w:val="single" w:sz="4" w:space="0" w:color="000000"/>
              <w:bottom w:val="single" w:sz="4" w:space="0" w:color="000000"/>
              <w:right w:val="single" w:sz="4" w:space="0" w:color="000000"/>
            </w:tcBorders>
          </w:tcPr>
          <w:p w14:paraId="7BFB8FD8"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Fish meal</w:t>
            </w:r>
          </w:p>
        </w:tc>
        <w:tc>
          <w:tcPr>
            <w:tcW w:w="1559" w:type="dxa"/>
            <w:tcBorders>
              <w:top w:val="single" w:sz="4" w:space="0" w:color="000000"/>
              <w:left w:val="single" w:sz="4" w:space="0" w:color="000000"/>
              <w:bottom w:val="single" w:sz="4" w:space="0" w:color="000000"/>
              <w:right w:val="single" w:sz="4" w:space="0" w:color="000000"/>
            </w:tcBorders>
          </w:tcPr>
          <w:p w14:paraId="7CCA4933"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C244EE" w14:paraId="1BC00998"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4D3FAB17"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Toasted soya bean</w:t>
            </w:r>
          </w:p>
        </w:tc>
        <w:tc>
          <w:tcPr>
            <w:tcW w:w="1559" w:type="dxa"/>
            <w:tcBorders>
              <w:top w:val="single" w:sz="4" w:space="0" w:color="000000"/>
              <w:left w:val="single" w:sz="4" w:space="0" w:color="000000"/>
              <w:bottom w:val="single" w:sz="4" w:space="0" w:color="000000"/>
              <w:right w:val="single" w:sz="4" w:space="0" w:color="000000"/>
            </w:tcBorders>
          </w:tcPr>
          <w:p w14:paraId="1E9380C7"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C244EE" w14:paraId="0B023ACB"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313CC1A5" w14:textId="77777777" w:rsidR="00C244EE" w:rsidRDefault="00000000">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Groundnut cake (GNC)</w:t>
            </w:r>
          </w:p>
        </w:tc>
        <w:tc>
          <w:tcPr>
            <w:tcW w:w="1559" w:type="dxa"/>
            <w:tcBorders>
              <w:top w:val="single" w:sz="4" w:space="0" w:color="000000"/>
              <w:left w:val="single" w:sz="4" w:space="0" w:color="000000"/>
              <w:bottom w:val="single" w:sz="4" w:space="0" w:color="000000"/>
              <w:right w:val="single" w:sz="4" w:space="0" w:color="000000"/>
            </w:tcBorders>
          </w:tcPr>
          <w:p w14:paraId="02DD9DF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C244EE" w14:paraId="6A310CCB"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6F962F59"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Maize</w:t>
            </w:r>
          </w:p>
        </w:tc>
        <w:tc>
          <w:tcPr>
            <w:tcW w:w="1559" w:type="dxa"/>
            <w:tcBorders>
              <w:top w:val="single" w:sz="4" w:space="0" w:color="000000"/>
              <w:left w:val="single" w:sz="4" w:space="0" w:color="000000"/>
              <w:bottom w:val="single" w:sz="4" w:space="0" w:color="000000"/>
              <w:right w:val="single" w:sz="4" w:space="0" w:color="000000"/>
            </w:tcBorders>
          </w:tcPr>
          <w:p w14:paraId="6FA3639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200</w:t>
            </w:r>
          </w:p>
        </w:tc>
      </w:tr>
      <w:tr w:rsidR="00C244EE" w14:paraId="68FF71B1"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76C4BFB4"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Wheat offal</w:t>
            </w:r>
          </w:p>
        </w:tc>
        <w:tc>
          <w:tcPr>
            <w:tcW w:w="1559" w:type="dxa"/>
            <w:tcBorders>
              <w:top w:val="single" w:sz="4" w:space="0" w:color="000000"/>
              <w:left w:val="single" w:sz="4" w:space="0" w:color="000000"/>
              <w:bottom w:val="single" w:sz="4" w:space="0" w:color="000000"/>
              <w:right w:val="single" w:sz="4" w:space="0" w:color="000000"/>
            </w:tcBorders>
          </w:tcPr>
          <w:p w14:paraId="74FB552C"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90</w:t>
            </w:r>
          </w:p>
        </w:tc>
      </w:tr>
      <w:tr w:rsidR="00C244EE" w14:paraId="40DF2F27"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2AB9851E"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Salt</w:t>
            </w:r>
          </w:p>
        </w:tc>
        <w:tc>
          <w:tcPr>
            <w:tcW w:w="1559" w:type="dxa"/>
            <w:tcBorders>
              <w:top w:val="single" w:sz="4" w:space="0" w:color="000000"/>
              <w:left w:val="single" w:sz="4" w:space="0" w:color="000000"/>
              <w:bottom w:val="single" w:sz="4" w:space="0" w:color="000000"/>
              <w:right w:val="single" w:sz="4" w:space="0" w:color="000000"/>
            </w:tcBorders>
          </w:tcPr>
          <w:p w14:paraId="2A34A65E"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5</w:t>
            </w:r>
          </w:p>
        </w:tc>
      </w:tr>
      <w:tr w:rsidR="00C244EE" w14:paraId="69781164"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4D20BE30"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Fish premix</w:t>
            </w:r>
          </w:p>
        </w:tc>
        <w:tc>
          <w:tcPr>
            <w:tcW w:w="1559" w:type="dxa"/>
            <w:tcBorders>
              <w:top w:val="single" w:sz="4" w:space="0" w:color="000000"/>
              <w:left w:val="single" w:sz="4" w:space="0" w:color="000000"/>
              <w:bottom w:val="single" w:sz="4" w:space="0" w:color="000000"/>
              <w:right w:val="single" w:sz="4" w:space="0" w:color="000000"/>
            </w:tcBorders>
          </w:tcPr>
          <w:p w14:paraId="7C2D1B2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5EEEDB26"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3E402256"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Vitamin</w:t>
            </w:r>
          </w:p>
        </w:tc>
        <w:tc>
          <w:tcPr>
            <w:tcW w:w="1559" w:type="dxa"/>
            <w:tcBorders>
              <w:top w:val="single" w:sz="4" w:space="0" w:color="000000"/>
              <w:left w:val="single" w:sz="4" w:space="0" w:color="000000"/>
              <w:bottom w:val="single" w:sz="4" w:space="0" w:color="000000"/>
              <w:right w:val="single" w:sz="4" w:space="0" w:color="000000"/>
            </w:tcBorders>
          </w:tcPr>
          <w:p w14:paraId="3D72247E"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395930E5"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0C5A37CB"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Lysine</w:t>
            </w:r>
          </w:p>
        </w:tc>
        <w:tc>
          <w:tcPr>
            <w:tcW w:w="1559" w:type="dxa"/>
            <w:tcBorders>
              <w:top w:val="single" w:sz="4" w:space="0" w:color="000000"/>
              <w:left w:val="single" w:sz="4" w:space="0" w:color="000000"/>
              <w:bottom w:val="single" w:sz="4" w:space="0" w:color="000000"/>
              <w:right w:val="single" w:sz="4" w:space="0" w:color="000000"/>
            </w:tcBorders>
          </w:tcPr>
          <w:p w14:paraId="7C1B2B4D"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596E4A25" w14:textId="77777777">
        <w:tc>
          <w:tcPr>
            <w:tcW w:w="2869" w:type="dxa"/>
            <w:tcBorders>
              <w:top w:val="single" w:sz="4" w:space="0" w:color="000000"/>
              <w:left w:val="single" w:sz="4" w:space="0" w:color="000000"/>
              <w:bottom w:val="single" w:sz="4" w:space="0" w:color="000000"/>
              <w:right w:val="single" w:sz="4" w:space="0" w:color="000000"/>
            </w:tcBorders>
          </w:tcPr>
          <w:p w14:paraId="2DB587D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Methionine </w:t>
            </w:r>
          </w:p>
        </w:tc>
        <w:tc>
          <w:tcPr>
            <w:tcW w:w="1559" w:type="dxa"/>
            <w:tcBorders>
              <w:top w:val="single" w:sz="4" w:space="0" w:color="000000"/>
              <w:left w:val="single" w:sz="4" w:space="0" w:color="000000"/>
              <w:bottom w:val="single" w:sz="4" w:space="0" w:color="000000"/>
              <w:right w:val="single" w:sz="4" w:space="0" w:color="000000"/>
            </w:tcBorders>
          </w:tcPr>
          <w:p w14:paraId="282974B0"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0D837371"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771F4ED8"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Bone meal</w:t>
            </w:r>
          </w:p>
        </w:tc>
        <w:tc>
          <w:tcPr>
            <w:tcW w:w="1559" w:type="dxa"/>
            <w:tcBorders>
              <w:top w:val="single" w:sz="4" w:space="0" w:color="000000"/>
              <w:left w:val="single" w:sz="4" w:space="0" w:color="000000"/>
              <w:bottom w:val="single" w:sz="4" w:space="0" w:color="000000"/>
              <w:right w:val="single" w:sz="4" w:space="0" w:color="000000"/>
            </w:tcBorders>
          </w:tcPr>
          <w:p w14:paraId="0720B9C5"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5</w:t>
            </w:r>
          </w:p>
        </w:tc>
      </w:tr>
      <w:tr w:rsidR="00C244EE" w14:paraId="6C3E8869"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06F0645C"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Total</w:t>
            </w:r>
          </w:p>
        </w:tc>
        <w:tc>
          <w:tcPr>
            <w:tcW w:w="1559" w:type="dxa"/>
            <w:tcBorders>
              <w:top w:val="single" w:sz="4" w:space="0" w:color="000000"/>
              <w:left w:val="single" w:sz="4" w:space="0" w:color="000000"/>
              <w:bottom w:val="single" w:sz="4" w:space="0" w:color="000000"/>
              <w:right w:val="single" w:sz="4" w:space="0" w:color="000000"/>
            </w:tcBorders>
          </w:tcPr>
          <w:p w14:paraId="4F46DAA3"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1000</w:t>
            </w:r>
          </w:p>
        </w:tc>
      </w:tr>
    </w:tbl>
    <w:p w14:paraId="3604253F" w14:textId="77777777" w:rsidR="00C244EE" w:rsidRDefault="00000000">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the ingredients were measured in gram (Source:[4].)</w:t>
      </w:r>
    </w:p>
    <w:p w14:paraId="5815BA87" w14:textId="77777777" w:rsidR="00C244EE" w:rsidRDefault="00C244EE">
      <w:pPr>
        <w:spacing w:after="0" w:line="240" w:lineRule="auto"/>
        <w:jc w:val="both"/>
        <w:rPr>
          <w:rFonts w:ascii="Times New Roman" w:hAnsi="Times New Roman" w:cs="Times New Roman"/>
          <w:color w:val="231F20"/>
          <w:sz w:val="24"/>
          <w:szCs w:val="24"/>
        </w:rPr>
      </w:pPr>
    </w:p>
    <w:p w14:paraId="54A1A24F" w14:textId="77777777" w:rsidR="00C244EE" w:rsidRDefault="00000000">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2.4        Water quality parameters</w:t>
      </w:r>
    </w:p>
    <w:p w14:paraId="57DCA5A9"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water quality parameters were monitored and measured weekly during the feeding trial. The water temperature was measured using mercury-in-glass thermometer (1000C), pH was measured using </w:t>
      </w:r>
      <w:proofErr w:type="spellStart"/>
      <w:r>
        <w:rPr>
          <w:rFonts w:ascii="Times New Roman" w:hAnsi="Times New Roman" w:cs="Times New Roman"/>
          <w:color w:val="231F20"/>
          <w:sz w:val="24"/>
          <w:szCs w:val="24"/>
        </w:rPr>
        <w:t>Jenway</w:t>
      </w:r>
      <w:proofErr w:type="spellEnd"/>
      <w:r>
        <w:rPr>
          <w:rFonts w:ascii="Times New Roman" w:hAnsi="Times New Roman" w:cs="Times New Roman"/>
          <w:color w:val="231F20"/>
          <w:sz w:val="24"/>
          <w:szCs w:val="24"/>
        </w:rPr>
        <w:t xml:space="preserve"> pH meter (model E 512) and the dissolved oxygen (DO2) were measured using Milwaukee DO2 meter (model MW600). </w:t>
      </w:r>
    </w:p>
    <w:p w14:paraId="46CC32FD" w14:textId="77777777" w:rsidR="00C244EE" w:rsidRDefault="00000000">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2.5</w:t>
      </w:r>
      <w:r>
        <w:rPr>
          <w:rFonts w:ascii="Times New Roman" w:hAnsi="Times New Roman" w:cs="Times New Roman"/>
          <w:b/>
          <w:bCs/>
          <w:color w:val="231F20"/>
          <w:sz w:val="24"/>
          <w:szCs w:val="24"/>
        </w:rPr>
        <w:tab/>
        <w:t>Collection of serum and biochemical analysis</w:t>
      </w:r>
    </w:p>
    <w:p w14:paraId="22CCF1A6"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blood samples of fish fed varying inclusions level of dietary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were collected in replicate at the end of the feeding trial into sampling bottles without anticoagulant [14, 16] and labeled for proper identification. The tubes were inserted in a slanting rack and centrifuged for 15 minutes at 3500 revolution per minutes (rpm). A clear fluid which is the serum was pipetted out into a clean and sterilized sampling bottle for further analytical process.</w:t>
      </w:r>
    </w:p>
    <w:p w14:paraId="2B5F29B3" w14:textId="77777777" w:rsidR="00C244EE" w:rsidRDefault="00000000">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Alkaline phosphate (ALP), aspartate aminotransferase (AST) and alanine aminotransferase (ALT) was conducted according to the methods described by [19] and [20]. And the Uric acid and Urea were conducted with the </w:t>
      </w:r>
      <w:proofErr w:type="spellStart"/>
      <w:r>
        <w:rPr>
          <w:rFonts w:ascii="Times New Roman" w:hAnsi="Times New Roman" w:cs="Times New Roman"/>
          <w:color w:val="231F20"/>
          <w:sz w:val="24"/>
          <w:szCs w:val="24"/>
        </w:rPr>
        <w:t>Randox</w:t>
      </w:r>
      <w:proofErr w:type="spellEnd"/>
      <w:r>
        <w:rPr>
          <w:rFonts w:ascii="Times New Roman" w:hAnsi="Times New Roman" w:cs="Times New Roman"/>
          <w:color w:val="231F20"/>
          <w:sz w:val="24"/>
          <w:szCs w:val="24"/>
        </w:rPr>
        <w:t xml:space="preserve"> machine analyzer (Model RX MONXA UA 230).</w:t>
      </w:r>
    </w:p>
    <w:p w14:paraId="7CCF7AEF" w14:textId="77777777" w:rsidR="00C244EE" w:rsidRDefault="00000000">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2.6</w:t>
      </w:r>
      <w:r>
        <w:rPr>
          <w:rFonts w:ascii="Times New Roman" w:hAnsi="Times New Roman" w:cs="Times New Roman"/>
          <w:b/>
          <w:bCs/>
          <w:color w:val="231F20"/>
          <w:sz w:val="24"/>
          <w:szCs w:val="24"/>
        </w:rPr>
        <w:tab/>
        <w:t xml:space="preserve">Collection of </w:t>
      </w:r>
      <w:r>
        <w:rPr>
          <w:rFonts w:ascii="Times New Roman" w:hAnsi="Times New Roman" w:cs="Times New Roman"/>
          <w:b/>
          <w:bCs/>
          <w:i/>
          <w:iCs/>
          <w:color w:val="231F20"/>
          <w:sz w:val="24"/>
          <w:szCs w:val="24"/>
        </w:rPr>
        <w:t xml:space="preserve">Clarias </w:t>
      </w:r>
      <w:proofErr w:type="spellStart"/>
      <w:r>
        <w:rPr>
          <w:rFonts w:ascii="Times New Roman" w:hAnsi="Times New Roman" w:cs="Times New Roman"/>
          <w:b/>
          <w:bCs/>
          <w:i/>
          <w:iCs/>
          <w:color w:val="231F20"/>
          <w:sz w:val="24"/>
          <w:szCs w:val="24"/>
        </w:rPr>
        <w:t>gariepinus</w:t>
      </w:r>
      <w:proofErr w:type="spellEnd"/>
      <w:r>
        <w:rPr>
          <w:rFonts w:ascii="Times New Roman" w:hAnsi="Times New Roman" w:cs="Times New Roman"/>
          <w:b/>
          <w:bCs/>
          <w:color w:val="231F20"/>
          <w:sz w:val="24"/>
          <w:szCs w:val="24"/>
        </w:rPr>
        <w:t xml:space="preserve"> organs for biochemical analysis</w:t>
      </w:r>
    </w:p>
    <w:p w14:paraId="3EAC2AE5"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liver and gill of </w:t>
      </w:r>
      <w:r>
        <w:rPr>
          <w:rFonts w:ascii="Times New Roman" w:hAnsi="Times New Roman" w:cs="Times New Roman"/>
          <w:i/>
          <w:iCs/>
          <w:color w:val="231F20"/>
          <w:sz w:val="24"/>
          <w:szCs w:val="24"/>
        </w:rPr>
        <w:t xml:space="preserve">Clarias </w:t>
      </w:r>
      <w:proofErr w:type="spellStart"/>
      <w:r>
        <w:rPr>
          <w:rFonts w:ascii="Times New Roman" w:hAnsi="Times New Roman" w:cs="Times New Roman"/>
          <w:i/>
          <w:iCs/>
          <w:color w:val="231F20"/>
          <w:sz w:val="24"/>
          <w:szCs w:val="24"/>
        </w:rPr>
        <w:t>gariepinus</w:t>
      </w:r>
      <w:proofErr w:type="spellEnd"/>
      <w:r>
        <w:rPr>
          <w:rFonts w:ascii="Times New Roman" w:hAnsi="Times New Roman" w:cs="Times New Roman"/>
          <w:color w:val="231F20"/>
          <w:sz w:val="24"/>
          <w:szCs w:val="24"/>
        </w:rPr>
        <w:t xml:space="preserve"> fish fed with different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formulated diet in each rearing troughs were removed, then pooled in 0.25ml of sucrose solution before taken to the laboratory for further analysis. The parameter </w:t>
      </w:r>
      <w:proofErr w:type="spellStart"/>
      <w:r>
        <w:rPr>
          <w:rFonts w:ascii="Times New Roman" w:hAnsi="Times New Roman" w:cs="Times New Roman"/>
          <w:color w:val="231F20"/>
          <w:sz w:val="24"/>
          <w:szCs w:val="24"/>
        </w:rPr>
        <w:t>analysed</w:t>
      </w:r>
      <w:proofErr w:type="spellEnd"/>
      <w:r>
        <w:rPr>
          <w:rFonts w:ascii="Times New Roman" w:hAnsi="Times New Roman" w:cs="Times New Roman"/>
          <w:color w:val="231F20"/>
          <w:sz w:val="24"/>
          <w:szCs w:val="24"/>
        </w:rPr>
        <w:t xml:space="preserve"> are superoxide dismutase (SOD), </w:t>
      </w:r>
      <w:commentRangeStart w:id="4"/>
      <w:r>
        <w:rPr>
          <w:rFonts w:ascii="Times New Roman" w:hAnsi="Times New Roman" w:cs="Times New Roman"/>
          <w:color w:val="231F20"/>
          <w:sz w:val="24"/>
          <w:szCs w:val="24"/>
        </w:rPr>
        <w:t>glutathione</w:t>
      </w:r>
      <w:commentRangeEnd w:id="4"/>
      <w:r w:rsidR="00E363B9">
        <w:rPr>
          <w:rStyle w:val="CommentReference"/>
          <w:rtl/>
        </w:rPr>
        <w:commentReference w:id="4"/>
      </w:r>
      <w:r>
        <w:rPr>
          <w:rFonts w:ascii="Times New Roman" w:hAnsi="Times New Roman" w:cs="Times New Roman"/>
          <w:color w:val="231F20"/>
          <w:sz w:val="24"/>
          <w:szCs w:val="24"/>
        </w:rPr>
        <w:t xml:space="preserve"> peroxidase (</w:t>
      </w:r>
      <w:proofErr w:type="spellStart"/>
      <w:r>
        <w:rPr>
          <w:rFonts w:ascii="Times New Roman" w:hAnsi="Times New Roman" w:cs="Times New Roman"/>
          <w:color w:val="231F20"/>
          <w:sz w:val="24"/>
          <w:szCs w:val="24"/>
        </w:rPr>
        <w:t>GPx</w:t>
      </w:r>
      <w:proofErr w:type="spellEnd"/>
      <w:r>
        <w:rPr>
          <w:rFonts w:ascii="Times New Roman" w:hAnsi="Times New Roman" w:cs="Times New Roman"/>
          <w:color w:val="231F20"/>
          <w:sz w:val="24"/>
          <w:szCs w:val="24"/>
        </w:rPr>
        <w:t xml:space="preserve">), total protein and malondialdehyde (MDA). Liver and gill samples were homogenized with ice cold 0.86% NaCl and centrifuged at 8000 rpm at 40C for 10 min. The resulting supernatants were used for the </w:t>
      </w:r>
      <w:r>
        <w:rPr>
          <w:rFonts w:ascii="Times New Roman" w:hAnsi="Times New Roman" w:cs="Times New Roman"/>
          <w:color w:val="231F20"/>
          <w:sz w:val="24"/>
          <w:szCs w:val="24"/>
        </w:rPr>
        <w:lastRenderedPageBreak/>
        <w:t xml:space="preserve">determination of </w:t>
      </w:r>
      <w:proofErr w:type="spellStart"/>
      <w:r>
        <w:rPr>
          <w:rFonts w:ascii="Times New Roman" w:hAnsi="Times New Roman" w:cs="Times New Roman"/>
          <w:color w:val="231F20"/>
          <w:sz w:val="24"/>
          <w:szCs w:val="24"/>
        </w:rPr>
        <w:t>GPx</w:t>
      </w:r>
      <w:proofErr w:type="spellEnd"/>
      <w:r>
        <w:rPr>
          <w:rFonts w:ascii="Times New Roman" w:hAnsi="Times New Roman" w:cs="Times New Roman"/>
          <w:color w:val="231F20"/>
          <w:sz w:val="24"/>
          <w:szCs w:val="24"/>
        </w:rPr>
        <w:t xml:space="preserve">, SOD and protein. </w:t>
      </w:r>
      <w:proofErr w:type="spellStart"/>
      <w:r>
        <w:rPr>
          <w:rFonts w:ascii="Times New Roman" w:hAnsi="Times New Roman" w:cs="Times New Roman"/>
          <w:color w:val="231F20"/>
          <w:sz w:val="24"/>
          <w:szCs w:val="24"/>
        </w:rPr>
        <w:t>GPx</w:t>
      </w:r>
      <w:proofErr w:type="spellEnd"/>
      <w:r>
        <w:rPr>
          <w:rFonts w:ascii="Times New Roman" w:hAnsi="Times New Roman" w:cs="Times New Roman"/>
          <w:color w:val="231F20"/>
          <w:sz w:val="24"/>
          <w:szCs w:val="24"/>
        </w:rPr>
        <w:t xml:space="preserve"> activity was assessed using Hydrogen peroxide as substrate [21]. This method is based on the oxidation of glutathione by Hydrogen peroxide via glutathione peroxidase. SOD activity was measured using xanthine-xanthine oxidase and Nitro blue tetrazolium (NBT). Protein contents were assayed by the Bradford dye-binding assay with bovine serum albumin as standard [22]. The absorbances of </w:t>
      </w:r>
      <w:proofErr w:type="spellStart"/>
      <w:r>
        <w:rPr>
          <w:rFonts w:ascii="Times New Roman" w:hAnsi="Times New Roman" w:cs="Times New Roman"/>
          <w:color w:val="231F20"/>
          <w:sz w:val="24"/>
          <w:szCs w:val="24"/>
        </w:rPr>
        <w:t>GPx</w:t>
      </w:r>
      <w:proofErr w:type="spellEnd"/>
      <w:r>
        <w:rPr>
          <w:rFonts w:ascii="Times New Roman" w:hAnsi="Times New Roman" w:cs="Times New Roman"/>
          <w:color w:val="231F20"/>
          <w:sz w:val="24"/>
          <w:szCs w:val="24"/>
        </w:rPr>
        <w:t xml:space="preserve">, SOD and protein were respectively measured at 412, 550 and 590nm using a Microtiter plate reader (RANDOX, Rx </w:t>
      </w:r>
      <w:proofErr w:type="spellStart"/>
      <w:r>
        <w:rPr>
          <w:rFonts w:ascii="Times New Roman" w:hAnsi="Times New Roman" w:cs="Times New Roman"/>
          <w:color w:val="231F20"/>
          <w:sz w:val="24"/>
          <w:szCs w:val="24"/>
        </w:rPr>
        <w:t>Monxa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Tp</w:t>
      </w:r>
      <w:proofErr w:type="spellEnd"/>
      <w:r>
        <w:rPr>
          <w:rFonts w:ascii="Times New Roman" w:hAnsi="Times New Roman" w:cs="Times New Roman"/>
          <w:color w:val="231F20"/>
          <w:sz w:val="24"/>
          <w:szCs w:val="24"/>
        </w:rPr>
        <w:t xml:space="preserve"> 245).</w:t>
      </w:r>
    </w:p>
    <w:p w14:paraId="6DF667A2" w14:textId="77777777" w:rsidR="00C244EE" w:rsidRDefault="00000000">
      <w:pPr>
        <w:spacing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2.7</w:t>
      </w:r>
      <w:r>
        <w:rPr>
          <w:rFonts w:ascii="Times New Roman" w:hAnsi="Times New Roman" w:cs="Times New Roman"/>
          <w:b/>
          <w:bCs/>
          <w:color w:val="231F20"/>
          <w:sz w:val="24"/>
          <w:szCs w:val="24"/>
        </w:rPr>
        <w:tab/>
        <w:t xml:space="preserve">Collection of organs and histological analysis </w:t>
      </w:r>
    </w:p>
    <w:p w14:paraId="20F2A6E4" w14:textId="77777777" w:rsidR="00C244EE" w:rsidRDefault="00000000">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liver and gill of </w:t>
      </w:r>
      <w:r>
        <w:rPr>
          <w:rFonts w:ascii="Times New Roman" w:hAnsi="Times New Roman" w:cs="Times New Roman"/>
          <w:i/>
          <w:iCs/>
          <w:color w:val="231F20"/>
          <w:sz w:val="24"/>
          <w:szCs w:val="24"/>
        </w:rPr>
        <w:t xml:space="preserve">Clarias </w:t>
      </w:r>
      <w:proofErr w:type="spellStart"/>
      <w:r>
        <w:rPr>
          <w:rFonts w:ascii="Times New Roman" w:hAnsi="Times New Roman" w:cs="Times New Roman"/>
          <w:i/>
          <w:iCs/>
          <w:color w:val="231F20"/>
          <w:sz w:val="24"/>
          <w:szCs w:val="24"/>
        </w:rPr>
        <w:t>gariepinu</w:t>
      </w:r>
      <w:r>
        <w:rPr>
          <w:rFonts w:ascii="Times New Roman" w:hAnsi="Times New Roman" w:cs="Times New Roman"/>
          <w:color w:val="231F20"/>
          <w:sz w:val="24"/>
          <w:szCs w:val="24"/>
        </w:rPr>
        <w:t>s</w:t>
      </w:r>
      <w:proofErr w:type="spellEnd"/>
      <w:r>
        <w:rPr>
          <w:rFonts w:ascii="Times New Roman" w:hAnsi="Times New Roman" w:cs="Times New Roman"/>
          <w:color w:val="231F20"/>
          <w:sz w:val="24"/>
          <w:szCs w:val="24"/>
        </w:rPr>
        <w:t xml:space="preserve"> fed with different inclusion level of dietary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and control were removed, then pooled in 10% formalin solution before further histological analysis. Fixed tissues (liver and the gill) were put through slides to obtain micro thin slides for photomicrography. The tissues were dehydrated by passing through ascending grades of alcohol from 50%, 70%, 90%, absolute 1 and absolute 2 alcohols, with the tissues spending one hour in each of the alcohol.  Then the dehydrated tissues were cleared in two changes of xylene for one hour each. The cleared tissues were then infiltrated with two changes of wax at 600c for one hour each. The infiltrated tissues were embedded in the infiltrating medium and then cooled at room temperature to solidify, after which the embedded tissues were trimmed to reveal the tissue surface for microtomy which led to trimming of the blocks. The trimmed blocks were section at 7 microns to obtain tissue ribbon, which were later floated in the water bath at 400c. The tissue ribbons were picked with glass slides and then dried on a hot plate, the slides obtained were cleared in 2 changes of xylene for one minute each then the slides were allowed to be passed to descending grades of alcohol and then rinsed in water. After which the slides were stained in hematoxylin for 20minutes and then rinsed in tap water. The slides were differentiated by dipping in 1% acid alcohol for 5 seconds and then rinsed in running tap water which were later stained in eosin for two minutes and then rinsed in tap water. The slides were then upped through ascending grades of alcohol and cleared in xylene, the obtained slides were mounted in DPX which were later captured by a camera attached to the microscope and then analyzed for </w:t>
      </w:r>
      <w:commentRangeStart w:id="5"/>
      <w:r>
        <w:rPr>
          <w:rFonts w:ascii="Times New Roman" w:hAnsi="Times New Roman" w:cs="Times New Roman"/>
          <w:color w:val="231F20"/>
          <w:sz w:val="24"/>
          <w:szCs w:val="24"/>
        </w:rPr>
        <w:t>histopathology</w:t>
      </w:r>
      <w:commentRangeEnd w:id="5"/>
      <w:r w:rsidR="004D28E5">
        <w:rPr>
          <w:rStyle w:val="CommentReference"/>
          <w:rtl/>
        </w:rPr>
        <w:commentReference w:id="5"/>
      </w:r>
      <w:r>
        <w:rPr>
          <w:rFonts w:ascii="Times New Roman" w:hAnsi="Times New Roman" w:cs="Times New Roman"/>
          <w:color w:val="231F20"/>
          <w:sz w:val="24"/>
          <w:szCs w:val="24"/>
        </w:rPr>
        <w:t>.</w:t>
      </w:r>
    </w:p>
    <w:p w14:paraId="17F9482E" w14:textId="77777777" w:rsidR="00C244EE" w:rsidRDefault="00000000">
      <w:pPr>
        <w:spacing w:line="240" w:lineRule="exact"/>
        <w:jc w:val="both"/>
        <w:rPr>
          <w:rFonts w:ascii="Times New Roman" w:hAnsi="Times New Roman" w:cs="Times New Roman"/>
          <w:color w:val="231F20"/>
          <w:sz w:val="24"/>
          <w:szCs w:val="24"/>
        </w:rPr>
      </w:pPr>
      <w:r>
        <w:rPr>
          <w:rFonts w:ascii="Times New Roman" w:hAnsi="Times New Roman" w:cs="Times New Roman"/>
          <w:b/>
          <w:bCs/>
          <w:color w:val="231F20"/>
          <w:sz w:val="24"/>
          <w:szCs w:val="24"/>
        </w:rPr>
        <w:t>2.8</w:t>
      </w:r>
      <w:r>
        <w:rPr>
          <w:rFonts w:ascii="Times New Roman" w:hAnsi="Times New Roman" w:cs="Times New Roman"/>
          <w:b/>
          <w:bCs/>
          <w:color w:val="231F20"/>
          <w:sz w:val="24"/>
          <w:szCs w:val="24"/>
        </w:rPr>
        <w:tab/>
        <w:t>Statistical analysis</w:t>
      </w:r>
    </w:p>
    <w:p w14:paraId="5152CDE6" w14:textId="77777777" w:rsidR="00C244EE" w:rsidRDefault="00000000">
      <w:pPr>
        <w:spacing w:line="240" w:lineRule="exact"/>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experimental data were subjected to statistical data using analysis of variance (ANOVA) followed by Duncan's Multiple Range Test (DMRT) and expressed as mean ± SE [23]. Statistical significance for all the tests were set at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All statistical analyses were performed using Microsoft Excel 2010 and IBM SPSS statistics 20.0.</w:t>
      </w:r>
    </w:p>
    <w:p w14:paraId="70B1CB71" w14:textId="77777777" w:rsidR="00C244EE" w:rsidRDefault="00000000">
      <w:pPr>
        <w:spacing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3. RESULTS</w:t>
      </w:r>
    </w:p>
    <w:p w14:paraId="6FD6948D" w14:textId="77777777" w:rsidR="00C244EE" w:rsidRDefault="00000000">
      <w:pPr>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3.1</w:t>
      </w:r>
      <w:r>
        <w:rPr>
          <w:rFonts w:ascii="Times New Roman" w:hAnsi="Times New Roman" w:cs="Times New Roman"/>
          <w:b/>
          <w:color w:val="231F20"/>
          <w:sz w:val="24"/>
          <w:szCs w:val="24"/>
        </w:rPr>
        <w:tab/>
        <w:t>Proximate composition</w:t>
      </w:r>
    </w:p>
    <w:p w14:paraId="160DD1A6" w14:textId="77777777" w:rsidR="00C244EE" w:rsidRDefault="0000000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proximate composition of the formulated diets supplemented with different dietary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is shown in Table 2. The proximate composition of the formulated diets showed that there was significant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 xml:space="preserve">&lt; 0.05) in the crude protein and crude </w:t>
      </w:r>
      <w:proofErr w:type="spellStart"/>
      <w:r>
        <w:rPr>
          <w:rFonts w:ascii="Times New Roman" w:hAnsi="Times New Roman" w:cs="Times New Roman"/>
          <w:color w:val="231F20"/>
          <w:sz w:val="24"/>
          <w:szCs w:val="24"/>
        </w:rPr>
        <w:t>fibre</w:t>
      </w:r>
      <w:proofErr w:type="spellEnd"/>
      <w:r>
        <w:rPr>
          <w:rFonts w:ascii="Times New Roman" w:hAnsi="Times New Roman" w:cs="Times New Roman"/>
          <w:color w:val="231F20"/>
          <w:sz w:val="24"/>
          <w:szCs w:val="24"/>
        </w:rPr>
        <w:t xml:space="preserve"> in the two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formulated diets and the control diets while there was no significance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in the ash content, nitrogen free extract (NFE), moisture content and crude fat.</w:t>
      </w:r>
    </w:p>
    <w:p w14:paraId="2B307A7D" w14:textId="77777777" w:rsidR="00C244EE" w:rsidRDefault="00000000">
      <w:pPr>
        <w:spacing w:after="0"/>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Water quality parameters</w:t>
      </w:r>
    </w:p>
    <w:p w14:paraId="7DD7D530"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water temperature in the rearing media ranged from 25.6 to 28.20C, the pH ranged from 7.1 to 8.0 while the dissolved oxygen ranged between 6.02 and 6.48 mg/l. All the water parameters measured were within the tolerable range.</w:t>
      </w:r>
    </w:p>
    <w:p w14:paraId="5C1A9317" w14:textId="77777777" w:rsidR="00C244EE" w:rsidRDefault="00C244EE">
      <w:pPr>
        <w:spacing w:after="0" w:line="240" w:lineRule="auto"/>
        <w:jc w:val="both"/>
        <w:rPr>
          <w:rFonts w:ascii="Times New Roman" w:hAnsi="Times New Roman" w:cs="Times New Roman"/>
          <w:sz w:val="24"/>
          <w:szCs w:val="24"/>
        </w:rPr>
      </w:pPr>
    </w:p>
    <w:p w14:paraId="0289AE8E" w14:textId="77777777" w:rsidR="00C244EE"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Biochemical profile of serum</w:t>
      </w:r>
    </w:p>
    <w:p w14:paraId="76FA1EDA"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Biochemical profile of serum of </w:t>
      </w:r>
      <w:r>
        <w:rPr>
          <w:rFonts w:ascii="Times New Roman" w:hAnsi="Times New Roman" w:cs="Times New Roman"/>
          <w:i/>
          <w:iCs/>
          <w:sz w:val="24"/>
          <w:szCs w:val="24"/>
        </w:rPr>
        <w:t xml:space="preserve">C. </w:t>
      </w:r>
      <w:proofErr w:type="spellStart"/>
      <w:r>
        <w:rPr>
          <w:rFonts w:ascii="Times New Roman" w:hAnsi="Times New Roman" w:cs="Times New Roman"/>
          <w:i/>
          <w:iCs/>
          <w:sz w:val="24"/>
          <w:szCs w:val="24"/>
        </w:rPr>
        <w:t>gariepinus</w:t>
      </w:r>
      <w:proofErr w:type="spellEnd"/>
      <w:r>
        <w:rPr>
          <w:rFonts w:ascii="Times New Roman" w:hAnsi="Times New Roman" w:cs="Times New Roman"/>
          <w:sz w:val="24"/>
          <w:szCs w:val="24"/>
        </w:rPr>
        <w:t xml:space="preserve"> fed different inclusions levels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is available in Table 3. The results of the biochemical profile of the fish fed different inclusion level </w:t>
      </w:r>
      <w:r>
        <w:rPr>
          <w:rFonts w:ascii="Times New Roman" w:hAnsi="Times New Roman" w:cs="Times New Roman"/>
          <w:sz w:val="24"/>
          <w:szCs w:val="24"/>
        </w:rPr>
        <w:lastRenderedPageBreak/>
        <w:t xml:space="preserve">of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revealed that fish fed with dietary supplementation of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were significantly higher in alkaline phosphate (ALP), alanine aminotransferase (ALT) and aspartate aminotransferase (AST) while fish fed with 4 mg/kg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were significantly lower in value for the same biochemical parameters.</w:t>
      </w:r>
      <w:r>
        <w:rPr>
          <w:rFonts w:ascii="Times New Roman" w:hAnsi="Times New Roman" w:cs="Times New Roman"/>
          <w:sz w:val="24"/>
          <w:szCs w:val="24"/>
        </w:rPr>
        <w:tab/>
      </w:r>
    </w:p>
    <w:p w14:paraId="747E83E9" w14:textId="77777777" w:rsidR="00C244EE" w:rsidRDefault="00000000">
      <w:pPr>
        <w:spacing w:after="0" w:line="240" w:lineRule="auto"/>
        <w:jc w:val="both"/>
        <w:rPr>
          <w:rFonts w:ascii="Times New Roman" w:hAnsi="Times New Roman" w:cs="Times New Roman"/>
          <w:iCs/>
          <w:sz w:val="24"/>
          <w:szCs w:val="24"/>
        </w:rPr>
      </w:pPr>
      <w:r>
        <w:rPr>
          <w:rFonts w:ascii="Times New Roman" w:hAnsi="Times New Roman" w:cs="Times New Roman"/>
          <w:b/>
          <w:sz w:val="24"/>
          <w:szCs w:val="24"/>
        </w:rPr>
        <w:t>3.4.      Biochemical analysis of the organs</w:t>
      </w:r>
    </w:p>
    <w:p w14:paraId="34977602" w14:textId="77777777" w:rsidR="00C244EE" w:rsidRDefault="00000000">
      <w:pPr>
        <w:spacing w:after="0" w:line="240" w:lineRule="auto"/>
        <w:jc w:val="both"/>
        <w:rPr>
          <w:rFonts w:ascii="Times New Roman" w:hAnsi="Times New Roman" w:cs="Times New Roman"/>
          <w:color w:val="231F20"/>
          <w:sz w:val="24"/>
          <w:szCs w:val="24"/>
        </w:rPr>
      </w:pPr>
      <w:r>
        <w:rPr>
          <w:rFonts w:ascii="Times New Roman" w:hAnsi="Times New Roman" w:cs="Times New Roman"/>
          <w:sz w:val="24"/>
          <w:szCs w:val="24"/>
        </w:rPr>
        <w:t xml:space="preserve">The biochemical profile of the organs (gill and liver) of </w:t>
      </w:r>
      <w:r>
        <w:rPr>
          <w:rFonts w:ascii="Times New Roman" w:hAnsi="Times New Roman" w:cs="Times New Roman"/>
          <w:i/>
          <w:color w:val="231F20"/>
          <w:sz w:val="24"/>
          <w:szCs w:val="24"/>
        </w:rPr>
        <w:t xml:space="preserve">Cl </w:t>
      </w:r>
      <w:proofErr w:type="spellStart"/>
      <w:r>
        <w:rPr>
          <w:rFonts w:ascii="Times New Roman" w:hAnsi="Times New Roman" w:cs="Times New Roman"/>
          <w:i/>
          <w:color w:val="231F20"/>
          <w:sz w:val="24"/>
          <w:szCs w:val="24"/>
        </w:rPr>
        <w:t>gariepinus</w:t>
      </w:r>
      <w:proofErr w:type="spellEnd"/>
      <w:r>
        <w:rPr>
          <w:rFonts w:ascii="Times New Roman" w:hAnsi="Times New Roman" w:cs="Times New Roman"/>
          <w:sz w:val="24"/>
          <w:szCs w:val="24"/>
        </w:rPr>
        <w:t xml:space="preserve"> fed different inclusions levels of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is shown in Table 4. </w:t>
      </w:r>
      <w:r>
        <w:rPr>
          <w:rFonts w:ascii="Times New Roman" w:hAnsi="Times New Roman" w:cs="Times New Roman"/>
          <w:color w:val="231F20"/>
          <w:sz w:val="24"/>
          <w:szCs w:val="24"/>
        </w:rPr>
        <w:t>The results showed variations in the parameters of the liver and the gill. There was no significance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in all the dietary treatments and control for all the biochemical parameters of the gills except SOD which significantly (</w:t>
      </w:r>
      <w:r>
        <w:rPr>
          <w:rFonts w:ascii="Times New Roman" w:hAnsi="Times New Roman" w:cs="Times New Roman"/>
          <w:i/>
          <w:iCs/>
          <w:color w:val="231F20"/>
          <w:sz w:val="24"/>
          <w:szCs w:val="24"/>
        </w:rPr>
        <w:t xml:space="preserve">p &lt; </w:t>
      </w:r>
      <w:r>
        <w:rPr>
          <w:rFonts w:ascii="Times New Roman" w:hAnsi="Times New Roman" w:cs="Times New Roman"/>
          <w:color w:val="231F20"/>
          <w:sz w:val="24"/>
          <w:szCs w:val="24"/>
        </w:rPr>
        <w:t xml:space="preserve">0.05) increased as the dietary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increases.</w:t>
      </w:r>
    </w:p>
    <w:p w14:paraId="31970803"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t>For the biochemical indices of the liver such as superoxidase dismutase (SOD), glutathione peroxidase (</w:t>
      </w:r>
      <w:proofErr w:type="spellStart"/>
      <w:r>
        <w:rPr>
          <w:rFonts w:ascii="Times New Roman" w:hAnsi="Times New Roman" w:cs="Times New Roman"/>
          <w:color w:val="231F20"/>
          <w:sz w:val="24"/>
          <w:szCs w:val="24"/>
        </w:rPr>
        <w:t>GPx</w:t>
      </w:r>
      <w:proofErr w:type="spellEnd"/>
      <w:r>
        <w:rPr>
          <w:rFonts w:ascii="Times New Roman" w:hAnsi="Times New Roman" w:cs="Times New Roman"/>
          <w:color w:val="231F20"/>
          <w:sz w:val="24"/>
          <w:szCs w:val="24"/>
        </w:rPr>
        <w:t xml:space="preserve">), catalase (CAT), total protein and </w:t>
      </w:r>
      <w:r>
        <w:rPr>
          <w:rFonts w:ascii="Times New Roman" w:hAnsi="Times New Roman" w:cs="Times New Roman"/>
          <w:iCs/>
          <w:sz w:val="24"/>
          <w:szCs w:val="24"/>
        </w:rPr>
        <w:t>malondialdehyde (MDA)</w:t>
      </w:r>
      <w:r>
        <w:rPr>
          <w:rFonts w:ascii="Times New Roman" w:hAnsi="Times New Roman" w:cs="Times New Roman"/>
          <w:color w:val="231F20"/>
          <w:sz w:val="24"/>
          <w:szCs w:val="24"/>
        </w:rPr>
        <w:t xml:space="preserve"> there were no significance difference (</w:t>
      </w:r>
      <w:r>
        <w:rPr>
          <w:rFonts w:ascii="Times New Roman" w:hAnsi="Times New Roman" w:cs="Times New Roman"/>
          <w:i/>
          <w:iCs/>
          <w:color w:val="231F20"/>
          <w:sz w:val="24"/>
          <w:szCs w:val="24"/>
        </w:rPr>
        <w:t xml:space="preserve">p &lt; </w:t>
      </w:r>
      <w:r>
        <w:rPr>
          <w:rFonts w:ascii="Times New Roman" w:hAnsi="Times New Roman" w:cs="Times New Roman"/>
          <w:color w:val="231F20"/>
          <w:sz w:val="24"/>
          <w:szCs w:val="24"/>
        </w:rPr>
        <w:t xml:space="preserve">0.05) between fish fed with 2 mg/kg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formulated diets and 4 mg/kg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formulated diets and the control.</w:t>
      </w:r>
    </w:p>
    <w:p w14:paraId="0A1B3A67" w14:textId="77777777" w:rsidR="00B63684" w:rsidRDefault="00B63684">
      <w:pPr>
        <w:jc w:val="both"/>
        <w:rPr>
          <w:rFonts w:ascii="Times New Roman" w:hAnsi="Times New Roman" w:cs="Times New Roman"/>
          <w:color w:val="231F20"/>
          <w:sz w:val="24"/>
          <w:szCs w:val="24"/>
        </w:rPr>
      </w:pPr>
    </w:p>
    <w:p w14:paraId="519C36B1" w14:textId="77777777" w:rsidR="00C244EE" w:rsidRDefault="0000000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Table 2: Proximate composition (%) of the experimental diets at different dietary inclusion level of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w:t>
      </w:r>
    </w:p>
    <w:p w14:paraId="70EB03C2"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tbl>
      <w:tblPr>
        <w:tblStyle w:val="TableGrid"/>
        <w:tblW w:w="7877" w:type="dxa"/>
        <w:tblInd w:w="198" w:type="dxa"/>
        <w:tblLayout w:type="fixed"/>
        <w:tblLook w:val="0620" w:firstRow="1" w:lastRow="0" w:firstColumn="0" w:lastColumn="0" w:noHBand="1" w:noVBand="1"/>
      </w:tblPr>
      <w:tblGrid>
        <w:gridCol w:w="2832"/>
        <w:gridCol w:w="1732"/>
        <w:gridCol w:w="1647"/>
        <w:gridCol w:w="1666"/>
      </w:tblGrid>
      <w:tr w:rsidR="00C244EE" w14:paraId="7253DFA7" w14:textId="77777777">
        <w:trPr>
          <w:trHeight w:val="324"/>
        </w:trPr>
        <w:tc>
          <w:tcPr>
            <w:tcW w:w="2832" w:type="dxa"/>
            <w:tcBorders>
              <w:top w:val="single" w:sz="4" w:space="0" w:color="000000"/>
              <w:left w:val="single" w:sz="4" w:space="0" w:color="000000"/>
              <w:bottom w:val="single" w:sz="4" w:space="0" w:color="000000"/>
              <w:right w:val="single" w:sz="4" w:space="0" w:color="000000"/>
            </w:tcBorders>
          </w:tcPr>
          <w:p w14:paraId="02FC130E" w14:textId="77777777" w:rsidR="00C244EE" w:rsidRDefault="00C244EE">
            <w:pPr>
              <w:autoSpaceDE w:val="0"/>
              <w:autoSpaceDN w:val="0"/>
              <w:adjustRightInd w:val="0"/>
              <w:jc w:val="both"/>
              <w:rPr>
                <w:rFonts w:ascii="Times New Roman" w:hAnsi="Times New Roman" w:cs="Times New Roman"/>
                <w:b/>
                <w:bCs/>
                <w:sz w:val="24"/>
                <w:szCs w:val="24"/>
              </w:rPr>
            </w:pPr>
          </w:p>
        </w:tc>
        <w:tc>
          <w:tcPr>
            <w:tcW w:w="5045" w:type="dxa"/>
            <w:gridSpan w:val="3"/>
            <w:tcBorders>
              <w:top w:val="single" w:sz="4" w:space="0" w:color="000000"/>
              <w:left w:val="single" w:sz="4" w:space="0" w:color="000000"/>
              <w:bottom w:val="single" w:sz="4" w:space="0" w:color="000000"/>
              <w:right w:val="single" w:sz="4" w:space="0" w:color="000000"/>
            </w:tcBorders>
          </w:tcPr>
          <w:p w14:paraId="1B73B104" w14:textId="77777777" w:rsidR="00C244EE" w:rsidRDefault="00C244EE">
            <w:pPr>
              <w:autoSpaceDE w:val="0"/>
              <w:autoSpaceDN w:val="0"/>
              <w:adjustRightInd w:val="0"/>
              <w:jc w:val="both"/>
              <w:rPr>
                <w:rFonts w:ascii="Times New Roman" w:hAnsi="Times New Roman" w:cs="Times New Roman"/>
                <w:b/>
                <w:bCs/>
                <w:sz w:val="24"/>
                <w:szCs w:val="24"/>
              </w:rPr>
            </w:pPr>
          </w:p>
          <w:p w14:paraId="405AB162" w14:textId="77777777" w:rsidR="00C244EE" w:rsidRDefault="0000000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Dietary </w:t>
            </w:r>
            <w:proofErr w:type="spellStart"/>
            <w:r>
              <w:rPr>
                <w:rFonts w:ascii="Times New Roman" w:hAnsi="Times New Roman" w:cs="Times New Roman"/>
                <w:b/>
                <w:bCs/>
                <w:sz w:val="24"/>
                <w:szCs w:val="24"/>
              </w:rPr>
              <w:t>Nanoselenium</w:t>
            </w:r>
            <w:proofErr w:type="spellEnd"/>
            <w:r>
              <w:rPr>
                <w:rFonts w:ascii="Times New Roman" w:hAnsi="Times New Roman" w:cs="Times New Roman"/>
                <w:b/>
                <w:bCs/>
                <w:sz w:val="24"/>
                <w:szCs w:val="24"/>
              </w:rPr>
              <w:t xml:space="preserve"> (mg/kg)</w:t>
            </w:r>
          </w:p>
        </w:tc>
      </w:tr>
      <w:tr w:rsidR="00C244EE" w14:paraId="04B0ED51" w14:textId="77777777">
        <w:trPr>
          <w:trHeight w:val="299"/>
        </w:trPr>
        <w:tc>
          <w:tcPr>
            <w:tcW w:w="2832" w:type="dxa"/>
            <w:tcBorders>
              <w:top w:val="single" w:sz="4" w:space="0" w:color="000000"/>
              <w:left w:val="single" w:sz="4" w:space="0" w:color="000000"/>
              <w:bottom w:val="single" w:sz="4" w:space="0" w:color="000000"/>
              <w:right w:val="single" w:sz="4" w:space="0" w:color="000000"/>
            </w:tcBorders>
          </w:tcPr>
          <w:p w14:paraId="16B80ED2" w14:textId="77777777" w:rsidR="00C244EE" w:rsidRDefault="00000000">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Parameter</w:t>
            </w:r>
          </w:p>
        </w:tc>
        <w:tc>
          <w:tcPr>
            <w:tcW w:w="1732" w:type="dxa"/>
            <w:tcBorders>
              <w:top w:val="single" w:sz="4" w:space="0" w:color="000000"/>
              <w:left w:val="single" w:sz="4" w:space="0" w:color="000000"/>
              <w:bottom w:val="single" w:sz="4" w:space="0" w:color="000000"/>
              <w:right w:val="single" w:sz="4" w:space="0" w:color="000000"/>
            </w:tcBorders>
          </w:tcPr>
          <w:p w14:paraId="2E1D3939" w14:textId="77777777" w:rsidR="00C244EE" w:rsidRDefault="00000000">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0 (Control) </w:t>
            </w:r>
          </w:p>
        </w:tc>
        <w:tc>
          <w:tcPr>
            <w:tcW w:w="1647" w:type="dxa"/>
            <w:tcBorders>
              <w:top w:val="single" w:sz="4" w:space="0" w:color="000000"/>
              <w:left w:val="single" w:sz="4" w:space="0" w:color="000000"/>
              <w:bottom w:val="single" w:sz="4" w:space="0" w:color="000000"/>
              <w:right w:val="single" w:sz="4" w:space="0" w:color="000000"/>
            </w:tcBorders>
          </w:tcPr>
          <w:p w14:paraId="32291C9F" w14:textId="77777777" w:rsidR="00C244EE" w:rsidRDefault="00000000">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2</w:t>
            </w:r>
          </w:p>
        </w:tc>
        <w:tc>
          <w:tcPr>
            <w:tcW w:w="1666" w:type="dxa"/>
            <w:tcBorders>
              <w:top w:val="single" w:sz="4" w:space="0" w:color="000000"/>
              <w:left w:val="single" w:sz="4" w:space="0" w:color="000000"/>
              <w:bottom w:val="single" w:sz="4" w:space="0" w:color="000000"/>
              <w:right w:val="single" w:sz="4" w:space="0" w:color="000000"/>
            </w:tcBorders>
          </w:tcPr>
          <w:p w14:paraId="6E3BBC3A" w14:textId="77777777" w:rsidR="00C244EE" w:rsidRDefault="00000000">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w:t>
            </w:r>
          </w:p>
        </w:tc>
      </w:tr>
      <w:tr w:rsidR="00C244EE" w14:paraId="6AF5DA79"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128CF3CD" w14:textId="77777777" w:rsidR="00C244EE"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Moisture content</w:t>
            </w:r>
          </w:p>
        </w:tc>
        <w:tc>
          <w:tcPr>
            <w:tcW w:w="1732" w:type="dxa"/>
            <w:tcBorders>
              <w:top w:val="single" w:sz="4" w:space="0" w:color="000000"/>
              <w:left w:val="single" w:sz="4" w:space="0" w:color="000000"/>
              <w:bottom w:val="single" w:sz="4" w:space="0" w:color="000000"/>
              <w:right w:val="single" w:sz="4" w:space="0" w:color="000000"/>
            </w:tcBorders>
          </w:tcPr>
          <w:p w14:paraId="4471BBDD"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7.65±0.28</w:t>
            </w:r>
            <w:r>
              <w:rPr>
                <w:rFonts w:ascii="Times New Roman" w:hAnsi="Times New Roman" w:cs="Times New Roman"/>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5A40F68F"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8.00±0.06</w:t>
            </w:r>
            <w:r>
              <w:rPr>
                <w:rFonts w:ascii="Times New Roman" w:hAnsi="Times New Roman" w:cs="Times New Roman"/>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093FADA9"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8.53±0.24</w:t>
            </w:r>
            <w:r>
              <w:rPr>
                <w:rFonts w:ascii="Times New Roman" w:hAnsi="Times New Roman" w:cs="Times New Roman"/>
                <w:sz w:val="24"/>
                <w:szCs w:val="24"/>
                <w:vertAlign w:val="superscript"/>
              </w:rPr>
              <w:t>a</w:t>
            </w:r>
          </w:p>
        </w:tc>
      </w:tr>
      <w:tr w:rsidR="00C244EE" w14:paraId="5412337C"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74CB48FE" w14:textId="77777777" w:rsidR="00C244EE"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Ash content</w:t>
            </w:r>
          </w:p>
        </w:tc>
        <w:tc>
          <w:tcPr>
            <w:tcW w:w="1732" w:type="dxa"/>
            <w:tcBorders>
              <w:top w:val="single" w:sz="4" w:space="0" w:color="000000"/>
              <w:left w:val="single" w:sz="4" w:space="0" w:color="000000"/>
              <w:bottom w:val="single" w:sz="4" w:space="0" w:color="000000"/>
              <w:right w:val="single" w:sz="4" w:space="0" w:color="000000"/>
            </w:tcBorders>
          </w:tcPr>
          <w:p w14:paraId="35BC2DFD"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9.23±0.10</w:t>
            </w:r>
            <w:r>
              <w:rPr>
                <w:rFonts w:ascii="Times New Roman" w:hAnsi="Times New Roman" w:cs="Times New Roman"/>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0F3D042D"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8.81±0.31</w:t>
            </w:r>
            <w:r>
              <w:rPr>
                <w:rFonts w:ascii="Times New Roman" w:hAnsi="Times New Roman" w:cs="Times New Roman"/>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32D5EDD8"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9.39±0.08</w:t>
            </w:r>
            <w:r>
              <w:rPr>
                <w:rFonts w:ascii="Times New Roman" w:hAnsi="Times New Roman" w:cs="Times New Roman"/>
                <w:sz w:val="24"/>
                <w:szCs w:val="24"/>
                <w:vertAlign w:val="superscript"/>
              </w:rPr>
              <w:t>a</w:t>
            </w:r>
          </w:p>
        </w:tc>
      </w:tr>
      <w:tr w:rsidR="00C244EE" w14:paraId="69BD3A60"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594E08D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Crude </w:t>
            </w:r>
            <w:proofErr w:type="spellStart"/>
            <w:r>
              <w:rPr>
                <w:rFonts w:ascii="Times New Roman" w:hAnsi="Times New Roman" w:cs="Times New Roman"/>
                <w:color w:val="000000"/>
                <w:sz w:val="24"/>
                <w:szCs w:val="24"/>
              </w:rPr>
              <w:t>fibre</w:t>
            </w:r>
            <w:proofErr w:type="spellEnd"/>
          </w:p>
        </w:tc>
        <w:tc>
          <w:tcPr>
            <w:tcW w:w="1732" w:type="dxa"/>
            <w:tcBorders>
              <w:top w:val="single" w:sz="4" w:space="0" w:color="000000"/>
              <w:left w:val="single" w:sz="4" w:space="0" w:color="000000"/>
              <w:bottom w:val="single" w:sz="4" w:space="0" w:color="000000"/>
              <w:right w:val="single" w:sz="4" w:space="0" w:color="000000"/>
            </w:tcBorders>
          </w:tcPr>
          <w:p w14:paraId="21B6166B"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5.65±0.38</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6186D971"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4.89±0.05</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0D50A456"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4.34±0.16</w:t>
            </w:r>
            <w:r>
              <w:rPr>
                <w:rFonts w:ascii="Times New Roman" w:hAnsi="Times New Roman" w:cs="Times New Roman"/>
                <w:color w:val="000000"/>
                <w:sz w:val="24"/>
                <w:szCs w:val="24"/>
                <w:vertAlign w:val="superscript"/>
              </w:rPr>
              <w:t>b</w:t>
            </w:r>
          </w:p>
        </w:tc>
      </w:tr>
      <w:tr w:rsidR="00C244EE" w14:paraId="096857CD"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1B756B7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protein</w:t>
            </w:r>
          </w:p>
        </w:tc>
        <w:tc>
          <w:tcPr>
            <w:tcW w:w="1732" w:type="dxa"/>
            <w:tcBorders>
              <w:top w:val="single" w:sz="4" w:space="0" w:color="000000"/>
              <w:left w:val="single" w:sz="4" w:space="0" w:color="000000"/>
              <w:bottom w:val="single" w:sz="4" w:space="0" w:color="000000"/>
              <w:right w:val="single" w:sz="4" w:space="0" w:color="000000"/>
            </w:tcBorders>
          </w:tcPr>
          <w:p w14:paraId="02A9627F"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33.67±0.65</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37344B93"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36.83±0.34</w:t>
            </w:r>
            <w:r>
              <w:rPr>
                <w:rFonts w:ascii="Times New Roman" w:hAnsi="Times New Roman" w:cs="Times New Roman"/>
                <w:color w:val="000000"/>
                <w:sz w:val="24"/>
                <w:szCs w:val="24"/>
                <w:vertAlign w:val="superscript"/>
              </w:rPr>
              <w:t>b</w:t>
            </w:r>
          </w:p>
        </w:tc>
        <w:tc>
          <w:tcPr>
            <w:tcW w:w="1666" w:type="dxa"/>
            <w:tcBorders>
              <w:top w:val="single" w:sz="4" w:space="0" w:color="000000"/>
              <w:left w:val="single" w:sz="4" w:space="0" w:color="000000"/>
              <w:bottom w:val="single" w:sz="4" w:space="0" w:color="000000"/>
              <w:right w:val="single" w:sz="4" w:space="0" w:color="000000"/>
            </w:tcBorders>
          </w:tcPr>
          <w:p w14:paraId="6C440B09"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39.65±0.36</w:t>
            </w:r>
            <w:r>
              <w:rPr>
                <w:rFonts w:ascii="Times New Roman" w:hAnsi="Times New Roman" w:cs="Times New Roman"/>
                <w:color w:val="000000"/>
                <w:sz w:val="24"/>
                <w:szCs w:val="24"/>
                <w:vertAlign w:val="superscript"/>
              </w:rPr>
              <w:t>c</w:t>
            </w:r>
          </w:p>
        </w:tc>
      </w:tr>
      <w:tr w:rsidR="00C244EE" w14:paraId="144885E7"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02FD0CF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fat</w:t>
            </w:r>
          </w:p>
        </w:tc>
        <w:tc>
          <w:tcPr>
            <w:tcW w:w="1732" w:type="dxa"/>
            <w:tcBorders>
              <w:top w:val="single" w:sz="4" w:space="0" w:color="000000"/>
              <w:left w:val="single" w:sz="4" w:space="0" w:color="000000"/>
              <w:bottom w:val="single" w:sz="4" w:space="0" w:color="000000"/>
              <w:right w:val="single" w:sz="4" w:space="0" w:color="000000"/>
            </w:tcBorders>
          </w:tcPr>
          <w:p w14:paraId="40E65F9A"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8.75±0.12</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60EE7FEC"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8.45±0.01</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38AE5D92"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8.52±0.10</w:t>
            </w:r>
            <w:r>
              <w:rPr>
                <w:rFonts w:ascii="Times New Roman" w:hAnsi="Times New Roman" w:cs="Times New Roman"/>
                <w:color w:val="000000"/>
                <w:sz w:val="24"/>
                <w:szCs w:val="24"/>
                <w:vertAlign w:val="superscript"/>
              </w:rPr>
              <w:t>a</w:t>
            </w:r>
          </w:p>
        </w:tc>
      </w:tr>
      <w:tr w:rsidR="00C244EE" w14:paraId="4C0E56EE"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3D45BCEB" w14:textId="77777777" w:rsidR="00C244EE" w:rsidRDefault="0000000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Nitrogen free extract (NFE)</w:t>
            </w:r>
          </w:p>
        </w:tc>
        <w:tc>
          <w:tcPr>
            <w:tcW w:w="1732" w:type="dxa"/>
            <w:tcBorders>
              <w:top w:val="single" w:sz="4" w:space="0" w:color="000000"/>
              <w:left w:val="single" w:sz="4" w:space="0" w:color="000000"/>
              <w:bottom w:val="single" w:sz="4" w:space="0" w:color="000000"/>
              <w:right w:val="single" w:sz="4" w:space="0" w:color="000000"/>
            </w:tcBorders>
          </w:tcPr>
          <w:p w14:paraId="376D6095" w14:textId="77777777" w:rsidR="00C244EE" w:rsidRDefault="00000000">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35.06±1.33</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7A1F0C77" w14:textId="77777777" w:rsidR="00C244EE" w:rsidRDefault="00000000">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33.02±0.08</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142E375B" w14:textId="77777777" w:rsidR="00C244EE" w:rsidRDefault="00000000">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29.58±0.26</w:t>
            </w:r>
            <w:r>
              <w:rPr>
                <w:rFonts w:ascii="Times New Roman" w:hAnsi="Times New Roman" w:cs="Times New Roman"/>
                <w:color w:val="000000"/>
                <w:sz w:val="24"/>
                <w:szCs w:val="24"/>
                <w:vertAlign w:val="superscript"/>
              </w:rPr>
              <w:t>a</w:t>
            </w:r>
          </w:p>
        </w:tc>
      </w:tr>
    </w:tbl>
    <w:p w14:paraId="5D29BD21" w14:textId="77777777" w:rsidR="00C244EE" w:rsidRDefault="00C244EE">
      <w:pPr>
        <w:spacing w:after="0" w:line="120" w:lineRule="auto"/>
        <w:jc w:val="both"/>
        <w:rPr>
          <w:rFonts w:ascii="Times New Roman" w:hAnsi="Times New Roman" w:cs="Times New Roman"/>
          <w:i/>
          <w:iCs/>
          <w:sz w:val="24"/>
          <w:szCs w:val="24"/>
        </w:rPr>
      </w:pPr>
    </w:p>
    <w:p w14:paraId="25497E92" w14:textId="77777777" w:rsidR="00C244EE" w:rsidRDefault="00000000">
      <w:pPr>
        <w:spacing w:after="0" w:line="480" w:lineRule="auto"/>
        <w:ind w:firstLine="720"/>
        <w:jc w:val="both"/>
        <w:rPr>
          <w:rFonts w:ascii="Times New Roman" w:hAnsi="Times New Roman" w:cs="Times New Roman"/>
          <w:iCs/>
          <w:sz w:val="24"/>
          <w:szCs w:val="24"/>
        </w:rPr>
      </w:pPr>
      <w:r>
        <w:rPr>
          <w:rFonts w:ascii="Times New Roman" w:hAnsi="Times New Roman" w:cs="Times New Roman"/>
          <w:i/>
          <w:iCs/>
          <w:sz w:val="24"/>
          <w:szCs w:val="24"/>
        </w:rPr>
        <w:t>Within rows, means with different alphabets are significantly different (P&lt;.05).</w:t>
      </w:r>
    </w:p>
    <w:p w14:paraId="0F8969E1" w14:textId="77777777" w:rsidR="00C244EE" w:rsidRDefault="00C244EE">
      <w:pPr>
        <w:spacing w:after="0" w:line="240" w:lineRule="auto"/>
        <w:jc w:val="both"/>
        <w:rPr>
          <w:rFonts w:ascii="Times New Roman" w:hAnsi="Times New Roman" w:cs="Times New Roman"/>
          <w:sz w:val="24"/>
          <w:szCs w:val="24"/>
        </w:rPr>
      </w:pPr>
    </w:p>
    <w:p w14:paraId="25AF911D" w14:textId="77777777" w:rsidR="00C244EE" w:rsidRDefault="0000000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Table 3: Biochemical profile of the serum of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fed varying inclusion levels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r>
        <w:rPr>
          <w:rFonts w:ascii="Times New Roman" w:hAnsi="Times New Roman" w:cs="Times New Roman"/>
          <w:b/>
          <w:sz w:val="24"/>
          <w:szCs w:val="24"/>
        </w:rPr>
        <w:t>.</w:t>
      </w:r>
    </w:p>
    <w:p w14:paraId="5B5EDE19" w14:textId="77777777" w:rsidR="00C244EE" w:rsidRDefault="00C244EE">
      <w:pPr>
        <w:spacing w:after="0"/>
        <w:jc w:val="both"/>
        <w:rPr>
          <w:rFonts w:ascii="Times New Roman" w:hAnsi="Times New Roman" w:cs="Times New Roman"/>
          <w:b/>
          <w:sz w:val="24"/>
          <w:szCs w:val="24"/>
        </w:rPr>
      </w:pPr>
    </w:p>
    <w:p w14:paraId="617B59BE" w14:textId="77777777" w:rsidR="00C244EE" w:rsidRDefault="00C244EE">
      <w:pPr>
        <w:jc w:val="both"/>
        <w:rPr>
          <w:rFonts w:ascii="Times New Roman" w:hAnsi="Times New Roman" w:cs="Times New Roman"/>
          <w:color w:val="231F20"/>
          <w:sz w:val="24"/>
          <w:szCs w:val="24"/>
        </w:rPr>
      </w:pPr>
    </w:p>
    <w:tbl>
      <w:tblPr>
        <w:tblStyle w:val="TableGrid"/>
        <w:tblpPr w:leftFromText="180" w:rightFromText="180" w:vertAnchor="text" w:horzAnchor="margin" w:tblpY="-716"/>
        <w:tblW w:w="8185" w:type="dxa"/>
        <w:tblLayout w:type="fixed"/>
        <w:tblLook w:val="0420" w:firstRow="1" w:lastRow="0" w:firstColumn="0" w:lastColumn="0" w:noHBand="0" w:noVBand="1"/>
      </w:tblPr>
      <w:tblGrid>
        <w:gridCol w:w="2551"/>
        <w:gridCol w:w="1822"/>
        <w:gridCol w:w="1959"/>
        <w:gridCol w:w="1853"/>
      </w:tblGrid>
      <w:tr w:rsidR="00C244EE" w14:paraId="0E141600"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542EC71B" w14:textId="77777777" w:rsidR="00C244EE" w:rsidRDefault="0000000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Parameters</w:t>
            </w:r>
          </w:p>
        </w:tc>
        <w:tc>
          <w:tcPr>
            <w:tcW w:w="1822" w:type="dxa"/>
            <w:tcBorders>
              <w:top w:val="single" w:sz="4" w:space="0" w:color="000000"/>
              <w:left w:val="single" w:sz="4" w:space="0" w:color="000000"/>
              <w:bottom w:val="single" w:sz="4" w:space="0" w:color="000000"/>
              <w:right w:val="single" w:sz="4" w:space="0" w:color="000000"/>
            </w:tcBorders>
          </w:tcPr>
          <w:p w14:paraId="21994508" w14:textId="77777777" w:rsidR="00C244EE" w:rsidRDefault="0000000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 (Control)</w:t>
            </w:r>
          </w:p>
        </w:tc>
        <w:tc>
          <w:tcPr>
            <w:tcW w:w="1959" w:type="dxa"/>
            <w:tcBorders>
              <w:top w:val="single" w:sz="4" w:space="0" w:color="000000"/>
              <w:left w:val="single" w:sz="4" w:space="0" w:color="000000"/>
              <w:bottom w:val="single" w:sz="4" w:space="0" w:color="000000"/>
              <w:right w:val="single" w:sz="4" w:space="0" w:color="000000"/>
            </w:tcBorders>
          </w:tcPr>
          <w:p w14:paraId="0FF9FECE" w14:textId="77777777" w:rsidR="00C244EE" w:rsidRDefault="0000000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2mg/kg</w:t>
            </w:r>
          </w:p>
        </w:tc>
        <w:tc>
          <w:tcPr>
            <w:tcW w:w="1853" w:type="dxa"/>
            <w:tcBorders>
              <w:top w:val="single" w:sz="4" w:space="0" w:color="000000"/>
              <w:left w:val="single" w:sz="4" w:space="0" w:color="000000"/>
              <w:bottom w:val="single" w:sz="4" w:space="0" w:color="000000"/>
              <w:right w:val="single" w:sz="4" w:space="0" w:color="000000"/>
            </w:tcBorders>
          </w:tcPr>
          <w:p w14:paraId="04B0CF79" w14:textId="77777777" w:rsidR="00C244EE" w:rsidRDefault="0000000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4mg/kg</w:t>
            </w:r>
          </w:p>
        </w:tc>
      </w:tr>
      <w:tr w:rsidR="00C244EE" w14:paraId="36D895D5"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39CA497"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ALP (µ/I)</w:t>
            </w:r>
          </w:p>
        </w:tc>
        <w:tc>
          <w:tcPr>
            <w:tcW w:w="1822" w:type="dxa"/>
            <w:tcBorders>
              <w:top w:val="single" w:sz="4" w:space="0" w:color="000000"/>
              <w:left w:val="single" w:sz="4" w:space="0" w:color="000000"/>
              <w:bottom w:val="single" w:sz="4" w:space="0" w:color="000000"/>
              <w:right w:val="single" w:sz="4" w:space="0" w:color="000000"/>
            </w:tcBorders>
          </w:tcPr>
          <w:p w14:paraId="1B62FD3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279.22±14.96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3F99D278"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262.66±11.06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0B2C201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332.12±49.44</w:t>
            </w:r>
            <w:r>
              <w:rPr>
                <w:rFonts w:ascii="Times New Roman" w:hAnsi="Times New Roman" w:cs="Times New Roman"/>
                <w:color w:val="000000"/>
                <w:sz w:val="24"/>
                <w:szCs w:val="24"/>
                <w:vertAlign w:val="superscript"/>
              </w:rPr>
              <w:t>b</w:t>
            </w:r>
          </w:p>
        </w:tc>
      </w:tr>
      <w:tr w:rsidR="00C244EE" w14:paraId="39120B7A" w14:textId="77777777">
        <w:trPr>
          <w:trHeight w:val="77"/>
        </w:trPr>
        <w:tc>
          <w:tcPr>
            <w:tcW w:w="2551" w:type="dxa"/>
            <w:tcBorders>
              <w:top w:val="single" w:sz="4" w:space="0" w:color="000000"/>
              <w:left w:val="single" w:sz="4" w:space="0" w:color="000000"/>
              <w:bottom w:val="single" w:sz="4" w:space="0" w:color="000000"/>
              <w:right w:val="single" w:sz="4" w:space="0" w:color="000000"/>
            </w:tcBorders>
          </w:tcPr>
          <w:p w14:paraId="2DF8E70B"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ALT (µ /l)</w:t>
            </w:r>
          </w:p>
        </w:tc>
        <w:tc>
          <w:tcPr>
            <w:tcW w:w="1822" w:type="dxa"/>
            <w:tcBorders>
              <w:top w:val="single" w:sz="4" w:space="0" w:color="000000"/>
              <w:left w:val="single" w:sz="4" w:space="0" w:color="000000"/>
              <w:bottom w:val="single" w:sz="4" w:space="0" w:color="000000"/>
              <w:right w:val="single" w:sz="4" w:space="0" w:color="000000"/>
            </w:tcBorders>
          </w:tcPr>
          <w:p w14:paraId="40C46298"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59.87±11.42</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90733A4" w14:textId="77777777" w:rsidR="00C244EE" w:rsidRDefault="00000000">
            <w:pPr>
              <w:autoSpaceDE w:val="0"/>
              <w:autoSpaceDN w:val="0"/>
              <w:adjustRightInd w:val="0"/>
              <w:ind w:left="-286" w:firstLine="1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59.77±0.41</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454ECED" w14:textId="77777777" w:rsidR="00C244EE" w:rsidRDefault="00000000">
            <w:pPr>
              <w:autoSpaceDE w:val="0"/>
              <w:autoSpaceDN w:val="0"/>
              <w:adjustRightInd w:val="0"/>
              <w:ind w:left="-7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65.35±5.85</w:t>
            </w:r>
            <w:r>
              <w:rPr>
                <w:rFonts w:ascii="Times New Roman" w:hAnsi="Times New Roman" w:cs="Times New Roman"/>
                <w:color w:val="000000"/>
                <w:sz w:val="24"/>
                <w:szCs w:val="24"/>
                <w:vertAlign w:val="superscript"/>
              </w:rPr>
              <w:t>a</w:t>
            </w:r>
          </w:p>
        </w:tc>
      </w:tr>
      <w:tr w:rsidR="00C244EE" w14:paraId="7A31C73F"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044F16D3"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AST (µ /l)</w:t>
            </w:r>
          </w:p>
        </w:tc>
        <w:tc>
          <w:tcPr>
            <w:tcW w:w="1822" w:type="dxa"/>
            <w:tcBorders>
              <w:top w:val="single" w:sz="4" w:space="0" w:color="000000"/>
              <w:left w:val="single" w:sz="4" w:space="0" w:color="000000"/>
              <w:bottom w:val="single" w:sz="4" w:space="0" w:color="000000"/>
              <w:right w:val="single" w:sz="4" w:space="0" w:color="000000"/>
            </w:tcBorders>
          </w:tcPr>
          <w:p w14:paraId="692B4569"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213.95±0.37</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3C12C62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198.16±5.58</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748AD6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220.53±17.12</w:t>
            </w:r>
            <w:r>
              <w:rPr>
                <w:rFonts w:ascii="Times New Roman" w:hAnsi="Times New Roman" w:cs="Times New Roman"/>
                <w:color w:val="000000"/>
                <w:sz w:val="24"/>
                <w:szCs w:val="24"/>
                <w:vertAlign w:val="superscript"/>
              </w:rPr>
              <w:t>a</w:t>
            </w:r>
          </w:p>
        </w:tc>
      </w:tr>
      <w:tr w:rsidR="00C244EE" w14:paraId="5C7E63D4"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62B5B2DF"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Creatinine mg/l</w:t>
            </w:r>
          </w:p>
        </w:tc>
        <w:tc>
          <w:tcPr>
            <w:tcW w:w="1822" w:type="dxa"/>
            <w:tcBorders>
              <w:top w:val="single" w:sz="4" w:space="0" w:color="000000"/>
              <w:left w:val="single" w:sz="4" w:space="0" w:color="000000"/>
              <w:bottom w:val="single" w:sz="4" w:space="0" w:color="000000"/>
              <w:right w:val="single" w:sz="4" w:space="0" w:color="000000"/>
            </w:tcBorders>
          </w:tcPr>
          <w:p w14:paraId="6F9BFFEF"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0.06±0.06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EB6556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0.13±0.02</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3F6574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0.01±0.04</w:t>
            </w:r>
            <w:r>
              <w:rPr>
                <w:rFonts w:ascii="Times New Roman" w:hAnsi="Times New Roman" w:cs="Times New Roman"/>
                <w:color w:val="000000"/>
                <w:sz w:val="24"/>
                <w:szCs w:val="24"/>
                <w:vertAlign w:val="superscript"/>
              </w:rPr>
              <w:t>a</w:t>
            </w:r>
          </w:p>
        </w:tc>
      </w:tr>
      <w:tr w:rsidR="00C244EE" w14:paraId="495415BD"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77C8A895"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822" w:type="dxa"/>
            <w:tcBorders>
              <w:top w:val="single" w:sz="4" w:space="0" w:color="000000"/>
              <w:left w:val="single" w:sz="4" w:space="0" w:color="000000"/>
              <w:bottom w:val="single" w:sz="4" w:space="0" w:color="000000"/>
              <w:right w:val="single" w:sz="4" w:space="0" w:color="000000"/>
            </w:tcBorders>
          </w:tcPr>
          <w:p w14:paraId="67F863E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24.33±0.74</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3F1D4D7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22.53±0.38</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232939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27.86±2.65</w:t>
            </w:r>
            <w:r>
              <w:rPr>
                <w:rFonts w:ascii="Times New Roman" w:hAnsi="Times New Roman" w:cs="Times New Roman"/>
                <w:color w:val="000000"/>
                <w:sz w:val="24"/>
                <w:szCs w:val="24"/>
                <w:vertAlign w:val="superscript"/>
              </w:rPr>
              <w:t>a</w:t>
            </w:r>
          </w:p>
        </w:tc>
      </w:tr>
      <w:tr w:rsidR="00C244EE" w14:paraId="60583776"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9D2DB5D"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Albumin (g/dl)</w:t>
            </w:r>
          </w:p>
        </w:tc>
        <w:tc>
          <w:tcPr>
            <w:tcW w:w="1822" w:type="dxa"/>
            <w:tcBorders>
              <w:top w:val="single" w:sz="4" w:space="0" w:color="000000"/>
              <w:left w:val="single" w:sz="4" w:space="0" w:color="000000"/>
              <w:bottom w:val="single" w:sz="4" w:space="0" w:color="000000"/>
              <w:right w:val="single" w:sz="4" w:space="0" w:color="000000"/>
            </w:tcBorders>
          </w:tcPr>
          <w:p w14:paraId="6936413F"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2.88±0.11</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6171EC2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3.29±0.86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A7D349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4.37±2.54</w:t>
            </w:r>
            <w:r>
              <w:rPr>
                <w:rFonts w:ascii="Times New Roman" w:hAnsi="Times New Roman" w:cs="Times New Roman"/>
                <w:color w:val="000000"/>
                <w:sz w:val="24"/>
                <w:szCs w:val="24"/>
                <w:vertAlign w:val="superscript"/>
              </w:rPr>
              <w:t>a</w:t>
            </w:r>
          </w:p>
        </w:tc>
      </w:tr>
      <w:tr w:rsidR="00C244EE" w14:paraId="72677020"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3548E33"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Urea (mm/l)</w:t>
            </w:r>
          </w:p>
        </w:tc>
        <w:tc>
          <w:tcPr>
            <w:tcW w:w="1822" w:type="dxa"/>
            <w:tcBorders>
              <w:top w:val="single" w:sz="4" w:space="0" w:color="000000"/>
              <w:left w:val="single" w:sz="4" w:space="0" w:color="000000"/>
              <w:bottom w:val="single" w:sz="4" w:space="0" w:color="000000"/>
              <w:right w:val="single" w:sz="4" w:space="0" w:color="000000"/>
            </w:tcBorders>
          </w:tcPr>
          <w:p w14:paraId="4DDFF65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1.47±0.16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23F97FAF"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1.33±1.02</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5A4128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1.09±0.70</w:t>
            </w:r>
            <w:r>
              <w:rPr>
                <w:rFonts w:ascii="Times New Roman" w:hAnsi="Times New Roman" w:cs="Times New Roman"/>
                <w:color w:val="000000"/>
                <w:sz w:val="24"/>
                <w:szCs w:val="24"/>
                <w:vertAlign w:val="superscript"/>
              </w:rPr>
              <w:t>a</w:t>
            </w:r>
          </w:p>
        </w:tc>
      </w:tr>
      <w:tr w:rsidR="00C244EE" w14:paraId="4CE98F04"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0545667A"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Uric acid (mm/l)</w:t>
            </w:r>
          </w:p>
        </w:tc>
        <w:tc>
          <w:tcPr>
            <w:tcW w:w="1822" w:type="dxa"/>
            <w:tcBorders>
              <w:top w:val="single" w:sz="4" w:space="0" w:color="000000"/>
              <w:left w:val="single" w:sz="4" w:space="0" w:color="000000"/>
              <w:bottom w:val="single" w:sz="4" w:space="0" w:color="000000"/>
              <w:right w:val="single" w:sz="4" w:space="0" w:color="000000"/>
            </w:tcBorders>
          </w:tcPr>
          <w:p w14:paraId="52790AB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0.15±0.08</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089C273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0.27±0.05</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999D0BB"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0.09±0.00</w:t>
            </w:r>
            <w:r>
              <w:rPr>
                <w:rFonts w:ascii="Times New Roman" w:hAnsi="Times New Roman" w:cs="Times New Roman"/>
                <w:color w:val="000000"/>
                <w:sz w:val="24"/>
                <w:szCs w:val="24"/>
                <w:vertAlign w:val="superscript"/>
              </w:rPr>
              <w:t>a</w:t>
            </w:r>
          </w:p>
        </w:tc>
      </w:tr>
      <w:tr w:rsidR="00C244EE" w14:paraId="2CB7B33E"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7207AAC"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 CHOL (mg/dl)</w:t>
            </w:r>
          </w:p>
        </w:tc>
        <w:tc>
          <w:tcPr>
            <w:tcW w:w="1822" w:type="dxa"/>
            <w:tcBorders>
              <w:top w:val="single" w:sz="4" w:space="0" w:color="000000"/>
              <w:left w:val="single" w:sz="4" w:space="0" w:color="000000"/>
              <w:bottom w:val="single" w:sz="4" w:space="0" w:color="000000"/>
              <w:right w:val="single" w:sz="4" w:space="0" w:color="000000"/>
            </w:tcBorders>
          </w:tcPr>
          <w:p w14:paraId="740EF9B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235.01±14.53</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7D8FBF0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220.11±6.83</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0EA00A4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223.61±11.18</w:t>
            </w:r>
            <w:r>
              <w:rPr>
                <w:rFonts w:ascii="Times New Roman" w:hAnsi="Times New Roman" w:cs="Times New Roman"/>
                <w:color w:val="000000"/>
                <w:sz w:val="24"/>
                <w:szCs w:val="24"/>
                <w:vertAlign w:val="superscript"/>
              </w:rPr>
              <w:t>a</w:t>
            </w:r>
          </w:p>
        </w:tc>
      </w:tr>
      <w:tr w:rsidR="00C244EE" w14:paraId="032A2AAD"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E641CC1"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Triglycerides (mg/dl)</w:t>
            </w:r>
          </w:p>
        </w:tc>
        <w:tc>
          <w:tcPr>
            <w:tcW w:w="1822" w:type="dxa"/>
            <w:tcBorders>
              <w:top w:val="single" w:sz="4" w:space="0" w:color="000000"/>
              <w:left w:val="single" w:sz="4" w:space="0" w:color="000000"/>
              <w:bottom w:val="single" w:sz="4" w:space="0" w:color="000000"/>
              <w:right w:val="single" w:sz="4" w:space="0" w:color="000000"/>
            </w:tcBorders>
          </w:tcPr>
          <w:p w14:paraId="01AFD9AE"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358.08±4.52</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523E993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348.12±1.06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688A4E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380.83±35.09</w:t>
            </w:r>
            <w:r>
              <w:rPr>
                <w:rFonts w:ascii="Times New Roman" w:hAnsi="Times New Roman" w:cs="Times New Roman"/>
                <w:color w:val="000000"/>
                <w:sz w:val="24"/>
                <w:szCs w:val="24"/>
                <w:vertAlign w:val="superscript"/>
              </w:rPr>
              <w:t>b</w:t>
            </w:r>
          </w:p>
        </w:tc>
      </w:tr>
      <w:tr w:rsidR="00C244EE" w14:paraId="4963BFD7"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03B3E7A6"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HDL-C</w:t>
            </w:r>
          </w:p>
        </w:tc>
        <w:tc>
          <w:tcPr>
            <w:tcW w:w="1822" w:type="dxa"/>
            <w:tcBorders>
              <w:top w:val="single" w:sz="4" w:space="0" w:color="000000"/>
              <w:left w:val="single" w:sz="4" w:space="0" w:color="000000"/>
              <w:bottom w:val="single" w:sz="4" w:space="0" w:color="000000"/>
              <w:right w:val="single" w:sz="4" w:space="0" w:color="000000"/>
            </w:tcBorders>
          </w:tcPr>
          <w:p w14:paraId="27CA72A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132.34±4.23</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1C9CFC4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121.16±1.41</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D86D9F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129.15±11.01</w:t>
            </w:r>
            <w:r>
              <w:rPr>
                <w:rFonts w:ascii="Times New Roman" w:hAnsi="Times New Roman" w:cs="Times New Roman"/>
                <w:color w:val="000000"/>
                <w:sz w:val="24"/>
                <w:szCs w:val="24"/>
                <w:vertAlign w:val="superscript"/>
              </w:rPr>
              <w:t>a</w:t>
            </w:r>
          </w:p>
        </w:tc>
      </w:tr>
      <w:tr w:rsidR="00C244EE" w14:paraId="069E2AD1"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2C36FA1" w14:textId="77777777" w:rsidR="00C244EE" w:rsidRDefault="00000000">
            <w:pPr>
              <w:autoSpaceDE w:val="0"/>
              <w:autoSpaceDN w:val="0"/>
              <w:adjustRightInd w:val="0"/>
              <w:rPr>
                <w:rFonts w:ascii="Times New Roman" w:hAnsi="Times New Roman" w:cs="Times New Roman"/>
                <w:bCs/>
                <w:color w:val="000000"/>
                <w:sz w:val="24"/>
                <w:szCs w:val="24"/>
                <w:u w:color="000000"/>
              </w:rPr>
            </w:pPr>
            <w:r>
              <w:rPr>
                <w:rFonts w:ascii="Times New Roman" w:hAnsi="Times New Roman" w:cs="Times New Roman"/>
                <w:bCs/>
                <w:color w:val="000000"/>
                <w:sz w:val="24"/>
                <w:szCs w:val="24"/>
                <w:u w:color="000000"/>
              </w:rPr>
              <w:t>LDL-C</w:t>
            </w:r>
          </w:p>
        </w:tc>
        <w:tc>
          <w:tcPr>
            <w:tcW w:w="1822" w:type="dxa"/>
            <w:tcBorders>
              <w:top w:val="single" w:sz="4" w:space="0" w:color="000000"/>
              <w:left w:val="single" w:sz="4" w:space="0" w:color="000000"/>
              <w:bottom w:val="single" w:sz="4" w:space="0" w:color="000000"/>
              <w:right w:val="single" w:sz="4" w:space="0" w:color="000000"/>
            </w:tcBorders>
          </w:tcPr>
          <w:p w14:paraId="6E9E22C4" w14:textId="77777777" w:rsidR="00C244EE" w:rsidRDefault="00000000">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31.05±11.20</w:t>
            </w:r>
            <w:r>
              <w:rPr>
                <w:rFonts w:ascii="Times New Roman" w:hAnsi="Times New Roman" w:cs="Times New Roman"/>
                <w:color w:val="000000"/>
                <w:sz w:val="24"/>
                <w:szCs w:val="24"/>
                <w:u w:color="000000"/>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3A8AAA5" w14:textId="77777777" w:rsidR="00C244EE" w:rsidRDefault="00000000">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29.33±5.20</w:t>
            </w:r>
            <w:r>
              <w:rPr>
                <w:rFonts w:ascii="Times New Roman" w:hAnsi="Times New Roman" w:cs="Times New Roman"/>
                <w:color w:val="000000"/>
                <w:sz w:val="24"/>
                <w:szCs w:val="24"/>
                <w:u w:color="000000"/>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8A75615" w14:textId="77777777" w:rsidR="00C244EE" w:rsidRDefault="00000000">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18.29±6.84</w:t>
            </w:r>
            <w:r>
              <w:rPr>
                <w:rFonts w:ascii="Times New Roman" w:hAnsi="Times New Roman" w:cs="Times New Roman"/>
                <w:color w:val="000000"/>
                <w:sz w:val="24"/>
                <w:szCs w:val="24"/>
                <w:u w:color="000000"/>
                <w:vertAlign w:val="superscript"/>
              </w:rPr>
              <w:t>a</w:t>
            </w:r>
          </w:p>
        </w:tc>
      </w:tr>
    </w:tbl>
    <w:p w14:paraId="7CDD3677" w14:textId="77777777" w:rsidR="00C244EE" w:rsidRDefault="00000000">
      <w:pPr>
        <w:rPr>
          <w:u w:color="000000"/>
        </w:rPr>
      </w:pPr>
      <w:r>
        <w:rPr>
          <w:rFonts w:ascii="Times New Roman" w:hAnsi="Times New Roman" w:cs="Times New Roman"/>
          <w:noProof/>
          <w:color w:val="231F20"/>
          <w:sz w:val="24"/>
          <w:szCs w:val="24"/>
          <w:u w:color="000000"/>
        </w:rPr>
        <mc:AlternateContent>
          <mc:Choice Requires="wps">
            <w:drawing>
              <wp:anchor distT="0" distB="0" distL="0" distR="0" simplePos="0" relativeHeight="4" behindDoc="0" locked="0" layoutInCell="1" allowOverlap="1" wp14:anchorId="77577B70" wp14:editId="72278094">
                <wp:simplePos x="0" y="0"/>
                <wp:positionH relativeFrom="page">
                  <wp:posOffset>-5268595</wp:posOffset>
                </wp:positionH>
                <wp:positionV relativeFrom="page">
                  <wp:posOffset>46990</wp:posOffset>
                </wp:positionV>
                <wp:extent cx="5128260" cy="1269"/>
                <wp:effectExtent l="8255" t="8890" r="6985" b="8890"/>
                <wp:wrapNone/>
                <wp:docPr id="1027"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8260" cy="1269"/>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414.85pt;margin-top:3.7pt;width:403.8pt;height:0.1pt;z-index:4;mso-position-horizontal-relative:page;mso-position-vertical-relative:page;mso-width-percent:0;mso-height-percent:0;mso-width-relative:page;mso-height-relative:page;mso-wrap-distance-left:0.0pt;mso-wrap-distance-right:0.0pt;visibility:visible;">
                <v:fill/>
              </v:shape>
            </w:pict>
          </mc:Fallback>
        </mc:AlternateContent>
      </w:r>
    </w:p>
    <w:p w14:paraId="4D7F6951" w14:textId="77777777" w:rsidR="00C244EE" w:rsidRDefault="00C244EE">
      <w:pPr>
        <w:jc w:val="both"/>
        <w:rPr>
          <w:rFonts w:ascii="Times New Roman" w:hAnsi="Times New Roman" w:cs="Times New Roman"/>
          <w:iCs/>
          <w:sz w:val="24"/>
          <w:szCs w:val="24"/>
          <w:u w:color="000000"/>
        </w:rPr>
      </w:pPr>
    </w:p>
    <w:p w14:paraId="2BF82C75" w14:textId="77777777" w:rsidR="00C244EE" w:rsidRDefault="00C244EE">
      <w:pPr>
        <w:rPr>
          <w:rFonts w:ascii="Times New Roman" w:hAnsi="Times New Roman" w:cs="Times New Roman"/>
          <w:color w:val="231F20"/>
          <w:sz w:val="24"/>
          <w:szCs w:val="24"/>
          <w:u w:color="000000"/>
        </w:rPr>
      </w:pPr>
    </w:p>
    <w:p w14:paraId="6ACE4AC9" w14:textId="77777777" w:rsidR="00C244EE" w:rsidRDefault="00C244EE">
      <w:pPr>
        <w:autoSpaceDE w:val="0"/>
        <w:autoSpaceDN w:val="0"/>
        <w:adjustRightInd w:val="0"/>
        <w:spacing w:after="0"/>
        <w:jc w:val="both"/>
        <w:rPr>
          <w:rFonts w:ascii="Times New Roman" w:hAnsi="Times New Roman" w:cs="Times New Roman"/>
          <w:color w:val="231F20"/>
          <w:sz w:val="24"/>
          <w:szCs w:val="24"/>
          <w:u w:color="000000"/>
        </w:rPr>
      </w:pPr>
    </w:p>
    <w:p w14:paraId="0717E966" w14:textId="77777777" w:rsidR="00C244EE" w:rsidRDefault="00C244EE">
      <w:pPr>
        <w:autoSpaceDE w:val="0"/>
        <w:autoSpaceDN w:val="0"/>
        <w:adjustRightInd w:val="0"/>
        <w:spacing w:after="0"/>
        <w:jc w:val="both"/>
        <w:rPr>
          <w:rFonts w:ascii="Times New Roman" w:hAnsi="Times New Roman" w:cs="Times New Roman"/>
          <w:color w:val="231F20"/>
          <w:sz w:val="24"/>
          <w:szCs w:val="24"/>
          <w:u w:color="000000"/>
        </w:rPr>
      </w:pPr>
    </w:p>
    <w:p w14:paraId="3B61A294" w14:textId="77777777" w:rsidR="00C244EE" w:rsidRDefault="00C244EE">
      <w:pPr>
        <w:jc w:val="both"/>
        <w:rPr>
          <w:rFonts w:ascii="Times New Roman" w:hAnsi="Times New Roman" w:cs="Times New Roman"/>
          <w:sz w:val="24"/>
          <w:szCs w:val="24"/>
          <w:u w:color="000000"/>
        </w:rPr>
      </w:pPr>
    </w:p>
    <w:p w14:paraId="2BA6EE45" w14:textId="77777777" w:rsidR="00C244EE" w:rsidRDefault="00C244EE">
      <w:pPr>
        <w:autoSpaceDE w:val="0"/>
        <w:autoSpaceDN w:val="0"/>
        <w:adjustRightInd w:val="0"/>
        <w:spacing w:after="0"/>
        <w:jc w:val="both"/>
        <w:rPr>
          <w:rFonts w:ascii="Times New Roman" w:hAnsi="Times New Roman" w:cs="Times New Roman"/>
          <w:sz w:val="24"/>
          <w:szCs w:val="24"/>
          <w:u w:color="000000"/>
        </w:rPr>
      </w:pPr>
    </w:p>
    <w:p w14:paraId="3E0F9320" w14:textId="77777777" w:rsidR="00C244EE" w:rsidRDefault="00C244EE">
      <w:pPr>
        <w:spacing w:after="0" w:line="240" w:lineRule="auto"/>
        <w:rPr>
          <w:rFonts w:ascii="Times New Roman" w:hAnsi="Times New Roman" w:cs="Times New Roman"/>
          <w:iCs/>
          <w:sz w:val="24"/>
          <w:szCs w:val="24"/>
        </w:rPr>
      </w:pPr>
    </w:p>
    <w:p w14:paraId="768C0618" w14:textId="77777777" w:rsidR="00C244EE" w:rsidRDefault="00000000">
      <w:pPr>
        <w:spacing w:after="0" w:line="240" w:lineRule="auto"/>
        <w:rPr>
          <w:rFonts w:ascii="Times New Roman" w:eastAsia="SimSun" w:hAnsi="Times New Roman" w:cs="Times New Roman"/>
          <w:sz w:val="24"/>
          <w:szCs w:val="24"/>
        </w:rPr>
      </w:pPr>
      <w:r>
        <w:rPr>
          <w:rFonts w:ascii="Times New Roman" w:hAnsi="Times New Roman" w:cs="Times New Roman"/>
          <w:iCs/>
          <w:sz w:val="24"/>
          <w:szCs w:val="24"/>
        </w:rPr>
        <w:t xml:space="preserve">Means within rows with different superscript are significantly different </w:t>
      </w:r>
      <w:r>
        <w:rPr>
          <w:rFonts w:ascii="Times New Roman" w:hAnsi="Times New Roman" w:cs="Times New Roman"/>
          <w:sz w:val="24"/>
          <w:szCs w:val="24"/>
        </w:rPr>
        <w:t>(</w:t>
      </w:r>
      <w:r>
        <w:rPr>
          <w:rFonts w:ascii="Times New Roman" w:hAnsi="Times New Roman" w:cs="Times New Roman"/>
          <w:i/>
          <w:iCs/>
          <w:sz w:val="24"/>
          <w:szCs w:val="24"/>
        </w:rPr>
        <w:t xml:space="preserve">p </w:t>
      </w:r>
      <w:r>
        <w:rPr>
          <w:rFonts w:ascii="Times New Roman" w:hAnsi="Times New Roman" w:cs="Times New Roman"/>
          <w:sz w:val="24"/>
          <w:szCs w:val="24"/>
        </w:rPr>
        <w:t>&lt; 0.05).</w:t>
      </w:r>
    </w:p>
    <w:p w14:paraId="74D2ADE4" w14:textId="77777777" w:rsidR="00C244EE"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ALP- Alkaline phosphate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AST- Aspartate aminotransferase </w:t>
      </w:r>
    </w:p>
    <w:p w14:paraId="516608AD"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ALT- Alanine </w:t>
      </w:r>
      <w:r>
        <w:rPr>
          <w:rFonts w:ascii="Times New Roman" w:hAnsi="Times New Roman" w:cs="Times New Roman"/>
          <w:sz w:val="24"/>
          <w:szCs w:val="24"/>
        </w:rPr>
        <w:t>aminotransferase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HDL-C - High density lipoprotein cholesterol</w:t>
      </w:r>
    </w:p>
    <w:p w14:paraId="5267B0A2"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LDL-C - Low density lipoprotein cholesterol</w:t>
      </w:r>
      <w:r>
        <w:rPr>
          <w:rFonts w:ascii="Times New Roman" w:hAnsi="Times New Roman" w:cs="Times New Roman"/>
          <w:sz w:val="24"/>
          <w:szCs w:val="24"/>
        </w:rPr>
        <w:tab/>
        <w:t>T.CHOL- Total Cholesterol</w:t>
      </w:r>
    </w:p>
    <w:p w14:paraId="6EF0243F" w14:textId="77777777" w:rsidR="00C244EE" w:rsidRDefault="00C244EE">
      <w:pPr>
        <w:spacing w:after="0" w:line="240" w:lineRule="auto"/>
        <w:jc w:val="both"/>
        <w:rPr>
          <w:rFonts w:ascii="Times New Roman" w:hAnsi="Times New Roman" w:cs="Times New Roman"/>
          <w:b/>
          <w:bCs/>
          <w:sz w:val="24"/>
          <w:szCs w:val="24"/>
        </w:rPr>
      </w:pPr>
    </w:p>
    <w:p w14:paraId="0DAB6639" w14:textId="77777777" w:rsidR="00B63684" w:rsidRDefault="00B63684">
      <w:pPr>
        <w:spacing w:after="0" w:line="240" w:lineRule="auto"/>
        <w:jc w:val="both"/>
        <w:rPr>
          <w:rFonts w:ascii="Times New Roman" w:hAnsi="Times New Roman" w:cs="Times New Roman"/>
          <w:sz w:val="24"/>
          <w:szCs w:val="24"/>
        </w:rPr>
      </w:pPr>
    </w:p>
    <w:p w14:paraId="037D4A63" w14:textId="77777777" w:rsidR="00B63684" w:rsidRDefault="00B63684">
      <w:pPr>
        <w:spacing w:after="0" w:line="240" w:lineRule="auto"/>
        <w:jc w:val="both"/>
        <w:rPr>
          <w:rFonts w:ascii="Times New Roman" w:hAnsi="Times New Roman" w:cs="Times New Roman"/>
          <w:sz w:val="24"/>
          <w:szCs w:val="24"/>
        </w:rPr>
      </w:pPr>
    </w:p>
    <w:p w14:paraId="789B7BD9" w14:textId="77777777" w:rsidR="00B63684" w:rsidRDefault="00B63684">
      <w:pPr>
        <w:spacing w:after="0" w:line="240" w:lineRule="auto"/>
        <w:jc w:val="both"/>
        <w:rPr>
          <w:rFonts w:ascii="Times New Roman" w:hAnsi="Times New Roman" w:cs="Times New Roman"/>
          <w:sz w:val="24"/>
          <w:szCs w:val="24"/>
        </w:rPr>
      </w:pPr>
    </w:p>
    <w:p w14:paraId="7FEB2366" w14:textId="77777777" w:rsidR="00797416" w:rsidRDefault="00797416">
      <w:pPr>
        <w:spacing w:after="0" w:line="240" w:lineRule="auto"/>
        <w:jc w:val="both"/>
        <w:rPr>
          <w:rFonts w:ascii="Times New Roman" w:hAnsi="Times New Roman" w:cs="Times New Roman"/>
          <w:sz w:val="24"/>
          <w:szCs w:val="24"/>
        </w:rPr>
      </w:pPr>
    </w:p>
    <w:p w14:paraId="7AB9EBB9" w14:textId="77777777" w:rsidR="00797416" w:rsidRDefault="00797416">
      <w:pPr>
        <w:spacing w:after="0" w:line="240" w:lineRule="auto"/>
        <w:jc w:val="both"/>
        <w:rPr>
          <w:rFonts w:ascii="Times New Roman" w:hAnsi="Times New Roman" w:cs="Times New Roman"/>
          <w:sz w:val="24"/>
          <w:szCs w:val="24"/>
        </w:rPr>
      </w:pPr>
    </w:p>
    <w:p w14:paraId="49951929" w14:textId="77777777" w:rsidR="00797416" w:rsidRDefault="00797416">
      <w:pPr>
        <w:spacing w:after="0" w:line="240" w:lineRule="auto"/>
        <w:jc w:val="both"/>
        <w:rPr>
          <w:rFonts w:ascii="Times New Roman" w:hAnsi="Times New Roman" w:cs="Times New Roman"/>
          <w:sz w:val="24"/>
          <w:szCs w:val="24"/>
        </w:rPr>
      </w:pPr>
    </w:p>
    <w:p w14:paraId="77F30498" w14:textId="77777777" w:rsidR="00797416" w:rsidRDefault="00797416">
      <w:pPr>
        <w:spacing w:after="0" w:line="240" w:lineRule="auto"/>
        <w:jc w:val="both"/>
        <w:rPr>
          <w:rFonts w:ascii="Times New Roman" w:hAnsi="Times New Roman" w:cs="Times New Roman"/>
          <w:sz w:val="24"/>
          <w:szCs w:val="24"/>
        </w:rPr>
      </w:pPr>
    </w:p>
    <w:p w14:paraId="41043F18" w14:textId="77777777" w:rsidR="00797416" w:rsidRDefault="00797416">
      <w:pPr>
        <w:spacing w:after="0" w:line="240" w:lineRule="auto"/>
        <w:jc w:val="both"/>
        <w:rPr>
          <w:rFonts w:ascii="Times New Roman" w:hAnsi="Times New Roman" w:cs="Times New Roman"/>
          <w:sz w:val="24"/>
          <w:szCs w:val="24"/>
        </w:rPr>
      </w:pPr>
    </w:p>
    <w:p w14:paraId="5AF54991" w14:textId="77777777" w:rsidR="00797416" w:rsidRDefault="00797416">
      <w:pPr>
        <w:spacing w:after="0" w:line="240" w:lineRule="auto"/>
        <w:jc w:val="both"/>
        <w:rPr>
          <w:rFonts w:ascii="Times New Roman" w:hAnsi="Times New Roman" w:cs="Times New Roman"/>
          <w:sz w:val="24"/>
          <w:szCs w:val="24"/>
        </w:rPr>
      </w:pPr>
    </w:p>
    <w:p w14:paraId="0F143551" w14:textId="77777777" w:rsidR="00797416" w:rsidRDefault="00797416">
      <w:pPr>
        <w:spacing w:after="0" w:line="240" w:lineRule="auto"/>
        <w:jc w:val="both"/>
        <w:rPr>
          <w:rFonts w:ascii="Times New Roman" w:hAnsi="Times New Roman" w:cs="Times New Roman"/>
          <w:sz w:val="24"/>
          <w:szCs w:val="24"/>
        </w:rPr>
      </w:pPr>
    </w:p>
    <w:p w14:paraId="154E1EA6" w14:textId="77777777" w:rsidR="00797416" w:rsidRDefault="00797416">
      <w:pPr>
        <w:spacing w:after="0" w:line="240" w:lineRule="auto"/>
        <w:jc w:val="both"/>
        <w:rPr>
          <w:rFonts w:ascii="Times New Roman" w:hAnsi="Times New Roman" w:cs="Times New Roman"/>
          <w:sz w:val="24"/>
          <w:szCs w:val="24"/>
        </w:rPr>
      </w:pPr>
    </w:p>
    <w:p w14:paraId="70FA7EF3" w14:textId="77777777" w:rsidR="00797416" w:rsidRDefault="00797416">
      <w:pPr>
        <w:spacing w:after="0" w:line="240" w:lineRule="auto"/>
        <w:jc w:val="both"/>
        <w:rPr>
          <w:rFonts w:ascii="Times New Roman" w:hAnsi="Times New Roman" w:cs="Times New Roman"/>
          <w:sz w:val="24"/>
          <w:szCs w:val="24"/>
        </w:rPr>
      </w:pPr>
    </w:p>
    <w:p w14:paraId="54E51667"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Biochemical profile of the organs of </w:t>
      </w:r>
      <w:r>
        <w:rPr>
          <w:rFonts w:ascii="Times New Roman" w:hAnsi="Times New Roman" w:cs="Times New Roman"/>
          <w:i/>
          <w:sz w:val="24"/>
          <w:szCs w:val="24"/>
        </w:rPr>
        <w:t xml:space="preserve">Clarias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fed varying inclusion levels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r>
        <w:rPr>
          <w:rFonts w:ascii="Times New Roman" w:hAnsi="Times New Roman" w:cs="Times New Roman"/>
          <w:b/>
          <w:sz w:val="24"/>
          <w:szCs w:val="24"/>
        </w:rPr>
        <w:t>.</w:t>
      </w:r>
    </w:p>
    <w:p w14:paraId="73995D6F" w14:textId="77777777" w:rsidR="00C244EE" w:rsidRDefault="00C244EE">
      <w:pPr>
        <w:spacing w:after="0" w:line="240" w:lineRule="auto"/>
        <w:jc w:val="both"/>
        <w:rPr>
          <w:rFonts w:ascii="Times New Roman" w:hAnsi="Times New Roman" w:cs="Times New Roman"/>
          <w:sz w:val="24"/>
          <w:szCs w:val="24"/>
        </w:rPr>
      </w:pPr>
    </w:p>
    <w:tbl>
      <w:tblPr>
        <w:tblStyle w:val="TableGrid"/>
        <w:tblW w:w="8231" w:type="dxa"/>
        <w:jc w:val="center"/>
        <w:tblLayout w:type="fixed"/>
        <w:tblLook w:val="0640" w:firstRow="0" w:lastRow="1" w:firstColumn="0" w:lastColumn="0" w:noHBand="1" w:noVBand="1"/>
      </w:tblPr>
      <w:tblGrid>
        <w:gridCol w:w="2579"/>
        <w:gridCol w:w="1774"/>
        <w:gridCol w:w="1914"/>
        <w:gridCol w:w="1964"/>
      </w:tblGrid>
      <w:tr w:rsidR="00C244EE" w14:paraId="1574FA99" w14:textId="77777777" w:rsidTr="00514234">
        <w:trPr>
          <w:trHeight w:val="873"/>
          <w:jc w:val="center"/>
        </w:trPr>
        <w:tc>
          <w:tcPr>
            <w:tcW w:w="8231" w:type="dxa"/>
            <w:gridSpan w:val="4"/>
            <w:tcBorders>
              <w:top w:val="single" w:sz="4" w:space="0" w:color="000000"/>
              <w:left w:val="single" w:sz="4" w:space="0" w:color="000000"/>
              <w:bottom w:val="single" w:sz="4" w:space="0" w:color="000000"/>
              <w:right w:val="single" w:sz="4" w:space="0" w:color="000000"/>
            </w:tcBorders>
          </w:tcPr>
          <w:p w14:paraId="5DA25A5E"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Inclusion level of dietary </w:t>
            </w:r>
            <w:proofErr w:type="spellStart"/>
            <w:r>
              <w:rPr>
                <w:rFonts w:ascii="Times New Roman" w:hAnsi="Times New Roman" w:cs="Times New Roman"/>
                <w:b/>
                <w:color w:val="231F20"/>
                <w:sz w:val="24"/>
                <w:szCs w:val="24"/>
              </w:rPr>
              <w:t>Nanoselenium</w:t>
            </w:r>
            <w:proofErr w:type="spellEnd"/>
            <w:r>
              <w:rPr>
                <w:rFonts w:ascii="Times New Roman" w:hAnsi="Times New Roman" w:cs="Times New Roman"/>
                <w:b/>
                <w:color w:val="231F20"/>
                <w:sz w:val="24"/>
                <w:szCs w:val="24"/>
              </w:rPr>
              <w:t xml:space="preserve"> (mg/kg)</w:t>
            </w:r>
          </w:p>
          <w:p w14:paraId="3871A97B" w14:textId="77777777" w:rsidR="00C244EE" w:rsidRDefault="00C244EE">
            <w:pPr>
              <w:autoSpaceDE w:val="0"/>
              <w:autoSpaceDN w:val="0"/>
              <w:adjustRightInd w:val="0"/>
              <w:jc w:val="center"/>
              <w:rPr>
                <w:rFonts w:ascii="Times New Roman" w:hAnsi="Times New Roman" w:cs="Times New Roman"/>
                <w:b/>
                <w:color w:val="231F20"/>
                <w:sz w:val="24"/>
                <w:szCs w:val="24"/>
              </w:rPr>
            </w:pPr>
          </w:p>
          <w:tbl>
            <w:tblPr>
              <w:tblStyle w:val="TableGrid"/>
              <w:tblW w:w="0" w:type="auto"/>
              <w:tblLayout w:type="fixed"/>
              <w:tblLook w:val="0400" w:firstRow="0" w:lastRow="0" w:firstColumn="0" w:lastColumn="0" w:noHBand="0" w:noVBand="1"/>
            </w:tblPr>
            <w:tblGrid>
              <w:gridCol w:w="2448"/>
              <w:gridCol w:w="1801"/>
              <w:gridCol w:w="1935"/>
              <w:gridCol w:w="1838"/>
            </w:tblGrid>
            <w:tr w:rsidR="00C244EE" w14:paraId="1EB624A3" w14:textId="77777777">
              <w:trPr>
                <w:trHeight w:val="7"/>
              </w:trPr>
              <w:tc>
                <w:tcPr>
                  <w:tcW w:w="2448" w:type="dxa"/>
                  <w:tcBorders>
                    <w:top w:val="single" w:sz="4" w:space="0" w:color="auto"/>
                    <w:left w:val="single" w:sz="4" w:space="0" w:color="auto"/>
                    <w:bottom w:val="single" w:sz="4" w:space="0" w:color="auto"/>
                    <w:right w:val="single" w:sz="4" w:space="0" w:color="auto"/>
                  </w:tcBorders>
                </w:tcPr>
                <w:p w14:paraId="7B7FABA5"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Parameters</w:t>
                  </w:r>
                </w:p>
              </w:tc>
              <w:tc>
                <w:tcPr>
                  <w:tcW w:w="1801" w:type="dxa"/>
                  <w:tcBorders>
                    <w:top w:val="single" w:sz="4" w:space="0" w:color="auto"/>
                    <w:left w:val="single" w:sz="4" w:space="0" w:color="auto"/>
                    <w:bottom w:val="single" w:sz="4" w:space="0" w:color="auto"/>
                    <w:right w:val="single" w:sz="4" w:space="0" w:color="auto"/>
                  </w:tcBorders>
                </w:tcPr>
                <w:p w14:paraId="6BE8E295"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0 (Control)</w:t>
                  </w:r>
                </w:p>
              </w:tc>
              <w:tc>
                <w:tcPr>
                  <w:tcW w:w="1935" w:type="dxa"/>
                  <w:tcBorders>
                    <w:top w:val="single" w:sz="4" w:space="0" w:color="auto"/>
                    <w:left w:val="single" w:sz="4" w:space="0" w:color="auto"/>
                    <w:bottom w:val="single" w:sz="4" w:space="0" w:color="auto"/>
                    <w:right w:val="single" w:sz="4" w:space="0" w:color="auto"/>
                  </w:tcBorders>
                </w:tcPr>
                <w:p w14:paraId="604961E4"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2</w:t>
                  </w:r>
                </w:p>
              </w:tc>
              <w:tc>
                <w:tcPr>
                  <w:tcW w:w="1838" w:type="dxa"/>
                  <w:tcBorders>
                    <w:top w:val="single" w:sz="4" w:space="0" w:color="auto"/>
                    <w:left w:val="single" w:sz="4" w:space="0" w:color="auto"/>
                    <w:bottom w:val="single" w:sz="4" w:space="0" w:color="auto"/>
                    <w:right w:val="single" w:sz="4" w:space="0" w:color="auto"/>
                  </w:tcBorders>
                </w:tcPr>
                <w:p w14:paraId="7A3D5A17"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4</w:t>
                  </w:r>
                </w:p>
              </w:tc>
            </w:tr>
          </w:tbl>
          <w:p w14:paraId="4CA8337E" w14:textId="77777777" w:rsidR="00C244EE" w:rsidRDefault="00C244EE">
            <w:pPr>
              <w:autoSpaceDE w:val="0"/>
              <w:autoSpaceDN w:val="0"/>
              <w:adjustRightInd w:val="0"/>
              <w:jc w:val="center"/>
              <w:rPr>
                <w:rFonts w:ascii="Times New Roman" w:hAnsi="Times New Roman" w:cs="Times New Roman"/>
                <w:b/>
                <w:color w:val="231F20"/>
                <w:sz w:val="24"/>
                <w:szCs w:val="24"/>
              </w:rPr>
            </w:pPr>
          </w:p>
          <w:p w14:paraId="6BCC3E0A"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Gills</w:t>
            </w:r>
          </w:p>
        </w:tc>
      </w:tr>
      <w:tr w:rsidR="00C244EE" w14:paraId="13280766"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43BE87E3"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SOD (U/mg protein)</w:t>
            </w:r>
          </w:p>
        </w:tc>
        <w:tc>
          <w:tcPr>
            <w:tcW w:w="1774" w:type="dxa"/>
            <w:tcBorders>
              <w:top w:val="single" w:sz="4" w:space="0" w:color="000000"/>
              <w:left w:val="single" w:sz="4" w:space="0" w:color="000000"/>
              <w:bottom w:val="single" w:sz="4" w:space="0" w:color="000000"/>
              <w:right w:val="single" w:sz="4" w:space="0" w:color="000000"/>
            </w:tcBorders>
          </w:tcPr>
          <w:p w14:paraId="7F6FF42A"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323.38±70.36</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04F6F44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410.45±334.20</w:t>
            </w:r>
            <w:r>
              <w:rPr>
                <w:rFonts w:ascii="Times New Roman" w:hAnsi="Times New Roman" w:cs="Times New Roman"/>
                <w:color w:val="000000"/>
                <w:sz w:val="24"/>
                <w:szCs w:val="24"/>
                <w:vertAlign w:val="superscript"/>
              </w:rPr>
              <w:t>b</w:t>
            </w:r>
          </w:p>
        </w:tc>
        <w:tc>
          <w:tcPr>
            <w:tcW w:w="1964" w:type="dxa"/>
            <w:tcBorders>
              <w:top w:val="single" w:sz="4" w:space="0" w:color="000000"/>
              <w:left w:val="single" w:sz="4" w:space="0" w:color="000000"/>
              <w:bottom w:val="single" w:sz="4" w:space="0" w:color="000000"/>
              <w:right w:val="single" w:sz="4" w:space="0" w:color="000000"/>
            </w:tcBorders>
          </w:tcPr>
          <w:p w14:paraId="11054B5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1057.21±263.85</w:t>
            </w:r>
            <w:r>
              <w:rPr>
                <w:rFonts w:ascii="Times New Roman" w:hAnsi="Times New Roman" w:cs="Times New Roman"/>
                <w:color w:val="000000"/>
                <w:sz w:val="24"/>
                <w:szCs w:val="24"/>
                <w:vertAlign w:val="superscript"/>
              </w:rPr>
              <w:t>c</w:t>
            </w:r>
          </w:p>
        </w:tc>
      </w:tr>
      <w:tr w:rsidR="00C244EE" w14:paraId="5989AF9D"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01B08FC7"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GPX µ/l</w:t>
            </w:r>
          </w:p>
        </w:tc>
        <w:tc>
          <w:tcPr>
            <w:tcW w:w="1774" w:type="dxa"/>
            <w:tcBorders>
              <w:top w:val="single" w:sz="4" w:space="0" w:color="000000"/>
              <w:left w:val="single" w:sz="4" w:space="0" w:color="000000"/>
              <w:bottom w:val="single" w:sz="4" w:space="0" w:color="000000"/>
              <w:right w:val="single" w:sz="4" w:space="0" w:color="000000"/>
            </w:tcBorders>
          </w:tcPr>
          <w:p w14:paraId="6D886FDA"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125.00±0.00</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2637DEA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229.17±147.31</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4864AE90"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104.17±29.46</w:t>
            </w:r>
            <w:r>
              <w:rPr>
                <w:rFonts w:ascii="Times New Roman" w:hAnsi="Times New Roman" w:cs="Times New Roman"/>
                <w:color w:val="000000"/>
                <w:sz w:val="24"/>
                <w:szCs w:val="24"/>
                <w:vertAlign w:val="superscript"/>
              </w:rPr>
              <w:t>a</w:t>
            </w:r>
          </w:p>
        </w:tc>
      </w:tr>
      <w:tr w:rsidR="00C244EE" w14:paraId="14F58DCC"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12230A0E"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CAT µ /l</w:t>
            </w:r>
          </w:p>
        </w:tc>
        <w:tc>
          <w:tcPr>
            <w:tcW w:w="1774" w:type="dxa"/>
            <w:tcBorders>
              <w:top w:val="single" w:sz="4" w:space="0" w:color="000000"/>
              <w:left w:val="single" w:sz="4" w:space="0" w:color="000000"/>
              <w:bottom w:val="single" w:sz="4" w:space="0" w:color="000000"/>
              <w:right w:val="single" w:sz="4" w:space="0" w:color="000000"/>
            </w:tcBorders>
          </w:tcPr>
          <w:p w14:paraId="654583C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20.83±5.89</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36DCD763"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12.50±5.89</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513FBAFE"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19.44±3.93</w:t>
            </w:r>
            <w:r>
              <w:rPr>
                <w:rFonts w:ascii="Times New Roman" w:hAnsi="Times New Roman" w:cs="Times New Roman"/>
                <w:color w:val="000000"/>
                <w:sz w:val="24"/>
                <w:szCs w:val="24"/>
                <w:vertAlign w:val="superscript"/>
              </w:rPr>
              <w:t>a</w:t>
            </w:r>
          </w:p>
        </w:tc>
      </w:tr>
      <w:tr w:rsidR="00C244EE" w14:paraId="02C0D5C7" w14:textId="77777777" w:rsidTr="00514234">
        <w:trPr>
          <w:trHeight w:val="450"/>
          <w:jc w:val="center"/>
        </w:trPr>
        <w:tc>
          <w:tcPr>
            <w:tcW w:w="2579" w:type="dxa"/>
            <w:tcBorders>
              <w:top w:val="single" w:sz="4" w:space="0" w:color="000000"/>
              <w:left w:val="single" w:sz="4" w:space="0" w:color="000000"/>
              <w:bottom w:val="single" w:sz="4" w:space="0" w:color="000000"/>
              <w:right w:val="single" w:sz="4" w:space="0" w:color="000000"/>
            </w:tcBorders>
          </w:tcPr>
          <w:p w14:paraId="2B4D97B0"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MDA (µ /mg protein)</w:t>
            </w:r>
          </w:p>
        </w:tc>
        <w:tc>
          <w:tcPr>
            <w:tcW w:w="1774" w:type="dxa"/>
            <w:tcBorders>
              <w:top w:val="single" w:sz="4" w:space="0" w:color="000000"/>
              <w:left w:val="single" w:sz="4" w:space="0" w:color="000000"/>
              <w:bottom w:val="single" w:sz="4" w:space="0" w:color="000000"/>
              <w:right w:val="single" w:sz="4" w:space="0" w:color="000000"/>
            </w:tcBorders>
          </w:tcPr>
          <w:p w14:paraId="5AC106D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1.67±0.51</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3A30400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2.02±0.91</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6814D87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1.32±0.04</w:t>
            </w:r>
            <w:r>
              <w:rPr>
                <w:rFonts w:ascii="Times New Roman" w:hAnsi="Times New Roman" w:cs="Times New Roman"/>
                <w:color w:val="000000"/>
                <w:sz w:val="24"/>
                <w:szCs w:val="24"/>
                <w:vertAlign w:val="superscript"/>
              </w:rPr>
              <w:t>a</w:t>
            </w:r>
          </w:p>
        </w:tc>
      </w:tr>
      <w:tr w:rsidR="00C244EE" w14:paraId="4821C39D"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3AD5DB88"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774" w:type="dxa"/>
            <w:tcBorders>
              <w:top w:val="single" w:sz="4" w:space="0" w:color="000000"/>
              <w:left w:val="single" w:sz="4" w:space="0" w:color="000000"/>
              <w:bottom w:val="single" w:sz="4" w:space="0" w:color="000000"/>
              <w:right w:val="single" w:sz="4" w:space="0" w:color="000000"/>
            </w:tcBorders>
          </w:tcPr>
          <w:p w14:paraId="3953B8A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12.72±0.18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5BDF39F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10.06±0.08</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1DBF1F5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9.56±0.18</w:t>
            </w:r>
            <w:r>
              <w:rPr>
                <w:rFonts w:ascii="Times New Roman" w:hAnsi="Times New Roman" w:cs="Times New Roman"/>
                <w:color w:val="000000"/>
                <w:sz w:val="24"/>
                <w:szCs w:val="24"/>
                <w:vertAlign w:val="superscript"/>
              </w:rPr>
              <w:t>a</w:t>
            </w:r>
          </w:p>
        </w:tc>
      </w:tr>
      <w:tr w:rsidR="00C244EE" w14:paraId="6B495098" w14:textId="77777777" w:rsidTr="00514234">
        <w:trPr>
          <w:trHeight w:val="422"/>
          <w:jc w:val="center"/>
        </w:trPr>
        <w:tc>
          <w:tcPr>
            <w:tcW w:w="8231" w:type="dxa"/>
            <w:gridSpan w:val="4"/>
            <w:tcBorders>
              <w:top w:val="single" w:sz="4" w:space="0" w:color="000000"/>
              <w:left w:val="single" w:sz="4" w:space="0" w:color="000000"/>
              <w:bottom w:val="single" w:sz="4" w:space="0" w:color="000000"/>
              <w:right w:val="single" w:sz="4" w:space="0" w:color="000000"/>
            </w:tcBorders>
          </w:tcPr>
          <w:p w14:paraId="525A3FAA" w14:textId="77777777" w:rsidR="00C244EE" w:rsidRDefault="00000000">
            <w:pPr>
              <w:autoSpaceDE w:val="0"/>
              <w:autoSpaceDN w:val="0"/>
              <w:adjustRightInd w:val="0"/>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Livers</w:t>
            </w:r>
          </w:p>
        </w:tc>
      </w:tr>
      <w:tr w:rsidR="00C244EE" w14:paraId="7D694746" w14:textId="77777777" w:rsidTr="00514234">
        <w:trPr>
          <w:trHeight w:val="468"/>
          <w:jc w:val="center"/>
        </w:trPr>
        <w:tc>
          <w:tcPr>
            <w:tcW w:w="2579" w:type="dxa"/>
            <w:tcBorders>
              <w:top w:val="single" w:sz="4" w:space="0" w:color="000000"/>
              <w:left w:val="single" w:sz="4" w:space="0" w:color="000000"/>
              <w:bottom w:val="single" w:sz="4" w:space="0" w:color="000000"/>
              <w:right w:val="single" w:sz="4" w:space="0" w:color="000000"/>
            </w:tcBorders>
          </w:tcPr>
          <w:p w14:paraId="76A5D060" w14:textId="77777777" w:rsidR="00C244EE" w:rsidRDefault="00000000">
            <w:pPr>
              <w:autoSpaceDE w:val="0"/>
              <w:autoSpaceDN w:val="0"/>
              <w:adjustRightInd w:val="0"/>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SOD (µ/mg protein)</w:t>
            </w:r>
          </w:p>
        </w:tc>
        <w:tc>
          <w:tcPr>
            <w:tcW w:w="1774" w:type="dxa"/>
            <w:tcBorders>
              <w:top w:val="single" w:sz="4" w:space="0" w:color="000000"/>
              <w:left w:val="single" w:sz="4" w:space="0" w:color="000000"/>
              <w:bottom w:val="single" w:sz="4" w:space="0" w:color="000000"/>
              <w:right w:val="single" w:sz="4" w:space="0" w:color="000000"/>
            </w:tcBorders>
          </w:tcPr>
          <w:p w14:paraId="5237E823"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223.88±35.18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45D16AE5"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435.32±334.20</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0DFEA76A"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447.76±175.90</w:t>
            </w:r>
            <w:r>
              <w:rPr>
                <w:rFonts w:ascii="Times New Roman" w:hAnsi="Times New Roman" w:cs="Times New Roman"/>
                <w:color w:val="000000"/>
                <w:sz w:val="24"/>
                <w:szCs w:val="24"/>
                <w:vertAlign w:val="superscript"/>
              </w:rPr>
              <w:t>a</w:t>
            </w:r>
          </w:p>
        </w:tc>
      </w:tr>
      <w:tr w:rsidR="00C244EE" w14:paraId="32F4C2ED" w14:textId="77777777" w:rsidTr="00514234">
        <w:trPr>
          <w:trHeight w:val="387"/>
          <w:jc w:val="center"/>
        </w:trPr>
        <w:tc>
          <w:tcPr>
            <w:tcW w:w="2579" w:type="dxa"/>
            <w:tcBorders>
              <w:top w:val="single" w:sz="4" w:space="0" w:color="000000"/>
              <w:left w:val="single" w:sz="4" w:space="0" w:color="000000"/>
              <w:bottom w:val="single" w:sz="4" w:space="0" w:color="000000"/>
              <w:right w:val="single" w:sz="4" w:space="0" w:color="000000"/>
            </w:tcBorders>
          </w:tcPr>
          <w:p w14:paraId="4AE04A5B"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GPX (µ /l)</w:t>
            </w:r>
          </w:p>
        </w:tc>
        <w:tc>
          <w:tcPr>
            <w:tcW w:w="1774" w:type="dxa"/>
            <w:tcBorders>
              <w:top w:val="single" w:sz="4" w:space="0" w:color="000000"/>
              <w:left w:val="single" w:sz="4" w:space="0" w:color="000000"/>
              <w:bottom w:val="single" w:sz="4" w:space="0" w:color="000000"/>
              <w:right w:val="single" w:sz="4" w:space="0" w:color="000000"/>
            </w:tcBorders>
          </w:tcPr>
          <w:p w14:paraId="19915DB4" w14:textId="77777777" w:rsidR="00C244EE" w:rsidRDefault="00000000">
            <w:pPr>
              <w:jc w:val="both"/>
              <w:rPr>
                <w:rFonts w:ascii="Times New Roman" w:hAnsi="Times New Roman" w:cs="Times New Roman"/>
                <w:iCs/>
                <w:sz w:val="24"/>
                <w:szCs w:val="24"/>
              </w:rPr>
            </w:pPr>
            <w:r>
              <w:rPr>
                <w:rFonts w:ascii="Times New Roman" w:hAnsi="Times New Roman" w:cs="Times New Roman"/>
                <w:color w:val="000000"/>
                <w:sz w:val="24"/>
                <w:szCs w:val="24"/>
              </w:rPr>
              <w:t>125.00±58.93</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78C4714B"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145.83±29.46</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233B3F3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104.17±29.46</w:t>
            </w:r>
            <w:r>
              <w:rPr>
                <w:rFonts w:ascii="Times New Roman" w:hAnsi="Times New Roman" w:cs="Times New Roman"/>
                <w:color w:val="000000"/>
                <w:sz w:val="24"/>
                <w:szCs w:val="24"/>
                <w:vertAlign w:val="superscript"/>
              </w:rPr>
              <w:t>a</w:t>
            </w:r>
          </w:p>
        </w:tc>
      </w:tr>
      <w:tr w:rsidR="00C244EE" w14:paraId="335DD31B"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72E6BC6F"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CAT (µ /l)</w:t>
            </w:r>
          </w:p>
        </w:tc>
        <w:tc>
          <w:tcPr>
            <w:tcW w:w="1774" w:type="dxa"/>
            <w:tcBorders>
              <w:top w:val="single" w:sz="4" w:space="0" w:color="000000"/>
              <w:left w:val="single" w:sz="4" w:space="0" w:color="000000"/>
              <w:bottom w:val="single" w:sz="4" w:space="0" w:color="000000"/>
              <w:right w:val="single" w:sz="4" w:space="0" w:color="000000"/>
            </w:tcBorders>
          </w:tcPr>
          <w:p w14:paraId="18D7F353"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45.83±17.68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2F9E7A8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12.50±0.00</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6DCED8BE"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25.00±11.79</w:t>
            </w:r>
            <w:r>
              <w:rPr>
                <w:rFonts w:ascii="Times New Roman" w:hAnsi="Times New Roman" w:cs="Times New Roman"/>
                <w:color w:val="000000"/>
                <w:sz w:val="24"/>
                <w:szCs w:val="24"/>
                <w:vertAlign w:val="superscript"/>
              </w:rPr>
              <w:t>a</w:t>
            </w:r>
          </w:p>
        </w:tc>
      </w:tr>
      <w:tr w:rsidR="00C244EE" w14:paraId="6DF5868C" w14:textId="77777777" w:rsidTr="00514234">
        <w:trPr>
          <w:trHeight w:val="496"/>
          <w:jc w:val="center"/>
        </w:trPr>
        <w:tc>
          <w:tcPr>
            <w:tcW w:w="2579" w:type="dxa"/>
            <w:tcBorders>
              <w:top w:val="single" w:sz="4" w:space="0" w:color="000000"/>
              <w:left w:val="single" w:sz="4" w:space="0" w:color="000000"/>
              <w:bottom w:val="single" w:sz="4" w:space="0" w:color="000000"/>
              <w:right w:val="single" w:sz="4" w:space="0" w:color="000000"/>
            </w:tcBorders>
          </w:tcPr>
          <w:p w14:paraId="317883CF"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MDA (µ/mg protein)</w:t>
            </w:r>
          </w:p>
        </w:tc>
        <w:tc>
          <w:tcPr>
            <w:tcW w:w="1774" w:type="dxa"/>
            <w:tcBorders>
              <w:top w:val="single" w:sz="4" w:space="0" w:color="000000"/>
              <w:left w:val="single" w:sz="4" w:space="0" w:color="000000"/>
              <w:bottom w:val="single" w:sz="4" w:space="0" w:color="000000"/>
              <w:right w:val="single" w:sz="4" w:space="0" w:color="000000"/>
            </w:tcBorders>
          </w:tcPr>
          <w:p w14:paraId="77655D3C" w14:textId="77777777" w:rsidR="00C244EE" w:rsidRDefault="00000000">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1.34±0.40</w:t>
            </w:r>
            <w:r>
              <w:rPr>
                <w:rFonts w:ascii="Times New Roman" w:hAnsi="Times New Roman" w:cs="Times New Roman"/>
                <w:bCs/>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06B6BA1E" w14:textId="77777777" w:rsidR="00C244EE" w:rsidRDefault="00000000">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1.48±0.23</w:t>
            </w:r>
            <w:r>
              <w:rPr>
                <w:rFonts w:ascii="Times New Roman" w:hAnsi="Times New Roman" w:cs="Times New Roman"/>
                <w:bCs/>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2B0EB2FE" w14:textId="77777777" w:rsidR="00C244EE" w:rsidRDefault="00000000">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0.94±0.43</w:t>
            </w:r>
            <w:r>
              <w:rPr>
                <w:rFonts w:ascii="Times New Roman" w:hAnsi="Times New Roman" w:cs="Times New Roman"/>
                <w:bCs/>
                <w:color w:val="000000"/>
                <w:sz w:val="24"/>
                <w:szCs w:val="24"/>
                <w:vertAlign w:val="superscript"/>
              </w:rPr>
              <w:t>a</w:t>
            </w:r>
          </w:p>
        </w:tc>
      </w:tr>
      <w:tr w:rsidR="00514234" w14:paraId="430CC324" w14:textId="77777777" w:rsidTr="00514234">
        <w:trPr>
          <w:trHeight w:val="496"/>
          <w:jc w:val="center"/>
        </w:trPr>
        <w:tc>
          <w:tcPr>
            <w:tcW w:w="2579" w:type="dxa"/>
            <w:tcBorders>
              <w:top w:val="single" w:sz="4" w:space="0" w:color="000000"/>
              <w:left w:val="single" w:sz="4" w:space="0" w:color="000000"/>
              <w:bottom w:val="single" w:sz="4" w:space="0" w:color="000000"/>
              <w:right w:val="single" w:sz="4" w:space="0" w:color="000000"/>
            </w:tcBorders>
          </w:tcPr>
          <w:p w14:paraId="33377319" w14:textId="77777777" w:rsidR="00514234" w:rsidRDefault="00514234">
            <w:pPr>
              <w:autoSpaceDE w:val="0"/>
              <w:autoSpaceDN w:val="0"/>
              <w:adjustRightInd w:val="0"/>
              <w:jc w:val="both"/>
              <w:rPr>
                <w:rFonts w:ascii="Times New Roman" w:hAnsi="Times New Roman" w:cs="Times New Roman"/>
                <w:bCs/>
                <w:color w:val="000000"/>
                <w:sz w:val="24"/>
                <w:szCs w:val="24"/>
              </w:rPr>
            </w:pPr>
          </w:p>
          <w:p w14:paraId="7E88D6C5" w14:textId="77777777" w:rsidR="00514234" w:rsidRDefault="00514234" w:rsidP="00514234">
            <w:pPr>
              <w:autoSpaceDE w:val="0"/>
              <w:autoSpaceDN w:val="0"/>
              <w:adjustRightInd w:val="0"/>
              <w:jc w:val="both"/>
              <w:rPr>
                <w:rFonts w:ascii="Times New Roman" w:hAnsi="Times New Roman" w:cs="Times New Roman"/>
                <w:bCs/>
                <w:color w:val="000000"/>
                <w:sz w:val="24"/>
                <w:szCs w:val="24"/>
              </w:rPr>
            </w:pPr>
          </w:p>
        </w:tc>
        <w:tc>
          <w:tcPr>
            <w:tcW w:w="1774" w:type="dxa"/>
            <w:tcBorders>
              <w:top w:val="single" w:sz="4" w:space="0" w:color="000000"/>
              <w:left w:val="single" w:sz="4" w:space="0" w:color="000000"/>
              <w:bottom w:val="single" w:sz="4" w:space="0" w:color="000000"/>
              <w:right w:val="single" w:sz="4" w:space="0" w:color="000000"/>
            </w:tcBorders>
          </w:tcPr>
          <w:p w14:paraId="62A438FA" w14:textId="77777777" w:rsidR="00514234" w:rsidRDefault="00514234">
            <w:pPr>
              <w:autoSpaceDE w:val="0"/>
              <w:autoSpaceDN w:val="0"/>
              <w:adjustRightInd w:val="0"/>
              <w:jc w:val="both"/>
              <w:rPr>
                <w:rFonts w:ascii="Times New Roman" w:hAnsi="Times New Roman" w:cs="Times New Roman"/>
                <w:bCs/>
                <w:color w:val="00000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512AC0EF" w14:textId="77777777" w:rsidR="00514234" w:rsidRDefault="00514234">
            <w:pPr>
              <w:autoSpaceDE w:val="0"/>
              <w:autoSpaceDN w:val="0"/>
              <w:adjustRightInd w:val="0"/>
              <w:jc w:val="both"/>
              <w:rPr>
                <w:rFonts w:ascii="Times New Roman" w:hAnsi="Times New Roman" w:cs="Times New Roman"/>
                <w:bCs/>
                <w:color w:val="000000"/>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7038832A" w14:textId="77777777" w:rsidR="00514234" w:rsidRDefault="00514234">
            <w:pPr>
              <w:autoSpaceDE w:val="0"/>
              <w:autoSpaceDN w:val="0"/>
              <w:adjustRightInd w:val="0"/>
              <w:jc w:val="both"/>
              <w:rPr>
                <w:rFonts w:ascii="Times New Roman" w:hAnsi="Times New Roman" w:cs="Times New Roman"/>
                <w:bCs/>
                <w:color w:val="000000"/>
                <w:sz w:val="24"/>
                <w:szCs w:val="24"/>
              </w:rPr>
            </w:pPr>
          </w:p>
        </w:tc>
      </w:tr>
      <w:tr w:rsidR="00C244EE" w14:paraId="02B4B9DE" w14:textId="77777777" w:rsidTr="00514234">
        <w:trPr>
          <w:trHeight w:val="72"/>
          <w:jc w:val="center"/>
        </w:trPr>
        <w:tc>
          <w:tcPr>
            <w:tcW w:w="2579" w:type="dxa"/>
            <w:tcBorders>
              <w:top w:val="single" w:sz="4" w:space="0" w:color="000000"/>
              <w:left w:val="single" w:sz="4" w:space="0" w:color="000000"/>
              <w:bottom w:val="single" w:sz="4" w:space="0" w:color="000000"/>
              <w:right w:val="single" w:sz="4" w:space="0" w:color="000000"/>
            </w:tcBorders>
          </w:tcPr>
          <w:p w14:paraId="7F37A59D" w14:textId="77777777" w:rsidR="00C244EE" w:rsidRDefault="00C244EE">
            <w:pPr>
              <w:autoSpaceDE w:val="0"/>
              <w:autoSpaceDN w:val="0"/>
              <w:adjustRightInd w:val="0"/>
              <w:jc w:val="both"/>
              <w:rPr>
                <w:rFonts w:ascii="Times New Roman" w:hAnsi="Times New Roman" w:cs="Times New Roman"/>
                <w:bCs/>
                <w:color w:val="000000"/>
                <w:sz w:val="24"/>
                <w:szCs w:val="24"/>
              </w:rPr>
            </w:pPr>
          </w:p>
          <w:p w14:paraId="14D96283"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774" w:type="dxa"/>
            <w:tcBorders>
              <w:top w:val="single" w:sz="4" w:space="0" w:color="000000"/>
              <w:left w:val="single" w:sz="4" w:space="0" w:color="000000"/>
              <w:bottom w:val="single" w:sz="4" w:space="0" w:color="000000"/>
              <w:right w:val="single" w:sz="4" w:space="0" w:color="000000"/>
            </w:tcBorders>
          </w:tcPr>
          <w:p w14:paraId="72A4F369" w14:textId="77777777" w:rsidR="00C244EE" w:rsidRDefault="00C244EE">
            <w:pPr>
              <w:autoSpaceDE w:val="0"/>
              <w:autoSpaceDN w:val="0"/>
              <w:adjustRightInd w:val="0"/>
              <w:jc w:val="both"/>
              <w:rPr>
                <w:rFonts w:ascii="Times New Roman" w:hAnsi="Times New Roman" w:cs="Times New Roman"/>
                <w:color w:val="000000"/>
                <w:sz w:val="24"/>
                <w:szCs w:val="24"/>
              </w:rPr>
            </w:pPr>
          </w:p>
          <w:p w14:paraId="3D1AE959"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11.25±1.26</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4C76CBE1" w14:textId="77777777" w:rsidR="00C244EE" w:rsidRDefault="00C244EE">
            <w:pPr>
              <w:autoSpaceDE w:val="0"/>
              <w:autoSpaceDN w:val="0"/>
              <w:adjustRightInd w:val="0"/>
              <w:jc w:val="both"/>
              <w:rPr>
                <w:rFonts w:ascii="Times New Roman" w:hAnsi="Times New Roman" w:cs="Times New Roman"/>
                <w:color w:val="000000"/>
                <w:sz w:val="24"/>
                <w:szCs w:val="24"/>
              </w:rPr>
            </w:pPr>
          </w:p>
          <w:p w14:paraId="04785AB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12.95±0.74</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183C1DFB" w14:textId="77777777" w:rsidR="00C244EE" w:rsidRDefault="00C244EE">
            <w:pPr>
              <w:autoSpaceDE w:val="0"/>
              <w:autoSpaceDN w:val="0"/>
              <w:adjustRightInd w:val="0"/>
              <w:jc w:val="both"/>
              <w:rPr>
                <w:rFonts w:ascii="Times New Roman" w:hAnsi="Times New Roman" w:cs="Times New Roman"/>
                <w:color w:val="000000"/>
                <w:sz w:val="24"/>
                <w:szCs w:val="24"/>
              </w:rPr>
            </w:pPr>
          </w:p>
          <w:p w14:paraId="5556EC5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11.25±0.37</w:t>
            </w:r>
            <w:r>
              <w:rPr>
                <w:rFonts w:ascii="Times New Roman" w:hAnsi="Times New Roman" w:cs="Times New Roman"/>
                <w:color w:val="000000"/>
                <w:sz w:val="24"/>
                <w:szCs w:val="24"/>
                <w:vertAlign w:val="superscript"/>
              </w:rPr>
              <w:t>a</w:t>
            </w:r>
          </w:p>
        </w:tc>
      </w:tr>
    </w:tbl>
    <w:p w14:paraId="6A4B3657" w14:textId="77777777" w:rsidR="00C244EE" w:rsidRDefault="00000000">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Means within rows with different superscripts are significantly different (</w:t>
      </w:r>
      <w:r>
        <w:rPr>
          <w:rFonts w:ascii="Times New Roman" w:hAnsi="Times New Roman" w:cs="Times New Roman"/>
          <w:i/>
          <w:iCs/>
          <w:sz w:val="24"/>
          <w:szCs w:val="24"/>
        </w:rPr>
        <w:t>p</w:t>
      </w:r>
      <w:r>
        <w:rPr>
          <w:rFonts w:ascii="Times New Roman" w:hAnsi="Times New Roman" w:cs="Times New Roman"/>
          <w:sz w:val="24"/>
          <w:szCs w:val="24"/>
        </w:rPr>
        <w:t xml:space="preserve"> &lt; 0.05)</w:t>
      </w:r>
      <w:r>
        <w:rPr>
          <w:rFonts w:ascii="Times New Roman" w:hAnsi="Times New Roman" w:cs="Times New Roman"/>
          <w:iCs/>
          <w:sz w:val="24"/>
          <w:szCs w:val="24"/>
        </w:rPr>
        <w:t>.</w:t>
      </w:r>
    </w:p>
    <w:p w14:paraId="62708664" w14:textId="77777777" w:rsidR="00C244EE" w:rsidRDefault="00000000">
      <w:pPr>
        <w:spacing w:after="0" w:line="24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SOD - Superoxidase Dismutase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iCs/>
          <w:sz w:val="24"/>
          <w:szCs w:val="24"/>
        </w:rPr>
        <w:t>GPX - Glutathione Peroxidase</w:t>
      </w:r>
    </w:p>
    <w:p w14:paraId="11E0928E" w14:textId="77777777" w:rsidR="00C244EE" w:rsidRDefault="00000000">
      <w:pPr>
        <w:spacing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MDA-</w:t>
      </w:r>
      <w:r>
        <w:rPr>
          <w:rFonts w:ascii="Times New Roman" w:hAnsi="Times New Roman" w:cs="Times New Roman"/>
          <w:iCs/>
          <w:sz w:val="24"/>
          <w:szCs w:val="24"/>
        </w:rPr>
        <w:tab/>
        <w:t xml:space="preserve">Malondialdehyde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CAT- </w:t>
      </w:r>
      <w:r>
        <w:rPr>
          <w:rFonts w:ascii="Times New Roman" w:hAnsi="Times New Roman" w:cs="Times New Roman"/>
          <w:iCs/>
          <w:sz w:val="24"/>
          <w:szCs w:val="24"/>
        </w:rPr>
        <w:tab/>
      </w:r>
      <w:proofErr w:type="spellStart"/>
      <w:r>
        <w:rPr>
          <w:rFonts w:ascii="Times New Roman" w:hAnsi="Times New Roman" w:cs="Times New Roman"/>
          <w:iCs/>
          <w:sz w:val="24"/>
          <w:szCs w:val="24"/>
        </w:rPr>
        <w:t>Caalase</w:t>
      </w:r>
      <w:proofErr w:type="spellEnd"/>
      <w:r>
        <w:rPr>
          <w:rFonts w:ascii="Times New Roman" w:hAnsi="Times New Roman" w:cs="Times New Roman"/>
          <w:iCs/>
          <w:sz w:val="24"/>
          <w:szCs w:val="24"/>
        </w:rPr>
        <w:t>.</w:t>
      </w:r>
    </w:p>
    <w:p w14:paraId="11DB010D" w14:textId="77777777" w:rsidR="00514234" w:rsidRDefault="00514234">
      <w:pPr>
        <w:spacing w:line="240" w:lineRule="auto"/>
        <w:ind w:firstLine="720"/>
        <w:jc w:val="both"/>
        <w:rPr>
          <w:rFonts w:ascii="Times New Roman" w:hAnsi="Times New Roman" w:cs="Times New Roman"/>
          <w:iCs/>
          <w:sz w:val="24"/>
          <w:szCs w:val="24"/>
        </w:rPr>
      </w:pPr>
    </w:p>
    <w:p w14:paraId="11CC7568" w14:textId="77777777" w:rsidR="00514234" w:rsidRDefault="00514234">
      <w:pPr>
        <w:spacing w:line="240" w:lineRule="auto"/>
        <w:ind w:firstLine="720"/>
        <w:jc w:val="both"/>
        <w:rPr>
          <w:rFonts w:ascii="Times New Roman" w:hAnsi="Times New Roman" w:cs="Times New Roman"/>
          <w:iCs/>
          <w:sz w:val="24"/>
          <w:szCs w:val="24"/>
        </w:rPr>
      </w:pPr>
    </w:p>
    <w:p w14:paraId="5F63C8E7" w14:textId="77777777" w:rsidR="00514234" w:rsidRDefault="00514234">
      <w:pPr>
        <w:spacing w:line="240" w:lineRule="auto"/>
        <w:ind w:firstLine="720"/>
        <w:jc w:val="both"/>
        <w:rPr>
          <w:rFonts w:ascii="Times New Roman" w:hAnsi="Times New Roman" w:cs="Times New Roman"/>
          <w:iCs/>
          <w:sz w:val="24"/>
          <w:szCs w:val="24"/>
        </w:rPr>
      </w:pPr>
    </w:p>
    <w:p w14:paraId="53567601" w14:textId="77777777" w:rsidR="00514234" w:rsidRDefault="00514234">
      <w:pPr>
        <w:spacing w:line="240" w:lineRule="auto"/>
        <w:ind w:firstLine="720"/>
        <w:jc w:val="both"/>
        <w:rPr>
          <w:rFonts w:ascii="Times New Roman" w:hAnsi="Times New Roman" w:cs="Times New Roman"/>
          <w:iCs/>
          <w:sz w:val="24"/>
          <w:szCs w:val="24"/>
        </w:rPr>
      </w:pPr>
    </w:p>
    <w:p w14:paraId="2BC57771" w14:textId="77777777" w:rsidR="00514234" w:rsidRDefault="00514234">
      <w:pPr>
        <w:spacing w:line="240" w:lineRule="auto"/>
        <w:ind w:firstLine="720"/>
        <w:jc w:val="both"/>
        <w:rPr>
          <w:rFonts w:ascii="Times New Roman" w:hAnsi="Times New Roman" w:cs="Times New Roman"/>
          <w:iCs/>
          <w:sz w:val="24"/>
          <w:szCs w:val="24"/>
        </w:rPr>
      </w:pPr>
    </w:p>
    <w:p w14:paraId="4F26240E" w14:textId="77777777" w:rsidR="00514234" w:rsidRDefault="00514234">
      <w:pPr>
        <w:spacing w:line="240" w:lineRule="auto"/>
        <w:ind w:firstLine="720"/>
        <w:jc w:val="both"/>
        <w:rPr>
          <w:rFonts w:ascii="Times New Roman" w:hAnsi="Times New Roman" w:cs="Times New Roman"/>
          <w:iCs/>
          <w:sz w:val="24"/>
          <w:szCs w:val="24"/>
        </w:rPr>
      </w:pPr>
    </w:p>
    <w:p w14:paraId="4F8F5519" w14:textId="77777777" w:rsidR="00514234" w:rsidRDefault="00514234">
      <w:pPr>
        <w:spacing w:line="240" w:lineRule="auto"/>
        <w:ind w:firstLine="720"/>
        <w:jc w:val="both"/>
        <w:rPr>
          <w:rFonts w:ascii="Times New Roman" w:hAnsi="Times New Roman" w:cs="Times New Roman"/>
          <w:iCs/>
          <w:sz w:val="24"/>
          <w:szCs w:val="24"/>
        </w:rPr>
      </w:pPr>
    </w:p>
    <w:p w14:paraId="1D458B10" w14:textId="77777777" w:rsidR="00514234" w:rsidRDefault="00514234">
      <w:pPr>
        <w:spacing w:line="240" w:lineRule="auto"/>
        <w:ind w:firstLine="720"/>
        <w:jc w:val="both"/>
        <w:rPr>
          <w:rFonts w:ascii="Times New Roman" w:hAnsi="Times New Roman" w:cs="Times New Roman"/>
          <w:iCs/>
          <w:sz w:val="24"/>
          <w:szCs w:val="24"/>
        </w:rPr>
      </w:pPr>
    </w:p>
    <w:p w14:paraId="352164F4" w14:textId="6B0392A2" w:rsidR="00514234" w:rsidRDefault="00514234">
      <w:pPr>
        <w:spacing w:line="240" w:lineRule="auto"/>
        <w:ind w:firstLine="720"/>
        <w:jc w:val="both"/>
        <w:rPr>
          <w:rFonts w:ascii="Times New Roman" w:hAnsi="Times New Roman" w:cs="Times New Roman"/>
          <w:iCs/>
          <w:sz w:val="24"/>
          <w:szCs w:val="24"/>
        </w:rPr>
      </w:pPr>
      <w:r>
        <w:rPr>
          <w:noProof/>
        </w:rPr>
        <w:drawing>
          <wp:anchor distT="0" distB="0" distL="0" distR="0" simplePos="0" relativeHeight="251659264" behindDoc="0" locked="0" layoutInCell="1" allowOverlap="1" wp14:anchorId="3C4555A2" wp14:editId="5B860792">
            <wp:simplePos x="0" y="0"/>
            <wp:positionH relativeFrom="margin">
              <wp:align>left</wp:align>
            </wp:positionH>
            <wp:positionV relativeFrom="page">
              <wp:posOffset>588398</wp:posOffset>
            </wp:positionV>
            <wp:extent cx="5923722" cy="2297926"/>
            <wp:effectExtent l="0" t="0" r="1270" b="7620"/>
            <wp:wrapNone/>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3" cstate="print"/>
                    <a:srcRect/>
                    <a:stretch/>
                  </pic:blipFill>
                  <pic:spPr>
                    <a:xfrm>
                      <a:off x="0" y="0"/>
                      <a:ext cx="5974945" cy="2317796"/>
                    </a:xfrm>
                    <a:prstGeom prst="rect">
                      <a:avLst/>
                    </a:prstGeom>
                    <a:ln>
                      <a:noFill/>
                    </a:ln>
                  </pic:spPr>
                </pic:pic>
              </a:graphicData>
            </a:graphic>
            <wp14:sizeRelH relativeFrom="margin">
              <wp14:pctWidth>0</wp14:pctWidth>
            </wp14:sizeRelH>
            <wp14:sizeRelV relativeFrom="margin">
              <wp14:pctHeight>0</wp14:pctHeight>
            </wp14:sizeRelV>
          </wp:anchor>
        </w:drawing>
      </w:r>
    </w:p>
    <w:p w14:paraId="49C95E27" w14:textId="6B5D07DD" w:rsidR="00514234" w:rsidRDefault="00514234">
      <w:pPr>
        <w:spacing w:line="240" w:lineRule="auto"/>
        <w:ind w:firstLine="720"/>
        <w:jc w:val="both"/>
        <w:rPr>
          <w:rFonts w:ascii="Times New Roman" w:hAnsi="Times New Roman" w:cs="Times New Roman"/>
          <w:iCs/>
          <w:sz w:val="24"/>
          <w:szCs w:val="24"/>
        </w:rPr>
      </w:pPr>
    </w:p>
    <w:p w14:paraId="715A66B1" w14:textId="77777777" w:rsidR="00514234" w:rsidRDefault="00514234">
      <w:pPr>
        <w:spacing w:line="240" w:lineRule="auto"/>
        <w:ind w:firstLine="720"/>
        <w:jc w:val="both"/>
        <w:rPr>
          <w:rFonts w:ascii="Times New Roman" w:hAnsi="Times New Roman" w:cs="Times New Roman"/>
          <w:iCs/>
          <w:sz w:val="24"/>
          <w:szCs w:val="24"/>
        </w:rPr>
      </w:pPr>
    </w:p>
    <w:p w14:paraId="2AEA8A2B" w14:textId="77777777" w:rsidR="00514234" w:rsidRDefault="00514234">
      <w:pPr>
        <w:spacing w:line="240" w:lineRule="auto"/>
        <w:ind w:firstLine="720"/>
        <w:jc w:val="both"/>
        <w:rPr>
          <w:rFonts w:ascii="Times New Roman" w:hAnsi="Times New Roman" w:cs="Times New Roman"/>
          <w:iCs/>
          <w:sz w:val="24"/>
          <w:szCs w:val="24"/>
        </w:rPr>
      </w:pPr>
    </w:p>
    <w:p w14:paraId="465458DA" w14:textId="77777777" w:rsidR="00514234" w:rsidRDefault="00514234">
      <w:pPr>
        <w:spacing w:line="240" w:lineRule="auto"/>
        <w:ind w:firstLine="720"/>
        <w:jc w:val="both"/>
        <w:rPr>
          <w:rFonts w:ascii="Times New Roman" w:hAnsi="Times New Roman" w:cs="Times New Roman"/>
          <w:iCs/>
          <w:sz w:val="24"/>
          <w:szCs w:val="24"/>
        </w:rPr>
      </w:pPr>
    </w:p>
    <w:p w14:paraId="6C394660" w14:textId="77777777" w:rsidR="00514234" w:rsidRDefault="00514234">
      <w:pPr>
        <w:spacing w:line="240" w:lineRule="auto"/>
        <w:ind w:firstLine="720"/>
        <w:jc w:val="both"/>
        <w:rPr>
          <w:rFonts w:ascii="Times New Roman" w:hAnsi="Times New Roman" w:cs="Times New Roman"/>
          <w:iCs/>
          <w:sz w:val="24"/>
          <w:szCs w:val="24"/>
        </w:rPr>
      </w:pPr>
    </w:p>
    <w:p w14:paraId="7E49D5CE" w14:textId="77777777" w:rsidR="00514234" w:rsidRDefault="00514234">
      <w:pPr>
        <w:spacing w:line="240" w:lineRule="auto"/>
        <w:ind w:firstLine="720"/>
        <w:jc w:val="both"/>
        <w:rPr>
          <w:rFonts w:ascii="Times New Roman" w:hAnsi="Times New Roman" w:cs="Times New Roman"/>
          <w:iCs/>
          <w:sz w:val="24"/>
          <w:szCs w:val="24"/>
        </w:rPr>
      </w:pPr>
    </w:p>
    <w:p w14:paraId="11F59585" w14:textId="77777777" w:rsidR="00514234" w:rsidRDefault="00514234">
      <w:pPr>
        <w:spacing w:line="240" w:lineRule="auto"/>
        <w:ind w:firstLine="720"/>
        <w:jc w:val="both"/>
        <w:rPr>
          <w:rFonts w:ascii="Times New Roman" w:hAnsi="Times New Roman" w:cs="Times New Roman"/>
          <w:iCs/>
          <w:sz w:val="24"/>
          <w:szCs w:val="24"/>
        </w:rPr>
      </w:pPr>
    </w:p>
    <w:p w14:paraId="653F8F11" w14:textId="77777777" w:rsidR="00514234" w:rsidRDefault="00514234">
      <w:pPr>
        <w:spacing w:line="240" w:lineRule="auto"/>
        <w:ind w:firstLine="720"/>
        <w:jc w:val="both"/>
        <w:rPr>
          <w:rFonts w:ascii="Times New Roman" w:hAnsi="Times New Roman" w:cs="Times New Roman"/>
          <w:iCs/>
          <w:sz w:val="24"/>
          <w:szCs w:val="24"/>
        </w:rPr>
      </w:pPr>
    </w:p>
    <w:p w14:paraId="57FB60D4" w14:textId="77777777" w:rsidR="00514234" w:rsidRDefault="00514234">
      <w:pPr>
        <w:spacing w:line="240" w:lineRule="auto"/>
        <w:ind w:firstLine="720"/>
        <w:jc w:val="both"/>
        <w:rPr>
          <w:rFonts w:ascii="Times New Roman" w:hAnsi="Times New Roman" w:cs="Times New Roman"/>
          <w:iCs/>
          <w:sz w:val="24"/>
          <w:szCs w:val="24"/>
        </w:rPr>
      </w:pPr>
    </w:p>
    <w:p w14:paraId="1C58BBF0" w14:textId="77777777" w:rsidR="00514234" w:rsidRDefault="00514234" w:rsidP="00514234">
      <w:pPr>
        <w:spacing w:after="0"/>
        <w:jc w:val="both"/>
        <w:rPr>
          <w:rFonts w:ascii="Times New Roman" w:hAnsi="Times New Roman" w:cs="Times New Roman"/>
          <w:sz w:val="24"/>
          <w:szCs w:val="24"/>
        </w:rPr>
      </w:pPr>
      <w:r>
        <w:rPr>
          <w:rFonts w:ascii="Times New Roman" w:hAnsi="Times New Roman" w:cs="Times New Roman"/>
          <w:sz w:val="24"/>
          <w:szCs w:val="24"/>
        </w:rPr>
        <w:t xml:space="preserve">Fig.1: Histopathology of the livers of C. </w:t>
      </w:r>
      <w:proofErr w:type="spellStart"/>
      <w:r>
        <w:rPr>
          <w:rFonts w:ascii="Times New Roman" w:hAnsi="Times New Roman" w:cs="Times New Roman"/>
          <w:sz w:val="24"/>
          <w:szCs w:val="24"/>
        </w:rPr>
        <w:t>gariepinus</w:t>
      </w:r>
      <w:proofErr w:type="spellEnd"/>
      <w:r>
        <w:rPr>
          <w:rFonts w:ascii="Times New Roman" w:hAnsi="Times New Roman" w:cs="Times New Roman"/>
          <w:sz w:val="24"/>
          <w:szCs w:val="24"/>
        </w:rPr>
        <w:t xml:space="preserve"> fed different inclusion levels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p>
    <w:p w14:paraId="6409E9BF" w14:textId="77777777" w:rsidR="00514234" w:rsidRDefault="00514234">
      <w:pPr>
        <w:spacing w:line="240" w:lineRule="auto"/>
        <w:ind w:firstLine="720"/>
        <w:jc w:val="both"/>
        <w:rPr>
          <w:rFonts w:ascii="Times New Roman" w:hAnsi="Times New Roman" w:cs="Times New Roman"/>
          <w:iCs/>
          <w:sz w:val="24"/>
          <w:szCs w:val="24"/>
        </w:rPr>
      </w:pPr>
    </w:p>
    <w:p w14:paraId="1ABBE28A" w14:textId="77777777" w:rsidR="00514234" w:rsidRDefault="00514234">
      <w:pPr>
        <w:spacing w:line="240" w:lineRule="auto"/>
        <w:ind w:firstLine="720"/>
        <w:jc w:val="both"/>
        <w:rPr>
          <w:rFonts w:ascii="Times New Roman" w:hAnsi="Times New Roman" w:cs="Times New Roman"/>
          <w:iCs/>
          <w:sz w:val="24"/>
          <w:szCs w:val="24"/>
        </w:rPr>
      </w:pPr>
    </w:p>
    <w:p w14:paraId="6F631E76" w14:textId="77777777" w:rsidR="00C244EE"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3.5      Histopathological analysis</w:t>
      </w:r>
    </w:p>
    <w:p w14:paraId="48947CA5" w14:textId="77777777" w:rsidR="00C244EE" w:rsidRDefault="00000000">
      <w:p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Histopathology of the livers of C. </w:t>
      </w:r>
      <w:proofErr w:type="spellStart"/>
      <w:r>
        <w:rPr>
          <w:rFonts w:ascii="Times New Roman" w:hAnsi="Times New Roman" w:cs="Times New Roman"/>
          <w:sz w:val="24"/>
          <w:szCs w:val="24"/>
        </w:rPr>
        <w:t>gariepinus</w:t>
      </w:r>
      <w:proofErr w:type="spellEnd"/>
      <w:r>
        <w:rPr>
          <w:rFonts w:ascii="Times New Roman" w:hAnsi="Times New Roman" w:cs="Times New Roman"/>
          <w:sz w:val="24"/>
          <w:szCs w:val="24"/>
        </w:rPr>
        <w:t xml:space="preserve"> fed different inclusions of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were shown in Figure 1 (A-C) while that of the gills of C. </w:t>
      </w:r>
      <w:proofErr w:type="spellStart"/>
      <w:r>
        <w:rPr>
          <w:rFonts w:ascii="Times New Roman" w:hAnsi="Times New Roman" w:cs="Times New Roman"/>
          <w:sz w:val="24"/>
          <w:szCs w:val="24"/>
        </w:rPr>
        <w:t>gariepinus</w:t>
      </w:r>
      <w:proofErr w:type="spellEnd"/>
      <w:r>
        <w:rPr>
          <w:rFonts w:ascii="Times New Roman" w:hAnsi="Times New Roman" w:cs="Times New Roman"/>
          <w:sz w:val="24"/>
          <w:szCs w:val="24"/>
        </w:rPr>
        <w:t xml:space="preserve"> fed different inclusions of dietary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is shown in Figure 2 (A-C).</w:t>
      </w:r>
    </w:p>
    <w:p w14:paraId="79654A57"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Nuclei of the hepatocytes (H) of the liver fed the control diets </w:t>
      </w:r>
    </w:p>
    <w:p w14:paraId="3DE1DC39"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Slight focal fibrosis (FF), gradual fatty degeneration (FD) of the liver of fish fed 2 mg/kg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p>
    <w:p w14:paraId="1CCA50D9"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High focal fibrosis (FF), high fatty degeneration (FD) and </w:t>
      </w:r>
      <w:proofErr w:type="spellStart"/>
      <w:r>
        <w:rPr>
          <w:rFonts w:ascii="Times New Roman" w:hAnsi="Times New Roman" w:cs="Times New Roman"/>
          <w:sz w:val="24"/>
          <w:szCs w:val="24"/>
        </w:rPr>
        <w:t>Hyplasia</w:t>
      </w:r>
      <w:proofErr w:type="spellEnd"/>
      <w:r>
        <w:rPr>
          <w:rFonts w:ascii="Times New Roman" w:hAnsi="Times New Roman" w:cs="Times New Roman"/>
          <w:sz w:val="24"/>
          <w:szCs w:val="24"/>
        </w:rPr>
        <w:t xml:space="preserve"> (HP) of the liver of fish fed 4 mg/kg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p>
    <w:p w14:paraId="28596041" w14:textId="77777777" w:rsidR="00514234" w:rsidRDefault="00514234">
      <w:pPr>
        <w:spacing w:after="0" w:line="240" w:lineRule="auto"/>
        <w:jc w:val="both"/>
        <w:rPr>
          <w:rFonts w:ascii="Times New Roman" w:hAnsi="Times New Roman" w:cs="Times New Roman"/>
          <w:sz w:val="24"/>
          <w:szCs w:val="24"/>
        </w:rPr>
      </w:pPr>
    </w:p>
    <w:p w14:paraId="188C5C04" w14:textId="77777777" w:rsidR="00C244EE" w:rsidRDefault="00000000">
      <w:pPr>
        <w:spacing w:before="240"/>
        <w:jc w:val="both"/>
        <w:rPr>
          <w:rFonts w:ascii="Times New Roman" w:hAnsi="Times New Roman" w:cs="Times New Roman"/>
          <w:sz w:val="24"/>
          <w:szCs w:val="24"/>
        </w:rPr>
      </w:pPr>
      <w:r>
        <w:rPr>
          <w:rFonts w:ascii="Times New Roman" w:hAnsi="Times New Roman" w:cs="Times New Roman"/>
          <w:sz w:val="24"/>
          <w:szCs w:val="24"/>
        </w:rPr>
        <w:t>Fig. 1A, showed the histomorphology of liver tissue presented with typical cellular density and cellular distribution of fish fed the control diets. The nuclei of hepatocytes were distinctively stained and properly disposed within their respective cytoplasm. There were no histopathological alterations in the histological presentation of these tissues.</w:t>
      </w:r>
    </w:p>
    <w:p w14:paraId="5BB2CE5B" w14:textId="77777777" w:rsidR="00C244EE" w:rsidRDefault="00000000">
      <w:pPr>
        <w:jc w:val="both"/>
        <w:rPr>
          <w:rFonts w:ascii="Times New Roman" w:hAnsi="Times New Roman" w:cs="Times New Roman"/>
          <w:sz w:val="24"/>
          <w:szCs w:val="24"/>
        </w:rPr>
      </w:pPr>
      <w:r>
        <w:rPr>
          <w:rFonts w:ascii="Times New Roman" w:hAnsi="Times New Roman" w:cs="Times New Roman"/>
          <w:sz w:val="24"/>
          <w:szCs w:val="24"/>
        </w:rPr>
        <w:t xml:space="preserve">Fig. 1B, showed the panoramic view of the fish fed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It revealed histomorphology of liver tissue such as slight focal fibrosis (FF), gradual fatty degeneration (FD) presented with typical cellular density and cellular distribution. The nuclei of hepatocytes were distinctively stained and properly disposed within their respective cytoplasm. There were slight histopathological alterations in the histological presentation of these tissues.</w:t>
      </w:r>
    </w:p>
    <w:p w14:paraId="75A36F25" w14:textId="4747F556" w:rsidR="00C244EE" w:rsidRDefault="00000000">
      <w:pPr>
        <w:jc w:val="both"/>
        <w:rPr>
          <w:rFonts w:ascii="Times New Roman" w:hAnsi="Times New Roman" w:cs="Times New Roman"/>
          <w:sz w:val="24"/>
          <w:szCs w:val="24"/>
        </w:rPr>
      </w:pPr>
      <w:r>
        <w:rPr>
          <w:rFonts w:ascii="Times New Roman" w:hAnsi="Times New Roman" w:cs="Times New Roman"/>
          <w:sz w:val="24"/>
          <w:szCs w:val="24"/>
        </w:rPr>
        <w:t xml:space="preserve">Fig. 1C, showed the panoramic view of the hepatocytes (black arrow) of the fish fed 4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It showed high focal fibrosis (FF), high fatty degeneration (FD) and </w:t>
      </w:r>
      <w:proofErr w:type="spellStart"/>
      <w:r>
        <w:rPr>
          <w:rFonts w:ascii="Times New Roman" w:hAnsi="Times New Roman" w:cs="Times New Roman"/>
          <w:sz w:val="24"/>
          <w:szCs w:val="24"/>
        </w:rPr>
        <w:t>hyplasia</w:t>
      </w:r>
      <w:proofErr w:type="spellEnd"/>
      <w:r>
        <w:rPr>
          <w:rFonts w:ascii="Times New Roman" w:hAnsi="Times New Roman" w:cs="Times New Roman"/>
          <w:sz w:val="24"/>
          <w:szCs w:val="24"/>
        </w:rPr>
        <w:t xml:space="preserve"> (HP) of fish liver tissue presented with typical cellular density and cellular distribution. There were obstructions of bile flow because of fat deposition within the central vein. This suggest that there were pathological changes in the liver.</w:t>
      </w:r>
    </w:p>
    <w:p w14:paraId="19EBC279" w14:textId="77777777" w:rsidR="00C244EE" w:rsidRDefault="00C244EE">
      <w:pPr>
        <w:jc w:val="both"/>
        <w:rPr>
          <w:rFonts w:ascii="Times New Roman" w:hAnsi="Times New Roman" w:cs="Times New Roman"/>
          <w:sz w:val="24"/>
          <w:szCs w:val="24"/>
        </w:rPr>
      </w:pPr>
    </w:p>
    <w:p w14:paraId="04906252" w14:textId="77777777" w:rsidR="00C244EE" w:rsidRDefault="00C244EE">
      <w:pPr>
        <w:jc w:val="both"/>
        <w:rPr>
          <w:rFonts w:ascii="Times New Roman" w:hAnsi="Times New Roman" w:cs="Times New Roman"/>
          <w:sz w:val="24"/>
          <w:szCs w:val="24"/>
        </w:rPr>
      </w:pPr>
    </w:p>
    <w:p w14:paraId="32188668" w14:textId="77777777" w:rsidR="00C244EE" w:rsidRDefault="00C244EE">
      <w:pPr>
        <w:jc w:val="both"/>
        <w:rPr>
          <w:rFonts w:ascii="Times New Roman" w:hAnsi="Times New Roman" w:cs="Times New Roman"/>
          <w:sz w:val="24"/>
          <w:szCs w:val="24"/>
        </w:rPr>
      </w:pPr>
    </w:p>
    <w:p w14:paraId="71E91A78" w14:textId="77777777" w:rsidR="00C244EE" w:rsidRDefault="00C244EE">
      <w:pPr>
        <w:jc w:val="both"/>
        <w:rPr>
          <w:rFonts w:ascii="Times New Roman" w:hAnsi="Times New Roman" w:cs="Times New Roman"/>
          <w:sz w:val="24"/>
          <w:szCs w:val="24"/>
        </w:rPr>
      </w:pPr>
    </w:p>
    <w:p w14:paraId="16A973DE" w14:textId="6D5C61FE" w:rsidR="00C244EE" w:rsidRDefault="00514234">
      <w:pPr>
        <w:jc w:val="both"/>
        <w:rPr>
          <w:rFonts w:ascii="Times New Roman" w:hAnsi="Times New Roman" w:cs="Times New Roman"/>
          <w:sz w:val="24"/>
          <w:szCs w:val="24"/>
        </w:rPr>
      </w:pPr>
      <w:r>
        <w:rPr>
          <w:noProof/>
        </w:rPr>
        <w:drawing>
          <wp:anchor distT="0" distB="0" distL="0" distR="0" simplePos="0" relativeHeight="251661312" behindDoc="0" locked="0" layoutInCell="1" allowOverlap="1" wp14:anchorId="0C284769" wp14:editId="00483D9F">
            <wp:simplePos x="0" y="0"/>
            <wp:positionH relativeFrom="page">
              <wp:posOffset>740410</wp:posOffset>
            </wp:positionH>
            <wp:positionV relativeFrom="page">
              <wp:posOffset>1597025</wp:posOffset>
            </wp:positionV>
            <wp:extent cx="4157330" cy="2243470"/>
            <wp:effectExtent l="0" t="0" r="0" b="0"/>
            <wp:wrapNone/>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4" cstate="print"/>
                    <a:srcRect/>
                    <a:stretch/>
                  </pic:blipFill>
                  <pic:spPr>
                    <a:xfrm>
                      <a:off x="0" y="0"/>
                      <a:ext cx="4161241" cy="2245580"/>
                    </a:xfrm>
                    <a:prstGeom prst="rect">
                      <a:avLst/>
                    </a:prstGeom>
                    <a:ln>
                      <a:noFill/>
                    </a:ln>
                  </pic:spPr>
                </pic:pic>
              </a:graphicData>
            </a:graphic>
            <wp14:sizeRelH relativeFrom="margin">
              <wp14:pctWidth>0</wp14:pctWidth>
            </wp14:sizeRelH>
            <wp14:sizeRelV relativeFrom="margin">
              <wp14:pctHeight>0</wp14:pctHeight>
            </wp14:sizeRelV>
          </wp:anchor>
        </w:drawing>
      </w:r>
    </w:p>
    <w:p w14:paraId="7DCED24D" w14:textId="77777777" w:rsidR="00C244EE" w:rsidRDefault="00C244EE">
      <w:pPr>
        <w:jc w:val="both"/>
        <w:rPr>
          <w:rFonts w:ascii="Times New Roman" w:hAnsi="Times New Roman" w:cs="Times New Roman"/>
          <w:sz w:val="24"/>
          <w:szCs w:val="24"/>
        </w:rPr>
      </w:pPr>
    </w:p>
    <w:p w14:paraId="0266DF32" w14:textId="77777777" w:rsidR="00C244EE" w:rsidRDefault="00C244EE">
      <w:pPr>
        <w:jc w:val="both"/>
        <w:rPr>
          <w:rFonts w:ascii="Times New Roman" w:hAnsi="Times New Roman" w:cs="Times New Roman"/>
          <w:sz w:val="24"/>
          <w:szCs w:val="24"/>
        </w:rPr>
      </w:pPr>
    </w:p>
    <w:p w14:paraId="3F8D2129" w14:textId="77777777" w:rsidR="00C244EE" w:rsidRDefault="00C244EE">
      <w:pPr>
        <w:jc w:val="both"/>
        <w:rPr>
          <w:rFonts w:ascii="Times New Roman" w:hAnsi="Times New Roman" w:cs="Times New Roman"/>
          <w:sz w:val="24"/>
          <w:szCs w:val="24"/>
        </w:rPr>
      </w:pPr>
    </w:p>
    <w:p w14:paraId="243DEAE1" w14:textId="77777777" w:rsidR="00C244EE" w:rsidRDefault="00C244EE">
      <w:pPr>
        <w:jc w:val="both"/>
        <w:rPr>
          <w:rFonts w:ascii="Times New Roman" w:hAnsi="Times New Roman" w:cs="Times New Roman"/>
          <w:sz w:val="24"/>
          <w:szCs w:val="24"/>
        </w:rPr>
      </w:pPr>
    </w:p>
    <w:p w14:paraId="76688111" w14:textId="77777777" w:rsidR="00C244EE" w:rsidRDefault="00C244EE">
      <w:pPr>
        <w:jc w:val="both"/>
        <w:rPr>
          <w:rFonts w:ascii="Times New Roman" w:hAnsi="Times New Roman" w:cs="Times New Roman"/>
          <w:sz w:val="24"/>
          <w:szCs w:val="24"/>
        </w:rPr>
      </w:pPr>
    </w:p>
    <w:p w14:paraId="0FFDFD4D" w14:textId="77777777" w:rsidR="00514234" w:rsidRDefault="00514234">
      <w:pPr>
        <w:jc w:val="both"/>
        <w:rPr>
          <w:rFonts w:ascii="Times New Roman" w:hAnsi="Times New Roman" w:cs="Times New Roman"/>
          <w:sz w:val="24"/>
          <w:szCs w:val="24"/>
        </w:rPr>
      </w:pPr>
    </w:p>
    <w:p w14:paraId="6408FA99" w14:textId="77777777" w:rsidR="00514234" w:rsidRDefault="00514234">
      <w:pPr>
        <w:jc w:val="both"/>
        <w:rPr>
          <w:rFonts w:ascii="Times New Roman" w:hAnsi="Times New Roman" w:cs="Times New Roman"/>
          <w:sz w:val="24"/>
          <w:szCs w:val="24"/>
        </w:rPr>
      </w:pPr>
    </w:p>
    <w:p w14:paraId="222C6662" w14:textId="77777777" w:rsidR="00C244EE" w:rsidRDefault="00000000">
      <w:pPr>
        <w:spacing w:line="22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Fig. 2: Histopathology of the gill of C. </w:t>
      </w:r>
      <w:proofErr w:type="spellStart"/>
      <w:r>
        <w:rPr>
          <w:rFonts w:ascii="Times New Roman" w:hAnsi="Times New Roman" w:cs="Times New Roman"/>
          <w:sz w:val="24"/>
          <w:szCs w:val="24"/>
        </w:rPr>
        <w:t>gariepinus</w:t>
      </w:r>
      <w:proofErr w:type="spellEnd"/>
      <w:r>
        <w:rPr>
          <w:rFonts w:ascii="Times New Roman" w:hAnsi="Times New Roman" w:cs="Times New Roman"/>
          <w:sz w:val="24"/>
          <w:szCs w:val="24"/>
        </w:rPr>
        <w:t xml:space="preserve"> fed different inclusion levels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p>
    <w:p w14:paraId="1C608529"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Normal cellular arch of the gill. Primary lamella (PL), secondary lamella (SL) and cartilaginous core (CC) in fish gill fed the control diets.</w:t>
      </w:r>
    </w:p>
    <w:p w14:paraId="3DE13B47"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[B]Hyperplasia (HP), degeneration of the secondary lamella (DSL), necrosis (NC), </w:t>
      </w:r>
      <w:proofErr w:type="spellStart"/>
      <w:r>
        <w:rPr>
          <w:rFonts w:ascii="Times New Roman" w:hAnsi="Times New Roman" w:cs="Times New Roman"/>
          <w:sz w:val="24"/>
          <w:szCs w:val="24"/>
        </w:rPr>
        <w:t>oedematous</w:t>
      </w:r>
      <w:proofErr w:type="spellEnd"/>
      <w:r>
        <w:rPr>
          <w:rFonts w:ascii="Times New Roman" w:hAnsi="Times New Roman" w:cs="Times New Roman"/>
          <w:sz w:val="24"/>
          <w:szCs w:val="24"/>
        </w:rPr>
        <w:t xml:space="preserve"> changes (ED) and sloughing of epithelia tissue (SE) of fish fed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w:t>
      </w:r>
    </w:p>
    <w:p w14:paraId="04ABF447"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[C] Degeneration of the secondary lamella (DSL), fusion of the lamella (FL), necrosis (NC), </w:t>
      </w:r>
      <w:proofErr w:type="spellStart"/>
      <w:r>
        <w:rPr>
          <w:rFonts w:ascii="Times New Roman" w:hAnsi="Times New Roman" w:cs="Times New Roman"/>
          <w:sz w:val="24"/>
          <w:szCs w:val="24"/>
        </w:rPr>
        <w:t>oedematous</w:t>
      </w:r>
      <w:proofErr w:type="spellEnd"/>
      <w:r>
        <w:rPr>
          <w:rFonts w:ascii="Times New Roman" w:hAnsi="Times New Roman" w:cs="Times New Roman"/>
          <w:sz w:val="24"/>
          <w:szCs w:val="24"/>
        </w:rPr>
        <w:t xml:space="preserve"> changes (ED) and sloughing of the epithelia tissue (SE).</w:t>
      </w:r>
    </w:p>
    <w:p w14:paraId="53C70755" w14:textId="77777777" w:rsidR="00C244EE" w:rsidRDefault="00C244EE">
      <w:pPr>
        <w:spacing w:after="0" w:line="240" w:lineRule="auto"/>
        <w:jc w:val="both"/>
        <w:rPr>
          <w:rFonts w:ascii="Times New Roman" w:hAnsi="Times New Roman" w:cs="Times New Roman"/>
          <w:sz w:val="24"/>
          <w:szCs w:val="24"/>
        </w:rPr>
      </w:pPr>
    </w:p>
    <w:p w14:paraId="157122EB" w14:textId="77777777" w:rsidR="00C244E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2A, showed typical </w:t>
      </w:r>
      <w:proofErr w:type="spellStart"/>
      <w:r>
        <w:rPr>
          <w:rFonts w:ascii="Times New Roman" w:hAnsi="Times New Roman" w:cs="Times New Roman"/>
          <w:sz w:val="24"/>
          <w:szCs w:val="24"/>
        </w:rPr>
        <w:t>histomorphological</w:t>
      </w:r>
      <w:proofErr w:type="spellEnd"/>
      <w:r>
        <w:rPr>
          <w:rFonts w:ascii="Times New Roman" w:hAnsi="Times New Roman" w:cs="Times New Roman"/>
          <w:sz w:val="24"/>
          <w:szCs w:val="24"/>
        </w:rPr>
        <w:t xml:space="preserve"> presentation of the gill filament of the fish fed the control diets with intact supporting cartilage surrounding the well-placed vasculature of the primary lamella from which the secondary lamella is jotting out. The secondary lamella appears to have begun to undergo slight degenerative changes, also slight changes in the cartilaginous core (CC) in fish gill fed the control diets. This suggesting possible slight histopathological alterations.</w:t>
      </w:r>
    </w:p>
    <w:p w14:paraId="30555F73"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Fig. 2B, showed typical </w:t>
      </w:r>
      <w:proofErr w:type="spellStart"/>
      <w:r>
        <w:rPr>
          <w:rFonts w:ascii="Times New Roman" w:hAnsi="Times New Roman" w:cs="Times New Roman"/>
          <w:sz w:val="24"/>
          <w:szCs w:val="24"/>
        </w:rPr>
        <w:t>histomorphological</w:t>
      </w:r>
      <w:proofErr w:type="spellEnd"/>
      <w:r>
        <w:rPr>
          <w:rFonts w:ascii="Times New Roman" w:hAnsi="Times New Roman" w:cs="Times New Roman"/>
          <w:sz w:val="24"/>
          <w:szCs w:val="24"/>
        </w:rPr>
        <w:t xml:space="preserve"> presentation of the gill filament of </w:t>
      </w:r>
      <w:r>
        <w:rPr>
          <w:rFonts w:ascii="Times New Roman" w:hAnsi="Times New Roman" w:cs="Times New Roman"/>
          <w:i/>
          <w:iCs/>
          <w:sz w:val="24"/>
          <w:szCs w:val="24"/>
        </w:rPr>
        <w:t xml:space="preserve">Clarias </w:t>
      </w:r>
      <w:proofErr w:type="spellStart"/>
      <w:r>
        <w:rPr>
          <w:rFonts w:ascii="Times New Roman" w:hAnsi="Times New Roman" w:cs="Times New Roman"/>
          <w:i/>
          <w:iCs/>
          <w:sz w:val="24"/>
          <w:szCs w:val="24"/>
        </w:rPr>
        <w:t>gariepinus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fed with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with intact supporting cartilage surrounding the well-placed vasculature of the primary lamella from which the secondary lamella is jotting out. There was hyperplasia (HP), degeneration of the secondary lamella (DSL), necrosis (NC), </w:t>
      </w:r>
      <w:proofErr w:type="spellStart"/>
      <w:r>
        <w:rPr>
          <w:rFonts w:ascii="Times New Roman" w:hAnsi="Times New Roman" w:cs="Times New Roman"/>
          <w:sz w:val="24"/>
          <w:szCs w:val="24"/>
        </w:rPr>
        <w:t>oedematous</w:t>
      </w:r>
      <w:proofErr w:type="spellEnd"/>
      <w:r>
        <w:rPr>
          <w:rFonts w:ascii="Times New Roman" w:hAnsi="Times New Roman" w:cs="Times New Roman"/>
          <w:sz w:val="24"/>
          <w:szCs w:val="24"/>
        </w:rPr>
        <w:t xml:space="preserve"> changes (ED) and sloughing of epithelia tissue (SE) in the gill of fish fed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 Also, the secondary lamella appeared to have begun to undergo degenerative changes suggesting possible histopathological alterations.</w:t>
      </w:r>
    </w:p>
    <w:p w14:paraId="563B7C98" w14:textId="77777777" w:rsidR="00C244EE" w:rsidRDefault="00C244EE">
      <w:pPr>
        <w:spacing w:after="0"/>
        <w:jc w:val="both"/>
        <w:rPr>
          <w:rFonts w:ascii="Times New Roman" w:hAnsi="Times New Roman" w:cs="Times New Roman"/>
          <w:sz w:val="24"/>
          <w:szCs w:val="24"/>
        </w:rPr>
      </w:pPr>
    </w:p>
    <w:p w14:paraId="4327A770"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Fig. 2C, typical histomorphology presentation of the gill filament of </w:t>
      </w:r>
      <w:r>
        <w:rPr>
          <w:rFonts w:ascii="Times New Roman" w:hAnsi="Times New Roman" w:cs="Times New Roman"/>
          <w:i/>
          <w:iCs/>
          <w:sz w:val="24"/>
          <w:szCs w:val="24"/>
        </w:rPr>
        <w:t xml:space="preserve">Clarias </w:t>
      </w:r>
      <w:proofErr w:type="spellStart"/>
      <w:r>
        <w:rPr>
          <w:rFonts w:ascii="Times New Roman" w:hAnsi="Times New Roman" w:cs="Times New Roman"/>
          <w:i/>
          <w:iCs/>
          <w:sz w:val="24"/>
          <w:szCs w:val="24"/>
        </w:rPr>
        <w:t>gariepinus</w:t>
      </w:r>
      <w:proofErr w:type="spellEnd"/>
      <w:r>
        <w:rPr>
          <w:rFonts w:ascii="Times New Roman" w:hAnsi="Times New Roman" w:cs="Times New Roman"/>
          <w:sz w:val="24"/>
          <w:szCs w:val="24"/>
        </w:rPr>
        <w:t xml:space="preserve"> fed with 4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It revealed the supporting cartilage surrounding the well-placed vasculature of the primary lamella from which the secondary lamella is jotting out. Degeneration of the secondary lamella (DSL), fusion of the lamella (FL), necrosis (NC), </w:t>
      </w:r>
      <w:proofErr w:type="spellStart"/>
      <w:r>
        <w:rPr>
          <w:rFonts w:ascii="Times New Roman" w:hAnsi="Times New Roman" w:cs="Times New Roman"/>
          <w:sz w:val="24"/>
          <w:szCs w:val="24"/>
        </w:rPr>
        <w:t>oedematous</w:t>
      </w:r>
      <w:proofErr w:type="spellEnd"/>
      <w:r>
        <w:rPr>
          <w:rFonts w:ascii="Times New Roman" w:hAnsi="Times New Roman" w:cs="Times New Roman"/>
          <w:sz w:val="24"/>
          <w:szCs w:val="24"/>
        </w:rPr>
        <w:t xml:space="preserve"> changes (ED) and sloughing of the epithelia tissue (SE) were seen in the gill of fish fed 4 mg/kg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There were possible histopathological alterations in this organ.</w:t>
      </w:r>
    </w:p>
    <w:p w14:paraId="634F53D2" w14:textId="77777777" w:rsidR="00C244EE" w:rsidRDefault="00C244EE">
      <w:pPr>
        <w:spacing w:after="0" w:line="240" w:lineRule="auto"/>
        <w:jc w:val="both"/>
        <w:rPr>
          <w:rFonts w:ascii="Times New Roman" w:hAnsi="Times New Roman" w:cs="Times New Roman"/>
          <w:b/>
        </w:rPr>
      </w:pPr>
    </w:p>
    <w:p w14:paraId="51966950" w14:textId="77777777" w:rsidR="005A39CC" w:rsidRDefault="005A39CC">
      <w:pPr>
        <w:spacing w:after="0" w:line="240" w:lineRule="auto"/>
        <w:jc w:val="both"/>
        <w:rPr>
          <w:rFonts w:ascii="Times New Roman" w:hAnsi="Times New Roman" w:cs="Times New Roman"/>
          <w:b/>
        </w:rPr>
      </w:pPr>
    </w:p>
    <w:p w14:paraId="754F7AD9" w14:textId="522787ED" w:rsidR="00C244EE" w:rsidRDefault="00000000">
      <w:pPr>
        <w:spacing w:after="0" w:line="240" w:lineRule="auto"/>
        <w:jc w:val="both"/>
        <w:rPr>
          <w:rFonts w:ascii="Times New Roman" w:hAnsi="Times New Roman" w:cs="Times New Roman"/>
          <w:iCs/>
          <w:color w:val="000000"/>
          <w:sz w:val="24"/>
          <w:szCs w:val="24"/>
        </w:rPr>
      </w:pPr>
      <w:r>
        <w:rPr>
          <w:rFonts w:ascii="Times New Roman" w:hAnsi="Times New Roman" w:cs="Times New Roman"/>
          <w:b/>
        </w:rPr>
        <w:t>4. DISCUSSION</w:t>
      </w:r>
    </w:p>
    <w:p w14:paraId="0528D5B1" w14:textId="77777777" w:rsidR="00C244EE" w:rsidRDefault="00C244EE">
      <w:pPr>
        <w:spacing w:after="0" w:line="240" w:lineRule="auto"/>
        <w:jc w:val="both"/>
        <w:rPr>
          <w:rFonts w:ascii="Times New Roman" w:hAnsi="Times New Roman" w:cs="Times New Roman"/>
          <w:iCs/>
          <w:color w:val="000000"/>
          <w:sz w:val="24"/>
          <w:szCs w:val="24"/>
        </w:rPr>
      </w:pPr>
    </w:p>
    <w:p w14:paraId="0A9A8859" w14:textId="77777777" w:rsidR="00C244EE" w:rsidRDefault="00000000">
      <w:pPr>
        <w:rPr>
          <w:rFonts w:ascii="Times New Roman" w:hAnsi="Times New Roman" w:cs="Times New Roman"/>
          <w:sz w:val="24"/>
          <w:szCs w:val="24"/>
        </w:rPr>
      </w:pPr>
      <w:r>
        <w:rPr>
          <w:rFonts w:ascii="Times New Roman" w:hAnsi="Times New Roman" w:cs="Times New Roman"/>
          <w:sz w:val="24"/>
          <w:szCs w:val="24"/>
        </w:rPr>
        <w:t xml:space="preserve">Physicochemical parameters are crucial factors put into consideration in the rearing of fish. They are significant parameters that restrict survival, growth, and distribution of fish [24]. As a result of the effect of physicochemical parameters, optimal tolerable range in the rearing media were maintained throughout the rearing period which reduce adverse effects </w:t>
      </w:r>
      <w:r>
        <w:rPr>
          <w:rFonts w:ascii="Times New Roman" w:hAnsi="Times New Roman" w:cs="Times New Roman"/>
          <w:color w:val="231F20"/>
          <w:sz w:val="24"/>
          <w:szCs w:val="24"/>
        </w:rPr>
        <w:t>on survival and the blood composition of the fish</w:t>
      </w:r>
      <w:r>
        <w:rPr>
          <w:rFonts w:ascii="Times New Roman" w:hAnsi="Times New Roman" w:cs="Times New Roman"/>
          <w:sz w:val="24"/>
          <w:szCs w:val="24"/>
        </w:rPr>
        <w:t>.</w:t>
      </w:r>
    </w:p>
    <w:p w14:paraId="656D75C7"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inclusion of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in the fish diets might be reason for the increase in crude protein as the concentration of the micronutrients increases, this is because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contain some essential amino acids which has the tendency of increasing the protein content of the feed. The nutritive status of fish can be linked to the health status of animal and potential way they deal with stress [25</w:t>
      </w:r>
      <w:r>
        <w:rPr>
          <w:rFonts w:ascii="Times New Roman" w:hAnsi="Times New Roman" w:cs="Times New Roman"/>
          <w:sz w:val="24"/>
          <w:szCs w:val="24"/>
        </w:rPr>
        <w:t>, 26</w:t>
      </w:r>
      <w:r>
        <w:rPr>
          <w:rFonts w:ascii="Times New Roman" w:hAnsi="Times New Roman" w:cs="Times New Roman"/>
          <w:color w:val="231F20"/>
          <w:sz w:val="24"/>
          <w:szCs w:val="24"/>
        </w:rPr>
        <w:t xml:space="preserve">], resulting from their surrounding environment. </w:t>
      </w:r>
    </w:p>
    <w:p w14:paraId="334C3D05"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Biochemical indices such as AST, ALP, ALT, urea, uric acid, albumin etc. can be used to estimate the functionality of the fish organs such as the liver, gill, kidney, and heart. The high increase of AST, ALP and ALT activities of fish fed 4 mg/kg of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in the fish diets are suggestive of hepatic cellular damage leading to their leakage in circulation [27, 28]. This equally means that the lowest value obtained for the same biochemical parameters of fish fed 2 mg/kg dietary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are likely to be saved from hepatic cellular damage of the vital organs. As a result of this, there is possibility that 2 mg/kg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in the fish diets of C. </w:t>
      </w:r>
      <w:proofErr w:type="spellStart"/>
      <w:r>
        <w:rPr>
          <w:rFonts w:ascii="Times New Roman" w:hAnsi="Times New Roman" w:cs="Times New Roman"/>
          <w:color w:val="231F20"/>
          <w:sz w:val="24"/>
          <w:szCs w:val="24"/>
        </w:rPr>
        <w:t>gariepinus</w:t>
      </w:r>
      <w:proofErr w:type="spellEnd"/>
      <w:r>
        <w:rPr>
          <w:rFonts w:ascii="Times New Roman" w:hAnsi="Times New Roman" w:cs="Times New Roman"/>
          <w:color w:val="231F20"/>
          <w:sz w:val="24"/>
          <w:szCs w:val="24"/>
        </w:rPr>
        <w:t xml:space="preserve"> can help in hepatic cellular activity stability.</w:t>
      </w:r>
    </w:p>
    <w:p w14:paraId="0ECDA79C"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high-density lipoproteins cholesterol (HDL-C) helps in removing other form of cholesterol in the body systems of fish. The high value of HDL-Cholesterol in control revealed that the heart organs of fish are at lower risk of heart diseases as compared to fish fed 4 mg/kg of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formulated diets which has the lowest value. The low-density lipoproteins (LDL-C) is of high value in the fish fed the control diets, this simply mean that as the inclusion level of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increase the LDL-C significantly decrease.</w:t>
      </w:r>
    </w:p>
    <w:p w14:paraId="02A3C765" w14:textId="77777777" w:rsidR="00C244EE" w:rsidRDefault="00000000">
      <w:pPr>
        <w:jc w:val="both"/>
        <w:rPr>
          <w:rStyle w:val="e24kjd"/>
          <w:rFonts w:ascii="Times New Roman" w:hAnsi="Times New Roman" w:cs="Times New Roman"/>
          <w:sz w:val="24"/>
          <w:szCs w:val="24"/>
        </w:rPr>
      </w:pPr>
      <w:r>
        <w:rPr>
          <w:rFonts w:ascii="Times New Roman" w:hAnsi="Times New Roman" w:cs="Times New Roman"/>
          <w:color w:val="231F20"/>
          <w:sz w:val="24"/>
          <w:szCs w:val="24"/>
        </w:rPr>
        <w:t xml:space="preserve">Antioxidant which are known to be oxidative stress biomarker are playing important roles in fish growth, preventing oxidative reaction in fish. </w:t>
      </w:r>
      <w:r>
        <w:rPr>
          <w:rStyle w:val="e24kjd"/>
          <w:rFonts w:ascii="Times New Roman" w:hAnsi="Times New Roman" w:cs="Times New Roman"/>
          <w:bCs/>
          <w:sz w:val="24"/>
          <w:szCs w:val="24"/>
        </w:rPr>
        <w:t>Superoxide dismutase</w:t>
      </w:r>
      <w:r>
        <w:rPr>
          <w:rStyle w:val="e24kjd"/>
          <w:rFonts w:ascii="Times New Roman" w:hAnsi="Times New Roman" w:cs="Times New Roman"/>
          <w:sz w:val="24"/>
          <w:szCs w:val="24"/>
        </w:rPr>
        <w:t xml:space="preserve"> is an enzyme that helps break down potentially harmful oxygen molecules in cells, which prevent damage to tissues and vital body organs and </w:t>
      </w:r>
      <w:proofErr w:type="spellStart"/>
      <w:r>
        <w:rPr>
          <w:rStyle w:val="e24kjd"/>
          <w:rFonts w:ascii="Times New Roman" w:hAnsi="Times New Roman" w:cs="Times New Roman"/>
          <w:sz w:val="24"/>
          <w:szCs w:val="24"/>
        </w:rPr>
        <w:t>GPx</w:t>
      </w:r>
      <w:proofErr w:type="spellEnd"/>
      <w:r>
        <w:rPr>
          <w:rStyle w:val="e24kjd"/>
          <w:rFonts w:ascii="Times New Roman" w:hAnsi="Times New Roman" w:cs="Times New Roman"/>
          <w:sz w:val="24"/>
          <w:szCs w:val="24"/>
        </w:rPr>
        <w:t xml:space="preserve"> </w:t>
      </w:r>
      <w:r>
        <w:rPr>
          <w:rFonts w:ascii="Times New Roman" w:hAnsi="Times New Roman" w:cs="Times New Roman"/>
          <w:sz w:val="24"/>
          <w:szCs w:val="24"/>
        </w:rPr>
        <w:t xml:space="preserve">biological role is to protect the organism from oxidative damage that might arise from enzymatic reaction. These two important enzymes play important roles in the build-up of the fish body organs. The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and the malondialdehyde (MDA) of gills and livers of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fed 2 mg/kg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increase significantly as compared to those fed 4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 As a result of this increase in the two important oxidative indices, the normal activities of the gill function which serve as a vital respiratory organ might increase in fish fed 2 mg/kg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w:t>
      </w:r>
      <w:r>
        <w:rPr>
          <w:rStyle w:val="e24kjd"/>
          <w:rFonts w:ascii="Times New Roman" w:hAnsi="Times New Roman" w:cs="Times New Roman"/>
          <w:sz w:val="24"/>
          <w:szCs w:val="24"/>
        </w:rPr>
        <w:t>.</w:t>
      </w:r>
    </w:p>
    <w:p w14:paraId="60251840" w14:textId="77777777" w:rsidR="00C244EE" w:rsidRDefault="00000000">
      <w:pPr>
        <w:jc w:val="both"/>
        <w:rPr>
          <w:rStyle w:val="e24kjd"/>
          <w:rFonts w:ascii="Times New Roman" w:hAnsi="Times New Roman" w:cs="Times New Roman"/>
          <w:sz w:val="24"/>
          <w:szCs w:val="24"/>
        </w:rPr>
      </w:pPr>
      <w:r>
        <w:rPr>
          <w:rStyle w:val="e24kjd"/>
          <w:rFonts w:ascii="Times New Roman" w:hAnsi="Times New Roman" w:cs="Times New Roman"/>
          <w:sz w:val="24"/>
          <w:szCs w:val="24"/>
        </w:rPr>
        <w:t xml:space="preserve">The alteration in the liver of fish fed 4 mg/kg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formulated diets revealed some histopathological changes such as obstruction of the bile and fatty degeneration which might be because of increased concentration of the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This simply mean that, concentration at 4 mg/kg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formulated diets and above will possibly alter normal function of the liver which is a vital fish organ known to be the main target organ of selenium toxicity [29], this agreed with the statement of [30], which reported that liver is the target organ of different xenobiotic substances.</w:t>
      </w:r>
    </w:p>
    <w:p w14:paraId="0A202FB0" w14:textId="77777777" w:rsidR="00C244EE" w:rsidRDefault="00000000">
      <w:pPr>
        <w:jc w:val="both"/>
        <w:rPr>
          <w:rStyle w:val="e24kjd"/>
          <w:rFonts w:ascii="Times New Roman" w:hAnsi="Times New Roman" w:cs="Times New Roman"/>
          <w:sz w:val="24"/>
          <w:szCs w:val="24"/>
        </w:rPr>
      </w:pPr>
      <w:r>
        <w:rPr>
          <w:rStyle w:val="e24kjd"/>
          <w:rFonts w:ascii="Times New Roman" w:hAnsi="Times New Roman" w:cs="Times New Roman"/>
          <w:sz w:val="24"/>
          <w:szCs w:val="24"/>
        </w:rPr>
        <w:t xml:space="preserve">Also, the changes observed in the gills of all the dietary treatments and the control can be due to stress in the management process and not only from dietary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intake. But the degeneration of the lamella, </w:t>
      </w:r>
      <w:proofErr w:type="spellStart"/>
      <w:r>
        <w:rPr>
          <w:rStyle w:val="e24kjd"/>
          <w:rFonts w:ascii="Times New Roman" w:hAnsi="Times New Roman" w:cs="Times New Roman"/>
          <w:sz w:val="24"/>
          <w:szCs w:val="24"/>
        </w:rPr>
        <w:t>oedematous</w:t>
      </w:r>
      <w:proofErr w:type="spellEnd"/>
      <w:r>
        <w:rPr>
          <w:rStyle w:val="e24kjd"/>
          <w:rFonts w:ascii="Times New Roman" w:hAnsi="Times New Roman" w:cs="Times New Roman"/>
          <w:sz w:val="24"/>
          <w:szCs w:val="24"/>
        </w:rPr>
        <w:t xml:space="preserve"> change, and necrosis of the gills in fish fed 4 mg/kg of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formulated diet were more pronounced as compared to the gill of fish fed 2 mg/kg of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formulated diets which are indications of environmental stress. The reason could be that concentration of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beyond a tolerable range for fish might be a contributing factor to stress which could be a factor contributing to the alterations of the gills with tendency to increase the mortality rate of fish fed 4 mg/kg </w:t>
      </w:r>
      <w:proofErr w:type="spellStart"/>
      <w:r>
        <w:rPr>
          <w:rStyle w:val="e24kjd"/>
          <w:rFonts w:ascii="Times New Roman" w:hAnsi="Times New Roman" w:cs="Times New Roman"/>
          <w:sz w:val="24"/>
          <w:szCs w:val="24"/>
        </w:rPr>
        <w:t>nanoselenium</w:t>
      </w:r>
      <w:proofErr w:type="spellEnd"/>
      <w:r>
        <w:rPr>
          <w:rStyle w:val="e24kjd"/>
          <w:rFonts w:ascii="Times New Roman" w:hAnsi="Times New Roman" w:cs="Times New Roman"/>
          <w:sz w:val="24"/>
          <w:szCs w:val="24"/>
        </w:rPr>
        <w:t xml:space="preserve"> formulated diets.</w:t>
      </w:r>
    </w:p>
    <w:p w14:paraId="0FD234A7" w14:textId="1BAB1B1B" w:rsidR="00C244EE" w:rsidRDefault="00514234">
      <w:pPr>
        <w:spacing w:line="24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Conclusion :</w:t>
      </w:r>
      <w:proofErr w:type="gramEnd"/>
      <w:r>
        <w:rPr>
          <w:rFonts w:ascii="Times New Roman" w:hAnsi="Times New Roman" w:cs="Times New Roman"/>
          <w:color w:val="231F20"/>
          <w:sz w:val="24"/>
          <w:szCs w:val="24"/>
        </w:rPr>
        <w:t xml:space="preserve"> the study indicated that dietary inclusion at 2 mg/kg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formulated diets had better effect on biochemical profile and histopathology of the fish in vital organs with less stress on the fish health as compared to 4 mg/kg </w:t>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formulated diets. More research work needs to be conducted on the two dietary concentrations on </w:t>
      </w:r>
      <w:r>
        <w:rPr>
          <w:rFonts w:ascii="Times New Roman" w:hAnsi="Times New Roman" w:cs="Times New Roman"/>
          <w:i/>
          <w:color w:val="231F20"/>
          <w:sz w:val="24"/>
          <w:szCs w:val="24"/>
        </w:rPr>
        <w:t xml:space="preserve">Clarias </w:t>
      </w:r>
      <w:proofErr w:type="spellStart"/>
      <w:r>
        <w:rPr>
          <w:rFonts w:ascii="Times New Roman" w:hAnsi="Times New Roman" w:cs="Times New Roman"/>
          <w:i/>
          <w:color w:val="231F20"/>
          <w:sz w:val="24"/>
          <w:szCs w:val="24"/>
        </w:rPr>
        <w:t>gariepinus</w:t>
      </w:r>
      <w:proofErr w:type="spellEnd"/>
      <w:r>
        <w:rPr>
          <w:rFonts w:ascii="Times New Roman" w:hAnsi="Times New Roman" w:cs="Times New Roman"/>
          <w:color w:val="231F20"/>
          <w:sz w:val="24"/>
          <w:szCs w:val="24"/>
        </w:rPr>
        <w:t xml:space="preserve"> in other vital organs such as heart and kidney as well as fish muscle for a prolong period to reveal their impacts.</w:t>
      </w:r>
    </w:p>
    <w:p w14:paraId="0E3AA99C" w14:textId="77777777" w:rsidR="00C244EE" w:rsidRDefault="00C244EE">
      <w:pPr>
        <w:jc w:val="both"/>
        <w:rPr>
          <w:rFonts w:ascii="Times New Roman" w:hAnsi="Times New Roman" w:cs="Times New Roman"/>
          <w:b/>
          <w:color w:val="231F20"/>
          <w:sz w:val="24"/>
          <w:szCs w:val="24"/>
        </w:rPr>
      </w:pPr>
    </w:p>
    <w:p w14:paraId="7B898F53" w14:textId="77777777" w:rsidR="00C244EE" w:rsidRDefault="00000000">
      <w:pPr>
        <w:jc w:val="both"/>
        <w:rPr>
          <w:rFonts w:ascii="Times New Roman" w:hAnsi="Times New Roman" w:cs="Times New Roman"/>
          <w:b/>
          <w:color w:val="231F20"/>
          <w:sz w:val="24"/>
          <w:szCs w:val="24"/>
        </w:rPr>
      </w:pPr>
      <w:bookmarkStart w:id="6" w:name="_Hlk190447721"/>
      <w:commentRangeStart w:id="7"/>
      <w:r>
        <w:rPr>
          <w:rFonts w:ascii="Times New Roman" w:hAnsi="Times New Roman" w:cs="Times New Roman"/>
          <w:b/>
          <w:color w:val="231F20"/>
          <w:sz w:val="24"/>
          <w:szCs w:val="24"/>
        </w:rPr>
        <w:t>REFERENCES</w:t>
      </w:r>
      <w:commentRangeEnd w:id="7"/>
      <w:r w:rsidR="002C05DC">
        <w:rPr>
          <w:rStyle w:val="CommentReference"/>
        </w:rPr>
        <w:commentReference w:id="7"/>
      </w:r>
    </w:p>
    <w:bookmarkEnd w:id="6"/>
    <w:p w14:paraId="674C5232"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(2007). Food and Agriculture Organization of the United </w:t>
      </w:r>
      <w:r>
        <w:rPr>
          <w:rFonts w:ascii="Times New Roman" w:hAnsi="Times New Roman" w:cs="Times New Roman"/>
          <w:sz w:val="24"/>
          <w:szCs w:val="24"/>
        </w:rPr>
        <w:tab/>
        <w:t xml:space="preserve">Nations. The State of World Fisheries and Aquaculture 2006. FAO Fisheries Department, </w:t>
      </w:r>
      <w:r>
        <w:rPr>
          <w:rFonts w:ascii="Times New Roman" w:hAnsi="Times New Roman" w:cs="Times New Roman"/>
          <w:sz w:val="24"/>
          <w:szCs w:val="24"/>
        </w:rPr>
        <w:tab/>
        <w:t>Rome Italy, 30pp.</w:t>
      </w:r>
    </w:p>
    <w:p w14:paraId="75FA297E"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Oken E, Guthrie LB, Bloomingdale A, Platek D N, Price S, Haines J, et al (2013). A pilot </w:t>
      </w:r>
      <w:r>
        <w:rPr>
          <w:rFonts w:ascii="Times New Roman" w:hAnsi="Times New Roman" w:cs="Times New Roman"/>
          <w:sz w:val="24"/>
          <w:szCs w:val="24"/>
        </w:rPr>
        <w:tab/>
        <w:t xml:space="preserve">randomized controlled trial to promote healthful fish consumption during </w:t>
      </w:r>
      <w:r>
        <w:rPr>
          <w:rFonts w:ascii="Times New Roman" w:hAnsi="Times New Roman" w:cs="Times New Roman"/>
          <w:sz w:val="24"/>
          <w:szCs w:val="24"/>
        </w:rPr>
        <w:tab/>
        <w:t>pregnancy: the</w:t>
      </w:r>
      <w:r>
        <w:rPr>
          <w:rFonts w:ascii="Times New Roman" w:hAnsi="Times New Roman" w:cs="Times New Roman"/>
          <w:sz w:val="24"/>
          <w:szCs w:val="24"/>
        </w:rPr>
        <w:tab/>
      </w:r>
      <w:r>
        <w:rPr>
          <w:rFonts w:ascii="Times New Roman" w:hAnsi="Times New Roman" w:cs="Times New Roman"/>
          <w:sz w:val="24"/>
          <w:szCs w:val="24"/>
        </w:rPr>
        <w:tab/>
        <w:t xml:space="preserve">food for thought study. </w:t>
      </w:r>
      <w:proofErr w:type="spellStart"/>
      <w:r>
        <w:rPr>
          <w:rFonts w:ascii="Times New Roman" w:hAnsi="Times New Roman" w:cs="Times New Roman"/>
          <w:sz w:val="24"/>
          <w:szCs w:val="24"/>
        </w:rPr>
        <w:t>Nutr</w:t>
      </w:r>
      <w:proofErr w:type="spellEnd"/>
      <w:r>
        <w:rPr>
          <w:rFonts w:ascii="Times New Roman" w:hAnsi="Times New Roman" w:cs="Times New Roman"/>
          <w:sz w:val="24"/>
          <w:szCs w:val="24"/>
        </w:rPr>
        <w:t xml:space="preserve"> J. 2013; 12:33. doi:10.1186/1475-2891-12-33.</w:t>
      </w:r>
    </w:p>
    <w:p w14:paraId="1916C51B"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Olaosebikan</w:t>
      </w:r>
      <w:proofErr w:type="spellEnd"/>
      <w:r>
        <w:rPr>
          <w:rFonts w:ascii="Times New Roman" w:hAnsi="Times New Roman" w:cs="Times New Roman"/>
          <w:sz w:val="24"/>
          <w:szCs w:val="24"/>
        </w:rPr>
        <w:t xml:space="preserve"> B.D and Raji. A (2013). Field guide to Nigerian Freshwater fishes. Revised </w:t>
      </w:r>
      <w:r>
        <w:rPr>
          <w:rFonts w:ascii="Times New Roman" w:hAnsi="Times New Roman" w:cs="Times New Roman"/>
          <w:sz w:val="24"/>
          <w:szCs w:val="24"/>
        </w:rPr>
        <w:tab/>
        <w:t>edition. Federal College of Freshwater Fisheries Technology, New-Buss, Nigeria. 143pp</w:t>
      </w:r>
    </w:p>
    <w:p w14:paraId="199459E1"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bookmarkStart w:id="8" w:name="_Hlk129427838"/>
      <w:r>
        <w:rPr>
          <w:rFonts w:ascii="Times New Roman" w:hAnsi="Times New Roman" w:cs="Times New Roman"/>
          <w:sz w:val="24"/>
          <w:szCs w:val="24"/>
        </w:rPr>
        <w:t>Owolabi O.D and Babarinsa M.K (2020). Assessment of growth performance, nutrient utilization,</w:t>
      </w:r>
      <w:r>
        <w:rPr>
          <w:rFonts w:ascii="Times New Roman" w:hAnsi="Times New Roman" w:cs="Times New Roman"/>
          <w:sz w:val="24"/>
          <w:szCs w:val="24"/>
        </w:rPr>
        <w:tab/>
        <w:t xml:space="preserve">and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profile of </w:t>
      </w:r>
      <w:r>
        <w:rPr>
          <w:rFonts w:ascii="Times New Roman" w:hAnsi="Times New Roman" w:cs="Times New Roman"/>
          <w:i/>
          <w:sz w:val="24"/>
          <w:szCs w:val="24"/>
        </w:rPr>
        <w:t xml:space="preserve">Clarias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fed with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 </w:t>
      </w:r>
      <w:r>
        <w:rPr>
          <w:rFonts w:ascii="Times New Roman" w:hAnsi="Times New Roman" w:cs="Times New Roman"/>
          <w:sz w:val="24"/>
          <w:szCs w:val="24"/>
        </w:rPr>
        <w:tab/>
        <w:t xml:space="preserve">IOP </w:t>
      </w:r>
      <w:r>
        <w:rPr>
          <w:rFonts w:ascii="Times New Roman" w:hAnsi="Times New Roman" w:cs="Times New Roman"/>
          <w:sz w:val="24"/>
          <w:szCs w:val="24"/>
        </w:rPr>
        <w:tab/>
        <w:t xml:space="preserve">Conf. Ser.: Mater. Sci. Eng. </w:t>
      </w:r>
      <w:r>
        <w:rPr>
          <w:rFonts w:ascii="Times New Roman" w:hAnsi="Times New Roman" w:cs="Times New Roman"/>
          <w:b/>
          <w:bCs/>
          <w:sz w:val="24"/>
          <w:szCs w:val="24"/>
        </w:rPr>
        <w:t>805</w:t>
      </w:r>
      <w:r>
        <w:rPr>
          <w:rFonts w:ascii="Times New Roman" w:hAnsi="Times New Roman" w:cs="Times New Roman"/>
          <w:sz w:val="24"/>
          <w:szCs w:val="24"/>
        </w:rPr>
        <w:t xml:space="preserve"> 012014. doi:10.1088/1757-899X/805/1/012014</w:t>
      </w:r>
    </w:p>
    <w:bookmarkEnd w:id="8"/>
    <w:p w14:paraId="6B48C1A3"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Reeves M.A and Hoffmann P.R (2009). The human </w:t>
      </w:r>
      <w:proofErr w:type="spellStart"/>
      <w:r>
        <w:rPr>
          <w:rFonts w:ascii="Times New Roman" w:hAnsi="Times New Roman" w:cs="Times New Roman"/>
          <w:sz w:val="24"/>
          <w:szCs w:val="24"/>
        </w:rPr>
        <w:t>selenoproteome</w:t>
      </w:r>
      <w:proofErr w:type="spellEnd"/>
      <w:r>
        <w:rPr>
          <w:rFonts w:ascii="Times New Roman" w:hAnsi="Times New Roman" w:cs="Times New Roman"/>
          <w:sz w:val="24"/>
          <w:szCs w:val="24"/>
        </w:rPr>
        <w:t>: recent insights into functions</w:t>
      </w:r>
      <w:r>
        <w:rPr>
          <w:rFonts w:ascii="Times New Roman" w:hAnsi="Times New Roman" w:cs="Times New Roman"/>
          <w:sz w:val="24"/>
          <w:szCs w:val="24"/>
        </w:rPr>
        <w:tab/>
        <w:t xml:space="preserve"> and regulation. Cellular and molecular life sciences. Vol 66, issue 15, pp 2457-2478</w:t>
      </w:r>
    </w:p>
    <w:p w14:paraId="61396D32"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Coppo J.A, </w:t>
      </w:r>
      <w:proofErr w:type="spellStart"/>
      <w:r>
        <w:rPr>
          <w:rFonts w:ascii="Times New Roman" w:hAnsi="Times New Roman" w:cs="Times New Roman"/>
          <w:sz w:val="24"/>
          <w:szCs w:val="24"/>
        </w:rPr>
        <w:t>Mussart</w:t>
      </w:r>
      <w:proofErr w:type="spellEnd"/>
      <w:r>
        <w:rPr>
          <w:rFonts w:ascii="Times New Roman" w:hAnsi="Times New Roman" w:cs="Times New Roman"/>
          <w:sz w:val="24"/>
          <w:szCs w:val="24"/>
        </w:rPr>
        <w:t xml:space="preserve"> N.B and Fioranelli S.A (2002). Physiological variations of enzymatic </w:t>
      </w:r>
      <w:r>
        <w:rPr>
          <w:rFonts w:ascii="Times New Roman" w:hAnsi="Times New Roman" w:cs="Times New Roman"/>
          <w:sz w:val="24"/>
          <w:szCs w:val="24"/>
        </w:rPr>
        <w:tab/>
        <w:t xml:space="preserve">activities in blood of Bullfrog, </w:t>
      </w:r>
      <w:r>
        <w:rPr>
          <w:rFonts w:ascii="Times New Roman" w:hAnsi="Times New Roman" w:cs="Times New Roman"/>
          <w:i/>
          <w:sz w:val="24"/>
          <w:szCs w:val="24"/>
        </w:rPr>
        <w:t xml:space="preserve">Rana </w:t>
      </w:r>
      <w:proofErr w:type="spellStart"/>
      <w:r>
        <w:rPr>
          <w:rFonts w:ascii="Times New Roman" w:hAnsi="Times New Roman" w:cs="Times New Roman"/>
          <w:i/>
          <w:sz w:val="24"/>
          <w:szCs w:val="24"/>
        </w:rPr>
        <w:t>catesbeina</w:t>
      </w:r>
      <w:proofErr w:type="spellEnd"/>
      <w:r>
        <w:rPr>
          <w:rFonts w:ascii="Times New Roman" w:hAnsi="Times New Roman" w:cs="Times New Roman"/>
          <w:sz w:val="24"/>
          <w:szCs w:val="24"/>
        </w:rPr>
        <w:t xml:space="preserve"> (Shaw, 1802). </w:t>
      </w:r>
      <w:proofErr w:type="spellStart"/>
      <w:r>
        <w:rPr>
          <w:rFonts w:ascii="Times New Roman" w:hAnsi="Times New Roman" w:cs="Times New Roman"/>
          <w:sz w:val="24"/>
          <w:szCs w:val="24"/>
        </w:rPr>
        <w:t>Rev.vet</w:t>
      </w:r>
      <w:proofErr w:type="spellEnd"/>
      <w:r>
        <w:rPr>
          <w:rFonts w:ascii="Times New Roman" w:hAnsi="Times New Roman" w:cs="Times New Roman"/>
          <w:sz w:val="24"/>
          <w:szCs w:val="24"/>
        </w:rPr>
        <w:t>. 12(13): 22-27.</w:t>
      </w:r>
    </w:p>
    <w:p w14:paraId="731EEF0D"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Patti M and Kulkarni R.S (1993). Ovarian and hepatic biochemical response to </w:t>
      </w:r>
      <w:proofErr w:type="spellStart"/>
      <w:r>
        <w:rPr>
          <w:rFonts w:ascii="Times New Roman" w:hAnsi="Times New Roman" w:cs="Times New Roman"/>
          <w:sz w:val="24"/>
          <w:szCs w:val="24"/>
        </w:rPr>
        <w:t>sumaach</w:t>
      </w:r>
      <w:proofErr w:type="spellEnd"/>
      <w:r>
        <w:rPr>
          <w:rFonts w:ascii="Times New Roman" w:hAnsi="Times New Roman" w:cs="Times New Roman"/>
          <w:sz w:val="24"/>
          <w:szCs w:val="24"/>
        </w:rPr>
        <w:t xml:space="preserve"> (a crude form </w:t>
      </w:r>
      <w:r>
        <w:rPr>
          <w:rFonts w:ascii="Times New Roman" w:hAnsi="Times New Roman" w:cs="Times New Roman"/>
          <w:sz w:val="24"/>
          <w:szCs w:val="24"/>
        </w:rPr>
        <w:tab/>
        <w:t xml:space="preserve">of HCG) in fish, </w:t>
      </w:r>
      <w:proofErr w:type="spellStart"/>
      <w:r>
        <w:rPr>
          <w:rFonts w:ascii="Times New Roman" w:hAnsi="Times New Roman" w:cs="Times New Roman"/>
          <w:i/>
          <w:sz w:val="24"/>
          <w:szCs w:val="24"/>
        </w:rPr>
        <w:t>Notopterus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notopterus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pallas</w:t>
      </w:r>
      <w:proofErr w:type="spellEnd"/>
      <w:r>
        <w:rPr>
          <w:rFonts w:ascii="Times New Roman" w:hAnsi="Times New Roman" w:cs="Times New Roman"/>
          <w:sz w:val="24"/>
          <w:szCs w:val="24"/>
        </w:rPr>
        <w:t>, under pesticide treatment. Geobios.</w:t>
      </w:r>
      <w:r>
        <w:rPr>
          <w:rFonts w:ascii="Times New Roman" w:hAnsi="Times New Roman" w:cs="Times New Roman"/>
          <w:sz w:val="24"/>
          <w:szCs w:val="24"/>
        </w:rPr>
        <w:tab/>
        <w:t xml:space="preserve"> 20:255-259.</w:t>
      </w:r>
    </w:p>
    <w:p w14:paraId="04C5C867"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Oken E, Guthrie LB, Bloomingdale A, Platek D N, Price S, Haines J, et al (2013). A pilot </w:t>
      </w:r>
      <w:r>
        <w:rPr>
          <w:rFonts w:ascii="Times New Roman" w:hAnsi="Times New Roman" w:cs="Times New Roman"/>
          <w:sz w:val="24"/>
          <w:szCs w:val="24"/>
        </w:rPr>
        <w:tab/>
        <w:t xml:space="preserve">randomized controlled trial to promote healthful fish consumption during </w:t>
      </w:r>
      <w:r>
        <w:rPr>
          <w:rFonts w:ascii="Times New Roman" w:hAnsi="Times New Roman" w:cs="Times New Roman"/>
          <w:sz w:val="24"/>
          <w:szCs w:val="24"/>
        </w:rPr>
        <w:tab/>
        <w:t xml:space="preserve">pregnancy: the food for thought study. </w:t>
      </w:r>
      <w:proofErr w:type="spellStart"/>
      <w:r>
        <w:rPr>
          <w:rFonts w:ascii="Times New Roman" w:hAnsi="Times New Roman" w:cs="Times New Roman"/>
          <w:sz w:val="24"/>
          <w:szCs w:val="24"/>
        </w:rPr>
        <w:t>Nutr</w:t>
      </w:r>
      <w:proofErr w:type="spellEnd"/>
      <w:r>
        <w:rPr>
          <w:rFonts w:ascii="Times New Roman" w:hAnsi="Times New Roman" w:cs="Times New Roman"/>
          <w:sz w:val="24"/>
          <w:szCs w:val="24"/>
        </w:rPr>
        <w:t xml:space="preserve"> J. 2013; 12:33. doi:10.1186/1475-2891-12-33.</w:t>
      </w:r>
    </w:p>
    <w:p w14:paraId="32A5C281"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Shalaby A.M.E (2009). The opposing effects of ascorbic acid (vitamin C) on ochratoxin toxicity</w:t>
      </w:r>
      <w:r>
        <w:rPr>
          <w:rFonts w:ascii="Times New Roman" w:hAnsi="Times New Roman" w:cs="Times New Roman"/>
          <w:sz w:val="24"/>
          <w:szCs w:val="24"/>
        </w:rPr>
        <w:tab/>
        <w:t>in Nile tilapia (</w:t>
      </w:r>
      <w:r>
        <w:rPr>
          <w:rFonts w:ascii="Times New Roman" w:hAnsi="Times New Roman" w:cs="Times New Roman"/>
          <w:i/>
          <w:sz w:val="24"/>
          <w:szCs w:val="24"/>
        </w:rPr>
        <w:t>Oreochromis niloticus</w:t>
      </w:r>
      <w:proofErr w:type="gramStart"/>
      <w:r>
        <w:rPr>
          <w:rFonts w:ascii="Times New Roman" w:hAnsi="Times New Roman" w:cs="Times New Roman"/>
          <w:sz w:val="24"/>
          <w:szCs w:val="24"/>
        </w:rPr>
        <w:t>).Available</w:t>
      </w:r>
      <w:proofErr w:type="gramEnd"/>
      <w:r>
        <w:rPr>
          <w:rFonts w:ascii="Times New Roman" w:hAnsi="Times New Roman" w:cs="Times New Roman"/>
          <w:sz w:val="24"/>
          <w:szCs w:val="24"/>
        </w:rPr>
        <w:t>: http://www.ag.arizona.edu/ista/ista6web/pdf/209.pdf. Retrieved: 05-04-09.</w:t>
      </w:r>
    </w:p>
    <w:p w14:paraId="1C23935A"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Wells R.M, McIntyre R.H, Morgan A.K and Davie P.S (1986). Physiological stress response in</w:t>
      </w:r>
      <w:r>
        <w:rPr>
          <w:rFonts w:ascii="Times New Roman" w:hAnsi="Times New Roman" w:cs="Times New Roman"/>
          <w:sz w:val="24"/>
          <w:szCs w:val="24"/>
        </w:rPr>
        <w:tab/>
      </w:r>
      <w:r>
        <w:rPr>
          <w:rFonts w:ascii="Times New Roman" w:hAnsi="Times New Roman" w:cs="Times New Roman"/>
          <w:sz w:val="24"/>
          <w:szCs w:val="24"/>
        </w:rPr>
        <w:tab/>
        <w:t xml:space="preserve"> big game fish after exposure: Observation on plasma chemistry and blood </w:t>
      </w:r>
      <w:proofErr w:type="spellStart"/>
      <w:r>
        <w:rPr>
          <w:rFonts w:ascii="Times New Roman" w:hAnsi="Times New Roman" w:cs="Times New Roman"/>
          <w:sz w:val="24"/>
          <w:szCs w:val="24"/>
        </w:rPr>
        <w:t>factors.</w:t>
      </w:r>
      <w:r>
        <w:rPr>
          <w:rFonts w:ascii="Times New Roman" w:hAnsi="Times New Roman" w:cs="Times New Roman"/>
          <w:i/>
          <w:sz w:val="24"/>
          <w:szCs w:val="24"/>
        </w:rPr>
        <w:t>Comp</w:t>
      </w:r>
      <w:proofErr w:type="spellEnd"/>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proofErr w:type="spellStart"/>
      <w:r>
        <w:rPr>
          <w:rFonts w:ascii="Times New Roman" w:hAnsi="Times New Roman" w:cs="Times New Roman"/>
          <w:i/>
          <w:sz w:val="24"/>
          <w:szCs w:val="24"/>
        </w:rPr>
        <w:t>Biochem</w:t>
      </w:r>
      <w:proofErr w:type="spellEnd"/>
      <w:r>
        <w:rPr>
          <w:rFonts w:ascii="Times New Roman" w:hAnsi="Times New Roman" w:cs="Times New Roman"/>
          <w:i/>
          <w:sz w:val="24"/>
          <w:szCs w:val="24"/>
        </w:rPr>
        <w:t xml:space="preserve"> physio</w:t>
      </w:r>
      <w:r>
        <w:rPr>
          <w:rFonts w:ascii="Times New Roman" w:hAnsi="Times New Roman" w:cs="Times New Roman"/>
          <w:sz w:val="24"/>
          <w:szCs w:val="24"/>
        </w:rPr>
        <w:t>l. 84:565-571.</w:t>
      </w:r>
    </w:p>
    <w:p w14:paraId="1BD897EC"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Martinez C.B.R, NAGAE M.Y, Zaia C.T.B.V and Zaia D.A.M (2004). Morphological and </w:t>
      </w:r>
      <w:r>
        <w:rPr>
          <w:rFonts w:ascii="Times New Roman" w:hAnsi="Times New Roman" w:cs="Times New Roman"/>
          <w:sz w:val="24"/>
          <w:szCs w:val="24"/>
        </w:rPr>
        <w:tab/>
        <w:t xml:space="preserve">physiological acute effects of lead in the neotropical fish, </w:t>
      </w:r>
      <w:proofErr w:type="spellStart"/>
      <w:r>
        <w:rPr>
          <w:rFonts w:ascii="Times New Roman" w:hAnsi="Times New Roman" w:cs="Times New Roman"/>
          <w:i/>
          <w:sz w:val="24"/>
          <w:szCs w:val="24"/>
        </w:rPr>
        <w:t>Prochilodus</w:t>
      </w:r>
      <w:proofErr w:type="spellEnd"/>
      <w:r>
        <w:rPr>
          <w:rFonts w:ascii="Times New Roman" w:hAnsi="Times New Roman" w:cs="Times New Roman"/>
          <w:i/>
          <w:sz w:val="24"/>
          <w:szCs w:val="24"/>
        </w:rPr>
        <w:t xml:space="preserve"> lineatus</w:t>
      </w:r>
      <w:r>
        <w:rPr>
          <w:rFonts w:ascii="Times New Roman" w:hAnsi="Times New Roman" w:cs="Times New Roman"/>
          <w:sz w:val="24"/>
          <w:szCs w:val="24"/>
        </w:rPr>
        <w:t xml:space="preserve">. </w:t>
      </w:r>
      <w:r>
        <w:rPr>
          <w:rFonts w:ascii="Times New Roman" w:hAnsi="Times New Roman" w:cs="Times New Roman"/>
          <w:i/>
          <w:sz w:val="24"/>
          <w:szCs w:val="24"/>
        </w:rPr>
        <w:t>Braz. J.</w:t>
      </w:r>
      <w:r>
        <w:rPr>
          <w:rFonts w:ascii="Times New Roman" w:hAnsi="Times New Roman" w:cs="Times New Roman"/>
          <w:i/>
          <w:sz w:val="24"/>
          <w:szCs w:val="24"/>
        </w:rPr>
        <w:tab/>
      </w:r>
      <w:r>
        <w:rPr>
          <w:rFonts w:ascii="Times New Roman" w:hAnsi="Times New Roman" w:cs="Times New Roman"/>
          <w:i/>
          <w:sz w:val="24"/>
          <w:szCs w:val="24"/>
        </w:rPr>
        <w:tab/>
        <w:t xml:space="preserve"> Boil</w:t>
      </w:r>
      <w:r>
        <w:rPr>
          <w:rFonts w:ascii="Times New Roman" w:hAnsi="Times New Roman" w:cs="Times New Roman"/>
          <w:sz w:val="24"/>
          <w:szCs w:val="24"/>
        </w:rPr>
        <w:t xml:space="preserve">. </w:t>
      </w:r>
      <w:r>
        <w:rPr>
          <w:rFonts w:ascii="Times New Roman" w:hAnsi="Times New Roman" w:cs="Times New Roman"/>
          <w:sz w:val="24"/>
          <w:szCs w:val="24"/>
        </w:rPr>
        <w:tab/>
        <w:t>64:797-807.</w:t>
      </w:r>
    </w:p>
    <w:p w14:paraId="5F49035D"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Van der Oost. R, </w:t>
      </w:r>
      <w:proofErr w:type="spellStart"/>
      <w:r>
        <w:rPr>
          <w:rFonts w:ascii="Times New Roman" w:hAnsi="Times New Roman" w:cs="Times New Roman"/>
          <w:sz w:val="24"/>
          <w:szCs w:val="24"/>
        </w:rPr>
        <w:t>Satumalay</w:t>
      </w:r>
      <w:proofErr w:type="spellEnd"/>
      <w:r>
        <w:rPr>
          <w:rFonts w:ascii="Times New Roman" w:hAnsi="Times New Roman" w:cs="Times New Roman"/>
          <w:sz w:val="24"/>
          <w:szCs w:val="24"/>
        </w:rPr>
        <w:t xml:space="preserve"> A.I and Vermeulen N.P.F (2000). Validation of inland water pollution assessment using biomarker response in caged carp (</w:t>
      </w:r>
      <w:r>
        <w:rPr>
          <w:rFonts w:ascii="Times New Roman" w:hAnsi="Times New Roman" w:cs="Times New Roman"/>
          <w:i/>
          <w:sz w:val="24"/>
          <w:szCs w:val="24"/>
        </w:rPr>
        <w:t>Cyprinus carpio</w:t>
      </w:r>
      <w:r>
        <w:rPr>
          <w:rFonts w:ascii="Times New Roman" w:hAnsi="Times New Roman" w:cs="Times New Roman"/>
          <w:sz w:val="24"/>
          <w:szCs w:val="24"/>
        </w:rPr>
        <w:t>). Mar. Environ Res., 50: 431-432.</w:t>
      </w:r>
    </w:p>
    <w:p w14:paraId="0F12DD55"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Gabriel U.U and George A.O.I (2005). Plasma enzymes in </w:t>
      </w:r>
      <w:r>
        <w:rPr>
          <w:rFonts w:ascii="Times New Roman" w:hAnsi="Times New Roman" w:cs="Times New Roman"/>
          <w:i/>
          <w:iCs/>
          <w:sz w:val="24"/>
          <w:szCs w:val="24"/>
        </w:rPr>
        <w:t xml:space="preserve">Clarias </w:t>
      </w:r>
      <w:proofErr w:type="spellStart"/>
      <w:r>
        <w:rPr>
          <w:rFonts w:ascii="Times New Roman" w:hAnsi="Times New Roman" w:cs="Times New Roman"/>
          <w:i/>
          <w:iCs/>
          <w:sz w:val="24"/>
          <w:szCs w:val="24"/>
        </w:rPr>
        <w:t>gariepinus</w:t>
      </w:r>
      <w:proofErr w:type="spellEnd"/>
      <w:r>
        <w:rPr>
          <w:rFonts w:ascii="Times New Roman" w:hAnsi="Times New Roman" w:cs="Times New Roman"/>
          <w:sz w:val="24"/>
          <w:szCs w:val="24"/>
        </w:rPr>
        <w:t xml:space="preserve"> exposed to </w:t>
      </w:r>
      <w:r>
        <w:rPr>
          <w:rFonts w:ascii="Times New Roman" w:hAnsi="Times New Roman" w:cs="Times New Roman"/>
          <w:sz w:val="24"/>
          <w:szCs w:val="24"/>
        </w:rPr>
        <w:tab/>
        <w:t xml:space="preserve">chronic levels of Roundup (glyphosate). </w:t>
      </w:r>
      <w:r>
        <w:rPr>
          <w:rFonts w:ascii="Times New Roman" w:hAnsi="Times New Roman" w:cs="Times New Roman"/>
          <w:i/>
          <w:sz w:val="24"/>
          <w:szCs w:val="24"/>
        </w:rPr>
        <w:t>Environ. Ecol</w:t>
      </w:r>
      <w:r>
        <w:rPr>
          <w:rFonts w:ascii="Times New Roman" w:hAnsi="Times New Roman" w:cs="Times New Roman"/>
          <w:sz w:val="24"/>
          <w:szCs w:val="24"/>
        </w:rPr>
        <w:t>., 23(2):271-276.</w:t>
      </w:r>
    </w:p>
    <w:p w14:paraId="61C1B17C" w14:textId="77777777" w:rsidR="00C244EE" w:rsidRDefault="00000000">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Zhou X, Wang Y, Gu Q, Li W (2009). Effects of different dietary selenium sources (selenium </w:t>
      </w:r>
      <w:r>
        <w:rPr>
          <w:rFonts w:ascii="Times New Roman" w:hAnsi="Times New Roman" w:cs="Times New Roman"/>
          <w:sz w:val="24"/>
          <w:szCs w:val="24"/>
        </w:rPr>
        <w:tab/>
        <w:t xml:space="preserve">nanoparticle and </w:t>
      </w:r>
      <w:proofErr w:type="spellStart"/>
      <w:r>
        <w:rPr>
          <w:rFonts w:ascii="Times New Roman" w:hAnsi="Times New Roman" w:cs="Times New Roman"/>
          <w:sz w:val="24"/>
          <w:szCs w:val="24"/>
        </w:rPr>
        <w:t>selenomethionine</w:t>
      </w:r>
      <w:proofErr w:type="spellEnd"/>
      <w:r>
        <w:rPr>
          <w:rFonts w:ascii="Times New Roman" w:hAnsi="Times New Roman" w:cs="Times New Roman"/>
          <w:sz w:val="24"/>
          <w:szCs w:val="24"/>
        </w:rPr>
        <w:t xml:space="preserve">) on growth performance, muscle composition and </w:t>
      </w:r>
      <w:r>
        <w:rPr>
          <w:rFonts w:ascii="Times New Roman" w:hAnsi="Times New Roman" w:cs="Times New Roman"/>
          <w:sz w:val="24"/>
          <w:szCs w:val="24"/>
        </w:rPr>
        <w:tab/>
        <w:t>glutathione peroxidase enzyme activity of Crucian carp (</w:t>
      </w:r>
      <w:r>
        <w:rPr>
          <w:rFonts w:ascii="Times New Roman" w:hAnsi="Times New Roman" w:cs="Times New Roman"/>
          <w:i/>
          <w:iCs/>
          <w:sz w:val="24"/>
          <w:szCs w:val="24"/>
        </w:rPr>
        <w:t xml:space="preserve">Carassius auratus </w:t>
      </w:r>
      <w:proofErr w:type="spellStart"/>
      <w:r>
        <w:rPr>
          <w:rFonts w:ascii="Times New Roman" w:hAnsi="Times New Roman" w:cs="Times New Roman"/>
          <w:i/>
          <w:iCs/>
          <w:sz w:val="24"/>
          <w:szCs w:val="24"/>
        </w:rPr>
        <w:t>gibelio</w:t>
      </w:r>
      <w:proofErr w:type="spellEnd"/>
      <w:r>
        <w:rPr>
          <w:rFonts w:ascii="Times New Roman" w:hAnsi="Times New Roman" w:cs="Times New Roman"/>
          <w:sz w:val="24"/>
          <w:szCs w:val="24"/>
        </w:rPr>
        <w:t xml:space="preserve">). </w:t>
      </w:r>
      <w:r>
        <w:rPr>
          <w:rFonts w:ascii="Times New Roman" w:hAnsi="Times New Roman" w:cs="Times New Roman"/>
          <w:sz w:val="24"/>
          <w:szCs w:val="24"/>
        </w:rPr>
        <w:tab/>
        <w:t>Aquaculture 291: 78-81.</w:t>
      </w:r>
    </w:p>
    <w:p w14:paraId="5EC2D74F"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Csilla P. and Miklos M. (2013). Myths and facts about the effects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in farm animals- mini review. Eur. Chem. Bull., 2013, 2(12), 1049-1052.</w:t>
      </w:r>
    </w:p>
    <w:p w14:paraId="73CAD5CD"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Khan, K.U., Zuberi, A., Nazir, S., Fernandes, J.B.K., Jamil, Z., Sarwar, H. (2016). Effects of </w:t>
      </w:r>
      <w:r>
        <w:rPr>
          <w:rFonts w:ascii="Times New Roman" w:hAnsi="Times New Roman" w:cs="Times New Roman"/>
          <w:sz w:val="24"/>
          <w:szCs w:val="24"/>
        </w:rPr>
        <w:tab/>
        <w:t>dietary</w:t>
      </w:r>
      <w:r>
        <w:rPr>
          <w:rFonts w:ascii="Times New Roman" w:hAnsi="Times New Roman" w:cs="Times New Roman"/>
          <w:sz w:val="24"/>
          <w:szCs w:val="24"/>
        </w:rPr>
        <w:tab/>
        <w:t xml:space="preserve">selenium nanoparticles on physiological and biochemical aspects of juvenile </w:t>
      </w:r>
      <w:r>
        <w:rPr>
          <w:rFonts w:ascii="Times New Roman" w:hAnsi="Times New Roman" w:cs="Times New Roman"/>
          <w:i/>
          <w:sz w:val="24"/>
          <w:szCs w:val="24"/>
        </w:rPr>
        <w:t xml:space="preserve">Tor </w:t>
      </w:r>
      <w:r>
        <w:rPr>
          <w:rFonts w:ascii="Times New Roman" w:hAnsi="Times New Roman" w:cs="Times New Roman"/>
          <w:i/>
          <w:sz w:val="24"/>
          <w:szCs w:val="24"/>
        </w:rPr>
        <w:tab/>
      </w:r>
      <w:proofErr w:type="spellStart"/>
      <w:r>
        <w:rPr>
          <w:rFonts w:ascii="Times New Roman" w:hAnsi="Times New Roman" w:cs="Times New Roman"/>
          <w:i/>
          <w:sz w:val="24"/>
          <w:szCs w:val="24"/>
        </w:rPr>
        <w:t>putitora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Turk.J</w:t>
      </w:r>
      <w:proofErr w:type="spellEnd"/>
      <w:r>
        <w:rPr>
          <w:rFonts w:ascii="Times New Roman" w:hAnsi="Times New Roman" w:cs="Times New Roman"/>
          <w:sz w:val="24"/>
          <w:szCs w:val="24"/>
        </w:rPr>
        <w:t>. Zool. 40, 704–712.</w:t>
      </w:r>
    </w:p>
    <w:p w14:paraId="47790D16"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31F20"/>
          <w:sz w:val="24"/>
          <w:szCs w:val="24"/>
        </w:rPr>
        <w:t xml:space="preserve">Khan K.U, Zuberi A, Nazir S, </w:t>
      </w:r>
      <w:proofErr w:type="spellStart"/>
      <w:r>
        <w:rPr>
          <w:rFonts w:ascii="Times New Roman" w:hAnsi="Times New Roman" w:cs="Times New Roman"/>
          <w:color w:val="231F20"/>
          <w:sz w:val="24"/>
          <w:szCs w:val="24"/>
        </w:rPr>
        <w:t>Ullaha</w:t>
      </w:r>
      <w:proofErr w:type="spellEnd"/>
      <w:r>
        <w:rPr>
          <w:rFonts w:ascii="Times New Roman" w:hAnsi="Times New Roman" w:cs="Times New Roman"/>
          <w:color w:val="231F20"/>
          <w:sz w:val="24"/>
          <w:szCs w:val="24"/>
        </w:rPr>
        <w:t xml:space="preserve"> I, Jamil Z and Sarwar H </w:t>
      </w:r>
      <w:r>
        <w:rPr>
          <w:rFonts w:hAnsi="Times New Roman" w:cs="Times New Roman"/>
          <w:color w:val="231F20"/>
          <w:sz w:val="24"/>
          <w:szCs w:val="24"/>
        </w:rPr>
        <w:t>(</w:t>
      </w:r>
      <w:r>
        <w:rPr>
          <w:rFonts w:ascii="Times New Roman" w:hAnsi="Times New Roman" w:cs="Times New Roman"/>
          <w:color w:val="231F20"/>
          <w:sz w:val="24"/>
          <w:szCs w:val="24"/>
        </w:rPr>
        <w:t>2017</w:t>
      </w:r>
      <w:r>
        <w:rPr>
          <w:rFonts w:hAnsi="Times New Roman" w:cs="Times New Roman"/>
          <w:color w:val="231F20"/>
          <w:sz w:val="24"/>
          <w:szCs w:val="24"/>
        </w:rPr>
        <w:t>) Synergistic</w:t>
      </w:r>
      <w:r>
        <w:rPr>
          <w:rFonts w:ascii="Times New Roman" w:hAnsi="Times New Roman" w:cs="Times New Roman"/>
          <w:color w:val="231F20"/>
          <w:sz w:val="24"/>
          <w:szCs w:val="24"/>
        </w:rPr>
        <w:t xml:space="preserve"> effects of dietary</w:t>
      </w:r>
      <w:r>
        <w:rPr>
          <w:rFonts w:ascii="Times New Roman" w:hAnsi="Times New Roman" w:cs="Times New Roman"/>
          <w:color w:val="231F20"/>
          <w:sz w:val="24"/>
          <w:szCs w:val="24"/>
        </w:rPr>
        <w:tab/>
      </w:r>
      <w:proofErr w:type="spellStart"/>
      <w:r>
        <w:rPr>
          <w:rFonts w:ascii="Times New Roman" w:hAnsi="Times New Roman" w:cs="Times New Roman"/>
          <w:color w:val="231F20"/>
          <w:sz w:val="24"/>
          <w:szCs w:val="24"/>
        </w:rPr>
        <w:t>nanoselenium</w:t>
      </w:r>
      <w:proofErr w:type="spellEnd"/>
      <w:r>
        <w:rPr>
          <w:rFonts w:ascii="Times New Roman" w:hAnsi="Times New Roman" w:cs="Times New Roman"/>
          <w:color w:val="231F20"/>
          <w:sz w:val="24"/>
          <w:szCs w:val="24"/>
        </w:rPr>
        <w:t xml:space="preserve"> and vitamin C on growth, feeding, and physiological parameters of </w:t>
      </w:r>
      <w:r>
        <w:rPr>
          <w:rFonts w:ascii="Times New Roman" w:hAnsi="Times New Roman" w:cs="Times New Roman"/>
          <w:color w:val="231F20"/>
          <w:sz w:val="24"/>
          <w:szCs w:val="24"/>
        </w:rPr>
        <w:tab/>
        <w:t xml:space="preserve">mahseer fish (Tor </w:t>
      </w:r>
      <w:proofErr w:type="spellStart"/>
      <w:r>
        <w:rPr>
          <w:rFonts w:ascii="Times New Roman" w:hAnsi="Times New Roman" w:cs="Times New Roman"/>
          <w:color w:val="231F20"/>
          <w:sz w:val="24"/>
          <w:szCs w:val="24"/>
        </w:rPr>
        <w:t>putitora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Aquacult</w:t>
      </w:r>
      <w:proofErr w:type="spellEnd"/>
      <w:r>
        <w:rPr>
          <w:rFonts w:ascii="Times New Roman" w:hAnsi="Times New Roman" w:cs="Times New Roman"/>
          <w:color w:val="231F20"/>
          <w:sz w:val="24"/>
          <w:szCs w:val="24"/>
        </w:rPr>
        <w:t>. Rep. 5:70-75.</w:t>
      </w:r>
    </w:p>
    <w:p w14:paraId="09F7E953" w14:textId="77777777" w:rsidR="00C244EE" w:rsidRDefault="00000000">
      <w:pPr>
        <w:pStyle w:val="ListParagraph"/>
        <w:numPr>
          <w:ilvl w:val="0"/>
          <w:numId w:val="1"/>
        </w:numPr>
        <w:jc w:val="both"/>
        <w:rPr>
          <w:rFonts w:ascii="Times New Roman" w:hAnsi="Times New Roman" w:cs="Times New Roman"/>
          <w:b/>
          <w:color w:val="231F20"/>
          <w:sz w:val="24"/>
          <w:szCs w:val="24"/>
        </w:rPr>
      </w:pPr>
      <w:r>
        <w:rPr>
          <w:rFonts w:ascii="Times New Roman" w:hAnsi="Times New Roman" w:cs="Times New Roman"/>
          <w:color w:val="231F20"/>
          <w:sz w:val="24"/>
          <w:szCs w:val="24"/>
        </w:rPr>
        <w:t>A.O.A.C (2000). Association of Official Analytical Chemists international (AOAC). Official methods of analysis, 17th edition AOAC International, Gaithersburg, MD, USA.</w:t>
      </w:r>
    </w:p>
    <w:p w14:paraId="06BED0F3"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31F20"/>
          <w:sz w:val="24"/>
          <w:szCs w:val="24"/>
        </w:rPr>
        <w:t xml:space="preserve">Wright P.J, </w:t>
      </w:r>
      <w:proofErr w:type="spellStart"/>
      <w:r>
        <w:rPr>
          <w:rFonts w:ascii="Times New Roman" w:hAnsi="Times New Roman" w:cs="Times New Roman"/>
          <w:color w:val="231F20"/>
          <w:sz w:val="24"/>
          <w:szCs w:val="24"/>
        </w:rPr>
        <w:t>Leathwood</w:t>
      </w:r>
      <w:proofErr w:type="spellEnd"/>
      <w:r>
        <w:rPr>
          <w:rFonts w:ascii="Times New Roman" w:hAnsi="Times New Roman" w:cs="Times New Roman"/>
          <w:color w:val="231F20"/>
          <w:sz w:val="24"/>
          <w:szCs w:val="24"/>
        </w:rPr>
        <w:t xml:space="preserve"> P.D and Plummer D.T (1972). Enzyme in rat urine: Alkaline phosphate, </w:t>
      </w:r>
      <w:r>
        <w:rPr>
          <w:rFonts w:ascii="Times New Roman" w:hAnsi="Times New Roman" w:cs="Times New Roman"/>
          <w:color w:val="231F20"/>
          <w:sz w:val="24"/>
          <w:szCs w:val="24"/>
        </w:rPr>
        <w:tab/>
      </w:r>
      <w:proofErr w:type="spellStart"/>
      <w:r>
        <w:rPr>
          <w:rFonts w:ascii="Times New Roman" w:hAnsi="Times New Roman" w:cs="Times New Roman"/>
          <w:color w:val="231F20"/>
          <w:sz w:val="24"/>
          <w:szCs w:val="24"/>
        </w:rPr>
        <w:t>Enzymologia</w:t>
      </w:r>
      <w:proofErr w:type="spellEnd"/>
      <w:r>
        <w:rPr>
          <w:rFonts w:ascii="Times New Roman" w:hAnsi="Times New Roman" w:cs="Times New Roman"/>
          <w:color w:val="231F20"/>
          <w:sz w:val="24"/>
          <w:szCs w:val="24"/>
        </w:rPr>
        <w:t>, 42:317-327.</w:t>
      </w:r>
    </w:p>
    <w:p w14:paraId="6162ABCE"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Reitman S. and Frankel S. (1957). A colorimetric method for the determination of glutamic-</w:t>
      </w:r>
      <w:r>
        <w:rPr>
          <w:rFonts w:ascii="Times New Roman" w:hAnsi="Times New Roman" w:cs="Times New Roman"/>
          <w:color w:val="231F20"/>
          <w:sz w:val="24"/>
          <w:szCs w:val="24"/>
        </w:rPr>
        <w:tab/>
      </w:r>
      <w:r>
        <w:rPr>
          <w:rFonts w:ascii="Times New Roman" w:hAnsi="Times New Roman" w:cs="Times New Roman"/>
          <w:color w:val="231F20"/>
          <w:sz w:val="24"/>
          <w:szCs w:val="24"/>
        </w:rPr>
        <w:tab/>
        <w:t xml:space="preserve"> oxaloacetic </w:t>
      </w:r>
      <w:r>
        <w:rPr>
          <w:rFonts w:ascii="Times New Roman" w:hAnsi="Times New Roman" w:cs="Times New Roman"/>
          <w:color w:val="231F20"/>
          <w:sz w:val="24"/>
          <w:szCs w:val="24"/>
        </w:rPr>
        <w:tab/>
        <w:t xml:space="preserve">and glutamic- pyruvic transaminases. </w:t>
      </w:r>
      <w:r>
        <w:rPr>
          <w:rFonts w:ascii="Times New Roman" w:hAnsi="Times New Roman" w:cs="Times New Roman"/>
          <w:i/>
          <w:color w:val="231F20"/>
          <w:sz w:val="24"/>
          <w:szCs w:val="24"/>
        </w:rPr>
        <w:t xml:space="preserve">Am. J. Clin. </w:t>
      </w:r>
      <w:proofErr w:type="spellStart"/>
      <w:r>
        <w:rPr>
          <w:rFonts w:ascii="Times New Roman" w:hAnsi="Times New Roman" w:cs="Times New Roman"/>
          <w:i/>
          <w:color w:val="231F20"/>
          <w:sz w:val="24"/>
          <w:szCs w:val="24"/>
        </w:rPr>
        <w:t>Pathol</w:t>
      </w:r>
      <w:proofErr w:type="spellEnd"/>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tab/>
        <w:t>33:1-13.</w:t>
      </w:r>
    </w:p>
    <w:p w14:paraId="2165DA26"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Wendel A (1981). Glutathione peroxidase. Methods Enzymol.77, 325-333.</w:t>
      </w:r>
    </w:p>
    <w:p w14:paraId="5B6EB540"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Bradford M (1976). A rapid and sensitive method for the quantification of microgram quantities</w:t>
      </w:r>
      <w:r>
        <w:rPr>
          <w:rFonts w:ascii="Times New Roman" w:hAnsi="Times New Roman" w:cs="Times New Roman"/>
          <w:sz w:val="24"/>
          <w:szCs w:val="24"/>
        </w:rPr>
        <w:tab/>
      </w:r>
      <w:r>
        <w:rPr>
          <w:rFonts w:ascii="Times New Roman" w:hAnsi="Times New Roman" w:cs="Times New Roman"/>
          <w:sz w:val="24"/>
          <w:szCs w:val="24"/>
        </w:rPr>
        <w:tab/>
        <w:t xml:space="preserve"> of protein utilizing the principles of protein-dye binding. Anal. </w:t>
      </w:r>
      <w:proofErr w:type="spellStart"/>
      <w:r>
        <w:rPr>
          <w:rFonts w:ascii="Times New Roman" w:hAnsi="Times New Roman" w:cs="Times New Roman"/>
          <w:sz w:val="24"/>
          <w:szCs w:val="24"/>
        </w:rPr>
        <w:t>Biochem</w:t>
      </w:r>
      <w:proofErr w:type="spellEnd"/>
      <w:r>
        <w:rPr>
          <w:rFonts w:ascii="Times New Roman" w:hAnsi="Times New Roman" w:cs="Times New Roman"/>
          <w:sz w:val="24"/>
          <w:szCs w:val="24"/>
        </w:rPr>
        <w:t>. 72, 248-254.</w:t>
      </w:r>
    </w:p>
    <w:p w14:paraId="412C4319"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DUNCAN D.B(1955). Multiple ranges and multiple F-tests. Biometrics, 11: 1-42.</w:t>
      </w:r>
    </w:p>
    <w:p w14:paraId="5A16F0AB"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Akbulut B. (2009). Exploration on temperature, oxygen, nutrients, and habitat demands of fish</w:t>
      </w:r>
      <w:r>
        <w:rPr>
          <w:rFonts w:ascii="Times New Roman" w:hAnsi="Times New Roman" w:cs="Times New Roman"/>
          <w:color w:val="231F20"/>
          <w:sz w:val="24"/>
          <w:szCs w:val="24"/>
        </w:rPr>
        <w:tab/>
      </w:r>
      <w:r>
        <w:rPr>
          <w:rFonts w:ascii="Times New Roman" w:hAnsi="Times New Roman" w:cs="Times New Roman"/>
          <w:color w:val="231F20"/>
          <w:sz w:val="24"/>
          <w:szCs w:val="24"/>
        </w:rPr>
        <w:tab/>
        <w:t xml:space="preserve">species found in River </w:t>
      </w:r>
      <w:proofErr w:type="spellStart"/>
      <w:r>
        <w:rPr>
          <w:rFonts w:ascii="Times New Roman" w:hAnsi="Times New Roman" w:cs="Times New Roman"/>
          <w:color w:val="231F20"/>
          <w:sz w:val="24"/>
          <w:szCs w:val="24"/>
        </w:rPr>
        <w:t>Coruh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Artvin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Coruh</w:t>
      </w:r>
      <w:proofErr w:type="spellEnd"/>
      <w:r>
        <w:rPr>
          <w:rFonts w:ascii="Times New Roman" w:hAnsi="Times New Roman" w:cs="Times New Roman"/>
          <w:color w:val="231F20"/>
          <w:sz w:val="24"/>
          <w:szCs w:val="24"/>
        </w:rPr>
        <w:t xml:space="preserve"> University Faculty of Forestry Journal 10, 29-</w:t>
      </w:r>
      <w:r>
        <w:rPr>
          <w:rFonts w:ascii="Times New Roman" w:hAnsi="Times New Roman" w:cs="Times New Roman"/>
          <w:color w:val="231F20"/>
          <w:sz w:val="24"/>
          <w:szCs w:val="24"/>
        </w:rPr>
        <w:tab/>
        <w:t>36.</w:t>
      </w:r>
    </w:p>
    <w:p w14:paraId="3D1BC11D"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Hemre</w:t>
      </w:r>
      <w:proofErr w:type="spellEnd"/>
      <w:r>
        <w:rPr>
          <w:rFonts w:ascii="Times New Roman" w:hAnsi="Times New Roman" w:cs="Times New Roman"/>
          <w:sz w:val="24"/>
          <w:szCs w:val="24"/>
        </w:rPr>
        <w:t xml:space="preserve"> G.I, </w:t>
      </w:r>
      <w:proofErr w:type="spellStart"/>
      <w:r>
        <w:rPr>
          <w:rFonts w:ascii="Times New Roman" w:hAnsi="Times New Roman" w:cs="Times New Roman"/>
          <w:sz w:val="24"/>
          <w:szCs w:val="24"/>
        </w:rPr>
        <w:t>Hjeltnes</w:t>
      </w:r>
      <w:proofErr w:type="spellEnd"/>
      <w:r>
        <w:rPr>
          <w:rFonts w:ascii="Times New Roman" w:hAnsi="Times New Roman" w:cs="Times New Roman"/>
          <w:sz w:val="24"/>
          <w:szCs w:val="24"/>
        </w:rPr>
        <w:t xml:space="preserve"> B, Aksnes A, </w:t>
      </w:r>
      <w:proofErr w:type="spellStart"/>
      <w:r>
        <w:rPr>
          <w:rFonts w:ascii="Times New Roman" w:hAnsi="Times New Roman" w:cs="Times New Roman"/>
          <w:sz w:val="24"/>
          <w:szCs w:val="24"/>
        </w:rPr>
        <w:t>Waagab</w:t>
      </w:r>
      <w:proofErr w:type="spellEnd"/>
      <w:r>
        <w:rPr>
          <w:rFonts w:ascii="Times New Roman" w:hAnsi="Times New Roman" w:cs="Times New Roman"/>
          <w:sz w:val="24"/>
          <w:szCs w:val="24"/>
        </w:rPr>
        <w:t xml:space="preserve"> R (1996). Effect of gelatinized wheat and maize in diet</w:t>
      </w:r>
      <w:r>
        <w:rPr>
          <w:rFonts w:ascii="Times New Roman" w:hAnsi="Times New Roman" w:cs="Times New Roman"/>
          <w:sz w:val="24"/>
          <w:szCs w:val="24"/>
        </w:rPr>
        <w:tab/>
        <w:t xml:space="preserve"> for large Atlantic salmon (</w:t>
      </w:r>
      <w:r>
        <w:rPr>
          <w:rFonts w:ascii="Times New Roman" w:hAnsi="Times New Roman" w:cs="Times New Roman"/>
          <w:i/>
          <w:iCs/>
          <w:sz w:val="24"/>
          <w:szCs w:val="24"/>
        </w:rPr>
        <w:t xml:space="preserve">Salmo </w:t>
      </w:r>
      <w:proofErr w:type="spellStart"/>
      <w:r>
        <w:rPr>
          <w:rFonts w:ascii="Times New Roman" w:hAnsi="Times New Roman" w:cs="Times New Roman"/>
          <w:i/>
          <w:iCs/>
          <w:sz w:val="24"/>
          <w:szCs w:val="24"/>
        </w:rPr>
        <w:t>sar</w:t>
      </w:r>
      <w:proofErr w:type="spellEnd"/>
      <w:r>
        <w:rPr>
          <w:rFonts w:ascii="Times New Roman" w:hAnsi="Times New Roman" w:cs="Times New Roman"/>
          <w:i/>
          <w:iCs/>
          <w:sz w:val="24"/>
          <w:szCs w:val="24"/>
        </w:rPr>
        <w:t xml:space="preserve"> L.</w:t>
      </w:r>
      <w:r>
        <w:rPr>
          <w:rFonts w:ascii="Times New Roman" w:hAnsi="Times New Roman" w:cs="Times New Roman"/>
          <w:sz w:val="24"/>
          <w:szCs w:val="24"/>
        </w:rPr>
        <w:t>) on glycogen retention, plasma glucose and fish</w:t>
      </w:r>
      <w:r>
        <w:rPr>
          <w:rFonts w:ascii="Times New Roman" w:hAnsi="Times New Roman" w:cs="Times New Roman"/>
          <w:sz w:val="24"/>
          <w:szCs w:val="24"/>
        </w:rPr>
        <w:tab/>
      </w:r>
      <w:r>
        <w:rPr>
          <w:rFonts w:ascii="Times New Roman" w:hAnsi="Times New Roman" w:cs="Times New Roman"/>
          <w:sz w:val="24"/>
          <w:szCs w:val="24"/>
        </w:rPr>
        <w:tab/>
        <w:t xml:space="preserve"> health.</w:t>
      </w:r>
      <w:r>
        <w:rPr>
          <w:rFonts w:ascii="Times New Roman" w:hAnsi="Times New Roman" w:cs="Times New Roman"/>
          <w:sz w:val="24"/>
          <w:szCs w:val="24"/>
        </w:rPr>
        <w:tab/>
        <w:t xml:space="preserve"> Aquaculture Nutrition 2: 33-39.</w:t>
      </w:r>
    </w:p>
    <w:p w14:paraId="6CCC4C13"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Mehboob A, Khan N, Atiq U, Iqbal KJ, Tayyab R, et al. (2017). Effect of fenugreek as a </w:t>
      </w:r>
      <w:r>
        <w:rPr>
          <w:rFonts w:ascii="Times New Roman" w:hAnsi="Times New Roman" w:cs="Times New Roman"/>
          <w:sz w:val="24"/>
          <w:szCs w:val="24"/>
        </w:rPr>
        <w:tab/>
        <w:t xml:space="preserve">feed </w:t>
      </w:r>
      <w:r>
        <w:rPr>
          <w:rFonts w:ascii="Times New Roman" w:hAnsi="Times New Roman" w:cs="Times New Roman"/>
          <w:sz w:val="24"/>
          <w:szCs w:val="24"/>
        </w:rPr>
        <w:tab/>
        <w:t xml:space="preserve">additive on the growth, body composition and apparent nutrients </w:t>
      </w:r>
      <w:r>
        <w:rPr>
          <w:rFonts w:ascii="Times New Roman" w:hAnsi="Times New Roman" w:cs="Times New Roman"/>
          <w:sz w:val="24"/>
          <w:szCs w:val="24"/>
        </w:rPr>
        <w:tab/>
        <w:t xml:space="preserve">digestibility of striped </w:t>
      </w:r>
      <w:r>
        <w:rPr>
          <w:rFonts w:ascii="Times New Roman" w:hAnsi="Times New Roman" w:cs="Times New Roman"/>
          <w:sz w:val="24"/>
          <w:szCs w:val="24"/>
        </w:rPr>
        <w:tab/>
        <w:t xml:space="preserve">catfish </w:t>
      </w:r>
      <w:r>
        <w:rPr>
          <w:rFonts w:ascii="Times New Roman" w:hAnsi="Times New Roman" w:cs="Times New Roman"/>
          <w:i/>
          <w:iCs/>
          <w:sz w:val="24"/>
          <w:szCs w:val="24"/>
        </w:rPr>
        <w:t xml:space="preserve">Pangasius </w:t>
      </w:r>
      <w:proofErr w:type="spellStart"/>
      <w:r>
        <w:rPr>
          <w:rFonts w:ascii="Times New Roman" w:hAnsi="Times New Roman" w:cs="Times New Roman"/>
          <w:i/>
          <w:iCs/>
          <w:sz w:val="24"/>
          <w:szCs w:val="24"/>
        </w:rPr>
        <w:t>hypophthalmus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fry. Pakistan J. </w:t>
      </w:r>
      <w:proofErr w:type="spellStart"/>
      <w:r>
        <w:rPr>
          <w:rFonts w:ascii="Times New Roman" w:hAnsi="Times New Roman" w:cs="Times New Roman"/>
          <w:sz w:val="24"/>
          <w:szCs w:val="24"/>
        </w:rPr>
        <w:t>Zool</w:t>
      </w:r>
      <w:proofErr w:type="spellEnd"/>
      <w:r>
        <w:rPr>
          <w:rFonts w:ascii="Times New Roman" w:hAnsi="Times New Roman" w:cs="Times New Roman"/>
          <w:sz w:val="24"/>
          <w:szCs w:val="24"/>
        </w:rPr>
        <w:t xml:space="preserve"> 49: 2037-2042.</w:t>
      </w:r>
    </w:p>
    <w:p w14:paraId="748F6D3C"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Molander D.W, Sheppard E., and Payne M.A (1957). Serum transaminase in liver disease. </w:t>
      </w:r>
      <w:r>
        <w:rPr>
          <w:rFonts w:ascii="Times New Roman" w:hAnsi="Times New Roman" w:cs="Times New Roman"/>
          <w:i/>
          <w:color w:val="231F20"/>
          <w:sz w:val="24"/>
          <w:szCs w:val="24"/>
        </w:rPr>
        <w:t>J. Am.</w:t>
      </w:r>
      <w:r>
        <w:rPr>
          <w:rFonts w:ascii="Times New Roman" w:hAnsi="Times New Roman" w:cs="Times New Roman"/>
          <w:i/>
          <w:color w:val="231F20"/>
          <w:sz w:val="24"/>
          <w:szCs w:val="24"/>
        </w:rPr>
        <w:tab/>
      </w:r>
      <w:r>
        <w:rPr>
          <w:rFonts w:ascii="Times New Roman" w:hAnsi="Times New Roman" w:cs="Times New Roman"/>
          <w:i/>
          <w:color w:val="231F20"/>
          <w:sz w:val="24"/>
          <w:szCs w:val="24"/>
        </w:rPr>
        <w:tab/>
        <w:t xml:space="preserve"> Med. </w:t>
      </w:r>
      <w:r>
        <w:rPr>
          <w:rFonts w:ascii="Times New Roman" w:hAnsi="Times New Roman" w:cs="Times New Roman"/>
          <w:i/>
          <w:color w:val="231F20"/>
          <w:sz w:val="24"/>
          <w:szCs w:val="24"/>
        </w:rPr>
        <w:tab/>
        <w:t>Assoc</w:t>
      </w:r>
      <w:r>
        <w:rPr>
          <w:rFonts w:ascii="Times New Roman" w:hAnsi="Times New Roman" w:cs="Times New Roman"/>
          <w:color w:val="231F20"/>
          <w:sz w:val="24"/>
          <w:szCs w:val="24"/>
        </w:rPr>
        <w:t>. 163:1461-1465.</w:t>
      </w:r>
    </w:p>
    <w:p w14:paraId="3D5E8C36"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Mousa M.M.A, El-Ashram, A.M.M and Hamed M. (2008). Effects of Neem leaf extract on </w:t>
      </w:r>
      <w:r>
        <w:rPr>
          <w:rFonts w:ascii="Times New Roman" w:hAnsi="Times New Roman" w:cs="Times New Roman"/>
          <w:color w:val="231F20"/>
          <w:sz w:val="24"/>
          <w:szCs w:val="24"/>
        </w:rPr>
        <w:tab/>
        <w:t>freshwater fishes and zooplankton community. 8</w:t>
      </w:r>
      <w:r>
        <w:rPr>
          <w:rFonts w:ascii="Times New Roman" w:hAnsi="Times New Roman" w:cs="Times New Roman"/>
          <w:color w:val="231F20"/>
          <w:sz w:val="24"/>
          <w:szCs w:val="24"/>
          <w:vertAlign w:val="superscript"/>
        </w:rPr>
        <w:t>th</w:t>
      </w:r>
      <w:r>
        <w:rPr>
          <w:rFonts w:ascii="Times New Roman" w:hAnsi="Times New Roman" w:cs="Times New Roman"/>
          <w:color w:val="231F20"/>
          <w:sz w:val="24"/>
          <w:szCs w:val="24"/>
        </w:rPr>
        <w:t xml:space="preserve"> International symposium on Tilapia in </w:t>
      </w:r>
      <w:r>
        <w:rPr>
          <w:rFonts w:ascii="Times New Roman" w:hAnsi="Times New Roman" w:cs="Times New Roman"/>
          <w:color w:val="231F20"/>
          <w:sz w:val="24"/>
          <w:szCs w:val="24"/>
        </w:rPr>
        <w:tab/>
        <w:t>aquaculture. The central laboratory for aquaculture Research, Cairo, Egypt. October 12-</w:t>
      </w:r>
      <w:r>
        <w:rPr>
          <w:rFonts w:ascii="Times New Roman" w:hAnsi="Times New Roman" w:cs="Times New Roman"/>
          <w:color w:val="231F20"/>
          <w:sz w:val="24"/>
          <w:szCs w:val="24"/>
        </w:rPr>
        <w:tab/>
        <w:t>14.</w:t>
      </w:r>
    </w:p>
    <w:p w14:paraId="6F35BF5E"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Diskin C.J, Tomasso C.L, Alper J.C, Glase M.L, Fliegel S.E. (1979).</w:t>
      </w:r>
      <w:r>
        <w:rPr>
          <w:rStyle w:val="st"/>
          <w:rFonts w:ascii="Times New Roman" w:hAnsi="Times New Roman" w:cs="Times New Roman"/>
        </w:rPr>
        <w:t xml:space="preserve"> Long-term selenium </w:t>
      </w:r>
      <w:r>
        <w:rPr>
          <w:rStyle w:val="st"/>
          <w:rFonts w:ascii="Times New Roman" w:hAnsi="Times New Roman" w:cs="Times New Roman"/>
        </w:rPr>
        <w:tab/>
      </w:r>
      <w:proofErr w:type="spellStart"/>
      <w:r>
        <w:rPr>
          <w:rStyle w:val="st"/>
          <w:rFonts w:ascii="Times New Roman" w:hAnsi="Times New Roman" w:cs="Times New Roman"/>
        </w:rPr>
        <w:t>exposure.</w:t>
      </w:r>
      <w:r>
        <w:rPr>
          <w:rFonts w:ascii="Times New Roman" w:hAnsi="Times New Roman" w:cs="Times New Roman"/>
          <w:sz w:val="24"/>
          <w:szCs w:val="24"/>
        </w:rPr>
        <w:t>Arch</w:t>
      </w:r>
      <w:proofErr w:type="spellEnd"/>
      <w:r>
        <w:rPr>
          <w:rFonts w:ascii="Times New Roman" w:hAnsi="Times New Roman" w:cs="Times New Roman"/>
          <w:sz w:val="24"/>
          <w:szCs w:val="24"/>
        </w:rPr>
        <w:t>.  Intern. Med., 139, 824-826.</w:t>
      </w:r>
    </w:p>
    <w:p w14:paraId="7BFB6B7C"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Cabot S. (2000). The liver and detoxification. http://nancymarkle.com/liver.txt.</w:t>
      </w:r>
    </w:p>
    <w:sectPr w:rsidR="00C244EE">
      <w:headerReference w:type="even" r:id="rId15"/>
      <w:headerReference w:type="default" r:id="rId16"/>
      <w:footerReference w:type="even" r:id="rId17"/>
      <w:footerReference w:type="default" r:id="rId18"/>
      <w:headerReference w:type="first" r:id="rId19"/>
      <w:footerReference w:type="first" r:id="rId20"/>
      <w:pgSz w:w="12240" w:h="15840"/>
      <w:pgMar w:top="446" w:right="994" w:bottom="634" w:left="116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st Center" w:date="2025-02-14T15:34:00Z" w:initials="BC">
    <w:p w14:paraId="37F81C36" w14:textId="41153B82" w:rsidR="00866A44" w:rsidRDefault="00866A44">
      <w:pPr>
        <w:pStyle w:val="CommentText"/>
      </w:pPr>
      <w:r>
        <w:rPr>
          <w:rStyle w:val="CommentReference"/>
        </w:rPr>
        <w:annotationRef/>
      </w:r>
      <w:r w:rsidRPr="00866A44">
        <w:t>Where were the fish raised? In aquariums or fiberglass?</w:t>
      </w:r>
    </w:p>
  </w:comment>
  <w:comment w:id="1" w:author="Best Center" w:date="2025-02-14T15:37:00Z" w:initials="BC">
    <w:p w14:paraId="31CE39DA" w14:textId="2FAACEAC" w:rsidR="007C6DEB" w:rsidRDefault="007C6DEB">
      <w:pPr>
        <w:pStyle w:val="CommentText"/>
      </w:pPr>
      <w:r>
        <w:rPr>
          <w:rStyle w:val="CommentReference"/>
        </w:rPr>
        <w:annotationRef/>
      </w:r>
      <w:r w:rsidRPr="007C6DEB">
        <w:t>It is preferable to mention some modern techniques in the field of fish farming and improvement and its types.</w:t>
      </w:r>
    </w:p>
  </w:comment>
  <w:comment w:id="2" w:author="Best Center" w:date="2025-02-14T15:42:00Z" w:initials="BC">
    <w:p w14:paraId="0DAE1410" w14:textId="3607B4DE" w:rsidR="00BF7BB0" w:rsidRDefault="00BF7BB0">
      <w:pPr>
        <w:pStyle w:val="CommentText"/>
      </w:pPr>
      <w:r>
        <w:rPr>
          <w:rStyle w:val="CommentReference"/>
        </w:rPr>
        <w:annotationRef/>
      </w:r>
      <w:r w:rsidRPr="00BF7BB0">
        <w:t>It is better to mention the type of selenium element, whether it is organic or inorganic, and to mention its name and the chemical composition of the element.</w:t>
      </w:r>
    </w:p>
  </w:comment>
  <w:comment w:id="3" w:author="Best Center" w:date="2025-02-14T15:46:00Z" w:initials="BC">
    <w:p w14:paraId="1D64ABF0" w14:textId="337846FA" w:rsidR="00FE45CA" w:rsidRDefault="00FE45CA">
      <w:pPr>
        <w:pStyle w:val="CommentText"/>
      </w:pPr>
      <w:r>
        <w:rPr>
          <w:rStyle w:val="CommentReference"/>
        </w:rPr>
        <w:annotationRef/>
      </w:r>
      <w:r w:rsidRPr="00FE45CA">
        <w:t>Some sources mention using selenium levels and the permissible limit.</w:t>
      </w:r>
    </w:p>
  </w:comment>
  <w:comment w:id="4" w:author="Best Center" w:date="2025-02-14T16:51:00Z" w:initials="BC">
    <w:p w14:paraId="3A5CBA1C" w14:textId="6BE522B9" w:rsidR="00E363B9" w:rsidRDefault="00E363B9">
      <w:pPr>
        <w:pStyle w:val="CommentText"/>
      </w:pPr>
      <w:r>
        <w:rPr>
          <w:rStyle w:val="CommentReference"/>
        </w:rPr>
        <w:annotationRef/>
      </w:r>
      <w:r w:rsidRPr="00E363B9">
        <w:t>How was the analysis done? Was it using chemicals or ready-made kits, with mention of the type and model of the device?</w:t>
      </w:r>
    </w:p>
  </w:comment>
  <w:comment w:id="5" w:author="Best Center" w:date="2025-02-14T16:52:00Z" w:initials="BC">
    <w:p w14:paraId="1D6CBBAD" w14:textId="0A393C95" w:rsidR="004D28E5" w:rsidRDefault="004D28E5">
      <w:pPr>
        <w:pStyle w:val="CommentText"/>
      </w:pPr>
      <w:r>
        <w:rPr>
          <w:rStyle w:val="CommentReference"/>
        </w:rPr>
        <w:annotationRef/>
      </w:r>
      <w:r w:rsidRPr="004D28E5">
        <w:t>The measuring power of the microscope must be mentioned.</w:t>
      </w:r>
    </w:p>
  </w:comment>
  <w:comment w:id="7" w:author="Best Center" w:date="2025-02-14T17:47:00Z" w:initials="BC">
    <w:p w14:paraId="180014FB" w14:textId="77777777" w:rsidR="002C05DC" w:rsidRDefault="002C05DC">
      <w:pPr>
        <w:pStyle w:val="CommentText"/>
        <w:rPr>
          <w:rFonts w:cstheme="minorBidi"/>
          <w:rtl/>
          <w:lang w:bidi="ar-IQ"/>
        </w:rPr>
      </w:pPr>
      <w:r>
        <w:rPr>
          <w:rStyle w:val="CommentReference"/>
        </w:rPr>
        <w:annotationRef/>
      </w:r>
      <w:r w:rsidRPr="002C05DC">
        <w:rPr>
          <w:rFonts w:cstheme="minorBidi"/>
          <w:lang w:bidi="ar-IQ"/>
        </w:rPr>
        <w:t>The following REFERENCES can be added:</w:t>
      </w:r>
    </w:p>
    <w:p w14:paraId="77FD48DA" w14:textId="0E105975" w:rsidR="002C05DC" w:rsidRPr="00D80B67" w:rsidRDefault="002C05DC" w:rsidP="002C05DC">
      <w:pPr>
        <w:pStyle w:val="CommentText"/>
        <w:numPr>
          <w:ilvl w:val="0"/>
          <w:numId w:val="25"/>
        </w:numPr>
        <w:rPr>
          <w:rFonts w:cstheme="minorBidi"/>
          <w:lang w:bidi="ar-IQ"/>
        </w:rPr>
      </w:pPr>
      <w:r>
        <w:rPr>
          <w:rFonts w:cstheme="minorBidi" w:hint="cs"/>
          <w:rtl/>
          <w:lang w:bidi="ar-IQ"/>
        </w:rPr>
        <w:t xml:space="preserve"> </w:t>
      </w:r>
      <w:r>
        <w:rPr>
          <w:rFonts w:ascii="Roboto" w:hAnsi="Roboto"/>
          <w:sz w:val="18"/>
          <w:szCs w:val="18"/>
          <w:shd w:val="clear" w:color="auto" w:fill="FFFFFF"/>
        </w:rPr>
        <w:t xml:space="preserve">Palani, Z. M. R., </w:t>
      </w:r>
      <w:proofErr w:type="spellStart"/>
      <w:r>
        <w:rPr>
          <w:rFonts w:ascii="Roboto" w:hAnsi="Roboto"/>
          <w:sz w:val="18"/>
          <w:szCs w:val="18"/>
          <w:shd w:val="clear" w:color="auto" w:fill="FFFFFF"/>
        </w:rPr>
        <w:t>Hamasalim</w:t>
      </w:r>
      <w:proofErr w:type="spellEnd"/>
      <w:r>
        <w:rPr>
          <w:rFonts w:ascii="Roboto" w:hAnsi="Roboto"/>
          <w:sz w:val="18"/>
          <w:szCs w:val="18"/>
          <w:shd w:val="clear" w:color="auto" w:fill="FFFFFF"/>
        </w:rPr>
        <w:t xml:space="preserve">, H. </w:t>
      </w:r>
      <w:proofErr w:type="gramStart"/>
      <w:r>
        <w:rPr>
          <w:rFonts w:ascii="Roboto" w:hAnsi="Roboto"/>
          <w:sz w:val="18"/>
          <w:szCs w:val="18"/>
          <w:shd w:val="clear" w:color="auto" w:fill="FFFFFF"/>
        </w:rPr>
        <w:t>J. .</w:t>
      </w:r>
      <w:proofErr w:type="gramEnd"/>
      <w:r>
        <w:rPr>
          <w:rFonts w:ascii="Roboto" w:hAnsi="Roboto"/>
          <w:sz w:val="18"/>
          <w:szCs w:val="18"/>
          <w:shd w:val="clear" w:color="auto" w:fill="FFFFFF"/>
        </w:rPr>
        <w:t xml:space="preserve">, </w:t>
      </w:r>
      <w:proofErr w:type="spellStart"/>
      <w:r>
        <w:rPr>
          <w:rFonts w:ascii="Roboto" w:hAnsi="Roboto"/>
          <w:sz w:val="18"/>
          <w:szCs w:val="18"/>
          <w:shd w:val="clear" w:color="auto" w:fill="FFFFFF"/>
        </w:rPr>
        <w:t>Abdualmajeed</w:t>
      </w:r>
      <w:proofErr w:type="spellEnd"/>
      <w:r>
        <w:rPr>
          <w:rFonts w:ascii="Roboto" w:hAnsi="Roboto"/>
          <w:sz w:val="18"/>
          <w:szCs w:val="18"/>
          <w:shd w:val="clear" w:color="auto" w:fill="FFFFFF"/>
        </w:rPr>
        <w:t xml:space="preserve">, O. M. ., Baqer, J. M. ., Omer, M. E. A. ., Mohammed, H. N. ., &amp; </w:t>
      </w:r>
      <w:proofErr w:type="spellStart"/>
      <w:r>
        <w:rPr>
          <w:rFonts w:ascii="Roboto" w:hAnsi="Roboto"/>
          <w:sz w:val="18"/>
          <w:szCs w:val="18"/>
          <w:shd w:val="clear" w:color="auto" w:fill="FFFFFF"/>
        </w:rPr>
        <w:t>Bchkol</w:t>
      </w:r>
      <w:proofErr w:type="spellEnd"/>
      <w:r>
        <w:rPr>
          <w:rFonts w:ascii="Roboto" w:hAnsi="Roboto"/>
          <w:sz w:val="18"/>
          <w:szCs w:val="18"/>
          <w:shd w:val="clear" w:color="auto" w:fill="FFFFFF"/>
        </w:rPr>
        <w:t>, D. H. K. . (2024). Biochemical Changes in Blood Serum after Selenium and Zinc Doses and their Effect on the Health and Environment of Kurdi Sheep in Kurdistan Region. </w:t>
      </w:r>
      <w:r>
        <w:rPr>
          <w:rFonts w:ascii="Roboto" w:hAnsi="Roboto"/>
          <w:i/>
          <w:iCs/>
          <w:sz w:val="18"/>
          <w:szCs w:val="18"/>
          <w:shd w:val="clear" w:color="auto" w:fill="FFFFFF"/>
        </w:rPr>
        <w:t>Indonesian Journal of Social and Environmental Issues (IJSEI)</w:t>
      </w:r>
      <w:r>
        <w:rPr>
          <w:rFonts w:ascii="Roboto" w:hAnsi="Roboto"/>
          <w:sz w:val="18"/>
          <w:szCs w:val="18"/>
          <w:shd w:val="clear" w:color="auto" w:fill="FFFFFF"/>
        </w:rPr>
        <w:t>, </w:t>
      </w:r>
      <w:r>
        <w:rPr>
          <w:rFonts w:ascii="Roboto" w:hAnsi="Roboto"/>
          <w:i/>
          <w:iCs/>
          <w:sz w:val="18"/>
          <w:szCs w:val="18"/>
          <w:shd w:val="clear" w:color="auto" w:fill="FFFFFF"/>
        </w:rPr>
        <w:t>5</w:t>
      </w:r>
      <w:r>
        <w:rPr>
          <w:rFonts w:ascii="Roboto" w:hAnsi="Roboto"/>
          <w:sz w:val="18"/>
          <w:szCs w:val="18"/>
          <w:shd w:val="clear" w:color="auto" w:fill="FFFFFF"/>
        </w:rPr>
        <w:t xml:space="preserve">(3), 299-305. </w:t>
      </w:r>
      <w:hyperlink r:id="rId1" w:history="1">
        <w:r w:rsidRPr="00621FE0">
          <w:rPr>
            <w:rStyle w:val="Hyperlink"/>
            <w:rFonts w:ascii="Roboto" w:hAnsi="Roboto"/>
            <w:sz w:val="18"/>
            <w:szCs w:val="18"/>
            <w:shd w:val="clear" w:color="auto" w:fill="FFFFFF"/>
          </w:rPr>
          <w:t>https://doi.org/10.47540/ijsei.v5i3.1674</w:t>
        </w:r>
      </w:hyperlink>
    </w:p>
    <w:p w14:paraId="2EB015D1" w14:textId="77777777" w:rsidR="00D80B67" w:rsidRPr="002C05DC" w:rsidRDefault="00D80B67" w:rsidP="00D80B67">
      <w:pPr>
        <w:pStyle w:val="CommentText"/>
        <w:rPr>
          <w:rFonts w:cstheme="minorBidi"/>
          <w:lang w:bidi="ar-IQ"/>
        </w:rPr>
      </w:pPr>
    </w:p>
    <w:p w14:paraId="58039349" w14:textId="07E664E3" w:rsidR="002C05DC" w:rsidRPr="00D80B67" w:rsidRDefault="00D80B67" w:rsidP="002C05DC">
      <w:pPr>
        <w:pStyle w:val="CommentText"/>
        <w:numPr>
          <w:ilvl w:val="0"/>
          <w:numId w:val="25"/>
        </w:numPr>
        <w:rPr>
          <w:rFonts w:cstheme="minorBidi"/>
          <w:lang w:bidi="ar-IQ"/>
        </w:rPr>
      </w:pPr>
      <w:r>
        <w:rPr>
          <w:rFonts w:ascii="Roboto" w:hAnsi="Roboto"/>
          <w:sz w:val="18"/>
          <w:szCs w:val="18"/>
          <w:shd w:val="clear" w:color="auto" w:fill="FFFFFF"/>
        </w:rPr>
        <w:t xml:space="preserve">Palani, Z. M. R., Khalil, W.A, </w:t>
      </w:r>
      <w:proofErr w:type="spellStart"/>
      <w:r>
        <w:rPr>
          <w:rFonts w:ascii="Roboto" w:hAnsi="Roboto"/>
          <w:sz w:val="18"/>
          <w:szCs w:val="18"/>
          <w:shd w:val="clear" w:color="auto" w:fill="FFFFFF"/>
        </w:rPr>
        <w:t>Kutaibani</w:t>
      </w:r>
      <w:proofErr w:type="spellEnd"/>
      <w:r>
        <w:rPr>
          <w:rFonts w:ascii="Roboto" w:hAnsi="Roboto"/>
          <w:sz w:val="18"/>
          <w:szCs w:val="18"/>
          <w:shd w:val="clear" w:color="auto" w:fill="FFFFFF"/>
        </w:rPr>
        <w:t xml:space="preserve">, H. E. </w:t>
      </w:r>
      <w:proofErr w:type="gramStart"/>
      <w:r>
        <w:rPr>
          <w:rFonts w:ascii="Roboto" w:hAnsi="Roboto"/>
          <w:sz w:val="18"/>
          <w:szCs w:val="18"/>
          <w:shd w:val="clear" w:color="auto" w:fill="FFFFFF"/>
        </w:rPr>
        <w:t>I. .</w:t>
      </w:r>
      <w:proofErr w:type="gramEnd"/>
      <w:r>
        <w:rPr>
          <w:rFonts w:ascii="Roboto" w:hAnsi="Roboto"/>
          <w:sz w:val="18"/>
          <w:szCs w:val="18"/>
          <w:shd w:val="clear" w:color="auto" w:fill="FFFFFF"/>
        </w:rPr>
        <w:t>, &amp; Amin, F. A. M. . (2024). Effect of Sodium Selenite and Zinc Sulphate on the Weight, Size, Seminal Fluid Traits, and Histological Changes of the Testis and Epididymis in Kurdi Rams. </w:t>
      </w:r>
      <w:r>
        <w:rPr>
          <w:rFonts w:ascii="Roboto" w:hAnsi="Roboto"/>
          <w:i/>
          <w:iCs/>
          <w:sz w:val="18"/>
          <w:szCs w:val="18"/>
          <w:shd w:val="clear" w:color="auto" w:fill="FFFFFF"/>
        </w:rPr>
        <w:t>Indonesian Journal of Innovation and Applied Sciences (IJIAS)</w:t>
      </w:r>
      <w:r>
        <w:rPr>
          <w:rFonts w:ascii="Roboto" w:hAnsi="Roboto"/>
          <w:sz w:val="18"/>
          <w:szCs w:val="18"/>
          <w:shd w:val="clear" w:color="auto" w:fill="FFFFFF"/>
        </w:rPr>
        <w:t>, </w:t>
      </w:r>
      <w:r>
        <w:rPr>
          <w:rFonts w:ascii="Roboto" w:hAnsi="Roboto"/>
          <w:i/>
          <w:iCs/>
          <w:sz w:val="18"/>
          <w:szCs w:val="18"/>
          <w:shd w:val="clear" w:color="auto" w:fill="FFFFFF"/>
        </w:rPr>
        <w:t>4</w:t>
      </w:r>
      <w:r>
        <w:rPr>
          <w:rFonts w:ascii="Roboto" w:hAnsi="Roboto"/>
          <w:sz w:val="18"/>
          <w:szCs w:val="18"/>
          <w:shd w:val="clear" w:color="auto" w:fill="FFFFFF"/>
        </w:rPr>
        <w:t xml:space="preserve">(3), 283-294. </w:t>
      </w:r>
      <w:hyperlink r:id="rId2" w:history="1">
        <w:r w:rsidRPr="00621FE0">
          <w:rPr>
            <w:rStyle w:val="Hyperlink"/>
            <w:rFonts w:ascii="Roboto" w:hAnsi="Roboto"/>
            <w:sz w:val="18"/>
            <w:szCs w:val="18"/>
            <w:shd w:val="clear" w:color="auto" w:fill="FFFFFF"/>
          </w:rPr>
          <w:t>https://doi.org/10.47540/ijias.v4i3.1672</w:t>
        </w:r>
      </w:hyperlink>
    </w:p>
    <w:p w14:paraId="136851F4" w14:textId="5F51FBF0" w:rsidR="00D80B67" w:rsidRPr="002C05DC" w:rsidRDefault="00D80B67" w:rsidP="00D80B67">
      <w:pPr>
        <w:pStyle w:val="CommentText"/>
        <w:rPr>
          <w:rFonts w:cstheme="minorBidi" w:hint="cs"/>
          <w:rtl/>
          <w:lang w:bidi="ar-IQ"/>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F81C36" w15:done="0"/>
  <w15:commentEx w15:paraId="31CE39DA" w15:done="0"/>
  <w15:commentEx w15:paraId="0DAE1410" w15:done="0"/>
  <w15:commentEx w15:paraId="1D64ABF0" w15:done="0"/>
  <w15:commentEx w15:paraId="3A5CBA1C" w15:done="0"/>
  <w15:commentEx w15:paraId="1D6CBBAD" w15:done="0"/>
  <w15:commentEx w15:paraId="136851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F96F26" w16cex:dateUtc="2025-02-14T12:34:00Z"/>
  <w16cex:commentExtensible w16cex:durableId="00CCB38C" w16cex:dateUtc="2025-02-14T12:37:00Z"/>
  <w16cex:commentExtensible w16cex:durableId="59EFDA3D" w16cex:dateUtc="2025-02-14T12:42:00Z"/>
  <w16cex:commentExtensible w16cex:durableId="37994D23" w16cex:dateUtc="2025-02-14T12:46:00Z"/>
  <w16cex:commentExtensible w16cex:durableId="46981231" w16cex:dateUtc="2025-02-14T13:51:00Z"/>
  <w16cex:commentExtensible w16cex:durableId="1C841F6C" w16cex:dateUtc="2025-02-14T13:52:00Z"/>
  <w16cex:commentExtensible w16cex:durableId="0D0DC6B8" w16cex:dateUtc="2025-02-14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F81C36" w16cid:durableId="3EF96F26"/>
  <w16cid:commentId w16cid:paraId="31CE39DA" w16cid:durableId="00CCB38C"/>
  <w16cid:commentId w16cid:paraId="0DAE1410" w16cid:durableId="59EFDA3D"/>
  <w16cid:commentId w16cid:paraId="1D64ABF0" w16cid:durableId="37994D23"/>
  <w16cid:commentId w16cid:paraId="3A5CBA1C" w16cid:durableId="46981231"/>
  <w16cid:commentId w16cid:paraId="1D6CBBAD" w16cid:durableId="1C841F6C"/>
  <w16cid:commentId w16cid:paraId="136851F4" w16cid:durableId="0D0DC6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E267" w14:textId="77777777" w:rsidR="0056524D" w:rsidRDefault="0056524D" w:rsidP="005A39CC">
      <w:pPr>
        <w:spacing w:after="0" w:line="240" w:lineRule="auto"/>
      </w:pPr>
      <w:r>
        <w:separator/>
      </w:r>
    </w:p>
  </w:endnote>
  <w:endnote w:type="continuationSeparator" w:id="0">
    <w:p w14:paraId="3A2604B4" w14:textId="77777777" w:rsidR="0056524D" w:rsidRDefault="0056524D" w:rsidP="005A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EF4B" w14:textId="77777777" w:rsidR="005A39CC" w:rsidRDefault="005A3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E7A1" w14:textId="77777777" w:rsidR="005A39CC" w:rsidRDefault="005A3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1149" w14:textId="77777777" w:rsidR="005A39CC" w:rsidRDefault="005A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DB7CC" w14:textId="77777777" w:rsidR="0056524D" w:rsidRDefault="0056524D" w:rsidP="005A39CC">
      <w:pPr>
        <w:spacing w:after="0" w:line="240" w:lineRule="auto"/>
      </w:pPr>
      <w:r>
        <w:separator/>
      </w:r>
    </w:p>
  </w:footnote>
  <w:footnote w:type="continuationSeparator" w:id="0">
    <w:p w14:paraId="0F92BF7E" w14:textId="77777777" w:rsidR="0056524D" w:rsidRDefault="0056524D" w:rsidP="005A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167E" w14:textId="2E8BAB04" w:rsidR="005A39CC" w:rsidRDefault="00000000">
    <w:pPr>
      <w:pStyle w:val="Header"/>
    </w:pPr>
    <w:r>
      <w:rPr>
        <w:noProof/>
      </w:rPr>
      <w:pict w14:anchorId="63722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119313"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0F72" w14:textId="1AE9A98B" w:rsidR="005A39CC" w:rsidRDefault="00000000">
    <w:pPr>
      <w:pStyle w:val="Header"/>
    </w:pPr>
    <w:r>
      <w:rPr>
        <w:noProof/>
      </w:rPr>
      <w:pict w14:anchorId="764A4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119314"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2F61" w14:textId="20988077" w:rsidR="005A39CC" w:rsidRDefault="00000000">
    <w:pPr>
      <w:pStyle w:val="Header"/>
    </w:pPr>
    <w:r>
      <w:rPr>
        <w:noProof/>
      </w:rPr>
      <w:pict w14:anchorId="42D5D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119312"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346AB88"/>
    <w:lvl w:ilvl="0" w:tplc="C2DCEF52">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2"/>
    <w:multiLevelType w:val="hybridMultilevel"/>
    <w:tmpl w:val="664CFAF8"/>
    <w:lvl w:ilvl="0" w:tplc="AF167BB6">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000003"/>
    <w:multiLevelType w:val="hybridMultilevel"/>
    <w:tmpl w:val="8338A1D4"/>
    <w:lvl w:ilvl="0" w:tplc="89BC83C4">
      <w:start w:val="1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0000004"/>
    <w:multiLevelType w:val="hybridMultilevel"/>
    <w:tmpl w:val="ADD8CED6"/>
    <w:lvl w:ilvl="0" w:tplc="60DEA0CE">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0000005"/>
    <w:multiLevelType w:val="hybridMultilevel"/>
    <w:tmpl w:val="CB6ED9E4"/>
    <w:lvl w:ilvl="0" w:tplc="78000FC2">
      <w:start w:val="17"/>
      <w:numFmt w:val="decimal"/>
      <w:lvlText w:val="%1."/>
      <w:lvlJc w:val="left"/>
      <w:pPr>
        <w:ind w:left="720" w:hanging="36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0000006"/>
    <w:multiLevelType w:val="hybridMultilevel"/>
    <w:tmpl w:val="783E6678"/>
    <w:lvl w:ilvl="0" w:tplc="F200ADD6">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0000007"/>
    <w:multiLevelType w:val="hybridMultilevel"/>
    <w:tmpl w:val="147AD626"/>
    <w:lvl w:ilvl="0" w:tplc="F0F205B4">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0000008"/>
    <w:multiLevelType w:val="hybridMultilevel"/>
    <w:tmpl w:val="8AFA2EFE"/>
    <w:lvl w:ilvl="0" w:tplc="2F60C6C2">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0000009"/>
    <w:multiLevelType w:val="hybridMultilevel"/>
    <w:tmpl w:val="F6FE01D4"/>
    <w:lvl w:ilvl="0" w:tplc="520A9F0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000000A"/>
    <w:multiLevelType w:val="hybridMultilevel"/>
    <w:tmpl w:val="D21CF7B6"/>
    <w:lvl w:ilvl="0" w:tplc="8C6A54C8">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000000B"/>
    <w:multiLevelType w:val="hybridMultilevel"/>
    <w:tmpl w:val="F3885670"/>
    <w:lvl w:ilvl="0" w:tplc="4050A832">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000000C"/>
    <w:multiLevelType w:val="hybridMultilevel"/>
    <w:tmpl w:val="1B2CB0A8"/>
    <w:lvl w:ilvl="0" w:tplc="F49A58FC">
      <w:start w:val="2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000000D"/>
    <w:multiLevelType w:val="hybridMultilevel"/>
    <w:tmpl w:val="4BDA66E4"/>
    <w:lvl w:ilvl="0" w:tplc="6B262DCC">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000000E"/>
    <w:multiLevelType w:val="hybridMultilevel"/>
    <w:tmpl w:val="2ACC5B04"/>
    <w:lvl w:ilvl="0" w:tplc="9168CE70">
      <w:start w:val="18"/>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000000F"/>
    <w:multiLevelType w:val="hybridMultilevel"/>
    <w:tmpl w:val="0CFC7912"/>
    <w:lvl w:ilvl="0" w:tplc="382C5DEE">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0000010"/>
    <w:multiLevelType w:val="hybridMultilevel"/>
    <w:tmpl w:val="5F14212A"/>
    <w:lvl w:ilvl="0" w:tplc="E38C3276">
      <w:start w:val="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0000011"/>
    <w:multiLevelType w:val="hybridMultilevel"/>
    <w:tmpl w:val="57586544"/>
    <w:lvl w:ilvl="0" w:tplc="EB5E2B16">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00000012"/>
    <w:multiLevelType w:val="hybridMultilevel"/>
    <w:tmpl w:val="8DE87836"/>
    <w:lvl w:ilvl="0" w:tplc="AE2C3EF4">
      <w:start w:val="18"/>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00000013"/>
    <w:multiLevelType w:val="hybridMultilevel"/>
    <w:tmpl w:val="2DF0C09A"/>
    <w:lvl w:ilvl="0" w:tplc="FC283CE2">
      <w:start w:val="1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0000014"/>
    <w:multiLevelType w:val="hybridMultilevel"/>
    <w:tmpl w:val="38EC3A3E"/>
    <w:lvl w:ilvl="0" w:tplc="BD2CE42E">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00000015"/>
    <w:multiLevelType w:val="hybridMultilevel"/>
    <w:tmpl w:val="778C9322"/>
    <w:lvl w:ilvl="0" w:tplc="86BC831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00000016"/>
    <w:multiLevelType w:val="hybridMultilevel"/>
    <w:tmpl w:val="C5E46388"/>
    <w:lvl w:ilvl="0" w:tplc="10EA606E">
      <w:start w:val="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00000017"/>
    <w:multiLevelType w:val="hybridMultilevel"/>
    <w:tmpl w:val="B24A7134"/>
    <w:lvl w:ilvl="0" w:tplc="69AC746A">
      <w:start w:val="1"/>
      <w:numFmt w:val="decimal"/>
      <w:lvlText w:val="%1."/>
      <w:lvlJc w:val="left"/>
      <w:pPr>
        <w:ind w:left="720" w:hanging="360"/>
      </w:pPr>
      <w:rPr>
        <w:b w:val="0"/>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3773CF0"/>
    <w:multiLevelType w:val="hybridMultilevel"/>
    <w:tmpl w:val="E10E691C"/>
    <w:lvl w:ilvl="0" w:tplc="5052F386">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28C33AC"/>
    <w:multiLevelType w:val="hybridMultilevel"/>
    <w:tmpl w:val="C87CC612"/>
    <w:lvl w:ilvl="0" w:tplc="71F66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264610">
    <w:abstractNumId w:val="22"/>
  </w:num>
  <w:num w:numId="2" w16cid:durableId="260652949">
    <w:abstractNumId w:val="13"/>
  </w:num>
  <w:num w:numId="3" w16cid:durableId="1947425982">
    <w:abstractNumId w:val="15"/>
  </w:num>
  <w:num w:numId="4" w16cid:durableId="2046171705">
    <w:abstractNumId w:val="1"/>
  </w:num>
  <w:num w:numId="5" w16cid:durableId="82384492">
    <w:abstractNumId w:val="10"/>
  </w:num>
  <w:num w:numId="6" w16cid:durableId="1253244969">
    <w:abstractNumId w:val="2"/>
  </w:num>
  <w:num w:numId="7" w16cid:durableId="102893883">
    <w:abstractNumId w:val="20"/>
  </w:num>
  <w:num w:numId="8" w16cid:durableId="1405027881">
    <w:abstractNumId w:val="6"/>
  </w:num>
  <w:num w:numId="9" w16cid:durableId="1752045366">
    <w:abstractNumId w:val="23"/>
  </w:num>
  <w:num w:numId="10" w16cid:durableId="711734271">
    <w:abstractNumId w:val="11"/>
  </w:num>
  <w:num w:numId="11" w16cid:durableId="1743523211">
    <w:abstractNumId w:val="4"/>
  </w:num>
  <w:num w:numId="12" w16cid:durableId="355280390">
    <w:abstractNumId w:val="14"/>
  </w:num>
  <w:num w:numId="13" w16cid:durableId="435753759">
    <w:abstractNumId w:val="3"/>
  </w:num>
  <w:num w:numId="14" w16cid:durableId="335229590">
    <w:abstractNumId w:val="0"/>
  </w:num>
  <w:num w:numId="15" w16cid:durableId="1092437472">
    <w:abstractNumId w:val="9"/>
  </w:num>
  <w:num w:numId="16" w16cid:durableId="925653242">
    <w:abstractNumId w:val="5"/>
  </w:num>
  <w:num w:numId="17" w16cid:durableId="772939293">
    <w:abstractNumId w:val="19"/>
  </w:num>
  <w:num w:numId="18" w16cid:durableId="797265902">
    <w:abstractNumId w:val="12"/>
  </w:num>
  <w:num w:numId="19" w16cid:durableId="290013481">
    <w:abstractNumId w:val="18"/>
  </w:num>
  <w:num w:numId="20" w16cid:durableId="637033312">
    <w:abstractNumId w:val="16"/>
  </w:num>
  <w:num w:numId="21" w16cid:durableId="2136098510">
    <w:abstractNumId w:val="7"/>
  </w:num>
  <w:num w:numId="22" w16cid:durableId="1592931704">
    <w:abstractNumId w:val="17"/>
  </w:num>
  <w:num w:numId="23" w16cid:durableId="657734358">
    <w:abstractNumId w:val="21"/>
  </w:num>
  <w:num w:numId="24" w16cid:durableId="769669178">
    <w:abstractNumId w:val="8"/>
  </w:num>
  <w:num w:numId="25" w16cid:durableId="6799398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st Center">
    <w15:presenceInfo w15:providerId="None" w15:userId="Best C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EE"/>
    <w:rsid w:val="0001038E"/>
    <w:rsid w:val="000D7582"/>
    <w:rsid w:val="00192523"/>
    <w:rsid w:val="0027065D"/>
    <w:rsid w:val="002C05DC"/>
    <w:rsid w:val="00320CB9"/>
    <w:rsid w:val="00375C21"/>
    <w:rsid w:val="003C1225"/>
    <w:rsid w:val="0046243D"/>
    <w:rsid w:val="00483683"/>
    <w:rsid w:val="004910AF"/>
    <w:rsid w:val="004D28E5"/>
    <w:rsid w:val="00514234"/>
    <w:rsid w:val="0056524D"/>
    <w:rsid w:val="005A39CC"/>
    <w:rsid w:val="00624BE0"/>
    <w:rsid w:val="006F73B2"/>
    <w:rsid w:val="00797416"/>
    <w:rsid w:val="007C6DEB"/>
    <w:rsid w:val="00866A44"/>
    <w:rsid w:val="008C2DCE"/>
    <w:rsid w:val="008C4092"/>
    <w:rsid w:val="00914B22"/>
    <w:rsid w:val="00987737"/>
    <w:rsid w:val="00A049E3"/>
    <w:rsid w:val="00A162F3"/>
    <w:rsid w:val="00B209DD"/>
    <w:rsid w:val="00B63684"/>
    <w:rsid w:val="00BF7BB0"/>
    <w:rsid w:val="00C244EE"/>
    <w:rsid w:val="00D80B67"/>
    <w:rsid w:val="00E363B9"/>
    <w:rsid w:val="00EA1198"/>
    <w:rsid w:val="00EA5245"/>
    <w:rsid w:val="00FE45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A491"/>
  <w15:docId w15:val="{38569345-F162-A248-97EB-8A0354E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table" w:styleId="TableGrid">
    <w:name w:val="Table Grid"/>
    <w:basedOn w:val="TableNormal"/>
    <w:uiPriority w:val="3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24kjd">
    <w:name w:val="e24kjd"/>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BalloonTextChar">
    <w:name w:val="Balloon Text Char"/>
    <w:basedOn w:val="DefaultParagraphFont"/>
    <w:link w:val="BalloonText"/>
    <w:qFormat/>
    <w:rPr>
      <w:rFonts w:ascii="Tahoma" w:hAnsi="Tahoma" w:cs="Tahoma"/>
      <w:sz w:val="16"/>
      <w:szCs w:val="16"/>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14234"/>
    <w:rPr>
      <w:color w:val="0000FF" w:themeColor="hyperlink"/>
      <w:u w:val="single"/>
    </w:rPr>
  </w:style>
  <w:style w:type="character" w:styleId="UnresolvedMention">
    <w:name w:val="Unresolved Mention"/>
    <w:basedOn w:val="DefaultParagraphFont"/>
    <w:uiPriority w:val="99"/>
    <w:semiHidden/>
    <w:unhideWhenUsed/>
    <w:rsid w:val="00514234"/>
    <w:rPr>
      <w:color w:val="605E5C"/>
      <w:shd w:val="clear" w:color="auto" w:fill="E1DFDD"/>
    </w:rPr>
  </w:style>
  <w:style w:type="paragraph" w:styleId="Header">
    <w:name w:val="header"/>
    <w:basedOn w:val="Normal"/>
    <w:link w:val="HeaderChar"/>
    <w:uiPriority w:val="99"/>
    <w:unhideWhenUsed/>
    <w:rsid w:val="005A3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9CC"/>
    <w:rPr>
      <w:sz w:val="22"/>
      <w:szCs w:val="22"/>
    </w:rPr>
  </w:style>
  <w:style w:type="paragraph" w:styleId="Footer">
    <w:name w:val="footer"/>
    <w:basedOn w:val="Normal"/>
    <w:link w:val="FooterChar"/>
    <w:uiPriority w:val="99"/>
    <w:unhideWhenUsed/>
    <w:rsid w:val="005A3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9CC"/>
    <w:rPr>
      <w:sz w:val="22"/>
      <w:szCs w:val="22"/>
    </w:rPr>
  </w:style>
  <w:style w:type="character" w:styleId="CommentReference">
    <w:name w:val="annotation reference"/>
    <w:basedOn w:val="DefaultParagraphFont"/>
    <w:uiPriority w:val="99"/>
    <w:semiHidden/>
    <w:unhideWhenUsed/>
    <w:rsid w:val="00866A44"/>
    <w:rPr>
      <w:sz w:val="16"/>
      <w:szCs w:val="16"/>
    </w:rPr>
  </w:style>
  <w:style w:type="paragraph" w:styleId="CommentText">
    <w:name w:val="annotation text"/>
    <w:basedOn w:val="Normal"/>
    <w:link w:val="CommentTextChar"/>
    <w:uiPriority w:val="99"/>
    <w:semiHidden/>
    <w:unhideWhenUsed/>
    <w:rsid w:val="00866A44"/>
    <w:pPr>
      <w:spacing w:line="240" w:lineRule="auto"/>
    </w:pPr>
    <w:rPr>
      <w:sz w:val="20"/>
      <w:szCs w:val="20"/>
    </w:rPr>
  </w:style>
  <w:style w:type="character" w:customStyle="1" w:styleId="CommentTextChar">
    <w:name w:val="Comment Text Char"/>
    <w:basedOn w:val="DefaultParagraphFont"/>
    <w:link w:val="CommentText"/>
    <w:uiPriority w:val="99"/>
    <w:semiHidden/>
    <w:rsid w:val="00866A44"/>
  </w:style>
  <w:style w:type="paragraph" w:styleId="CommentSubject">
    <w:name w:val="annotation subject"/>
    <w:basedOn w:val="CommentText"/>
    <w:next w:val="CommentText"/>
    <w:link w:val="CommentSubjectChar"/>
    <w:uiPriority w:val="99"/>
    <w:semiHidden/>
    <w:unhideWhenUsed/>
    <w:rsid w:val="00866A44"/>
    <w:rPr>
      <w:b/>
      <w:bCs/>
    </w:rPr>
  </w:style>
  <w:style w:type="character" w:customStyle="1" w:styleId="CommentSubjectChar">
    <w:name w:val="Comment Subject Char"/>
    <w:basedOn w:val="CommentTextChar"/>
    <w:link w:val="CommentSubject"/>
    <w:uiPriority w:val="99"/>
    <w:semiHidden/>
    <w:rsid w:val="00866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hyperlink" Target="https://doi.org/10.47540/ijias.v4i3.1672" TargetMode="External"/><Relationship Id="rId1" Type="http://schemas.openxmlformats.org/officeDocument/2006/relationships/hyperlink" Target="https://doi.org/10.47540/ijsei.v5i3.1674"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9296C-5DBA-4243-B465-75C3E05F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Best Center</cp:lastModifiedBy>
  <cp:revision>9</cp:revision>
  <dcterms:created xsi:type="dcterms:W3CDTF">2025-02-14T12:21:00Z</dcterms:created>
  <dcterms:modified xsi:type="dcterms:W3CDTF">2025-02-14T15:04:00Z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y fmtid="{D5CDD505-2E9C-101B-9397-08002B2CF9AE}" pid="3" name="ICV">
    <vt:lpwstr>04dfcf55e5fb4c0cba9362d9842fa19d</vt:lpwstr>
  </property>
</Properties>
</file>