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5E7" w:rsidRPr="00B32E3B" w:rsidRDefault="00B32E3B">
      <w:pPr>
        <w:jc w:val="center"/>
        <w:rPr>
          <w:rFonts w:ascii="Times New Roman" w:hAnsi="Times New Roman" w:cs="Times New Roman"/>
          <w:b/>
          <w:bCs/>
          <w:color w:val="FF0000"/>
          <w:sz w:val="24"/>
          <w:szCs w:val="24"/>
        </w:rPr>
      </w:pPr>
      <w:r w:rsidRPr="00B32E3B">
        <w:rPr>
          <w:rFonts w:ascii="Times New Roman" w:hAnsi="Times New Roman" w:cs="Times New Roman"/>
          <w:b/>
          <w:bCs/>
          <w:color w:val="FF0000"/>
          <w:sz w:val="24"/>
          <w:szCs w:val="24"/>
        </w:rPr>
        <w:t xml:space="preserve">Integrated effect of </w:t>
      </w:r>
      <w:r w:rsidR="002D6E0C" w:rsidRPr="00B32E3B">
        <w:rPr>
          <w:rFonts w:ascii="Times New Roman" w:hAnsi="Times New Roman" w:cs="Times New Roman"/>
          <w:b/>
          <w:bCs/>
          <w:color w:val="FF0000"/>
          <w:sz w:val="24"/>
          <w:szCs w:val="24"/>
        </w:rPr>
        <w:t xml:space="preserve">FYM and potassium on nutrient content and quality </w:t>
      </w:r>
      <w:r w:rsidRPr="00B32E3B">
        <w:rPr>
          <w:rFonts w:ascii="Times New Roman" w:hAnsi="Times New Roman" w:cs="Times New Roman"/>
          <w:b/>
          <w:bCs/>
          <w:color w:val="FF0000"/>
          <w:sz w:val="24"/>
          <w:szCs w:val="24"/>
        </w:rPr>
        <w:t xml:space="preserve">of </w:t>
      </w:r>
      <w:r w:rsidRPr="00B32E3B">
        <w:rPr>
          <w:rFonts w:ascii="Times New Roman" w:hAnsi="Times New Roman" w:cs="Times New Roman"/>
          <w:b/>
          <w:bCs/>
          <w:i/>
          <w:iCs/>
          <w:color w:val="FF0000"/>
          <w:sz w:val="24"/>
          <w:szCs w:val="24"/>
        </w:rPr>
        <w:t xml:space="preserve">kharif </w:t>
      </w:r>
      <w:r w:rsidRPr="00B32E3B">
        <w:rPr>
          <w:rFonts w:ascii="Times New Roman" w:hAnsi="Times New Roman" w:cs="Times New Roman"/>
          <w:b/>
          <w:bCs/>
          <w:color w:val="FF0000"/>
          <w:sz w:val="24"/>
          <w:szCs w:val="24"/>
        </w:rPr>
        <w:t xml:space="preserve">groundnut </w:t>
      </w:r>
      <w:r w:rsidR="002D6E0C" w:rsidRPr="00B32E3B">
        <w:rPr>
          <w:rFonts w:ascii="Times New Roman" w:hAnsi="Times New Roman" w:cs="Times New Roman"/>
          <w:b/>
          <w:bCs/>
          <w:color w:val="FF0000"/>
          <w:sz w:val="24"/>
          <w:szCs w:val="24"/>
        </w:rPr>
        <w:t>in loamy sand</w:t>
      </w:r>
      <w:r w:rsidRPr="00B32E3B">
        <w:rPr>
          <w:rFonts w:ascii="Times New Roman" w:hAnsi="Times New Roman" w:cs="Times New Roman"/>
          <w:b/>
          <w:bCs/>
          <w:color w:val="FF0000"/>
          <w:sz w:val="24"/>
          <w:szCs w:val="24"/>
        </w:rPr>
        <w:t xml:space="preserve"> of -----</w:t>
      </w:r>
    </w:p>
    <w:p w:rsidR="0022602D" w:rsidRDefault="0022602D">
      <w:pPr>
        <w:spacing w:after="0" w:line="240" w:lineRule="auto"/>
        <w:rPr>
          <w:rFonts w:ascii="Times New Roman" w:hAnsi="Times New Roman" w:cs="Times New Roman"/>
          <w:sz w:val="24"/>
          <w:szCs w:val="24"/>
        </w:rPr>
      </w:pPr>
    </w:p>
    <w:p w:rsidR="0022602D" w:rsidRDefault="0022602D">
      <w:pPr>
        <w:spacing w:after="0" w:line="240" w:lineRule="auto"/>
        <w:rPr>
          <w:rFonts w:ascii="Times New Roman" w:hAnsi="Times New Roman" w:cs="Times New Roman"/>
          <w:sz w:val="24"/>
          <w:szCs w:val="24"/>
        </w:rPr>
      </w:pPr>
      <w:bookmarkStart w:id="0" w:name="_GoBack"/>
      <w:bookmarkEnd w:id="0"/>
    </w:p>
    <w:p w:rsidR="0022602D" w:rsidRDefault="0022602D">
      <w:pPr>
        <w:spacing w:after="0" w:line="240" w:lineRule="auto"/>
        <w:rPr>
          <w:rFonts w:ascii="Times New Roman" w:hAnsi="Times New Roman" w:cs="Times New Roman"/>
          <w:sz w:val="24"/>
          <w:szCs w:val="24"/>
        </w:rPr>
      </w:pPr>
    </w:p>
    <w:p w:rsidR="004145E7" w:rsidRPr="0022602D" w:rsidRDefault="002D6E0C">
      <w:pPr>
        <w:spacing w:after="0" w:line="240" w:lineRule="auto"/>
        <w:rPr>
          <w:rFonts w:ascii="Times New Roman" w:hAnsi="Times New Roman" w:cs="Times New Roman"/>
          <w:sz w:val="24"/>
          <w:szCs w:val="24"/>
        </w:rPr>
      </w:pPr>
      <w:r>
        <w:rPr>
          <w:rFonts w:ascii="Times New Roman" w:hAnsi="Times New Roman" w:cs="Times New Roman"/>
          <w:b/>
          <w:bCs/>
          <w:sz w:val="24"/>
          <w:szCs w:val="24"/>
        </w:rPr>
        <w:t>ABSTRACT</w:t>
      </w:r>
    </w:p>
    <w:p w:rsidR="004145E7" w:rsidRDefault="004145E7">
      <w:pPr>
        <w:spacing w:after="0" w:line="240" w:lineRule="auto"/>
        <w:rPr>
          <w:rFonts w:ascii="Times New Roman" w:hAnsi="Times New Roman" w:cs="Times New Roman"/>
          <w:b/>
          <w:bCs/>
          <w:sz w:val="24"/>
          <w:szCs w:val="24"/>
        </w:rPr>
      </w:pPr>
    </w:p>
    <w:tbl>
      <w:tblPr>
        <w:tblW w:w="0" w:type="auto"/>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7"/>
      </w:tblGrid>
      <w:tr w:rsidR="004145E7">
        <w:trPr>
          <w:trHeight w:val="5467"/>
        </w:trPr>
        <w:tc>
          <w:tcPr>
            <w:tcW w:w="9427" w:type="dxa"/>
          </w:tcPr>
          <w:p w:rsidR="004145E7" w:rsidRDefault="002D6E0C">
            <w:pPr>
              <w:spacing w:after="0" w:line="240" w:lineRule="auto"/>
              <w:ind w:left="-13"/>
              <w:jc w:val="both"/>
              <w:rPr>
                <w:rFonts w:ascii="Times New Roman" w:hAnsi="Times New Roman" w:cs="Times New Roman"/>
                <w:sz w:val="24"/>
                <w:szCs w:val="24"/>
              </w:rPr>
            </w:pPr>
            <w:r>
              <w:rPr>
                <w:rFonts w:ascii="Times New Roman" w:hAnsi="Times New Roman" w:cs="Times New Roman"/>
                <w:b/>
                <w:bCs/>
                <w:sz w:val="24"/>
                <w:szCs w:val="24"/>
              </w:rPr>
              <w:t>Aims:</w:t>
            </w:r>
            <w:r>
              <w:rPr>
                <w:rFonts w:ascii="Times New Roman" w:hAnsi="Times New Roman" w:cs="Times New Roman"/>
                <w:sz w:val="24"/>
                <w:szCs w:val="24"/>
              </w:rPr>
              <w:t xml:space="preserve"> To study the effect of FYM and potassium on nutrient content and quality</w:t>
            </w:r>
            <w:r w:rsidR="008B7893">
              <w:rPr>
                <w:rFonts w:ascii="Times New Roman" w:hAnsi="Times New Roman" w:cs="Times New Roman"/>
                <w:sz w:val="24"/>
                <w:szCs w:val="24"/>
              </w:rPr>
              <w:t xml:space="preserve"> of</w:t>
            </w:r>
            <w:r>
              <w:rPr>
                <w:rFonts w:ascii="Times New Roman" w:hAnsi="Times New Roman" w:cs="Times New Roman"/>
                <w:sz w:val="24"/>
                <w:szCs w:val="24"/>
              </w:rPr>
              <w:t xml:space="preserve"> </w:t>
            </w:r>
            <w:r w:rsidR="008B7893">
              <w:rPr>
                <w:rFonts w:ascii="Times New Roman" w:hAnsi="Times New Roman" w:cs="Times New Roman"/>
                <w:i/>
                <w:iCs/>
                <w:sz w:val="24"/>
                <w:szCs w:val="24"/>
              </w:rPr>
              <w:t>kharif</w:t>
            </w:r>
            <w:r w:rsidR="008B7893">
              <w:rPr>
                <w:rFonts w:ascii="Times New Roman" w:hAnsi="Times New Roman" w:cs="Times New Roman"/>
                <w:sz w:val="24"/>
                <w:szCs w:val="24"/>
              </w:rPr>
              <w:t xml:space="preserve"> groundnut </w:t>
            </w:r>
            <w:r>
              <w:rPr>
                <w:rFonts w:ascii="Times New Roman" w:hAnsi="Times New Roman" w:cs="Times New Roman"/>
                <w:sz w:val="24"/>
                <w:szCs w:val="24"/>
              </w:rPr>
              <w:t>in loamy sand</w:t>
            </w:r>
            <w:r w:rsidR="008B7893" w:rsidRPr="008B7893">
              <w:rPr>
                <w:rFonts w:ascii="Times New Roman" w:hAnsi="Times New Roman" w:cs="Times New Roman"/>
                <w:color w:val="FF0000"/>
                <w:sz w:val="24"/>
                <w:szCs w:val="24"/>
              </w:rPr>
              <w:t xml:space="preserve"> of ……</w:t>
            </w:r>
          </w:p>
          <w:p w:rsidR="004145E7" w:rsidRDefault="002D6E0C">
            <w:pPr>
              <w:spacing w:after="0" w:line="240" w:lineRule="auto"/>
              <w:ind w:left="-13"/>
              <w:jc w:val="both"/>
              <w:rPr>
                <w:rFonts w:ascii="Times New Roman" w:hAnsi="Times New Roman" w:cs="Times New Roman"/>
                <w:sz w:val="24"/>
                <w:szCs w:val="24"/>
              </w:rPr>
            </w:pPr>
            <w:r>
              <w:rPr>
                <w:rFonts w:ascii="Times New Roman" w:hAnsi="Times New Roman" w:cs="Times New Roman"/>
                <w:b/>
                <w:bCs/>
                <w:sz w:val="24"/>
                <w:szCs w:val="24"/>
              </w:rPr>
              <w:t>Study design:</w:t>
            </w:r>
            <w:r>
              <w:rPr>
                <w:rFonts w:ascii="Times New Roman" w:hAnsi="Times New Roman" w:cs="Times New Roman"/>
                <w:sz w:val="24"/>
                <w:szCs w:val="24"/>
              </w:rPr>
              <w:t xml:space="preserve"> Factorial Randomized Block Design.</w:t>
            </w:r>
          </w:p>
          <w:p w:rsidR="004145E7" w:rsidRDefault="002D6E0C">
            <w:pPr>
              <w:spacing w:after="0" w:line="240" w:lineRule="auto"/>
              <w:ind w:left="-13"/>
              <w:jc w:val="both"/>
              <w:rPr>
                <w:rFonts w:ascii="Times New Roman" w:hAnsi="Times New Roman" w:cs="Times New Roman"/>
                <w:sz w:val="24"/>
                <w:szCs w:val="24"/>
              </w:rPr>
            </w:pPr>
            <w:r>
              <w:rPr>
                <w:rFonts w:ascii="Times New Roman" w:hAnsi="Times New Roman" w:cs="Times New Roman"/>
                <w:b/>
                <w:bCs/>
                <w:sz w:val="24"/>
                <w:szCs w:val="24"/>
              </w:rPr>
              <w:t>Place and Duration of Study:</w:t>
            </w:r>
            <w:r>
              <w:rPr>
                <w:rFonts w:ascii="Times New Roman" w:hAnsi="Times New Roman" w:cs="Times New Roman"/>
                <w:sz w:val="24"/>
                <w:szCs w:val="24"/>
              </w:rPr>
              <w:t xml:space="preserve"> The field experiment was carried out during </w:t>
            </w:r>
            <w:commentRangeStart w:id="1"/>
            <w:r>
              <w:rPr>
                <w:rFonts w:ascii="Times New Roman" w:hAnsi="Times New Roman" w:cs="Times New Roman"/>
                <w:sz w:val="24"/>
                <w:szCs w:val="24"/>
              </w:rPr>
              <w:t xml:space="preserve">the </w:t>
            </w:r>
            <w:commentRangeEnd w:id="1"/>
            <w:r w:rsidR="005C680B">
              <w:rPr>
                <w:rStyle w:val="CommentReference"/>
              </w:rPr>
              <w:commentReference w:id="1"/>
            </w:r>
            <w:r>
              <w:rPr>
                <w:rFonts w:ascii="Times New Roman" w:hAnsi="Times New Roman" w:cs="Times New Roman"/>
                <w:i/>
                <w:iCs/>
                <w:sz w:val="24"/>
                <w:szCs w:val="24"/>
              </w:rPr>
              <w:t>kharif</w:t>
            </w:r>
            <w:r>
              <w:rPr>
                <w:rFonts w:ascii="Times New Roman" w:hAnsi="Times New Roman" w:cs="Times New Roman"/>
                <w:sz w:val="24"/>
                <w:szCs w:val="24"/>
              </w:rPr>
              <w:t xml:space="preserve"> season at Castor Mustard Research Station, Sardarkrushinagar</w:t>
            </w:r>
            <w:r w:rsidR="005C680B">
              <w:rPr>
                <w:rFonts w:ascii="Times New Roman" w:hAnsi="Times New Roman" w:cs="Times New Roman"/>
                <w:sz w:val="24"/>
                <w:szCs w:val="24"/>
              </w:rPr>
              <w:t xml:space="preserve"> </w:t>
            </w:r>
            <w:r>
              <w:rPr>
                <w:rFonts w:ascii="Times New Roman" w:hAnsi="Times New Roman" w:cs="Times New Roman"/>
                <w:sz w:val="24"/>
                <w:szCs w:val="24"/>
              </w:rPr>
              <w:t>Dantiwada Agricultural University, Sardarkrushinagar</w:t>
            </w:r>
            <w:r w:rsidR="005C680B">
              <w:rPr>
                <w:rFonts w:ascii="Times New Roman" w:hAnsi="Times New Roman" w:cs="Times New Roman"/>
                <w:sz w:val="24"/>
                <w:szCs w:val="24"/>
              </w:rPr>
              <w:t xml:space="preserve">, </w:t>
            </w:r>
            <w:r w:rsidR="005C680B" w:rsidRPr="005C680B">
              <w:rPr>
                <w:rFonts w:ascii="Times New Roman" w:hAnsi="Times New Roman" w:cs="Times New Roman"/>
                <w:color w:val="FF0000"/>
                <w:sz w:val="24"/>
                <w:szCs w:val="24"/>
              </w:rPr>
              <w:t>-------</w:t>
            </w:r>
          </w:p>
          <w:p w:rsidR="004145E7" w:rsidRDefault="002D6E0C">
            <w:pPr>
              <w:spacing w:after="0" w:line="240" w:lineRule="auto"/>
              <w:ind w:left="-13"/>
              <w:jc w:val="both"/>
              <w:rPr>
                <w:rFonts w:ascii="Times New Roman" w:hAnsi="Times New Roman" w:cs="Times New Roman"/>
                <w:sz w:val="24"/>
                <w:szCs w:val="24"/>
              </w:rPr>
            </w:pPr>
            <w:r>
              <w:rPr>
                <w:rFonts w:ascii="Times New Roman" w:hAnsi="Times New Roman" w:cs="Times New Roman"/>
                <w:b/>
                <w:bCs/>
                <w:sz w:val="24"/>
                <w:szCs w:val="24"/>
              </w:rPr>
              <w:t>Methodology:</w:t>
            </w:r>
            <w:r>
              <w:rPr>
                <w:rFonts w:ascii="Times New Roman" w:hAnsi="Times New Roman" w:cs="Times New Roman"/>
                <w:sz w:val="24"/>
                <w:szCs w:val="24"/>
              </w:rPr>
              <w:t xml:space="preserve"> The field trial was laid out</w:t>
            </w:r>
            <w:r w:rsidR="00C67C88">
              <w:rPr>
                <w:rFonts w:ascii="Times New Roman" w:hAnsi="Times New Roman" w:cs="Times New Roman"/>
                <w:sz w:val="24"/>
                <w:szCs w:val="24"/>
              </w:rPr>
              <w:t xml:space="preserve"> </w:t>
            </w:r>
            <w:r w:rsidR="00C67C88" w:rsidRPr="00C67C88">
              <w:rPr>
                <w:rFonts w:ascii="Times New Roman" w:hAnsi="Times New Roman" w:cs="Times New Roman"/>
                <w:color w:val="FF0000"/>
                <w:sz w:val="24"/>
                <w:szCs w:val="24"/>
              </w:rPr>
              <w:t>in Factorial Randomized Block Design</w:t>
            </w:r>
            <w:r>
              <w:rPr>
                <w:rFonts w:ascii="Times New Roman" w:hAnsi="Times New Roman" w:cs="Times New Roman"/>
                <w:sz w:val="24"/>
                <w:szCs w:val="24"/>
              </w:rPr>
              <w:t xml:space="preserve"> with three replications and the treatments comprised of two levels of FYM (F</w:t>
            </w:r>
            <w:r>
              <w:rPr>
                <w:rFonts w:ascii="Times New Roman" w:hAnsi="Times New Roman" w:cs="Times New Roman"/>
                <w:sz w:val="24"/>
                <w:szCs w:val="24"/>
                <w:vertAlign w:val="subscript"/>
              </w:rPr>
              <w:t>1</w:t>
            </w:r>
            <w:r>
              <w:rPr>
                <w:rFonts w:ascii="Times New Roman" w:hAnsi="Times New Roman" w:cs="Times New Roman"/>
                <w:sz w:val="24"/>
                <w:szCs w:val="24"/>
              </w:rPr>
              <w:t>: 0 t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and F</w:t>
            </w:r>
            <w:r>
              <w:rPr>
                <w:rFonts w:ascii="Times New Roman" w:hAnsi="Times New Roman" w:cs="Times New Roman"/>
                <w:sz w:val="24"/>
                <w:szCs w:val="24"/>
                <w:vertAlign w:val="subscript"/>
              </w:rPr>
              <w:t>2:</w:t>
            </w:r>
            <w:r>
              <w:rPr>
                <w:rFonts w:ascii="Times New Roman" w:hAnsi="Times New Roman" w:cs="Times New Roman"/>
                <w:sz w:val="24"/>
                <w:szCs w:val="24"/>
              </w:rPr>
              <w:t xml:space="preserve">  5 t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00C67C88">
              <w:rPr>
                <w:rFonts w:ascii="Times New Roman" w:hAnsi="Times New Roman" w:cs="Times New Roman"/>
                <w:sz w:val="24"/>
                <w:szCs w:val="24"/>
              </w:rPr>
              <w:t xml:space="preserve"> </w:t>
            </w:r>
            <w:r>
              <w:rPr>
                <w:rFonts w:ascii="Times New Roman" w:hAnsi="Times New Roman" w:cs="Times New Roman"/>
                <w:sz w:val="24"/>
                <w:szCs w:val="24"/>
              </w:rPr>
              <w:t>three levels of potassium (K</w:t>
            </w:r>
            <w:r>
              <w:rPr>
                <w:rFonts w:ascii="Times New Roman" w:hAnsi="Times New Roman" w:cs="Times New Roman"/>
                <w:sz w:val="24"/>
                <w:szCs w:val="24"/>
                <w:vertAlign w:val="subscript"/>
              </w:rPr>
              <w:t>1</w:t>
            </w:r>
            <w:r>
              <w:rPr>
                <w:rFonts w:ascii="Times New Roman" w:hAnsi="Times New Roman" w:cs="Times New Roman"/>
                <w:sz w:val="24"/>
                <w:szCs w:val="24"/>
              </w:rPr>
              <w:t>: 20 kg K</w:t>
            </w:r>
            <w:r>
              <w:rPr>
                <w:rFonts w:ascii="Times New Roman" w:hAnsi="Times New Roman" w:cs="Times New Roman"/>
                <w:sz w:val="24"/>
                <w:szCs w:val="24"/>
                <w:vertAlign w:val="subscript"/>
              </w:rPr>
              <w:t>2</w:t>
            </w:r>
            <w:r>
              <w:rPr>
                <w:rFonts w:ascii="Times New Roman" w:hAnsi="Times New Roman" w:cs="Times New Roman"/>
                <w:sz w:val="24"/>
                <w:szCs w:val="24"/>
              </w:rPr>
              <w:t>O ha</w:t>
            </w:r>
            <w:r>
              <w:rPr>
                <w:rFonts w:ascii="Times New Roman" w:hAnsi="Times New Roman" w:cs="Times New Roman"/>
                <w:sz w:val="24"/>
                <w:szCs w:val="24"/>
                <w:vertAlign w:val="superscript"/>
              </w:rPr>
              <w:t>-1</w:t>
            </w:r>
            <w:r>
              <w:rPr>
                <w:rFonts w:ascii="Times New Roman" w:hAnsi="Times New Roman" w:cs="Times New Roman"/>
                <w:sz w:val="24"/>
                <w:szCs w:val="24"/>
              </w:rPr>
              <w:t>, K</w:t>
            </w:r>
            <w:r>
              <w:rPr>
                <w:rFonts w:ascii="Times New Roman" w:hAnsi="Times New Roman" w:cs="Times New Roman"/>
                <w:sz w:val="24"/>
                <w:szCs w:val="24"/>
                <w:vertAlign w:val="subscript"/>
              </w:rPr>
              <w:t>2</w:t>
            </w:r>
            <w:r>
              <w:rPr>
                <w:rFonts w:ascii="Times New Roman" w:hAnsi="Times New Roman" w:cs="Times New Roman"/>
                <w:sz w:val="24"/>
                <w:szCs w:val="24"/>
              </w:rPr>
              <w:t>: 40 kg K</w:t>
            </w:r>
            <w:r>
              <w:rPr>
                <w:rFonts w:ascii="Times New Roman" w:hAnsi="Times New Roman" w:cs="Times New Roman"/>
                <w:sz w:val="24"/>
                <w:szCs w:val="24"/>
                <w:vertAlign w:val="subscript"/>
              </w:rPr>
              <w:t>2</w:t>
            </w:r>
            <w:r>
              <w:rPr>
                <w:rFonts w:ascii="Times New Roman" w:hAnsi="Times New Roman" w:cs="Times New Roman"/>
                <w:sz w:val="24"/>
                <w:szCs w:val="24"/>
              </w:rPr>
              <w:t>O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and K</w:t>
            </w:r>
            <w:r>
              <w:rPr>
                <w:rFonts w:ascii="Times New Roman" w:hAnsi="Times New Roman" w:cs="Times New Roman"/>
                <w:sz w:val="24"/>
                <w:szCs w:val="24"/>
                <w:vertAlign w:val="subscript"/>
              </w:rPr>
              <w:t>3</w:t>
            </w:r>
            <w:r>
              <w:rPr>
                <w:rFonts w:ascii="Times New Roman" w:hAnsi="Times New Roman" w:cs="Times New Roman"/>
                <w:sz w:val="24"/>
                <w:szCs w:val="24"/>
              </w:rPr>
              <w:t>: 60 kg K</w:t>
            </w:r>
            <w:r>
              <w:rPr>
                <w:rFonts w:ascii="Times New Roman" w:hAnsi="Times New Roman" w:cs="Times New Roman"/>
                <w:sz w:val="24"/>
                <w:szCs w:val="24"/>
                <w:vertAlign w:val="subscript"/>
              </w:rPr>
              <w:t>2</w:t>
            </w:r>
            <w:r>
              <w:rPr>
                <w:rFonts w:ascii="Times New Roman" w:hAnsi="Times New Roman" w:cs="Times New Roman"/>
                <w:sz w:val="24"/>
                <w:szCs w:val="24"/>
              </w:rPr>
              <w:t>O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and two levels of </w:t>
            </w:r>
            <w:commentRangeStart w:id="2"/>
            <w:r>
              <w:rPr>
                <w:rFonts w:ascii="Times New Roman" w:hAnsi="Times New Roman" w:cs="Times New Roman"/>
                <w:sz w:val="24"/>
                <w:szCs w:val="24"/>
              </w:rPr>
              <w:t>KMB</w:t>
            </w:r>
            <w:commentRangeEnd w:id="2"/>
            <w:r w:rsidR="00C67C88">
              <w:rPr>
                <w:rStyle w:val="CommentReference"/>
              </w:rPr>
              <w:commentReference w:id="2"/>
            </w:r>
            <w:r>
              <w:rPr>
                <w:rFonts w:ascii="Times New Roman" w:hAnsi="Times New Roman" w:cs="Times New Roman"/>
                <w:sz w:val="24"/>
                <w:szCs w:val="24"/>
              </w:rPr>
              <w:t xml:space="preserve"> </w:t>
            </w:r>
            <w:commentRangeStart w:id="3"/>
            <w:r>
              <w:rPr>
                <w:rFonts w:ascii="Times New Roman" w:hAnsi="Times New Roman" w:cs="Times New Roman"/>
                <w:sz w:val="24"/>
                <w:szCs w:val="24"/>
              </w:rPr>
              <w:t>(B</w:t>
            </w:r>
            <w:r>
              <w:rPr>
                <w:rFonts w:ascii="Times New Roman" w:hAnsi="Times New Roman" w:cs="Times New Roman"/>
                <w:sz w:val="24"/>
                <w:szCs w:val="24"/>
                <w:vertAlign w:val="subscript"/>
              </w:rPr>
              <w:t>1</w:t>
            </w:r>
            <w:r>
              <w:rPr>
                <w:rFonts w:ascii="Times New Roman" w:hAnsi="Times New Roman" w:cs="Times New Roman"/>
                <w:sz w:val="24"/>
                <w:szCs w:val="24"/>
              </w:rPr>
              <w:t>: With and B</w:t>
            </w:r>
            <w:r>
              <w:rPr>
                <w:rFonts w:ascii="Times New Roman" w:hAnsi="Times New Roman" w:cs="Times New Roman"/>
                <w:sz w:val="24"/>
                <w:szCs w:val="24"/>
                <w:vertAlign w:val="subscript"/>
              </w:rPr>
              <w:t>2</w:t>
            </w:r>
            <w:r>
              <w:rPr>
                <w:rFonts w:ascii="Times New Roman" w:hAnsi="Times New Roman" w:cs="Times New Roman"/>
                <w:sz w:val="24"/>
                <w:szCs w:val="24"/>
              </w:rPr>
              <w:t>: Without).</w:t>
            </w:r>
            <w:commentRangeEnd w:id="3"/>
            <w:r w:rsidR="00C67C88">
              <w:rPr>
                <w:rStyle w:val="CommentReference"/>
              </w:rPr>
              <w:commentReference w:id="3"/>
            </w:r>
          </w:p>
          <w:p w:rsidR="004145E7" w:rsidRDefault="002D6E0C" w:rsidP="001208C6">
            <w:pPr>
              <w:jc w:val="both"/>
              <w:rPr>
                <w:rFonts w:ascii="Times New Roman" w:hAnsi="Times New Roman" w:cs="Times New Roman"/>
                <w:sz w:val="24"/>
                <w:szCs w:val="24"/>
              </w:rPr>
            </w:pPr>
            <w:r>
              <w:rPr>
                <w:rFonts w:ascii="Times New Roman" w:hAnsi="Times New Roman" w:cs="Times New Roman"/>
                <w:b/>
                <w:bCs/>
                <w:sz w:val="24"/>
                <w:szCs w:val="24"/>
              </w:rPr>
              <w:t>Results:</w:t>
            </w:r>
            <w:r>
              <w:rPr>
                <w:rFonts w:ascii="Times New Roman" w:hAnsi="Times New Roman" w:cs="Times New Roman"/>
                <w:sz w:val="24"/>
                <w:szCs w:val="24"/>
              </w:rPr>
              <w:t xml:space="preserve"> The results showed that </w:t>
            </w:r>
            <w:commentRangeStart w:id="4"/>
            <w:r>
              <w:rPr>
                <w:rFonts w:ascii="Times New Roman" w:hAnsi="Times New Roman" w:cs="Times New Roman"/>
                <w:sz w:val="24"/>
                <w:szCs w:val="24"/>
              </w:rPr>
              <w:t xml:space="preserve">the </w:t>
            </w:r>
            <w:commentRangeEnd w:id="4"/>
            <w:r w:rsidR="00C345BB">
              <w:rPr>
                <w:rStyle w:val="CommentReference"/>
              </w:rPr>
              <w:commentReference w:id="4"/>
            </w:r>
            <w:r w:rsidR="00C345BB">
              <w:rPr>
                <w:rFonts w:ascii="Times New Roman" w:hAnsi="Times New Roman" w:cs="Times New Roman"/>
                <w:sz w:val="24"/>
                <w:szCs w:val="24"/>
              </w:rPr>
              <w:t>s</w:t>
            </w:r>
            <w:r>
              <w:rPr>
                <w:rFonts w:ascii="Times New Roman" w:hAnsi="Times New Roman" w:cs="Times New Roman"/>
                <w:sz w:val="24"/>
                <w:szCs w:val="24"/>
              </w:rPr>
              <w:t>ignificantly higher oil (50.24 %) and protein (23.90 %) content of groundnut was observed with FYM application @ 5 t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(F</w:t>
            </w:r>
            <w:r>
              <w:rPr>
                <w:rFonts w:ascii="Times New Roman" w:hAnsi="Times New Roman" w:cs="Times New Roman"/>
                <w:sz w:val="24"/>
                <w:szCs w:val="24"/>
                <w:vertAlign w:val="subscript"/>
              </w:rPr>
              <w:t>2</w:t>
            </w:r>
            <w:r>
              <w:rPr>
                <w:rFonts w:ascii="Times New Roman" w:hAnsi="Times New Roman" w:cs="Times New Roman"/>
                <w:sz w:val="24"/>
                <w:szCs w:val="24"/>
              </w:rPr>
              <w:t xml:space="preserve">). Moreover, significantly higher </w:t>
            </w:r>
            <w:r w:rsidR="00C345BB">
              <w:rPr>
                <w:rFonts w:ascii="Times New Roman" w:hAnsi="Times New Roman" w:cs="Times New Roman"/>
                <w:sz w:val="24"/>
                <w:szCs w:val="24"/>
              </w:rPr>
              <w:t xml:space="preserve">nitrogen </w:t>
            </w:r>
            <w:commentRangeStart w:id="5"/>
            <w:r>
              <w:rPr>
                <w:rFonts w:ascii="Times New Roman" w:hAnsi="Times New Roman" w:cs="Times New Roman"/>
                <w:sz w:val="24"/>
                <w:szCs w:val="24"/>
              </w:rPr>
              <w:t xml:space="preserve">of </w:t>
            </w:r>
            <w:commentRangeEnd w:id="5"/>
            <w:r w:rsidR="00C345BB">
              <w:rPr>
                <w:rStyle w:val="CommentReference"/>
              </w:rPr>
              <w:commentReference w:id="5"/>
            </w:r>
            <w:r>
              <w:rPr>
                <w:rFonts w:ascii="Times New Roman" w:hAnsi="Times New Roman" w:cs="Times New Roman"/>
                <w:sz w:val="24"/>
                <w:szCs w:val="24"/>
              </w:rPr>
              <w:t xml:space="preserve">(3.39 %), phosphorus (0.46 %) and potassium (0.61 %) </w:t>
            </w:r>
            <w:r w:rsidR="00C345BB">
              <w:rPr>
                <w:rFonts w:ascii="Times New Roman" w:hAnsi="Times New Roman" w:cs="Times New Roman"/>
                <w:sz w:val="24"/>
                <w:szCs w:val="24"/>
              </w:rPr>
              <w:t xml:space="preserve">content </w:t>
            </w:r>
            <w:r>
              <w:rPr>
                <w:rFonts w:ascii="Times New Roman" w:hAnsi="Times New Roman" w:cs="Times New Roman"/>
                <w:sz w:val="24"/>
                <w:szCs w:val="24"/>
              </w:rPr>
              <w:t xml:space="preserve">in kernel and </w:t>
            </w:r>
            <w:r w:rsidR="00F7152D">
              <w:rPr>
                <w:rFonts w:ascii="Times New Roman" w:hAnsi="Times New Roman" w:cs="Times New Roman"/>
                <w:sz w:val="24"/>
                <w:szCs w:val="24"/>
              </w:rPr>
              <w:t>1.49 %</w:t>
            </w:r>
            <w:r>
              <w:rPr>
                <w:rFonts w:ascii="Times New Roman" w:hAnsi="Times New Roman" w:cs="Times New Roman"/>
                <w:sz w:val="24"/>
                <w:szCs w:val="24"/>
              </w:rPr>
              <w:t xml:space="preserve"> </w:t>
            </w:r>
            <w:r w:rsidR="00F7152D">
              <w:rPr>
                <w:rFonts w:ascii="Times New Roman" w:hAnsi="Times New Roman" w:cs="Times New Roman"/>
                <w:sz w:val="24"/>
                <w:szCs w:val="24"/>
              </w:rPr>
              <w:t xml:space="preserve">nitrogen, 0.20 % </w:t>
            </w:r>
            <w:r>
              <w:rPr>
                <w:rFonts w:ascii="Times New Roman" w:hAnsi="Times New Roman" w:cs="Times New Roman"/>
                <w:sz w:val="24"/>
                <w:szCs w:val="24"/>
              </w:rPr>
              <w:t xml:space="preserve">phosphorus </w:t>
            </w:r>
            <w:r w:rsidR="001208C6">
              <w:rPr>
                <w:rFonts w:ascii="Times New Roman" w:hAnsi="Times New Roman" w:cs="Times New Roman"/>
                <w:sz w:val="24"/>
                <w:szCs w:val="24"/>
              </w:rPr>
              <w:t xml:space="preserve">and 0.66 % </w:t>
            </w:r>
            <w:r>
              <w:rPr>
                <w:rFonts w:ascii="Times New Roman" w:hAnsi="Times New Roman" w:cs="Times New Roman"/>
                <w:sz w:val="24"/>
                <w:szCs w:val="24"/>
              </w:rPr>
              <w:t xml:space="preserve">potassium </w:t>
            </w:r>
            <w:r w:rsidR="00C345BB">
              <w:rPr>
                <w:rFonts w:ascii="Times New Roman" w:hAnsi="Times New Roman" w:cs="Times New Roman"/>
                <w:sz w:val="24"/>
                <w:szCs w:val="24"/>
              </w:rPr>
              <w:t xml:space="preserve">in haulm </w:t>
            </w:r>
            <w:r w:rsidR="001208C6">
              <w:rPr>
                <w:rFonts w:ascii="Times New Roman" w:hAnsi="Times New Roman" w:cs="Times New Roman"/>
                <w:sz w:val="24"/>
                <w:szCs w:val="24"/>
              </w:rPr>
              <w:t>were</w:t>
            </w:r>
            <w:r>
              <w:rPr>
                <w:rFonts w:ascii="Times New Roman" w:hAnsi="Times New Roman" w:cs="Times New Roman"/>
                <w:sz w:val="24"/>
                <w:szCs w:val="24"/>
              </w:rPr>
              <w:t xml:space="preserve"> observed with application of 5 t FYM ha</w:t>
            </w:r>
            <w:r>
              <w:rPr>
                <w:rFonts w:ascii="Times New Roman" w:hAnsi="Times New Roman" w:cs="Times New Roman"/>
                <w:sz w:val="24"/>
                <w:szCs w:val="24"/>
                <w:vertAlign w:val="superscript"/>
              </w:rPr>
              <w:t>-1</w:t>
            </w:r>
            <w:r>
              <w:rPr>
                <w:rFonts w:ascii="Times New Roman" w:hAnsi="Times New Roman" w:cs="Times New Roman"/>
                <w:sz w:val="24"/>
                <w:szCs w:val="24"/>
              </w:rPr>
              <w:t>. Among three levels of potassium, K</w:t>
            </w:r>
            <w:r>
              <w:rPr>
                <w:rFonts w:ascii="Times New Roman" w:hAnsi="Times New Roman" w:cs="Times New Roman"/>
                <w:sz w:val="24"/>
                <w:szCs w:val="24"/>
                <w:vertAlign w:val="subscript"/>
              </w:rPr>
              <w:t xml:space="preserve">3 </w:t>
            </w:r>
            <w:commentRangeStart w:id="6"/>
            <w:r>
              <w:rPr>
                <w:rFonts w:ascii="Times New Roman" w:hAnsi="Times New Roman" w:cs="Times New Roman"/>
                <w:sz w:val="24"/>
                <w:szCs w:val="24"/>
              </w:rPr>
              <w:t xml:space="preserve">level </w:t>
            </w:r>
            <w:commentRangeEnd w:id="6"/>
            <w:r w:rsidR="001208C6">
              <w:rPr>
                <w:rStyle w:val="CommentReference"/>
              </w:rPr>
              <w:commentReference w:id="6"/>
            </w:r>
            <w:r>
              <w:rPr>
                <w:rFonts w:ascii="Times New Roman" w:hAnsi="Times New Roman" w:cs="Times New Roman"/>
                <w:sz w:val="24"/>
                <w:szCs w:val="24"/>
              </w:rPr>
              <w:t>(60 kg K</w:t>
            </w:r>
            <w:r>
              <w:rPr>
                <w:rFonts w:ascii="Times New Roman" w:hAnsi="Times New Roman" w:cs="Times New Roman"/>
                <w:sz w:val="24"/>
                <w:szCs w:val="24"/>
                <w:vertAlign w:val="subscript"/>
              </w:rPr>
              <w:t>2</w:t>
            </w:r>
            <w:r>
              <w:rPr>
                <w:rFonts w:ascii="Times New Roman" w:hAnsi="Times New Roman" w:cs="Times New Roman"/>
                <w:sz w:val="24"/>
                <w:szCs w:val="24"/>
              </w:rPr>
              <w:t>O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recorded significantly maximum oil (50.27 %) and protein (24.19 %) contents, P (0.45 %) and K (0.60 %) content in kernel and N (1.49 %), K (0.66 %) content in haulm. Oil (50.06 %) and protein (23.93 %) contents found positive with KMB application over </w:t>
            </w:r>
            <w:r w:rsidR="001208C6" w:rsidRPr="001208C6">
              <w:rPr>
                <w:rFonts w:ascii="Times New Roman" w:hAnsi="Times New Roman" w:cs="Times New Roman"/>
                <w:color w:val="FF0000"/>
                <w:sz w:val="24"/>
                <w:szCs w:val="24"/>
              </w:rPr>
              <w:t>without</w:t>
            </w:r>
            <w:r>
              <w:rPr>
                <w:rFonts w:ascii="Times New Roman" w:hAnsi="Times New Roman" w:cs="Times New Roman"/>
                <w:sz w:val="24"/>
                <w:szCs w:val="24"/>
              </w:rPr>
              <w:t xml:space="preserve"> KMB.</w:t>
            </w:r>
          </w:p>
        </w:tc>
      </w:tr>
    </w:tbl>
    <w:p w:rsidR="001208C6" w:rsidRDefault="001208C6">
      <w:pPr>
        <w:jc w:val="both"/>
        <w:rPr>
          <w:rFonts w:ascii="Times New Roman" w:hAnsi="Times New Roman" w:cs="Times New Roman"/>
          <w:b/>
          <w:bCs/>
          <w:sz w:val="24"/>
          <w:szCs w:val="24"/>
        </w:rPr>
      </w:pPr>
    </w:p>
    <w:p w:rsidR="004145E7" w:rsidRPr="001208C6" w:rsidRDefault="002D6E0C" w:rsidP="001208C6">
      <w:pPr>
        <w:jc w:val="both"/>
        <w:rPr>
          <w:rFonts w:ascii="Times New Roman" w:hAnsi="Times New Roman" w:cs="Times New Roman"/>
          <w:b/>
          <w:bCs/>
          <w:sz w:val="24"/>
          <w:szCs w:val="24"/>
        </w:rPr>
        <w:sectPr w:rsidR="004145E7" w:rsidRPr="001208C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r>
        <w:rPr>
          <w:rFonts w:ascii="Times New Roman" w:hAnsi="Times New Roman" w:cs="Times New Roman"/>
          <w:b/>
          <w:bCs/>
          <w:sz w:val="24"/>
          <w:szCs w:val="24"/>
        </w:rPr>
        <w:t xml:space="preserve">Keywords: </w:t>
      </w:r>
      <w:r>
        <w:rPr>
          <w:rFonts w:ascii="Times New Roman" w:hAnsi="Times New Roman" w:cs="Times New Roman"/>
          <w:i/>
          <w:iCs/>
          <w:sz w:val="24"/>
          <w:szCs w:val="24"/>
        </w:rPr>
        <w:t>groundnut, content, quality, FYM, potassium,</w:t>
      </w:r>
      <w:r w:rsidR="004C165E" w:rsidRPr="004C165E">
        <w:rPr>
          <w:rFonts w:ascii="Times New Roman" w:hAnsi="Times New Roman"/>
          <w:sz w:val="24"/>
          <w:szCs w:val="24"/>
        </w:rPr>
        <w:t xml:space="preserve"> </w:t>
      </w:r>
      <w:r w:rsidR="004C165E">
        <w:rPr>
          <w:rFonts w:ascii="Times New Roman" w:hAnsi="Times New Roman"/>
          <w:sz w:val="24"/>
          <w:szCs w:val="24"/>
        </w:rPr>
        <w:t>Potassium Mobilizing Bacteria</w:t>
      </w:r>
      <w:r>
        <w:rPr>
          <w:rFonts w:ascii="Times New Roman" w:hAnsi="Times New Roman" w:cs="Times New Roman"/>
          <w:i/>
          <w:iCs/>
          <w:sz w:val="24"/>
          <w:szCs w:val="24"/>
        </w:rPr>
        <w:t xml:space="preserve"> </w:t>
      </w:r>
      <w:commentRangeStart w:id="7"/>
      <w:r>
        <w:rPr>
          <w:rFonts w:ascii="Times New Roman" w:hAnsi="Times New Roman" w:cs="Times New Roman"/>
          <w:i/>
          <w:iCs/>
          <w:sz w:val="24"/>
          <w:szCs w:val="24"/>
        </w:rPr>
        <w:t>KMB</w:t>
      </w:r>
      <w:commentRangeEnd w:id="7"/>
      <w:r w:rsidR="001208C6">
        <w:rPr>
          <w:rStyle w:val="CommentReference"/>
        </w:rPr>
        <w:commentReference w:id="7"/>
      </w:r>
    </w:p>
    <w:p w:rsidR="004145E7" w:rsidRDefault="002D6E0C">
      <w:pPr>
        <w:pStyle w:val="ListParagraph"/>
        <w:numPr>
          <w:ilvl w:val="0"/>
          <w:numId w:val="1"/>
        </w:numPr>
        <w:ind w:left="360"/>
        <w:jc w:val="both"/>
        <w:rPr>
          <w:rFonts w:ascii="Times New Roman" w:hAnsi="Times New Roman" w:cs="Times New Roman"/>
          <w:b/>
          <w:bCs/>
          <w:sz w:val="24"/>
          <w:szCs w:val="24"/>
        </w:rPr>
      </w:pPr>
      <w:r>
        <w:rPr>
          <w:rFonts w:ascii="Times New Roman" w:hAnsi="Times New Roman" w:cs="Times New Roman"/>
          <w:b/>
          <w:bCs/>
          <w:sz w:val="24"/>
          <w:szCs w:val="24"/>
        </w:rPr>
        <w:lastRenderedPageBreak/>
        <w:t>INTRODUCTION</w:t>
      </w:r>
    </w:p>
    <w:p w:rsidR="004145E7" w:rsidRDefault="002D6E0C">
      <w:pPr>
        <w:pStyle w:val="NoSpacing"/>
        <w:jc w:val="both"/>
        <w:rPr>
          <w:rFonts w:ascii="Times New Roman" w:hAnsi="Times New Roman"/>
          <w:sz w:val="24"/>
          <w:szCs w:val="24"/>
        </w:rPr>
      </w:pPr>
      <w:commentRangeStart w:id="8"/>
      <w:r>
        <w:rPr>
          <w:rFonts w:ascii="Times New Roman" w:hAnsi="Times New Roman"/>
          <w:sz w:val="24"/>
          <w:szCs w:val="24"/>
        </w:rPr>
        <w:t xml:space="preserve">Oilseeds and oils have assumed an importance of their own in the economy of the country. </w:t>
      </w:r>
      <w:commentRangeEnd w:id="8"/>
      <w:r w:rsidR="00F80082">
        <w:rPr>
          <w:rStyle w:val="CommentReference"/>
          <w:rFonts w:eastAsia="SimSun" w:cs="Shruti"/>
          <w:lang w:bidi="gu-IN"/>
        </w:rPr>
        <w:commentReference w:id="8"/>
      </w:r>
      <w:r>
        <w:rPr>
          <w:rFonts w:ascii="Times New Roman" w:hAnsi="Times New Roman"/>
          <w:sz w:val="24"/>
          <w:szCs w:val="24"/>
        </w:rPr>
        <w:t xml:space="preserve">Oilseeds constitute the second major agricultural crop in the country next to food grain in terms of tonnage and value. Ever increasing demand of edible oil under limited land resources increase the force for enhancing production and productivity of edible oilseed crops. India ranks second next to </w:t>
      </w:r>
      <w:r w:rsidR="00F80082">
        <w:rPr>
          <w:rFonts w:ascii="Times New Roman" w:hAnsi="Times New Roman"/>
          <w:sz w:val="24"/>
          <w:szCs w:val="24"/>
        </w:rPr>
        <w:t>C</w:t>
      </w:r>
      <w:r>
        <w:rPr>
          <w:rFonts w:ascii="Times New Roman" w:hAnsi="Times New Roman"/>
          <w:sz w:val="24"/>
          <w:szCs w:val="24"/>
        </w:rPr>
        <w:t xml:space="preserve">hina in groundnut production and it is most important oilseed crop in India (Gayathri, 2018). During 2019, India </w:t>
      </w:r>
      <w:r>
        <w:rPr>
          <w:rFonts w:ascii="Times New Roman" w:hAnsi="Times New Roman"/>
          <w:sz w:val="24"/>
          <w:szCs w:val="24"/>
        </w:rPr>
        <w:lastRenderedPageBreak/>
        <w:t xml:space="preserve">produced 68.62 lakh MT groundnut from 39.31 lakh ha </w:t>
      </w:r>
      <w:commentRangeStart w:id="9"/>
      <w:r>
        <w:rPr>
          <w:rFonts w:ascii="Times New Roman" w:hAnsi="Times New Roman"/>
          <w:sz w:val="24"/>
          <w:szCs w:val="24"/>
        </w:rPr>
        <w:t xml:space="preserve">area </w:t>
      </w:r>
      <w:commentRangeEnd w:id="9"/>
      <w:r w:rsidR="00F80082">
        <w:rPr>
          <w:rStyle w:val="CommentReference"/>
          <w:rFonts w:eastAsia="SimSun" w:cs="Shruti"/>
          <w:lang w:bidi="gu-IN"/>
        </w:rPr>
        <w:commentReference w:id="9"/>
      </w:r>
      <w:r>
        <w:rPr>
          <w:rFonts w:ascii="Times New Roman" w:hAnsi="Times New Roman"/>
          <w:sz w:val="24"/>
          <w:szCs w:val="24"/>
        </w:rPr>
        <w:t xml:space="preserve">with </w:t>
      </w:r>
      <w:r w:rsidR="00F80082" w:rsidRPr="00F80082">
        <w:rPr>
          <w:rFonts w:ascii="Times New Roman" w:hAnsi="Times New Roman"/>
          <w:color w:val="FF0000"/>
          <w:sz w:val="24"/>
          <w:szCs w:val="24"/>
        </w:rPr>
        <w:t>a</w:t>
      </w:r>
      <w:r w:rsidR="00F80082">
        <w:rPr>
          <w:rFonts w:ascii="Times New Roman" w:hAnsi="Times New Roman"/>
          <w:sz w:val="24"/>
          <w:szCs w:val="24"/>
        </w:rPr>
        <w:t xml:space="preserve"> </w:t>
      </w:r>
      <w:r>
        <w:rPr>
          <w:rFonts w:ascii="Times New Roman" w:hAnsi="Times New Roman"/>
          <w:sz w:val="24"/>
          <w:szCs w:val="24"/>
        </w:rPr>
        <w:t xml:space="preserve">average productivity </w:t>
      </w:r>
      <w:r w:rsidR="00F80082" w:rsidRPr="00F80082">
        <w:rPr>
          <w:rFonts w:ascii="Times New Roman" w:hAnsi="Times New Roman"/>
          <w:color w:val="FF0000"/>
          <w:sz w:val="24"/>
          <w:szCs w:val="24"/>
        </w:rPr>
        <w:t>of</w:t>
      </w:r>
      <w:r w:rsidR="00F80082">
        <w:rPr>
          <w:rFonts w:ascii="Times New Roman" w:hAnsi="Times New Roman"/>
          <w:sz w:val="24"/>
          <w:szCs w:val="24"/>
        </w:rPr>
        <w:t xml:space="preserve"> </w:t>
      </w:r>
      <w:r>
        <w:rPr>
          <w:rFonts w:ascii="Times New Roman" w:hAnsi="Times New Roman"/>
          <w:sz w:val="24"/>
          <w:szCs w:val="24"/>
        </w:rPr>
        <w:t>1745 kgha</w:t>
      </w:r>
      <w:r w:rsidR="00F80082" w:rsidRPr="00F80082">
        <w:rPr>
          <w:rFonts w:ascii="Times New Roman" w:hAnsi="Times New Roman"/>
          <w:color w:val="FF0000"/>
          <w:sz w:val="24"/>
          <w:szCs w:val="24"/>
          <w:vertAlign w:val="superscript"/>
        </w:rPr>
        <w:t>-1</w:t>
      </w:r>
      <w:r>
        <w:rPr>
          <w:rFonts w:ascii="Times New Roman" w:hAnsi="Times New Roman"/>
          <w:sz w:val="24"/>
          <w:szCs w:val="24"/>
        </w:rPr>
        <w:t xml:space="preserve"> (IOPEPC). Gujarat, Andhra Pradesh, Tamil Nadu, Karnataka, Maharashtra, Madhya Pradesh, Uttar Pradesh, Rajasthan are the major groundnut growing states in India. Gujarat is the largest producer and produced 40% of total groundnut production of the country. In Gujarat area, production and productivity of summer groundnut were 33920 lakh ha, 84000 MT, 2476 </w:t>
      </w:r>
      <w:r w:rsidRPr="00F80082">
        <w:rPr>
          <w:rFonts w:ascii="Times New Roman" w:hAnsi="Times New Roman"/>
          <w:color w:val="FF0000"/>
          <w:sz w:val="24"/>
          <w:szCs w:val="24"/>
        </w:rPr>
        <w:t>kg/ha,</w:t>
      </w:r>
      <w:r>
        <w:rPr>
          <w:rFonts w:ascii="Times New Roman" w:hAnsi="Times New Roman"/>
          <w:sz w:val="24"/>
          <w:szCs w:val="24"/>
        </w:rPr>
        <w:t xml:space="preserve"> respectively during 2019 (IOPEPC). Rajkot, Junagadh, Jamnagar and Banaskantha are the dominant </w:t>
      </w:r>
      <w:r>
        <w:rPr>
          <w:rFonts w:ascii="Times New Roman" w:hAnsi="Times New Roman"/>
          <w:sz w:val="24"/>
          <w:szCs w:val="24"/>
        </w:rPr>
        <w:lastRenderedPageBreak/>
        <w:t xml:space="preserve">districts in Gujarat </w:t>
      </w:r>
      <w:commentRangeStart w:id="10"/>
      <w:r>
        <w:rPr>
          <w:rFonts w:ascii="Times New Roman" w:hAnsi="Times New Roman"/>
          <w:sz w:val="24"/>
          <w:szCs w:val="24"/>
        </w:rPr>
        <w:t xml:space="preserve">state </w:t>
      </w:r>
      <w:commentRangeEnd w:id="10"/>
      <w:r w:rsidR="00F80082">
        <w:rPr>
          <w:rStyle w:val="CommentReference"/>
          <w:rFonts w:eastAsia="SimSun" w:cs="Shruti"/>
          <w:lang w:bidi="gu-IN"/>
        </w:rPr>
        <w:commentReference w:id="10"/>
      </w:r>
      <w:r>
        <w:rPr>
          <w:rFonts w:ascii="Times New Roman" w:hAnsi="Times New Roman"/>
          <w:sz w:val="24"/>
          <w:szCs w:val="24"/>
        </w:rPr>
        <w:t>for groundnut cultivation. The incorporation of bulky organic manures plays an important role in plant nutrition especially for nitrogen. Judicial use of fertilizer is necessary for increasing agricultural production and reduced environmental pollution because of continues use of chemical fertilizer has deteriorates effects on soil which</w:t>
      </w:r>
      <w:r w:rsidR="004C165E">
        <w:rPr>
          <w:rFonts w:ascii="Times New Roman" w:hAnsi="Times New Roman"/>
          <w:sz w:val="24"/>
          <w:szCs w:val="24"/>
        </w:rPr>
        <w:t xml:space="preserve"> </w:t>
      </w:r>
      <w:r w:rsidR="004C165E" w:rsidRPr="004C165E">
        <w:rPr>
          <w:rFonts w:ascii="Times New Roman" w:hAnsi="Times New Roman"/>
          <w:color w:val="FF0000"/>
          <w:sz w:val="24"/>
          <w:szCs w:val="24"/>
        </w:rPr>
        <w:t>in-turn</w:t>
      </w:r>
      <w:r>
        <w:rPr>
          <w:rFonts w:ascii="Times New Roman" w:hAnsi="Times New Roman"/>
          <w:sz w:val="24"/>
          <w:szCs w:val="24"/>
        </w:rPr>
        <w:t xml:space="preserve"> cause</w:t>
      </w:r>
      <w:r w:rsidR="004C165E">
        <w:rPr>
          <w:rFonts w:ascii="Times New Roman" w:hAnsi="Times New Roman"/>
          <w:sz w:val="24"/>
          <w:szCs w:val="24"/>
        </w:rPr>
        <w:t>s</w:t>
      </w:r>
      <w:r>
        <w:rPr>
          <w:rFonts w:ascii="Times New Roman" w:hAnsi="Times New Roman"/>
          <w:sz w:val="24"/>
          <w:szCs w:val="24"/>
        </w:rPr>
        <w:t xml:space="preserve"> decline in productivity. Potassium is known for its ability to increase </w:t>
      </w:r>
      <w:r w:rsidR="004C165E" w:rsidRPr="004C165E">
        <w:rPr>
          <w:rFonts w:ascii="Times New Roman" w:hAnsi="Times New Roman"/>
          <w:color w:val="FF0000"/>
          <w:sz w:val="24"/>
          <w:szCs w:val="24"/>
        </w:rPr>
        <w:t>crop</w:t>
      </w:r>
      <w:r w:rsidR="004C165E">
        <w:rPr>
          <w:rFonts w:ascii="Times New Roman" w:hAnsi="Times New Roman"/>
          <w:sz w:val="24"/>
          <w:szCs w:val="24"/>
        </w:rPr>
        <w:t xml:space="preserve"> </w:t>
      </w:r>
      <w:r>
        <w:rPr>
          <w:rFonts w:ascii="Times New Roman" w:hAnsi="Times New Roman"/>
          <w:sz w:val="24"/>
          <w:szCs w:val="24"/>
        </w:rPr>
        <w:t xml:space="preserve">yield and improve quality. It is </w:t>
      </w:r>
      <w:commentRangeStart w:id="11"/>
      <w:r>
        <w:rPr>
          <w:rFonts w:ascii="Times New Roman" w:hAnsi="Times New Roman"/>
          <w:sz w:val="24"/>
          <w:szCs w:val="24"/>
        </w:rPr>
        <w:t xml:space="preserve">also </w:t>
      </w:r>
      <w:commentRangeEnd w:id="11"/>
      <w:r w:rsidR="004C165E">
        <w:rPr>
          <w:rStyle w:val="CommentReference"/>
          <w:rFonts w:eastAsia="SimSun" w:cs="Shruti"/>
          <w:lang w:bidi="gu-IN"/>
        </w:rPr>
        <w:commentReference w:id="11"/>
      </w:r>
      <w:r>
        <w:rPr>
          <w:rFonts w:ascii="Times New Roman" w:hAnsi="Times New Roman"/>
          <w:sz w:val="24"/>
          <w:szCs w:val="24"/>
        </w:rPr>
        <w:t xml:space="preserve">essential for photosynthesis and pod development in groundnut. It plays a major role in growth and yield as it involved in assimilation, transport and storage tissue development (Cakmak, 2005). Commercial use of Potassium Mobilizing Bacteria (KMB) is new </w:t>
      </w:r>
      <w:commentRangeStart w:id="12"/>
      <w:r>
        <w:rPr>
          <w:rFonts w:ascii="Times New Roman" w:hAnsi="Times New Roman"/>
          <w:sz w:val="24"/>
          <w:szCs w:val="24"/>
        </w:rPr>
        <w:t xml:space="preserve">in </w:t>
      </w:r>
      <w:commentRangeEnd w:id="12"/>
      <w:r w:rsidR="004C165E">
        <w:rPr>
          <w:rStyle w:val="CommentReference"/>
          <w:rFonts w:eastAsia="SimSun" w:cs="Shruti"/>
          <w:lang w:bidi="gu-IN"/>
        </w:rPr>
        <w:commentReference w:id="12"/>
      </w:r>
      <w:r>
        <w:rPr>
          <w:rFonts w:ascii="Times New Roman" w:hAnsi="Times New Roman"/>
          <w:sz w:val="24"/>
          <w:szCs w:val="24"/>
        </w:rPr>
        <w:t xml:space="preserve">to agriculture. Farmers of North Gujarat use KMB </w:t>
      </w:r>
      <w:r w:rsidR="004C165E" w:rsidRPr="004C165E">
        <w:rPr>
          <w:rFonts w:ascii="Times New Roman" w:hAnsi="Times New Roman"/>
          <w:color w:val="FF0000"/>
          <w:sz w:val="24"/>
          <w:szCs w:val="24"/>
        </w:rPr>
        <w:t>for</w:t>
      </w:r>
      <w:r>
        <w:rPr>
          <w:rFonts w:ascii="Times New Roman" w:hAnsi="Times New Roman"/>
          <w:sz w:val="24"/>
          <w:szCs w:val="24"/>
        </w:rPr>
        <w:t xml:space="preserve"> high K requiring crop like potato. The potato </w:t>
      </w:r>
      <w:commentRangeStart w:id="13"/>
      <w:r>
        <w:rPr>
          <w:rFonts w:ascii="Times New Roman" w:hAnsi="Times New Roman"/>
          <w:sz w:val="24"/>
          <w:szCs w:val="24"/>
        </w:rPr>
        <w:t xml:space="preserve">crop </w:t>
      </w:r>
      <w:commentRangeEnd w:id="13"/>
      <w:r w:rsidR="004C165E">
        <w:rPr>
          <w:rStyle w:val="CommentReference"/>
          <w:rFonts w:eastAsia="SimSun" w:cs="Shruti"/>
          <w:lang w:bidi="gu-IN"/>
        </w:rPr>
        <w:commentReference w:id="13"/>
      </w:r>
      <w:r>
        <w:rPr>
          <w:rFonts w:ascii="Times New Roman" w:hAnsi="Times New Roman"/>
          <w:sz w:val="24"/>
          <w:szCs w:val="24"/>
        </w:rPr>
        <w:t>is responding to KMB application.</w:t>
      </w:r>
    </w:p>
    <w:p w:rsidR="004145E7" w:rsidRDefault="002D6E0C">
      <w:pPr>
        <w:pStyle w:val="ListParagraph"/>
        <w:numPr>
          <w:ilvl w:val="0"/>
          <w:numId w:val="1"/>
        </w:numPr>
        <w:ind w:left="360"/>
        <w:jc w:val="both"/>
        <w:rPr>
          <w:rFonts w:ascii="Times New Roman" w:hAnsi="Times New Roman" w:cs="Times New Roman"/>
          <w:b/>
          <w:bCs/>
          <w:sz w:val="24"/>
          <w:szCs w:val="24"/>
        </w:rPr>
      </w:pPr>
      <w:r>
        <w:rPr>
          <w:rFonts w:ascii="Times New Roman" w:hAnsi="Times New Roman" w:cs="Times New Roman"/>
          <w:b/>
          <w:bCs/>
          <w:sz w:val="24"/>
          <w:szCs w:val="24"/>
        </w:rPr>
        <w:t>MATERIAL AND METHODS</w:t>
      </w:r>
    </w:p>
    <w:p w:rsidR="004145E7" w:rsidRDefault="002D6E0C">
      <w:pPr>
        <w:jc w:val="both"/>
        <w:rPr>
          <w:rFonts w:ascii="Times New Roman" w:hAnsi="Times New Roman" w:cs="Times New Roman"/>
          <w:b/>
          <w:bCs/>
          <w:sz w:val="24"/>
          <w:szCs w:val="24"/>
        </w:rPr>
      </w:pPr>
      <w:r>
        <w:rPr>
          <w:rFonts w:ascii="Times New Roman" w:hAnsi="Times New Roman" w:cs="Times New Roman"/>
          <w:b/>
          <w:bCs/>
          <w:sz w:val="24"/>
          <w:szCs w:val="24"/>
        </w:rPr>
        <w:t>2.1 Location of the Experimental Site</w:t>
      </w:r>
    </w:p>
    <w:p w:rsidR="004145E7" w:rsidRDefault="002D6E0C" w:rsidP="0015085D">
      <w:pPr>
        <w:spacing w:line="24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The field experiment was conducted </w:t>
      </w:r>
      <w:r w:rsidR="0015085D">
        <w:rPr>
          <w:rFonts w:ascii="Times New Roman" w:hAnsi="Times New Roman" w:cs="Times New Roman"/>
          <w:sz w:val="24"/>
          <w:szCs w:val="24"/>
        </w:rPr>
        <w:t>in</w:t>
      </w:r>
      <w:r>
        <w:rPr>
          <w:rFonts w:ascii="Times New Roman" w:hAnsi="Times New Roman" w:cs="Times New Roman"/>
          <w:sz w:val="24"/>
          <w:szCs w:val="24"/>
        </w:rPr>
        <w:t xml:space="preserve"> Plot No. 18-B at Castor Mustard Research Station, Sardarkrushinagar</w:t>
      </w:r>
      <w:r w:rsidR="0015085D">
        <w:rPr>
          <w:rFonts w:ascii="Times New Roman" w:hAnsi="Times New Roman" w:cs="Times New Roman"/>
          <w:sz w:val="24"/>
          <w:szCs w:val="24"/>
        </w:rPr>
        <w:t xml:space="preserve"> </w:t>
      </w:r>
      <w:r>
        <w:rPr>
          <w:rFonts w:ascii="Times New Roman" w:hAnsi="Times New Roman" w:cs="Times New Roman"/>
          <w:sz w:val="24"/>
          <w:szCs w:val="24"/>
        </w:rPr>
        <w:t>Dantiwada Agricultural University, Sardarkrushinagar, District: Banaskantha (Gujarat).</w:t>
      </w:r>
      <w:r w:rsidR="0015085D">
        <w:rPr>
          <w:rFonts w:ascii="Times New Roman" w:hAnsi="Times New Roman" w:cs="Times New Roman"/>
          <w:sz w:val="24"/>
          <w:szCs w:val="24"/>
        </w:rPr>
        <w:t xml:space="preserve"> </w:t>
      </w:r>
      <w:r>
        <w:rPr>
          <w:rFonts w:ascii="Times New Roman" w:hAnsi="Times New Roman" w:cs="Times New Roman"/>
          <w:sz w:val="24"/>
          <w:szCs w:val="24"/>
        </w:rPr>
        <w:t xml:space="preserve">The experimental site is geographically located in North Gujarat at </w:t>
      </w:r>
      <w:r>
        <w:rPr>
          <w:rFonts w:ascii="Times New Roman" w:hAnsi="Times New Roman" w:cs="Times New Roman"/>
          <w:color w:val="000000"/>
          <w:sz w:val="24"/>
          <w:szCs w:val="24"/>
        </w:rPr>
        <w:t>72</w:t>
      </w:r>
      <w:r>
        <w:rPr>
          <w:rFonts w:ascii="Times New Roman" w:hAnsi="Times New Roman" w:cs="Times New Roman"/>
          <w:color w:val="000000"/>
          <w:sz w:val="24"/>
          <w:szCs w:val="24"/>
          <w:vertAlign w:val="superscript"/>
        </w:rPr>
        <w:t>o</w:t>
      </w:r>
      <w:r>
        <w:rPr>
          <w:rFonts w:ascii="Times New Roman" w:hAnsi="Times New Roman" w:cs="Times New Roman"/>
          <w:color w:val="000000"/>
          <w:sz w:val="24"/>
          <w:szCs w:val="24"/>
        </w:rPr>
        <w:t xml:space="preserve"> 19' East longitude and 24</w:t>
      </w:r>
      <w:r>
        <w:rPr>
          <w:rFonts w:ascii="Times New Roman" w:hAnsi="Times New Roman" w:cs="Times New Roman"/>
          <w:color w:val="000000"/>
          <w:sz w:val="24"/>
          <w:szCs w:val="24"/>
          <w:vertAlign w:val="superscript"/>
        </w:rPr>
        <w:t>o</w:t>
      </w:r>
      <w:r>
        <w:rPr>
          <w:rFonts w:ascii="Times New Roman" w:hAnsi="Times New Roman" w:cs="Times New Roman"/>
          <w:color w:val="000000"/>
          <w:sz w:val="24"/>
          <w:szCs w:val="24"/>
        </w:rPr>
        <w:t xml:space="preserve"> 19' North latitude at an altitude of</w:t>
      </w:r>
      <w:r w:rsidR="0015085D">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154.52 metres above </w:t>
      </w:r>
      <w:commentRangeStart w:id="14"/>
      <w:r>
        <w:rPr>
          <w:rFonts w:ascii="Times New Roman" w:hAnsi="Times New Roman" w:cs="Times New Roman"/>
          <w:color w:val="000000"/>
          <w:sz w:val="24"/>
          <w:szCs w:val="24"/>
        </w:rPr>
        <w:t xml:space="preserve">the </w:t>
      </w:r>
      <w:commentRangeEnd w:id="14"/>
      <w:r w:rsidR="0015085D">
        <w:rPr>
          <w:rStyle w:val="CommentReference"/>
        </w:rPr>
        <w:commentReference w:id="14"/>
      </w:r>
      <w:r>
        <w:rPr>
          <w:rFonts w:ascii="Times New Roman" w:hAnsi="Times New Roman" w:cs="Times New Roman"/>
          <w:color w:val="000000"/>
          <w:sz w:val="24"/>
          <w:szCs w:val="24"/>
        </w:rPr>
        <w:t>mean sea level.</w:t>
      </w:r>
    </w:p>
    <w:p w:rsidR="004145E7" w:rsidRDefault="002D6E0C">
      <w:pPr>
        <w:jc w:val="both"/>
        <w:rPr>
          <w:rFonts w:ascii="Times New Roman" w:hAnsi="Times New Roman" w:cs="Times New Roman"/>
          <w:b/>
          <w:bCs/>
          <w:sz w:val="24"/>
          <w:szCs w:val="24"/>
        </w:rPr>
      </w:pPr>
      <w:r>
        <w:rPr>
          <w:rFonts w:ascii="Times New Roman" w:hAnsi="Times New Roman" w:cs="Times New Roman"/>
          <w:b/>
          <w:bCs/>
          <w:sz w:val="24"/>
          <w:szCs w:val="24"/>
        </w:rPr>
        <w:t>2.2 Season and Crop Varieties</w:t>
      </w:r>
    </w:p>
    <w:p w:rsidR="004145E7" w:rsidRDefault="002D6E0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study was conducted during </w:t>
      </w:r>
      <w:commentRangeStart w:id="15"/>
      <w:r>
        <w:rPr>
          <w:rFonts w:ascii="Times New Roman" w:hAnsi="Times New Roman" w:cs="Times New Roman"/>
          <w:sz w:val="24"/>
          <w:szCs w:val="24"/>
        </w:rPr>
        <w:t xml:space="preserve">the season of </w:t>
      </w:r>
      <w:commentRangeEnd w:id="15"/>
      <w:r w:rsidR="0015085D">
        <w:rPr>
          <w:rStyle w:val="CommentReference"/>
        </w:rPr>
        <w:commentReference w:id="15"/>
      </w:r>
      <w:r>
        <w:rPr>
          <w:rFonts w:ascii="Times New Roman" w:hAnsi="Times New Roman" w:cs="Times New Roman"/>
          <w:i/>
          <w:iCs/>
          <w:sz w:val="24"/>
          <w:szCs w:val="24"/>
        </w:rPr>
        <w:t xml:space="preserve">kharif </w:t>
      </w:r>
      <w:r>
        <w:rPr>
          <w:rFonts w:ascii="Times New Roman" w:hAnsi="Times New Roman" w:cs="Times New Roman"/>
          <w:sz w:val="24"/>
          <w:szCs w:val="24"/>
        </w:rPr>
        <w:t xml:space="preserve">from June 2019 to October 2019. </w:t>
      </w:r>
      <w:r w:rsidRPr="006D1FAD">
        <w:rPr>
          <w:rFonts w:ascii="Times New Roman" w:hAnsi="Times New Roman" w:cs="Times New Roman"/>
          <w:color w:val="FF0000"/>
          <w:sz w:val="24"/>
          <w:szCs w:val="24"/>
        </w:rPr>
        <w:t xml:space="preserve">The </w:t>
      </w:r>
      <w:r w:rsidR="006D1FAD" w:rsidRPr="006D1FAD">
        <w:rPr>
          <w:rFonts w:ascii="Times New Roman" w:hAnsi="Times New Roman" w:cs="Times New Roman"/>
          <w:color w:val="FF0000"/>
          <w:sz w:val="24"/>
          <w:szCs w:val="24"/>
        </w:rPr>
        <w:t xml:space="preserve">groundnut </w:t>
      </w:r>
      <w:r w:rsidRPr="006D1FAD">
        <w:rPr>
          <w:rFonts w:ascii="Times New Roman" w:hAnsi="Times New Roman" w:cs="Times New Roman"/>
          <w:color w:val="FF0000"/>
          <w:sz w:val="24"/>
          <w:szCs w:val="24"/>
        </w:rPr>
        <w:t>variety selected was</w:t>
      </w:r>
      <w:r w:rsidR="006D1FAD">
        <w:rPr>
          <w:rFonts w:ascii="Times New Roman" w:hAnsi="Times New Roman" w:cs="Times New Roman"/>
          <w:sz w:val="24"/>
          <w:szCs w:val="24"/>
        </w:rPr>
        <w:t xml:space="preserve"> </w:t>
      </w:r>
      <w:r>
        <w:rPr>
          <w:rFonts w:ascii="Times New Roman" w:hAnsi="Times New Roman" w:cs="Times New Roman"/>
          <w:sz w:val="24"/>
          <w:szCs w:val="24"/>
        </w:rPr>
        <w:t xml:space="preserve">TG 37 </w:t>
      </w:r>
      <w:r w:rsidR="006D1FAD">
        <w:rPr>
          <w:rFonts w:ascii="Times New Roman" w:hAnsi="Times New Roman" w:cs="Times New Roman"/>
          <w:sz w:val="24"/>
          <w:szCs w:val="24"/>
        </w:rPr>
        <w:t>A with</w:t>
      </w:r>
      <w:r>
        <w:rPr>
          <w:rFonts w:ascii="Times New Roman" w:hAnsi="Times New Roman" w:cs="Times New Roman"/>
          <w:sz w:val="24"/>
          <w:szCs w:val="24"/>
        </w:rPr>
        <w:t xml:space="preserve"> </w:t>
      </w:r>
      <w:r w:rsidR="006D1FAD">
        <w:rPr>
          <w:rFonts w:ascii="Times New Roman" w:hAnsi="Times New Roman" w:cs="Times New Roman"/>
          <w:sz w:val="24"/>
          <w:szCs w:val="24"/>
        </w:rPr>
        <w:t>duration</w:t>
      </w:r>
      <w:r>
        <w:rPr>
          <w:rFonts w:ascii="Times New Roman" w:hAnsi="Times New Roman" w:cs="Times New Roman"/>
          <w:sz w:val="24"/>
          <w:szCs w:val="24"/>
        </w:rPr>
        <w:t xml:space="preserve"> of 90-100 days.</w:t>
      </w:r>
    </w:p>
    <w:p w:rsidR="004145E7" w:rsidRDefault="002D6E0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2.3 Experimental Design</w:t>
      </w:r>
    </w:p>
    <w:p w:rsidR="004145E7" w:rsidRDefault="002D6E0C">
      <w:pPr>
        <w:spacing w:line="240" w:lineRule="auto"/>
        <w:jc w:val="both"/>
        <w:rPr>
          <w:rFonts w:ascii="Times New Roman" w:hAnsi="Times New Roman" w:cs="Times New Roman"/>
          <w:sz w:val="24"/>
          <w:szCs w:val="24"/>
        </w:rPr>
      </w:pPr>
      <w:r>
        <w:rPr>
          <w:rFonts w:ascii="Times New Roman" w:hAnsi="Times New Roman" w:cs="Times New Roman"/>
          <w:sz w:val="24"/>
          <w:szCs w:val="24"/>
        </w:rPr>
        <w:t>The field trial was laid out in factorial randomized block design with three replications</w:t>
      </w:r>
      <w:r w:rsidR="006D1FAD">
        <w:rPr>
          <w:rFonts w:ascii="Times New Roman" w:hAnsi="Times New Roman" w:cs="Times New Roman"/>
          <w:sz w:val="24"/>
          <w:szCs w:val="24"/>
        </w:rPr>
        <w:t>,</w:t>
      </w:r>
      <w:r>
        <w:rPr>
          <w:rFonts w:ascii="Times New Roman" w:hAnsi="Times New Roman" w:cs="Times New Roman"/>
          <w:sz w:val="24"/>
          <w:szCs w:val="24"/>
        </w:rPr>
        <w:t xml:space="preserve"> the treatments comprised of </w:t>
      </w:r>
      <w:r>
        <w:rPr>
          <w:rFonts w:ascii="Times New Roman" w:hAnsi="Times New Roman" w:cs="Times New Roman"/>
          <w:sz w:val="24"/>
          <w:szCs w:val="24"/>
        </w:rPr>
        <w:lastRenderedPageBreak/>
        <w:t>two levels of FYM (F</w:t>
      </w:r>
      <w:r>
        <w:rPr>
          <w:rFonts w:ascii="Times New Roman" w:hAnsi="Times New Roman" w:cs="Times New Roman"/>
          <w:sz w:val="24"/>
          <w:szCs w:val="24"/>
          <w:vertAlign w:val="subscript"/>
        </w:rPr>
        <w:t>1</w:t>
      </w:r>
      <w:r>
        <w:rPr>
          <w:rFonts w:ascii="Times New Roman" w:hAnsi="Times New Roman" w:cs="Times New Roman"/>
          <w:sz w:val="24"/>
          <w:szCs w:val="24"/>
        </w:rPr>
        <w:t>: 0 t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and F</w:t>
      </w:r>
      <w:r>
        <w:rPr>
          <w:rFonts w:ascii="Times New Roman" w:hAnsi="Times New Roman" w:cs="Times New Roman"/>
          <w:sz w:val="24"/>
          <w:szCs w:val="24"/>
          <w:vertAlign w:val="subscript"/>
        </w:rPr>
        <w:t xml:space="preserve">2 </w:t>
      </w:r>
      <w:r>
        <w:rPr>
          <w:rFonts w:ascii="Times New Roman" w:hAnsi="Times New Roman" w:cs="Times New Roman"/>
          <w:sz w:val="24"/>
          <w:szCs w:val="24"/>
        </w:rPr>
        <w:t>:  5 t ha</w:t>
      </w:r>
      <w:r>
        <w:rPr>
          <w:rFonts w:ascii="Times New Roman" w:hAnsi="Times New Roman" w:cs="Times New Roman"/>
          <w:sz w:val="24"/>
          <w:szCs w:val="24"/>
          <w:vertAlign w:val="superscript"/>
        </w:rPr>
        <w:t>-1</w:t>
      </w:r>
      <w:r>
        <w:rPr>
          <w:rFonts w:ascii="Times New Roman" w:hAnsi="Times New Roman" w:cs="Times New Roman"/>
          <w:sz w:val="24"/>
          <w:szCs w:val="24"/>
        </w:rPr>
        <w:t>), three levels of potassium (K</w:t>
      </w:r>
      <w:r>
        <w:rPr>
          <w:rFonts w:ascii="Times New Roman" w:hAnsi="Times New Roman" w:cs="Times New Roman"/>
          <w:sz w:val="24"/>
          <w:szCs w:val="24"/>
          <w:vertAlign w:val="subscript"/>
        </w:rPr>
        <w:t>1</w:t>
      </w:r>
      <w:r>
        <w:rPr>
          <w:rFonts w:ascii="Times New Roman" w:hAnsi="Times New Roman" w:cs="Times New Roman"/>
          <w:sz w:val="24"/>
          <w:szCs w:val="24"/>
        </w:rPr>
        <w:t xml:space="preserve"> : 20 kg K</w:t>
      </w:r>
      <w:r>
        <w:rPr>
          <w:rFonts w:ascii="Times New Roman" w:hAnsi="Times New Roman" w:cs="Times New Roman"/>
          <w:sz w:val="24"/>
          <w:szCs w:val="24"/>
          <w:vertAlign w:val="subscript"/>
        </w:rPr>
        <w:t>2</w:t>
      </w:r>
      <w:r>
        <w:rPr>
          <w:rFonts w:ascii="Times New Roman" w:hAnsi="Times New Roman" w:cs="Times New Roman"/>
          <w:sz w:val="24"/>
          <w:szCs w:val="24"/>
        </w:rPr>
        <w:t>O ha</w:t>
      </w:r>
      <w:r>
        <w:rPr>
          <w:rFonts w:ascii="Times New Roman" w:hAnsi="Times New Roman" w:cs="Times New Roman"/>
          <w:sz w:val="24"/>
          <w:szCs w:val="24"/>
          <w:vertAlign w:val="superscript"/>
        </w:rPr>
        <w:t>-1</w:t>
      </w:r>
      <w:r>
        <w:rPr>
          <w:rFonts w:ascii="Times New Roman" w:hAnsi="Times New Roman" w:cs="Times New Roman"/>
          <w:sz w:val="24"/>
          <w:szCs w:val="24"/>
        </w:rPr>
        <w:t>, K</w:t>
      </w:r>
      <w:r>
        <w:rPr>
          <w:rFonts w:ascii="Times New Roman" w:hAnsi="Times New Roman" w:cs="Times New Roman"/>
          <w:sz w:val="24"/>
          <w:szCs w:val="24"/>
          <w:vertAlign w:val="subscript"/>
        </w:rPr>
        <w:t>2</w:t>
      </w:r>
      <w:r>
        <w:rPr>
          <w:rFonts w:ascii="Times New Roman" w:hAnsi="Times New Roman" w:cs="Times New Roman"/>
          <w:sz w:val="24"/>
          <w:szCs w:val="24"/>
        </w:rPr>
        <w:t xml:space="preserve"> : 40 kg K</w:t>
      </w:r>
      <w:r>
        <w:rPr>
          <w:rFonts w:ascii="Times New Roman" w:hAnsi="Times New Roman" w:cs="Times New Roman"/>
          <w:sz w:val="24"/>
          <w:szCs w:val="24"/>
          <w:vertAlign w:val="subscript"/>
        </w:rPr>
        <w:t>2</w:t>
      </w:r>
      <w:r>
        <w:rPr>
          <w:rFonts w:ascii="Times New Roman" w:hAnsi="Times New Roman" w:cs="Times New Roman"/>
          <w:sz w:val="24"/>
          <w:szCs w:val="24"/>
        </w:rPr>
        <w:t>O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and K</w:t>
      </w:r>
      <w:r>
        <w:rPr>
          <w:rFonts w:ascii="Times New Roman" w:hAnsi="Times New Roman" w:cs="Times New Roman"/>
          <w:sz w:val="24"/>
          <w:szCs w:val="24"/>
          <w:vertAlign w:val="subscript"/>
        </w:rPr>
        <w:t>3</w:t>
      </w:r>
      <w:r>
        <w:rPr>
          <w:rFonts w:ascii="Times New Roman" w:hAnsi="Times New Roman" w:cs="Times New Roman"/>
          <w:sz w:val="24"/>
          <w:szCs w:val="24"/>
        </w:rPr>
        <w:t xml:space="preserve"> : 60 kg K</w:t>
      </w:r>
      <w:r>
        <w:rPr>
          <w:rFonts w:ascii="Times New Roman" w:hAnsi="Times New Roman" w:cs="Times New Roman"/>
          <w:sz w:val="24"/>
          <w:szCs w:val="24"/>
          <w:vertAlign w:val="subscript"/>
        </w:rPr>
        <w:t>2</w:t>
      </w:r>
      <w:r>
        <w:rPr>
          <w:rFonts w:ascii="Times New Roman" w:hAnsi="Times New Roman" w:cs="Times New Roman"/>
          <w:sz w:val="24"/>
          <w:szCs w:val="24"/>
        </w:rPr>
        <w:t>O ha</w:t>
      </w:r>
      <w:r>
        <w:rPr>
          <w:rFonts w:ascii="Times New Roman" w:hAnsi="Times New Roman" w:cs="Times New Roman"/>
          <w:sz w:val="24"/>
          <w:szCs w:val="24"/>
          <w:vertAlign w:val="superscript"/>
        </w:rPr>
        <w:t>-1</w:t>
      </w:r>
      <w:r>
        <w:rPr>
          <w:rFonts w:ascii="Times New Roman" w:hAnsi="Times New Roman" w:cs="Times New Roman"/>
          <w:sz w:val="24"/>
          <w:szCs w:val="24"/>
        </w:rPr>
        <w:t>) and two levels of KMB  (B</w:t>
      </w:r>
      <w:r>
        <w:rPr>
          <w:rFonts w:ascii="Times New Roman" w:hAnsi="Times New Roman" w:cs="Times New Roman"/>
          <w:sz w:val="24"/>
          <w:szCs w:val="24"/>
          <w:vertAlign w:val="subscript"/>
        </w:rPr>
        <w:t>1</w:t>
      </w:r>
      <w:r>
        <w:rPr>
          <w:rFonts w:ascii="Times New Roman" w:hAnsi="Times New Roman" w:cs="Times New Roman"/>
          <w:sz w:val="24"/>
          <w:szCs w:val="24"/>
        </w:rPr>
        <w:t xml:space="preserve"> : With and B</w:t>
      </w:r>
      <w:r>
        <w:rPr>
          <w:rFonts w:ascii="Times New Roman" w:hAnsi="Times New Roman" w:cs="Times New Roman"/>
          <w:sz w:val="24"/>
          <w:szCs w:val="24"/>
          <w:vertAlign w:val="subscript"/>
        </w:rPr>
        <w:t>2</w:t>
      </w:r>
      <w:r>
        <w:rPr>
          <w:rFonts w:ascii="Times New Roman" w:hAnsi="Times New Roman" w:cs="Times New Roman"/>
          <w:sz w:val="24"/>
          <w:szCs w:val="24"/>
        </w:rPr>
        <w:t xml:space="preserve"> : Without).</w:t>
      </w:r>
    </w:p>
    <w:p w:rsidR="004145E7" w:rsidRDefault="002D6E0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2.4 Soil Characteristics</w:t>
      </w:r>
    </w:p>
    <w:p w:rsidR="004145E7" w:rsidRDefault="006D1FAD">
      <w:pPr>
        <w:spacing w:line="240" w:lineRule="auto"/>
        <w:jc w:val="both"/>
        <w:rPr>
          <w:rFonts w:ascii="Times New Roman" w:hAnsi="Times New Roman" w:cs="Times New Roman"/>
          <w:sz w:val="24"/>
          <w:szCs w:val="24"/>
        </w:rPr>
      </w:pPr>
      <w:r>
        <w:rPr>
          <w:rFonts w:ascii="Times New Roman" w:hAnsi="Times New Roman" w:cs="Times New Roman"/>
          <w:sz w:val="24"/>
          <w:szCs w:val="24"/>
        </w:rPr>
        <w:t>S</w:t>
      </w:r>
      <w:r w:rsidR="002D6E0C">
        <w:rPr>
          <w:rFonts w:ascii="Times New Roman" w:hAnsi="Times New Roman" w:cs="Times New Roman"/>
          <w:sz w:val="24"/>
          <w:szCs w:val="24"/>
        </w:rPr>
        <w:t xml:space="preserve">oil of the experimental </w:t>
      </w:r>
      <w:r w:rsidRPr="006D1FAD">
        <w:rPr>
          <w:rFonts w:ascii="Times New Roman" w:hAnsi="Times New Roman" w:cs="Times New Roman"/>
          <w:color w:val="FF0000"/>
          <w:sz w:val="24"/>
          <w:szCs w:val="24"/>
        </w:rPr>
        <w:t>site</w:t>
      </w:r>
      <w:r w:rsidR="002D6E0C">
        <w:rPr>
          <w:rFonts w:ascii="Times New Roman" w:hAnsi="Times New Roman" w:cs="Times New Roman"/>
          <w:sz w:val="24"/>
          <w:szCs w:val="24"/>
        </w:rPr>
        <w:t xml:space="preserve"> was loamy sand </w:t>
      </w:r>
      <w:commentRangeStart w:id="16"/>
      <w:r w:rsidR="002D6E0C">
        <w:rPr>
          <w:rFonts w:ascii="Times New Roman" w:hAnsi="Times New Roman" w:cs="Times New Roman"/>
          <w:sz w:val="24"/>
          <w:szCs w:val="24"/>
        </w:rPr>
        <w:t>in texture</w:t>
      </w:r>
      <w:commentRangeEnd w:id="16"/>
      <w:r>
        <w:rPr>
          <w:rStyle w:val="CommentReference"/>
        </w:rPr>
        <w:commentReference w:id="16"/>
      </w:r>
      <w:r w:rsidR="002D6E0C">
        <w:rPr>
          <w:rFonts w:ascii="Times New Roman" w:hAnsi="Times New Roman" w:cs="Times New Roman"/>
          <w:sz w:val="24"/>
          <w:szCs w:val="24"/>
        </w:rPr>
        <w:t xml:space="preserve"> having pH </w:t>
      </w:r>
      <w:r w:rsidRPr="006D1FAD">
        <w:rPr>
          <w:rFonts w:ascii="Times New Roman" w:hAnsi="Times New Roman" w:cs="Times New Roman"/>
          <w:color w:val="FF0000"/>
          <w:sz w:val="24"/>
          <w:szCs w:val="24"/>
        </w:rPr>
        <w:t>of</w:t>
      </w:r>
      <w:r w:rsidR="002D6E0C">
        <w:rPr>
          <w:rFonts w:ascii="Times New Roman" w:hAnsi="Times New Roman" w:cs="Times New Roman"/>
          <w:sz w:val="24"/>
          <w:szCs w:val="24"/>
        </w:rPr>
        <w:t xml:space="preserve"> 7.2, which was low organic carbon (0.15 %) and nitrogen (140 kg ha</w:t>
      </w:r>
      <w:r w:rsidR="002D6E0C">
        <w:rPr>
          <w:rFonts w:ascii="Times New Roman" w:hAnsi="Times New Roman" w:cs="Times New Roman"/>
          <w:sz w:val="24"/>
          <w:szCs w:val="24"/>
          <w:vertAlign w:val="superscript"/>
        </w:rPr>
        <w:t>-1</w:t>
      </w:r>
      <w:r w:rsidR="002D6E0C">
        <w:rPr>
          <w:rFonts w:ascii="Times New Roman" w:hAnsi="Times New Roman" w:cs="Times New Roman"/>
          <w:sz w:val="24"/>
          <w:szCs w:val="24"/>
        </w:rPr>
        <w:t xml:space="preserve">), </w:t>
      </w:r>
      <w:commentRangeStart w:id="17"/>
      <w:r w:rsidR="002D6E0C">
        <w:rPr>
          <w:rFonts w:ascii="Times New Roman" w:hAnsi="Times New Roman" w:cs="Times New Roman"/>
          <w:sz w:val="24"/>
          <w:szCs w:val="24"/>
        </w:rPr>
        <w:t xml:space="preserve">while it was </w:t>
      </w:r>
      <w:commentRangeEnd w:id="17"/>
      <w:r>
        <w:rPr>
          <w:rStyle w:val="CommentReference"/>
        </w:rPr>
        <w:commentReference w:id="17"/>
      </w:r>
      <w:r w:rsidR="002D6E0C">
        <w:rPr>
          <w:rFonts w:ascii="Times New Roman" w:hAnsi="Times New Roman" w:cs="Times New Roman"/>
          <w:sz w:val="24"/>
          <w:szCs w:val="24"/>
        </w:rPr>
        <w:t>medium in available phosphorus (43.5 kg ha</w:t>
      </w:r>
      <w:r w:rsidR="002D6E0C">
        <w:rPr>
          <w:rFonts w:ascii="Times New Roman" w:hAnsi="Times New Roman" w:cs="Times New Roman"/>
          <w:sz w:val="24"/>
          <w:szCs w:val="24"/>
          <w:vertAlign w:val="superscript"/>
        </w:rPr>
        <w:t>-1</w:t>
      </w:r>
      <w:r w:rsidR="002D6E0C">
        <w:rPr>
          <w:rFonts w:ascii="Times New Roman" w:hAnsi="Times New Roman" w:cs="Times New Roman"/>
          <w:sz w:val="24"/>
          <w:szCs w:val="24"/>
        </w:rPr>
        <w:t>) and potassium (172 kg ha</w:t>
      </w:r>
      <w:r w:rsidR="002D6E0C">
        <w:rPr>
          <w:rFonts w:ascii="Times New Roman" w:hAnsi="Times New Roman" w:cs="Times New Roman"/>
          <w:sz w:val="24"/>
          <w:szCs w:val="24"/>
          <w:vertAlign w:val="superscript"/>
        </w:rPr>
        <w:t>-1</w:t>
      </w:r>
      <w:r w:rsidR="002D6E0C">
        <w:rPr>
          <w:rFonts w:ascii="Times New Roman" w:hAnsi="Times New Roman" w:cs="Times New Roman"/>
          <w:sz w:val="24"/>
          <w:szCs w:val="24"/>
        </w:rPr>
        <w:t xml:space="preserve">). </w:t>
      </w:r>
    </w:p>
    <w:p w:rsidR="004145E7" w:rsidRDefault="002D6E0C">
      <w:pPr>
        <w:pStyle w:val="ListParagraph"/>
        <w:numPr>
          <w:ilvl w:val="0"/>
          <w:numId w:val="1"/>
        </w:numPr>
        <w:spacing w:line="240" w:lineRule="auto"/>
        <w:ind w:left="360"/>
        <w:jc w:val="both"/>
        <w:rPr>
          <w:rFonts w:ascii="Times New Roman" w:hAnsi="Times New Roman" w:cs="Times New Roman"/>
          <w:b/>
          <w:bCs/>
          <w:sz w:val="24"/>
          <w:szCs w:val="24"/>
        </w:rPr>
      </w:pPr>
      <w:r>
        <w:rPr>
          <w:rFonts w:ascii="Times New Roman" w:hAnsi="Times New Roman" w:cs="Times New Roman"/>
          <w:b/>
          <w:bCs/>
          <w:sz w:val="24"/>
          <w:szCs w:val="24"/>
        </w:rPr>
        <w:t>RESULTS AND DISCUSSION</w:t>
      </w:r>
    </w:p>
    <w:p w:rsidR="004145E7" w:rsidRDefault="002D6E0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3.1 Oil contents (%)</w:t>
      </w:r>
    </w:p>
    <w:p w:rsidR="004145E7" w:rsidRDefault="002D6E0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3.1.1Effect of FYM</w:t>
      </w:r>
    </w:p>
    <w:p w:rsidR="004145E7" w:rsidRDefault="002D6E0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Significantly higher oil content was recorded </w:t>
      </w:r>
      <w:r w:rsidR="00D54ABD">
        <w:rPr>
          <w:rFonts w:ascii="Times New Roman" w:hAnsi="Times New Roman" w:cs="Times New Roman"/>
          <w:sz w:val="24"/>
          <w:szCs w:val="24"/>
        </w:rPr>
        <w:t>(</w:t>
      </w:r>
      <w:r>
        <w:rPr>
          <w:rFonts w:ascii="Times New Roman" w:hAnsi="Times New Roman" w:cs="Times New Roman"/>
          <w:sz w:val="24"/>
          <w:szCs w:val="24"/>
        </w:rPr>
        <w:t>50.24 per cent</w:t>
      </w:r>
      <w:r w:rsidR="00D54ABD">
        <w:rPr>
          <w:rFonts w:ascii="Times New Roman" w:hAnsi="Times New Roman" w:cs="Times New Roman"/>
          <w:sz w:val="24"/>
          <w:szCs w:val="24"/>
        </w:rPr>
        <w:t>)</w:t>
      </w:r>
      <w:r>
        <w:rPr>
          <w:rFonts w:ascii="Times New Roman" w:hAnsi="Times New Roman" w:cs="Times New Roman"/>
          <w:sz w:val="24"/>
          <w:szCs w:val="24"/>
        </w:rPr>
        <w:t xml:space="preserve"> with application of FYM @ 5 t ha </w:t>
      </w:r>
      <w:r>
        <w:rPr>
          <w:rFonts w:ascii="Times New Roman" w:hAnsi="Times New Roman" w:cs="Times New Roman"/>
          <w:sz w:val="24"/>
          <w:szCs w:val="24"/>
          <w:vertAlign w:val="superscript"/>
        </w:rPr>
        <w:t>-1</w:t>
      </w:r>
      <w:r>
        <w:rPr>
          <w:rFonts w:ascii="Times New Roman" w:hAnsi="Times New Roman" w:cs="Times New Roman"/>
          <w:sz w:val="24"/>
          <w:szCs w:val="24"/>
        </w:rPr>
        <w:t xml:space="preserve"> (F</w:t>
      </w:r>
      <w:r>
        <w:rPr>
          <w:rFonts w:ascii="Times New Roman" w:hAnsi="Times New Roman" w:cs="Times New Roman"/>
          <w:sz w:val="24"/>
          <w:szCs w:val="24"/>
          <w:vertAlign w:val="subscript"/>
        </w:rPr>
        <w:t>2</w:t>
      </w:r>
      <w:r>
        <w:rPr>
          <w:rFonts w:ascii="Times New Roman" w:hAnsi="Times New Roman" w:cs="Times New Roman"/>
          <w:sz w:val="24"/>
          <w:szCs w:val="24"/>
        </w:rPr>
        <w:t>) and minimum oil content 49.08 per cent was observed with</w:t>
      </w:r>
      <w:r w:rsidR="00D54ABD">
        <w:rPr>
          <w:rFonts w:ascii="Times New Roman" w:hAnsi="Times New Roman" w:cs="Times New Roman"/>
          <w:sz w:val="24"/>
          <w:szCs w:val="24"/>
        </w:rPr>
        <w:t>out</w:t>
      </w:r>
      <w:r>
        <w:rPr>
          <w:rFonts w:ascii="Times New Roman" w:hAnsi="Times New Roman" w:cs="Times New Roman"/>
          <w:sz w:val="24"/>
          <w:szCs w:val="24"/>
        </w:rPr>
        <w:t xml:space="preserve"> FYM (F</w:t>
      </w:r>
      <w:r>
        <w:rPr>
          <w:rFonts w:ascii="Times New Roman" w:hAnsi="Times New Roman" w:cs="Times New Roman"/>
          <w:sz w:val="24"/>
          <w:szCs w:val="24"/>
          <w:vertAlign w:val="subscript"/>
        </w:rPr>
        <w:t>1</w:t>
      </w:r>
      <w:r>
        <w:rPr>
          <w:rFonts w:ascii="Times New Roman" w:hAnsi="Times New Roman" w:cs="Times New Roman"/>
          <w:sz w:val="24"/>
          <w:szCs w:val="24"/>
        </w:rPr>
        <w:t>). Oil content in groundnut increased due to better CO</w:t>
      </w:r>
      <w:r>
        <w:rPr>
          <w:rFonts w:ascii="Times New Roman" w:hAnsi="Times New Roman" w:cs="Times New Roman"/>
          <w:sz w:val="24"/>
          <w:szCs w:val="24"/>
          <w:vertAlign w:val="subscript"/>
        </w:rPr>
        <w:t xml:space="preserve">2 </w:t>
      </w:r>
      <w:r>
        <w:rPr>
          <w:rFonts w:ascii="Times New Roman" w:hAnsi="Times New Roman" w:cs="Times New Roman"/>
          <w:sz w:val="24"/>
          <w:szCs w:val="24"/>
        </w:rPr>
        <w:t>production and greater exchange of nutrients that enhanced the mobility of nutrients under this treatment led to favourable environment in the plant system and there</w:t>
      </w:r>
      <w:r w:rsidR="00D54ABD">
        <w:rPr>
          <w:rFonts w:ascii="Times New Roman" w:hAnsi="Times New Roman" w:cs="Times New Roman"/>
          <w:sz w:val="24"/>
          <w:szCs w:val="24"/>
        </w:rPr>
        <w:t>-</w:t>
      </w:r>
      <w:r>
        <w:rPr>
          <w:rFonts w:ascii="Times New Roman" w:hAnsi="Times New Roman" w:cs="Times New Roman"/>
          <w:sz w:val="24"/>
          <w:szCs w:val="24"/>
        </w:rPr>
        <w:t xml:space="preserve">by increased </w:t>
      </w:r>
      <w:r w:rsidR="00D54ABD">
        <w:rPr>
          <w:rFonts w:ascii="Times New Roman" w:hAnsi="Times New Roman" w:cs="Times New Roman"/>
          <w:sz w:val="24"/>
          <w:szCs w:val="24"/>
        </w:rPr>
        <w:t xml:space="preserve">the </w:t>
      </w:r>
      <w:r>
        <w:rPr>
          <w:rFonts w:ascii="Times New Roman" w:hAnsi="Times New Roman" w:cs="Times New Roman"/>
          <w:sz w:val="24"/>
          <w:szCs w:val="24"/>
        </w:rPr>
        <w:t xml:space="preserve">oil content of groundnut. The results </w:t>
      </w:r>
      <w:r w:rsidR="00D54ABD" w:rsidRPr="00D54ABD">
        <w:rPr>
          <w:rFonts w:ascii="Times New Roman" w:hAnsi="Times New Roman" w:cs="Times New Roman"/>
          <w:color w:val="FF0000"/>
          <w:sz w:val="24"/>
          <w:szCs w:val="24"/>
        </w:rPr>
        <w:t>are</w:t>
      </w:r>
      <w:r>
        <w:rPr>
          <w:rFonts w:ascii="Times New Roman" w:hAnsi="Times New Roman" w:cs="Times New Roman"/>
          <w:sz w:val="24"/>
          <w:szCs w:val="24"/>
        </w:rPr>
        <w:t xml:space="preserve"> closely related with the findings of Ventakesh</w:t>
      </w:r>
      <w:r>
        <w:rPr>
          <w:rFonts w:ascii="Times New Roman" w:hAnsi="Times New Roman" w:cs="Times New Roman"/>
          <w:i/>
          <w:iCs/>
          <w:sz w:val="24"/>
          <w:szCs w:val="24"/>
        </w:rPr>
        <w:t>et al.</w:t>
      </w:r>
      <w:r>
        <w:rPr>
          <w:rFonts w:ascii="Times New Roman" w:hAnsi="Times New Roman" w:cs="Times New Roman"/>
          <w:sz w:val="24"/>
          <w:szCs w:val="24"/>
        </w:rPr>
        <w:t xml:space="preserve"> (2006) and Rahevar</w:t>
      </w:r>
      <w:r>
        <w:rPr>
          <w:rFonts w:ascii="Times New Roman" w:hAnsi="Times New Roman" w:cs="Times New Roman"/>
          <w:i/>
          <w:iCs/>
          <w:sz w:val="24"/>
          <w:szCs w:val="24"/>
        </w:rPr>
        <w:t>et al</w:t>
      </w:r>
      <w:r>
        <w:rPr>
          <w:rFonts w:ascii="Times New Roman" w:hAnsi="Times New Roman" w:cs="Times New Roman"/>
          <w:sz w:val="24"/>
          <w:szCs w:val="24"/>
        </w:rPr>
        <w:t>. (2015).</w:t>
      </w:r>
    </w:p>
    <w:p w:rsidR="004145E7" w:rsidRDefault="002D6E0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3.1.2 Effect of potassium</w:t>
      </w:r>
    </w:p>
    <w:p w:rsidR="004145E7" w:rsidRDefault="002D6E0C">
      <w:pPr>
        <w:spacing w:line="240" w:lineRule="auto"/>
        <w:jc w:val="both"/>
        <w:rPr>
          <w:rFonts w:ascii="Times New Roman" w:hAnsi="Times New Roman" w:cs="Times New Roman"/>
          <w:sz w:val="24"/>
          <w:szCs w:val="24"/>
        </w:rPr>
      </w:pPr>
      <w:r>
        <w:rPr>
          <w:rFonts w:ascii="Times New Roman" w:hAnsi="Times New Roman" w:cs="Times New Roman"/>
          <w:sz w:val="24"/>
          <w:szCs w:val="24"/>
        </w:rPr>
        <w:t>The treatment K</w:t>
      </w:r>
      <w:r>
        <w:rPr>
          <w:rFonts w:ascii="Times New Roman" w:hAnsi="Times New Roman" w:cs="Times New Roman"/>
          <w:sz w:val="24"/>
          <w:szCs w:val="24"/>
          <w:vertAlign w:val="subscript"/>
        </w:rPr>
        <w:t>3</w:t>
      </w:r>
      <w:r>
        <w:rPr>
          <w:rFonts w:ascii="Times New Roman" w:hAnsi="Times New Roman" w:cs="Times New Roman"/>
          <w:sz w:val="24"/>
          <w:szCs w:val="24"/>
        </w:rPr>
        <w:t xml:space="preserve"> (60 kg K</w:t>
      </w:r>
      <w:r>
        <w:rPr>
          <w:rFonts w:ascii="Times New Roman" w:hAnsi="Times New Roman" w:cs="Times New Roman"/>
          <w:sz w:val="24"/>
          <w:szCs w:val="24"/>
          <w:vertAlign w:val="subscript"/>
        </w:rPr>
        <w:t>2</w:t>
      </w:r>
      <w:r>
        <w:rPr>
          <w:rFonts w:ascii="Times New Roman" w:hAnsi="Times New Roman" w:cs="Times New Roman"/>
          <w:sz w:val="24"/>
          <w:szCs w:val="24"/>
        </w:rPr>
        <w:t>O ha</w:t>
      </w:r>
      <w:r>
        <w:rPr>
          <w:rFonts w:ascii="Times New Roman" w:hAnsi="Times New Roman" w:cs="Times New Roman"/>
          <w:sz w:val="24"/>
          <w:szCs w:val="24"/>
          <w:vertAlign w:val="superscript"/>
        </w:rPr>
        <w:t>-1</w:t>
      </w:r>
      <w:r>
        <w:rPr>
          <w:rFonts w:ascii="Times New Roman" w:hAnsi="Times New Roman" w:cs="Times New Roman"/>
          <w:sz w:val="24"/>
          <w:szCs w:val="24"/>
        </w:rPr>
        <w:t>) recorded significantly the highest oil content (50.27 %) over K</w:t>
      </w:r>
      <w:r>
        <w:rPr>
          <w:rFonts w:ascii="Times New Roman" w:hAnsi="Times New Roman" w:cs="Times New Roman"/>
          <w:sz w:val="24"/>
          <w:szCs w:val="24"/>
          <w:vertAlign w:val="subscript"/>
        </w:rPr>
        <w:t>2</w:t>
      </w:r>
      <w:r>
        <w:rPr>
          <w:rFonts w:ascii="Times New Roman" w:hAnsi="Times New Roman" w:cs="Times New Roman"/>
          <w:sz w:val="24"/>
          <w:szCs w:val="24"/>
        </w:rPr>
        <w:t>, K</w:t>
      </w:r>
      <w:r>
        <w:rPr>
          <w:rFonts w:ascii="Times New Roman" w:hAnsi="Times New Roman" w:cs="Times New Roman"/>
          <w:sz w:val="24"/>
          <w:szCs w:val="24"/>
          <w:vertAlign w:val="subscript"/>
        </w:rPr>
        <w:t>1</w:t>
      </w:r>
      <w:r>
        <w:rPr>
          <w:rFonts w:ascii="Times New Roman" w:hAnsi="Times New Roman" w:cs="Times New Roman"/>
          <w:sz w:val="24"/>
          <w:szCs w:val="24"/>
        </w:rPr>
        <w:t xml:space="preserve"> and was remained at par with K</w:t>
      </w:r>
      <w:r>
        <w:rPr>
          <w:rFonts w:ascii="Times New Roman" w:hAnsi="Times New Roman" w:cs="Times New Roman"/>
          <w:sz w:val="24"/>
          <w:szCs w:val="24"/>
          <w:vertAlign w:val="subscript"/>
        </w:rPr>
        <w:t>2</w:t>
      </w:r>
      <w:r>
        <w:rPr>
          <w:rFonts w:ascii="Times New Roman" w:hAnsi="Times New Roman" w:cs="Times New Roman"/>
          <w:sz w:val="24"/>
          <w:szCs w:val="24"/>
        </w:rPr>
        <w:t xml:space="preserve"> (40 kg K</w:t>
      </w:r>
      <w:r>
        <w:rPr>
          <w:rFonts w:ascii="Times New Roman" w:hAnsi="Times New Roman" w:cs="Times New Roman"/>
          <w:sz w:val="24"/>
          <w:szCs w:val="24"/>
          <w:vertAlign w:val="subscript"/>
        </w:rPr>
        <w:t>2</w:t>
      </w:r>
      <w:r>
        <w:rPr>
          <w:rFonts w:ascii="Times New Roman" w:hAnsi="Times New Roman" w:cs="Times New Roman"/>
          <w:sz w:val="24"/>
          <w:szCs w:val="24"/>
        </w:rPr>
        <w:t>O ha</w:t>
      </w:r>
      <w:r>
        <w:rPr>
          <w:rFonts w:ascii="Times New Roman" w:hAnsi="Times New Roman" w:cs="Times New Roman"/>
          <w:sz w:val="24"/>
          <w:szCs w:val="24"/>
          <w:vertAlign w:val="superscript"/>
        </w:rPr>
        <w:t>-1</w:t>
      </w:r>
      <w:r>
        <w:rPr>
          <w:rFonts w:ascii="Times New Roman" w:hAnsi="Times New Roman" w:cs="Times New Roman"/>
          <w:sz w:val="24"/>
          <w:szCs w:val="24"/>
        </w:rPr>
        <w:t>). The crop fertilized with 20 kg K</w:t>
      </w:r>
      <w:r>
        <w:rPr>
          <w:rFonts w:ascii="Times New Roman" w:hAnsi="Times New Roman" w:cs="Times New Roman"/>
          <w:sz w:val="24"/>
          <w:szCs w:val="24"/>
          <w:vertAlign w:val="subscript"/>
        </w:rPr>
        <w:t>2</w:t>
      </w:r>
      <w:r>
        <w:rPr>
          <w:rFonts w:ascii="Times New Roman" w:hAnsi="Times New Roman" w:cs="Times New Roman"/>
          <w:sz w:val="24"/>
          <w:szCs w:val="24"/>
        </w:rPr>
        <w:t>O ha</w:t>
      </w:r>
      <w:r>
        <w:rPr>
          <w:rFonts w:ascii="Times New Roman" w:hAnsi="Times New Roman" w:cs="Times New Roman"/>
          <w:sz w:val="24"/>
          <w:szCs w:val="24"/>
          <w:vertAlign w:val="superscript"/>
        </w:rPr>
        <w:t xml:space="preserve">-1 </w:t>
      </w:r>
      <w:r>
        <w:rPr>
          <w:rFonts w:ascii="Times New Roman" w:hAnsi="Times New Roman" w:cs="Times New Roman"/>
          <w:sz w:val="24"/>
          <w:szCs w:val="24"/>
        </w:rPr>
        <w:t xml:space="preserve">recorded significantly the lowest oil content (48.95 %). Similar trends were also observed by </w:t>
      </w:r>
      <w:commentRangeStart w:id="18"/>
      <w:r>
        <w:rPr>
          <w:rFonts w:ascii="Times New Roman" w:hAnsi="Times New Roman" w:cs="Times New Roman"/>
          <w:sz w:val="24"/>
          <w:szCs w:val="24"/>
        </w:rPr>
        <w:t xml:space="preserve">the findings of </w:t>
      </w:r>
      <w:commentRangeEnd w:id="18"/>
      <w:r w:rsidR="008E3A92">
        <w:rPr>
          <w:rStyle w:val="CommentReference"/>
        </w:rPr>
        <w:commentReference w:id="18"/>
      </w:r>
      <w:r>
        <w:rPr>
          <w:rFonts w:ascii="Times New Roman" w:hAnsi="Times New Roman" w:cs="Times New Roman"/>
          <w:sz w:val="24"/>
          <w:szCs w:val="24"/>
        </w:rPr>
        <w:t>Salve and Gunjal (2011), Kharade</w:t>
      </w:r>
      <w:r>
        <w:rPr>
          <w:rFonts w:ascii="Times New Roman" w:hAnsi="Times New Roman" w:cs="Times New Roman"/>
          <w:i/>
          <w:iCs/>
          <w:sz w:val="24"/>
          <w:szCs w:val="24"/>
        </w:rPr>
        <w:t>et al.</w:t>
      </w:r>
      <w:r>
        <w:rPr>
          <w:rFonts w:ascii="Times New Roman" w:hAnsi="Times New Roman" w:cs="Times New Roman"/>
          <w:sz w:val="24"/>
          <w:szCs w:val="24"/>
        </w:rPr>
        <w:t xml:space="preserve"> (2013) and Borah </w:t>
      </w:r>
      <w:r>
        <w:rPr>
          <w:rFonts w:ascii="Times New Roman" w:hAnsi="Times New Roman" w:cs="Times New Roman"/>
          <w:i/>
          <w:iCs/>
          <w:sz w:val="24"/>
          <w:szCs w:val="24"/>
        </w:rPr>
        <w:t>et al.</w:t>
      </w:r>
      <w:r>
        <w:rPr>
          <w:rFonts w:ascii="Times New Roman" w:hAnsi="Times New Roman" w:cs="Times New Roman"/>
          <w:sz w:val="24"/>
          <w:szCs w:val="24"/>
        </w:rPr>
        <w:t xml:space="preserve"> (2017).</w:t>
      </w:r>
    </w:p>
    <w:p w:rsidR="004145E7" w:rsidRDefault="002D6E0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3.1.3 Effect of KMB</w:t>
      </w:r>
    </w:p>
    <w:p w:rsidR="004145E7" w:rsidRDefault="002D6E0C">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The maximum oil content (50.06 %) was obtained with application of KMB (B</w:t>
      </w:r>
      <w:r>
        <w:rPr>
          <w:rFonts w:ascii="Times New Roman" w:hAnsi="Times New Roman" w:cs="Times New Roman"/>
          <w:sz w:val="24"/>
          <w:szCs w:val="24"/>
          <w:vertAlign w:val="subscript"/>
        </w:rPr>
        <w:t xml:space="preserve"> 1</w:t>
      </w:r>
      <w:r>
        <w:rPr>
          <w:rFonts w:ascii="Times New Roman" w:hAnsi="Times New Roman" w:cs="Times New Roman"/>
          <w:sz w:val="24"/>
          <w:szCs w:val="24"/>
        </w:rPr>
        <w:t>) and minimum (49.26 %) oil content was recorded with treatment B</w:t>
      </w:r>
      <w:r>
        <w:rPr>
          <w:rFonts w:ascii="Times New Roman" w:hAnsi="Times New Roman" w:cs="Times New Roman"/>
          <w:sz w:val="24"/>
          <w:szCs w:val="24"/>
          <w:vertAlign w:val="subscript"/>
        </w:rPr>
        <w:t xml:space="preserve">2 </w:t>
      </w:r>
      <w:r>
        <w:rPr>
          <w:rFonts w:ascii="Times New Roman" w:hAnsi="Times New Roman" w:cs="Times New Roman"/>
          <w:sz w:val="24"/>
          <w:szCs w:val="24"/>
        </w:rPr>
        <w:t>(without KMB).</w:t>
      </w:r>
    </w:p>
    <w:p w:rsidR="004145E7" w:rsidRDefault="002D6E0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3.2 Protein content (%)</w:t>
      </w:r>
    </w:p>
    <w:p w:rsidR="004145E7" w:rsidRDefault="002D6E0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3.2.1Effect of FYM</w:t>
      </w:r>
    </w:p>
    <w:p w:rsidR="004145E7" w:rsidRDefault="002D6E0C">
      <w:pPr>
        <w:spacing w:line="240" w:lineRule="auto"/>
        <w:jc w:val="both"/>
        <w:rPr>
          <w:rFonts w:ascii="Times New Roman" w:hAnsi="Times New Roman" w:cs="Times New Roman"/>
          <w:sz w:val="24"/>
          <w:szCs w:val="24"/>
        </w:rPr>
      </w:pPr>
      <w:r>
        <w:rPr>
          <w:rFonts w:ascii="Times New Roman" w:hAnsi="Times New Roman" w:cs="Times New Roman"/>
          <w:sz w:val="24"/>
          <w:szCs w:val="24"/>
        </w:rPr>
        <w:t>Significantly higher protein content (23.90 %) was found with application of 5 t FYM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and </w:t>
      </w:r>
      <w:r w:rsidR="00C23324" w:rsidRPr="00C23324">
        <w:rPr>
          <w:rFonts w:ascii="Times New Roman" w:hAnsi="Times New Roman" w:cs="Times New Roman"/>
          <w:color w:val="FF0000"/>
          <w:sz w:val="24"/>
          <w:szCs w:val="24"/>
        </w:rPr>
        <w:t xml:space="preserve">the treatment </w:t>
      </w:r>
      <w:r w:rsidRPr="00C23324">
        <w:rPr>
          <w:rFonts w:ascii="Times New Roman" w:hAnsi="Times New Roman" w:cs="Times New Roman"/>
          <w:color w:val="FF0000"/>
          <w:sz w:val="24"/>
          <w:szCs w:val="24"/>
        </w:rPr>
        <w:t>F</w:t>
      </w:r>
      <w:r w:rsidRPr="00C23324">
        <w:rPr>
          <w:rFonts w:ascii="Times New Roman" w:hAnsi="Times New Roman" w:cs="Times New Roman"/>
          <w:color w:val="FF0000"/>
          <w:sz w:val="24"/>
          <w:szCs w:val="24"/>
          <w:vertAlign w:val="subscript"/>
        </w:rPr>
        <w:t>1</w:t>
      </w:r>
      <w:r>
        <w:rPr>
          <w:rFonts w:ascii="Times New Roman" w:hAnsi="Times New Roman" w:cs="Times New Roman"/>
          <w:sz w:val="24"/>
          <w:szCs w:val="24"/>
        </w:rPr>
        <w:t xml:space="preserve"> recorded significantly lower protein content (23.33 %). Probable reason for increasing protein content is that the nitrogen is an integral part of certain co-enzyme involved in protein synthesis. The increase in protein synthesis in groundnut is mainly due to cumulative effect of pod yield. These results are accordance with the finding of Dhadge and Satpute (2014).</w:t>
      </w:r>
    </w:p>
    <w:p w:rsidR="004145E7" w:rsidRDefault="002D6E0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3.2.2 Effect of potassium</w:t>
      </w:r>
    </w:p>
    <w:p w:rsidR="004145E7" w:rsidRDefault="002D6E0C">
      <w:pPr>
        <w:spacing w:line="240" w:lineRule="auto"/>
        <w:jc w:val="both"/>
        <w:rPr>
          <w:rFonts w:ascii="Times New Roman" w:hAnsi="Times New Roman" w:cs="Times New Roman"/>
          <w:sz w:val="24"/>
          <w:szCs w:val="24"/>
        </w:rPr>
      </w:pPr>
      <w:r>
        <w:rPr>
          <w:rFonts w:ascii="Times New Roman" w:hAnsi="Times New Roman" w:cs="Times New Roman"/>
          <w:sz w:val="24"/>
          <w:szCs w:val="24"/>
        </w:rPr>
        <w:t>Treatment K</w:t>
      </w:r>
      <w:r>
        <w:rPr>
          <w:rFonts w:ascii="Times New Roman" w:hAnsi="Times New Roman" w:cs="Times New Roman"/>
          <w:sz w:val="24"/>
          <w:szCs w:val="24"/>
          <w:vertAlign w:val="subscript"/>
        </w:rPr>
        <w:t>3</w:t>
      </w:r>
      <w:r>
        <w:rPr>
          <w:rFonts w:ascii="Times New Roman" w:hAnsi="Times New Roman" w:cs="Times New Roman"/>
          <w:sz w:val="24"/>
          <w:szCs w:val="24"/>
        </w:rPr>
        <w:t xml:space="preserve"> (60 kg K</w:t>
      </w:r>
      <w:r>
        <w:rPr>
          <w:rFonts w:ascii="Times New Roman" w:hAnsi="Times New Roman" w:cs="Times New Roman"/>
          <w:sz w:val="24"/>
          <w:szCs w:val="24"/>
          <w:vertAlign w:val="subscript"/>
        </w:rPr>
        <w:t>2</w:t>
      </w:r>
      <w:r>
        <w:rPr>
          <w:rFonts w:ascii="Times New Roman" w:hAnsi="Times New Roman" w:cs="Times New Roman"/>
          <w:sz w:val="24"/>
          <w:szCs w:val="24"/>
        </w:rPr>
        <w:t>O ha</w:t>
      </w:r>
      <w:r>
        <w:rPr>
          <w:rFonts w:ascii="Times New Roman" w:hAnsi="Times New Roman" w:cs="Times New Roman"/>
          <w:sz w:val="24"/>
          <w:szCs w:val="24"/>
          <w:vertAlign w:val="superscript"/>
        </w:rPr>
        <w:t>-1</w:t>
      </w:r>
      <w:r>
        <w:rPr>
          <w:rFonts w:ascii="Times New Roman" w:hAnsi="Times New Roman" w:cs="Times New Roman"/>
          <w:sz w:val="24"/>
          <w:szCs w:val="24"/>
        </w:rPr>
        <w:t>) recorded significantly higher protein content (24.19 %) as compared to rest of the levels of potassium (K</w:t>
      </w:r>
      <w:r>
        <w:rPr>
          <w:rFonts w:ascii="Times New Roman" w:hAnsi="Times New Roman" w:cs="Times New Roman"/>
          <w:sz w:val="24"/>
          <w:szCs w:val="24"/>
          <w:vertAlign w:val="subscript"/>
        </w:rPr>
        <w:t>2</w:t>
      </w:r>
      <w:r>
        <w:rPr>
          <w:rFonts w:ascii="Times New Roman" w:hAnsi="Times New Roman" w:cs="Times New Roman"/>
          <w:sz w:val="24"/>
          <w:szCs w:val="24"/>
        </w:rPr>
        <w:t xml:space="preserve"> and K</w:t>
      </w:r>
      <w:r>
        <w:rPr>
          <w:rFonts w:ascii="Times New Roman" w:hAnsi="Times New Roman" w:cs="Times New Roman"/>
          <w:sz w:val="24"/>
          <w:szCs w:val="24"/>
          <w:vertAlign w:val="subscript"/>
        </w:rPr>
        <w:t>1</w:t>
      </w:r>
      <w:r>
        <w:rPr>
          <w:rFonts w:ascii="Times New Roman" w:hAnsi="Times New Roman" w:cs="Times New Roman"/>
          <w:sz w:val="24"/>
          <w:szCs w:val="24"/>
        </w:rPr>
        <w:t xml:space="preserve">). There were no differences </w:t>
      </w:r>
      <w:commentRangeStart w:id="19"/>
      <w:r>
        <w:rPr>
          <w:rFonts w:ascii="Times New Roman" w:hAnsi="Times New Roman" w:cs="Times New Roman"/>
          <w:sz w:val="24"/>
          <w:szCs w:val="24"/>
        </w:rPr>
        <w:t xml:space="preserve">was observed </w:t>
      </w:r>
      <w:commentRangeEnd w:id="19"/>
      <w:r w:rsidR="00B66C84">
        <w:rPr>
          <w:rStyle w:val="CommentReference"/>
        </w:rPr>
        <w:commentReference w:id="19"/>
      </w:r>
      <w:r>
        <w:rPr>
          <w:rFonts w:ascii="Times New Roman" w:hAnsi="Times New Roman" w:cs="Times New Roman"/>
          <w:sz w:val="24"/>
          <w:szCs w:val="24"/>
        </w:rPr>
        <w:t>between treatment K</w:t>
      </w:r>
      <w:r>
        <w:rPr>
          <w:rFonts w:ascii="Times New Roman" w:hAnsi="Times New Roman" w:cs="Times New Roman"/>
          <w:sz w:val="24"/>
          <w:szCs w:val="24"/>
          <w:vertAlign w:val="subscript"/>
        </w:rPr>
        <w:t xml:space="preserve">3 </w:t>
      </w:r>
      <w:r>
        <w:rPr>
          <w:rFonts w:ascii="Times New Roman" w:hAnsi="Times New Roman" w:cs="Times New Roman"/>
          <w:sz w:val="24"/>
          <w:szCs w:val="24"/>
        </w:rPr>
        <w:t>(60 kg K</w:t>
      </w:r>
      <w:r>
        <w:rPr>
          <w:rFonts w:ascii="Times New Roman" w:hAnsi="Times New Roman" w:cs="Times New Roman"/>
          <w:sz w:val="24"/>
          <w:szCs w:val="24"/>
          <w:vertAlign w:val="subscript"/>
        </w:rPr>
        <w:t>2</w:t>
      </w:r>
      <w:r>
        <w:rPr>
          <w:rFonts w:ascii="Times New Roman" w:hAnsi="Times New Roman" w:cs="Times New Roman"/>
          <w:sz w:val="24"/>
          <w:szCs w:val="24"/>
        </w:rPr>
        <w:t xml:space="preserve">O ha </w:t>
      </w:r>
      <w:r>
        <w:rPr>
          <w:rFonts w:ascii="Times New Roman" w:hAnsi="Times New Roman" w:cs="Times New Roman"/>
          <w:sz w:val="24"/>
          <w:szCs w:val="24"/>
          <w:vertAlign w:val="superscript"/>
        </w:rPr>
        <w:t>-1</w:t>
      </w:r>
      <w:r>
        <w:rPr>
          <w:rFonts w:ascii="Times New Roman" w:hAnsi="Times New Roman" w:cs="Times New Roman"/>
          <w:sz w:val="24"/>
          <w:szCs w:val="24"/>
        </w:rPr>
        <w:t>) and K</w:t>
      </w:r>
      <w:r>
        <w:rPr>
          <w:rFonts w:ascii="Times New Roman" w:hAnsi="Times New Roman" w:cs="Times New Roman"/>
          <w:sz w:val="24"/>
          <w:szCs w:val="24"/>
          <w:vertAlign w:val="subscript"/>
        </w:rPr>
        <w:t xml:space="preserve">2 </w:t>
      </w:r>
      <w:r>
        <w:rPr>
          <w:rFonts w:ascii="Times New Roman" w:hAnsi="Times New Roman" w:cs="Times New Roman"/>
          <w:sz w:val="24"/>
          <w:szCs w:val="24"/>
        </w:rPr>
        <w:t>(40 kg K</w:t>
      </w:r>
      <w:r>
        <w:rPr>
          <w:rFonts w:ascii="Times New Roman" w:hAnsi="Times New Roman" w:cs="Times New Roman"/>
          <w:sz w:val="24"/>
          <w:szCs w:val="24"/>
          <w:vertAlign w:val="subscript"/>
        </w:rPr>
        <w:t>2</w:t>
      </w:r>
      <w:r>
        <w:rPr>
          <w:rFonts w:ascii="Times New Roman" w:hAnsi="Times New Roman" w:cs="Times New Roman"/>
          <w:sz w:val="24"/>
          <w:szCs w:val="24"/>
        </w:rPr>
        <w:t>O ha</w:t>
      </w:r>
      <w:r>
        <w:rPr>
          <w:rFonts w:ascii="Times New Roman" w:hAnsi="Times New Roman" w:cs="Times New Roman"/>
          <w:sz w:val="24"/>
          <w:szCs w:val="24"/>
          <w:vertAlign w:val="superscript"/>
        </w:rPr>
        <w:t>-1</w:t>
      </w:r>
      <w:r>
        <w:rPr>
          <w:rFonts w:ascii="Times New Roman" w:hAnsi="Times New Roman" w:cs="Times New Roman"/>
          <w:sz w:val="24"/>
          <w:szCs w:val="24"/>
        </w:rPr>
        <w:t>).Moreover, significantly the lowest protein content (22.97 %) was recorded under treatment K</w:t>
      </w:r>
      <w:r>
        <w:rPr>
          <w:rFonts w:ascii="Times New Roman" w:hAnsi="Times New Roman" w:cs="Times New Roman"/>
          <w:sz w:val="24"/>
          <w:szCs w:val="24"/>
          <w:vertAlign w:val="subscript"/>
        </w:rPr>
        <w:t>1</w:t>
      </w:r>
      <w:r>
        <w:rPr>
          <w:rFonts w:ascii="Times New Roman" w:hAnsi="Times New Roman" w:cs="Times New Roman"/>
          <w:sz w:val="24"/>
          <w:szCs w:val="24"/>
        </w:rPr>
        <w:t xml:space="preserve"> (20 kg K</w:t>
      </w:r>
      <w:r>
        <w:rPr>
          <w:rFonts w:ascii="Times New Roman" w:hAnsi="Times New Roman" w:cs="Times New Roman"/>
          <w:sz w:val="24"/>
          <w:szCs w:val="24"/>
          <w:vertAlign w:val="subscript"/>
        </w:rPr>
        <w:t>2</w:t>
      </w:r>
      <w:r>
        <w:rPr>
          <w:rFonts w:ascii="Times New Roman" w:hAnsi="Times New Roman" w:cs="Times New Roman"/>
          <w:sz w:val="24"/>
          <w:szCs w:val="24"/>
        </w:rPr>
        <w:t>O ha</w:t>
      </w:r>
      <w:r>
        <w:rPr>
          <w:rFonts w:ascii="Times New Roman" w:hAnsi="Times New Roman" w:cs="Times New Roman"/>
          <w:sz w:val="24"/>
          <w:szCs w:val="24"/>
          <w:vertAlign w:val="superscript"/>
        </w:rPr>
        <w:t>-1</w:t>
      </w:r>
      <w:r>
        <w:rPr>
          <w:rFonts w:ascii="Times New Roman" w:hAnsi="Times New Roman" w:cs="Times New Roman"/>
          <w:sz w:val="24"/>
          <w:szCs w:val="24"/>
        </w:rPr>
        <w:t>). Effect of potassium on protein content might be due to the fact that soil under experiment was medium in available potassium</w:t>
      </w:r>
      <w:r w:rsidR="00B66C84">
        <w:rPr>
          <w:rFonts w:ascii="Times New Roman" w:hAnsi="Times New Roman" w:cs="Times New Roman"/>
          <w:sz w:val="24"/>
          <w:szCs w:val="24"/>
        </w:rPr>
        <w:t>,</w:t>
      </w:r>
      <w:r>
        <w:rPr>
          <w:rFonts w:ascii="Times New Roman" w:hAnsi="Times New Roman" w:cs="Times New Roman"/>
          <w:sz w:val="24"/>
          <w:szCs w:val="24"/>
        </w:rPr>
        <w:t xml:space="preserve"> so response </w:t>
      </w:r>
      <w:r w:rsidR="00066942">
        <w:rPr>
          <w:rFonts w:ascii="Times New Roman" w:hAnsi="Times New Roman" w:cs="Times New Roman"/>
          <w:sz w:val="24"/>
          <w:szCs w:val="24"/>
        </w:rPr>
        <w:t>is</w:t>
      </w:r>
      <w:r>
        <w:rPr>
          <w:rFonts w:ascii="Times New Roman" w:hAnsi="Times New Roman" w:cs="Times New Roman"/>
          <w:sz w:val="24"/>
          <w:szCs w:val="24"/>
        </w:rPr>
        <w:t xml:space="preserve"> more in 60 kg K</w:t>
      </w:r>
      <w:r>
        <w:rPr>
          <w:rFonts w:ascii="Times New Roman" w:hAnsi="Times New Roman" w:cs="Times New Roman"/>
          <w:sz w:val="24"/>
          <w:szCs w:val="24"/>
          <w:vertAlign w:val="subscript"/>
        </w:rPr>
        <w:t>2</w:t>
      </w:r>
      <w:r>
        <w:rPr>
          <w:rFonts w:ascii="Times New Roman" w:hAnsi="Times New Roman" w:cs="Times New Roman"/>
          <w:sz w:val="24"/>
          <w:szCs w:val="24"/>
        </w:rPr>
        <w:t>O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Potassium promotes </w:t>
      </w:r>
      <w:commentRangeStart w:id="20"/>
      <w:r>
        <w:rPr>
          <w:rFonts w:ascii="Times New Roman" w:hAnsi="Times New Roman" w:cs="Times New Roman"/>
          <w:sz w:val="24"/>
          <w:szCs w:val="24"/>
        </w:rPr>
        <w:t xml:space="preserve">the </w:t>
      </w:r>
      <w:commentRangeEnd w:id="20"/>
      <w:r w:rsidR="00066942">
        <w:rPr>
          <w:rStyle w:val="CommentReference"/>
        </w:rPr>
        <w:commentReference w:id="20"/>
      </w:r>
      <w:r>
        <w:rPr>
          <w:rFonts w:ascii="Times New Roman" w:hAnsi="Times New Roman" w:cs="Times New Roman"/>
          <w:sz w:val="24"/>
          <w:szCs w:val="24"/>
        </w:rPr>
        <w:t xml:space="preserve">conversion of plant metabolites into proteins and amino acids, thus providing a sink for </w:t>
      </w:r>
      <w:commentRangeStart w:id="21"/>
      <w:r>
        <w:rPr>
          <w:rFonts w:ascii="Times New Roman" w:hAnsi="Times New Roman" w:cs="Times New Roman"/>
          <w:sz w:val="24"/>
          <w:szCs w:val="24"/>
        </w:rPr>
        <w:t xml:space="preserve">the </w:t>
      </w:r>
      <w:commentRangeEnd w:id="21"/>
      <w:r w:rsidR="00066942">
        <w:rPr>
          <w:rStyle w:val="CommentReference"/>
        </w:rPr>
        <w:commentReference w:id="21"/>
      </w:r>
      <w:r>
        <w:rPr>
          <w:rFonts w:ascii="Times New Roman" w:hAnsi="Times New Roman" w:cs="Times New Roman"/>
          <w:sz w:val="24"/>
          <w:szCs w:val="24"/>
        </w:rPr>
        <w:t xml:space="preserve">nitrogen fixed. Similar results were </w:t>
      </w:r>
      <w:commentRangeStart w:id="22"/>
      <w:r>
        <w:rPr>
          <w:rFonts w:ascii="Times New Roman" w:hAnsi="Times New Roman" w:cs="Times New Roman"/>
          <w:sz w:val="24"/>
          <w:szCs w:val="24"/>
        </w:rPr>
        <w:t xml:space="preserve">also </w:t>
      </w:r>
      <w:commentRangeEnd w:id="22"/>
      <w:r w:rsidR="00066942">
        <w:rPr>
          <w:rStyle w:val="CommentReference"/>
        </w:rPr>
        <w:commentReference w:id="22"/>
      </w:r>
      <w:r>
        <w:rPr>
          <w:rFonts w:ascii="Times New Roman" w:hAnsi="Times New Roman" w:cs="Times New Roman"/>
          <w:sz w:val="24"/>
          <w:szCs w:val="24"/>
        </w:rPr>
        <w:t>reported by Gashti</w:t>
      </w:r>
      <w:r>
        <w:rPr>
          <w:rFonts w:ascii="Times New Roman" w:hAnsi="Times New Roman" w:cs="Times New Roman"/>
          <w:i/>
          <w:iCs/>
          <w:sz w:val="24"/>
          <w:szCs w:val="24"/>
        </w:rPr>
        <w:t>et al.</w:t>
      </w:r>
      <w:r>
        <w:rPr>
          <w:rFonts w:ascii="Times New Roman" w:hAnsi="Times New Roman" w:cs="Times New Roman"/>
          <w:sz w:val="24"/>
          <w:szCs w:val="24"/>
        </w:rPr>
        <w:t xml:space="preserve"> (2012) and Rathore </w:t>
      </w:r>
      <w:r>
        <w:rPr>
          <w:rFonts w:ascii="Times New Roman" w:hAnsi="Times New Roman" w:cs="Times New Roman"/>
          <w:i/>
          <w:iCs/>
          <w:sz w:val="24"/>
          <w:szCs w:val="24"/>
        </w:rPr>
        <w:t>et al.</w:t>
      </w:r>
      <w:r>
        <w:rPr>
          <w:rFonts w:ascii="Times New Roman" w:hAnsi="Times New Roman" w:cs="Times New Roman"/>
          <w:sz w:val="24"/>
          <w:szCs w:val="24"/>
        </w:rPr>
        <w:t xml:space="preserve"> (2014).</w:t>
      </w:r>
    </w:p>
    <w:p w:rsidR="004145E7" w:rsidRDefault="002D6E0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3.2.3 Effect of KMB</w:t>
      </w:r>
    </w:p>
    <w:p w:rsidR="004145E7" w:rsidRDefault="002D6E0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Maximum protein content (23.93 %) in </w:t>
      </w:r>
      <w:r w:rsidR="00066942">
        <w:rPr>
          <w:rFonts w:ascii="Times New Roman" w:hAnsi="Times New Roman" w:cs="Times New Roman"/>
          <w:sz w:val="24"/>
          <w:szCs w:val="24"/>
        </w:rPr>
        <w:t xml:space="preserve">groundnut </w:t>
      </w:r>
      <w:r>
        <w:rPr>
          <w:rFonts w:ascii="Times New Roman" w:hAnsi="Times New Roman" w:cs="Times New Roman"/>
          <w:sz w:val="24"/>
          <w:szCs w:val="24"/>
        </w:rPr>
        <w:t xml:space="preserve">kernels </w:t>
      </w:r>
      <w:r w:rsidR="00066942" w:rsidRPr="00066942">
        <w:rPr>
          <w:rFonts w:ascii="Times New Roman" w:hAnsi="Times New Roman" w:cs="Times New Roman"/>
          <w:color w:val="FF0000"/>
          <w:sz w:val="24"/>
          <w:szCs w:val="24"/>
        </w:rPr>
        <w:t>was</w:t>
      </w:r>
      <w:r>
        <w:rPr>
          <w:rFonts w:ascii="Times New Roman" w:hAnsi="Times New Roman" w:cs="Times New Roman"/>
          <w:sz w:val="24"/>
          <w:szCs w:val="24"/>
        </w:rPr>
        <w:t xml:space="preserve"> observed with </w:t>
      </w:r>
      <w:r>
        <w:rPr>
          <w:rFonts w:ascii="Times New Roman" w:hAnsi="Times New Roman" w:cs="Times New Roman"/>
          <w:sz w:val="24"/>
          <w:szCs w:val="24"/>
        </w:rPr>
        <w:lastRenderedPageBreak/>
        <w:t>application of KMB (B</w:t>
      </w:r>
      <w:r>
        <w:rPr>
          <w:rFonts w:ascii="Times New Roman" w:hAnsi="Times New Roman" w:cs="Times New Roman"/>
          <w:sz w:val="24"/>
          <w:szCs w:val="24"/>
          <w:vertAlign w:val="subscript"/>
        </w:rPr>
        <w:t xml:space="preserve"> 1</w:t>
      </w:r>
      <w:r>
        <w:rPr>
          <w:rFonts w:ascii="Times New Roman" w:hAnsi="Times New Roman" w:cs="Times New Roman"/>
          <w:sz w:val="24"/>
          <w:szCs w:val="24"/>
        </w:rPr>
        <w:t xml:space="preserve">) and minimum (23.30 %) protein content was found with </w:t>
      </w:r>
      <w:commentRangeStart w:id="23"/>
      <w:r>
        <w:rPr>
          <w:rFonts w:ascii="Times New Roman" w:hAnsi="Times New Roman" w:cs="Times New Roman"/>
          <w:sz w:val="24"/>
          <w:szCs w:val="24"/>
        </w:rPr>
        <w:t xml:space="preserve">application of level </w:t>
      </w:r>
      <w:commentRangeEnd w:id="23"/>
      <w:r w:rsidR="00066942">
        <w:rPr>
          <w:rStyle w:val="CommentReference"/>
        </w:rPr>
        <w:commentReference w:id="23"/>
      </w:r>
      <w:r>
        <w:rPr>
          <w:rFonts w:ascii="Times New Roman" w:hAnsi="Times New Roman" w:cs="Times New Roman"/>
          <w:sz w:val="24"/>
          <w:szCs w:val="24"/>
        </w:rPr>
        <w:t>B</w:t>
      </w:r>
      <w:r>
        <w:rPr>
          <w:rFonts w:ascii="Times New Roman" w:hAnsi="Times New Roman" w:cs="Times New Roman"/>
          <w:sz w:val="24"/>
          <w:szCs w:val="24"/>
          <w:vertAlign w:val="subscript"/>
        </w:rPr>
        <w:t>2</w:t>
      </w:r>
      <w:r>
        <w:rPr>
          <w:rFonts w:ascii="Times New Roman" w:hAnsi="Times New Roman" w:cs="Times New Roman"/>
          <w:sz w:val="24"/>
          <w:szCs w:val="24"/>
        </w:rPr>
        <w:t xml:space="preserve"> (without KMB).</w:t>
      </w:r>
    </w:p>
    <w:p w:rsidR="004145E7" w:rsidRDefault="002D6E0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3.3 Nitrogen content in kernel (%)</w:t>
      </w:r>
    </w:p>
    <w:p w:rsidR="004145E7" w:rsidRDefault="002D6E0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3.3.1Effect of FYM</w:t>
      </w:r>
    </w:p>
    <w:p w:rsidR="004145E7" w:rsidRDefault="002D6E0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Treatment </w:t>
      </w:r>
      <w:r w:rsidR="00066942">
        <w:rPr>
          <w:rFonts w:ascii="Times New Roman" w:hAnsi="Times New Roman" w:cs="Times New Roman"/>
          <w:sz w:val="24"/>
          <w:szCs w:val="24"/>
        </w:rPr>
        <w:t>F</w:t>
      </w:r>
      <w:r w:rsidR="00066942">
        <w:rPr>
          <w:rFonts w:ascii="Times New Roman" w:hAnsi="Times New Roman" w:cs="Times New Roman"/>
          <w:sz w:val="24"/>
          <w:szCs w:val="24"/>
          <w:vertAlign w:val="subscript"/>
        </w:rPr>
        <w:t>2</w:t>
      </w:r>
      <w:r w:rsidR="00066942">
        <w:rPr>
          <w:rFonts w:ascii="Times New Roman" w:hAnsi="Times New Roman" w:cs="Times New Roman"/>
          <w:sz w:val="24"/>
          <w:szCs w:val="24"/>
        </w:rPr>
        <w:t xml:space="preserve"> (</w:t>
      </w:r>
      <w:r>
        <w:rPr>
          <w:rFonts w:ascii="Times New Roman" w:hAnsi="Times New Roman" w:cs="Times New Roman"/>
          <w:sz w:val="24"/>
          <w:szCs w:val="24"/>
        </w:rPr>
        <w:t>5t</w:t>
      </w:r>
      <w:r w:rsidR="00066942">
        <w:rPr>
          <w:rFonts w:ascii="Times New Roman" w:hAnsi="Times New Roman" w:cs="Times New Roman"/>
          <w:sz w:val="24"/>
          <w:szCs w:val="24"/>
        </w:rPr>
        <w:t xml:space="preserve"> </w:t>
      </w:r>
      <w:r>
        <w:rPr>
          <w:rFonts w:ascii="Times New Roman" w:hAnsi="Times New Roman" w:cs="Times New Roman"/>
          <w:sz w:val="24"/>
          <w:szCs w:val="24"/>
        </w:rPr>
        <w:t>FYM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gave significantly highest nitrogen content </w:t>
      </w:r>
      <w:r w:rsidR="00066942">
        <w:rPr>
          <w:rFonts w:ascii="Times New Roman" w:hAnsi="Times New Roman" w:cs="Times New Roman"/>
          <w:sz w:val="24"/>
          <w:szCs w:val="24"/>
        </w:rPr>
        <w:t>(</w:t>
      </w:r>
      <w:r>
        <w:rPr>
          <w:rFonts w:ascii="Times New Roman" w:hAnsi="Times New Roman" w:cs="Times New Roman"/>
          <w:sz w:val="24"/>
          <w:szCs w:val="24"/>
        </w:rPr>
        <w:t>3.39</w:t>
      </w:r>
      <w:r w:rsidR="00066942">
        <w:rPr>
          <w:rFonts w:ascii="Times New Roman" w:hAnsi="Times New Roman" w:cs="Times New Roman"/>
          <w:sz w:val="24"/>
          <w:szCs w:val="24"/>
        </w:rPr>
        <w:t>)</w:t>
      </w:r>
      <w:r>
        <w:rPr>
          <w:rFonts w:ascii="Times New Roman" w:hAnsi="Times New Roman" w:cs="Times New Roman"/>
          <w:sz w:val="24"/>
          <w:szCs w:val="24"/>
        </w:rPr>
        <w:t xml:space="preserve"> % in groundnut kernel. However, significantly the lowest nitrogen content (3.17 %) was observed with application of FYM @ 0 t ha</w:t>
      </w:r>
      <w:r>
        <w:rPr>
          <w:rFonts w:ascii="Times New Roman" w:hAnsi="Times New Roman" w:cs="Times New Roman"/>
          <w:sz w:val="24"/>
          <w:szCs w:val="24"/>
          <w:vertAlign w:val="superscript"/>
        </w:rPr>
        <w:t>-1</w:t>
      </w:r>
      <w:r>
        <w:rPr>
          <w:rFonts w:ascii="Times New Roman" w:hAnsi="Times New Roman" w:cs="Times New Roman"/>
          <w:sz w:val="24"/>
          <w:szCs w:val="24"/>
        </w:rPr>
        <w:t>. This might be due to FYM application promoted higher nitrogen fixation might have helped in increas</w:t>
      </w:r>
      <w:r w:rsidR="00066942">
        <w:rPr>
          <w:rFonts w:ascii="Times New Roman" w:hAnsi="Times New Roman" w:cs="Times New Roman"/>
          <w:sz w:val="24"/>
          <w:szCs w:val="24"/>
        </w:rPr>
        <w:t>ing</w:t>
      </w:r>
      <w:r>
        <w:rPr>
          <w:rFonts w:ascii="Times New Roman" w:hAnsi="Times New Roman" w:cs="Times New Roman"/>
          <w:sz w:val="24"/>
          <w:szCs w:val="24"/>
        </w:rPr>
        <w:t xml:space="preserve"> </w:t>
      </w:r>
      <w:r w:rsidR="00066942">
        <w:rPr>
          <w:rFonts w:ascii="Times New Roman" w:hAnsi="Times New Roman" w:cs="Times New Roman"/>
          <w:sz w:val="24"/>
          <w:szCs w:val="24"/>
        </w:rPr>
        <w:t>the</w:t>
      </w:r>
      <w:r>
        <w:rPr>
          <w:rFonts w:ascii="Times New Roman" w:hAnsi="Times New Roman" w:cs="Times New Roman"/>
          <w:sz w:val="24"/>
          <w:szCs w:val="24"/>
        </w:rPr>
        <w:t xml:space="preserve"> content of nutrients due to release of nutrients </w:t>
      </w:r>
      <w:r w:rsidR="00066942">
        <w:rPr>
          <w:rFonts w:ascii="Times New Roman" w:hAnsi="Times New Roman" w:cs="Times New Roman"/>
          <w:sz w:val="24"/>
          <w:szCs w:val="24"/>
        </w:rPr>
        <w:t>in</w:t>
      </w:r>
      <w:r>
        <w:rPr>
          <w:rFonts w:ascii="Times New Roman" w:hAnsi="Times New Roman" w:cs="Times New Roman"/>
          <w:sz w:val="24"/>
          <w:szCs w:val="24"/>
        </w:rPr>
        <w:t xml:space="preserve"> optimum amount for longer period. These results are in close proximity with </w:t>
      </w:r>
      <w:commentRangeStart w:id="24"/>
      <w:r>
        <w:rPr>
          <w:rFonts w:ascii="Times New Roman" w:hAnsi="Times New Roman" w:cs="Times New Roman"/>
          <w:sz w:val="24"/>
          <w:szCs w:val="24"/>
        </w:rPr>
        <w:t xml:space="preserve">the </w:t>
      </w:r>
      <w:commentRangeEnd w:id="24"/>
      <w:r w:rsidR="00066942">
        <w:rPr>
          <w:rStyle w:val="CommentReference"/>
        </w:rPr>
        <w:commentReference w:id="24"/>
      </w:r>
      <w:r>
        <w:rPr>
          <w:rFonts w:ascii="Times New Roman" w:hAnsi="Times New Roman" w:cs="Times New Roman"/>
          <w:sz w:val="24"/>
          <w:szCs w:val="24"/>
        </w:rPr>
        <w:t>findings of Sutariya</w:t>
      </w:r>
      <w:r>
        <w:rPr>
          <w:rFonts w:ascii="Times New Roman" w:hAnsi="Times New Roman" w:cs="Times New Roman"/>
          <w:i/>
          <w:iCs/>
          <w:sz w:val="24"/>
          <w:szCs w:val="24"/>
        </w:rPr>
        <w:t>et al.</w:t>
      </w:r>
      <w:r>
        <w:rPr>
          <w:rFonts w:ascii="Times New Roman" w:hAnsi="Times New Roman" w:cs="Times New Roman"/>
          <w:sz w:val="24"/>
          <w:szCs w:val="24"/>
        </w:rPr>
        <w:t xml:space="preserve"> (2010) and Vishwakarma </w:t>
      </w:r>
      <w:r>
        <w:rPr>
          <w:rFonts w:ascii="Times New Roman" w:hAnsi="Times New Roman" w:cs="Times New Roman"/>
          <w:i/>
          <w:iCs/>
          <w:sz w:val="24"/>
          <w:szCs w:val="24"/>
        </w:rPr>
        <w:t>et al.</w:t>
      </w:r>
      <w:r>
        <w:rPr>
          <w:rFonts w:ascii="Times New Roman" w:hAnsi="Times New Roman" w:cs="Times New Roman"/>
          <w:sz w:val="24"/>
          <w:szCs w:val="24"/>
        </w:rPr>
        <w:t xml:space="preserve"> (2012).</w:t>
      </w:r>
    </w:p>
    <w:p w:rsidR="004145E7" w:rsidRDefault="002D6E0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3.3.2 Effect of potassium</w:t>
      </w:r>
    </w:p>
    <w:p w:rsidR="004145E7" w:rsidRDefault="002D6E0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During </w:t>
      </w:r>
      <w:commentRangeStart w:id="25"/>
      <w:r>
        <w:rPr>
          <w:rFonts w:ascii="Times New Roman" w:hAnsi="Times New Roman" w:cs="Times New Roman"/>
          <w:sz w:val="24"/>
          <w:szCs w:val="24"/>
        </w:rPr>
        <w:t xml:space="preserve">the </w:t>
      </w:r>
      <w:commentRangeEnd w:id="25"/>
      <w:r w:rsidR="00066942">
        <w:rPr>
          <w:rStyle w:val="CommentReference"/>
        </w:rPr>
        <w:commentReference w:id="25"/>
      </w:r>
      <w:r>
        <w:rPr>
          <w:rFonts w:ascii="Times New Roman" w:hAnsi="Times New Roman" w:cs="Times New Roman"/>
          <w:sz w:val="24"/>
          <w:szCs w:val="24"/>
        </w:rPr>
        <w:t>analysis, successive increase in potassium levels had non-significantly increased nitrogen content in kernel of groundnut. Application of potassium @ 60 kg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recorded significantly higher value (3.33 %) of nitrogen content of groundnut.</w:t>
      </w:r>
    </w:p>
    <w:p w:rsidR="004145E7" w:rsidRDefault="002D6E0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3.3.3 Effect of KMB</w:t>
      </w:r>
    </w:p>
    <w:p w:rsidR="004145E7" w:rsidRDefault="00066942">
      <w:pPr>
        <w:spacing w:line="240" w:lineRule="auto"/>
        <w:jc w:val="both"/>
        <w:rPr>
          <w:rFonts w:ascii="Times New Roman" w:hAnsi="Times New Roman" w:cs="Times New Roman"/>
          <w:sz w:val="24"/>
          <w:szCs w:val="24"/>
        </w:rPr>
      </w:pPr>
      <w:r>
        <w:rPr>
          <w:rFonts w:ascii="Times New Roman" w:hAnsi="Times New Roman" w:cs="Times New Roman"/>
          <w:sz w:val="24"/>
          <w:szCs w:val="24"/>
        </w:rPr>
        <w:t>H</w:t>
      </w:r>
      <w:r w:rsidR="002D6E0C">
        <w:rPr>
          <w:rFonts w:ascii="Times New Roman" w:hAnsi="Times New Roman" w:cs="Times New Roman"/>
          <w:sz w:val="24"/>
          <w:szCs w:val="24"/>
        </w:rPr>
        <w:t xml:space="preserve">igher nitrogen content (3.31 %) in groundnut kernel was recorded with </w:t>
      </w:r>
      <w:commentRangeStart w:id="26"/>
      <w:r w:rsidR="002D6E0C">
        <w:rPr>
          <w:rFonts w:ascii="Times New Roman" w:hAnsi="Times New Roman" w:cs="Times New Roman"/>
          <w:sz w:val="24"/>
          <w:szCs w:val="24"/>
        </w:rPr>
        <w:t xml:space="preserve">application of treatment </w:t>
      </w:r>
      <w:commentRangeEnd w:id="26"/>
      <w:r>
        <w:rPr>
          <w:rStyle w:val="CommentReference"/>
        </w:rPr>
        <w:commentReference w:id="26"/>
      </w:r>
      <w:r w:rsidR="002D6E0C">
        <w:rPr>
          <w:rFonts w:ascii="Times New Roman" w:hAnsi="Times New Roman" w:cs="Times New Roman"/>
          <w:sz w:val="24"/>
          <w:szCs w:val="24"/>
        </w:rPr>
        <w:t>B</w:t>
      </w:r>
      <w:r w:rsidR="002D6E0C">
        <w:rPr>
          <w:rFonts w:ascii="Times New Roman" w:hAnsi="Times New Roman" w:cs="Times New Roman"/>
          <w:sz w:val="24"/>
          <w:szCs w:val="24"/>
          <w:vertAlign w:val="subscript"/>
        </w:rPr>
        <w:t>1</w:t>
      </w:r>
      <w:r w:rsidR="002D6E0C">
        <w:rPr>
          <w:rFonts w:ascii="Times New Roman" w:hAnsi="Times New Roman" w:cs="Times New Roman"/>
          <w:sz w:val="24"/>
          <w:szCs w:val="24"/>
        </w:rPr>
        <w:t xml:space="preserve"> (with KMB) compared to B</w:t>
      </w:r>
      <w:r w:rsidR="002D6E0C">
        <w:rPr>
          <w:rFonts w:ascii="Times New Roman" w:hAnsi="Times New Roman" w:cs="Times New Roman"/>
          <w:sz w:val="24"/>
          <w:szCs w:val="24"/>
          <w:vertAlign w:val="subscript"/>
        </w:rPr>
        <w:t>2</w:t>
      </w:r>
      <w:r w:rsidR="002D6E0C">
        <w:rPr>
          <w:rFonts w:ascii="Times New Roman" w:hAnsi="Times New Roman" w:cs="Times New Roman"/>
          <w:sz w:val="24"/>
          <w:szCs w:val="24"/>
        </w:rPr>
        <w:t xml:space="preserve"> (without KMB).</w:t>
      </w:r>
    </w:p>
    <w:p w:rsidR="00DF3164" w:rsidRDefault="00DF3164">
      <w:pPr>
        <w:spacing w:line="240" w:lineRule="auto"/>
        <w:jc w:val="both"/>
        <w:rPr>
          <w:rFonts w:ascii="Times New Roman" w:hAnsi="Times New Roman" w:cs="Times New Roman"/>
          <w:sz w:val="24"/>
          <w:szCs w:val="24"/>
        </w:rPr>
      </w:pPr>
    </w:p>
    <w:p w:rsidR="00DF3164" w:rsidRDefault="00DF3164">
      <w:pPr>
        <w:spacing w:line="240" w:lineRule="auto"/>
        <w:jc w:val="both"/>
        <w:rPr>
          <w:rFonts w:ascii="Times New Roman" w:hAnsi="Times New Roman" w:cs="Times New Roman"/>
          <w:sz w:val="24"/>
          <w:szCs w:val="24"/>
        </w:rPr>
      </w:pPr>
    </w:p>
    <w:p w:rsidR="00DF3164" w:rsidRDefault="00DF3164">
      <w:pPr>
        <w:spacing w:line="240" w:lineRule="auto"/>
        <w:jc w:val="both"/>
        <w:rPr>
          <w:rFonts w:ascii="Times New Roman" w:hAnsi="Times New Roman" w:cs="Times New Roman"/>
          <w:sz w:val="24"/>
          <w:szCs w:val="24"/>
        </w:rPr>
      </w:pPr>
    </w:p>
    <w:p w:rsidR="00DF3164" w:rsidRDefault="00DF3164">
      <w:pPr>
        <w:spacing w:line="240" w:lineRule="auto"/>
        <w:jc w:val="both"/>
        <w:rPr>
          <w:rFonts w:ascii="Times New Roman" w:hAnsi="Times New Roman" w:cs="Times New Roman"/>
          <w:sz w:val="24"/>
          <w:szCs w:val="24"/>
        </w:rPr>
      </w:pPr>
    </w:p>
    <w:p w:rsidR="00DF3164" w:rsidRDefault="00DF3164">
      <w:pPr>
        <w:spacing w:line="240" w:lineRule="auto"/>
        <w:jc w:val="both"/>
        <w:rPr>
          <w:rFonts w:ascii="Times New Roman" w:hAnsi="Times New Roman" w:cs="Times New Roman"/>
          <w:sz w:val="24"/>
          <w:szCs w:val="24"/>
        </w:rPr>
      </w:pPr>
    </w:p>
    <w:p w:rsidR="00DF3164" w:rsidRDefault="00DF3164">
      <w:pPr>
        <w:spacing w:line="240" w:lineRule="auto"/>
        <w:jc w:val="both"/>
        <w:rPr>
          <w:rFonts w:ascii="Times New Roman" w:hAnsi="Times New Roman" w:cs="Times New Roman"/>
          <w:sz w:val="24"/>
          <w:szCs w:val="24"/>
        </w:rPr>
      </w:pPr>
    </w:p>
    <w:p w:rsidR="00DF3164" w:rsidRDefault="00DF3164">
      <w:pPr>
        <w:spacing w:line="240" w:lineRule="auto"/>
        <w:jc w:val="both"/>
        <w:rPr>
          <w:rFonts w:ascii="Times New Roman" w:hAnsi="Times New Roman" w:cs="Times New Roman"/>
          <w:sz w:val="24"/>
          <w:szCs w:val="24"/>
        </w:rPr>
      </w:pPr>
    </w:p>
    <w:p w:rsidR="00DF3164" w:rsidRDefault="00DF316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Table 1. </w:t>
      </w:r>
      <w:r w:rsidR="00364A12">
        <w:rPr>
          <w:rFonts w:ascii="Times New Roman" w:hAnsi="Times New Roman"/>
          <w:b/>
          <w:bCs/>
          <w:sz w:val="24"/>
          <w:szCs w:val="24"/>
          <w:lang w:val="en-IN"/>
        </w:rPr>
        <w:t xml:space="preserve">Oil, Protein content, </w:t>
      </w:r>
      <w:r w:rsidR="00364A12">
        <w:rPr>
          <w:rFonts w:ascii="Times New Roman" w:hAnsi="Times New Roman"/>
          <w:b/>
          <w:bCs/>
          <w:sz w:val="24"/>
          <w:szCs w:val="24"/>
        </w:rPr>
        <w:t>Nutrient content in kernel and haulm against different treatment</w:t>
      </w:r>
      <w:r w:rsidR="00066942">
        <w:rPr>
          <w:rFonts w:ascii="Times New Roman" w:hAnsi="Times New Roman"/>
          <w:b/>
          <w:bCs/>
          <w:sz w:val="24"/>
          <w:szCs w:val="24"/>
        </w:rPr>
        <w:t>s</w:t>
      </w:r>
      <w:commentRangeStart w:id="27"/>
      <w:r w:rsidR="00364A12">
        <w:rPr>
          <w:rFonts w:ascii="Times New Roman" w:hAnsi="Times New Roman"/>
          <w:b/>
          <w:bCs/>
          <w:sz w:val="24"/>
          <w:szCs w:val="24"/>
        </w:rPr>
        <w:t xml:space="preserve"> efficacy</w:t>
      </w:r>
      <w:commentRangeEnd w:id="27"/>
      <w:r w:rsidR="00066942">
        <w:rPr>
          <w:rStyle w:val="CommentReference"/>
        </w:rPr>
        <w:commentReference w:id="27"/>
      </w:r>
    </w:p>
    <w:tbl>
      <w:tblPr>
        <w:tblpPr w:leftFromText="180" w:rightFromText="180" w:vertAnchor="text" w:horzAnchor="margin" w:tblpXSpec="center" w:tblpY="-251"/>
        <w:tblW w:w="9738" w:type="dxa"/>
        <w:tblBorders>
          <w:top w:val="single" w:sz="4" w:space="0" w:color="auto"/>
          <w:bottom w:val="single" w:sz="4" w:space="0" w:color="auto"/>
        </w:tblBorders>
        <w:tblCellMar>
          <w:left w:w="0" w:type="dxa"/>
          <w:right w:w="0" w:type="dxa"/>
        </w:tblCellMar>
        <w:tblLook w:val="04A0"/>
      </w:tblPr>
      <w:tblGrid>
        <w:gridCol w:w="1606"/>
        <w:gridCol w:w="1559"/>
        <w:gridCol w:w="1924"/>
        <w:gridCol w:w="667"/>
        <w:gridCol w:w="873"/>
        <w:gridCol w:w="14"/>
        <w:gridCol w:w="753"/>
        <w:gridCol w:w="36"/>
        <w:gridCol w:w="718"/>
        <w:gridCol w:w="870"/>
        <w:gridCol w:w="718"/>
      </w:tblGrid>
      <w:tr w:rsidR="004145E7" w:rsidTr="00066942">
        <w:trPr>
          <w:trHeight w:val="114"/>
        </w:trPr>
        <w:tc>
          <w:tcPr>
            <w:tcW w:w="1606" w:type="dxa"/>
            <w:vMerge w:val="restart"/>
            <w:shd w:val="clear" w:color="auto" w:fill="auto"/>
            <w:tcMar>
              <w:top w:w="13" w:type="dxa"/>
              <w:left w:w="127" w:type="dxa"/>
              <w:bottom w:w="0" w:type="dxa"/>
              <w:right w:w="127" w:type="dxa"/>
            </w:tcMar>
            <w:vAlign w:val="center"/>
          </w:tcPr>
          <w:p w:rsidR="004145E7" w:rsidRDefault="002D6E0C">
            <w:pPr>
              <w:pStyle w:val="NoSpacing"/>
              <w:jc w:val="center"/>
              <w:rPr>
                <w:rFonts w:ascii="Times New Roman" w:hAnsi="Times New Roman"/>
                <w:b/>
                <w:bCs/>
                <w:sz w:val="24"/>
                <w:szCs w:val="24"/>
              </w:rPr>
            </w:pPr>
            <w:r>
              <w:rPr>
                <w:rFonts w:ascii="Times New Roman" w:hAnsi="Times New Roman"/>
                <w:b/>
                <w:bCs/>
                <w:sz w:val="24"/>
                <w:szCs w:val="24"/>
              </w:rPr>
              <w:t>Treatments</w:t>
            </w:r>
          </w:p>
        </w:tc>
        <w:tc>
          <w:tcPr>
            <w:tcW w:w="1559" w:type="dxa"/>
            <w:tcMar>
              <w:top w:w="13" w:type="dxa"/>
              <w:left w:w="127" w:type="dxa"/>
              <w:bottom w:w="0" w:type="dxa"/>
              <w:right w:w="127" w:type="dxa"/>
            </w:tcMar>
            <w:vAlign w:val="center"/>
          </w:tcPr>
          <w:p w:rsidR="004145E7" w:rsidRDefault="002D6E0C">
            <w:pPr>
              <w:pStyle w:val="NoSpacing"/>
              <w:jc w:val="center"/>
              <w:rPr>
                <w:rFonts w:ascii="Times New Roman" w:hAnsi="Times New Roman"/>
                <w:b/>
                <w:bCs/>
                <w:sz w:val="24"/>
                <w:szCs w:val="24"/>
              </w:rPr>
            </w:pPr>
            <w:r>
              <w:rPr>
                <w:rFonts w:ascii="Times New Roman" w:hAnsi="Times New Roman"/>
                <w:b/>
                <w:bCs/>
                <w:sz w:val="24"/>
                <w:szCs w:val="24"/>
                <w:lang w:val="en-IN"/>
              </w:rPr>
              <w:t>Oil content (%)</w:t>
            </w:r>
          </w:p>
        </w:tc>
        <w:tc>
          <w:tcPr>
            <w:tcW w:w="1924" w:type="dxa"/>
            <w:tcMar>
              <w:top w:w="13" w:type="dxa"/>
              <w:left w:w="127" w:type="dxa"/>
              <w:bottom w:w="0" w:type="dxa"/>
              <w:right w:w="127" w:type="dxa"/>
            </w:tcMar>
            <w:vAlign w:val="center"/>
          </w:tcPr>
          <w:p w:rsidR="004145E7" w:rsidRDefault="002D6E0C">
            <w:pPr>
              <w:pStyle w:val="NoSpacing"/>
              <w:jc w:val="center"/>
              <w:rPr>
                <w:rFonts w:ascii="Times New Roman" w:hAnsi="Times New Roman"/>
                <w:b/>
                <w:bCs/>
                <w:sz w:val="24"/>
                <w:szCs w:val="24"/>
              </w:rPr>
            </w:pPr>
            <w:r>
              <w:rPr>
                <w:rFonts w:ascii="Times New Roman" w:hAnsi="Times New Roman"/>
                <w:b/>
                <w:bCs/>
                <w:sz w:val="24"/>
                <w:szCs w:val="24"/>
                <w:lang w:val="en-IN"/>
              </w:rPr>
              <w:t>Protein content (%)</w:t>
            </w:r>
          </w:p>
        </w:tc>
        <w:tc>
          <w:tcPr>
            <w:tcW w:w="2343" w:type="dxa"/>
            <w:gridSpan w:val="5"/>
            <w:shd w:val="clear" w:color="auto" w:fill="auto"/>
            <w:tcMar>
              <w:top w:w="13" w:type="dxa"/>
              <w:left w:w="127" w:type="dxa"/>
              <w:bottom w:w="0" w:type="dxa"/>
              <w:right w:w="127" w:type="dxa"/>
            </w:tcMar>
            <w:vAlign w:val="center"/>
          </w:tcPr>
          <w:p w:rsidR="004145E7" w:rsidRDefault="002D6E0C">
            <w:pPr>
              <w:pStyle w:val="NoSpacing"/>
              <w:jc w:val="center"/>
              <w:rPr>
                <w:rFonts w:ascii="Times New Roman" w:hAnsi="Times New Roman"/>
                <w:b/>
                <w:bCs/>
                <w:sz w:val="24"/>
                <w:szCs w:val="24"/>
              </w:rPr>
            </w:pPr>
            <w:r>
              <w:rPr>
                <w:rFonts w:ascii="Times New Roman" w:hAnsi="Times New Roman"/>
                <w:b/>
                <w:bCs/>
                <w:sz w:val="24"/>
                <w:szCs w:val="24"/>
              </w:rPr>
              <w:t>Nutrient content in kernel (%)</w:t>
            </w:r>
          </w:p>
        </w:tc>
        <w:tc>
          <w:tcPr>
            <w:tcW w:w="2304" w:type="dxa"/>
            <w:gridSpan w:val="3"/>
            <w:shd w:val="clear" w:color="auto" w:fill="auto"/>
            <w:tcMar>
              <w:top w:w="13" w:type="dxa"/>
              <w:left w:w="127" w:type="dxa"/>
              <w:bottom w:w="0" w:type="dxa"/>
              <w:right w:w="127" w:type="dxa"/>
            </w:tcMar>
            <w:vAlign w:val="center"/>
          </w:tcPr>
          <w:p w:rsidR="004145E7" w:rsidRDefault="002D6E0C">
            <w:pPr>
              <w:pStyle w:val="NoSpacing"/>
              <w:jc w:val="center"/>
              <w:rPr>
                <w:rFonts w:ascii="Times New Roman" w:hAnsi="Times New Roman"/>
                <w:b/>
                <w:bCs/>
                <w:sz w:val="24"/>
                <w:szCs w:val="24"/>
              </w:rPr>
            </w:pPr>
            <w:r>
              <w:rPr>
                <w:rFonts w:ascii="Times New Roman" w:hAnsi="Times New Roman"/>
                <w:b/>
                <w:bCs/>
                <w:sz w:val="24"/>
                <w:szCs w:val="24"/>
              </w:rPr>
              <w:t>Nutrient content in haulm (%)</w:t>
            </w:r>
          </w:p>
        </w:tc>
      </w:tr>
      <w:tr w:rsidR="004145E7" w:rsidTr="00066942">
        <w:trPr>
          <w:trHeight w:val="60"/>
        </w:trPr>
        <w:tc>
          <w:tcPr>
            <w:tcW w:w="1606" w:type="dxa"/>
            <w:vMerge/>
            <w:vAlign w:val="center"/>
          </w:tcPr>
          <w:p w:rsidR="004145E7" w:rsidRDefault="004145E7">
            <w:pPr>
              <w:pStyle w:val="NoSpacing"/>
              <w:jc w:val="center"/>
              <w:rPr>
                <w:rFonts w:ascii="Times New Roman" w:hAnsi="Times New Roman"/>
                <w:b/>
                <w:bCs/>
                <w:sz w:val="24"/>
                <w:szCs w:val="24"/>
              </w:rPr>
            </w:pPr>
          </w:p>
        </w:tc>
        <w:tc>
          <w:tcPr>
            <w:tcW w:w="1559" w:type="dxa"/>
            <w:vAlign w:val="center"/>
          </w:tcPr>
          <w:p w:rsidR="004145E7" w:rsidRDefault="004145E7">
            <w:pPr>
              <w:pStyle w:val="NoSpacing"/>
              <w:jc w:val="center"/>
              <w:rPr>
                <w:rFonts w:ascii="Times New Roman" w:hAnsi="Times New Roman"/>
                <w:b/>
                <w:bCs/>
                <w:sz w:val="24"/>
                <w:szCs w:val="24"/>
              </w:rPr>
            </w:pPr>
          </w:p>
        </w:tc>
        <w:tc>
          <w:tcPr>
            <w:tcW w:w="1924" w:type="dxa"/>
            <w:vAlign w:val="center"/>
          </w:tcPr>
          <w:p w:rsidR="004145E7" w:rsidRDefault="004145E7">
            <w:pPr>
              <w:pStyle w:val="NoSpacing"/>
              <w:jc w:val="center"/>
              <w:rPr>
                <w:rFonts w:ascii="Times New Roman" w:hAnsi="Times New Roman"/>
                <w:b/>
                <w:bCs/>
                <w:sz w:val="24"/>
                <w:szCs w:val="24"/>
              </w:rPr>
            </w:pPr>
          </w:p>
        </w:tc>
        <w:tc>
          <w:tcPr>
            <w:tcW w:w="667" w:type="dxa"/>
            <w:shd w:val="clear" w:color="auto" w:fill="auto"/>
            <w:tcMar>
              <w:top w:w="13" w:type="dxa"/>
              <w:left w:w="127" w:type="dxa"/>
              <w:bottom w:w="0" w:type="dxa"/>
              <w:right w:w="127" w:type="dxa"/>
            </w:tcMar>
            <w:vAlign w:val="center"/>
          </w:tcPr>
          <w:p w:rsidR="004145E7" w:rsidRDefault="002D6E0C">
            <w:pPr>
              <w:pStyle w:val="NoSpacing"/>
              <w:jc w:val="center"/>
              <w:rPr>
                <w:rFonts w:ascii="Times New Roman" w:hAnsi="Times New Roman"/>
                <w:b/>
                <w:bCs/>
                <w:sz w:val="24"/>
                <w:szCs w:val="24"/>
              </w:rPr>
            </w:pPr>
            <w:r>
              <w:rPr>
                <w:rFonts w:ascii="Times New Roman" w:hAnsi="Times New Roman"/>
                <w:b/>
                <w:bCs/>
                <w:sz w:val="24"/>
                <w:szCs w:val="24"/>
              </w:rPr>
              <w:t>N</w:t>
            </w:r>
          </w:p>
        </w:tc>
        <w:tc>
          <w:tcPr>
            <w:tcW w:w="887" w:type="dxa"/>
            <w:gridSpan w:val="2"/>
            <w:shd w:val="clear" w:color="auto" w:fill="auto"/>
            <w:tcMar>
              <w:top w:w="13" w:type="dxa"/>
              <w:left w:w="127" w:type="dxa"/>
              <w:bottom w:w="0" w:type="dxa"/>
              <w:right w:w="127" w:type="dxa"/>
            </w:tcMar>
            <w:vAlign w:val="center"/>
          </w:tcPr>
          <w:p w:rsidR="004145E7" w:rsidRDefault="002D6E0C">
            <w:pPr>
              <w:pStyle w:val="NoSpacing"/>
              <w:jc w:val="center"/>
              <w:rPr>
                <w:rFonts w:ascii="Times New Roman" w:hAnsi="Times New Roman"/>
                <w:b/>
                <w:bCs/>
                <w:sz w:val="24"/>
                <w:szCs w:val="24"/>
              </w:rPr>
            </w:pPr>
            <w:r>
              <w:rPr>
                <w:rFonts w:ascii="Times New Roman" w:hAnsi="Times New Roman"/>
                <w:b/>
                <w:bCs/>
                <w:sz w:val="24"/>
                <w:szCs w:val="24"/>
              </w:rPr>
              <w:t>P</w:t>
            </w:r>
          </w:p>
        </w:tc>
        <w:tc>
          <w:tcPr>
            <w:tcW w:w="788" w:type="dxa"/>
            <w:gridSpan w:val="2"/>
            <w:tcBorders>
              <w:top w:val="nil"/>
              <w:bottom w:val="single" w:sz="4" w:space="0" w:color="auto"/>
            </w:tcBorders>
            <w:shd w:val="clear" w:color="auto" w:fill="auto"/>
            <w:tcMar>
              <w:top w:w="13" w:type="dxa"/>
              <w:left w:w="127" w:type="dxa"/>
              <w:bottom w:w="0" w:type="dxa"/>
              <w:right w:w="127" w:type="dxa"/>
            </w:tcMar>
            <w:vAlign w:val="center"/>
          </w:tcPr>
          <w:p w:rsidR="004145E7" w:rsidRDefault="002D6E0C">
            <w:pPr>
              <w:pStyle w:val="NoSpacing"/>
              <w:jc w:val="center"/>
              <w:rPr>
                <w:rFonts w:ascii="Times New Roman" w:hAnsi="Times New Roman"/>
                <w:b/>
                <w:bCs/>
                <w:sz w:val="24"/>
                <w:szCs w:val="24"/>
              </w:rPr>
            </w:pPr>
            <w:r>
              <w:rPr>
                <w:rFonts w:ascii="Times New Roman" w:hAnsi="Times New Roman"/>
                <w:b/>
                <w:bCs/>
                <w:sz w:val="24"/>
                <w:szCs w:val="24"/>
              </w:rPr>
              <w:t>K</w:t>
            </w:r>
          </w:p>
        </w:tc>
        <w:tc>
          <w:tcPr>
            <w:tcW w:w="718" w:type="dxa"/>
            <w:tcBorders>
              <w:top w:val="nil"/>
              <w:bottom w:val="single" w:sz="4" w:space="0" w:color="auto"/>
            </w:tcBorders>
            <w:shd w:val="clear" w:color="auto" w:fill="auto"/>
            <w:tcMar>
              <w:top w:w="13" w:type="dxa"/>
              <w:left w:w="127" w:type="dxa"/>
              <w:bottom w:w="0" w:type="dxa"/>
              <w:right w:w="127" w:type="dxa"/>
            </w:tcMar>
            <w:vAlign w:val="center"/>
          </w:tcPr>
          <w:p w:rsidR="004145E7" w:rsidRDefault="002D6E0C">
            <w:pPr>
              <w:pStyle w:val="NoSpacing"/>
              <w:jc w:val="center"/>
              <w:rPr>
                <w:rFonts w:ascii="Times New Roman" w:hAnsi="Times New Roman"/>
                <w:b/>
                <w:bCs/>
                <w:sz w:val="24"/>
                <w:szCs w:val="24"/>
              </w:rPr>
            </w:pPr>
            <w:r>
              <w:rPr>
                <w:rFonts w:ascii="Times New Roman" w:hAnsi="Times New Roman"/>
                <w:b/>
                <w:bCs/>
                <w:sz w:val="24"/>
                <w:szCs w:val="24"/>
                <w:lang w:val="en-IN"/>
              </w:rPr>
              <w:t>N</w:t>
            </w:r>
          </w:p>
        </w:tc>
        <w:tc>
          <w:tcPr>
            <w:tcW w:w="870" w:type="dxa"/>
            <w:tcBorders>
              <w:top w:val="nil"/>
              <w:bottom w:val="single" w:sz="4" w:space="0" w:color="auto"/>
            </w:tcBorders>
            <w:shd w:val="clear" w:color="auto" w:fill="auto"/>
            <w:tcMar>
              <w:top w:w="13" w:type="dxa"/>
              <w:left w:w="127" w:type="dxa"/>
              <w:bottom w:w="0" w:type="dxa"/>
              <w:right w:w="127" w:type="dxa"/>
            </w:tcMar>
            <w:vAlign w:val="center"/>
          </w:tcPr>
          <w:p w:rsidR="004145E7" w:rsidRDefault="002D6E0C">
            <w:pPr>
              <w:pStyle w:val="NoSpacing"/>
              <w:jc w:val="center"/>
              <w:rPr>
                <w:rFonts w:ascii="Times New Roman" w:hAnsi="Times New Roman"/>
                <w:b/>
                <w:bCs/>
                <w:sz w:val="24"/>
                <w:szCs w:val="24"/>
              </w:rPr>
            </w:pPr>
            <w:r>
              <w:rPr>
                <w:rFonts w:ascii="Times New Roman" w:hAnsi="Times New Roman"/>
                <w:b/>
                <w:bCs/>
                <w:sz w:val="24"/>
                <w:szCs w:val="24"/>
              </w:rPr>
              <w:t>P</w:t>
            </w:r>
          </w:p>
        </w:tc>
        <w:tc>
          <w:tcPr>
            <w:tcW w:w="715" w:type="dxa"/>
            <w:tcBorders>
              <w:top w:val="nil"/>
              <w:bottom w:val="single" w:sz="4" w:space="0" w:color="auto"/>
            </w:tcBorders>
            <w:shd w:val="clear" w:color="auto" w:fill="auto"/>
            <w:tcMar>
              <w:top w:w="13" w:type="dxa"/>
              <w:left w:w="127" w:type="dxa"/>
              <w:bottom w:w="0" w:type="dxa"/>
              <w:right w:w="127" w:type="dxa"/>
            </w:tcMar>
            <w:vAlign w:val="center"/>
          </w:tcPr>
          <w:p w:rsidR="004145E7" w:rsidRDefault="002D6E0C">
            <w:pPr>
              <w:pStyle w:val="NoSpacing"/>
              <w:jc w:val="center"/>
              <w:rPr>
                <w:rFonts w:ascii="Times New Roman" w:hAnsi="Times New Roman"/>
                <w:b/>
                <w:bCs/>
                <w:sz w:val="24"/>
                <w:szCs w:val="24"/>
              </w:rPr>
            </w:pPr>
            <w:r>
              <w:rPr>
                <w:rFonts w:ascii="Times New Roman" w:hAnsi="Times New Roman"/>
                <w:b/>
                <w:bCs/>
                <w:sz w:val="24"/>
                <w:szCs w:val="24"/>
              </w:rPr>
              <w:t>K</w:t>
            </w:r>
          </w:p>
        </w:tc>
      </w:tr>
      <w:tr w:rsidR="004145E7" w:rsidTr="00066942">
        <w:trPr>
          <w:gridAfter w:val="6"/>
          <w:wAfter w:w="3109" w:type="dxa"/>
          <w:trHeight w:val="120"/>
        </w:trPr>
        <w:tc>
          <w:tcPr>
            <w:tcW w:w="6629" w:type="dxa"/>
            <w:gridSpan w:val="5"/>
            <w:tcBorders>
              <w:top w:val="single" w:sz="4" w:space="0" w:color="auto"/>
              <w:bottom w:val="nil"/>
            </w:tcBorders>
            <w:vAlign w:val="center"/>
          </w:tcPr>
          <w:p w:rsidR="004145E7" w:rsidRDefault="002D6E0C">
            <w:pPr>
              <w:pStyle w:val="NoSpacing"/>
              <w:jc w:val="center"/>
              <w:rPr>
                <w:rFonts w:ascii="Times New Roman" w:hAnsi="Times New Roman"/>
                <w:sz w:val="24"/>
                <w:szCs w:val="24"/>
              </w:rPr>
            </w:pPr>
            <w:r>
              <w:rPr>
                <w:rFonts w:ascii="Times New Roman" w:hAnsi="Times New Roman"/>
                <w:b/>
                <w:bCs/>
                <w:sz w:val="24"/>
                <w:szCs w:val="24"/>
              </w:rPr>
              <w:t>Levels of FYM</w:t>
            </w:r>
          </w:p>
        </w:tc>
      </w:tr>
      <w:tr w:rsidR="004145E7" w:rsidTr="00066942">
        <w:trPr>
          <w:trHeight w:val="10"/>
        </w:trPr>
        <w:tc>
          <w:tcPr>
            <w:tcW w:w="1606" w:type="dxa"/>
            <w:tcBorders>
              <w:top w:val="single" w:sz="4" w:space="0" w:color="auto"/>
              <w:bottom w:val="nil"/>
            </w:tcBorders>
            <w:shd w:val="clear" w:color="auto" w:fill="auto"/>
            <w:tcMar>
              <w:top w:w="15" w:type="dxa"/>
              <w:left w:w="15" w:type="dxa"/>
              <w:bottom w:w="0" w:type="dxa"/>
              <w:right w:w="15" w:type="dxa"/>
            </w:tcMar>
            <w:vAlign w:val="center"/>
          </w:tcPr>
          <w:p w:rsidR="004145E7" w:rsidRDefault="002D6E0C" w:rsidP="003B1DFA">
            <w:pPr>
              <w:pStyle w:val="NoSpacing"/>
              <w:rPr>
                <w:rFonts w:ascii="Times New Roman" w:hAnsi="Times New Roman"/>
                <w:sz w:val="24"/>
                <w:szCs w:val="24"/>
              </w:rPr>
            </w:pPr>
            <w:r>
              <w:rPr>
                <w:rFonts w:ascii="Times New Roman" w:hAnsi="Times New Roman"/>
                <w:sz w:val="24"/>
                <w:szCs w:val="24"/>
              </w:rPr>
              <w:t>F</w:t>
            </w:r>
            <w:r>
              <w:rPr>
                <w:rFonts w:ascii="Times New Roman" w:hAnsi="Times New Roman"/>
                <w:sz w:val="24"/>
                <w:szCs w:val="24"/>
                <w:vertAlign w:val="subscript"/>
              </w:rPr>
              <w:t>1</w:t>
            </w:r>
            <w:r>
              <w:rPr>
                <w:rFonts w:ascii="Times New Roman" w:hAnsi="Times New Roman"/>
                <w:sz w:val="24"/>
                <w:szCs w:val="24"/>
              </w:rPr>
              <w:t xml:space="preserve"> (0 t ha</w:t>
            </w:r>
            <w:r>
              <w:rPr>
                <w:rFonts w:ascii="Times New Roman" w:hAnsi="Times New Roman"/>
                <w:sz w:val="24"/>
                <w:szCs w:val="24"/>
                <w:vertAlign w:val="superscript"/>
              </w:rPr>
              <w:t>-1</w:t>
            </w:r>
            <w:r>
              <w:rPr>
                <w:rFonts w:ascii="Times New Roman" w:hAnsi="Times New Roman"/>
                <w:sz w:val="24"/>
                <w:szCs w:val="24"/>
              </w:rPr>
              <w:t>)</w:t>
            </w:r>
          </w:p>
        </w:tc>
        <w:tc>
          <w:tcPr>
            <w:tcW w:w="1559" w:type="dxa"/>
            <w:tcBorders>
              <w:top w:val="single" w:sz="4" w:space="0" w:color="auto"/>
              <w:bottom w:val="nil"/>
            </w:tcBorders>
            <w:tcMar>
              <w:top w:w="15" w:type="dxa"/>
              <w:left w:w="15" w:type="dxa"/>
              <w:bottom w:w="0" w:type="dxa"/>
              <w:right w:w="15" w:type="dxa"/>
            </w:tcMar>
            <w:vAlign w:val="center"/>
          </w:tcPr>
          <w:p w:rsidR="004145E7" w:rsidRDefault="002D6E0C">
            <w:pPr>
              <w:pStyle w:val="NoSpacing"/>
              <w:jc w:val="center"/>
              <w:rPr>
                <w:rFonts w:ascii="Times New Roman" w:hAnsi="Times New Roman"/>
                <w:sz w:val="24"/>
                <w:szCs w:val="24"/>
              </w:rPr>
            </w:pPr>
            <w:r>
              <w:rPr>
                <w:rFonts w:ascii="Times New Roman" w:hAnsi="Times New Roman"/>
                <w:sz w:val="24"/>
                <w:szCs w:val="24"/>
              </w:rPr>
              <w:t>49.08</w:t>
            </w:r>
          </w:p>
        </w:tc>
        <w:tc>
          <w:tcPr>
            <w:tcW w:w="1924" w:type="dxa"/>
            <w:tcBorders>
              <w:top w:val="single" w:sz="4" w:space="0" w:color="auto"/>
              <w:bottom w:val="nil"/>
            </w:tcBorders>
            <w:tcMar>
              <w:top w:w="15" w:type="dxa"/>
              <w:left w:w="15" w:type="dxa"/>
              <w:bottom w:w="0" w:type="dxa"/>
              <w:right w:w="15" w:type="dxa"/>
            </w:tcMar>
            <w:vAlign w:val="center"/>
          </w:tcPr>
          <w:p w:rsidR="004145E7" w:rsidRDefault="002D6E0C">
            <w:pPr>
              <w:pStyle w:val="NoSpacing"/>
              <w:jc w:val="center"/>
              <w:rPr>
                <w:rFonts w:ascii="Times New Roman" w:hAnsi="Times New Roman"/>
                <w:sz w:val="24"/>
                <w:szCs w:val="24"/>
              </w:rPr>
            </w:pPr>
            <w:r>
              <w:rPr>
                <w:rFonts w:ascii="Times New Roman" w:hAnsi="Times New Roman"/>
                <w:sz w:val="24"/>
                <w:szCs w:val="24"/>
              </w:rPr>
              <w:t>23.33</w:t>
            </w:r>
          </w:p>
        </w:tc>
        <w:tc>
          <w:tcPr>
            <w:tcW w:w="667" w:type="dxa"/>
            <w:tcBorders>
              <w:top w:val="single" w:sz="4" w:space="0" w:color="auto"/>
              <w:bottom w:val="nil"/>
            </w:tcBorders>
            <w:shd w:val="clear" w:color="auto" w:fill="auto"/>
            <w:tcMar>
              <w:top w:w="12" w:type="dxa"/>
              <w:left w:w="12" w:type="dxa"/>
              <w:bottom w:w="0" w:type="dxa"/>
              <w:right w:w="12" w:type="dxa"/>
            </w:tcMar>
            <w:vAlign w:val="center"/>
          </w:tcPr>
          <w:p w:rsidR="004145E7" w:rsidRDefault="002D6E0C">
            <w:pPr>
              <w:pStyle w:val="NoSpacing"/>
              <w:jc w:val="center"/>
              <w:rPr>
                <w:rFonts w:ascii="Times New Roman" w:hAnsi="Times New Roman"/>
                <w:sz w:val="24"/>
                <w:szCs w:val="24"/>
              </w:rPr>
            </w:pPr>
            <w:r>
              <w:rPr>
                <w:rFonts w:ascii="Times New Roman" w:hAnsi="Times New Roman"/>
                <w:sz w:val="24"/>
                <w:szCs w:val="24"/>
              </w:rPr>
              <w:t>3.17</w:t>
            </w:r>
          </w:p>
        </w:tc>
        <w:tc>
          <w:tcPr>
            <w:tcW w:w="887" w:type="dxa"/>
            <w:gridSpan w:val="2"/>
            <w:tcBorders>
              <w:top w:val="single" w:sz="4" w:space="0" w:color="auto"/>
              <w:bottom w:val="nil"/>
            </w:tcBorders>
            <w:shd w:val="clear" w:color="auto" w:fill="auto"/>
            <w:tcMar>
              <w:top w:w="15" w:type="dxa"/>
              <w:left w:w="15" w:type="dxa"/>
              <w:bottom w:w="0" w:type="dxa"/>
              <w:right w:w="15" w:type="dxa"/>
            </w:tcMar>
            <w:vAlign w:val="center"/>
          </w:tcPr>
          <w:p w:rsidR="004145E7" w:rsidRDefault="002D6E0C">
            <w:pPr>
              <w:pStyle w:val="NoSpacing"/>
              <w:jc w:val="center"/>
              <w:rPr>
                <w:rFonts w:ascii="Times New Roman" w:hAnsi="Times New Roman"/>
                <w:sz w:val="24"/>
                <w:szCs w:val="24"/>
              </w:rPr>
            </w:pPr>
            <w:r>
              <w:rPr>
                <w:rFonts w:ascii="Times New Roman" w:hAnsi="Times New Roman"/>
                <w:sz w:val="24"/>
                <w:szCs w:val="24"/>
              </w:rPr>
              <w:t>0.42</w:t>
            </w:r>
          </w:p>
        </w:tc>
        <w:tc>
          <w:tcPr>
            <w:tcW w:w="788" w:type="dxa"/>
            <w:gridSpan w:val="2"/>
            <w:tcBorders>
              <w:top w:val="single" w:sz="4" w:space="0" w:color="auto"/>
              <w:bottom w:val="nil"/>
            </w:tcBorders>
            <w:shd w:val="clear" w:color="auto" w:fill="auto"/>
            <w:tcMar>
              <w:top w:w="15" w:type="dxa"/>
              <w:left w:w="15" w:type="dxa"/>
              <w:bottom w:w="0" w:type="dxa"/>
              <w:right w:w="15" w:type="dxa"/>
            </w:tcMar>
            <w:vAlign w:val="center"/>
          </w:tcPr>
          <w:p w:rsidR="004145E7" w:rsidRDefault="002D6E0C">
            <w:pPr>
              <w:pStyle w:val="NoSpacing"/>
              <w:jc w:val="center"/>
              <w:rPr>
                <w:rFonts w:ascii="Times New Roman" w:hAnsi="Times New Roman"/>
                <w:sz w:val="24"/>
                <w:szCs w:val="24"/>
              </w:rPr>
            </w:pPr>
            <w:r>
              <w:rPr>
                <w:rFonts w:ascii="Times New Roman" w:hAnsi="Times New Roman"/>
                <w:sz w:val="24"/>
                <w:szCs w:val="24"/>
              </w:rPr>
              <w:t>0.52</w:t>
            </w:r>
          </w:p>
        </w:tc>
        <w:tc>
          <w:tcPr>
            <w:tcW w:w="718" w:type="dxa"/>
            <w:tcBorders>
              <w:top w:val="single" w:sz="4" w:space="0" w:color="auto"/>
              <w:bottom w:val="nil"/>
            </w:tcBorders>
            <w:shd w:val="clear" w:color="auto" w:fill="auto"/>
            <w:tcMar>
              <w:top w:w="15" w:type="dxa"/>
              <w:left w:w="15" w:type="dxa"/>
              <w:bottom w:w="0" w:type="dxa"/>
              <w:right w:w="15" w:type="dxa"/>
            </w:tcMar>
            <w:vAlign w:val="center"/>
          </w:tcPr>
          <w:p w:rsidR="004145E7" w:rsidRDefault="002D6E0C">
            <w:pPr>
              <w:pStyle w:val="NoSpacing"/>
              <w:jc w:val="center"/>
              <w:rPr>
                <w:rFonts w:ascii="Times New Roman" w:hAnsi="Times New Roman"/>
                <w:sz w:val="24"/>
                <w:szCs w:val="24"/>
              </w:rPr>
            </w:pPr>
            <w:r>
              <w:rPr>
                <w:rFonts w:ascii="Times New Roman" w:hAnsi="Times New Roman"/>
                <w:sz w:val="24"/>
                <w:szCs w:val="24"/>
              </w:rPr>
              <w:t>1.41</w:t>
            </w:r>
          </w:p>
        </w:tc>
        <w:tc>
          <w:tcPr>
            <w:tcW w:w="870" w:type="dxa"/>
            <w:tcBorders>
              <w:top w:val="single" w:sz="4" w:space="0" w:color="auto"/>
              <w:bottom w:val="nil"/>
            </w:tcBorders>
            <w:shd w:val="clear" w:color="auto" w:fill="auto"/>
            <w:tcMar>
              <w:top w:w="15" w:type="dxa"/>
              <w:left w:w="15" w:type="dxa"/>
              <w:bottom w:w="0" w:type="dxa"/>
              <w:right w:w="15" w:type="dxa"/>
            </w:tcMar>
            <w:vAlign w:val="center"/>
          </w:tcPr>
          <w:p w:rsidR="004145E7" w:rsidRDefault="002D6E0C">
            <w:pPr>
              <w:pStyle w:val="NoSpacing"/>
              <w:jc w:val="center"/>
              <w:rPr>
                <w:rFonts w:ascii="Times New Roman" w:hAnsi="Times New Roman"/>
                <w:sz w:val="24"/>
                <w:szCs w:val="24"/>
              </w:rPr>
            </w:pPr>
            <w:r>
              <w:rPr>
                <w:rFonts w:ascii="Times New Roman" w:hAnsi="Times New Roman"/>
                <w:sz w:val="24"/>
                <w:szCs w:val="24"/>
              </w:rPr>
              <w:t>0.17</w:t>
            </w:r>
          </w:p>
        </w:tc>
        <w:tc>
          <w:tcPr>
            <w:tcW w:w="715" w:type="dxa"/>
            <w:tcBorders>
              <w:top w:val="single" w:sz="4" w:space="0" w:color="auto"/>
              <w:bottom w:val="nil"/>
            </w:tcBorders>
            <w:shd w:val="clear" w:color="auto" w:fill="auto"/>
            <w:tcMar>
              <w:top w:w="15" w:type="dxa"/>
              <w:left w:w="15" w:type="dxa"/>
              <w:bottom w:w="0" w:type="dxa"/>
              <w:right w:w="15" w:type="dxa"/>
            </w:tcMar>
            <w:vAlign w:val="bottom"/>
          </w:tcPr>
          <w:p w:rsidR="004145E7" w:rsidRDefault="002D6E0C">
            <w:pPr>
              <w:jc w:val="center"/>
              <w:rPr>
                <w:rFonts w:ascii="Times New Roman" w:hAnsi="Times New Roman" w:cs="Times New Roman"/>
                <w:color w:val="000000"/>
                <w:sz w:val="24"/>
                <w:szCs w:val="24"/>
              </w:rPr>
            </w:pPr>
            <w:r>
              <w:rPr>
                <w:rFonts w:ascii="Times New Roman" w:hAnsi="Times New Roman" w:cs="Times New Roman"/>
                <w:color w:val="000000"/>
                <w:sz w:val="24"/>
                <w:szCs w:val="24"/>
              </w:rPr>
              <w:t>0.60</w:t>
            </w:r>
          </w:p>
        </w:tc>
      </w:tr>
      <w:tr w:rsidR="004145E7" w:rsidTr="00066942">
        <w:trPr>
          <w:trHeight w:val="120"/>
        </w:trPr>
        <w:tc>
          <w:tcPr>
            <w:tcW w:w="1606" w:type="dxa"/>
            <w:tcBorders>
              <w:top w:val="nil"/>
            </w:tcBorders>
            <w:shd w:val="clear" w:color="auto" w:fill="auto"/>
            <w:tcMar>
              <w:top w:w="15" w:type="dxa"/>
              <w:left w:w="15" w:type="dxa"/>
              <w:bottom w:w="0" w:type="dxa"/>
              <w:right w:w="15" w:type="dxa"/>
            </w:tcMar>
            <w:vAlign w:val="center"/>
          </w:tcPr>
          <w:p w:rsidR="004145E7" w:rsidRDefault="002D6E0C" w:rsidP="003B1DFA">
            <w:pPr>
              <w:pStyle w:val="NoSpacing"/>
              <w:rPr>
                <w:rFonts w:ascii="Times New Roman" w:hAnsi="Times New Roman"/>
                <w:sz w:val="24"/>
                <w:szCs w:val="24"/>
              </w:rPr>
            </w:pPr>
            <w:r>
              <w:rPr>
                <w:rFonts w:ascii="Times New Roman" w:hAnsi="Times New Roman"/>
                <w:sz w:val="24"/>
                <w:szCs w:val="24"/>
              </w:rPr>
              <w:t>F</w:t>
            </w:r>
            <w:r>
              <w:rPr>
                <w:rFonts w:ascii="Times New Roman" w:hAnsi="Times New Roman"/>
                <w:sz w:val="24"/>
                <w:szCs w:val="24"/>
                <w:vertAlign w:val="subscript"/>
              </w:rPr>
              <w:t>2</w:t>
            </w:r>
            <w:r>
              <w:rPr>
                <w:rFonts w:ascii="Times New Roman" w:hAnsi="Times New Roman"/>
                <w:sz w:val="24"/>
                <w:szCs w:val="24"/>
              </w:rPr>
              <w:t xml:space="preserve"> (5 t ha</w:t>
            </w:r>
            <w:r>
              <w:rPr>
                <w:rFonts w:ascii="Times New Roman" w:hAnsi="Times New Roman"/>
                <w:sz w:val="24"/>
                <w:szCs w:val="24"/>
                <w:vertAlign w:val="superscript"/>
              </w:rPr>
              <w:t>-1</w:t>
            </w:r>
            <w:r>
              <w:rPr>
                <w:rFonts w:ascii="Times New Roman" w:hAnsi="Times New Roman"/>
                <w:sz w:val="24"/>
                <w:szCs w:val="24"/>
              </w:rPr>
              <w:t>)</w:t>
            </w:r>
          </w:p>
        </w:tc>
        <w:tc>
          <w:tcPr>
            <w:tcW w:w="1559" w:type="dxa"/>
            <w:tcBorders>
              <w:top w:val="nil"/>
            </w:tcBorders>
            <w:tcMar>
              <w:top w:w="15" w:type="dxa"/>
              <w:left w:w="15" w:type="dxa"/>
              <w:bottom w:w="0" w:type="dxa"/>
              <w:right w:w="15" w:type="dxa"/>
            </w:tcMar>
            <w:vAlign w:val="center"/>
          </w:tcPr>
          <w:p w:rsidR="004145E7" w:rsidRDefault="002D6E0C">
            <w:pPr>
              <w:pStyle w:val="NoSpacing"/>
              <w:jc w:val="center"/>
              <w:rPr>
                <w:rFonts w:ascii="Times New Roman" w:hAnsi="Times New Roman"/>
                <w:sz w:val="24"/>
                <w:szCs w:val="24"/>
              </w:rPr>
            </w:pPr>
            <w:r>
              <w:rPr>
                <w:rFonts w:ascii="Times New Roman" w:hAnsi="Times New Roman"/>
                <w:sz w:val="24"/>
                <w:szCs w:val="24"/>
              </w:rPr>
              <w:t>50.24</w:t>
            </w:r>
          </w:p>
        </w:tc>
        <w:tc>
          <w:tcPr>
            <w:tcW w:w="1924" w:type="dxa"/>
            <w:tcBorders>
              <w:top w:val="nil"/>
            </w:tcBorders>
            <w:tcMar>
              <w:top w:w="15" w:type="dxa"/>
              <w:left w:w="15" w:type="dxa"/>
              <w:bottom w:w="0" w:type="dxa"/>
              <w:right w:w="15" w:type="dxa"/>
            </w:tcMar>
            <w:vAlign w:val="center"/>
          </w:tcPr>
          <w:p w:rsidR="004145E7" w:rsidRDefault="002D6E0C">
            <w:pPr>
              <w:pStyle w:val="NoSpacing"/>
              <w:jc w:val="center"/>
              <w:rPr>
                <w:rFonts w:ascii="Times New Roman" w:hAnsi="Times New Roman"/>
                <w:sz w:val="24"/>
                <w:szCs w:val="24"/>
              </w:rPr>
            </w:pPr>
            <w:r>
              <w:rPr>
                <w:rFonts w:ascii="Times New Roman" w:hAnsi="Times New Roman"/>
                <w:sz w:val="24"/>
                <w:szCs w:val="24"/>
              </w:rPr>
              <w:t>23.90</w:t>
            </w:r>
          </w:p>
        </w:tc>
        <w:tc>
          <w:tcPr>
            <w:tcW w:w="667" w:type="dxa"/>
            <w:tcBorders>
              <w:top w:val="nil"/>
            </w:tcBorders>
            <w:shd w:val="clear" w:color="auto" w:fill="auto"/>
            <w:tcMar>
              <w:top w:w="12" w:type="dxa"/>
              <w:left w:w="12" w:type="dxa"/>
              <w:bottom w:w="0" w:type="dxa"/>
              <w:right w:w="12" w:type="dxa"/>
            </w:tcMar>
            <w:vAlign w:val="center"/>
          </w:tcPr>
          <w:p w:rsidR="004145E7" w:rsidRDefault="002D6E0C">
            <w:pPr>
              <w:pStyle w:val="NoSpacing"/>
              <w:jc w:val="center"/>
              <w:rPr>
                <w:rFonts w:ascii="Times New Roman" w:hAnsi="Times New Roman"/>
                <w:sz w:val="24"/>
                <w:szCs w:val="24"/>
              </w:rPr>
            </w:pPr>
            <w:r>
              <w:rPr>
                <w:rFonts w:ascii="Times New Roman" w:hAnsi="Times New Roman"/>
                <w:sz w:val="24"/>
                <w:szCs w:val="24"/>
              </w:rPr>
              <w:t>3.39</w:t>
            </w:r>
          </w:p>
        </w:tc>
        <w:tc>
          <w:tcPr>
            <w:tcW w:w="887" w:type="dxa"/>
            <w:gridSpan w:val="2"/>
            <w:tcBorders>
              <w:top w:val="nil"/>
            </w:tcBorders>
            <w:shd w:val="clear" w:color="auto" w:fill="auto"/>
            <w:tcMar>
              <w:top w:w="15" w:type="dxa"/>
              <w:left w:w="15" w:type="dxa"/>
              <w:bottom w:w="0" w:type="dxa"/>
              <w:right w:w="15" w:type="dxa"/>
            </w:tcMar>
            <w:vAlign w:val="center"/>
          </w:tcPr>
          <w:p w:rsidR="004145E7" w:rsidRDefault="002D6E0C">
            <w:pPr>
              <w:pStyle w:val="NoSpacing"/>
              <w:jc w:val="center"/>
              <w:rPr>
                <w:rFonts w:ascii="Times New Roman" w:hAnsi="Times New Roman"/>
                <w:sz w:val="24"/>
                <w:szCs w:val="24"/>
              </w:rPr>
            </w:pPr>
            <w:r>
              <w:rPr>
                <w:rFonts w:ascii="Times New Roman" w:hAnsi="Times New Roman"/>
                <w:sz w:val="24"/>
                <w:szCs w:val="24"/>
              </w:rPr>
              <w:t>0.46</w:t>
            </w:r>
          </w:p>
        </w:tc>
        <w:tc>
          <w:tcPr>
            <w:tcW w:w="788" w:type="dxa"/>
            <w:gridSpan w:val="2"/>
            <w:tcBorders>
              <w:top w:val="nil"/>
            </w:tcBorders>
            <w:shd w:val="clear" w:color="auto" w:fill="auto"/>
            <w:tcMar>
              <w:top w:w="15" w:type="dxa"/>
              <w:left w:w="15" w:type="dxa"/>
              <w:bottom w:w="0" w:type="dxa"/>
              <w:right w:w="15" w:type="dxa"/>
            </w:tcMar>
            <w:vAlign w:val="center"/>
          </w:tcPr>
          <w:p w:rsidR="004145E7" w:rsidRDefault="002D6E0C">
            <w:pPr>
              <w:pStyle w:val="NoSpacing"/>
              <w:jc w:val="center"/>
              <w:rPr>
                <w:rFonts w:ascii="Times New Roman" w:hAnsi="Times New Roman"/>
                <w:sz w:val="24"/>
                <w:szCs w:val="24"/>
              </w:rPr>
            </w:pPr>
            <w:r>
              <w:rPr>
                <w:rFonts w:ascii="Times New Roman" w:hAnsi="Times New Roman"/>
                <w:sz w:val="24"/>
                <w:szCs w:val="24"/>
              </w:rPr>
              <w:t>0.61</w:t>
            </w:r>
          </w:p>
        </w:tc>
        <w:tc>
          <w:tcPr>
            <w:tcW w:w="718" w:type="dxa"/>
            <w:tcBorders>
              <w:top w:val="nil"/>
            </w:tcBorders>
            <w:shd w:val="clear" w:color="auto" w:fill="auto"/>
            <w:tcMar>
              <w:top w:w="15" w:type="dxa"/>
              <w:left w:w="15" w:type="dxa"/>
              <w:bottom w:w="0" w:type="dxa"/>
              <w:right w:w="15" w:type="dxa"/>
            </w:tcMar>
            <w:vAlign w:val="center"/>
          </w:tcPr>
          <w:p w:rsidR="004145E7" w:rsidRDefault="002D6E0C">
            <w:pPr>
              <w:pStyle w:val="NoSpacing"/>
              <w:jc w:val="center"/>
              <w:rPr>
                <w:rFonts w:ascii="Times New Roman" w:hAnsi="Times New Roman"/>
                <w:sz w:val="24"/>
                <w:szCs w:val="24"/>
              </w:rPr>
            </w:pPr>
            <w:r>
              <w:rPr>
                <w:rFonts w:ascii="Times New Roman" w:hAnsi="Times New Roman"/>
                <w:sz w:val="24"/>
                <w:szCs w:val="24"/>
              </w:rPr>
              <w:t>1.49</w:t>
            </w:r>
          </w:p>
        </w:tc>
        <w:tc>
          <w:tcPr>
            <w:tcW w:w="870" w:type="dxa"/>
            <w:tcBorders>
              <w:top w:val="nil"/>
            </w:tcBorders>
            <w:shd w:val="clear" w:color="auto" w:fill="auto"/>
            <w:tcMar>
              <w:top w:w="15" w:type="dxa"/>
              <w:left w:w="15" w:type="dxa"/>
              <w:bottom w:w="0" w:type="dxa"/>
              <w:right w:w="15" w:type="dxa"/>
            </w:tcMar>
            <w:vAlign w:val="center"/>
          </w:tcPr>
          <w:p w:rsidR="004145E7" w:rsidRDefault="002D6E0C">
            <w:pPr>
              <w:pStyle w:val="NoSpacing"/>
              <w:jc w:val="center"/>
              <w:rPr>
                <w:rFonts w:ascii="Times New Roman" w:hAnsi="Times New Roman"/>
                <w:sz w:val="24"/>
                <w:szCs w:val="24"/>
              </w:rPr>
            </w:pPr>
            <w:r>
              <w:rPr>
                <w:rFonts w:ascii="Times New Roman" w:hAnsi="Times New Roman"/>
                <w:sz w:val="24"/>
                <w:szCs w:val="24"/>
              </w:rPr>
              <w:t>0.20</w:t>
            </w:r>
          </w:p>
        </w:tc>
        <w:tc>
          <w:tcPr>
            <w:tcW w:w="715" w:type="dxa"/>
            <w:tcBorders>
              <w:top w:val="nil"/>
            </w:tcBorders>
            <w:shd w:val="clear" w:color="auto" w:fill="auto"/>
            <w:tcMar>
              <w:top w:w="15" w:type="dxa"/>
              <w:left w:w="15" w:type="dxa"/>
              <w:bottom w:w="0" w:type="dxa"/>
              <w:right w:w="15" w:type="dxa"/>
            </w:tcMar>
            <w:vAlign w:val="bottom"/>
          </w:tcPr>
          <w:p w:rsidR="004145E7" w:rsidRDefault="002D6E0C">
            <w:pPr>
              <w:jc w:val="center"/>
              <w:rPr>
                <w:rFonts w:ascii="Times New Roman" w:hAnsi="Times New Roman" w:cs="Times New Roman"/>
                <w:color w:val="000000"/>
                <w:sz w:val="24"/>
                <w:szCs w:val="24"/>
              </w:rPr>
            </w:pPr>
            <w:r>
              <w:rPr>
                <w:rFonts w:ascii="Times New Roman" w:hAnsi="Times New Roman" w:cs="Times New Roman"/>
                <w:color w:val="000000"/>
                <w:sz w:val="24"/>
                <w:szCs w:val="24"/>
              </w:rPr>
              <w:t>0.66</w:t>
            </w:r>
          </w:p>
        </w:tc>
      </w:tr>
      <w:tr w:rsidR="004145E7" w:rsidTr="00066942">
        <w:trPr>
          <w:trHeight w:val="120"/>
        </w:trPr>
        <w:tc>
          <w:tcPr>
            <w:tcW w:w="1606" w:type="dxa"/>
            <w:tcBorders>
              <w:bottom w:val="nil"/>
            </w:tcBorders>
            <w:shd w:val="clear" w:color="auto" w:fill="auto"/>
            <w:tcMar>
              <w:top w:w="15" w:type="dxa"/>
              <w:left w:w="15" w:type="dxa"/>
              <w:bottom w:w="0" w:type="dxa"/>
              <w:right w:w="15" w:type="dxa"/>
            </w:tcMar>
            <w:vAlign w:val="center"/>
          </w:tcPr>
          <w:p w:rsidR="004145E7" w:rsidRDefault="002D6E0C" w:rsidP="003B1DFA">
            <w:pPr>
              <w:pStyle w:val="NoSpacing"/>
              <w:rPr>
                <w:rFonts w:ascii="Times New Roman" w:hAnsi="Times New Roman"/>
                <w:sz w:val="24"/>
                <w:szCs w:val="24"/>
              </w:rPr>
            </w:pPr>
            <w:r>
              <w:rPr>
                <w:rFonts w:ascii="Times New Roman" w:hAnsi="Times New Roman"/>
                <w:sz w:val="24"/>
                <w:szCs w:val="24"/>
              </w:rPr>
              <w:t>S.Em. ±</w:t>
            </w:r>
          </w:p>
        </w:tc>
        <w:tc>
          <w:tcPr>
            <w:tcW w:w="1559" w:type="dxa"/>
            <w:tcBorders>
              <w:bottom w:val="nil"/>
            </w:tcBorders>
            <w:tcMar>
              <w:top w:w="15" w:type="dxa"/>
              <w:left w:w="15" w:type="dxa"/>
              <w:bottom w:w="0" w:type="dxa"/>
              <w:right w:w="15" w:type="dxa"/>
            </w:tcMar>
            <w:vAlign w:val="center"/>
          </w:tcPr>
          <w:p w:rsidR="004145E7" w:rsidRDefault="002D6E0C">
            <w:pPr>
              <w:pStyle w:val="NoSpacing"/>
              <w:jc w:val="center"/>
              <w:rPr>
                <w:rFonts w:ascii="Times New Roman" w:hAnsi="Times New Roman"/>
                <w:sz w:val="24"/>
                <w:szCs w:val="24"/>
              </w:rPr>
            </w:pPr>
            <w:r>
              <w:rPr>
                <w:rFonts w:ascii="Times New Roman" w:hAnsi="Times New Roman"/>
                <w:sz w:val="24"/>
                <w:szCs w:val="24"/>
              </w:rPr>
              <w:t>0.26</w:t>
            </w:r>
          </w:p>
        </w:tc>
        <w:tc>
          <w:tcPr>
            <w:tcW w:w="1924" w:type="dxa"/>
            <w:tcBorders>
              <w:bottom w:val="nil"/>
            </w:tcBorders>
            <w:tcMar>
              <w:top w:w="15" w:type="dxa"/>
              <w:left w:w="15" w:type="dxa"/>
              <w:bottom w:w="0" w:type="dxa"/>
              <w:right w:w="15" w:type="dxa"/>
            </w:tcMar>
            <w:vAlign w:val="center"/>
          </w:tcPr>
          <w:p w:rsidR="004145E7" w:rsidRDefault="002D6E0C">
            <w:pPr>
              <w:pStyle w:val="NoSpacing"/>
              <w:jc w:val="center"/>
              <w:rPr>
                <w:rFonts w:ascii="Times New Roman" w:hAnsi="Times New Roman"/>
                <w:sz w:val="24"/>
                <w:szCs w:val="24"/>
              </w:rPr>
            </w:pPr>
            <w:r>
              <w:rPr>
                <w:rFonts w:ascii="Times New Roman" w:hAnsi="Times New Roman"/>
                <w:sz w:val="24"/>
                <w:szCs w:val="24"/>
              </w:rPr>
              <w:t>0.19</w:t>
            </w:r>
          </w:p>
        </w:tc>
        <w:tc>
          <w:tcPr>
            <w:tcW w:w="667" w:type="dxa"/>
            <w:tcBorders>
              <w:bottom w:val="nil"/>
            </w:tcBorders>
            <w:shd w:val="clear" w:color="auto" w:fill="auto"/>
            <w:tcMar>
              <w:top w:w="12" w:type="dxa"/>
              <w:left w:w="12" w:type="dxa"/>
              <w:bottom w:w="0" w:type="dxa"/>
              <w:right w:w="12" w:type="dxa"/>
            </w:tcMar>
            <w:vAlign w:val="center"/>
          </w:tcPr>
          <w:p w:rsidR="004145E7" w:rsidRDefault="002D6E0C">
            <w:pPr>
              <w:pStyle w:val="NoSpacing"/>
              <w:jc w:val="center"/>
              <w:rPr>
                <w:rFonts w:ascii="Times New Roman" w:hAnsi="Times New Roman"/>
                <w:sz w:val="24"/>
                <w:szCs w:val="24"/>
              </w:rPr>
            </w:pPr>
            <w:r>
              <w:rPr>
                <w:rFonts w:ascii="Times New Roman" w:hAnsi="Times New Roman"/>
                <w:sz w:val="24"/>
                <w:szCs w:val="24"/>
              </w:rPr>
              <w:t>0.03</w:t>
            </w:r>
          </w:p>
        </w:tc>
        <w:tc>
          <w:tcPr>
            <w:tcW w:w="887" w:type="dxa"/>
            <w:gridSpan w:val="2"/>
            <w:tcBorders>
              <w:bottom w:val="nil"/>
            </w:tcBorders>
            <w:shd w:val="clear" w:color="auto" w:fill="auto"/>
            <w:tcMar>
              <w:top w:w="15" w:type="dxa"/>
              <w:left w:w="15" w:type="dxa"/>
              <w:bottom w:w="0" w:type="dxa"/>
              <w:right w:w="15" w:type="dxa"/>
            </w:tcMar>
            <w:vAlign w:val="center"/>
          </w:tcPr>
          <w:p w:rsidR="004145E7" w:rsidRDefault="002D6E0C">
            <w:pPr>
              <w:pStyle w:val="NoSpacing"/>
              <w:jc w:val="center"/>
              <w:rPr>
                <w:rFonts w:ascii="Times New Roman" w:hAnsi="Times New Roman"/>
                <w:sz w:val="24"/>
                <w:szCs w:val="24"/>
              </w:rPr>
            </w:pPr>
            <w:r>
              <w:rPr>
                <w:rFonts w:ascii="Times New Roman" w:hAnsi="Times New Roman"/>
                <w:sz w:val="24"/>
                <w:szCs w:val="24"/>
              </w:rPr>
              <w:t>0.01</w:t>
            </w:r>
          </w:p>
        </w:tc>
        <w:tc>
          <w:tcPr>
            <w:tcW w:w="788" w:type="dxa"/>
            <w:gridSpan w:val="2"/>
            <w:tcBorders>
              <w:bottom w:val="nil"/>
            </w:tcBorders>
            <w:shd w:val="clear" w:color="auto" w:fill="auto"/>
            <w:tcMar>
              <w:top w:w="15" w:type="dxa"/>
              <w:left w:w="15" w:type="dxa"/>
              <w:bottom w:w="0" w:type="dxa"/>
              <w:right w:w="15" w:type="dxa"/>
            </w:tcMar>
            <w:vAlign w:val="center"/>
          </w:tcPr>
          <w:p w:rsidR="004145E7" w:rsidRDefault="002D6E0C">
            <w:pPr>
              <w:pStyle w:val="NoSpacing"/>
              <w:jc w:val="center"/>
              <w:rPr>
                <w:rFonts w:ascii="Times New Roman" w:hAnsi="Times New Roman"/>
                <w:sz w:val="24"/>
                <w:szCs w:val="24"/>
              </w:rPr>
            </w:pPr>
            <w:r>
              <w:rPr>
                <w:rFonts w:ascii="Times New Roman" w:hAnsi="Times New Roman"/>
                <w:sz w:val="24"/>
                <w:szCs w:val="24"/>
              </w:rPr>
              <w:t>0.01</w:t>
            </w:r>
          </w:p>
        </w:tc>
        <w:tc>
          <w:tcPr>
            <w:tcW w:w="718" w:type="dxa"/>
            <w:tcBorders>
              <w:bottom w:val="nil"/>
            </w:tcBorders>
            <w:shd w:val="clear" w:color="auto" w:fill="auto"/>
            <w:tcMar>
              <w:top w:w="15" w:type="dxa"/>
              <w:left w:w="15" w:type="dxa"/>
              <w:bottom w:w="0" w:type="dxa"/>
              <w:right w:w="15" w:type="dxa"/>
            </w:tcMar>
            <w:vAlign w:val="center"/>
          </w:tcPr>
          <w:p w:rsidR="004145E7" w:rsidRDefault="002D6E0C">
            <w:pPr>
              <w:pStyle w:val="NoSpacing"/>
              <w:jc w:val="center"/>
              <w:rPr>
                <w:rFonts w:ascii="Times New Roman" w:hAnsi="Times New Roman"/>
                <w:sz w:val="24"/>
                <w:szCs w:val="24"/>
              </w:rPr>
            </w:pPr>
            <w:r>
              <w:rPr>
                <w:rFonts w:ascii="Times New Roman" w:hAnsi="Times New Roman"/>
                <w:sz w:val="24"/>
                <w:szCs w:val="24"/>
              </w:rPr>
              <w:t>0.02</w:t>
            </w:r>
          </w:p>
        </w:tc>
        <w:tc>
          <w:tcPr>
            <w:tcW w:w="870" w:type="dxa"/>
            <w:tcBorders>
              <w:bottom w:val="nil"/>
            </w:tcBorders>
            <w:shd w:val="clear" w:color="auto" w:fill="auto"/>
            <w:tcMar>
              <w:top w:w="15" w:type="dxa"/>
              <w:left w:w="15" w:type="dxa"/>
              <w:bottom w:w="0" w:type="dxa"/>
              <w:right w:w="15" w:type="dxa"/>
            </w:tcMar>
            <w:vAlign w:val="center"/>
          </w:tcPr>
          <w:p w:rsidR="004145E7" w:rsidRDefault="002D6E0C">
            <w:pPr>
              <w:pStyle w:val="NoSpacing"/>
              <w:jc w:val="center"/>
              <w:rPr>
                <w:rFonts w:ascii="Times New Roman" w:hAnsi="Times New Roman"/>
                <w:sz w:val="24"/>
                <w:szCs w:val="24"/>
              </w:rPr>
            </w:pPr>
            <w:r>
              <w:rPr>
                <w:rFonts w:ascii="Times New Roman" w:hAnsi="Times New Roman"/>
                <w:sz w:val="24"/>
                <w:szCs w:val="24"/>
              </w:rPr>
              <w:t>0.003</w:t>
            </w:r>
          </w:p>
        </w:tc>
        <w:tc>
          <w:tcPr>
            <w:tcW w:w="715" w:type="dxa"/>
            <w:tcBorders>
              <w:bottom w:val="nil"/>
            </w:tcBorders>
            <w:shd w:val="clear" w:color="auto" w:fill="auto"/>
            <w:tcMar>
              <w:top w:w="15" w:type="dxa"/>
              <w:left w:w="15" w:type="dxa"/>
              <w:bottom w:w="0" w:type="dxa"/>
              <w:right w:w="15" w:type="dxa"/>
            </w:tcMar>
            <w:vAlign w:val="bottom"/>
          </w:tcPr>
          <w:p w:rsidR="004145E7" w:rsidRDefault="002D6E0C">
            <w:pPr>
              <w:jc w:val="center"/>
              <w:rPr>
                <w:rFonts w:ascii="Times New Roman" w:hAnsi="Times New Roman" w:cs="Times New Roman"/>
                <w:color w:val="000000"/>
                <w:sz w:val="24"/>
                <w:szCs w:val="24"/>
              </w:rPr>
            </w:pPr>
            <w:r>
              <w:rPr>
                <w:rFonts w:ascii="Times New Roman" w:hAnsi="Times New Roman" w:cs="Times New Roman"/>
                <w:color w:val="000000"/>
                <w:sz w:val="24"/>
                <w:szCs w:val="24"/>
              </w:rPr>
              <w:t>0.01</w:t>
            </w:r>
          </w:p>
        </w:tc>
      </w:tr>
      <w:tr w:rsidR="004145E7" w:rsidTr="00066942">
        <w:trPr>
          <w:trHeight w:val="120"/>
        </w:trPr>
        <w:tc>
          <w:tcPr>
            <w:tcW w:w="1606" w:type="dxa"/>
            <w:tcBorders>
              <w:top w:val="nil"/>
              <w:bottom w:val="single" w:sz="4" w:space="0" w:color="auto"/>
            </w:tcBorders>
            <w:shd w:val="clear" w:color="auto" w:fill="auto"/>
            <w:tcMar>
              <w:top w:w="15" w:type="dxa"/>
              <w:left w:w="15" w:type="dxa"/>
              <w:bottom w:w="0" w:type="dxa"/>
              <w:right w:w="15" w:type="dxa"/>
            </w:tcMar>
            <w:vAlign w:val="center"/>
          </w:tcPr>
          <w:p w:rsidR="004145E7" w:rsidRDefault="002D6E0C" w:rsidP="003B1DFA">
            <w:pPr>
              <w:pStyle w:val="NoSpacing"/>
              <w:rPr>
                <w:rFonts w:ascii="Times New Roman" w:hAnsi="Times New Roman"/>
                <w:sz w:val="24"/>
                <w:szCs w:val="24"/>
              </w:rPr>
            </w:pPr>
            <w:r>
              <w:rPr>
                <w:rFonts w:ascii="Times New Roman" w:hAnsi="Times New Roman"/>
                <w:sz w:val="24"/>
                <w:szCs w:val="24"/>
              </w:rPr>
              <w:t>CD at 5%</w:t>
            </w:r>
          </w:p>
        </w:tc>
        <w:tc>
          <w:tcPr>
            <w:tcW w:w="1559" w:type="dxa"/>
            <w:tcBorders>
              <w:top w:val="nil"/>
              <w:bottom w:val="single" w:sz="4" w:space="0" w:color="auto"/>
            </w:tcBorders>
            <w:tcMar>
              <w:top w:w="15" w:type="dxa"/>
              <w:left w:w="15" w:type="dxa"/>
              <w:bottom w:w="0" w:type="dxa"/>
              <w:right w:w="15" w:type="dxa"/>
            </w:tcMar>
            <w:vAlign w:val="center"/>
          </w:tcPr>
          <w:p w:rsidR="004145E7" w:rsidRDefault="002D6E0C">
            <w:pPr>
              <w:pStyle w:val="NoSpacing"/>
              <w:jc w:val="center"/>
              <w:rPr>
                <w:rFonts w:ascii="Times New Roman" w:hAnsi="Times New Roman"/>
                <w:sz w:val="24"/>
                <w:szCs w:val="24"/>
              </w:rPr>
            </w:pPr>
            <w:r>
              <w:rPr>
                <w:rFonts w:ascii="Times New Roman" w:hAnsi="Times New Roman"/>
                <w:sz w:val="24"/>
                <w:szCs w:val="24"/>
              </w:rPr>
              <w:t>0.76</w:t>
            </w:r>
          </w:p>
        </w:tc>
        <w:tc>
          <w:tcPr>
            <w:tcW w:w="1924" w:type="dxa"/>
            <w:tcBorders>
              <w:top w:val="nil"/>
              <w:bottom w:val="single" w:sz="4" w:space="0" w:color="auto"/>
            </w:tcBorders>
            <w:tcMar>
              <w:top w:w="15" w:type="dxa"/>
              <w:left w:w="15" w:type="dxa"/>
              <w:bottom w:w="0" w:type="dxa"/>
              <w:right w:w="15" w:type="dxa"/>
            </w:tcMar>
            <w:vAlign w:val="center"/>
          </w:tcPr>
          <w:p w:rsidR="004145E7" w:rsidRDefault="002D6E0C">
            <w:pPr>
              <w:pStyle w:val="NoSpacing"/>
              <w:jc w:val="center"/>
              <w:rPr>
                <w:rFonts w:ascii="Times New Roman" w:hAnsi="Times New Roman"/>
                <w:sz w:val="24"/>
                <w:szCs w:val="24"/>
              </w:rPr>
            </w:pPr>
            <w:r>
              <w:rPr>
                <w:rFonts w:ascii="Times New Roman" w:hAnsi="Times New Roman"/>
                <w:sz w:val="24"/>
                <w:szCs w:val="24"/>
              </w:rPr>
              <w:t>0.57</w:t>
            </w:r>
          </w:p>
        </w:tc>
        <w:tc>
          <w:tcPr>
            <w:tcW w:w="667" w:type="dxa"/>
            <w:tcBorders>
              <w:top w:val="nil"/>
              <w:bottom w:val="single" w:sz="4" w:space="0" w:color="auto"/>
            </w:tcBorders>
            <w:shd w:val="clear" w:color="auto" w:fill="auto"/>
            <w:tcMar>
              <w:top w:w="12" w:type="dxa"/>
              <w:left w:w="12" w:type="dxa"/>
              <w:bottom w:w="0" w:type="dxa"/>
              <w:right w:w="12" w:type="dxa"/>
            </w:tcMar>
            <w:vAlign w:val="center"/>
          </w:tcPr>
          <w:p w:rsidR="004145E7" w:rsidRDefault="002D6E0C">
            <w:pPr>
              <w:pStyle w:val="NoSpacing"/>
              <w:jc w:val="center"/>
              <w:rPr>
                <w:rFonts w:ascii="Times New Roman" w:hAnsi="Times New Roman"/>
                <w:sz w:val="24"/>
                <w:szCs w:val="24"/>
              </w:rPr>
            </w:pPr>
            <w:r>
              <w:rPr>
                <w:rFonts w:ascii="Times New Roman" w:hAnsi="Times New Roman"/>
                <w:sz w:val="24"/>
                <w:szCs w:val="24"/>
              </w:rPr>
              <w:t>0.08</w:t>
            </w:r>
          </w:p>
        </w:tc>
        <w:tc>
          <w:tcPr>
            <w:tcW w:w="887" w:type="dxa"/>
            <w:gridSpan w:val="2"/>
            <w:tcBorders>
              <w:top w:val="nil"/>
              <w:bottom w:val="single" w:sz="4" w:space="0" w:color="auto"/>
            </w:tcBorders>
            <w:shd w:val="clear" w:color="auto" w:fill="auto"/>
            <w:tcMar>
              <w:top w:w="15" w:type="dxa"/>
              <w:left w:w="15" w:type="dxa"/>
              <w:bottom w:w="0" w:type="dxa"/>
              <w:right w:w="15" w:type="dxa"/>
            </w:tcMar>
            <w:vAlign w:val="center"/>
          </w:tcPr>
          <w:p w:rsidR="004145E7" w:rsidRDefault="002D6E0C">
            <w:pPr>
              <w:pStyle w:val="NoSpacing"/>
              <w:jc w:val="center"/>
              <w:rPr>
                <w:rFonts w:ascii="Times New Roman" w:hAnsi="Times New Roman"/>
                <w:sz w:val="24"/>
                <w:szCs w:val="24"/>
              </w:rPr>
            </w:pPr>
            <w:r>
              <w:rPr>
                <w:rFonts w:ascii="Times New Roman" w:hAnsi="Times New Roman"/>
                <w:sz w:val="24"/>
                <w:szCs w:val="24"/>
              </w:rPr>
              <w:t>0.02</w:t>
            </w:r>
          </w:p>
        </w:tc>
        <w:tc>
          <w:tcPr>
            <w:tcW w:w="788" w:type="dxa"/>
            <w:gridSpan w:val="2"/>
            <w:tcBorders>
              <w:top w:val="nil"/>
              <w:bottom w:val="single" w:sz="4" w:space="0" w:color="auto"/>
            </w:tcBorders>
            <w:shd w:val="clear" w:color="auto" w:fill="auto"/>
            <w:tcMar>
              <w:top w:w="15" w:type="dxa"/>
              <w:left w:w="15" w:type="dxa"/>
              <w:bottom w:w="0" w:type="dxa"/>
              <w:right w:w="15" w:type="dxa"/>
            </w:tcMar>
            <w:vAlign w:val="center"/>
          </w:tcPr>
          <w:p w:rsidR="004145E7" w:rsidRDefault="002D6E0C">
            <w:pPr>
              <w:pStyle w:val="NoSpacing"/>
              <w:jc w:val="center"/>
              <w:rPr>
                <w:rFonts w:ascii="Times New Roman" w:hAnsi="Times New Roman"/>
                <w:sz w:val="24"/>
                <w:szCs w:val="24"/>
              </w:rPr>
            </w:pPr>
            <w:r>
              <w:rPr>
                <w:rFonts w:ascii="Times New Roman" w:hAnsi="Times New Roman"/>
                <w:sz w:val="24"/>
                <w:szCs w:val="24"/>
              </w:rPr>
              <w:t>0.03</w:t>
            </w:r>
          </w:p>
        </w:tc>
        <w:tc>
          <w:tcPr>
            <w:tcW w:w="718" w:type="dxa"/>
            <w:tcBorders>
              <w:top w:val="nil"/>
              <w:bottom w:val="single" w:sz="4" w:space="0" w:color="auto"/>
            </w:tcBorders>
            <w:shd w:val="clear" w:color="auto" w:fill="auto"/>
            <w:tcMar>
              <w:top w:w="15" w:type="dxa"/>
              <w:left w:w="15" w:type="dxa"/>
              <w:bottom w:w="0" w:type="dxa"/>
              <w:right w:w="15" w:type="dxa"/>
            </w:tcMar>
            <w:vAlign w:val="center"/>
          </w:tcPr>
          <w:p w:rsidR="004145E7" w:rsidRDefault="002D6E0C">
            <w:pPr>
              <w:pStyle w:val="NoSpacing"/>
              <w:jc w:val="center"/>
              <w:rPr>
                <w:rFonts w:ascii="Times New Roman" w:hAnsi="Times New Roman"/>
                <w:sz w:val="24"/>
                <w:szCs w:val="24"/>
              </w:rPr>
            </w:pPr>
            <w:r>
              <w:rPr>
                <w:rFonts w:ascii="Times New Roman" w:hAnsi="Times New Roman"/>
                <w:sz w:val="24"/>
                <w:szCs w:val="24"/>
              </w:rPr>
              <w:t>0.05</w:t>
            </w:r>
          </w:p>
        </w:tc>
        <w:tc>
          <w:tcPr>
            <w:tcW w:w="870" w:type="dxa"/>
            <w:tcBorders>
              <w:top w:val="nil"/>
              <w:bottom w:val="single" w:sz="4" w:space="0" w:color="auto"/>
            </w:tcBorders>
            <w:shd w:val="clear" w:color="auto" w:fill="auto"/>
            <w:tcMar>
              <w:top w:w="15" w:type="dxa"/>
              <w:left w:w="15" w:type="dxa"/>
              <w:bottom w:w="0" w:type="dxa"/>
              <w:right w:w="15" w:type="dxa"/>
            </w:tcMar>
            <w:vAlign w:val="center"/>
          </w:tcPr>
          <w:p w:rsidR="004145E7" w:rsidRDefault="002D6E0C">
            <w:pPr>
              <w:pStyle w:val="NoSpacing"/>
              <w:jc w:val="center"/>
              <w:rPr>
                <w:rFonts w:ascii="Times New Roman" w:hAnsi="Times New Roman"/>
                <w:sz w:val="24"/>
                <w:szCs w:val="24"/>
              </w:rPr>
            </w:pPr>
            <w:r>
              <w:rPr>
                <w:rFonts w:ascii="Times New Roman" w:hAnsi="Times New Roman"/>
                <w:sz w:val="24"/>
                <w:szCs w:val="24"/>
              </w:rPr>
              <w:t>0.01</w:t>
            </w:r>
          </w:p>
        </w:tc>
        <w:tc>
          <w:tcPr>
            <w:tcW w:w="715" w:type="dxa"/>
            <w:tcBorders>
              <w:top w:val="nil"/>
              <w:bottom w:val="single" w:sz="4" w:space="0" w:color="auto"/>
            </w:tcBorders>
            <w:shd w:val="clear" w:color="auto" w:fill="auto"/>
            <w:tcMar>
              <w:top w:w="15" w:type="dxa"/>
              <w:left w:w="15" w:type="dxa"/>
              <w:bottom w:w="0" w:type="dxa"/>
              <w:right w:w="15" w:type="dxa"/>
            </w:tcMar>
            <w:vAlign w:val="bottom"/>
          </w:tcPr>
          <w:p w:rsidR="004145E7" w:rsidRDefault="002D6E0C">
            <w:pPr>
              <w:jc w:val="center"/>
              <w:rPr>
                <w:rFonts w:ascii="Times New Roman" w:hAnsi="Times New Roman" w:cs="Times New Roman"/>
                <w:color w:val="000000"/>
                <w:sz w:val="24"/>
                <w:szCs w:val="24"/>
              </w:rPr>
            </w:pPr>
            <w:r>
              <w:rPr>
                <w:rFonts w:ascii="Times New Roman" w:hAnsi="Times New Roman" w:cs="Times New Roman"/>
                <w:color w:val="000000"/>
                <w:sz w:val="24"/>
                <w:szCs w:val="24"/>
              </w:rPr>
              <w:t>0.02</w:t>
            </w:r>
          </w:p>
        </w:tc>
      </w:tr>
      <w:tr w:rsidR="004145E7" w:rsidTr="00066942">
        <w:trPr>
          <w:trHeight w:val="120"/>
        </w:trPr>
        <w:tc>
          <w:tcPr>
            <w:tcW w:w="9738" w:type="dxa"/>
            <w:gridSpan w:val="11"/>
            <w:tcBorders>
              <w:top w:val="single" w:sz="4" w:space="0" w:color="auto"/>
              <w:bottom w:val="single" w:sz="4" w:space="0" w:color="auto"/>
            </w:tcBorders>
            <w:vAlign w:val="center"/>
          </w:tcPr>
          <w:p w:rsidR="004145E7" w:rsidRDefault="002D6E0C">
            <w:pPr>
              <w:pStyle w:val="NoSpacing"/>
              <w:jc w:val="center"/>
              <w:rPr>
                <w:rFonts w:ascii="Times New Roman" w:hAnsi="Times New Roman"/>
                <w:b/>
                <w:bCs/>
                <w:sz w:val="24"/>
                <w:szCs w:val="24"/>
              </w:rPr>
            </w:pPr>
            <w:r>
              <w:rPr>
                <w:rFonts w:ascii="Times New Roman" w:hAnsi="Times New Roman"/>
                <w:b/>
                <w:bCs/>
                <w:sz w:val="24"/>
                <w:szCs w:val="24"/>
              </w:rPr>
              <w:t>Level of potassium</w:t>
            </w:r>
          </w:p>
        </w:tc>
      </w:tr>
      <w:tr w:rsidR="004145E7" w:rsidTr="00066942">
        <w:trPr>
          <w:trHeight w:val="120"/>
        </w:trPr>
        <w:tc>
          <w:tcPr>
            <w:tcW w:w="1606" w:type="dxa"/>
            <w:tcBorders>
              <w:top w:val="single" w:sz="4" w:space="0" w:color="auto"/>
              <w:bottom w:val="nil"/>
            </w:tcBorders>
            <w:shd w:val="clear" w:color="auto" w:fill="auto"/>
            <w:tcMar>
              <w:top w:w="15" w:type="dxa"/>
              <w:left w:w="15" w:type="dxa"/>
              <w:bottom w:w="0" w:type="dxa"/>
              <w:right w:w="15" w:type="dxa"/>
            </w:tcMar>
            <w:vAlign w:val="center"/>
          </w:tcPr>
          <w:p w:rsidR="004145E7" w:rsidRDefault="002D6E0C" w:rsidP="003B1DFA">
            <w:pPr>
              <w:pStyle w:val="NoSpacing"/>
              <w:rPr>
                <w:rFonts w:ascii="Times New Roman" w:hAnsi="Times New Roman"/>
                <w:sz w:val="24"/>
                <w:szCs w:val="24"/>
              </w:rPr>
            </w:pPr>
            <w:r>
              <w:rPr>
                <w:rFonts w:ascii="Times New Roman" w:hAnsi="Times New Roman"/>
                <w:sz w:val="24"/>
                <w:szCs w:val="24"/>
              </w:rPr>
              <w:t>K</w:t>
            </w:r>
            <w:r>
              <w:rPr>
                <w:rFonts w:ascii="Times New Roman" w:hAnsi="Times New Roman"/>
                <w:sz w:val="24"/>
                <w:szCs w:val="24"/>
                <w:vertAlign w:val="subscript"/>
              </w:rPr>
              <w:t>1</w:t>
            </w:r>
            <w:r>
              <w:rPr>
                <w:rFonts w:ascii="Times New Roman" w:hAnsi="Times New Roman"/>
                <w:sz w:val="24"/>
                <w:szCs w:val="24"/>
              </w:rPr>
              <w:t xml:space="preserve"> (20 kg ha</w:t>
            </w:r>
            <w:r>
              <w:rPr>
                <w:rFonts w:ascii="Times New Roman" w:hAnsi="Times New Roman"/>
                <w:sz w:val="24"/>
                <w:szCs w:val="24"/>
                <w:vertAlign w:val="superscript"/>
              </w:rPr>
              <w:t>-1</w:t>
            </w:r>
            <w:r>
              <w:rPr>
                <w:rFonts w:ascii="Times New Roman" w:hAnsi="Times New Roman"/>
                <w:sz w:val="24"/>
                <w:szCs w:val="24"/>
              </w:rPr>
              <w:t>)</w:t>
            </w:r>
          </w:p>
        </w:tc>
        <w:tc>
          <w:tcPr>
            <w:tcW w:w="1559" w:type="dxa"/>
            <w:tcBorders>
              <w:top w:val="single" w:sz="4" w:space="0" w:color="auto"/>
              <w:bottom w:val="nil"/>
            </w:tcBorders>
            <w:tcMar>
              <w:top w:w="15" w:type="dxa"/>
              <w:left w:w="15" w:type="dxa"/>
              <w:bottom w:w="0" w:type="dxa"/>
              <w:right w:w="15" w:type="dxa"/>
            </w:tcMar>
            <w:vAlign w:val="center"/>
          </w:tcPr>
          <w:p w:rsidR="004145E7" w:rsidRDefault="002D6E0C">
            <w:pPr>
              <w:pStyle w:val="NoSpacing"/>
              <w:jc w:val="center"/>
              <w:rPr>
                <w:rFonts w:ascii="Times New Roman" w:hAnsi="Times New Roman"/>
                <w:sz w:val="24"/>
                <w:szCs w:val="24"/>
              </w:rPr>
            </w:pPr>
            <w:r>
              <w:rPr>
                <w:rFonts w:ascii="Times New Roman" w:hAnsi="Times New Roman"/>
                <w:sz w:val="24"/>
                <w:szCs w:val="24"/>
              </w:rPr>
              <w:t>48.95</w:t>
            </w:r>
          </w:p>
        </w:tc>
        <w:tc>
          <w:tcPr>
            <w:tcW w:w="1924" w:type="dxa"/>
            <w:tcBorders>
              <w:top w:val="single" w:sz="4" w:space="0" w:color="auto"/>
              <w:bottom w:val="nil"/>
            </w:tcBorders>
            <w:tcMar>
              <w:top w:w="15" w:type="dxa"/>
              <w:left w:w="15" w:type="dxa"/>
              <w:bottom w:w="0" w:type="dxa"/>
              <w:right w:w="15" w:type="dxa"/>
            </w:tcMar>
            <w:vAlign w:val="center"/>
          </w:tcPr>
          <w:p w:rsidR="004145E7" w:rsidRDefault="002D6E0C">
            <w:pPr>
              <w:pStyle w:val="NoSpacing"/>
              <w:jc w:val="center"/>
              <w:rPr>
                <w:rFonts w:ascii="Times New Roman" w:hAnsi="Times New Roman"/>
                <w:sz w:val="24"/>
                <w:szCs w:val="24"/>
              </w:rPr>
            </w:pPr>
            <w:r>
              <w:rPr>
                <w:rFonts w:ascii="Times New Roman" w:hAnsi="Times New Roman"/>
                <w:sz w:val="24"/>
                <w:szCs w:val="24"/>
              </w:rPr>
              <w:t>22.97</w:t>
            </w:r>
          </w:p>
        </w:tc>
        <w:tc>
          <w:tcPr>
            <w:tcW w:w="667" w:type="dxa"/>
            <w:tcBorders>
              <w:top w:val="single" w:sz="4" w:space="0" w:color="auto"/>
              <w:bottom w:val="nil"/>
            </w:tcBorders>
            <w:shd w:val="clear" w:color="auto" w:fill="auto"/>
            <w:tcMar>
              <w:top w:w="12" w:type="dxa"/>
              <w:left w:w="12" w:type="dxa"/>
              <w:bottom w:w="0" w:type="dxa"/>
              <w:right w:w="12" w:type="dxa"/>
            </w:tcMar>
            <w:vAlign w:val="center"/>
          </w:tcPr>
          <w:p w:rsidR="004145E7" w:rsidRDefault="002D6E0C">
            <w:pPr>
              <w:pStyle w:val="NoSpacing"/>
              <w:jc w:val="center"/>
              <w:rPr>
                <w:rFonts w:ascii="Times New Roman" w:hAnsi="Times New Roman"/>
                <w:sz w:val="24"/>
                <w:szCs w:val="24"/>
              </w:rPr>
            </w:pPr>
            <w:r>
              <w:rPr>
                <w:rFonts w:ascii="Times New Roman" w:hAnsi="Times New Roman"/>
                <w:sz w:val="24"/>
                <w:szCs w:val="24"/>
              </w:rPr>
              <w:t>3.22</w:t>
            </w:r>
          </w:p>
        </w:tc>
        <w:tc>
          <w:tcPr>
            <w:tcW w:w="887" w:type="dxa"/>
            <w:gridSpan w:val="2"/>
            <w:tcBorders>
              <w:top w:val="single" w:sz="4" w:space="0" w:color="auto"/>
              <w:bottom w:val="nil"/>
            </w:tcBorders>
            <w:shd w:val="clear" w:color="auto" w:fill="auto"/>
            <w:tcMar>
              <w:top w:w="15" w:type="dxa"/>
              <w:left w:w="15" w:type="dxa"/>
              <w:bottom w:w="0" w:type="dxa"/>
              <w:right w:w="15" w:type="dxa"/>
            </w:tcMar>
            <w:vAlign w:val="center"/>
          </w:tcPr>
          <w:p w:rsidR="004145E7" w:rsidRDefault="002D6E0C">
            <w:pPr>
              <w:pStyle w:val="NoSpacing"/>
              <w:jc w:val="center"/>
              <w:rPr>
                <w:rFonts w:ascii="Times New Roman" w:hAnsi="Times New Roman"/>
                <w:sz w:val="24"/>
                <w:szCs w:val="24"/>
              </w:rPr>
            </w:pPr>
            <w:r>
              <w:rPr>
                <w:rFonts w:ascii="Times New Roman" w:hAnsi="Times New Roman"/>
                <w:sz w:val="24"/>
                <w:szCs w:val="24"/>
              </w:rPr>
              <w:t>0.42</w:t>
            </w:r>
          </w:p>
        </w:tc>
        <w:tc>
          <w:tcPr>
            <w:tcW w:w="788" w:type="dxa"/>
            <w:gridSpan w:val="2"/>
            <w:tcBorders>
              <w:top w:val="single" w:sz="4" w:space="0" w:color="auto"/>
              <w:bottom w:val="nil"/>
            </w:tcBorders>
            <w:shd w:val="clear" w:color="auto" w:fill="auto"/>
            <w:tcMar>
              <w:top w:w="15" w:type="dxa"/>
              <w:left w:w="15" w:type="dxa"/>
              <w:bottom w:w="0" w:type="dxa"/>
              <w:right w:w="15" w:type="dxa"/>
            </w:tcMar>
            <w:vAlign w:val="center"/>
          </w:tcPr>
          <w:p w:rsidR="004145E7" w:rsidRDefault="002D6E0C">
            <w:pPr>
              <w:pStyle w:val="NoSpacing"/>
              <w:jc w:val="center"/>
              <w:rPr>
                <w:rFonts w:ascii="Times New Roman" w:hAnsi="Times New Roman"/>
                <w:sz w:val="24"/>
                <w:szCs w:val="24"/>
              </w:rPr>
            </w:pPr>
            <w:r>
              <w:rPr>
                <w:rFonts w:ascii="Times New Roman" w:hAnsi="Times New Roman"/>
                <w:sz w:val="24"/>
                <w:szCs w:val="24"/>
              </w:rPr>
              <w:t>0.53</w:t>
            </w:r>
          </w:p>
        </w:tc>
        <w:tc>
          <w:tcPr>
            <w:tcW w:w="718" w:type="dxa"/>
            <w:tcBorders>
              <w:top w:val="single" w:sz="4" w:space="0" w:color="auto"/>
              <w:bottom w:val="nil"/>
            </w:tcBorders>
            <w:shd w:val="clear" w:color="auto" w:fill="auto"/>
            <w:tcMar>
              <w:top w:w="15" w:type="dxa"/>
              <w:left w:w="15" w:type="dxa"/>
              <w:bottom w:w="0" w:type="dxa"/>
              <w:right w:w="15" w:type="dxa"/>
            </w:tcMar>
            <w:vAlign w:val="center"/>
          </w:tcPr>
          <w:p w:rsidR="004145E7" w:rsidRDefault="002D6E0C">
            <w:pPr>
              <w:pStyle w:val="NoSpacing"/>
              <w:jc w:val="center"/>
              <w:rPr>
                <w:rFonts w:ascii="Times New Roman" w:hAnsi="Times New Roman"/>
                <w:sz w:val="24"/>
                <w:szCs w:val="24"/>
              </w:rPr>
            </w:pPr>
            <w:r>
              <w:rPr>
                <w:rFonts w:ascii="Times New Roman" w:hAnsi="Times New Roman"/>
                <w:sz w:val="24"/>
                <w:szCs w:val="24"/>
              </w:rPr>
              <w:t>1.41</w:t>
            </w:r>
          </w:p>
        </w:tc>
        <w:tc>
          <w:tcPr>
            <w:tcW w:w="870" w:type="dxa"/>
            <w:tcBorders>
              <w:top w:val="single" w:sz="4" w:space="0" w:color="auto"/>
              <w:bottom w:val="nil"/>
            </w:tcBorders>
            <w:shd w:val="clear" w:color="auto" w:fill="auto"/>
            <w:tcMar>
              <w:top w:w="15" w:type="dxa"/>
              <w:left w:w="15" w:type="dxa"/>
              <w:bottom w:w="0" w:type="dxa"/>
              <w:right w:w="15" w:type="dxa"/>
            </w:tcMar>
            <w:vAlign w:val="center"/>
          </w:tcPr>
          <w:p w:rsidR="004145E7" w:rsidRDefault="002D6E0C">
            <w:pPr>
              <w:pStyle w:val="NoSpacing"/>
              <w:jc w:val="center"/>
              <w:rPr>
                <w:rFonts w:ascii="Times New Roman" w:hAnsi="Times New Roman"/>
                <w:sz w:val="24"/>
                <w:szCs w:val="24"/>
              </w:rPr>
            </w:pPr>
            <w:r>
              <w:rPr>
                <w:rFonts w:ascii="Times New Roman" w:hAnsi="Times New Roman"/>
                <w:sz w:val="24"/>
                <w:szCs w:val="24"/>
              </w:rPr>
              <w:t>0.19</w:t>
            </w:r>
          </w:p>
        </w:tc>
        <w:tc>
          <w:tcPr>
            <w:tcW w:w="715" w:type="dxa"/>
            <w:tcBorders>
              <w:top w:val="single" w:sz="4" w:space="0" w:color="auto"/>
              <w:bottom w:val="nil"/>
            </w:tcBorders>
            <w:shd w:val="clear" w:color="auto" w:fill="auto"/>
            <w:tcMar>
              <w:top w:w="15" w:type="dxa"/>
              <w:left w:w="15" w:type="dxa"/>
              <w:bottom w:w="0" w:type="dxa"/>
              <w:right w:w="15" w:type="dxa"/>
            </w:tcMar>
            <w:vAlign w:val="center"/>
          </w:tcPr>
          <w:p w:rsidR="004145E7" w:rsidRDefault="002D6E0C">
            <w:pPr>
              <w:jc w:val="center"/>
              <w:rPr>
                <w:rFonts w:ascii="Times New Roman" w:hAnsi="Times New Roman" w:cs="Times New Roman"/>
                <w:color w:val="000000"/>
                <w:sz w:val="24"/>
                <w:szCs w:val="24"/>
              </w:rPr>
            </w:pPr>
            <w:r>
              <w:rPr>
                <w:rFonts w:ascii="Times New Roman" w:hAnsi="Times New Roman" w:cs="Times New Roman"/>
                <w:color w:val="000000"/>
                <w:sz w:val="24"/>
                <w:szCs w:val="24"/>
              </w:rPr>
              <w:t>0.60</w:t>
            </w:r>
          </w:p>
        </w:tc>
      </w:tr>
      <w:tr w:rsidR="004145E7" w:rsidTr="00066942">
        <w:trPr>
          <w:trHeight w:val="313"/>
        </w:trPr>
        <w:tc>
          <w:tcPr>
            <w:tcW w:w="1606" w:type="dxa"/>
            <w:tcBorders>
              <w:top w:val="nil"/>
            </w:tcBorders>
            <w:shd w:val="clear" w:color="auto" w:fill="auto"/>
            <w:tcMar>
              <w:top w:w="15" w:type="dxa"/>
              <w:left w:w="15" w:type="dxa"/>
              <w:bottom w:w="0" w:type="dxa"/>
              <w:right w:w="15" w:type="dxa"/>
            </w:tcMar>
            <w:vAlign w:val="center"/>
          </w:tcPr>
          <w:p w:rsidR="004145E7" w:rsidRDefault="002D6E0C" w:rsidP="003B1DFA">
            <w:pPr>
              <w:pStyle w:val="NoSpacing"/>
              <w:rPr>
                <w:rFonts w:ascii="Times New Roman" w:hAnsi="Times New Roman"/>
                <w:sz w:val="24"/>
                <w:szCs w:val="24"/>
              </w:rPr>
            </w:pPr>
            <w:r>
              <w:rPr>
                <w:rFonts w:ascii="Times New Roman" w:hAnsi="Times New Roman"/>
                <w:sz w:val="24"/>
                <w:szCs w:val="24"/>
              </w:rPr>
              <w:t>K</w:t>
            </w:r>
            <w:r>
              <w:rPr>
                <w:rFonts w:ascii="Times New Roman" w:hAnsi="Times New Roman"/>
                <w:sz w:val="24"/>
                <w:szCs w:val="24"/>
                <w:vertAlign w:val="subscript"/>
              </w:rPr>
              <w:t>2</w:t>
            </w:r>
            <w:r>
              <w:rPr>
                <w:rFonts w:ascii="Times New Roman" w:hAnsi="Times New Roman"/>
                <w:sz w:val="24"/>
                <w:szCs w:val="24"/>
              </w:rPr>
              <w:t xml:space="preserve"> (40 kg ha</w:t>
            </w:r>
            <w:r>
              <w:rPr>
                <w:rFonts w:ascii="Times New Roman" w:hAnsi="Times New Roman"/>
                <w:sz w:val="24"/>
                <w:szCs w:val="24"/>
                <w:vertAlign w:val="superscript"/>
              </w:rPr>
              <w:t>-1</w:t>
            </w:r>
            <w:r>
              <w:rPr>
                <w:rFonts w:ascii="Times New Roman" w:hAnsi="Times New Roman"/>
                <w:sz w:val="24"/>
                <w:szCs w:val="24"/>
              </w:rPr>
              <w:t>)</w:t>
            </w:r>
          </w:p>
        </w:tc>
        <w:tc>
          <w:tcPr>
            <w:tcW w:w="1559" w:type="dxa"/>
            <w:tcBorders>
              <w:top w:val="nil"/>
            </w:tcBorders>
            <w:tcMar>
              <w:top w:w="15" w:type="dxa"/>
              <w:left w:w="15" w:type="dxa"/>
              <w:bottom w:w="0" w:type="dxa"/>
              <w:right w:w="15" w:type="dxa"/>
            </w:tcMar>
            <w:vAlign w:val="center"/>
          </w:tcPr>
          <w:p w:rsidR="004145E7" w:rsidRDefault="002D6E0C">
            <w:pPr>
              <w:pStyle w:val="NoSpacing"/>
              <w:jc w:val="center"/>
              <w:rPr>
                <w:rFonts w:ascii="Times New Roman" w:hAnsi="Times New Roman"/>
                <w:sz w:val="24"/>
                <w:szCs w:val="24"/>
              </w:rPr>
            </w:pPr>
            <w:r>
              <w:rPr>
                <w:rFonts w:ascii="Times New Roman" w:hAnsi="Times New Roman"/>
                <w:sz w:val="24"/>
                <w:szCs w:val="24"/>
              </w:rPr>
              <w:t>49.76</w:t>
            </w:r>
          </w:p>
        </w:tc>
        <w:tc>
          <w:tcPr>
            <w:tcW w:w="1924" w:type="dxa"/>
            <w:tcBorders>
              <w:top w:val="nil"/>
            </w:tcBorders>
            <w:tcMar>
              <w:top w:w="15" w:type="dxa"/>
              <w:left w:w="15" w:type="dxa"/>
              <w:bottom w:w="0" w:type="dxa"/>
              <w:right w:w="15" w:type="dxa"/>
            </w:tcMar>
            <w:vAlign w:val="center"/>
          </w:tcPr>
          <w:p w:rsidR="004145E7" w:rsidRDefault="002D6E0C">
            <w:pPr>
              <w:pStyle w:val="NoSpacing"/>
              <w:jc w:val="center"/>
              <w:rPr>
                <w:rFonts w:ascii="Times New Roman" w:hAnsi="Times New Roman"/>
                <w:sz w:val="24"/>
                <w:szCs w:val="24"/>
              </w:rPr>
            </w:pPr>
            <w:r>
              <w:rPr>
                <w:rFonts w:ascii="Times New Roman" w:hAnsi="Times New Roman"/>
                <w:sz w:val="24"/>
                <w:szCs w:val="24"/>
              </w:rPr>
              <w:t>23.68</w:t>
            </w:r>
          </w:p>
        </w:tc>
        <w:tc>
          <w:tcPr>
            <w:tcW w:w="667" w:type="dxa"/>
            <w:tcBorders>
              <w:top w:val="nil"/>
            </w:tcBorders>
            <w:shd w:val="clear" w:color="auto" w:fill="auto"/>
            <w:tcMar>
              <w:top w:w="12" w:type="dxa"/>
              <w:left w:w="12" w:type="dxa"/>
              <w:bottom w:w="0" w:type="dxa"/>
              <w:right w:w="12" w:type="dxa"/>
            </w:tcMar>
            <w:vAlign w:val="center"/>
          </w:tcPr>
          <w:p w:rsidR="004145E7" w:rsidRDefault="002D6E0C">
            <w:pPr>
              <w:pStyle w:val="NoSpacing"/>
              <w:jc w:val="center"/>
              <w:rPr>
                <w:rFonts w:ascii="Times New Roman" w:hAnsi="Times New Roman"/>
                <w:sz w:val="24"/>
                <w:szCs w:val="24"/>
              </w:rPr>
            </w:pPr>
            <w:r>
              <w:rPr>
                <w:rFonts w:ascii="Times New Roman" w:hAnsi="Times New Roman"/>
                <w:sz w:val="24"/>
                <w:szCs w:val="24"/>
              </w:rPr>
              <w:t>3.29</w:t>
            </w:r>
          </w:p>
        </w:tc>
        <w:tc>
          <w:tcPr>
            <w:tcW w:w="887" w:type="dxa"/>
            <w:gridSpan w:val="2"/>
            <w:tcBorders>
              <w:top w:val="nil"/>
            </w:tcBorders>
            <w:shd w:val="clear" w:color="auto" w:fill="auto"/>
            <w:tcMar>
              <w:top w:w="15" w:type="dxa"/>
              <w:left w:w="15" w:type="dxa"/>
              <w:bottom w:w="0" w:type="dxa"/>
              <w:right w:w="15" w:type="dxa"/>
            </w:tcMar>
            <w:vAlign w:val="center"/>
          </w:tcPr>
          <w:p w:rsidR="004145E7" w:rsidRDefault="002D6E0C">
            <w:pPr>
              <w:pStyle w:val="NoSpacing"/>
              <w:jc w:val="center"/>
              <w:rPr>
                <w:rFonts w:ascii="Times New Roman" w:hAnsi="Times New Roman"/>
                <w:sz w:val="24"/>
                <w:szCs w:val="24"/>
              </w:rPr>
            </w:pPr>
            <w:r>
              <w:rPr>
                <w:rFonts w:ascii="Times New Roman" w:hAnsi="Times New Roman"/>
                <w:sz w:val="24"/>
                <w:szCs w:val="24"/>
              </w:rPr>
              <w:t>0.45</w:t>
            </w:r>
          </w:p>
        </w:tc>
        <w:tc>
          <w:tcPr>
            <w:tcW w:w="788" w:type="dxa"/>
            <w:gridSpan w:val="2"/>
            <w:tcBorders>
              <w:top w:val="nil"/>
            </w:tcBorders>
            <w:shd w:val="clear" w:color="auto" w:fill="auto"/>
            <w:tcMar>
              <w:top w:w="15" w:type="dxa"/>
              <w:left w:w="15" w:type="dxa"/>
              <w:bottom w:w="0" w:type="dxa"/>
              <w:right w:w="15" w:type="dxa"/>
            </w:tcMar>
            <w:vAlign w:val="center"/>
          </w:tcPr>
          <w:p w:rsidR="004145E7" w:rsidRDefault="002D6E0C">
            <w:pPr>
              <w:pStyle w:val="NoSpacing"/>
              <w:jc w:val="center"/>
              <w:rPr>
                <w:rFonts w:ascii="Times New Roman" w:hAnsi="Times New Roman"/>
                <w:sz w:val="24"/>
                <w:szCs w:val="24"/>
              </w:rPr>
            </w:pPr>
            <w:r>
              <w:rPr>
                <w:rFonts w:ascii="Times New Roman" w:hAnsi="Times New Roman"/>
                <w:sz w:val="24"/>
                <w:szCs w:val="24"/>
              </w:rPr>
              <w:t>0.57</w:t>
            </w:r>
          </w:p>
        </w:tc>
        <w:tc>
          <w:tcPr>
            <w:tcW w:w="718" w:type="dxa"/>
            <w:tcBorders>
              <w:top w:val="nil"/>
            </w:tcBorders>
            <w:shd w:val="clear" w:color="auto" w:fill="auto"/>
            <w:tcMar>
              <w:top w:w="15" w:type="dxa"/>
              <w:left w:w="15" w:type="dxa"/>
              <w:bottom w:w="0" w:type="dxa"/>
              <w:right w:w="15" w:type="dxa"/>
            </w:tcMar>
            <w:vAlign w:val="center"/>
          </w:tcPr>
          <w:p w:rsidR="004145E7" w:rsidRDefault="002D6E0C">
            <w:pPr>
              <w:pStyle w:val="NoSpacing"/>
              <w:jc w:val="center"/>
              <w:rPr>
                <w:rFonts w:ascii="Times New Roman" w:hAnsi="Times New Roman"/>
                <w:sz w:val="24"/>
                <w:szCs w:val="24"/>
              </w:rPr>
            </w:pPr>
            <w:r>
              <w:rPr>
                <w:rFonts w:ascii="Times New Roman" w:hAnsi="Times New Roman"/>
                <w:sz w:val="24"/>
                <w:szCs w:val="24"/>
              </w:rPr>
              <w:t>1.45</w:t>
            </w:r>
          </w:p>
        </w:tc>
        <w:tc>
          <w:tcPr>
            <w:tcW w:w="870" w:type="dxa"/>
            <w:tcBorders>
              <w:top w:val="nil"/>
            </w:tcBorders>
            <w:shd w:val="clear" w:color="auto" w:fill="auto"/>
            <w:tcMar>
              <w:top w:w="15" w:type="dxa"/>
              <w:left w:w="15" w:type="dxa"/>
              <w:bottom w:w="0" w:type="dxa"/>
              <w:right w:w="15" w:type="dxa"/>
            </w:tcMar>
            <w:vAlign w:val="center"/>
          </w:tcPr>
          <w:p w:rsidR="004145E7" w:rsidRDefault="002D6E0C">
            <w:pPr>
              <w:pStyle w:val="NoSpacing"/>
              <w:jc w:val="center"/>
              <w:rPr>
                <w:rFonts w:ascii="Times New Roman" w:hAnsi="Times New Roman"/>
                <w:sz w:val="24"/>
                <w:szCs w:val="24"/>
              </w:rPr>
            </w:pPr>
            <w:r>
              <w:rPr>
                <w:rFonts w:ascii="Times New Roman" w:hAnsi="Times New Roman"/>
                <w:sz w:val="24"/>
                <w:szCs w:val="24"/>
              </w:rPr>
              <w:t>0.19</w:t>
            </w:r>
          </w:p>
        </w:tc>
        <w:tc>
          <w:tcPr>
            <w:tcW w:w="715" w:type="dxa"/>
            <w:tcBorders>
              <w:top w:val="nil"/>
            </w:tcBorders>
            <w:shd w:val="clear" w:color="auto" w:fill="auto"/>
            <w:tcMar>
              <w:top w:w="15" w:type="dxa"/>
              <w:left w:w="15" w:type="dxa"/>
              <w:bottom w:w="0" w:type="dxa"/>
              <w:right w:w="15" w:type="dxa"/>
            </w:tcMar>
            <w:vAlign w:val="center"/>
          </w:tcPr>
          <w:p w:rsidR="004145E7" w:rsidRDefault="002D6E0C">
            <w:pPr>
              <w:jc w:val="center"/>
              <w:rPr>
                <w:rFonts w:ascii="Times New Roman" w:hAnsi="Times New Roman" w:cs="Times New Roman"/>
                <w:color w:val="000000"/>
                <w:sz w:val="24"/>
                <w:szCs w:val="24"/>
              </w:rPr>
            </w:pPr>
            <w:r>
              <w:rPr>
                <w:rFonts w:ascii="Times New Roman" w:hAnsi="Times New Roman" w:cs="Times New Roman"/>
                <w:color w:val="000000"/>
                <w:sz w:val="24"/>
                <w:szCs w:val="24"/>
              </w:rPr>
              <w:t>0.64</w:t>
            </w:r>
          </w:p>
        </w:tc>
      </w:tr>
      <w:tr w:rsidR="004145E7" w:rsidTr="00066942">
        <w:trPr>
          <w:trHeight w:val="120"/>
        </w:trPr>
        <w:tc>
          <w:tcPr>
            <w:tcW w:w="1606" w:type="dxa"/>
            <w:shd w:val="clear" w:color="auto" w:fill="auto"/>
            <w:tcMar>
              <w:top w:w="15" w:type="dxa"/>
              <w:left w:w="15" w:type="dxa"/>
              <w:bottom w:w="0" w:type="dxa"/>
              <w:right w:w="15" w:type="dxa"/>
            </w:tcMar>
            <w:vAlign w:val="center"/>
          </w:tcPr>
          <w:p w:rsidR="004145E7" w:rsidRDefault="002D6E0C" w:rsidP="003B1DFA">
            <w:pPr>
              <w:pStyle w:val="NoSpacing"/>
              <w:rPr>
                <w:rFonts w:ascii="Times New Roman" w:hAnsi="Times New Roman"/>
                <w:sz w:val="24"/>
                <w:szCs w:val="24"/>
              </w:rPr>
            </w:pPr>
            <w:r>
              <w:rPr>
                <w:rFonts w:ascii="Times New Roman" w:hAnsi="Times New Roman"/>
                <w:sz w:val="24"/>
                <w:szCs w:val="24"/>
              </w:rPr>
              <w:t>K</w:t>
            </w:r>
            <w:r>
              <w:rPr>
                <w:rFonts w:ascii="Times New Roman" w:hAnsi="Times New Roman"/>
                <w:sz w:val="24"/>
                <w:szCs w:val="24"/>
                <w:vertAlign w:val="subscript"/>
              </w:rPr>
              <w:t xml:space="preserve">3  </w:t>
            </w:r>
            <w:r>
              <w:rPr>
                <w:rFonts w:ascii="Times New Roman" w:hAnsi="Times New Roman"/>
                <w:sz w:val="24"/>
                <w:szCs w:val="24"/>
              </w:rPr>
              <w:t>(60 kg ha</w:t>
            </w:r>
            <w:r>
              <w:rPr>
                <w:rFonts w:ascii="Times New Roman" w:hAnsi="Times New Roman"/>
                <w:sz w:val="24"/>
                <w:szCs w:val="24"/>
                <w:vertAlign w:val="superscript"/>
              </w:rPr>
              <w:t>-1</w:t>
            </w:r>
            <w:r>
              <w:rPr>
                <w:rFonts w:ascii="Times New Roman" w:hAnsi="Times New Roman"/>
                <w:sz w:val="24"/>
                <w:szCs w:val="24"/>
              </w:rPr>
              <w:t>)</w:t>
            </w:r>
          </w:p>
        </w:tc>
        <w:tc>
          <w:tcPr>
            <w:tcW w:w="1559" w:type="dxa"/>
            <w:tcMar>
              <w:top w:w="15" w:type="dxa"/>
              <w:left w:w="15" w:type="dxa"/>
              <w:bottom w:w="0" w:type="dxa"/>
              <w:right w:w="15" w:type="dxa"/>
            </w:tcMar>
            <w:vAlign w:val="center"/>
          </w:tcPr>
          <w:p w:rsidR="004145E7" w:rsidRDefault="002D6E0C">
            <w:pPr>
              <w:pStyle w:val="NoSpacing"/>
              <w:jc w:val="center"/>
              <w:rPr>
                <w:rFonts w:ascii="Times New Roman" w:hAnsi="Times New Roman"/>
                <w:sz w:val="24"/>
                <w:szCs w:val="24"/>
              </w:rPr>
            </w:pPr>
            <w:r>
              <w:rPr>
                <w:rFonts w:ascii="Times New Roman" w:hAnsi="Times New Roman"/>
                <w:sz w:val="24"/>
                <w:szCs w:val="24"/>
              </w:rPr>
              <w:t>50.27</w:t>
            </w:r>
          </w:p>
        </w:tc>
        <w:tc>
          <w:tcPr>
            <w:tcW w:w="1924" w:type="dxa"/>
            <w:tcMar>
              <w:top w:w="15" w:type="dxa"/>
              <w:left w:w="15" w:type="dxa"/>
              <w:bottom w:w="0" w:type="dxa"/>
              <w:right w:w="15" w:type="dxa"/>
            </w:tcMar>
            <w:vAlign w:val="center"/>
          </w:tcPr>
          <w:p w:rsidR="004145E7" w:rsidRDefault="002D6E0C">
            <w:pPr>
              <w:pStyle w:val="NoSpacing"/>
              <w:jc w:val="center"/>
              <w:rPr>
                <w:rFonts w:ascii="Times New Roman" w:hAnsi="Times New Roman"/>
                <w:sz w:val="24"/>
                <w:szCs w:val="24"/>
              </w:rPr>
            </w:pPr>
            <w:r>
              <w:rPr>
                <w:rFonts w:ascii="Times New Roman" w:hAnsi="Times New Roman"/>
                <w:sz w:val="24"/>
                <w:szCs w:val="24"/>
              </w:rPr>
              <w:t>24.19</w:t>
            </w:r>
          </w:p>
        </w:tc>
        <w:tc>
          <w:tcPr>
            <w:tcW w:w="667" w:type="dxa"/>
            <w:shd w:val="clear" w:color="auto" w:fill="auto"/>
            <w:tcMar>
              <w:top w:w="12" w:type="dxa"/>
              <w:left w:w="12" w:type="dxa"/>
              <w:bottom w:w="0" w:type="dxa"/>
              <w:right w:w="12" w:type="dxa"/>
            </w:tcMar>
            <w:vAlign w:val="center"/>
          </w:tcPr>
          <w:p w:rsidR="004145E7" w:rsidRDefault="002D6E0C">
            <w:pPr>
              <w:pStyle w:val="NoSpacing"/>
              <w:jc w:val="center"/>
              <w:rPr>
                <w:rFonts w:ascii="Times New Roman" w:hAnsi="Times New Roman"/>
                <w:sz w:val="24"/>
                <w:szCs w:val="24"/>
              </w:rPr>
            </w:pPr>
            <w:r>
              <w:rPr>
                <w:rFonts w:ascii="Times New Roman" w:hAnsi="Times New Roman"/>
                <w:sz w:val="24"/>
                <w:szCs w:val="24"/>
              </w:rPr>
              <w:t>3.33</w:t>
            </w:r>
          </w:p>
        </w:tc>
        <w:tc>
          <w:tcPr>
            <w:tcW w:w="887" w:type="dxa"/>
            <w:gridSpan w:val="2"/>
            <w:shd w:val="clear" w:color="auto" w:fill="auto"/>
            <w:tcMar>
              <w:top w:w="15" w:type="dxa"/>
              <w:left w:w="15" w:type="dxa"/>
              <w:bottom w:w="0" w:type="dxa"/>
              <w:right w:w="15" w:type="dxa"/>
            </w:tcMar>
            <w:vAlign w:val="center"/>
          </w:tcPr>
          <w:p w:rsidR="004145E7" w:rsidRDefault="002D6E0C">
            <w:pPr>
              <w:pStyle w:val="NoSpacing"/>
              <w:jc w:val="center"/>
              <w:rPr>
                <w:rFonts w:ascii="Times New Roman" w:hAnsi="Times New Roman"/>
                <w:sz w:val="24"/>
                <w:szCs w:val="24"/>
              </w:rPr>
            </w:pPr>
            <w:r>
              <w:rPr>
                <w:rFonts w:ascii="Times New Roman" w:hAnsi="Times New Roman"/>
                <w:sz w:val="24"/>
                <w:szCs w:val="24"/>
              </w:rPr>
              <w:t>0.45</w:t>
            </w:r>
          </w:p>
        </w:tc>
        <w:tc>
          <w:tcPr>
            <w:tcW w:w="788" w:type="dxa"/>
            <w:gridSpan w:val="2"/>
            <w:shd w:val="clear" w:color="auto" w:fill="auto"/>
            <w:tcMar>
              <w:top w:w="15" w:type="dxa"/>
              <w:left w:w="15" w:type="dxa"/>
              <w:bottom w:w="0" w:type="dxa"/>
              <w:right w:w="15" w:type="dxa"/>
            </w:tcMar>
            <w:vAlign w:val="center"/>
          </w:tcPr>
          <w:p w:rsidR="004145E7" w:rsidRDefault="002D6E0C">
            <w:pPr>
              <w:pStyle w:val="NoSpacing"/>
              <w:jc w:val="center"/>
              <w:rPr>
                <w:rFonts w:ascii="Times New Roman" w:hAnsi="Times New Roman"/>
                <w:sz w:val="24"/>
                <w:szCs w:val="24"/>
              </w:rPr>
            </w:pPr>
            <w:r>
              <w:rPr>
                <w:rFonts w:ascii="Times New Roman" w:hAnsi="Times New Roman"/>
                <w:sz w:val="24"/>
                <w:szCs w:val="24"/>
              </w:rPr>
              <w:t>0.60</w:t>
            </w:r>
          </w:p>
        </w:tc>
        <w:tc>
          <w:tcPr>
            <w:tcW w:w="718" w:type="dxa"/>
            <w:shd w:val="clear" w:color="auto" w:fill="auto"/>
            <w:tcMar>
              <w:top w:w="15" w:type="dxa"/>
              <w:left w:w="15" w:type="dxa"/>
              <w:bottom w:w="0" w:type="dxa"/>
              <w:right w:w="15" w:type="dxa"/>
            </w:tcMar>
            <w:vAlign w:val="center"/>
          </w:tcPr>
          <w:p w:rsidR="004145E7" w:rsidRDefault="002D6E0C">
            <w:pPr>
              <w:pStyle w:val="NoSpacing"/>
              <w:jc w:val="center"/>
              <w:rPr>
                <w:rFonts w:ascii="Times New Roman" w:hAnsi="Times New Roman"/>
                <w:sz w:val="24"/>
                <w:szCs w:val="24"/>
              </w:rPr>
            </w:pPr>
            <w:r>
              <w:rPr>
                <w:rFonts w:ascii="Times New Roman" w:hAnsi="Times New Roman"/>
                <w:sz w:val="24"/>
                <w:szCs w:val="24"/>
              </w:rPr>
              <w:t>1.49</w:t>
            </w:r>
          </w:p>
        </w:tc>
        <w:tc>
          <w:tcPr>
            <w:tcW w:w="870" w:type="dxa"/>
            <w:shd w:val="clear" w:color="auto" w:fill="auto"/>
            <w:tcMar>
              <w:top w:w="15" w:type="dxa"/>
              <w:left w:w="15" w:type="dxa"/>
              <w:bottom w:w="0" w:type="dxa"/>
              <w:right w:w="15" w:type="dxa"/>
            </w:tcMar>
            <w:vAlign w:val="center"/>
          </w:tcPr>
          <w:p w:rsidR="004145E7" w:rsidRDefault="002D6E0C">
            <w:pPr>
              <w:pStyle w:val="NoSpacing"/>
              <w:jc w:val="center"/>
              <w:rPr>
                <w:rFonts w:ascii="Times New Roman" w:hAnsi="Times New Roman"/>
                <w:sz w:val="24"/>
                <w:szCs w:val="24"/>
              </w:rPr>
            </w:pPr>
            <w:r>
              <w:rPr>
                <w:rFonts w:ascii="Times New Roman" w:hAnsi="Times New Roman"/>
                <w:sz w:val="24"/>
                <w:szCs w:val="24"/>
              </w:rPr>
              <w:t>0.19</w:t>
            </w:r>
          </w:p>
        </w:tc>
        <w:tc>
          <w:tcPr>
            <w:tcW w:w="715" w:type="dxa"/>
            <w:shd w:val="clear" w:color="auto" w:fill="auto"/>
            <w:tcMar>
              <w:top w:w="15" w:type="dxa"/>
              <w:left w:w="15" w:type="dxa"/>
              <w:bottom w:w="0" w:type="dxa"/>
              <w:right w:w="15" w:type="dxa"/>
            </w:tcMar>
            <w:vAlign w:val="center"/>
          </w:tcPr>
          <w:p w:rsidR="004145E7" w:rsidRDefault="002D6E0C">
            <w:pPr>
              <w:jc w:val="center"/>
              <w:rPr>
                <w:rFonts w:ascii="Times New Roman" w:hAnsi="Times New Roman" w:cs="Times New Roman"/>
                <w:color w:val="000000"/>
                <w:sz w:val="24"/>
                <w:szCs w:val="24"/>
              </w:rPr>
            </w:pPr>
            <w:r>
              <w:rPr>
                <w:rFonts w:ascii="Times New Roman" w:hAnsi="Times New Roman" w:cs="Times New Roman"/>
                <w:color w:val="000000"/>
                <w:sz w:val="24"/>
                <w:szCs w:val="24"/>
              </w:rPr>
              <w:t>0.66</w:t>
            </w:r>
          </w:p>
        </w:tc>
      </w:tr>
      <w:tr w:rsidR="004145E7" w:rsidTr="00066942">
        <w:trPr>
          <w:trHeight w:val="120"/>
        </w:trPr>
        <w:tc>
          <w:tcPr>
            <w:tcW w:w="1606" w:type="dxa"/>
            <w:tcBorders>
              <w:bottom w:val="nil"/>
            </w:tcBorders>
            <w:shd w:val="clear" w:color="auto" w:fill="auto"/>
            <w:tcMar>
              <w:top w:w="15" w:type="dxa"/>
              <w:left w:w="15" w:type="dxa"/>
              <w:bottom w:w="0" w:type="dxa"/>
              <w:right w:w="15" w:type="dxa"/>
            </w:tcMar>
            <w:vAlign w:val="center"/>
          </w:tcPr>
          <w:p w:rsidR="004145E7" w:rsidRDefault="002D6E0C" w:rsidP="003B1DFA">
            <w:pPr>
              <w:pStyle w:val="NoSpacing"/>
              <w:rPr>
                <w:rFonts w:ascii="Times New Roman" w:hAnsi="Times New Roman"/>
                <w:sz w:val="24"/>
                <w:szCs w:val="24"/>
              </w:rPr>
            </w:pPr>
            <w:r>
              <w:rPr>
                <w:rFonts w:ascii="Times New Roman" w:hAnsi="Times New Roman"/>
                <w:sz w:val="24"/>
                <w:szCs w:val="24"/>
              </w:rPr>
              <w:t>S.Em. ±</w:t>
            </w:r>
          </w:p>
        </w:tc>
        <w:tc>
          <w:tcPr>
            <w:tcW w:w="1559" w:type="dxa"/>
            <w:tcBorders>
              <w:bottom w:val="nil"/>
            </w:tcBorders>
            <w:tcMar>
              <w:top w:w="15" w:type="dxa"/>
              <w:left w:w="15" w:type="dxa"/>
              <w:bottom w:w="0" w:type="dxa"/>
              <w:right w:w="15" w:type="dxa"/>
            </w:tcMar>
            <w:vAlign w:val="center"/>
          </w:tcPr>
          <w:p w:rsidR="004145E7" w:rsidRDefault="002D6E0C">
            <w:pPr>
              <w:pStyle w:val="NoSpacing"/>
              <w:jc w:val="center"/>
              <w:rPr>
                <w:rFonts w:ascii="Times New Roman" w:hAnsi="Times New Roman"/>
                <w:sz w:val="24"/>
                <w:szCs w:val="24"/>
              </w:rPr>
            </w:pPr>
            <w:r>
              <w:rPr>
                <w:rFonts w:ascii="Times New Roman" w:hAnsi="Times New Roman"/>
                <w:sz w:val="24"/>
                <w:szCs w:val="24"/>
              </w:rPr>
              <w:t>0.32</w:t>
            </w:r>
          </w:p>
        </w:tc>
        <w:tc>
          <w:tcPr>
            <w:tcW w:w="1924" w:type="dxa"/>
            <w:tcBorders>
              <w:bottom w:val="nil"/>
            </w:tcBorders>
            <w:tcMar>
              <w:top w:w="15" w:type="dxa"/>
              <w:left w:w="15" w:type="dxa"/>
              <w:bottom w:w="0" w:type="dxa"/>
              <w:right w:w="15" w:type="dxa"/>
            </w:tcMar>
            <w:vAlign w:val="center"/>
          </w:tcPr>
          <w:p w:rsidR="004145E7" w:rsidRDefault="002D6E0C">
            <w:pPr>
              <w:pStyle w:val="NoSpacing"/>
              <w:jc w:val="center"/>
              <w:rPr>
                <w:rFonts w:ascii="Times New Roman" w:hAnsi="Times New Roman"/>
                <w:sz w:val="24"/>
                <w:szCs w:val="24"/>
              </w:rPr>
            </w:pPr>
            <w:r>
              <w:rPr>
                <w:rFonts w:ascii="Times New Roman" w:hAnsi="Times New Roman"/>
                <w:sz w:val="24"/>
                <w:szCs w:val="24"/>
              </w:rPr>
              <w:t>0.24</w:t>
            </w:r>
          </w:p>
        </w:tc>
        <w:tc>
          <w:tcPr>
            <w:tcW w:w="667" w:type="dxa"/>
            <w:tcBorders>
              <w:bottom w:val="nil"/>
            </w:tcBorders>
            <w:shd w:val="clear" w:color="auto" w:fill="auto"/>
            <w:tcMar>
              <w:top w:w="12" w:type="dxa"/>
              <w:left w:w="12" w:type="dxa"/>
              <w:bottom w:w="0" w:type="dxa"/>
              <w:right w:w="12" w:type="dxa"/>
            </w:tcMar>
            <w:vAlign w:val="center"/>
          </w:tcPr>
          <w:p w:rsidR="004145E7" w:rsidRDefault="002D6E0C">
            <w:pPr>
              <w:pStyle w:val="NoSpacing"/>
              <w:jc w:val="center"/>
              <w:rPr>
                <w:rFonts w:ascii="Times New Roman" w:hAnsi="Times New Roman"/>
                <w:sz w:val="24"/>
                <w:szCs w:val="24"/>
              </w:rPr>
            </w:pPr>
            <w:r>
              <w:rPr>
                <w:rFonts w:ascii="Times New Roman" w:hAnsi="Times New Roman"/>
                <w:sz w:val="24"/>
                <w:szCs w:val="24"/>
              </w:rPr>
              <w:t>0.03</w:t>
            </w:r>
          </w:p>
        </w:tc>
        <w:tc>
          <w:tcPr>
            <w:tcW w:w="887" w:type="dxa"/>
            <w:gridSpan w:val="2"/>
            <w:tcBorders>
              <w:bottom w:val="nil"/>
            </w:tcBorders>
            <w:shd w:val="clear" w:color="auto" w:fill="auto"/>
            <w:tcMar>
              <w:top w:w="15" w:type="dxa"/>
              <w:left w:w="15" w:type="dxa"/>
              <w:bottom w:w="0" w:type="dxa"/>
              <w:right w:w="15" w:type="dxa"/>
            </w:tcMar>
            <w:vAlign w:val="center"/>
          </w:tcPr>
          <w:p w:rsidR="004145E7" w:rsidRDefault="002D6E0C">
            <w:pPr>
              <w:pStyle w:val="NoSpacing"/>
              <w:jc w:val="center"/>
              <w:rPr>
                <w:rFonts w:ascii="Times New Roman" w:hAnsi="Times New Roman"/>
                <w:sz w:val="24"/>
                <w:szCs w:val="24"/>
              </w:rPr>
            </w:pPr>
            <w:r>
              <w:rPr>
                <w:rFonts w:ascii="Times New Roman" w:hAnsi="Times New Roman"/>
                <w:sz w:val="24"/>
                <w:szCs w:val="24"/>
              </w:rPr>
              <w:t>0.01</w:t>
            </w:r>
          </w:p>
        </w:tc>
        <w:tc>
          <w:tcPr>
            <w:tcW w:w="788" w:type="dxa"/>
            <w:gridSpan w:val="2"/>
            <w:tcBorders>
              <w:bottom w:val="nil"/>
            </w:tcBorders>
            <w:shd w:val="clear" w:color="auto" w:fill="auto"/>
            <w:tcMar>
              <w:top w:w="15" w:type="dxa"/>
              <w:left w:w="15" w:type="dxa"/>
              <w:bottom w:w="0" w:type="dxa"/>
              <w:right w:w="15" w:type="dxa"/>
            </w:tcMar>
            <w:vAlign w:val="center"/>
          </w:tcPr>
          <w:p w:rsidR="004145E7" w:rsidRDefault="002D6E0C">
            <w:pPr>
              <w:pStyle w:val="NoSpacing"/>
              <w:jc w:val="center"/>
              <w:rPr>
                <w:rFonts w:ascii="Times New Roman" w:hAnsi="Times New Roman"/>
                <w:sz w:val="24"/>
                <w:szCs w:val="24"/>
              </w:rPr>
            </w:pPr>
            <w:r>
              <w:rPr>
                <w:rFonts w:ascii="Times New Roman" w:hAnsi="Times New Roman"/>
                <w:sz w:val="24"/>
                <w:szCs w:val="24"/>
              </w:rPr>
              <w:t>0.01</w:t>
            </w:r>
          </w:p>
        </w:tc>
        <w:tc>
          <w:tcPr>
            <w:tcW w:w="718" w:type="dxa"/>
            <w:tcBorders>
              <w:bottom w:val="nil"/>
            </w:tcBorders>
            <w:shd w:val="clear" w:color="auto" w:fill="auto"/>
            <w:tcMar>
              <w:top w:w="15" w:type="dxa"/>
              <w:left w:w="15" w:type="dxa"/>
              <w:bottom w:w="0" w:type="dxa"/>
              <w:right w:w="15" w:type="dxa"/>
            </w:tcMar>
            <w:vAlign w:val="center"/>
          </w:tcPr>
          <w:p w:rsidR="004145E7" w:rsidRDefault="002D6E0C">
            <w:pPr>
              <w:pStyle w:val="NoSpacing"/>
              <w:jc w:val="center"/>
              <w:rPr>
                <w:rFonts w:ascii="Times New Roman" w:hAnsi="Times New Roman"/>
                <w:sz w:val="24"/>
                <w:szCs w:val="24"/>
              </w:rPr>
            </w:pPr>
            <w:r>
              <w:rPr>
                <w:rFonts w:ascii="Times New Roman" w:hAnsi="Times New Roman"/>
                <w:sz w:val="24"/>
                <w:szCs w:val="24"/>
              </w:rPr>
              <w:t>0.02</w:t>
            </w:r>
          </w:p>
        </w:tc>
        <w:tc>
          <w:tcPr>
            <w:tcW w:w="870" w:type="dxa"/>
            <w:tcBorders>
              <w:bottom w:val="nil"/>
            </w:tcBorders>
            <w:shd w:val="clear" w:color="auto" w:fill="auto"/>
            <w:tcMar>
              <w:top w:w="15" w:type="dxa"/>
              <w:left w:w="15" w:type="dxa"/>
              <w:bottom w:w="0" w:type="dxa"/>
              <w:right w:w="15" w:type="dxa"/>
            </w:tcMar>
            <w:vAlign w:val="center"/>
          </w:tcPr>
          <w:p w:rsidR="004145E7" w:rsidRDefault="002D6E0C">
            <w:pPr>
              <w:pStyle w:val="NoSpacing"/>
              <w:jc w:val="center"/>
              <w:rPr>
                <w:rFonts w:ascii="Times New Roman" w:hAnsi="Times New Roman"/>
                <w:sz w:val="24"/>
                <w:szCs w:val="24"/>
              </w:rPr>
            </w:pPr>
            <w:r>
              <w:rPr>
                <w:rFonts w:ascii="Times New Roman" w:hAnsi="Times New Roman"/>
                <w:sz w:val="24"/>
                <w:szCs w:val="24"/>
              </w:rPr>
              <w:t>0.003</w:t>
            </w:r>
          </w:p>
        </w:tc>
        <w:tc>
          <w:tcPr>
            <w:tcW w:w="715" w:type="dxa"/>
            <w:tcBorders>
              <w:bottom w:val="nil"/>
            </w:tcBorders>
            <w:shd w:val="clear" w:color="auto" w:fill="auto"/>
            <w:tcMar>
              <w:top w:w="15" w:type="dxa"/>
              <w:left w:w="15" w:type="dxa"/>
              <w:bottom w:w="0" w:type="dxa"/>
              <w:right w:w="15" w:type="dxa"/>
            </w:tcMar>
            <w:vAlign w:val="center"/>
          </w:tcPr>
          <w:p w:rsidR="004145E7" w:rsidRDefault="002D6E0C">
            <w:pPr>
              <w:jc w:val="center"/>
              <w:rPr>
                <w:rFonts w:ascii="Times New Roman" w:hAnsi="Times New Roman" w:cs="Times New Roman"/>
                <w:color w:val="000000"/>
                <w:sz w:val="24"/>
                <w:szCs w:val="24"/>
              </w:rPr>
            </w:pPr>
            <w:r>
              <w:rPr>
                <w:rFonts w:ascii="Times New Roman" w:hAnsi="Times New Roman" w:cs="Times New Roman"/>
                <w:color w:val="000000"/>
                <w:sz w:val="24"/>
                <w:szCs w:val="24"/>
              </w:rPr>
              <w:t>0.01</w:t>
            </w:r>
          </w:p>
        </w:tc>
      </w:tr>
      <w:tr w:rsidR="004145E7" w:rsidTr="00066942">
        <w:trPr>
          <w:trHeight w:val="120"/>
        </w:trPr>
        <w:tc>
          <w:tcPr>
            <w:tcW w:w="1606" w:type="dxa"/>
            <w:tcBorders>
              <w:top w:val="nil"/>
              <w:bottom w:val="single" w:sz="4" w:space="0" w:color="auto"/>
            </w:tcBorders>
            <w:shd w:val="clear" w:color="auto" w:fill="auto"/>
            <w:tcMar>
              <w:top w:w="15" w:type="dxa"/>
              <w:left w:w="15" w:type="dxa"/>
              <w:bottom w:w="0" w:type="dxa"/>
              <w:right w:w="15" w:type="dxa"/>
            </w:tcMar>
            <w:vAlign w:val="center"/>
          </w:tcPr>
          <w:p w:rsidR="004145E7" w:rsidRDefault="002D6E0C" w:rsidP="003B1DFA">
            <w:pPr>
              <w:pStyle w:val="NoSpacing"/>
              <w:rPr>
                <w:rFonts w:ascii="Times New Roman" w:hAnsi="Times New Roman"/>
                <w:sz w:val="24"/>
                <w:szCs w:val="24"/>
              </w:rPr>
            </w:pPr>
            <w:r>
              <w:rPr>
                <w:rFonts w:ascii="Times New Roman" w:hAnsi="Times New Roman"/>
                <w:sz w:val="24"/>
                <w:szCs w:val="24"/>
              </w:rPr>
              <w:t>CD at 5%</w:t>
            </w:r>
          </w:p>
        </w:tc>
        <w:tc>
          <w:tcPr>
            <w:tcW w:w="1559" w:type="dxa"/>
            <w:tcBorders>
              <w:top w:val="nil"/>
              <w:bottom w:val="single" w:sz="4" w:space="0" w:color="auto"/>
            </w:tcBorders>
            <w:tcMar>
              <w:top w:w="15" w:type="dxa"/>
              <w:left w:w="15" w:type="dxa"/>
              <w:bottom w:w="0" w:type="dxa"/>
              <w:right w:w="15" w:type="dxa"/>
            </w:tcMar>
            <w:vAlign w:val="center"/>
          </w:tcPr>
          <w:p w:rsidR="004145E7" w:rsidRDefault="002D6E0C">
            <w:pPr>
              <w:pStyle w:val="NoSpacing"/>
              <w:jc w:val="center"/>
              <w:rPr>
                <w:rFonts w:ascii="Times New Roman" w:hAnsi="Times New Roman"/>
                <w:sz w:val="24"/>
                <w:szCs w:val="24"/>
              </w:rPr>
            </w:pPr>
            <w:r>
              <w:rPr>
                <w:rFonts w:ascii="Times New Roman" w:hAnsi="Times New Roman"/>
                <w:sz w:val="24"/>
                <w:szCs w:val="24"/>
              </w:rPr>
              <w:t>0.94</w:t>
            </w:r>
          </w:p>
        </w:tc>
        <w:tc>
          <w:tcPr>
            <w:tcW w:w="1924" w:type="dxa"/>
            <w:tcBorders>
              <w:top w:val="nil"/>
              <w:bottom w:val="single" w:sz="4" w:space="0" w:color="auto"/>
            </w:tcBorders>
            <w:tcMar>
              <w:top w:w="15" w:type="dxa"/>
              <w:left w:w="15" w:type="dxa"/>
              <w:bottom w:w="0" w:type="dxa"/>
              <w:right w:w="15" w:type="dxa"/>
            </w:tcMar>
            <w:vAlign w:val="center"/>
          </w:tcPr>
          <w:p w:rsidR="004145E7" w:rsidRDefault="002D6E0C">
            <w:pPr>
              <w:pStyle w:val="NoSpacing"/>
              <w:jc w:val="center"/>
              <w:rPr>
                <w:rFonts w:ascii="Times New Roman" w:hAnsi="Times New Roman"/>
                <w:sz w:val="24"/>
                <w:szCs w:val="24"/>
              </w:rPr>
            </w:pPr>
            <w:r>
              <w:rPr>
                <w:rFonts w:ascii="Times New Roman" w:hAnsi="Times New Roman"/>
                <w:sz w:val="24"/>
                <w:szCs w:val="24"/>
              </w:rPr>
              <w:t>0.70</w:t>
            </w:r>
          </w:p>
        </w:tc>
        <w:tc>
          <w:tcPr>
            <w:tcW w:w="667" w:type="dxa"/>
            <w:tcBorders>
              <w:top w:val="nil"/>
              <w:bottom w:val="single" w:sz="4" w:space="0" w:color="auto"/>
            </w:tcBorders>
            <w:shd w:val="clear" w:color="auto" w:fill="auto"/>
            <w:tcMar>
              <w:top w:w="12" w:type="dxa"/>
              <w:left w:w="12" w:type="dxa"/>
              <w:bottom w:w="0" w:type="dxa"/>
              <w:right w:w="12" w:type="dxa"/>
            </w:tcMar>
            <w:vAlign w:val="center"/>
          </w:tcPr>
          <w:p w:rsidR="004145E7" w:rsidRDefault="002D6E0C">
            <w:pPr>
              <w:pStyle w:val="NoSpacing"/>
              <w:jc w:val="center"/>
              <w:rPr>
                <w:rFonts w:ascii="Times New Roman" w:hAnsi="Times New Roman"/>
                <w:sz w:val="24"/>
                <w:szCs w:val="24"/>
              </w:rPr>
            </w:pPr>
            <w:r>
              <w:rPr>
                <w:rFonts w:ascii="Times New Roman" w:hAnsi="Times New Roman"/>
                <w:sz w:val="24"/>
                <w:szCs w:val="24"/>
              </w:rPr>
              <w:t>NS</w:t>
            </w:r>
          </w:p>
        </w:tc>
        <w:tc>
          <w:tcPr>
            <w:tcW w:w="887" w:type="dxa"/>
            <w:gridSpan w:val="2"/>
            <w:tcBorders>
              <w:top w:val="nil"/>
              <w:bottom w:val="single" w:sz="4" w:space="0" w:color="auto"/>
            </w:tcBorders>
            <w:shd w:val="clear" w:color="auto" w:fill="auto"/>
            <w:tcMar>
              <w:top w:w="15" w:type="dxa"/>
              <w:left w:w="15" w:type="dxa"/>
              <w:bottom w:w="0" w:type="dxa"/>
              <w:right w:w="15" w:type="dxa"/>
            </w:tcMar>
            <w:vAlign w:val="center"/>
          </w:tcPr>
          <w:p w:rsidR="004145E7" w:rsidRDefault="002D6E0C">
            <w:pPr>
              <w:pStyle w:val="NoSpacing"/>
              <w:jc w:val="center"/>
              <w:rPr>
                <w:rFonts w:ascii="Times New Roman" w:hAnsi="Times New Roman"/>
                <w:sz w:val="24"/>
                <w:szCs w:val="24"/>
              </w:rPr>
            </w:pPr>
            <w:r>
              <w:rPr>
                <w:rFonts w:ascii="Times New Roman" w:hAnsi="Times New Roman"/>
                <w:sz w:val="24"/>
                <w:szCs w:val="24"/>
              </w:rPr>
              <w:t>0.02</w:t>
            </w:r>
          </w:p>
        </w:tc>
        <w:tc>
          <w:tcPr>
            <w:tcW w:w="788" w:type="dxa"/>
            <w:gridSpan w:val="2"/>
            <w:tcBorders>
              <w:top w:val="nil"/>
              <w:bottom w:val="single" w:sz="4" w:space="0" w:color="auto"/>
            </w:tcBorders>
            <w:shd w:val="clear" w:color="auto" w:fill="auto"/>
            <w:tcMar>
              <w:top w:w="15" w:type="dxa"/>
              <w:left w:w="15" w:type="dxa"/>
              <w:bottom w:w="0" w:type="dxa"/>
              <w:right w:w="15" w:type="dxa"/>
            </w:tcMar>
            <w:vAlign w:val="center"/>
          </w:tcPr>
          <w:p w:rsidR="004145E7" w:rsidRDefault="002D6E0C">
            <w:pPr>
              <w:pStyle w:val="NoSpacing"/>
              <w:jc w:val="center"/>
              <w:rPr>
                <w:rFonts w:ascii="Times New Roman" w:hAnsi="Times New Roman"/>
                <w:sz w:val="24"/>
                <w:szCs w:val="24"/>
              </w:rPr>
            </w:pPr>
            <w:r>
              <w:rPr>
                <w:rFonts w:ascii="Times New Roman" w:hAnsi="Times New Roman"/>
                <w:sz w:val="24"/>
                <w:szCs w:val="24"/>
              </w:rPr>
              <w:t>0.04</w:t>
            </w:r>
          </w:p>
        </w:tc>
        <w:tc>
          <w:tcPr>
            <w:tcW w:w="718" w:type="dxa"/>
            <w:tcBorders>
              <w:top w:val="nil"/>
              <w:bottom w:val="single" w:sz="4" w:space="0" w:color="auto"/>
            </w:tcBorders>
            <w:shd w:val="clear" w:color="auto" w:fill="auto"/>
            <w:tcMar>
              <w:top w:w="15" w:type="dxa"/>
              <w:left w:w="15" w:type="dxa"/>
              <w:bottom w:w="0" w:type="dxa"/>
              <w:right w:w="15" w:type="dxa"/>
            </w:tcMar>
            <w:vAlign w:val="center"/>
          </w:tcPr>
          <w:p w:rsidR="004145E7" w:rsidRDefault="002D6E0C">
            <w:pPr>
              <w:pStyle w:val="NoSpacing"/>
              <w:jc w:val="center"/>
              <w:rPr>
                <w:rFonts w:ascii="Times New Roman" w:hAnsi="Times New Roman"/>
                <w:sz w:val="24"/>
                <w:szCs w:val="24"/>
              </w:rPr>
            </w:pPr>
            <w:r>
              <w:rPr>
                <w:rFonts w:ascii="Times New Roman" w:hAnsi="Times New Roman"/>
                <w:sz w:val="24"/>
                <w:szCs w:val="24"/>
              </w:rPr>
              <w:t>0.06</w:t>
            </w:r>
          </w:p>
        </w:tc>
        <w:tc>
          <w:tcPr>
            <w:tcW w:w="870" w:type="dxa"/>
            <w:tcBorders>
              <w:top w:val="nil"/>
              <w:bottom w:val="single" w:sz="4" w:space="0" w:color="auto"/>
            </w:tcBorders>
            <w:shd w:val="clear" w:color="auto" w:fill="auto"/>
            <w:tcMar>
              <w:top w:w="15" w:type="dxa"/>
              <w:left w:w="15" w:type="dxa"/>
              <w:bottom w:w="0" w:type="dxa"/>
              <w:right w:w="15" w:type="dxa"/>
            </w:tcMar>
            <w:vAlign w:val="center"/>
          </w:tcPr>
          <w:p w:rsidR="004145E7" w:rsidRDefault="002D6E0C">
            <w:pPr>
              <w:pStyle w:val="NoSpacing"/>
              <w:jc w:val="center"/>
              <w:rPr>
                <w:rFonts w:ascii="Times New Roman" w:hAnsi="Times New Roman"/>
                <w:sz w:val="24"/>
                <w:szCs w:val="24"/>
              </w:rPr>
            </w:pPr>
            <w:r>
              <w:rPr>
                <w:rFonts w:ascii="Times New Roman" w:hAnsi="Times New Roman"/>
                <w:sz w:val="24"/>
                <w:szCs w:val="24"/>
              </w:rPr>
              <w:t>NS</w:t>
            </w:r>
          </w:p>
        </w:tc>
        <w:tc>
          <w:tcPr>
            <w:tcW w:w="715" w:type="dxa"/>
            <w:tcBorders>
              <w:top w:val="nil"/>
              <w:bottom w:val="single" w:sz="4" w:space="0" w:color="auto"/>
            </w:tcBorders>
            <w:shd w:val="clear" w:color="auto" w:fill="auto"/>
            <w:tcMar>
              <w:top w:w="15" w:type="dxa"/>
              <w:left w:w="15" w:type="dxa"/>
              <w:bottom w:w="0" w:type="dxa"/>
              <w:right w:w="15" w:type="dxa"/>
            </w:tcMar>
            <w:vAlign w:val="center"/>
          </w:tcPr>
          <w:p w:rsidR="004145E7" w:rsidRDefault="002D6E0C">
            <w:pPr>
              <w:jc w:val="center"/>
              <w:rPr>
                <w:rFonts w:ascii="Times New Roman" w:hAnsi="Times New Roman" w:cs="Times New Roman"/>
                <w:color w:val="000000"/>
                <w:sz w:val="24"/>
                <w:szCs w:val="24"/>
              </w:rPr>
            </w:pPr>
            <w:r>
              <w:rPr>
                <w:rFonts w:ascii="Times New Roman" w:hAnsi="Times New Roman" w:cs="Times New Roman"/>
                <w:color w:val="000000"/>
                <w:sz w:val="24"/>
                <w:szCs w:val="24"/>
              </w:rPr>
              <w:t>0.02</w:t>
            </w:r>
          </w:p>
        </w:tc>
      </w:tr>
      <w:tr w:rsidR="004145E7" w:rsidTr="00066942">
        <w:trPr>
          <w:trHeight w:val="120"/>
        </w:trPr>
        <w:tc>
          <w:tcPr>
            <w:tcW w:w="9738" w:type="dxa"/>
            <w:gridSpan w:val="11"/>
            <w:tcBorders>
              <w:top w:val="single" w:sz="4" w:space="0" w:color="auto"/>
              <w:bottom w:val="single" w:sz="4" w:space="0" w:color="auto"/>
            </w:tcBorders>
            <w:vAlign w:val="center"/>
          </w:tcPr>
          <w:p w:rsidR="004145E7" w:rsidRDefault="002D6E0C">
            <w:pPr>
              <w:pStyle w:val="NoSpacing"/>
              <w:jc w:val="center"/>
              <w:rPr>
                <w:rFonts w:ascii="Times New Roman" w:hAnsi="Times New Roman"/>
                <w:sz w:val="24"/>
                <w:szCs w:val="24"/>
              </w:rPr>
            </w:pPr>
            <w:r>
              <w:rPr>
                <w:rFonts w:ascii="Times New Roman" w:hAnsi="Times New Roman"/>
                <w:b/>
                <w:bCs/>
                <w:sz w:val="24"/>
                <w:szCs w:val="24"/>
              </w:rPr>
              <w:t>Levels of KMB</w:t>
            </w:r>
          </w:p>
        </w:tc>
      </w:tr>
      <w:tr w:rsidR="004145E7" w:rsidTr="00066942">
        <w:trPr>
          <w:trHeight w:val="120"/>
        </w:trPr>
        <w:tc>
          <w:tcPr>
            <w:tcW w:w="1606" w:type="dxa"/>
            <w:tcBorders>
              <w:top w:val="single" w:sz="4" w:space="0" w:color="auto"/>
              <w:bottom w:val="nil"/>
            </w:tcBorders>
            <w:shd w:val="clear" w:color="auto" w:fill="auto"/>
            <w:tcMar>
              <w:top w:w="15" w:type="dxa"/>
              <w:left w:w="15" w:type="dxa"/>
              <w:bottom w:w="0" w:type="dxa"/>
              <w:right w:w="15" w:type="dxa"/>
            </w:tcMar>
            <w:vAlign w:val="center"/>
          </w:tcPr>
          <w:p w:rsidR="004145E7" w:rsidRDefault="002D6E0C" w:rsidP="003B1DFA">
            <w:pPr>
              <w:pStyle w:val="NoSpacing"/>
              <w:rPr>
                <w:rFonts w:ascii="Times New Roman" w:hAnsi="Times New Roman"/>
                <w:sz w:val="24"/>
                <w:szCs w:val="24"/>
              </w:rPr>
            </w:pPr>
            <w:r>
              <w:rPr>
                <w:rFonts w:ascii="Times New Roman" w:hAnsi="Times New Roman"/>
                <w:sz w:val="24"/>
                <w:szCs w:val="24"/>
              </w:rPr>
              <w:t>B</w:t>
            </w:r>
            <w:r>
              <w:rPr>
                <w:rFonts w:ascii="Times New Roman" w:hAnsi="Times New Roman"/>
                <w:sz w:val="24"/>
                <w:szCs w:val="24"/>
                <w:vertAlign w:val="subscript"/>
              </w:rPr>
              <w:t xml:space="preserve">1 </w:t>
            </w:r>
            <w:r>
              <w:rPr>
                <w:rFonts w:ascii="Times New Roman" w:hAnsi="Times New Roman"/>
                <w:sz w:val="24"/>
                <w:szCs w:val="24"/>
              </w:rPr>
              <w:t>(With)</w:t>
            </w:r>
          </w:p>
        </w:tc>
        <w:tc>
          <w:tcPr>
            <w:tcW w:w="1559" w:type="dxa"/>
            <w:tcBorders>
              <w:top w:val="single" w:sz="4" w:space="0" w:color="auto"/>
              <w:bottom w:val="nil"/>
            </w:tcBorders>
            <w:tcMar>
              <w:top w:w="15" w:type="dxa"/>
              <w:left w:w="15" w:type="dxa"/>
              <w:bottom w:w="0" w:type="dxa"/>
              <w:right w:w="15" w:type="dxa"/>
            </w:tcMar>
            <w:vAlign w:val="center"/>
          </w:tcPr>
          <w:p w:rsidR="004145E7" w:rsidRDefault="002D6E0C">
            <w:pPr>
              <w:pStyle w:val="NoSpacing"/>
              <w:jc w:val="center"/>
              <w:rPr>
                <w:rFonts w:ascii="Times New Roman" w:hAnsi="Times New Roman"/>
                <w:sz w:val="24"/>
                <w:szCs w:val="24"/>
              </w:rPr>
            </w:pPr>
            <w:r>
              <w:rPr>
                <w:rFonts w:ascii="Times New Roman" w:hAnsi="Times New Roman"/>
                <w:sz w:val="24"/>
                <w:szCs w:val="24"/>
              </w:rPr>
              <w:t>50.06</w:t>
            </w:r>
          </w:p>
        </w:tc>
        <w:tc>
          <w:tcPr>
            <w:tcW w:w="1924" w:type="dxa"/>
            <w:tcBorders>
              <w:top w:val="single" w:sz="4" w:space="0" w:color="auto"/>
              <w:bottom w:val="nil"/>
            </w:tcBorders>
            <w:tcMar>
              <w:top w:w="15" w:type="dxa"/>
              <w:left w:w="15" w:type="dxa"/>
              <w:bottom w:w="0" w:type="dxa"/>
              <w:right w:w="15" w:type="dxa"/>
            </w:tcMar>
            <w:vAlign w:val="center"/>
          </w:tcPr>
          <w:p w:rsidR="004145E7" w:rsidRDefault="002D6E0C">
            <w:pPr>
              <w:pStyle w:val="NoSpacing"/>
              <w:jc w:val="center"/>
              <w:rPr>
                <w:rFonts w:ascii="Times New Roman" w:hAnsi="Times New Roman"/>
                <w:sz w:val="24"/>
                <w:szCs w:val="24"/>
              </w:rPr>
            </w:pPr>
            <w:r>
              <w:rPr>
                <w:rFonts w:ascii="Times New Roman" w:hAnsi="Times New Roman"/>
                <w:sz w:val="24"/>
                <w:szCs w:val="24"/>
              </w:rPr>
              <w:t>23.93</w:t>
            </w:r>
          </w:p>
        </w:tc>
        <w:tc>
          <w:tcPr>
            <w:tcW w:w="667" w:type="dxa"/>
            <w:tcBorders>
              <w:top w:val="single" w:sz="4" w:space="0" w:color="auto"/>
              <w:bottom w:val="nil"/>
            </w:tcBorders>
            <w:shd w:val="clear" w:color="auto" w:fill="auto"/>
            <w:tcMar>
              <w:top w:w="12" w:type="dxa"/>
              <w:left w:w="12" w:type="dxa"/>
              <w:bottom w:w="0" w:type="dxa"/>
              <w:right w:w="12" w:type="dxa"/>
            </w:tcMar>
            <w:vAlign w:val="center"/>
          </w:tcPr>
          <w:p w:rsidR="004145E7" w:rsidRDefault="002D6E0C">
            <w:pPr>
              <w:pStyle w:val="NoSpacing"/>
              <w:jc w:val="center"/>
              <w:rPr>
                <w:rFonts w:ascii="Times New Roman" w:hAnsi="Times New Roman"/>
                <w:sz w:val="24"/>
                <w:szCs w:val="24"/>
              </w:rPr>
            </w:pPr>
            <w:r>
              <w:rPr>
                <w:rFonts w:ascii="Times New Roman" w:hAnsi="Times New Roman"/>
                <w:sz w:val="24"/>
                <w:szCs w:val="24"/>
              </w:rPr>
              <w:t>3.31</w:t>
            </w:r>
          </w:p>
        </w:tc>
        <w:tc>
          <w:tcPr>
            <w:tcW w:w="887" w:type="dxa"/>
            <w:gridSpan w:val="2"/>
            <w:tcBorders>
              <w:top w:val="single" w:sz="4" w:space="0" w:color="auto"/>
              <w:bottom w:val="nil"/>
            </w:tcBorders>
            <w:shd w:val="clear" w:color="auto" w:fill="auto"/>
            <w:tcMar>
              <w:top w:w="15" w:type="dxa"/>
              <w:left w:w="15" w:type="dxa"/>
              <w:bottom w:w="0" w:type="dxa"/>
              <w:right w:w="15" w:type="dxa"/>
            </w:tcMar>
            <w:vAlign w:val="center"/>
          </w:tcPr>
          <w:p w:rsidR="004145E7" w:rsidRDefault="002D6E0C">
            <w:pPr>
              <w:pStyle w:val="NoSpacing"/>
              <w:jc w:val="center"/>
              <w:rPr>
                <w:rFonts w:ascii="Times New Roman" w:hAnsi="Times New Roman"/>
                <w:sz w:val="24"/>
                <w:szCs w:val="24"/>
              </w:rPr>
            </w:pPr>
            <w:r>
              <w:rPr>
                <w:rFonts w:ascii="Times New Roman" w:hAnsi="Times New Roman"/>
                <w:sz w:val="24"/>
                <w:szCs w:val="24"/>
              </w:rPr>
              <w:t>0.44</w:t>
            </w:r>
          </w:p>
        </w:tc>
        <w:tc>
          <w:tcPr>
            <w:tcW w:w="788" w:type="dxa"/>
            <w:gridSpan w:val="2"/>
            <w:tcBorders>
              <w:top w:val="single" w:sz="4" w:space="0" w:color="auto"/>
              <w:bottom w:val="nil"/>
            </w:tcBorders>
            <w:shd w:val="clear" w:color="auto" w:fill="auto"/>
            <w:tcMar>
              <w:top w:w="15" w:type="dxa"/>
              <w:left w:w="15" w:type="dxa"/>
              <w:bottom w:w="0" w:type="dxa"/>
              <w:right w:w="15" w:type="dxa"/>
            </w:tcMar>
            <w:vAlign w:val="center"/>
          </w:tcPr>
          <w:p w:rsidR="004145E7" w:rsidRDefault="002D6E0C">
            <w:pPr>
              <w:pStyle w:val="NoSpacing"/>
              <w:jc w:val="center"/>
              <w:rPr>
                <w:rFonts w:ascii="Times New Roman" w:hAnsi="Times New Roman"/>
                <w:sz w:val="24"/>
                <w:szCs w:val="24"/>
              </w:rPr>
            </w:pPr>
            <w:r>
              <w:rPr>
                <w:rFonts w:ascii="Times New Roman" w:hAnsi="Times New Roman"/>
                <w:sz w:val="24"/>
                <w:szCs w:val="24"/>
              </w:rPr>
              <w:t>0.57</w:t>
            </w:r>
          </w:p>
        </w:tc>
        <w:tc>
          <w:tcPr>
            <w:tcW w:w="718" w:type="dxa"/>
            <w:tcBorders>
              <w:top w:val="single" w:sz="4" w:space="0" w:color="auto"/>
              <w:bottom w:val="nil"/>
            </w:tcBorders>
            <w:shd w:val="clear" w:color="auto" w:fill="auto"/>
            <w:tcMar>
              <w:top w:w="15" w:type="dxa"/>
              <w:left w:w="15" w:type="dxa"/>
              <w:bottom w:w="0" w:type="dxa"/>
              <w:right w:w="15" w:type="dxa"/>
            </w:tcMar>
            <w:vAlign w:val="center"/>
          </w:tcPr>
          <w:p w:rsidR="004145E7" w:rsidRDefault="002D6E0C">
            <w:pPr>
              <w:pStyle w:val="NoSpacing"/>
              <w:jc w:val="center"/>
              <w:rPr>
                <w:rFonts w:ascii="Times New Roman" w:hAnsi="Times New Roman"/>
                <w:sz w:val="24"/>
                <w:szCs w:val="24"/>
              </w:rPr>
            </w:pPr>
            <w:r>
              <w:rPr>
                <w:rFonts w:ascii="Times New Roman" w:hAnsi="Times New Roman"/>
                <w:sz w:val="24"/>
                <w:szCs w:val="24"/>
              </w:rPr>
              <w:t>1.46</w:t>
            </w:r>
          </w:p>
        </w:tc>
        <w:tc>
          <w:tcPr>
            <w:tcW w:w="870" w:type="dxa"/>
            <w:tcBorders>
              <w:top w:val="single" w:sz="4" w:space="0" w:color="auto"/>
              <w:bottom w:val="nil"/>
            </w:tcBorders>
            <w:shd w:val="clear" w:color="auto" w:fill="auto"/>
            <w:tcMar>
              <w:top w:w="15" w:type="dxa"/>
              <w:left w:w="15" w:type="dxa"/>
              <w:bottom w:w="0" w:type="dxa"/>
              <w:right w:w="15" w:type="dxa"/>
            </w:tcMar>
            <w:vAlign w:val="center"/>
          </w:tcPr>
          <w:p w:rsidR="004145E7" w:rsidRDefault="002D6E0C">
            <w:pPr>
              <w:pStyle w:val="NoSpacing"/>
              <w:jc w:val="center"/>
              <w:rPr>
                <w:rFonts w:ascii="Times New Roman" w:hAnsi="Times New Roman"/>
                <w:sz w:val="24"/>
                <w:szCs w:val="24"/>
              </w:rPr>
            </w:pPr>
            <w:r>
              <w:rPr>
                <w:rFonts w:ascii="Times New Roman" w:hAnsi="Times New Roman"/>
                <w:sz w:val="24"/>
                <w:szCs w:val="24"/>
              </w:rPr>
              <w:t>0.19</w:t>
            </w:r>
          </w:p>
        </w:tc>
        <w:tc>
          <w:tcPr>
            <w:tcW w:w="715" w:type="dxa"/>
            <w:tcBorders>
              <w:top w:val="single" w:sz="4" w:space="0" w:color="auto"/>
              <w:bottom w:val="nil"/>
            </w:tcBorders>
            <w:shd w:val="clear" w:color="auto" w:fill="auto"/>
            <w:tcMar>
              <w:top w:w="15" w:type="dxa"/>
              <w:left w:w="15" w:type="dxa"/>
              <w:bottom w:w="0" w:type="dxa"/>
              <w:right w:w="15" w:type="dxa"/>
            </w:tcMar>
            <w:vAlign w:val="center"/>
          </w:tcPr>
          <w:p w:rsidR="004145E7" w:rsidRDefault="002D6E0C">
            <w:pPr>
              <w:jc w:val="center"/>
              <w:rPr>
                <w:rFonts w:ascii="Times New Roman" w:hAnsi="Times New Roman" w:cs="Times New Roman"/>
                <w:color w:val="000000"/>
                <w:sz w:val="24"/>
                <w:szCs w:val="24"/>
              </w:rPr>
            </w:pPr>
            <w:r>
              <w:rPr>
                <w:rFonts w:ascii="Times New Roman" w:hAnsi="Times New Roman" w:cs="Times New Roman"/>
                <w:color w:val="000000"/>
                <w:sz w:val="24"/>
                <w:szCs w:val="24"/>
              </w:rPr>
              <w:t>0.64</w:t>
            </w:r>
          </w:p>
        </w:tc>
      </w:tr>
      <w:tr w:rsidR="004145E7" w:rsidTr="00066942">
        <w:trPr>
          <w:trHeight w:val="120"/>
        </w:trPr>
        <w:tc>
          <w:tcPr>
            <w:tcW w:w="1606" w:type="dxa"/>
            <w:tcBorders>
              <w:top w:val="nil"/>
            </w:tcBorders>
            <w:shd w:val="clear" w:color="auto" w:fill="auto"/>
            <w:tcMar>
              <w:top w:w="15" w:type="dxa"/>
              <w:left w:w="15" w:type="dxa"/>
              <w:bottom w:w="0" w:type="dxa"/>
              <w:right w:w="15" w:type="dxa"/>
            </w:tcMar>
            <w:vAlign w:val="center"/>
          </w:tcPr>
          <w:p w:rsidR="004145E7" w:rsidRDefault="002D6E0C" w:rsidP="003B1DFA">
            <w:pPr>
              <w:pStyle w:val="NoSpacing"/>
              <w:rPr>
                <w:rFonts w:ascii="Times New Roman" w:hAnsi="Times New Roman"/>
                <w:sz w:val="24"/>
                <w:szCs w:val="24"/>
              </w:rPr>
            </w:pPr>
            <w:r>
              <w:rPr>
                <w:rFonts w:ascii="Times New Roman" w:hAnsi="Times New Roman"/>
                <w:sz w:val="24"/>
                <w:szCs w:val="24"/>
              </w:rPr>
              <w:t>B</w:t>
            </w:r>
            <w:r>
              <w:rPr>
                <w:rFonts w:ascii="Times New Roman" w:hAnsi="Times New Roman"/>
                <w:sz w:val="24"/>
                <w:szCs w:val="24"/>
                <w:vertAlign w:val="subscript"/>
              </w:rPr>
              <w:t xml:space="preserve">2 </w:t>
            </w:r>
            <w:r>
              <w:rPr>
                <w:rFonts w:ascii="Times New Roman" w:hAnsi="Times New Roman"/>
                <w:sz w:val="24"/>
                <w:szCs w:val="24"/>
              </w:rPr>
              <w:t>(Without)</w:t>
            </w:r>
          </w:p>
        </w:tc>
        <w:tc>
          <w:tcPr>
            <w:tcW w:w="1559" w:type="dxa"/>
            <w:tcBorders>
              <w:top w:val="nil"/>
            </w:tcBorders>
            <w:tcMar>
              <w:top w:w="15" w:type="dxa"/>
              <w:left w:w="15" w:type="dxa"/>
              <w:bottom w:w="0" w:type="dxa"/>
              <w:right w:w="15" w:type="dxa"/>
            </w:tcMar>
            <w:vAlign w:val="center"/>
          </w:tcPr>
          <w:p w:rsidR="004145E7" w:rsidRDefault="002D6E0C">
            <w:pPr>
              <w:pStyle w:val="NoSpacing"/>
              <w:jc w:val="center"/>
              <w:rPr>
                <w:rFonts w:ascii="Times New Roman" w:hAnsi="Times New Roman"/>
                <w:sz w:val="24"/>
                <w:szCs w:val="24"/>
              </w:rPr>
            </w:pPr>
            <w:r>
              <w:rPr>
                <w:rFonts w:ascii="Times New Roman" w:hAnsi="Times New Roman"/>
                <w:sz w:val="24"/>
                <w:szCs w:val="24"/>
              </w:rPr>
              <w:t>49.26</w:t>
            </w:r>
          </w:p>
        </w:tc>
        <w:tc>
          <w:tcPr>
            <w:tcW w:w="1924" w:type="dxa"/>
            <w:tcBorders>
              <w:top w:val="nil"/>
            </w:tcBorders>
            <w:tcMar>
              <w:top w:w="15" w:type="dxa"/>
              <w:left w:w="15" w:type="dxa"/>
              <w:bottom w:w="0" w:type="dxa"/>
              <w:right w:w="15" w:type="dxa"/>
            </w:tcMar>
            <w:vAlign w:val="center"/>
          </w:tcPr>
          <w:p w:rsidR="004145E7" w:rsidRDefault="002D6E0C">
            <w:pPr>
              <w:pStyle w:val="NoSpacing"/>
              <w:jc w:val="center"/>
              <w:rPr>
                <w:rFonts w:ascii="Times New Roman" w:hAnsi="Times New Roman"/>
                <w:sz w:val="24"/>
                <w:szCs w:val="24"/>
              </w:rPr>
            </w:pPr>
            <w:r>
              <w:rPr>
                <w:rFonts w:ascii="Times New Roman" w:hAnsi="Times New Roman"/>
                <w:sz w:val="24"/>
                <w:szCs w:val="24"/>
              </w:rPr>
              <w:t>23.30</w:t>
            </w:r>
          </w:p>
        </w:tc>
        <w:tc>
          <w:tcPr>
            <w:tcW w:w="667" w:type="dxa"/>
            <w:tcBorders>
              <w:top w:val="nil"/>
            </w:tcBorders>
            <w:shd w:val="clear" w:color="auto" w:fill="auto"/>
            <w:tcMar>
              <w:top w:w="12" w:type="dxa"/>
              <w:left w:w="12" w:type="dxa"/>
              <w:bottom w:w="0" w:type="dxa"/>
              <w:right w:w="12" w:type="dxa"/>
            </w:tcMar>
            <w:vAlign w:val="center"/>
          </w:tcPr>
          <w:p w:rsidR="004145E7" w:rsidRDefault="002D6E0C">
            <w:pPr>
              <w:pStyle w:val="NoSpacing"/>
              <w:jc w:val="center"/>
              <w:rPr>
                <w:rFonts w:ascii="Times New Roman" w:hAnsi="Times New Roman"/>
                <w:sz w:val="24"/>
                <w:szCs w:val="24"/>
              </w:rPr>
            </w:pPr>
            <w:r>
              <w:rPr>
                <w:rFonts w:ascii="Times New Roman" w:hAnsi="Times New Roman"/>
                <w:sz w:val="24"/>
                <w:szCs w:val="24"/>
              </w:rPr>
              <w:t>3.26</w:t>
            </w:r>
          </w:p>
        </w:tc>
        <w:tc>
          <w:tcPr>
            <w:tcW w:w="887" w:type="dxa"/>
            <w:gridSpan w:val="2"/>
            <w:tcBorders>
              <w:top w:val="nil"/>
            </w:tcBorders>
            <w:shd w:val="clear" w:color="auto" w:fill="auto"/>
            <w:tcMar>
              <w:top w:w="15" w:type="dxa"/>
              <w:left w:w="15" w:type="dxa"/>
              <w:bottom w:w="0" w:type="dxa"/>
              <w:right w:w="15" w:type="dxa"/>
            </w:tcMar>
            <w:vAlign w:val="center"/>
          </w:tcPr>
          <w:p w:rsidR="004145E7" w:rsidRDefault="002D6E0C">
            <w:pPr>
              <w:pStyle w:val="NoSpacing"/>
              <w:jc w:val="center"/>
              <w:rPr>
                <w:rFonts w:ascii="Times New Roman" w:hAnsi="Times New Roman"/>
                <w:sz w:val="24"/>
                <w:szCs w:val="24"/>
              </w:rPr>
            </w:pPr>
            <w:r>
              <w:rPr>
                <w:rFonts w:ascii="Times New Roman" w:hAnsi="Times New Roman"/>
                <w:sz w:val="24"/>
                <w:szCs w:val="24"/>
              </w:rPr>
              <w:t>0.44</w:t>
            </w:r>
          </w:p>
        </w:tc>
        <w:tc>
          <w:tcPr>
            <w:tcW w:w="788" w:type="dxa"/>
            <w:gridSpan w:val="2"/>
            <w:tcBorders>
              <w:top w:val="nil"/>
            </w:tcBorders>
            <w:shd w:val="clear" w:color="auto" w:fill="auto"/>
            <w:tcMar>
              <w:top w:w="15" w:type="dxa"/>
              <w:left w:w="15" w:type="dxa"/>
              <w:bottom w:w="0" w:type="dxa"/>
              <w:right w:w="15" w:type="dxa"/>
            </w:tcMar>
            <w:vAlign w:val="center"/>
          </w:tcPr>
          <w:p w:rsidR="004145E7" w:rsidRDefault="002D6E0C">
            <w:pPr>
              <w:pStyle w:val="NoSpacing"/>
              <w:jc w:val="center"/>
              <w:rPr>
                <w:rFonts w:ascii="Times New Roman" w:hAnsi="Times New Roman"/>
                <w:sz w:val="24"/>
                <w:szCs w:val="24"/>
              </w:rPr>
            </w:pPr>
            <w:r>
              <w:rPr>
                <w:rFonts w:ascii="Times New Roman" w:hAnsi="Times New Roman"/>
                <w:sz w:val="24"/>
                <w:szCs w:val="24"/>
              </w:rPr>
              <w:t>0.56</w:t>
            </w:r>
          </w:p>
        </w:tc>
        <w:tc>
          <w:tcPr>
            <w:tcW w:w="718" w:type="dxa"/>
            <w:tcBorders>
              <w:top w:val="nil"/>
            </w:tcBorders>
            <w:shd w:val="clear" w:color="auto" w:fill="auto"/>
            <w:tcMar>
              <w:top w:w="15" w:type="dxa"/>
              <w:left w:w="15" w:type="dxa"/>
              <w:bottom w:w="0" w:type="dxa"/>
              <w:right w:w="15" w:type="dxa"/>
            </w:tcMar>
            <w:vAlign w:val="center"/>
          </w:tcPr>
          <w:p w:rsidR="004145E7" w:rsidRDefault="002D6E0C">
            <w:pPr>
              <w:pStyle w:val="NoSpacing"/>
              <w:jc w:val="center"/>
              <w:rPr>
                <w:rFonts w:ascii="Times New Roman" w:hAnsi="Times New Roman"/>
                <w:sz w:val="24"/>
                <w:szCs w:val="24"/>
              </w:rPr>
            </w:pPr>
            <w:r>
              <w:rPr>
                <w:rFonts w:ascii="Times New Roman" w:hAnsi="Times New Roman"/>
                <w:sz w:val="24"/>
                <w:szCs w:val="24"/>
              </w:rPr>
              <w:t>1.44</w:t>
            </w:r>
          </w:p>
        </w:tc>
        <w:tc>
          <w:tcPr>
            <w:tcW w:w="870" w:type="dxa"/>
            <w:tcBorders>
              <w:top w:val="nil"/>
            </w:tcBorders>
            <w:shd w:val="clear" w:color="auto" w:fill="auto"/>
            <w:tcMar>
              <w:top w:w="15" w:type="dxa"/>
              <w:left w:w="15" w:type="dxa"/>
              <w:bottom w:w="0" w:type="dxa"/>
              <w:right w:w="15" w:type="dxa"/>
            </w:tcMar>
            <w:vAlign w:val="center"/>
          </w:tcPr>
          <w:p w:rsidR="004145E7" w:rsidRDefault="002D6E0C">
            <w:pPr>
              <w:pStyle w:val="NoSpacing"/>
              <w:jc w:val="center"/>
              <w:rPr>
                <w:rFonts w:ascii="Times New Roman" w:hAnsi="Times New Roman"/>
                <w:sz w:val="24"/>
                <w:szCs w:val="24"/>
              </w:rPr>
            </w:pPr>
            <w:r>
              <w:rPr>
                <w:rFonts w:ascii="Times New Roman" w:hAnsi="Times New Roman"/>
                <w:sz w:val="24"/>
                <w:szCs w:val="24"/>
              </w:rPr>
              <w:t>0.19</w:t>
            </w:r>
          </w:p>
        </w:tc>
        <w:tc>
          <w:tcPr>
            <w:tcW w:w="715" w:type="dxa"/>
            <w:tcBorders>
              <w:top w:val="nil"/>
            </w:tcBorders>
            <w:shd w:val="clear" w:color="auto" w:fill="auto"/>
            <w:tcMar>
              <w:top w:w="15" w:type="dxa"/>
              <w:left w:w="15" w:type="dxa"/>
              <w:bottom w:w="0" w:type="dxa"/>
              <w:right w:w="15" w:type="dxa"/>
            </w:tcMar>
            <w:vAlign w:val="center"/>
          </w:tcPr>
          <w:p w:rsidR="004145E7" w:rsidRDefault="002D6E0C">
            <w:pPr>
              <w:jc w:val="center"/>
              <w:rPr>
                <w:rFonts w:ascii="Times New Roman" w:hAnsi="Times New Roman" w:cs="Times New Roman"/>
                <w:color w:val="000000"/>
                <w:sz w:val="24"/>
                <w:szCs w:val="24"/>
              </w:rPr>
            </w:pPr>
            <w:r>
              <w:rPr>
                <w:rFonts w:ascii="Times New Roman" w:hAnsi="Times New Roman" w:cs="Times New Roman"/>
                <w:color w:val="000000"/>
                <w:sz w:val="24"/>
                <w:szCs w:val="24"/>
              </w:rPr>
              <w:t>0.62</w:t>
            </w:r>
          </w:p>
        </w:tc>
      </w:tr>
      <w:tr w:rsidR="004145E7" w:rsidTr="003B1DFA">
        <w:trPr>
          <w:trHeight w:val="120"/>
        </w:trPr>
        <w:tc>
          <w:tcPr>
            <w:tcW w:w="1606" w:type="dxa"/>
            <w:tcBorders>
              <w:bottom w:val="nil"/>
            </w:tcBorders>
            <w:shd w:val="clear" w:color="auto" w:fill="auto"/>
            <w:tcMar>
              <w:top w:w="15" w:type="dxa"/>
              <w:left w:w="15" w:type="dxa"/>
              <w:bottom w:w="0" w:type="dxa"/>
              <w:right w:w="15" w:type="dxa"/>
            </w:tcMar>
            <w:vAlign w:val="center"/>
          </w:tcPr>
          <w:p w:rsidR="004145E7" w:rsidRDefault="002D6E0C" w:rsidP="003B1DFA">
            <w:pPr>
              <w:pStyle w:val="NoSpacing"/>
              <w:rPr>
                <w:rFonts w:ascii="Times New Roman" w:hAnsi="Times New Roman"/>
                <w:sz w:val="24"/>
                <w:szCs w:val="24"/>
              </w:rPr>
            </w:pPr>
            <w:r>
              <w:rPr>
                <w:rFonts w:ascii="Times New Roman" w:hAnsi="Times New Roman"/>
                <w:sz w:val="24"/>
                <w:szCs w:val="24"/>
              </w:rPr>
              <w:t>S.Em. ±</w:t>
            </w:r>
          </w:p>
        </w:tc>
        <w:tc>
          <w:tcPr>
            <w:tcW w:w="1559" w:type="dxa"/>
            <w:tcBorders>
              <w:bottom w:val="nil"/>
            </w:tcBorders>
            <w:tcMar>
              <w:top w:w="15" w:type="dxa"/>
              <w:left w:w="15" w:type="dxa"/>
              <w:bottom w:w="0" w:type="dxa"/>
              <w:right w:w="15" w:type="dxa"/>
            </w:tcMar>
            <w:vAlign w:val="center"/>
          </w:tcPr>
          <w:p w:rsidR="004145E7" w:rsidRDefault="002D6E0C">
            <w:pPr>
              <w:pStyle w:val="NoSpacing"/>
              <w:jc w:val="center"/>
              <w:rPr>
                <w:rFonts w:ascii="Times New Roman" w:hAnsi="Times New Roman"/>
                <w:sz w:val="24"/>
                <w:szCs w:val="24"/>
              </w:rPr>
            </w:pPr>
            <w:r>
              <w:rPr>
                <w:rFonts w:ascii="Times New Roman" w:hAnsi="Times New Roman"/>
                <w:sz w:val="24"/>
                <w:szCs w:val="24"/>
              </w:rPr>
              <w:t>0.26</w:t>
            </w:r>
          </w:p>
        </w:tc>
        <w:tc>
          <w:tcPr>
            <w:tcW w:w="1924" w:type="dxa"/>
            <w:tcBorders>
              <w:bottom w:val="nil"/>
            </w:tcBorders>
            <w:tcMar>
              <w:top w:w="15" w:type="dxa"/>
              <w:left w:w="15" w:type="dxa"/>
              <w:bottom w:w="0" w:type="dxa"/>
              <w:right w:w="15" w:type="dxa"/>
            </w:tcMar>
            <w:vAlign w:val="center"/>
          </w:tcPr>
          <w:p w:rsidR="004145E7" w:rsidRDefault="002D6E0C">
            <w:pPr>
              <w:pStyle w:val="NoSpacing"/>
              <w:jc w:val="center"/>
              <w:rPr>
                <w:rFonts w:ascii="Times New Roman" w:hAnsi="Times New Roman"/>
                <w:sz w:val="24"/>
                <w:szCs w:val="24"/>
              </w:rPr>
            </w:pPr>
            <w:r>
              <w:rPr>
                <w:rFonts w:ascii="Times New Roman" w:hAnsi="Times New Roman"/>
                <w:sz w:val="24"/>
                <w:szCs w:val="24"/>
              </w:rPr>
              <w:t>0.19</w:t>
            </w:r>
          </w:p>
        </w:tc>
        <w:tc>
          <w:tcPr>
            <w:tcW w:w="667" w:type="dxa"/>
            <w:tcBorders>
              <w:bottom w:val="nil"/>
            </w:tcBorders>
            <w:shd w:val="clear" w:color="auto" w:fill="auto"/>
            <w:tcMar>
              <w:top w:w="12" w:type="dxa"/>
              <w:left w:w="12" w:type="dxa"/>
              <w:bottom w:w="0" w:type="dxa"/>
              <w:right w:w="12" w:type="dxa"/>
            </w:tcMar>
            <w:vAlign w:val="center"/>
          </w:tcPr>
          <w:p w:rsidR="004145E7" w:rsidRDefault="002D6E0C">
            <w:pPr>
              <w:pStyle w:val="NoSpacing"/>
              <w:jc w:val="center"/>
              <w:rPr>
                <w:rFonts w:ascii="Times New Roman" w:hAnsi="Times New Roman"/>
                <w:sz w:val="24"/>
                <w:szCs w:val="24"/>
              </w:rPr>
            </w:pPr>
            <w:r>
              <w:rPr>
                <w:rFonts w:ascii="Times New Roman" w:hAnsi="Times New Roman"/>
                <w:sz w:val="24"/>
                <w:szCs w:val="24"/>
              </w:rPr>
              <w:t>0.03</w:t>
            </w:r>
          </w:p>
        </w:tc>
        <w:tc>
          <w:tcPr>
            <w:tcW w:w="887" w:type="dxa"/>
            <w:gridSpan w:val="2"/>
            <w:tcBorders>
              <w:bottom w:val="nil"/>
            </w:tcBorders>
            <w:shd w:val="clear" w:color="auto" w:fill="auto"/>
            <w:tcMar>
              <w:top w:w="15" w:type="dxa"/>
              <w:left w:w="15" w:type="dxa"/>
              <w:bottom w:w="0" w:type="dxa"/>
              <w:right w:w="15" w:type="dxa"/>
            </w:tcMar>
            <w:vAlign w:val="center"/>
          </w:tcPr>
          <w:p w:rsidR="004145E7" w:rsidRDefault="002D6E0C">
            <w:pPr>
              <w:pStyle w:val="NoSpacing"/>
              <w:jc w:val="center"/>
              <w:rPr>
                <w:rFonts w:ascii="Times New Roman" w:hAnsi="Times New Roman"/>
                <w:sz w:val="24"/>
                <w:szCs w:val="24"/>
              </w:rPr>
            </w:pPr>
            <w:r>
              <w:rPr>
                <w:rFonts w:ascii="Times New Roman" w:hAnsi="Times New Roman"/>
                <w:sz w:val="24"/>
                <w:szCs w:val="24"/>
              </w:rPr>
              <w:t>0.01</w:t>
            </w:r>
          </w:p>
        </w:tc>
        <w:tc>
          <w:tcPr>
            <w:tcW w:w="788" w:type="dxa"/>
            <w:gridSpan w:val="2"/>
            <w:tcBorders>
              <w:bottom w:val="nil"/>
            </w:tcBorders>
            <w:shd w:val="clear" w:color="auto" w:fill="auto"/>
            <w:tcMar>
              <w:top w:w="15" w:type="dxa"/>
              <w:left w:w="15" w:type="dxa"/>
              <w:bottom w:w="0" w:type="dxa"/>
              <w:right w:w="15" w:type="dxa"/>
            </w:tcMar>
            <w:vAlign w:val="center"/>
          </w:tcPr>
          <w:p w:rsidR="004145E7" w:rsidRDefault="002D6E0C">
            <w:pPr>
              <w:pStyle w:val="NoSpacing"/>
              <w:jc w:val="center"/>
              <w:rPr>
                <w:rFonts w:ascii="Times New Roman" w:hAnsi="Times New Roman"/>
                <w:sz w:val="24"/>
                <w:szCs w:val="24"/>
              </w:rPr>
            </w:pPr>
            <w:r>
              <w:rPr>
                <w:rFonts w:ascii="Times New Roman" w:hAnsi="Times New Roman"/>
                <w:sz w:val="24"/>
                <w:szCs w:val="24"/>
              </w:rPr>
              <w:t>0.01</w:t>
            </w:r>
          </w:p>
        </w:tc>
        <w:tc>
          <w:tcPr>
            <w:tcW w:w="718" w:type="dxa"/>
            <w:tcBorders>
              <w:bottom w:val="nil"/>
            </w:tcBorders>
            <w:shd w:val="clear" w:color="auto" w:fill="auto"/>
            <w:tcMar>
              <w:top w:w="15" w:type="dxa"/>
              <w:left w:w="15" w:type="dxa"/>
              <w:bottom w:w="0" w:type="dxa"/>
              <w:right w:w="15" w:type="dxa"/>
            </w:tcMar>
            <w:vAlign w:val="center"/>
          </w:tcPr>
          <w:p w:rsidR="004145E7" w:rsidRDefault="002D6E0C">
            <w:pPr>
              <w:pStyle w:val="NoSpacing"/>
              <w:jc w:val="center"/>
              <w:rPr>
                <w:rFonts w:ascii="Times New Roman" w:hAnsi="Times New Roman"/>
                <w:sz w:val="24"/>
                <w:szCs w:val="24"/>
              </w:rPr>
            </w:pPr>
            <w:r>
              <w:rPr>
                <w:rFonts w:ascii="Times New Roman" w:hAnsi="Times New Roman"/>
                <w:sz w:val="24"/>
                <w:szCs w:val="24"/>
              </w:rPr>
              <w:t>0.02</w:t>
            </w:r>
          </w:p>
        </w:tc>
        <w:tc>
          <w:tcPr>
            <w:tcW w:w="870" w:type="dxa"/>
            <w:tcBorders>
              <w:bottom w:val="nil"/>
            </w:tcBorders>
            <w:shd w:val="clear" w:color="auto" w:fill="auto"/>
            <w:tcMar>
              <w:top w:w="15" w:type="dxa"/>
              <w:left w:w="15" w:type="dxa"/>
              <w:bottom w:w="0" w:type="dxa"/>
              <w:right w:w="15" w:type="dxa"/>
            </w:tcMar>
            <w:vAlign w:val="center"/>
          </w:tcPr>
          <w:p w:rsidR="004145E7" w:rsidRDefault="002D6E0C">
            <w:pPr>
              <w:pStyle w:val="NoSpacing"/>
              <w:jc w:val="center"/>
              <w:rPr>
                <w:rFonts w:ascii="Times New Roman" w:hAnsi="Times New Roman"/>
                <w:sz w:val="24"/>
                <w:szCs w:val="24"/>
              </w:rPr>
            </w:pPr>
            <w:r>
              <w:rPr>
                <w:rFonts w:ascii="Times New Roman" w:hAnsi="Times New Roman"/>
                <w:sz w:val="24"/>
                <w:szCs w:val="24"/>
              </w:rPr>
              <w:t>0.003</w:t>
            </w:r>
          </w:p>
        </w:tc>
        <w:tc>
          <w:tcPr>
            <w:tcW w:w="715" w:type="dxa"/>
            <w:tcBorders>
              <w:bottom w:val="nil"/>
            </w:tcBorders>
            <w:shd w:val="clear" w:color="auto" w:fill="auto"/>
            <w:tcMar>
              <w:top w:w="15" w:type="dxa"/>
              <w:left w:w="15" w:type="dxa"/>
              <w:bottom w:w="0" w:type="dxa"/>
              <w:right w:w="15" w:type="dxa"/>
            </w:tcMar>
            <w:vAlign w:val="center"/>
          </w:tcPr>
          <w:p w:rsidR="004145E7" w:rsidRDefault="002D6E0C">
            <w:pPr>
              <w:jc w:val="center"/>
              <w:rPr>
                <w:rFonts w:ascii="Times New Roman" w:hAnsi="Times New Roman" w:cs="Times New Roman"/>
                <w:color w:val="000000"/>
                <w:sz w:val="24"/>
                <w:szCs w:val="24"/>
              </w:rPr>
            </w:pPr>
            <w:r>
              <w:rPr>
                <w:rFonts w:ascii="Times New Roman" w:hAnsi="Times New Roman" w:cs="Times New Roman"/>
                <w:color w:val="000000"/>
                <w:sz w:val="24"/>
                <w:szCs w:val="24"/>
              </w:rPr>
              <w:t>0.01</w:t>
            </w:r>
          </w:p>
        </w:tc>
      </w:tr>
      <w:tr w:rsidR="004145E7" w:rsidTr="003B1DFA">
        <w:trPr>
          <w:trHeight w:val="120"/>
        </w:trPr>
        <w:tc>
          <w:tcPr>
            <w:tcW w:w="1606" w:type="dxa"/>
            <w:tcBorders>
              <w:top w:val="nil"/>
              <w:bottom w:val="single" w:sz="4" w:space="0" w:color="auto"/>
            </w:tcBorders>
            <w:shd w:val="clear" w:color="auto" w:fill="auto"/>
            <w:tcMar>
              <w:top w:w="15" w:type="dxa"/>
              <w:left w:w="15" w:type="dxa"/>
              <w:bottom w:w="0" w:type="dxa"/>
              <w:right w:w="15" w:type="dxa"/>
            </w:tcMar>
            <w:vAlign w:val="center"/>
          </w:tcPr>
          <w:p w:rsidR="004145E7" w:rsidRDefault="002D6E0C" w:rsidP="003B1DFA">
            <w:pPr>
              <w:pStyle w:val="NoSpacing"/>
              <w:rPr>
                <w:rFonts w:ascii="Times New Roman" w:hAnsi="Times New Roman"/>
                <w:sz w:val="24"/>
                <w:szCs w:val="24"/>
              </w:rPr>
            </w:pPr>
            <w:r>
              <w:rPr>
                <w:rFonts w:ascii="Times New Roman" w:hAnsi="Times New Roman"/>
                <w:sz w:val="24"/>
                <w:szCs w:val="24"/>
              </w:rPr>
              <w:t>CD at 5%</w:t>
            </w:r>
          </w:p>
        </w:tc>
        <w:tc>
          <w:tcPr>
            <w:tcW w:w="1559" w:type="dxa"/>
            <w:tcBorders>
              <w:top w:val="nil"/>
              <w:bottom w:val="single" w:sz="4" w:space="0" w:color="auto"/>
            </w:tcBorders>
            <w:tcMar>
              <w:top w:w="15" w:type="dxa"/>
              <w:left w:w="15" w:type="dxa"/>
              <w:bottom w:w="0" w:type="dxa"/>
              <w:right w:w="15" w:type="dxa"/>
            </w:tcMar>
            <w:vAlign w:val="center"/>
          </w:tcPr>
          <w:p w:rsidR="004145E7" w:rsidRDefault="002D6E0C">
            <w:pPr>
              <w:pStyle w:val="NoSpacing"/>
              <w:jc w:val="center"/>
              <w:rPr>
                <w:rFonts w:ascii="Times New Roman" w:hAnsi="Times New Roman"/>
                <w:sz w:val="24"/>
                <w:szCs w:val="24"/>
              </w:rPr>
            </w:pPr>
            <w:r>
              <w:rPr>
                <w:rFonts w:ascii="Times New Roman" w:hAnsi="Times New Roman"/>
                <w:sz w:val="24"/>
                <w:szCs w:val="24"/>
              </w:rPr>
              <w:t>0.76</w:t>
            </w:r>
          </w:p>
        </w:tc>
        <w:tc>
          <w:tcPr>
            <w:tcW w:w="1924" w:type="dxa"/>
            <w:tcBorders>
              <w:top w:val="nil"/>
              <w:bottom w:val="single" w:sz="4" w:space="0" w:color="auto"/>
            </w:tcBorders>
            <w:tcMar>
              <w:top w:w="15" w:type="dxa"/>
              <w:left w:w="15" w:type="dxa"/>
              <w:bottom w:w="0" w:type="dxa"/>
              <w:right w:w="15" w:type="dxa"/>
            </w:tcMar>
            <w:vAlign w:val="center"/>
          </w:tcPr>
          <w:p w:rsidR="004145E7" w:rsidRDefault="002D6E0C">
            <w:pPr>
              <w:pStyle w:val="NoSpacing"/>
              <w:jc w:val="center"/>
              <w:rPr>
                <w:rFonts w:ascii="Times New Roman" w:hAnsi="Times New Roman"/>
                <w:sz w:val="24"/>
                <w:szCs w:val="24"/>
              </w:rPr>
            </w:pPr>
            <w:r>
              <w:rPr>
                <w:rFonts w:ascii="Times New Roman" w:hAnsi="Times New Roman"/>
                <w:sz w:val="24"/>
                <w:szCs w:val="24"/>
              </w:rPr>
              <w:t>0.57</w:t>
            </w:r>
          </w:p>
        </w:tc>
        <w:tc>
          <w:tcPr>
            <w:tcW w:w="667" w:type="dxa"/>
            <w:tcBorders>
              <w:top w:val="nil"/>
              <w:bottom w:val="single" w:sz="4" w:space="0" w:color="auto"/>
            </w:tcBorders>
            <w:shd w:val="clear" w:color="auto" w:fill="auto"/>
            <w:tcMar>
              <w:top w:w="12" w:type="dxa"/>
              <w:left w:w="12" w:type="dxa"/>
              <w:bottom w:w="0" w:type="dxa"/>
              <w:right w:w="12" w:type="dxa"/>
            </w:tcMar>
            <w:vAlign w:val="center"/>
          </w:tcPr>
          <w:p w:rsidR="004145E7" w:rsidRDefault="002D6E0C">
            <w:pPr>
              <w:pStyle w:val="NoSpacing"/>
              <w:jc w:val="center"/>
              <w:rPr>
                <w:rFonts w:ascii="Times New Roman" w:hAnsi="Times New Roman"/>
                <w:sz w:val="24"/>
                <w:szCs w:val="24"/>
              </w:rPr>
            </w:pPr>
            <w:r>
              <w:rPr>
                <w:rFonts w:ascii="Times New Roman" w:hAnsi="Times New Roman"/>
                <w:sz w:val="24"/>
                <w:szCs w:val="24"/>
              </w:rPr>
              <w:t>NS</w:t>
            </w:r>
          </w:p>
        </w:tc>
        <w:tc>
          <w:tcPr>
            <w:tcW w:w="887" w:type="dxa"/>
            <w:gridSpan w:val="2"/>
            <w:tcBorders>
              <w:top w:val="nil"/>
              <w:bottom w:val="single" w:sz="4" w:space="0" w:color="auto"/>
            </w:tcBorders>
            <w:shd w:val="clear" w:color="auto" w:fill="auto"/>
            <w:tcMar>
              <w:top w:w="15" w:type="dxa"/>
              <w:left w:w="15" w:type="dxa"/>
              <w:bottom w:w="0" w:type="dxa"/>
              <w:right w:w="15" w:type="dxa"/>
            </w:tcMar>
            <w:vAlign w:val="center"/>
          </w:tcPr>
          <w:p w:rsidR="004145E7" w:rsidRDefault="002D6E0C">
            <w:pPr>
              <w:pStyle w:val="NoSpacing"/>
              <w:jc w:val="center"/>
              <w:rPr>
                <w:rFonts w:ascii="Times New Roman" w:hAnsi="Times New Roman"/>
                <w:sz w:val="24"/>
                <w:szCs w:val="24"/>
              </w:rPr>
            </w:pPr>
            <w:r>
              <w:rPr>
                <w:rFonts w:ascii="Times New Roman" w:hAnsi="Times New Roman"/>
                <w:sz w:val="24"/>
                <w:szCs w:val="24"/>
              </w:rPr>
              <w:t>NS</w:t>
            </w:r>
          </w:p>
        </w:tc>
        <w:tc>
          <w:tcPr>
            <w:tcW w:w="788" w:type="dxa"/>
            <w:gridSpan w:val="2"/>
            <w:tcBorders>
              <w:top w:val="nil"/>
              <w:bottom w:val="single" w:sz="4" w:space="0" w:color="auto"/>
            </w:tcBorders>
            <w:shd w:val="clear" w:color="auto" w:fill="auto"/>
            <w:tcMar>
              <w:top w:w="15" w:type="dxa"/>
              <w:left w:w="15" w:type="dxa"/>
              <w:bottom w:w="0" w:type="dxa"/>
              <w:right w:w="15" w:type="dxa"/>
            </w:tcMar>
            <w:vAlign w:val="center"/>
          </w:tcPr>
          <w:p w:rsidR="004145E7" w:rsidRDefault="002D6E0C">
            <w:pPr>
              <w:pStyle w:val="NoSpacing"/>
              <w:jc w:val="center"/>
              <w:rPr>
                <w:rFonts w:ascii="Times New Roman" w:hAnsi="Times New Roman"/>
                <w:sz w:val="24"/>
                <w:szCs w:val="24"/>
              </w:rPr>
            </w:pPr>
            <w:r>
              <w:rPr>
                <w:rFonts w:ascii="Times New Roman" w:hAnsi="Times New Roman"/>
                <w:sz w:val="24"/>
                <w:szCs w:val="24"/>
              </w:rPr>
              <w:t>NS</w:t>
            </w:r>
          </w:p>
        </w:tc>
        <w:tc>
          <w:tcPr>
            <w:tcW w:w="718" w:type="dxa"/>
            <w:tcBorders>
              <w:top w:val="nil"/>
              <w:bottom w:val="single" w:sz="4" w:space="0" w:color="auto"/>
            </w:tcBorders>
            <w:shd w:val="clear" w:color="auto" w:fill="auto"/>
            <w:tcMar>
              <w:top w:w="15" w:type="dxa"/>
              <w:left w:w="15" w:type="dxa"/>
              <w:bottom w:w="0" w:type="dxa"/>
              <w:right w:w="15" w:type="dxa"/>
            </w:tcMar>
            <w:vAlign w:val="center"/>
          </w:tcPr>
          <w:p w:rsidR="004145E7" w:rsidRDefault="002D6E0C">
            <w:pPr>
              <w:pStyle w:val="NoSpacing"/>
              <w:jc w:val="center"/>
              <w:rPr>
                <w:rFonts w:ascii="Times New Roman" w:hAnsi="Times New Roman"/>
                <w:sz w:val="24"/>
                <w:szCs w:val="24"/>
              </w:rPr>
            </w:pPr>
            <w:r>
              <w:rPr>
                <w:rFonts w:ascii="Times New Roman" w:hAnsi="Times New Roman"/>
                <w:sz w:val="24"/>
                <w:szCs w:val="24"/>
              </w:rPr>
              <w:t>NS</w:t>
            </w:r>
          </w:p>
        </w:tc>
        <w:tc>
          <w:tcPr>
            <w:tcW w:w="870" w:type="dxa"/>
            <w:tcBorders>
              <w:top w:val="nil"/>
              <w:bottom w:val="single" w:sz="4" w:space="0" w:color="auto"/>
            </w:tcBorders>
            <w:shd w:val="clear" w:color="auto" w:fill="auto"/>
            <w:tcMar>
              <w:top w:w="15" w:type="dxa"/>
              <w:left w:w="15" w:type="dxa"/>
              <w:bottom w:w="0" w:type="dxa"/>
              <w:right w:w="15" w:type="dxa"/>
            </w:tcMar>
            <w:vAlign w:val="center"/>
          </w:tcPr>
          <w:p w:rsidR="004145E7" w:rsidRDefault="002D6E0C">
            <w:pPr>
              <w:pStyle w:val="NoSpacing"/>
              <w:jc w:val="center"/>
              <w:rPr>
                <w:rFonts w:ascii="Times New Roman" w:hAnsi="Times New Roman"/>
                <w:sz w:val="24"/>
                <w:szCs w:val="24"/>
              </w:rPr>
            </w:pPr>
            <w:r>
              <w:rPr>
                <w:rFonts w:ascii="Times New Roman" w:hAnsi="Times New Roman"/>
                <w:sz w:val="24"/>
                <w:szCs w:val="24"/>
              </w:rPr>
              <w:t>NS</w:t>
            </w:r>
          </w:p>
        </w:tc>
        <w:tc>
          <w:tcPr>
            <w:tcW w:w="715" w:type="dxa"/>
            <w:tcBorders>
              <w:top w:val="nil"/>
              <w:bottom w:val="single" w:sz="4" w:space="0" w:color="auto"/>
            </w:tcBorders>
            <w:shd w:val="clear" w:color="auto" w:fill="auto"/>
            <w:tcMar>
              <w:top w:w="15" w:type="dxa"/>
              <w:left w:w="15" w:type="dxa"/>
              <w:bottom w:w="0" w:type="dxa"/>
              <w:right w:w="15" w:type="dxa"/>
            </w:tcMar>
            <w:vAlign w:val="center"/>
          </w:tcPr>
          <w:p w:rsidR="004145E7" w:rsidRDefault="002D6E0C">
            <w:pPr>
              <w:jc w:val="center"/>
              <w:rPr>
                <w:rFonts w:ascii="Times New Roman" w:hAnsi="Times New Roman" w:cs="Times New Roman"/>
                <w:color w:val="000000"/>
                <w:sz w:val="24"/>
                <w:szCs w:val="24"/>
              </w:rPr>
            </w:pPr>
            <w:r>
              <w:rPr>
                <w:rFonts w:ascii="Times New Roman" w:hAnsi="Times New Roman" w:cs="Times New Roman"/>
                <w:color w:val="000000"/>
                <w:sz w:val="24"/>
                <w:szCs w:val="24"/>
              </w:rPr>
              <w:t>NS</w:t>
            </w:r>
          </w:p>
        </w:tc>
      </w:tr>
      <w:tr w:rsidR="004145E7" w:rsidTr="003B1DFA">
        <w:trPr>
          <w:trHeight w:val="120"/>
        </w:trPr>
        <w:tc>
          <w:tcPr>
            <w:tcW w:w="9738" w:type="dxa"/>
            <w:gridSpan w:val="11"/>
            <w:tcBorders>
              <w:top w:val="single" w:sz="4" w:space="0" w:color="auto"/>
              <w:bottom w:val="single" w:sz="4" w:space="0" w:color="auto"/>
            </w:tcBorders>
            <w:vAlign w:val="center"/>
          </w:tcPr>
          <w:p w:rsidR="004145E7" w:rsidRDefault="002D6E0C">
            <w:pPr>
              <w:pStyle w:val="NoSpacing"/>
              <w:jc w:val="center"/>
              <w:rPr>
                <w:rFonts w:ascii="Times New Roman" w:hAnsi="Times New Roman"/>
                <w:sz w:val="24"/>
                <w:szCs w:val="24"/>
              </w:rPr>
            </w:pPr>
            <w:r>
              <w:rPr>
                <w:rFonts w:ascii="Times New Roman" w:hAnsi="Times New Roman"/>
                <w:b/>
                <w:bCs/>
                <w:sz w:val="24"/>
                <w:szCs w:val="24"/>
              </w:rPr>
              <w:t>Interaction</w:t>
            </w:r>
          </w:p>
        </w:tc>
      </w:tr>
      <w:tr w:rsidR="004145E7" w:rsidTr="003B1DFA">
        <w:trPr>
          <w:trHeight w:val="120"/>
        </w:trPr>
        <w:tc>
          <w:tcPr>
            <w:tcW w:w="1606" w:type="dxa"/>
            <w:tcBorders>
              <w:top w:val="single" w:sz="4" w:space="0" w:color="auto"/>
              <w:bottom w:val="nil"/>
            </w:tcBorders>
            <w:shd w:val="clear" w:color="auto" w:fill="auto"/>
            <w:tcMar>
              <w:top w:w="15" w:type="dxa"/>
              <w:left w:w="15" w:type="dxa"/>
              <w:bottom w:w="0" w:type="dxa"/>
              <w:right w:w="15" w:type="dxa"/>
            </w:tcMar>
            <w:vAlign w:val="center"/>
          </w:tcPr>
          <w:p w:rsidR="004145E7" w:rsidRDefault="002D6E0C" w:rsidP="003B1DFA">
            <w:pPr>
              <w:pStyle w:val="NoSpacing"/>
              <w:rPr>
                <w:rFonts w:ascii="Times New Roman" w:hAnsi="Times New Roman"/>
                <w:sz w:val="24"/>
                <w:szCs w:val="24"/>
              </w:rPr>
            </w:pPr>
            <w:r>
              <w:rPr>
                <w:rFonts w:ascii="Times New Roman" w:hAnsi="Times New Roman"/>
                <w:sz w:val="24"/>
                <w:szCs w:val="24"/>
              </w:rPr>
              <w:t>F×K</w:t>
            </w:r>
          </w:p>
        </w:tc>
        <w:tc>
          <w:tcPr>
            <w:tcW w:w="1559" w:type="dxa"/>
            <w:tcBorders>
              <w:top w:val="single" w:sz="4" w:space="0" w:color="auto"/>
              <w:bottom w:val="nil"/>
            </w:tcBorders>
            <w:tcMar>
              <w:top w:w="15" w:type="dxa"/>
              <w:left w:w="15" w:type="dxa"/>
              <w:bottom w:w="0" w:type="dxa"/>
              <w:right w:w="15" w:type="dxa"/>
            </w:tcMar>
            <w:vAlign w:val="center"/>
          </w:tcPr>
          <w:p w:rsidR="004145E7" w:rsidRDefault="002D6E0C">
            <w:pPr>
              <w:pStyle w:val="NoSpacing"/>
              <w:jc w:val="center"/>
              <w:rPr>
                <w:rFonts w:ascii="Times New Roman" w:hAnsi="Times New Roman"/>
                <w:sz w:val="24"/>
                <w:szCs w:val="24"/>
              </w:rPr>
            </w:pPr>
            <w:r>
              <w:rPr>
                <w:rFonts w:ascii="Times New Roman" w:hAnsi="Times New Roman"/>
                <w:sz w:val="24"/>
                <w:szCs w:val="24"/>
              </w:rPr>
              <w:t>NS</w:t>
            </w:r>
          </w:p>
        </w:tc>
        <w:tc>
          <w:tcPr>
            <w:tcW w:w="1924" w:type="dxa"/>
            <w:tcBorders>
              <w:top w:val="single" w:sz="4" w:space="0" w:color="auto"/>
              <w:bottom w:val="nil"/>
            </w:tcBorders>
            <w:tcMar>
              <w:top w:w="15" w:type="dxa"/>
              <w:left w:w="15" w:type="dxa"/>
              <w:bottom w:w="0" w:type="dxa"/>
              <w:right w:w="15" w:type="dxa"/>
            </w:tcMar>
            <w:vAlign w:val="center"/>
          </w:tcPr>
          <w:p w:rsidR="004145E7" w:rsidRDefault="002D6E0C">
            <w:pPr>
              <w:pStyle w:val="NoSpacing"/>
              <w:jc w:val="center"/>
              <w:rPr>
                <w:rFonts w:ascii="Times New Roman" w:hAnsi="Times New Roman"/>
                <w:sz w:val="24"/>
                <w:szCs w:val="24"/>
              </w:rPr>
            </w:pPr>
            <w:r>
              <w:rPr>
                <w:rFonts w:ascii="Times New Roman" w:hAnsi="Times New Roman"/>
                <w:sz w:val="24"/>
                <w:szCs w:val="24"/>
              </w:rPr>
              <w:t>NS</w:t>
            </w:r>
          </w:p>
        </w:tc>
        <w:tc>
          <w:tcPr>
            <w:tcW w:w="667" w:type="dxa"/>
            <w:tcBorders>
              <w:top w:val="single" w:sz="4" w:space="0" w:color="auto"/>
              <w:bottom w:val="nil"/>
            </w:tcBorders>
            <w:shd w:val="clear" w:color="auto" w:fill="auto"/>
            <w:tcMar>
              <w:top w:w="12" w:type="dxa"/>
              <w:left w:w="12" w:type="dxa"/>
              <w:bottom w:w="0" w:type="dxa"/>
              <w:right w:w="12" w:type="dxa"/>
            </w:tcMar>
            <w:vAlign w:val="center"/>
          </w:tcPr>
          <w:p w:rsidR="004145E7" w:rsidRDefault="002D6E0C">
            <w:pPr>
              <w:pStyle w:val="NoSpacing"/>
              <w:jc w:val="center"/>
              <w:rPr>
                <w:rFonts w:ascii="Times New Roman" w:hAnsi="Times New Roman"/>
                <w:sz w:val="24"/>
                <w:szCs w:val="24"/>
              </w:rPr>
            </w:pPr>
            <w:r>
              <w:rPr>
                <w:rFonts w:ascii="Times New Roman" w:hAnsi="Times New Roman"/>
                <w:sz w:val="24"/>
                <w:szCs w:val="24"/>
              </w:rPr>
              <w:t>NS</w:t>
            </w:r>
          </w:p>
        </w:tc>
        <w:tc>
          <w:tcPr>
            <w:tcW w:w="887" w:type="dxa"/>
            <w:gridSpan w:val="2"/>
            <w:tcBorders>
              <w:top w:val="single" w:sz="4" w:space="0" w:color="auto"/>
              <w:bottom w:val="nil"/>
            </w:tcBorders>
            <w:shd w:val="clear" w:color="auto" w:fill="auto"/>
            <w:tcMar>
              <w:top w:w="15" w:type="dxa"/>
              <w:left w:w="15" w:type="dxa"/>
              <w:bottom w:w="0" w:type="dxa"/>
              <w:right w:w="15" w:type="dxa"/>
            </w:tcMar>
            <w:vAlign w:val="center"/>
          </w:tcPr>
          <w:p w:rsidR="004145E7" w:rsidRDefault="002D6E0C">
            <w:pPr>
              <w:pStyle w:val="NoSpacing"/>
              <w:jc w:val="center"/>
              <w:rPr>
                <w:rFonts w:ascii="Times New Roman" w:hAnsi="Times New Roman"/>
                <w:sz w:val="24"/>
                <w:szCs w:val="24"/>
              </w:rPr>
            </w:pPr>
            <w:r>
              <w:rPr>
                <w:rFonts w:ascii="Times New Roman" w:hAnsi="Times New Roman"/>
                <w:sz w:val="24"/>
                <w:szCs w:val="24"/>
              </w:rPr>
              <w:t>NS</w:t>
            </w:r>
          </w:p>
        </w:tc>
        <w:tc>
          <w:tcPr>
            <w:tcW w:w="753" w:type="dxa"/>
            <w:tcBorders>
              <w:top w:val="single" w:sz="4" w:space="0" w:color="auto"/>
              <w:bottom w:val="nil"/>
            </w:tcBorders>
            <w:shd w:val="clear" w:color="auto" w:fill="auto"/>
            <w:tcMar>
              <w:top w:w="15" w:type="dxa"/>
              <w:left w:w="15" w:type="dxa"/>
              <w:bottom w:w="0" w:type="dxa"/>
              <w:right w:w="15" w:type="dxa"/>
            </w:tcMar>
            <w:vAlign w:val="center"/>
          </w:tcPr>
          <w:p w:rsidR="004145E7" w:rsidRDefault="002D6E0C">
            <w:pPr>
              <w:pStyle w:val="NoSpacing"/>
              <w:jc w:val="center"/>
              <w:rPr>
                <w:rFonts w:ascii="Times New Roman" w:hAnsi="Times New Roman"/>
                <w:sz w:val="24"/>
                <w:szCs w:val="24"/>
              </w:rPr>
            </w:pPr>
            <w:r>
              <w:rPr>
                <w:rFonts w:ascii="Times New Roman" w:hAnsi="Times New Roman"/>
                <w:sz w:val="24"/>
                <w:szCs w:val="24"/>
              </w:rPr>
              <w:t>NS</w:t>
            </w:r>
          </w:p>
        </w:tc>
        <w:tc>
          <w:tcPr>
            <w:tcW w:w="753" w:type="dxa"/>
            <w:gridSpan w:val="2"/>
            <w:tcBorders>
              <w:top w:val="single" w:sz="4" w:space="0" w:color="auto"/>
              <w:bottom w:val="nil"/>
            </w:tcBorders>
            <w:shd w:val="clear" w:color="auto" w:fill="auto"/>
            <w:tcMar>
              <w:top w:w="15" w:type="dxa"/>
              <w:left w:w="15" w:type="dxa"/>
              <w:bottom w:w="0" w:type="dxa"/>
              <w:right w:w="15" w:type="dxa"/>
            </w:tcMar>
            <w:vAlign w:val="center"/>
          </w:tcPr>
          <w:p w:rsidR="004145E7" w:rsidRDefault="002D6E0C">
            <w:pPr>
              <w:pStyle w:val="NoSpacing"/>
              <w:jc w:val="center"/>
              <w:rPr>
                <w:rFonts w:ascii="Times New Roman" w:hAnsi="Times New Roman"/>
                <w:sz w:val="24"/>
                <w:szCs w:val="24"/>
              </w:rPr>
            </w:pPr>
            <w:r>
              <w:rPr>
                <w:rFonts w:ascii="Times New Roman" w:hAnsi="Times New Roman"/>
                <w:sz w:val="24"/>
                <w:szCs w:val="24"/>
              </w:rPr>
              <w:t>NS</w:t>
            </w:r>
          </w:p>
        </w:tc>
        <w:tc>
          <w:tcPr>
            <w:tcW w:w="870" w:type="dxa"/>
            <w:tcBorders>
              <w:top w:val="single" w:sz="4" w:space="0" w:color="auto"/>
              <w:bottom w:val="nil"/>
            </w:tcBorders>
            <w:shd w:val="clear" w:color="auto" w:fill="auto"/>
            <w:tcMar>
              <w:top w:w="15" w:type="dxa"/>
              <w:left w:w="15" w:type="dxa"/>
              <w:bottom w:w="0" w:type="dxa"/>
              <w:right w:w="15" w:type="dxa"/>
            </w:tcMar>
            <w:vAlign w:val="center"/>
          </w:tcPr>
          <w:p w:rsidR="004145E7" w:rsidRDefault="002D6E0C">
            <w:pPr>
              <w:pStyle w:val="NoSpacing"/>
              <w:jc w:val="center"/>
              <w:rPr>
                <w:rFonts w:ascii="Times New Roman" w:hAnsi="Times New Roman"/>
                <w:sz w:val="24"/>
                <w:szCs w:val="24"/>
              </w:rPr>
            </w:pPr>
            <w:r>
              <w:rPr>
                <w:rFonts w:ascii="Times New Roman" w:hAnsi="Times New Roman"/>
                <w:sz w:val="24"/>
                <w:szCs w:val="24"/>
              </w:rPr>
              <w:t>NS</w:t>
            </w:r>
          </w:p>
        </w:tc>
        <w:tc>
          <w:tcPr>
            <w:tcW w:w="715" w:type="dxa"/>
            <w:tcBorders>
              <w:top w:val="single" w:sz="4" w:space="0" w:color="auto"/>
              <w:bottom w:val="nil"/>
            </w:tcBorders>
            <w:shd w:val="clear" w:color="auto" w:fill="auto"/>
            <w:tcMar>
              <w:top w:w="15" w:type="dxa"/>
              <w:left w:w="15" w:type="dxa"/>
              <w:bottom w:w="0" w:type="dxa"/>
              <w:right w:w="15" w:type="dxa"/>
            </w:tcMar>
            <w:vAlign w:val="center"/>
          </w:tcPr>
          <w:p w:rsidR="004145E7" w:rsidRDefault="002D6E0C">
            <w:pPr>
              <w:jc w:val="center"/>
              <w:rPr>
                <w:rFonts w:ascii="Times New Roman" w:hAnsi="Times New Roman" w:cs="Times New Roman"/>
                <w:color w:val="000000"/>
                <w:sz w:val="24"/>
                <w:szCs w:val="24"/>
              </w:rPr>
            </w:pPr>
            <w:r>
              <w:rPr>
                <w:rFonts w:ascii="Times New Roman" w:hAnsi="Times New Roman" w:cs="Times New Roman"/>
                <w:color w:val="000000"/>
                <w:sz w:val="24"/>
                <w:szCs w:val="24"/>
              </w:rPr>
              <w:t>NS</w:t>
            </w:r>
          </w:p>
        </w:tc>
      </w:tr>
      <w:tr w:rsidR="004145E7" w:rsidTr="003B1DFA">
        <w:trPr>
          <w:trHeight w:val="120"/>
        </w:trPr>
        <w:tc>
          <w:tcPr>
            <w:tcW w:w="1606" w:type="dxa"/>
            <w:tcBorders>
              <w:top w:val="nil"/>
            </w:tcBorders>
            <w:shd w:val="clear" w:color="auto" w:fill="auto"/>
            <w:tcMar>
              <w:top w:w="15" w:type="dxa"/>
              <w:left w:w="15" w:type="dxa"/>
              <w:bottom w:w="0" w:type="dxa"/>
              <w:right w:w="15" w:type="dxa"/>
            </w:tcMar>
            <w:vAlign w:val="center"/>
          </w:tcPr>
          <w:p w:rsidR="004145E7" w:rsidRDefault="002D6E0C" w:rsidP="003B1DFA">
            <w:pPr>
              <w:pStyle w:val="NoSpacing"/>
              <w:rPr>
                <w:rFonts w:ascii="Times New Roman" w:hAnsi="Times New Roman"/>
                <w:sz w:val="24"/>
                <w:szCs w:val="24"/>
              </w:rPr>
            </w:pPr>
            <w:r>
              <w:rPr>
                <w:rFonts w:ascii="Times New Roman" w:hAnsi="Times New Roman"/>
                <w:sz w:val="24"/>
                <w:szCs w:val="24"/>
              </w:rPr>
              <w:t>F×B</w:t>
            </w:r>
          </w:p>
        </w:tc>
        <w:tc>
          <w:tcPr>
            <w:tcW w:w="1559" w:type="dxa"/>
            <w:tcBorders>
              <w:top w:val="nil"/>
            </w:tcBorders>
            <w:tcMar>
              <w:top w:w="15" w:type="dxa"/>
              <w:left w:w="15" w:type="dxa"/>
              <w:bottom w:w="0" w:type="dxa"/>
              <w:right w:w="15" w:type="dxa"/>
            </w:tcMar>
            <w:vAlign w:val="center"/>
          </w:tcPr>
          <w:p w:rsidR="004145E7" w:rsidRDefault="002D6E0C">
            <w:pPr>
              <w:pStyle w:val="NoSpacing"/>
              <w:jc w:val="center"/>
              <w:rPr>
                <w:rFonts w:ascii="Times New Roman" w:hAnsi="Times New Roman"/>
                <w:sz w:val="24"/>
                <w:szCs w:val="24"/>
              </w:rPr>
            </w:pPr>
            <w:r>
              <w:rPr>
                <w:rFonts w:ascii="Times New Roman" w:hAnsi="Times New Roman"/>
                <w:sz w:val="24"/>
                <w:szCs w:val="24"/>
              </w:rPr>
              <w:t>NS</w:t>
            </w:r>
          </w:p>
        </w:tc>
        <w:tc>
          <w:tcPr>
            <w:tcW w:w="1924" w:type="dxa"/>
            <w:tcBorders>
              <w:top w:val="nil"/>
            </w:tcBorders>
            <w:tcMar>
              <w:top w:w="15" w:type="dxa"/>
              <w:left w:w="15" w:type="dxa"/>
              <w:bottom w:w="0" w:type="dxa"/>
              <w:right w:w="15" w:type="dxa"/>
            </w:tcMar>
            <w:vAlign w:val="center"/>
          </w:tcPr>
          <w:p w:rsidR="004145E7" w:rsidRDefault="002D6E0C">
            <w:pPr>
              <w:pStyle w:val="NoSpacing"/>
              <w:jc w:val="center"/>
              <w:rPr>
                <w:rFonts w:ascii="Times New Roman" w:hAnsi="Times New Roman"/>
                <w:sz w:val="24"/>
                <w:szCs w:val="24"/>
              </w:rPr>
            </w:pPr>
            <w:r>
              <w:rPr>
                <w:rFonts w:ascii="Times New Roman" w:hAnsi="Times New Roman"/>
                <w:sz w:val="24"/>
                <w:szCs w:val="24"/>
              </w:rPr>
              <w:t>NS</w:t>
            </w:r>
          </w:p>
        </w:tc>
        <w:tc>
          <w:tcPr>
            <w:tcW w:w="667" w:type="dxa"/>
            <w:tcBorders>
              <w:top w:val="nil"/>
            </w:tcBorders>
            <w:shd w:val="clear" w:color="auto" w:fill="auto"/>
            <w:tcMar>
              <w:top w:w="12" w:type="dxa"/>
              <w:left w:w="12" w:type="dxa"/>
              <w:bottom w:w="0" w:type="dxa"/>
              <w:right w:w="12" w:type="dxa"/>
            </w:tcMar>
            <w:vAlign w:val="center"/>
          </w:tcPr>
          <w:p w:rsidR="004145E7" w:rsidRDefault="002D6E0C">
            <w:pPr>
              <w:pStyle w:val="NoSpacing"/>
              <w:jc w:val="center"/>
              <w:rPr>
                <w:rFonts w:ascii="Times New Roman" w:hAnsi="Times New Roman"/>
                <w:sz w:val="24"/>
                <w:szCs w:val="24"/>
              </w:rPr>
            </w:pPr>
            <w:r>
              <w:rPr>
                <w:rFonts w:ascii="Times New Roman" w:hAnsi="Times New Roman"/>
                <w:sz w:val="24"/>
                <w:szCs w:val="24"/>
              </w:rPr>
              <w:t>NS</w:t>
            </w:r>
          </w:p>
        </w:tc>
        <w:tc>
          <w:tcPr>
            <w:tcW w:w="887" w:type="dxa"/>
            <w:gridSpan w:val="2"/>
            <w:tcBorders>
              <w:top w:val="nil"/>
            </w:tcBorders>
            <w:shd w:val="clear" w:color="auto" w:fill="auto"/>
            <w:tcMar>
              <w:top w:w="15" w:type="dxa"/>
              <w:left w:w="15" w:type="dxa"/>
              <w:bottom w:w="0" w:type="dxa"/>
              <w:right w:w="15" w:type="dxa"/>
            </w:tcMar>
            <w:vAlign w:val="center"/>
          </w:tcPr>
          <w:p w:rsidR="004145E7" w:rsidRDefault="002D6E0C">
            <w:pPr>
              <w:pStyle w:val="NoSpacing"/>
              <w:jc w:val="center"/>
              <w:rPr>
                <w:rFonts w:ascii="Times New Roman" w:hAnsi="Times New Roman"/>
                <w:sz w:val="24"/>
                <w:szCs w:val="24"/>
              </w:rPr>
            </w:pPr>
            <w:r>
              <w:rPr>
                <w:rFonts w:ascii="Times New Roman" w:hAnsi="Times New Roman"/>
                <w:sz w:val="24"/>
                <w:szCs w:val="24"/>
              </w:rPr>
              <w:t>NS</w:t>
            </w:r>
          </w:p>
        </w:tc>
        <w:tc>
          <w:tcPr>
            <w:tcW w:w="788" w:type="dxa"/>
            <w:gridSpan w:val="2"/>
            <w:tcBorders>
              <w:top w:val="nil"/>
            </w:tcBorders>
            <w:shd w:val="clear" w:color="auto" w:fill="auto"/>
            <w:tcMar>
              <w:top w:w="15" w:type="dxa"/>
              <w:left w:w="15" w:type="dxa"/>
              <w:bottom w:w="0" w:type="dxa"/>
              <w:right w:w="15" w:type="dxa"/>
            </w:tcMar>
            <w:vAlign w:val="center"/>
          </w:tcPr>
          <w:p w:rsidR="004145E7" w:rsidRDefault="002D6E0C">
            <w:pPr>
              <w:pStyle w:val="NoSpacing"/>
              <w:jc w:val="center"/>
              <w:rPr>
                <w:rFonts w:ascii="Times New Roman" w:hAnsi="Times New Roman"/>
                <w:sz w:val="24"/>
                <w:szCs w:val="24"/>
              </w:rPr>
            </w:pPr>
            <w:r>
              <w:rPr>
                <w:rFonts w:ascii="Times New Roman" w:hAnsi="Times New Roman"/>
                <w:sz w:val="24"/>
                <w:szCs w:val="24"/>
              </w:rPr>
              <w:t>NS</w:t>
            </w:r>
          </w:p>
        </w:tc>
        <w:tc>
          <w:tcPr>
            <w:tcW w:w="718" w:type="dxa"/>
            <w:tcBorders>
              <w:top w:val="nil"/>
            </w:tcBorders>
            <w:shd w:val="clear" w:color="auto" w:fill="auto"/>
            <w:tcMar>
              <w:top w:w="15" w:type="dxa"/>
              <w:left w:w="15" w:type="dxa"/>
              <w:bottom w:w="0" w:type="dxa"/>
              <w:right w:w="15" w:type="dxa"/>
            </w:tcMar>
            <w:vAlign w:val="center"/>
          </w:tcPr>
          <w:p w:rsidR="004145E7" w:rsidRDefault="002D6E0C">
            <w:pPr>
              <w:pStyle w:val="NoSpacing"/>
              <w:jc w:val="center"/>
              <w:rPr>
                <w:rFonts w:ascii="Times New Roman" w:hAnsi="Times New Roman"/>
                <w:sz w:val="24"/>
                <w:szCs w:val="24"/>
              </w:rPr>
            </w:pPr>
            <w:r>
              <w:rPr>
                <w:rFonts w:ascii="Times New Roman" w:hAnsi="Times New Roman"/>
                <w:sz w:val="24"/>
                <w:szCs w:val="24"/>
              </w:rPr>
              <w:t>NS</w:t>
            </w:r>
          </w:p>
        </w:tc>
        <w:tc>
          <w:tcPr>
            <w:tcW w:w="870" w:type="dxa"/>
            <w:tcBorders>
              <w:top w:val="nil"/>
            </w:tcBorders>
            <w:shd w:val="clear" w:color="auto" w:fill="auto"/>
            <w:tcMar>
              <w:top w:w="15" w:type="dxa"/>
              <w:left w:w="15" w:type="dxa"/>
              <w:bottom w:w="0" w:type="dxa"/>
              <w:right w:w="15" w:type="dxa"/>
            </w:tcMar>
            <w:vAlign w:val="center"/>
          </w:tcPr>
          <w:p w:rsidR="004145E7" w:rsidRDefault="002D6E0C">
            <w:pPr>
              <w:pStyle w:val="NoSpacing"/>
              <w:jc w:val="center"/>
              <w:rPr>
                <w:rFonts w:ascii="Times New Roman" w:hAnsi="Times New Roman"/>
                <w:sz w:val="24"/>
                <w:szCs w:val="24"/>
              </w:rPr>
            </w:pPr>
            <w:r>
              <w:rPr>
                <w:rFonts w:ascii="Times New Roman" w:hAnsi="Times New Roman"/>
                <w:sz w:val="24"/>
                <w:szCs w:val="24"/>
              </w:rPr>
              <w:t>NS</w:t>
            </w:r>
          </w:p>
        </w:tc>
        <w:tc>
          <w:tcPr>
            <w:tcW w:w="715" w:type="dxa"/>
            <w:tcBorders>
              <w:top w:val="nil"/>
            </w:tcBorders>
            <w:shd w:val="clear" w:color="auto" w:fill="auto"/>
            <w:tcMar>
              <w:top w:w="15" w:type="dxa"/>
              <w:left w:w="15" w:type="dxa"/>
              <w:bottom w:w="0" w:type="dxa"/>
              <w:right w:w="15" w:type="dxa"/>
            </w:tcMar>
            <w:vAlign w:val="center"/>
          </w:tcPr>
          <w:p w:rsidR="004145E7" w:rsidRDefault="002D6E0C">
            <w:pPr>
              <w:jc w:val="center"/>
              <w:rPr>
                <w:rFonts w:ascii="Times New Roman" w:hAnsi="Times New Roman" w:cs="Times New Roman"/>
                <w:color w:val="000000"/>
                <w:sz w:val="24"/>
                <w:szCs w:val="24"/>
              </w:rPr>
            </w:pPr>
            <w:r>
              <w:rPr>
                <w:rFonts w:ascii="Times New Roman" w:hAnsi="Times New Roman" w:cs="Times New Roman"/>
                <w:color w:val="000000"/>
                <w:sz w:val="24"/>
                <w:szCs w:val="24"/>
              </w:rPr>
              <w:t>NS</w:t>
            </w:r>
          </w:p>
        </w:tc>
      </w:tr>
      <w:tr w:rsidR="004145E7" w:rsidTr="00066942">
        <w:trPr>
          <w:trHeight w:val="120"/>
        </w:trPr>
        <w:tc>
          <w:tcPr>
            <w:tcW w:w="1606" w:type="dxa"/>
            <w:shd w:val="clear" w:color="auto" w:fill="auto"/>
            <w:tcMar>
              <w:top w:w="15" w:type="dxa"/>
              <w:left w:w="15" w:type="dxa"/>
              <w:bottom w:w="0" w:type="dxa"/>
              <w:right w:w="15" w:type="dxa"/>
            </w:tcMar>
            <w:vAlign w:val="center"/>
          </w:tcPr>
          <w:p w:rsidR="004145E7" w:rsidRDefault="002D6E0C" w:rsidP="003B1DFA">
            <w:pPr>
              <w:pStyle w:val="NoSpacing"/>
              <w:rPr>
                <w:rFonts w:ascii="Times New Roman" w:hAnsi="Times New Roman"/>
                <w:sz w:val="24"/>
                <w:szCs w:val="24"/>
              </w:rPr>
            </w:pPr>
            <w:r>
              <w:rPr>
                <w:rFonts w:ascii="Times New Roman" w:hAnsi="Times New Roman"/>
                <w:sz w:val="24"/>
                <w:szCs w:val="24"/>
              </w:rPr>
              <w:t>K×B</w:t>
            </w:r>
          </w:p>
        </w:tc>
        <w:tc>
          <w:tcPr>
            <w:tcW w:w="1559" w:type="dxa"/>
            <w:tcMar>
              <w:top w:w="15" w:type="dxa"/>
              <w:left w:w="15" w:type="dxa"/>
              <w:bottom w:w="0" w:type="dxa"/>
              <w:right w:w="15" w:type="dxa"/>
            </w:tcMar>
            <w:vAlign w:val="center"/>
          </w:tcPr>
          <w:p w:rsidR="004145E7" w:rsidRDefault="002D6E0C">
            <w:pPr>
              <w:pStyle w:val="NoSpacing"/>
              <w:jc w:val="center"/>
              <w:rPr>
                <w:rFonts w:ascii="Times New Roman" w:hAnsi="Times New Roman"/>
                <w:sz w:val="24"/>
                <w:szCs w:val="24"/>
              </w:rPr>
            </w:pPr>
            <w:r>
              <w:rPr>
                <w:rFonts w:ascii="Times New Roman" w:hAnsi="Times New Roman"/>
                <w:sz w:val="24"/>
                <w:szCs w:val="24"/>
              </w:rPr>
              <w:t>NS</w:t>
            </w:r>
          </w:p>
        </w:tc>
        <w:tc>
          <w:tcPr>
            <w:tcW w:w="1924" w:type="dxa"/>
            <w:tcMar>
              <w:top w:w="15" w:type="dxa"/>
              <w:left w:w="15" w:type="dxa"/>
              <w:bottom w:w="0" w:type="dxa"/>
              <w:right w:w="15" w:type="dxa"/>
            </w:tcMar>
            <w:vAlign w:val="center"/>
          </w:tcPr>
          <w:p w:rsidR="004145E7" w:rsidRDefault="002D6E0C">
            <w:pPr>
              <w:pStyle w:val="NoSpacing"/>
              <w:jc w:val="center"/>
              <w:rPr>
                <w:rFonts w:ascii="Times New Roman" w:hAnsi="Times New Roman"/>
                <w:sz w:val="24"/>
                <w:szCs w:val="24"/>
              </w:rPr>
            </w:pPr>
            <w:r>
              <w:rPr>
                <w:rFonts w:ascii="Times New Roman" w:hAnsi="Times New Roman"/>
                <w:sz w:val="24"/>
                <w:szCs w:val="24"/>
              </w:rPr>
              <w:t>NS</w:t>
            </w:r>
          </w:p>
        </w:tc>
        <w:tc>
          <w:tcPr>
            <w:tcW w:w="667" w:type="dxa"/>
            <w:shd w:val="clear" w:color="auto" w:fill="auto"/>
            <w:tcMar>
              <w:top w:w="12" w:type="dxa"/>
              <w:left w:w="12" w:type="dxa"/>
              <w:bottom w:w="0" w:type="dxa"/>
              <w:right w:w="12" w:type="dxa"/>
            </w:tcMar>
            <w:vAlign w:val="center"/>
          </w:tcPr>
          <w:p w:rsidR="004145E7" w:rsidRDefault="002D6E0C">
            <w:pPr>
              <w:pStyle w:val="NoSpacing"/>
              <w:jc w:val="center"/>
              <w:rPr>
                <w:rFonts w:ascii="Times New Roman" w:hAnsi="Times New Roman"/>
                <w:sz w:val="24"/>
                <w:szCs w:val="24"/>
              </w:rPr>
            </w:pPr>
            <w:r>
              <w:rPr>
                <w:rFonts w:ascii="Times New Roman" w:hAnsi="Times New Roman"/>
                <w:sz w:val="24"/>
                <w:szCs w:val="24"/>
              </w:rPr>
              <w:t>NS</w:t>
            </w:r>
          </w:p>
        </w:tc>
        <w:tc>
          <w:tcPr>
            <w:tcW w:w="887" w:type="dxa"/>
            <w:gridSpan w:val="2"/>
            <w:shd w:val="clear" w:color="auto" w:fill="auto"/>
            <w:tcMar>
              <w:top w:w="15" w:type="dxa"/>
              <w:left w:w="15" w:type="dxa"/>
              <w:bottom w:w="0" w:type="dxa"/>
              <w:right w:w="15" w:type="dxa"/>
            </w:tcMar>
            <w:vAlign w:val="center"/>
          </w:tcPr>
          <w:p w:rsidR="004145E7" w:rsidRDefault="002D6E0C">
            <w:pPr>
              <w:pStyle w:val="NoSpacing"/>
              <w:jc w:val="center"/>
              <w:rPr>
                <w:rFonts w:ascii="Times New Roman" w:hAnsi="Times New Roman"/>
                <w:sz w:val="24"/>
                <w:szCs w:val="24"/>
              </w:rPr>
            </w:pPr>
            <w:r>
              <w:rPr>
                <w:rFonts w:ascii="Times New Roman" w:hAnsi="Times New Roman"/>
                <w:sz w:val="24"/>
                <w:szCs w:val="24"/>
              </w:rPr>
              <w:t>NS</w:t>
            </w:r>
          </w:p>
        </w:tc>
        <w:tc>
          <w:tcPr>
            <w:tcW w:w="788" w:type="dxa"/>
            <w:gridSpan w:val="2"/>
            <w:shd w:val="clear" w:color="auto" w:fill="auto"/>
            <w:tcMar>
              <w:top w:w="15" w:type="dxa"/>
              <w:left w:w="15" w:type="dxa"/>
              <w:bottom w:w="0" w:type="dxa"/>
              <w:right w:w="15" w:type="dxa"/>
            </w:tcMar>
            <w:vAlign w:val="center"/>
          </w:tcPr>
          <w:p w:rsidR="004145E7" w:rsidRDefault="002D6E0C">
            <w:pPr>
              <w:pStyle w:val="NoSpacing"/>
              <w:jc w:val="center"/>
              <w:rPr>
                <w:rFonts w:ascii="Times New Roman" w:hAnsi="Times New Roman"/>
                <w:sz w:val="24"/>
                <w:szCs w:val="24"/>
              </w:rPr>
            </w:pPr>
            <w:r>
              <w:rPr>
                <w:rFonts w:ascii="Times New Roman" w:hAnsi="Times New Roman"/>
                <w:sz w:val="24"/>
                <w:szCs w:val="24"/>
              </w:rPr>
              <w:t>NS</w:t>
            </w:r>
          </w:p>
        </w:tc>
        <w:tc>
          <w:tcPr>
            <w:tcW w:w="718" w:type="dxa"/>
            <w:shd w:val="clear" w:color="auto" w:fill="auto"/>
            <w:tcMar>
              <w:top w:w="15" w:type="dxa"/>
              <w:left w:w="15" w:type="dxa"/>
              <w:bottom w:w="0" w:type="dxa"/>
              <w:right w:w="15" w:type="dxa"/>
            </w:tcMar>
            <w:vAlign w:val="center"/>
          </w:tcPr>
          <w:p w:rsidR="004145E7" w:rsidRDefault="002D6E0C">
            <w:pPr>
              <w:pStyle w:val="NoSpacing"/>
              <w:jc w:val="center"/>
              <w:rPr>
                <w:rFonts w:ascii="Times New Roman" w:hAnsi="Times New Roman"/>
                <w:sz w:val="24"/>
                <w:szCs w:val="24"/>
              </w:rPr>
            </w:pPr>
            <w:r>
              <w:rPr>
                <w:rFonts w:ascii="Times New Roman" w:hAnsi="Times New Roman"/>
                <w:sz w:val="24"/>
                <w:szCs w:val="24"/>
              </w:rPr>
              <w:t>NS</w:t>
            </w:r>
          </w:p>
        </w:tc>
        <w:tc>
          <w:tcPr>
            <w:tcW w:w="870" w:type="dxa"/>
            <w:shd w:val="clear" w:color="auto" w:fill="auto"/>
            <w:tcMar>
              <w:top w:w="15" w:type="dxa"/>
              <w:left w:w="15" w:type="dxa"/>
              <w:bottom w:w="0" w:type="dxa"/>
              <w:right w:w="15" w:type="dxa"/>
            </w:tcMar>
            <w:vAlign w:val="center"/>
          </w:tcPr>
          <w:p w:rsidR="004145E7" w:rsidRDefault="002D6E0C">
            <w:pPr>
              <w:pStyle w:val="NoSpacing"/>
              <w:jc w:val="center"/>
              <w:rPr>
                <w:rFonts w:ascii="Times New Roman" w:hAnsi="Times New Roman"/>
                <w:sz w:val="24"/>
                <w:szCs w:val="24"/>
              </w:rPr>
            </w:pPr>
            <w:r>
              <w:rPr>
                <w:rFonts w:ascii="Times New Roman" w:hAnsi="Times New Roman"/>
                <w:sz w:val="24"/>
                <w:szCs w:val="24"/>
              </w:rPr>
              <w:t>NS</w:t>
            </w:r>
          </w:p>
        </w:tc>
        <w:tc>
          <w:tcPr>
            <w:tcW w:w="715" w:type="dxa"/>
            <w:shd w:val="clear" w:color="auto" w:fill="auto"/>
            <w:tcMar>
              <w:top w:w="15" w:type="dxa"/>
              <w:left w:w="15" w:type="dxa"/>
              <w:bottom w:w="0" w:type="dxa"/>
              <w:right w:w="15" w:type="dxa"/>
            </w:tcMar>
            <w:vAlign w:val="center"/>
          </w:tcPr>
          <w:p w:rsidR="004145E7" w:rsidRDefault="002D6E0C">
            <w:pPr>
              <w:jc w:val="center"/>
              <w:rPr>
                <w:rFonts w:ascii="Times New Roman" w:hAnsi="Times New Roman" w:cs="Times New Roman"/>
                <w:color w:val="000000"/>
                <w:sz w:val="24"/>
                <w:szCs w:val="24"/>
              </w:rPr>
            </w:pPr>
            <w:r>
              <w:rPr>
                <w:rFonts w:ascii="Times New Roman" w:hAnsi="Times New Roman" w:cs="Times New Roman"/>
                <w:color w:val="000000"/>
                <w:sz w:val="24"/>
                <w:szCs w:val="24"/>
              </w:rPr>
              <w:t>NS</w:t>
            </w:r>
          </w:p>
        </w:tc>
      </w:tr>
      <w:tr w:rsidR="004145E7" w:rsidTr="00066942">
        <w:trPr>
          <w:trHeight w:val="120"/>
        </w:trPr>
        <w:tc>
          <w:tcPr>
            <w:tcW w:w="1606" w:type="dxa"/>
            <w:shd w:val="clear" w:color="auto" w:fill="auto"/>
            <w:tcMar>
              <w:top w:w="15" w:type="dxa"/>
              <w:left w:w="15" w:type="dxa"/>
              <w:bottom w:w="0" w:type="dxa"/>
              <w:right w:w="15" w:type="dxa"/>
            </w:tcMar>
            <w:vAlign w:val="center"/>
          </w:tcPr>
          <w:p w:rsidR="004145E7" w:rsidRDefault="002D6E0C" w:rsidP="003B1DFA">
            <w:pPr>
              <w:pStyle w:val="NoSpacing"/>
              <w:rPr>
                <w:rFonts w:ascii="Times New Roman" w:hAnsi="Times New Roman"/>
                <w:sz w:val="24"/>
                <w:szCs w:val="24"/>
              </w:rPr>
            </w:pPr>
            <w:r>
              <w:rPr>
                <w:rFonts w:ascii="Times New Roman" w:hAnsi="Times New Roman"/>
                <w:sz w:val="24"/>
                <w:szCs w:val="24"/>
              </w:rPr>
              <w:t>F×K×B</w:t>
            </w:r>
          </w:p>
        </w:tc>
        <w:tc>
          <w:tcPr>
            <w:tcW w:w="1559" w:type="dxa"/>
            <w:tcMar>
              <w:top w:w="15" w:type="dxa"/>
              <w:left w:w="15" w:type="dxa"/>
              <w:bottom w:w="0" w:type="dxa"/>
              <w:right w:w="15" w:type="dxa"/>
            </w:tcMar>
            <w:vAlign w:val="center"/>
          </w:tcPr>
          <w:p w:rsidR="004145E7" w:rsidRDefault="002D6E0C">
            <w:pPr>
              <w:pStyle w:val="NoSpacing"/>
              <w:jc w:val="center"/>
              <w:rPr>
                <w:rFonts w:ascii="Times New Roman" w:hAnsi="Times New Roman"/>
                <w:sz w:val="24"/>
                <w:szCs w:val="24"/>
              </w:rPr>
            </w:pPr>
            <w:r>
              <w:rPr>
                <w:rFonts w:ascii="Times New Roman" w:hAnsi="Times New Roman"/>
                <w:sz w:val="24"/>
                <w:szCs w:val="24"/>
              </w:rPr>
              <w:t>NS</w:t>
            </w:r>
          </w:p>
        </w:tc>
        <w:tc>
          <w:tcPr>
            <w:tcW w:w="1924" w:type="dxa"/>
            <w:tcMar>
              <w:top w:w="15" w:type="dxa"/>
              <w:left w:w="15" w:type="dxa"/>
              <w:bottom w:w="0" w:type="dxa"/>
              <w:right w:w="15" w:type="dxa"/>
            </w:tcMar>
            <w:vAlign w:val="center"/>
          </w:tcPr>
          <w:p w:rsidR="004145E7" w:rsidRDefault="002D6E0C">
            <w:pPr>
              <w:pStyle w:val="NoSpacing"/>
              <w:jc w:val="center"/>
              <w:rPr>
                <w:rFonts w:ascii="Times New Roman" w:hAnsi="Times New Roman"/>
                <w:sz w:val="24"/>
                <w:szCs w:val="24"/>
              </w:rPr>
            </w:pPr>
            <w:r>
              <w:rPr>
                <w:rFonts w:ascii="Times New Roman" w:hAnsi="Times New Roman"/>
                <w:sz w:val="24"/>
                <w:szCs w:val="24"/>
              </w:rPr>
              <w:t>NS</w:t>
            </w:r>
          </w:p>
        </w:tc>
        <w:tc>
          <w:tcPr>
            <w:tcW w:w="667" w:type="dxa"/>
            <w:shd w:val="clear" w:color="auto" w:fill="auto"/>
            <w:tcMar>
              <w:top w:w="12" w:type="dxa"/>
              <w:left w:w="12" w:type="dxa"/>
              <w:bottom w:w="0" w:type="dxa"/>
              <w:right w:w="12" w:type="dxa"/>
            </w:tcMar>
            <w:vAlign w:val="center"/>
          </w:tcPr>
          <w:p w:rsidR="004145E7" w:rsidRDefault="002D6E0C">
            <w:pPr>
              <w:pStyle w:val="NoSpacing"/>
              <w:jc w:val="center"/>
              <w:rPr>
                <w:rFonts w:ascii="Times New Roman" w:hAnsi="Times New Roman"/>
                <w:sz w:val="24"/>
                <w:szCs w:val="24"/>
              </w:rPr>
            </w:pPr>
            <w:r>
              <w:rPr>
                <w:rFonts w:ascii="Times New Roman" w:hAnsi="Times New Roman"/>
                <w:sz w:val="24"/>
                <w:szCs w:val="24"/>
              </w:rPr>
              <w:t>NS</w:t>
            </w:r>
          </w:p>
        </w:tc>
        <w:tc>
          <w:tcPr>
            <w:tcW w:w="887" w:type="dxa"/>
            <w:gridSpan w:val="2"/>
            <w:shd w:val="clear" w:color="auto" w:fill="auto"/>
            <w:tcMar>
              <w:top w:w="15" w:type="dxa"/>
              <w:left w:w="15" w:type="dxa"/>
              <w:bottom w:w="0" w:type="dxa"/>
              <w:right w:w="15" w:type="dxa"/>
            </w:tcMar>
            <w:vAlign w:val="center"/>
          </w:tcPr>
          <w:p w:rsidR="004145E7" w:rsidRDefault="002D6E0C">
            <w:pPr>
              <w:pStyle w:val="NoSpacing"/>
              <w:jc w:val="center"/>
              <w:rPr>
                <w:rFonts w:ascii="Times New Roman" w:hAnsi="Times New Roman"/>
                <w:sz w:val="24"/>
                <w:szCs w:val="24"/>
              </w:rPr>
            </w:pPr>
            <w:r>
              <w:rPr>
                <w:rFonts w:ascii="Times New Roman" w:hAnsi="Times New Roman"/>
                <w:sz w:val="24"/>
                <w:szCs w:val="24"/>
              </w:rPr>
              <w:t>NS</w:t>
            </w:r>
          </w:p>
        </w:tc>
        <w:tc>
          <w:tcPr>
            <w:tcW w:w="788" w:type="dxa"/>
            <w:gridSpan w:val="2"/>
            <w:shd w:val="clear" w:color="auto" w:fill="auto"/>
            <w:tcMar>
              <w:top w:w="15" w:type="dxa"/>
              <w:left w:w="15" w:type="dxa"/>
              <w:bottom w:w="0" w:type="dxa"/>
              <w:right w:w="15" w:type="dxa"/>
            </w:tcMar>
            <w:vAlign w:val="center"/>
          </w:tcPr>
          <w:p w:rsidR="004145E7" w:rsidRDefault="002D6E0C">
            <w:pPr>
              <w:pStyle w:val="NoSpacing"/>
              <w:jc w:val="center"/>
              <w:rPr>
                <w:rFonts w:ascii="Times New Roman" w:hAnsi="Times New Roman"/>
                <w:sz w:val="24"/>
                <w:szCs w:val="24"/>
              </w:rPr>
            </w:pPr>
            <w:r>
              <w:rPr>
                <w:rFonts w:ascii="Times New Roman" w:hAnsi="Times New Roman"/>
                <w:sz w:val="24"/>
                <w:szCs w:val="24"/>
              </w:rPr>
              <w:t>NS</w:t>
            </w:r>
          </w:p>
        </w:tc>
        <w:tc>
          <w:tcPr>
            <w:tcW w:w="718" w:type="dxa"/>
            <w:shd w:val="clear" w:color="auto" w:fill="auto"/>
            <w:tcMar>
              <w:top w:w="15" w:type="dxa"/>
              <w:left w:w="15" w:type="dxa"/>
              <w:bottom w:w="0" w:type="dxa"/>
              <w:right w:w="15" w:type="dxa"/>
            </w:tcMar>
            <w:vAlign w:val="center"/>
          </w:tcPr>
          <w:p w:rsidR="004145E7" w:rsidRDefault="002D6E0C">
            <w:pPr>
              <w:pStyle w:val="NoSpacing"/>
              <w:jc w:val="center"/>
              <w:rPr>
                <w:rFonts w:ascii="Times New Roman" w:hAnsi="Times New Roman"/>
                <w:sz w:val="24"/>
                <w:szCs w:val="24"/>
              </w:rPr>
            </w:pPr>
            <w:r>
              <w:rPr>
                <w:rFonts w:ascii="Times New Roman" w:hAnsi="Times New Roman"/>
                <w:sz w:val="24"/>
                <w:szCs w:val="24"/>
              </w:rPr>
              <w:t>NS</w:t>
            </w:r>
          </w:p>
        </w:tc>
        <w:tc>
          <w:tcPr>
            <w:tcW w:w="870" w:type="dxa"/>
            <w:shd w:val="clear" w:color="auto" w:fill="auto"/>
            <w:tcMar>
              <w:top w:w="15" w:type="dxa"/>
              <w:left w:w="15" w:type="dxa"/>
              <w:bottom w:w="0" w:type="dxa"/>
              <w:right w:w="15" w:type="dxa"/>
            </w:tcMar>
            <w:vAlign w:val="center"/>
          </w:tcPr>
          <w:p w:rsidR="004145E7" w:rsidRDefault="002D6E0C">
            <w:pPr>
              <w:pStyle w:val="NoSpacing"/>
              <w:jc w:val="center"/>
              <w:rPr>
                <w:rFonts w:ascii="Times New Roman" w:hAnsi="Times New Roman"/>
                <w:sz w:val="24"/>
                <w:szCs w:val="24"/>
              </w:rPr>
            </w:pPr>
            <w:r>
              <w:rPr>
                <w:rFonts w:ascii="Times New Roman" w:hAnsi="Times New Roman"/>
                <w:sz w:val="24"/>
                <w:szCs w:val="24"/>
              </w:rPr>
              <w:t>NS</w:t>
            </w:r>
          </w:p>
        </w:tc>
        <w:tc>
          <w:tcPr>
            <w:tcW w:w="715" w:type="dxa"/>
            <w:shd w:val="clear" w:color="auto" w:fill="auto"/>
            <w:tcMar>
              <w:top w:w="15" w:type="dxa"/>
              <w:left w:w="15" w:type="dxa"/>
              <w:bottom w:w="0" w:type="dxa"/>
              <w:right w:w="15" w:type="dxa"/>
            </w:tcMar>
            <w:vAlign w:val="center"/>
          </w:tcPr>
          <w:p w:rsidR="004145E7" w:rsidRDefault="002D6E0C">
            <w:pPr>
              <w:jc w:val="center"/>
              <w:rPr>
                <w:rFonts w:ascii="Times New Roman" w:hAnsi="Times New Roman" w:cs="Times New Roman"/>
                <w:color w:val="000000"/>
                <w:sz w:val="24"/>
                <w:szCs w:val="24"/>
              </w:rPr>
            </w:pPr>
            <w:r>
              <w:rPr>
                <w:rFonts w:ascii="Times New Roman" w:hAnsi="Times New Roman" w:cs="Times New Roman"/>
                <w:color w:val="000000"/>
                <w:sz w:val="24"/>
                <w:szCs w:val="24"/>
              </w:rPr>
              <w:t>NS</w:t>
            </w:r>
          </w:p>
        </w:tc>
      </w:tr>
      <w:tr w:rsidR="004145E7" w:rsidTr="00066942">
        <w:trPr>
          <w:trHeight w:val="120"/>
        </w:trPr>
        <w:tc>
          <w:tcPr>
            <w:tcW w:w="1606" w:type="dxa"/>
            <w:shd w:val="clear" w:color="auto" w:fill="auto"/>
            <w:tcMar>
              <w:top w:w="15" w:type="dxa"/>
              <w:left w:w="15" w:type="dxa"/>
              <w:bottom w:w="0" w:type="dxa"/>
              <w:right w:w="15" w:type="dxa"/>
            </w:tcMar>
            <w:vAlign w:val="center"/>
          </w:tcPr>
          <w:p w:rsidR="004145E7" w:rsidRDefault="002D6E0C" w:rsidP="003B1DFA">
            <w:pPr>
              <w:pStyle w:val="NoSpacing"/>
              <w:rPr>
                <w:rFonts w:ascii="Times New Roman" w:hAnsi="Times New Roman"/>
                <w:sz w:val="24"/>
                <w:szCs w:val="24"/>
              </w:rPr>
            </w:pPr>
            <w:r>
              <w:rPr>
                <w:rFonts w:ascii="Times New Roman" w:hAnsi="Times New Roman"/>
                <w:sz w:val="24"/>
                <w:szCs w:val="24"/>
              </w:rPr>
              <w:t>C.V (%)</w:t>
            </w:r>
          </w:p>
        </w:tc>
        <w:tc>
          <w:tcPr>
            <w:tcW w:w="1559" w:type="dxa"/>
            <w:tcMar>
              <w:top w:w="15" w:type="dxa"/>
              <w:left w:w="15" w:type="dxa"/>
              <w:bottom w:w="0" w:type="dxa"/>
              <w:right w:w="15" w:type="dxa"/>
            </w:tcMar>
            <w:vAlign w:val="center"/>
          </w:tcPr>
          <w:p w:rsidR="004145E7" w:rsidRDefault="002D6E0C">
            <w:pPr>
              <w:pStyle w:val="NoSpacing"/>
              <w:jc w:val="center"/>
              <w:rPr>
                <w:rFonts w:ascii="Times New Roman" w:hAnsi="Times New Roman"/>
                <w:sz w:val="24"/>
                <w:szCs w:val="24"/>
              </w:rPr>
            </w:pPr>
            <w:r>
              <w:rPr>
                <w:rFonts w:ascii="Times New Roman" w:hAnsi="Times New Roman"/>
                <w:sz w:val="24"/>
                <w:szCs w:val="24"/>
              </w:rPr>
              <w:t>2.23</w:t>
            </w:r>
          </w:p>
        </w:tc>
        <w:tc>
          <w:tcPr>
            <w:tcW w:w="1924" w:type="dxa"/>
            <w:tcMar>
              <w:top w:w="15" w:type="dxa"/>
              <w:left w:w="15" w:type="dxa"/>
              <w:bottom w:w="0" w:type="dxa"/>
              <w:right w:w="15" w:type="dxa"/>
            </w:tcMar>
            <w:vAlign w:val="center"/>
          </w:tcPr>
          <w:p w:rsidR="004145E7" w:rsidRDefault="002D6E0C">
            <w:pPr>
              <w:pStyle w:val="NoSpacing"/>
              <w:jc w:val="center"/>
              <w:rPr>
                <w:rFonts w:ascii="Times New Roman" w:hAnsi="Times New Roman"/>
                <w:sz w:val="24"/>
                <w:szCs w:val="24"/>
              </w:rPr>
            </w:pPr>
            <w:r>
              <w:rPr>
                <w:rFonts w:ascii="Times New Roman" w:hAnsi="Times New Roman"/>
                <w:sz w:val="24"/>
                <w:szCs w:val="24"/>
              </w:rPr>
              <w:t>3.48</w:t>
            </w:r>
          </w:p>
        </w:tc>
        <w:tc>
          <w:tcPr>
            <w:tcW w:w="667" w:type="dxa"/>
            <w:shd w:val="clear" w:color="auto" w:fill="auto"/>
            <w:tcMar>
              <w:top w:w="12" w:type="dxa"/>
              <w:left w:w="12" w:type="dxa"/>
              <w:bottom w:w="0" w:type="dxa"/>
              <w:right w:w="12" w:type="dxa"/>
            </w:tcMar>
            <w:vAlign w:val="center"/>
          </w:tcPr>
          <w:p w:rsidR="004145E7" w:rsidRDefault="002D6E0C">
            <w:pPr>
              <w:pStyle w:val="NoSpacing"/>
              <w:jc w:val="center"/>
              <w:rPr>
                <w:rFonts w:ascii="Times New Roman" w:hAnsi="Times New Roman"/>
                <w:sz w:val="24"/>
                <w:szCs w:val="24"/>
              </w:rPr>
            </w:pPr>
            <w:r>
              <w:rPr>
                <w:rFonts w:ascii="Times New Roman" w:hAnsi="Times New Roman"/>
                <w:sz w:val="24"/>
                <w:szCs w:val="24"/>
              </w:rPr>
              <w:t>3.52</w:t>
            </w:r>
          </w:p>
        </w:tc>
        <w:tc>
          <w:tcPr>
            <w:tcW w:w="887" w:type="dxa"/>
            <w:gridSpan w:val="2"/>
            <w:shd w:val="clear" w:color="auto" w:fill="auto"/>
            <w:tcMar>
              <w:top w:w="15" w:type="dxa"/>
              <w:left w:w="15" w:type="dxa"/>
              <w:bottom w:w="0" w:type="dxa"/>
              <w:right w:w="15" w:type="dxa"/>
            </w:tcMar>
            <w:vAlign w:val="center"/>
          </w:tcPr>
          <w:p w:rsidR="004145E7" w:rsidRDefault="002D6E0C">
            <w:pPr>
              <w:pStyle w:val="NoSpacing"/>
              <w:jc w:val="center"/>
              <w:rPr>
                <w:rFonts w:ascii="Times New Roman" w:hAnsi="Times New Roman"/>
                <w:sz w:val="24"/>
                <w:szCs w:val="24"/>
              </w:rPr>
            </w:pPr>
            <w:r>
              <w:rPr>
                <w:rFonts w:ascii="Times New Roman" w:hAnsi="Times New Roman"/>
                <w:sz w:val="24"/>
                <w:szCs w:val="24"/>
              </w:rPr>
              <w:t>5.39</w:t>
            </w:r>
          </w:p>
        </w:tc>
        <w:tc>
          <w:tcPr>
            <w:tcW w:w="788" w:type="dxa"/>
            <w:gridSpan w:val="2"/>
            <w:shd w:val="clear" w:color="auto" w:fill="auto"/>
            <w:tcMar>
              <w:top w:w="15" w:type="dxa"/>
              <w:left w:w="15" w:type="dxa"/>
              <w:bottom w:w="0" w:type="dxa"/>
              <w:right w:w="15" w:type="dxa"/>
            </w:tcMar>
            <w:vAlign w:val="center"/>
          </w:tcPr>
          <w:p w:rsidR="004145E7" w:rsidRDefault="002D6E0C">
            <w:pPr>
              <w:pStyle w:val="NoSpacing"/>
              <w:jc w:val="center"/>
              <w:rPr>
                <w:rFonts w:ascii="Times New Roman" w:hAnsi="Times New Roman"/>
                <w:sz w:val="24"/>
                <w:szCs w:val="24"/>
              </w:rPr>
            </w:pPr>
            <w:r>
              <w:rPr>
                <w:rFonts w:ascii="Times New Roman" w:hAnsi="Times New Roman"/>
                <w:sz w:val="24"/>
                <w:szCs w:val="24"/>
              </w:rPr>
              <w:t>7.70</w:t>
            </w:r>
          </w:p>
        </w:tc>
        <w:tc>
          <w:tcPr>
            <w:tcW w:w="718" w:type="dxa"/>
            <w:shd w:val="clear" w:color="auto" w:fill="auto"/>
            <w:tcMar>
              <w:top w:w="15" w:type="dxa"/>
              <w:left w:w="15" w:type="dxa"/>
              <w:bottom w:w="0" w:type="dxa"/>
              <w:right w:w="15" w:type="dxa"/>
            </w:tcMar>
            <w:vAlign w:val="center"/>
          </w:tcPr>
          <w:p w:rsidR="004145E7" w:rsidRDefault="002D6E0C">
            <w:pPr>
              <w:pStyle w:val="NoSpacing"/>
              <w:jc w:val="center"/>
              <w:rPr>
                <w:rFonts w:ascii="Times New Roman" w:hAnsi="Times New Roman"/>
                <w:sz w:val="24"/>
                <w:szCs w:val="24"/>
              </w:rPr>
            </w:pPr>
            <w:r>
              <w:rPr>
                <w:rFonts w:ascii="Times New Roman" w:hAnsi="Times New Roman"/>
                <w:sz w:val="24"/>
                <w:szCs w:val="24"/>
              </w:rPr>
              <w:t>4.95</w:t>
            </w:r>
          </w:p>
        </w:tc>
        <w:tc>
          <w:tcPr>
            <w:tcW w:w="870" w:type="dxa"/>
            <w:shd w:val="clear" w:color="auto" w:fill="auto"/>
            <w:tcMar>
              <w:top w:w="15" w:type="dxa"/>
              <w:left w:w="15" w:type="dxa"/>
              <w:bottom w:w="0" w:type="dxa"/>
              <w:right w:w="15" w:type="dxa"/>
            </w:tcMar>
            <w:vAlign w:val="center"/>
          </w:tcPr>
          <w:p w:rsidR="004145E7" w:rsidRDefault="002D6E0C">
            <w:pPr>
              <w:pStyle w:val="NoSpacing"/>
              <w:jc w:val="center"/>
              <w:rPr>
                <w:rFonts w:ascii="Times New Roman" w:hAnsi="Times New Roman"/>
                <w:sz w:val="24"/>
                <w:szCs w:val="24"/>
              </w:rPr>
            </w:pPr>
            <w:r>
              <w:rPr>
                <w:rFonts w:ascii="Times New Roman" w:hAnsi="Times New Roman"/>
                <w:sz w:val="24"/>
                <w:szCs w:val="24"/>
              </w:rPr>
              <w:t>6.42</w:t>
            </w:r>
          </w:p>
        </w:tc>
        <w:tc>
          <w:tcPr>
            <w:tcW w:w="715" w:type="dxa"/>
            <w:shd w:val="clear" w:color="auto" w:fill="auto"/>
            <w:tcMar>
              <w:top w:w="15" w:type="dxa"/>
              <w:left w:w="15" w:type="dxa"/>
              <w:bottom w:w="0" w:type="dxa"/>
              <w:right w:w="15" w:type="dxa"/>
            </w:tcMar>
            <w:vAlign w:val="center"/>
          </w:tcPr>
          <w:p w:rsidR="004145E7" w:rsidRDefault="002D6E0C">
            <w:pPr>
              <w:jc w:val="center"/>
              <w:rPr>
                <w:rFonts w:ascii="Times New Roman" w:hAnsi="Times New Roman" w:cs="Times New Roman"/>
                <w:color w:val="000000"/>
                <w:sz w:val="24"/>
                <w:szCs w:val="24"/>
              </w:rPr>
            </w:pPr>
            <w:r>
              <w:rPr>
                <w:rFonts w:ascii="Times New Roman" w:hAnsi="Times New Roman" w:cs="Times New Roman"/>
                <w:color w:val="000000"/>
                <w:sz w:val="24"/>
                <w:szCs w:val="24"/>
              </w:rPr>
              <w:t>4.65</w:t>
            </w:r>
          </w:p>
        </w:tc>
      </w:tr>
    </w:tbl>
    <w:p w:rsidR="004145E7" w:rsidRDefault="004145E7">
      <w:pPr>
        <w:spacing w:line="240" w:lineRule="auto"/>
        <w:jc w:val="both"/>
        <w:rPr>
          <w:rFonts w:ascii="Times New Roman" w:hAnsi="Times New Roman" w:cs="Times New Roman"/>
          <w:b/>
          <w:bCs/>
          <w:sz w:val="24"/>
          <w:szCs w:val="24"/>
        </w:rPr>
      </w:pPr>
    </w:p>
    <w:p w:rsidR="004145E7" w:rsidRDefault="004145E7">
      <w:pPr>
        <w:spacing w:line="240" w:lineRule="auto"/>
        <w:jc w:val="both"/>
        <w:rPr>
          <w:rFonts w:ascii="Times New Roman" w:hAnsi="Times New Roman" w:cs="Times New Roman"/>
          <w:b/>
          <w:bCs/>
          <w:sz w:val="24"/>
          <w:szCs w:val="24"/>
        </w:rPr>
      </w:pPr>
    </w:p>
    <w:p w:rsidR="004145E7" w:rsidRDefault="002D6E0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3.4 Phosphorus content in kernel</w:t>
      </w:r>
    </w:p>
    <w:p w:rsidR="004145E7" w:rsidRDefault="002D6E0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3.4.1Effect of FYM</w:t>
      </w:r>
    </w:p>
    <w:p w:rsidR="004145E7" w:rsidRDefault="002D6E0C">
      <w:pPr>
        <w:spacing w:line="240" w:lineRule="auto"/>
        <w:jc w:val="both"/>
        <w:rPr>
          <w:rFonts w:ascii="Times New Roman" w:hAnsi="Times New Roman" w:cs="Times New Roman"/>
          <w:sz w:val="24"/>
          <w:szCs w:val="24"/>
        </w:rPr>
      </w:pPr>
      <w:r>
        <w:rPr>
          <w:rFonts w:ascii="Times New Roman" w:hAnsi="Times New Roman" w:cs="Times New Roman"/>
          <w:sz w:val="24"/>
          <w:szCs w:val="24"/>
        </w:rPr>
        <w:t>Highest phosphorus content (0.46 %) was recorded with application of FYM @ 5 t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(F</w:t>
      </w:r>
      <w:r>
        <w:rPr>
          <w:rFonts w:ascii="Times New Roman" w:hAnsi="Times New Roman" w:cs="Times New Roman"/>
          <w:sz w:val="24"/>
          <w:szCs w:val="24"/>
          <w:vertAlign w:val="subscript"/>
        </w:rPr>
        <w:t>2</w:t>
      </w:r>
      <w:r>
        <w:rPr>
          <w:rFonts w:ascii="Times New Roman" w:hAnsi="Times New Roman" w:cs="Times New Roman"/>
          <w:sz w:val="24"/>
          <w:szCs w:val="24"/>
        </w:rPr>
        <w:t xml:space="preserve">) </w:t>
      </w:r>
      <w:commentRangeStart w:id="28"/>
      <w:r>
        <w:rPr>
          <w:rFonts w:ascii="Times New Roman" w:hAnsi="Times New Roman" w:cs="Times New Roman"/>
          <w:sz w:val="24"/>
          <w:szCs w:val="24"/>
        </w:rPr>
        <w:t>than application of FYM @ 0 t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(F</w:t>
      </w:r>
      <w:r>
        <w:rPr>
          <w:rFonts w:ascii="Times New Roman" w:hAnsi="Times New Roman" w:cs="Times New Roman"/>
          <w:sz w:val="24"/>
          <w:szCs w:val="24"/>
          <w:vertAlign w:val="subscript"/>
        </w:rPr>
        <w:t>1</w:t>
      </w:r>
      <w:r>
        <w:rPr>
          <w:rFonts w:ascii="Times New Roman" w:hAnsi="Times New Roman" w:cs="Times New Roman"/>
          <w:sz w:val="24"/>
          <w:szCs w:val="24"/>
        </w:rPr>
        <w:t>)</w:t>
      </w:r>
      <w:commentRangeEnd w:id="28"/>
      <w:r w:rsidR="003B1DFA">
        <w:rPr>
          <w:rStyle w:val="CommentReference"/>
        </w:rPr>
        <w:commentReference w:id="28"/>
      </w:r>
      <w:r>
        <w:rPr>
          <w:rFonts w:ascii="Times New Roman" w:hAnsi="Times New Roman" w:cs="Times New Roman"/>
          <w:sz w:val="24"/>
          <w:szCs w:val="24"/>
        </w:rPr>
        <w:t xml:space="preserve">. The lowest phosphorus content (0.42 %) in kernels of groundnut was recorded under </w:t>
      </w:r>
      <w:commentRangeStart w:id="29"/>
      <w:r>
        <w:rPr>
          <w:rFonts w:ascii="Times New Roman" w:hAnsi="Times New Roman" w:cs="Times New Roman"/>
          <w:sz w:val="24"/>
          <w:szCs w:val="24"/>
        </w:rPr>
        <w:t>no application of FYM</w:t>
      </w:r>
      <w:commentRangeEnd w:id="29"/>
      <w:r w:rsidR="003B1DFA">
        <w:rPr>
          <w:rStyle w:val="CommentReference"/>
        </w:rPr>
        <w:commentReference w:id="29"/>
      </w:r>
      <w:r>
        <w:rPr>
          <w:rFonts w:ascii="Times New Roman" w:hAnsi="Times New Roman" w:cs="Times New Roman"/>
          <w:sz w:val="24"/>
          <w:szCs w:val="24"/>
        </w:rPr>
        <w:t xml:space="preserve"> (F</w:t>
      </w:r>
      <w:r>
        <w:rPr>
          <w:rFonts w:ascii="Times New Roman" w:hAnsi="Times New Roman" w:cs="Times New Roman"/>
          <w:sz w:val="24"/>
          <w:szCs w:val="24"/>
          <w:vertAlign w:val="subscript"/>
        </w:rPr>
        <w:t>1</w:t>
      </w:r>
      <w:r>
        <w:rPr>
          <w:rFonts w:ascii="Times New Roman" w:hAnsi="Times New Roman" w:cs="Times New Roman"/>
          <w:sz w:val="24"/>
          <w:szCs w:val="24"/>
        </w:rPr>
        <w:t xml:space="preserve">). The application of FYM resulted in tremendous increase in available phosphorus status of soil which might be attributed to the build-up of available phosphorus owing to </w:t>
      </w:r>
      <w:commentRangeStart w:id="30"/>
      <w:r>
        <w:rPr>
          <w:rFonts w:ascii="Times New Roman" w:hAnsi="Times New Roman" w:cs="Times New Roman"/>
          <w:sz w:val="24"/>
          <w:szCs w:val="24"/>
        </w:rPr>
        <w:t xml:space="preserve">the </w:t>
      </w:r>
      <w:commentRangeEnd w:id="30"/>
      <w:r w:rsidR="003B1DFA">
        <w:rPr>
          <w:rStyle w:val="CommentReference"/>
        </w:rPr>
        <w:commentReference w:id="30"/>
      </w:r>
      <w:r>
        <w:rPr>
          <w:rFonts w:ascii="Times New Roman" w:hAnsi="Times New Roman" w:cs="Times New Roman"/>
          <w:sz w:val="24"/>
          <w:szCs w:val="24"/>
        </w:rPr>
        <w:t xml:space="preserve">formation of fulvic acid and other chelating agents which form soluble complexes with native phosphorus in soils in groundnut </w:t>
      </w:r>
      <w:commentRangeStart w:id="31"/>
      <w:r>
        <w:rPr>
          <w:rFonts w:ascii="Times New Roman" w:hAnsi="Times New Roman" w:cs="Times New Roman"/>
          <w:sz w:val="24"/>
          <w:szCs w:val="24"/>
        </w:rPr>
        <w:t xml:space="preserve">crop </w:t>
      </w:r>
      <w:commentRangeEnd w:id="31"/>
      <w:r w:rsidR="003B1DFA">
        <w:rPr>
          <w:rStyle w:val="CommentReference"/>
        </w:rPr>
        <w:commentReference w:id="31"/>
      </w:r>
      <w:r>
        <w:rPr>
          <w:rFonts w:ascii="Times New Roman" w:hAnsi="Times New Roman" w:cs="Times New Roman"/>
          <w:sz w:val="24"/>
          <w:szCs w:val="24"/>
        </w:rPr>
        <w:t>reported by Sutariya</w:t>
      </w:r>
      <w:r>
        <w:rPr>
          <w:rFonts w:ascii="Times New Roman" w:hAnsi="Times New Roman" w:cs="Times New Roman"/>
          <w:i/>
          <w:iCs/>
          <w:sz w:val="24"/>
          <w:szCs w:val="24"/>
        </w:rPr>
        <w:t>et al.</w:t>
      </w:r>
      <w:r>
        <w:rPr>
          <w:rFonts w:ascii="Times New Roman" w:hAnsi="Times New Roman" w:cs="Times New Roman"/>
          <w:sz w:val="24"/>
          <w:szCs w:val="24"/>
        </w:rPr>
        <w:t xml:space="preserve"> (2010) and Vishwakarma </w:t>
      </w:r>
      <w:r>
        <w:rPr>
          <w:rFonts w:ascii="Times New Roman" w:hAnsi="Times New Roman" w:cs="Times New Roman"/>
          <w:i/>
          <w:iCs/>
          <w:sz w:val="24"/>
          <w:szCs w:val="24"/>
        </w:rPr>
        <w:t>et al.</w:t>
      </w:r>
      <w:r>
        <w:rPr>
          <w:rFonts w:ascii="Times New Roman" w:hAnsi="Times New Roman" w:cs="Times New Roman"/>
          <w:sz w:val="24"/>
          <w:szCs w:val="24"/>
        </w:rPr>
        <w:t xml:space="preserve"> (2012).</w:t>
      </w:r>
    </w:p>
    <w:p w:rsidR="004145E7" w:rsidRDefault="002D6E0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3.4.2 Effect of potassium</w:t>
      </w:r>
    </w:p>
    <w:p w:rsidR="004145E7" w:rsidRDefault="002D6E0C">
      <w:pPr>
        <w:spacing w:line="240" w:lineRule="auto"/>
        <w:jc w:val="both"/>
        <w:rPr>
          <w:rFonts w:ascii="Times New Roman" w:hAnsi="Times New Roman" w:cs="Times New Roman"/>
          <w:sz w:val="24"/>
          <w:szCs w:val="24"/>
        </w:rPr>
      </w:pPr>
      <w:r>
        <w:rPr>
          <w:rFonts w:ascii="Times New Roman" w:hAnsi="Times New Roman" w:cs="Times New Roman"/>
          <w:sz w:val="24"/>
          <w:szCs w:val="24"/>
        </w:rPr>
        <w:t>Significantly higher phosphorus content (0.45 %) was recorded with potassium 60 kg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t>
      </w:r>
      <w:commentRangeStart w:id="32"/>
      <w:r>
        <w:rPr>
          <w:rFonts w:ascii="Times New Roman" w:hAnsi="Times New Roman" w:cs="Times New Roman"/>
          <w:sz w:val="24"/>
          <w:szCs w:val="24"/>
        </w:rPr>
        <w:t>application</w:t>
      </w:r>
      <w:commentRangeEnd w:id="32"/>
      <w:r w:rsidR="003B1DFA">
        <w:rPr>
          <w:rStyle w:val="CommentReference"/>
        </w:rPr>
        <w:commentReference w:id="32"/>
      </w:r>
      <w:r>
        <w:rPr>
          <w:rFonts w:ascii="Times New Roman" w:hAnsi="Times New Roman" w:cs="Times New Roman"/>
          <w:sz w:val="24"/>
          <w:szCs w:val="24"/>
        </w:rPr>
        <w:t>. The lowest phosphorus content (0.42 %) was recorded under treatment K</w:t>
      </w:r>
      <w:r>
        <w:rPr>
          <w:rFonts w:ascii="Times New Roman" w:hAnsi="Times New Roman" w:cs="Times New Roman"/>
          <w:sz w:val="24"/>
          <w:szCs w:val="24"/>
          <w:vertAlign w:val="subscript"/>
        </w:rPr>
        <w:t>1</w:t>
      </w:r>
      <w:r>
        <w:rPr>
          <w:rFonts w:ascii="Times New Roman" w:hAnsi="Times New Roman" w:cs="Times New Roman"/>
          <w:sz w:val="24"/>
          <w:szCs w:val="24"/>
        </w:rPr>
        <w:t xml:space="preserve"> (20 kg K</w:t>
      </w:r>
      <w:r>
        <w:rPr>
          <w:rFonts w:ascii="Times New Roman" w:hAnsi="Times New Roman" w:cs="Times New Roman"/>
          <w:sz w:val="24"/>
          <w:szCs w:val="24"/>
          <w:vertAlign w:val="subscript"/>
        </w:rPr>
        <w:t>2</w:t>
      </w:r>
      <w:r>
        <w:rPr>
          <w:rFonts w:ascii="Times New Roman" w:hAnsi="Times New Roman" w:cs="Times New Roman"/>
          <w:sz w:val="24"/>
          <w:szCs w:val="24"/>
        </w:rPr>
        <w:t>O ha</w:t>
      </w:r>
      <w:r>
        <w:rPr>
          <w:rFonts w:ascii="Times New Roman" w:hAnsi="Times New Roman" w:cs="Times New Roman"/>
          <w:sz w:val="24"/>
          <w:szCs w:val="24"/>
          <w:vertAlign w:val="superscript"/>
        </w:rPr>
        <w:t>-1</w:t>
      </w:r>
      <w:r>
        <w:rPr>
          <w:rFonts w:ascii="Times New Roman" w:hAnsi="Times New Roman" w:cs="Times New Roman"/>
          <w:sz w:val="24"/>
          <w:szCs w:val="24"/>
        </w:rPr>
        <w:t>). Potassium application affected concentration of N, P and K ions in soil solution and ultimately promote vigorous root development, better K</w:t>
      </w:r>
      <w:r>
        <w:rPr>
          <w:rFonts w:ascii="Times New Roman" w:hAnsi="Times New Roman" w:cs="Times New Roman"/>
          <w:sz w:val="24"/>
          <w:szCs w:val="24"/>
          <w:vertAlign w:val="subscript"/>
        </w:rPr>
        <w:t>2</w:t>
      </w:r>
      <w:r>
        <w:rPr>
          <w:rFonts w:ascii="Times New Roman" w:hAnsi="Times New Roman" w:cs="Times New Roman"/>
          <w:sz w:val="24"/>
          <w:szCs w:val="24"/>
        </w:rPr>
        <w:t xml:space="preserve">O fixation and better growth and development of plant due to </w:t>
      </w:r>
      <w:commentRangeStart w:id="33"/>
      <w:r>
        <w:rPr>
          <w:rFonts w:ascii="Times New Roman" w:hAnsi="Times New Roman" w:cs="Times New Roman"/>
          <w:sz w:val="24"/>
          <w:szCs w:val="24"/>
        </w:rPr>
        <w:t xml:space="preserve">the </w:t>
      </w:r>
      <w:commentRangeEnd w:id="33"/>
      <w:r w:rsidR="003B1DFA">
        <w:rPr>
          <w:rStyle w:val="CommentReference"/>
        </w:rPr>
        <w:commentReference w:id="33"/>
      </w:r>
      <w:r>
        <w:rPr>
          <w:rFonts w:ascii="Times New Roman" w:hAnsi="Times New Roman" w:cs="Times New Roman"/>
          <w:sz w:val="24"/>
          <w:szCs w:val="24"/>
        </w:rPr>
        <w:t xml:space="preserve">higher photosynthetic activity which resulted in higher content of nutrients. Similar findings were observed by Salve and Gunjal (2011) and Patel </w:t>
      </w:r>
      <w:r>
        <w:rPr>
          <w:rFonts w:ascii="Times New Roman" w:hAnsi="Times New Roman" w:cs="Times New Roman"/>
          <w:i/>
          <w:iCs/>
          <w:sz w:val="24"/>
          <w:szCs w:val="24"/>
        </w:rPr>
        <w:t>et al.</w:t>
      </w:r>
      <w:r>
        <w:rPr>
          <w:rFonts w:ascii="Times New Roman" w:hAnsi="Times New Roman" w:cs="Times New Roman"/>
          <w:sz w:val="24"/>
          <w:szCs w:val="24"/>
        </w:rPr>
        <w:t xml:space="preserve"> (2019).</w:t>
      </w:r>
    </w:p>
    <w:p w:rsidR="004145E7" w:rsidRDefault="002D6E0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3.4.3 Effect of KMB</w:t>
      </w:r>
    </w:p>
    <w:p w:rsidR="004145E7" w:rsidRDefault="002D6E0C">
      <w:pPr>
        <w:spacing w:line="240" w:lineRule="auto"/>
        <w:jc w:val="both"/>
        <w:rPr>
          <w:rFonts w:ascii="Times New Roman" w:hAnsi="Times New Roman" w:cs="Times New Roman"/>
          <w:sz w:val="24"/>
          <w:szCs w:val="24"/>
        </w:rPr>
      </w:pPr>
      <w:r>
        <w:rPr>
          <w:rFonts w:ascii="Times New Roman" w:hAnsi="Times New Roman" w:cs="Times New Roman"/>
          <w:sz w:val="24"/>
          <w:szCs w:val="24"/>
        </w:rPr>
        <w:t>A perusal data indicated that KMB failed to express significant effect on phosphorus content in kernels of groundnut.</w:t>
      </w:r>
      <w:r w:rsidR="003B1DFA">
        <w:rPr>
          <w:rFonts w:ascii="Times New Roman" w:hAnsi="Times New Roman" w:cs="Times New Roman"/>
          <w:sz w:val="24"/>
          <w:szCs w:val="24"/>
        </w:rPr>
        <w:t xml:space="preserve"> </w:t>
      </w:r>
      <w:commentRangeStart w:id="34"/>
      <w:r>
        <w:rPr>
          <w:rFonts w:ascii="Times New Roman" w:hAnsi="Times New Roman" w:cs="Times New Roman"/>
          <w:sz w:val="24"/>
          <w:szCs w:val="24"/>
        </w:rPr>
        <w:t xml:space="preserve">The phosphorus content in kernel </w:t>
      </w:r>
      <w:commentRangeEnd w:id="34"/>
      <w:r w:rsidR="003B1DFA">
        <w:rPr>
          <w:rStyle w:val="CommentReference"/>
        </w:rPr>
        <w:commentReference w:id="34"/>
      </w:r>
      <w:r w:rsidR="003B1DFA">
        <w:rPr>
          <w:rFonts w:ascii="Times New Roman" w:hAnsi="Times New Roman" w:cs="Times New Roman"/>
          <w:sz w:val="24"/>
          <w:szCs w:val="24"/>
        </w:rPr>
        <w:t xml:space="preserve">(0.44 %) </w:t>
      </w:r>
      <w:r>
        <w:rPr>
          <w:rFonts w:ascii="Times New Roman" w:hAnsi="Times New Roman" w:cs="Times New Roman"/>
          <w:sz w:val="24"/>
          <w:szCs w:val="24"/>
        </w:rPr>
        <w:t>was observed with both treatments B</w:t>
      </w:r>
      <w:r>
        <w:rPr>
          <w:rFonts w:ascii="Times New Roman" w:hAnsi="Times New Roman" w:cs="Times New Roman"/>
          <w:sz w:val="24"/>
          <w:szCs w:val="24"/>
          <w:vertAlign w:val="subscript"/>
        </w:rPr>
        <w:t xml:space="preserve"> 1</w:t>
      </w:r>
      <w:r>
        <w:rPr>
          <w:rFonts w:ascii="Times New Roman" w:hAnsi="Times New Roman" w:cs="Times New Roman"/>
          <w:sz w:val="24"/>
          <w:szCs w:val="24"/>
        </w:rPr>
        <w:t xml:space="preserve"> and B</w:t>
      </w:r>
      <w:r>
        <w:rPr>
          <w:rFonts w:ascii="Times New Roman" w:hAnsi="Times New Roman" w:cs="Times New Roman"/>
          <w:sz w:val="24"/>
          <w:szCs w:val="24"/>
          <w:vertAlign w:val="subscript"/>
        </w:rPr>
        <w:t>2</w:t>
      </w:r>
      <w:r>
        <w:rPr>
          <w:rFonts w:ascii="Times New Roman" w:hAnsi="Times New Roman" w:cs="Times New Roman"/>
          <w:sz w:val="24"/>
          <w:szCs w:val="24"/>
        </w:rPr>
        <w:t>.</w:t>
      </w:r>
    </w:p>
    <w:p w:rsidR="004145E7" w:rsidRDefault="002D6E0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3.5 Potassium content in kernel (%)</w:t>
      </w:r>
    </w:p>
    <w:p w:rsidR="004145E7" w:rsidRDefault="002D6E0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3.5.1Effect of FYM</w:t>
      </w:r>
    </w:p>
    <w:p w:rsidR="004145E7" w:rsidRDefault="003B1DFA">
      <w:pPr>
        <w:spacing w:line="240" w:lineRule="auto"/>
        <w:jc w:val="both"/>
        <w:rPr>
          <w:rFonts w:ascii="Times New Roman" w:hAnsi="Times New Roman" w:cs="Times New Roman"/>
          <w:sz w:val="24"/>
          <w:szCs w:val="24"/>
        </w:rPr>
      </w:pPr>
      <w:r>
        <w:rPr>
          <w:rFonts w:ascii="Times New Roman" w:hAnsi="Times New Roman" w:cs="Times New Roman"/>
          <w:sz w:val="24"/>
          <w:szCs w:val="24"/>
        </w:rPr>
        <w:t>The</w:t>
      </w:r>
      <w:r w:rsidR="002D6E0C">
        <w:rPr>
          <w:rFonts w:ascii="Times New Roman" w:hAnsi="Times New Roman" w:cs="Times New Roman"/>
          <w:sz w:val="24"/>
          <w:szCs w:val="24"/>
        </w:rPr>
        <w:t xml:space="preserve"> treatment F</w:t>
      </w:r>
      <w:r w:rsidR="002D6E0C">
        <w:rPr>
          <w:rFonts w:ascii="Times New Roman" w:hAnsi="Times New Roman" w:cs="Times New Roman"/>
          <w:sz w:val="24"/>
          <w:szCs w:val="24"/>
          <w:vertAlign w:val="subscript"/>
        </w:rPr>
        <w:t>2</w:t>
      </w:r>
      <w:r w:rsidR="002D6E0C">
        <w:rPr>
          <w:rFonts w:ascii="Times New Roman" w:hAnsi="Times New Roman" w:cs="Times New Roman"/>
          <w:sz w:val="24"/>
          <w:szCs w:val="24"/>
        </w:rPr>
        <w:t xml:space="preserve"> (5 t FYM ha</w:t>
      </w:r>
      <w:r w:rsidR="002D6E0C">
        <w:rPr>
          <w:rFonts w:ascii="Times New Roman" w:hAnsi="Times New Roman" w:cs="Times New Roman"/>
          <w:sz w:val="24"/>
          <w:szCs w:val="24"/>
          <w:vertAlign w:val="superscript"/>
        </w:rPr>
        <w:t>-1</w:t>
      </w:r>
      <w:r w:rsidR="002D6E0C">
        <w:rPr>
          <w:rFonts w:ascii="Times New Roman" w:hAnsi="Times New Roman" w:cs="Times New Roman"/>
          <w:sz w:val="24"/>
          <w:szCs w:val="24"/>
        </w:rPr>
        <w:t>) and F</w:t>
      </w:r>
      <w:r w:rsidR="002D6E0C">
        <w:rPr>
          <w:rFonts w:ascii="Times New Roman" w:hAnsi="Times New Roman" w:cs="Times New Roman"/>
          <w:sz w:val="24"/>
          <w:szCs w:val="24"/>
          <w:vertAlign w:val="subscript"/>
        </w:rPr>
        <w:t>1</w:t>
      </w:r>
      <w:r w:rsidR="002D6E0C">
        <w:rPr>
          <w:rFonts w:ascii="Times New Roman" w:hAnsi="Times New Roman" w:cs="Times New Roman"/>
          <w:sz w:val="24"/>
          <w:szCs w:val="24"/>
        </w:rPr>
        <w:t xml:space="preserve"> (0 t FYM ha</w:t>
      </w:r>
      <w:r w:rsidR="002D6E0C">
        <w:rPr>
          <w:rFonts w:ascii="Times New Roman" w:hAnsi="Times New Roman" w:cs="Times New Roman"/>
          <w:sz w:val="24"/>
          <w:szCs w:val="24"/>
          <w:vertAlign w:val="superscript"/>
        </w:rPr>
        <w:t>-1</w:t>
      </w:r>
      <w:r w:rsidR="002D6E0C">
        <w:rPr>
          <w:rFonts w:ascii="Times New Roman" w:hAnsi="Times New Roman" w:cs="Times New Roman"/>
          <w:sz w:val="24"/>
          <w:szCs w:val="24"/>
        </w:rPr>
        <w:t xml:space="preserve">) </w:t>
      </w:r>
      <w:r w:rsidRPr="003B1DFA">
        <w:rPr>
          <w:rFonts w:ascii="Times New Roman" w:hAnsi="Times New Roman" w:cs="Times New Roman"/>
          <w:color w:val="FF0000"/>
          <w:sz w:val="24"/>
          <w:szCs w:val="24"/>
        </w:rPr>
        <w:t>were</w:t>
      </w:r>
      <w:r w:rsidR="002D6E0C">
        <w:rPr>
          <w:rFonts w:ascii="Times New Roman" w:hAnsi="Times New Roman" w:cs="Times New Roman"/>
          <w:sz w:val="24"/>
          <w:szCs w:val="24"/>
        </w:rPr>
        <w:t xml:space="preserve"> observed highest potassium </w:t>
      </w:r>
      <w:r w:rsidR="002D6E0C">
        <w:rPr>
          <w:rFonts w:ascii="Times New Roman" w:hAnsi="Times New Roman" w:cs="Times New Roman"/>
          <w:sz w:val="24"/>
          <w:szCs w:val="24"/>
        </w:rPr>
        <w:lastRenderedPageBreak/>
        <w:t xml:space="preserve">content (0.61 %) and lowest potassium content (0.52 %), respectively in kernels of groundnut during </w:t>
      </w:r>
      <w:commentRangeStart w:id="35"/>
      <w:r w:rsidR="002D6E0C">
        <w:rPr>
          <w:rFonts w:ascii="Times New Roman" w:hAnsi="Times New Roman" w:cs="Times New Roman"/>
          <w:sz w:val="24"/>
          <w:szCs w:val="24"/>
        </w:rPr>
        <w:t xml:space="preserve">course of </w:t>
      </w:r>
      <w:commentRangeEnd w:id="35"/>
      <w:r>
        <w:rPr>
          <w:rStyle w:val="CommentReference"/>
        </w:rPr>
        <w:commentReference w:id="35"/>
      </w:r>
      <w:r w:rsidR="002D6E0C">
        <w:rPr>
          <w:rFonts w:ascii="Times New Roman" w:hAnsi="Times New Roman" w:cs="Times New Roman"/>
          <w:sz w:val="24"/>
          <w:szCs w:val="24"/>
        </w:rPr>
        <w:t xml:space="preserve">investigation. The application of organic manures showed higher uptake of potash might be due to </w:t>
      </w:r>
      <w:r w:rsidR="002D6E0C" w:rsidRPr="003B1DFA">
        <w:rPr>
          <w:rFonts w:ascii="Times New Roman" w:hAnsi="Times New Roman" w:cs="Times New Roman"/>
          <w:color w:val="FF0000"/>
          <w:sz w:val="24"/>
          <w:szCs w:val="24"/>
        </w:rPr>
        <w:t>increase</w:t>
      </w:r>
      <w:r w:rsidRPr="003B1DFA">
        <w:rPr>
          <w:rFonts w:ascii="Times New Roman" w:hAnsi="Times New Roman" w:cs="Times New Roman"/>
          <w:color w:val="FF0000"/>
          <w:sz w:val="24"/>
          <w:szCs w:val="24"/>
        </w:rPr>
        <w:t>d</w:t>
      </w:r>
      <w:r w:rsidR="002D6E0C">
        <w:rPr>
          <w:rFonts w:ascii="Times New Roman" w:hAnsi="Times New Roman" w:cs="Times New Roman"/>
          <w:sz w:val="24"/>
          <w:szCs w:val="24"/>
        </w:rPr>
        <w:t xml:space="preserve"> nutrient availability and improvement in </w:t>
      </w:r>
      <w:commentRangeStart w:id="36"/>
      <w:r w:rsidR="002D6E0C">
        <w:rPr>
          <w:rFonts w:ascii="Times New Roman" w:hAnsi="Times New Roman" w:cs="Times New Roman"/>
          <w:sz w:val="24"/>
          <w:szCs w:val="24"/>
        </w:rPr>
        <w:t xml:space="preserve">the </w:t>
      </w:r>
      <w:commentRangeEnd w:id="36"/>
      <w:r>
        <w:rPr>
          <w:rStyle w:val="CommentReference"/>
        </w:rPr>
        <w:commentReference w:id="36"/>
      </w:r>
      <w:r w:rsidR="002D6E0C">
        <w:rPr>
          <w:rFonts w:ascii="Times New Roman" w:hAnsi="Times New Roman" w:cs="Times New Roman"/>
          <w:sz w:val="24"/>
          <w:szCs w:val="24"/>
        </w:rPr>
        <w:t xml:space="preserve">physical condition of </w:t>
      </w:r>
      <w:commentRangeStart w:id="37"/>
      <w:r w:rsidR="002D6E0C">
        <w:rPr>
          <w:rFonts w:ascii="Times New Roman" w:hAnsi="Times New Roman" w:cs="Times New Roman"/>
          <w:sz w:val="24"/>
          <w:szCs w:val="24"/>
        </w:rPr>
        <w:t xml:space="preserve">the </w:t>
      </w:r>
      <w:commentRangeEnd w:id="37"/>
      <w:r>
        <w:rPr>
          <w:rStyle w:val="CommentReference"/>
        </w:rPr>
        <w:commentReference w:id="37"/>
      </w:r>
      <w:r w:rsidR="002D6E0C">
        <w:rPr>
          <w:rFonts w:ascii="Times New Roman" w:hAnsi="Times New Roman" w:cs="Times New Roman"/>
          <w:sz w:val="24"/>
          <w:szCs w:val="24"/>
        </w:rPr>
        <w:t>soil. These results were in close conformity with those of Sutariya</w:t>
      </w:r>
      <w:r w:rsidR="002D6E0C">
        <w:rPr>
          <w:rFonts w:ascii="Times New Roman" w:hAnsi="Times New Roman" w:cs="Times New Roman"/>
          <w:i/>
          <w:iCs/>
          <w:sz w:val="24"/>
          <w:szCs w:val="24"/>
        </w:rPr>
        <w:t>et al.</w:t>
      </w:r>
      <w:r w:rsidR="002D6E0C">
        <w:rPr>
          <w:rFonts w:ascii="Times New Roman" w:hAnsi="Times New Roman" w:cs="Times New Roman"/>
          <w:sz w:val="24"/>
          <w:szCs w:val="24"/>
        </w:rPr>
        <w:t xml:space="preserve"> (2010) and Vishwakarma </w:t>
      </w:r>
      <w:r w:rsidR="002D6E0C">
        <w:rPr>
          <w:rFonts w:ascii="Times New Roman" w:hAnsi="Times New Roman" w:cs="Times New Roman"/>
          <w:i/>
          <w:iCs/>
          <w:sz w:val="24"/>
          <w:szCs w:val="24"/>
        </w:rPr>
        <w:t>et al.</w:t>
      </w:r>
      <w:r w:rsidR="002D6E0C">
        <w:rPr>
          <w:rFonts w:ascii="Times New Roman" w:hAnsi="Times New Roman" w:cs="Times New Roman"/>
          <w:sz w:val="24"/>
          <w:szCs w:val="24"/>
        </w:rPr>
        <w:t xml:space="preserve"> (2012).</w:t>
      </w:r>
    </w:p>
    <w:p w:rsidR="004145E7" w:rsidRDefault="002D6E0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3.5.2 Effect of potassium</w:t>
      </w:r>
    </w:p>
    <w:p w:rsidR="004145E7" w:rsidRDefault="002D6E0C">
      <w:pPr>
        <w:spacing w:line="240" w:lineRule="auto"/>
        <w:jc w:val="both"/>
        <w:rPr>
          <w:rFonts w:ascii="Times New Roman" w:hAnsi="Times New Roman" w:cs="Times New Roman"/>
          <w:sz w:val="24"/>
          <w:szCs w:val="24"/>
        </w:rPr>
      </w:pPr>
      <w:r>
        <w:rPr>
          <w:rFonts w:ascii="Times New Roman" w:hAnsi="Times New Roman" w:cs="Times New Roman"/>
          <w:sz w:val="24"/>
          <w:szCs w:val="24"/>
        </w:rPr>
        <w:t>The significantly maximum potassium content in kernel (0.60 %) was recorded under the treatment K</w:t>
      </w:r>
      <w:r>
        <w:rPr>
          <w:rFonts w:ascii="Times New Roman" w:hAnsi="Times New Roman" w:cs="Times New Roman"/>
          <w:sz w:val="24"/>
          <w:szCs w:val="24"/>
          <w:vertAlign w:val="subscript"/>
        </w:rPr>
        <w:t>3</w:t>
      </w:r>
      <w:r>
        <w:rPr>
          <w:rFonts w:ascii="Times New Roman" w:hAnsi="Times New Roman" w:cs="Times New Roman"/>
          <w:sz w:val="24"/>
          <w:szCs w:val="24"/>
        </w:rPr>
        <w:t xml:space="preserve"> (60 kg K</w:t>
      </w:r>
      <w:r>
        <w:rPr>
          <w:rFonts w:ascii="Times New Roman" w:hAnsi="Times New Roman" w:cs="Times New Roman"/>
          <w:sz w:val="24"/>
          <w:szCs w:val="24"/>
          <w:vertAlign w:val="subscript"/>
        </w:rPr>
        <w:t>2</w:t>
      </w:r>
      <w:r>
        <w:rPr>
          <w:rFonts w:ascii="Times New Roman" w:hAnsi="Times New Roman" w:cs="Times New Roman"/>
          <w:sz w:val="24"/>
          <w:szCs w:val="24"/>
        </w:rPr>
        <w:t>O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t>
      </w:r>
      <w:commentRangeStart w:id="38"/>
      <w:r>
        <w:rPr>
          <w:rFonts w:ascii="Times New Roman" w:hAnsi="Times New Roman" w:cs="Times New Roman"/>
          <w:sz w:val="24"/>
          <w:szCs w:val="24"/>
        </w:rPr>
        <w:t>during the course of investigation,</w:t>
      </w:r>
      <w:commentRangeEnd w:id="38"/>
      <w:r w:rsidR="003B1DFA">
        <w:rPr>
          <w:rStyle w:val="CommentReference"/>
        </w:rPr>
        <w:commentReference w:id="38"/>
      </w:r>
      <w:r>
        <w:rPr>
          <w:rFonts w:ascii="Times New Roman" w:hAnsi="Times New Roman" w:cs="Times New Roman"/>
          <w:sz w:val="24"/>
          <w:szCs w:val="24"/>
        </w:rPr>
        <w:t xml:space="preserve"> where</w:t>
      </w:r>
      <w:r w:rsidR="003B1DFA">
        <w:rPr>
          <w:rFonts w:ascii="Times New Roman" w:hAnsi="Times New Roman" w:cs="Times New Roman"/>
          <w:sz w:val="24"/>
          <w:szCs w:val="24"/>
        </w:rPr>
        <w:t>as</w:t>
      </w:r>
      <w:r>
        <w:rPr>
          <w:rFonts w:ascii="Times New Roman" w:hAnsi="Times New Roman" w:cs="Times New Roman"/>
          <w:sz w:val="24"/>
          <w:szCs w:val="24"/>
        </w:rPr>
        <w:t xml:space="preserve"> treatment K</w:t>
      </w:r>
      <w:r>
        <w:rPr>
          <w:rFonts w:ascii="Times New Roman" w:hAnsi="Times New Roman" w:cs="Times New Roman"/>
          <w:sz w:val="24"/>
          <w:szCs w:val="24"/>
          <w:vertAlign w:val="subscript"/>
        </w:rPr>
        <w:t>3</w:t>
      </w:r>
      <w:r>
        <w:rPr>
          <w:rFonts w:ascii="Times New Roman" w:hAnsi="Times New Roman" w:cs="Times New Roman"/>
          <w:sz w:val="24"/>
          <w:szCs w:val="24"/>
        </w:rPr>
        <w:t xml:space="preserve"> (60 kg K</w:t>
      </w:r>
      <w:r>
        <w:rPr>
          <w:rFonts w:ascii="Times New Roman" w:hAnsi="Times New Roman" w:cs="Times New Roman"/>
          <w:sz w:val="24"/>
          <w:szCs w:val="24"/>
          <w:vertAlign w:val="subscript"/>
        </w:rPr>
        <w:t>2</w:t>
      </w:r>
      <w:r>
        <w:rPr>
          <w:rFonts w:ascii="Times New Roman" w:hAnsi="Times New Roman" w:cs="Times New Roman"/>
          <w:sz w:val="24"/>
          <w:szCs w:val="24"/>
        </w:rPr>
        <w:t>O ha</w:t>
      </w:r>
      <w:r>
        <w:rPr>
          <w:rFonts w:ascii="Times New Roman" w:hAnsi="Times New Roman" w:cs="Times New Roman"/>
          <w:sz w:val="24"/>
          <w:szCs w:val="24"/>
          <w:vertAlign w:val="superscript"/>
        </w:rPr>
        <w:t>-1</w:t>
      </w:r>
      <w:r>
        <w:rPr>
          <w:rFonts w:ascii="Times New Roman" w:hAnsi="Times New Roman" w:cs="Times New Roman"/>
          <w:sz w:val="24"/>
          <w:szCs w:val="24"/>
        </w:rPr>
        <w:t>) was remained was at par with K</w:t>
      </w:r>
      <w:r>
        <w:rPr>
          <w:rFonts w:ascii="Times New Roman" w:hAnsi="Times New Roman" w:cs="Times New Roman"/>
          <w:sz w:val="24"/>
          <w:szCs w:val="24"/>
          <w:vertAlign w:val="subscript"/>
        </w:rPr>
        <w:t>2</w:t>
      </w:r>
      <w:r>
        <w:rPr>
          <w:rFonts w:ascii="Times New Roman" w:hAnsi="Times New Roman" w:cs="Times New Roman"/>
          <w:sz w:val="24"/>
          <w:szCs w:val="24"/>
        </w:rPr>
        <w:t xml:space="preserve"> (40 kg K</w:t>
      </w:r>
      <w:r>
        <w:rPr>
          <w:rFonts w:ascii="Times New Roman" w:hAnsi="Times New Roman" w:cs="Times New Roman"/>
          <w:sz w:val="24"/>
          <w:szCs w:val="24"/>
          <w:vertAlign w:val="subscript"/>
        </w:rPr>
        <w:t>2</w:t>
      </w:r>
      <w:r>
        <w:rPr>
          <w:rFonts w:ascii="Times New Roman" w:hAnsi="Times New Roman" w:cs="Times New Roman"/>
          <w:sz w:val="24"/>
          <w:szCs w:val="24"/>
        </w:rPr>
        <w:t>O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However, minimum potassium content in kernel was observed </w:t>
      </w:r>
      <w:r w:rsidR="003B1DFA">
        <w:rPr>
          <w:rFonts w:ascii="Times New Roman" w:hAnsi="Times New Roman" w:cs="Times New Roman"/>
          <w:sz w:val="24"/>
          <w:szCs w:val="24"/>
        </w:rPr>
        <w:t>due to</w:t>
      </w:r>
      <w:r>
        <w:rPr>
          <w:rFonts w:ascii="Times New Roman" w:hAnsi="Times New Roman" w:cs="Times New Roman"/>
          <w:sz w:val="24"/>
          <w:szCs w:val="24"/>
        </w:rPr>
        <w:t xml:space="preserve"> </w:t>
      </w:r>
      <w:commentRangeStart w:id="39"/>
      <w:r>
        <w:rPr>
          <w:rFonts w:ascii="Times New Roman" w:hAnsi="Times New Roman" w:cs="Times New Roman"/>
          <w:sz w:val="24"/>
          <w:szCs w:val="24"/>
        </w:rPr>
        <w:t xml:space="preserve">the </w:t>
      </w:r>
      <w:commentRangeEnd w:id="39"/>
      <w:r w:rsidR="003B1DFA">
        <w:rPr>
          <w:rStyle w:val="CommentReference"/>
        </w:rPr>
        <w:commentReference w:id="39"/>
      </w:r>
      <w:r>
        <w:rPr>
          <w:rFonts w:ascii="Times New Roman" w:hAnsi="Times New Roman" w:cs="Times New Roman"/>
          <w:sz w:val="24"/>
          <w:szCs w:val="24"/>
        </w:rPr>
        <w:t>application of 20 kg K</w:t>
      </w:r>
      <w:r>
        <w:rPr>
          <w:rFonts w:ascii="Times New Roman" w:hAnsi="Times New Roman" w:cs="Times New Roman"/>
          <w:sz w:val="24"/>
          <w:szCs w:val="24"/>
          <w:vertAlign w:val="subscript"/>
        </w:rPr>
        <w:t>2</w:t>
      </w:r>
      <w:r>
        <w:rPr>
          <w:rFonts w:ascii="Times New Roman" w:hAnsi="Times New Roman" w:cs="Times New Roman"/>
          <w:sz w:val="24"/>
          <w:szCs w:val="24"/>
        </w:rPr>
        <w:t>O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(K</w:t>
      </w:r>
      <w:r>
        <w:rPr>
          <w:rFonts w:ascii="Times New Roman" w:hAnsi="Times New Roman" w:cs="Times New Roman"/>
          <w:sz w:val="24"/>
          <w:szCs w:val="24"/>
          <w:vertAlign w:val="subscript"/>
        </w:rPr>
        <w:t>1</w:t>
      </w:r>
      <w:r>
        <w:rPr>
          <w:rFonts w:ascii="Times New Roman" w:hAnsi="Times New Roman" w:cs="Times New Roman"/>
          <w:sz w:val="24"/>
          <w:szCs w:val="24"/>
        </w:rPr>
        <w:t xml:space="preserve">) with 0.53 per cent. These findings are in </w:t>
      </w:r>
      <w:commentRangeStart w:id="40"/>
      <w:r>
        <w:rPr>
          <w:rFonts w:ascii="Times New Roman" w:hAnsi="Times New Roman" w:cs="Times New Roman"/>
          <w:sz w:val="24"/>
          <w:szCs w:val="24"/>
        </w:rPr>
        <w:t xml:space="preserve">close </w:t>
      </w:r>
      <w:commentRangeEnd w:id="40"/>
      <w:r w:rsidR="003B1DFA">
        <w:rPr>
          <w:rStyle w:val="CommentReference"/>
        </w:rPr>
        <w:commentReference w:id="40"/>
      </w:r>
      <w:r>
        <w:rPr>
          <w:rFonts w:ascii="Times New Roman" w:hAnsi="Times New Roman" w:cs="Times New Roman"/>
          <w:sz w:val="24"/>
          <w:szCs w:val="24"/>
        </w:rPr>
        <w:t>conformity with those obtained by Kharade</w:t>
      </w:r>
      <w:r>
        <w:rPr>
          <w:rFonts w:ascii="Times New Roman" w:hAnsi="Times New Roman" w:cs="Times New Roman"/>
          <w:i/>
          <w:iCs/>
          <w:sz w:val="24"/>
          <w:szCs w:val="24"/>
        </w:rPr>
        <w:t>et al.</w:t>
      </w:r>
      <w:r>
        <w:rPr>
          <w:rFonts w:ascii="Times New Roman" w:hAnsi="Times New Roman" w:cs="Times New Roman"/>
          <w:sz w:val="24"/>
          <w:szCs w:val="24"/>
        </w:rPr>
        <w:t xml:space="preserve"> (2013) and Hemeid (2015).</w:t>
      </w:r>
    </w:p>
    <w:p w:rsidR="004145E7" w:rsidRDefault="002D6E0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3.5.3 Effect of KMB</w:t>
      </w:r>
    </w:p>
    <w:p w:rsidR="004145E7" w:rsidRDefault="002D6E0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Inoculation of groundnut seeds with levels of KMB exerted non-significant effect on potassium content in kernels of groundnut. However, the highest potassium content (0.57 %) in kernels was observed under </w:t>
      </w:r>
      <w:commentRangeStart w:id="41"/>
      <w:r>
        <w:rPr>
          <w:rFonts w:ascii="Times New Roman" w:hAnsi="Times New Roman" w:cs="Times New Roman"/>
          <w:sz w:val="24"/>
          <w:szCs w:val="24"/>
        </w:rPr>
        <w:t xml:space="preserve">application of treatment </w:t>
      </w:r>
      <w:commentRangeEnd w:id="41"/>
      <w:r w:rsidR="003B1DFA">
        <w:rPr>
          <w:rStyle w:val="CommentReference"/>
        </w:rPr>
        <w:commentReference w:id="41"/>
      </w:r>
      <w:r>
        <w:rPr>
          <w:rFonts w:ascii="Times New Roman" w:hAnsi="Times New Roman" w:cs="Times New Roman"/>
          <w:sz w:val="24"/>
          <w:szCs w:val="24"/>
        </w:rPr>
        <w:t>B</w:t>
      </w:r>
      <w:r>
        <w:rPr>
          <w:rFonts w:ascii="Times New Roman" w:hAnsi="Times New Roman" w:cs="Times New Roman"/>
          <w:sz w:val="24"/>
          <w:szCs w:val="24"/>
          <w:vertAlign w:val="subscript"/>
        </w:rPr>
        <w:t>1</w:t>
      </w:r>
      <w:r>
        <w:rPr>
          <w:rFonts w:ascii="Times New Roman" w:hAnsi="Times New Roman" w:cs="Times New Roman"/>
          <w:sz w:val="24"/>
          <w:szCs w:val="24"/>
        </w:rPr>
        <w:t xml:space="preserve"> (with KMB).</w:t>
      </w:r>
    </w:p>
    <w:p w:rsidR="004145E7" w:rsidRDefault="002D6E0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3.6 Nitrogen content in haulm</w:t>
      </w:r>
    </w:p>
    <w:p w:rsidR="004145E7" w:rsidRDefault="002D6E0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3.6.1Effect of FYM</w:t>
      </w:r>
    </w:p>
    <w:p w:rsidR="004145E7" w:rsidRDefault="002D6E0C">
      <w:pPr>
        <w:spacing w:line="240" w:lineRule="auto"/>
        <w:jc w:val="both"/>
        <w:rPr>
          <w:rFonts w:ascii="Times New Roman" w:hAnsi="Times New Roman" w:cs="Times New Roman"/>
          <w:sz w:val="24"/>
          <w:szCs w:val="24"/>
        </w:rPr>
      </w:pPr>
      <w:r>
        <w:rPr>
          <w:rFonts w:ascii="Times New Roman" w:hAnsi="Times New Roman" w:cs="Times New Roman"/>
          <w:sz w:val="24"/>
          <w:szCs w:val="24"/>
        </w:rPr>
        <w:t>Application of treatment F</w:t>
      </w:r>
      <w:r>
        <w:rPr>
          <w:rFonts w:ascii="Times New Roman" w:hAnsi="Times New Roman" w:cs="Times New Roman"/>
          <w:sz w:val="24"/>
          <w:szCs w:val="24"/>
          <w:vertAlign w:val="subscript"/>
        </w:rPr>
        <w:t>2</w:t>
      </w:r>
      <w:r>
        <w:rPr>
          <w:rFonts w:ascii="Times New Roman" w:hAnsi="Times New Roman" w:cs="Times New Roman"/>
          <w:sz w:val="24"/>
          <w:szCs w:val="24"/>
        </w:rPr>
        <w:t xml:space="preserve"> (5 t FYM ha</w:t>
      </w:r>
      <w:r>
        <w:rPr>
          <w:rFonts w:ascii="Times New Roman" w:hAnsi="Times New Roman" w:cs="Times New Roman"/>
          <w:sz w:val="24"/>
          <w:szCs w:val="24"/>
          <w:vertAlign w:val="superscript"/>
        </w:rPr>
        <w:t>-1</w:t>
      </w:r>
      <w:r>
        <w:rPr>
          <w:rFonts w:ascii="Times New Roman" w:hAnsi="Times New Roman" w:cs="Times New Roman"/>
          <w:sz w:val="24"/>
          <w:szCs w:val="24"/>
        </w:rPr>
        <w:t>) was found significantly superior with highest nitrogen content (1.49 %) than lower N content with application of FYM @ 0 t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(1.41 %). These </w:t>
      </w:r>
      <w:commentRangeStart w:id="42"/>
      <w:r>
        <w:rPr>
          <w:rFonts w:ascii="Times New Roman" w:hAnsi="Times New Roman" w:cs="Times New Roman"/>
          <w:sz w:val="24"/>
          <w:szCs w:val="24"/>
        </w:rPr>
        <w:t xml:space="preserve">results similarly </w:t>
      </w:r>
      <w:commentRangeEnd w:id="42"/>
      <w:r w:rsidR="003B1DFA">
        <w:rPr>
          <w:rStyle w:val="CommentReference"/>
        </w:rPr>
        <w:commentReference w:id="42"/>
      </w:r>
      <w:r>
        <w:rPr>
          <w:rFonts w:ascii="Times New Roman" w:hAnsi="Times New Roman" w:cs="Times New Roman"/>
          <w:sz w:val="24"/>
          <w:szCs w:val="24"/>
        </w:rPr>
        <w:t xml:space="preserve">findings </w:t>
      </w:r>
      <w:r w:rsidR="003B1DFA" w:rsidRPr="003B1DFA">
        <w:rPr>
          <w:rFonts w:ascii="Times New Roman" w:hAnsi="Times New Roman" w:cs="Times New Roman"/>
          <w:color w:val="FF0000"/>
          <w:sz w:val="24"/>
          <w:szCs w:val="24"/>
        </w:rPr>
        <w:t>are similar to those</w:t>
      </w:r>
      <w:r w:rsidR="003B1DFA">
        <w:rPr>
          <w:rFonts w:ascii="Times New Roman" w:hAnsi="Times New Roman" w:cs="Times New Roman"/>
          <w:color w:val="FF0000"/>
          <w:sz w:val="24"/>
          <w:szCs w:val="24"/>
        </w:rPr>
        <w:t xml:space="preserve"> of</w:t>
      </w:r>
      <w:r>
        <w:rPr>
          <w:rFonts w:ascii="Times New Roman" w:hAnsi="Times New Roman" w:cs="Times New Roman"/>
          <w:sz w:val="24"/>
          <w:szCs w:val="24"/>
        </w:rPr>
        <w:t xml:space="preserve"> Sutariya</w:t>
      </w:r>
      <w:r w:rsidR="003B1DFA">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(2010) and Vishwakarma </w:t>
      </w:r>
      <w:r>
        <w:rPr>
          <w:rFonts w:ascii="Times New Roman" w:hAnsi="Times New Roman" w:cs="Times New Roman"/>
          <w:i/>
          <w:iCs/>
          <w:sz w:val="24"/>
          <w:szCs w:val="24"/>
        </w:rPr>
        <w:t xml:space="preserve">et al. </w:t>
      </w:r>
      <w:r>
        <w:rPr>
          <w:rFonts w:ascii="Times New Roman" w:hAnsi="Times New Roman" w:cs="Times New Roman"/>
          <w:sz w:val="24"/>
          <w:szCs w:val="24"/>
        </w:rPr>
        <w:t>(2012).</w:t>
      </w:r>
    </w:p>
    <w:p w:rsidR="004145E7" w:rsidRDefault="002D6E0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3.6.2 Effect of potassium</w:t>
      </w:r>
    </w:p>
    <w:p w:rsidR="004145E7" w:rsidRDefault="002D6E0C">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During the study it was observed that application of 60 kg K</w:t>
      </w:r>
      <w:r>
        <w:rPr>
          <w:rFonts w:ascii="Times New Roman" w:hAnsi="Times New Roman" w:cs="Times New Roman"/>
          <w:sz w:val="24"/>
          <w:szCs w:val="24"/>
          <w:vertAlign w:val="subscript"/>
        </w:rPr>
        <w:t>2</w:t>
      </w:r>
      <w:r>
        <w:rPr>
          <w:rFonts w:ascii="Times New Roman" w:hAnsi="Times New Roman" w:cs="Times New Roman"/>
          <w:sz w:val="24"/>
          <w:szCs w:val="24"/>
        </w:rPr>
        <w:t>O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(K</w:t>
      </w:r>
      <w:r>
        <w:rPr>
          <w:rFonts w:ascii="Times New Roman" w:hAnsi="Times New Roman" w:cs="Times New Roman"/>
          <w:sz w:val="24"/>
          <w:szCs w:val="24"/>
          <w:vertAlign w:val="subscript"/>
        </w:rPr>
        <w:t>3</w:t>
      </w:r>
      <w:r>
        <w:rPr>
          <w:rFonts w:ascii="Times New Roman" w:hAnsi="Times New Roman" w:cs="Times New Roman"/>
          <w:sz w:val="24"/>
          <w:szCs w:val="24"/>
        </w:rPr>
        <w:t>) gave significantly highest potassium content (1.49 %) in groundnut haulm than lower levels of potassium (K</w:t>
      </w:r>
      <w:r>
        <w:rPr>
          <w:rFonts w:ascii="Times New Roman" w:hAnsi="Times New Roman" w:cs="Times New Roman"/>
          <w:sz w:val="24"/>
          <w:szCs w:val="24"/>
          <w:vertAlign w:val="subscript"/>
        </w:rPr>
        <w:t>1</w:t>
      </w:r>
      <w:r>
        <w:rPr>
          <w:rFonts w:ascii="Times New Roman" w:hAnsi="Times New Roman" w:cs="Times New Roman"/>
          <w:sz w:val="24"/>
          <w:szCs w:val="24"/>
        </w:rPr>
        <w:t xml:space="preserve"> and K</w:t>
      </w:r>
      <w:r>
        <w:rPr>
          <w:rFonts w:ascii="Times New Roman" w:hAnsi="Times New Roman" w:cs="Times New Roman"/>
          <w:sz w:val="24"/>
          <w:szCs w:val="24"/>
          <w:vertAlign w:val="subscript"/>
        </w:rPr>
        <w:t>2</w:t>
      </w:r>
      <w:r>
        <w:rPr>
          <w:rFonts w:ascii="Times New Roman" w:hAnsi="Times New Roman" w:cs="Times New Roman"/>
          <w:sz w:val="24"/>
          <w:szCs w:val="24"/>
        </w:rPr>
        <w:t>) and it was statistically at par with 40 kg K</w:t>
      </w:r>
      <w:r>
        <w:rPr>
          <w:rFonts w:ascii="Times New Roman" w:hAnsi="Times New Roman" w:cs="Times New Roman"/>
          <w:sz w:val="24"/>
          <w:szCs w:val="24"/>
          <w:vertAlign w:val="subscript"/>
        </w:rPr>
        <w:t>2</w:t>
      </w:r>
      <w:r>
        <w:rPr>
          <w:rFonts w:ascii="Times New Roman" w:hAnsi="Times New Roman" w:cs="Times New Roman"/>
          <w:sz w:val="24"/>
          <w:szCs w:val="24"/>
        </w:rPr>
        <w:t>O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(K</w:t>
      </w:r>
      <w:r>
        <w:rPr>
          <w:rFonts w:ascii="Times New Roman" w:hAnsi="Times New Roman" w:cs="Times New Roman"/>
          <w:sz w:val="24"/>
          <w:szCs w:val="24"/>
          <w:vertAlign w:val="subscript"/>
        </w:rPr>
        <w:t>2</w:t>
      </w:r>
      <w:r>
        <w:rPr>
          <w:rFonts w:ascii="Times New Roman" w:hAnsi="Times New Roman" w:cs="Times New Roman"/>
          <w:sz w:val="24"/>
          <w:szCs w:val="24"/>
        </w:rPr>
        <w:t>) (1.45 %). Moreover, application of 20 kg K</w:t>
      </w:r>
      <w:r>
        <w:rPr>
          <w:rFonts w:ascii="Times New Roman" w:hAnsi="Times New Roman" w:cs="Times New Roman"/>
          <w:sz w:val="24"/>
          <w:szCs w:val="24"/>
          <w:vertAlign w:val="subscript"/>
        </w:rPr>
        <w:t>2</w:t>
      </w:r>
      <w:r>
        <w:rPr>
          <w:rFonts w:ascii="Times New Roman" w:hAnsi="Times New Roman" w:cs="Times New Roman"/>
          <w:sz w:val="24"/>
          <w:szCs w:val="24"/>
        </w:rPr>
        <w:t>O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(K</w:t>
      </w:r>
      <w:r>
        <w:rPr>
          <w:rFonts w:ascii="Times New Roman" w:hAnsi="Times New Roman" w:cs="Times New Roman"/>
          <w:sz w:val="24"/>
          <w:szCs w:val="24"/>
          <w:vertAlign w:val="subscript"/>
        </w:rPr>
        <w:t>1</w:t>
      </w:r>
      <w:r>
        <w:rPr>
          <w:rFonts w:ascii="Times New Roman" w:hAnsi="Times New Roman" w:cs="Times New Roman"/>
          <w:sz w:val="24"/>
          <w:szCs w:val="24"/>
        </w:rPr>
        <w:t xml:space="preserve">) recorded significantly lowest nitrogen content in haulm with 1.41 per cent. The addition of potassium increased its concentration </w:t>
      </w:r>
      <w:commentRangeStart w:id="43"/>
      <w:r>
        <w:rPr>
          <w:rFonts w:ascii="Times New Roman" w:hAnsi="Times New Roman" w:cs="Times New Roman"/>
          <w:sz w:val="24"/>
          <w:szCs w:val="24"/>
        </w:rPr>
        <w:t xml:space="preserve">at all stages </w:t>
      </w:r>
      <w:commentRangeEnd w:id="43"/>
      <w:r w:rsidR="0035536D">
        <w:rPr>
          <w:rStyle w:val="CommentReference"/>
        </w:rPr>
        <w:commentReference w:id="43"/>
      </w:r>
      <w:r>
        <w:rPr>
          <w:rFonts w:ascii="Times New Roman" w:hAnsi="Times New Roman" w:cs="Times New Roman"/>
          <w:sz w:val="24"/>
          <w:szCs w:val="24"/>
        </w:rPr>
        <w:t>in groundnut crop, consequently nitrogen content in kernel was increased with increase in potassium levels. The findings are in close agreement with those obtained by Salve and Gunjal (2011).</w:t>
      </w:r>
    </w:p>
    <w:p w:rsidR="004145E7" w:rsidRDefault="002D6E0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3.6.3 Effect of KMB</w:t>
      </w:r>
    </w:p>
    <w:p w:rsidR="004145E7" w:rsidRDefault="002D6E0C">
      <w:pPr>
        <w:spacing w:line="240" w:lineRule="auto"/>
        <w:jc w:val="both"/>
        <w:rPr>
          <w:rFonts w:ascii="Times New Roman" w:hAnsi="Times New Roman" w:cs="Times New Roman"/>
          <w:b/>
          <w:bCs/>
          <w:sz w:val="24"/>
          <w:szCs w:val="24"/>
        </w:rPr>
      </w:pPr>
      <w:r>
        <w:rPr>
          <w:rFonts w:ascii="Times New Roman" w:hAnsi="Times New Roman" w:cs="Times New Roman"/>
          <w:sz w:val="24"/>
          <w:szCs w:val="24"/>
        </w:rPr>
        <w:t>Nitrogen content in haulm did not differ significantly due to various levels of KMB. However, application of KMB (B</w:t>
      </w:r>
      <w:r>
        <w:rPr>
          <w:rFonts w:ascii="Times New Roman" w:hAnsi="Times New Roman" w:cs="Times New Roman"/>
          <w:sz w:val="24"/>
          <w:szCs w:val="24"/>
          <w:vertAlign w:val="subscript"/>
        </w:rPr>
        <w:t>1</w:t>
      </w:r>
      <w:r>
        <w:rPr>
          <w:rFonts w:ascii="Times New Roman" w:hAnsi="Times New Roman" w:cs="Times New Roman"/>
          <w:sz w:val="24"/>
          <w:szCs w:val="24"/>
        </w:rPr>
        <w:t xml:space="preserve">) gave numerically higher nitrogen content (1.46 %) than </w:t>
      </w:r>
      <w:commentRangeStart w:id="44"/>
      <w:r>
        <w:rPr>
          <w:rFonts w:ascii="Times New Roman" w:hAnsi="Times New Roman" w:cs="Times New Roman"/>
          <w:sz w:val="24"/>
          <w:szCs w:val="24"/>
        </w:rPr>
        <w:t xml:space="preserve">no application of </w:t>
      </w:r>
      <w:commentRangeEnd w:id="44"/>
      <w:r w:rsidR="0035536D">
        <w:rPr>
          <w:rStyle w:val="CommentReference"/>
        </w:rPr>
        <w:commentReference w:id="44"/>
      </w:r>
      <w:r>
        <w:rPr>
          <w:rFonts w:ascii="Times New Roman" w:hAnsi="Times New Roman" w:cs="Times New Roman"/>
          <w:sz w:val="24"/>
          <w:szCs w:val="24"/>
        </w:rPr>
        <w:t>KMB (B</w:t>
      </w:r>
      <w:r>
        <w:rPr>
          <w:rFonts w:ascii="Times New Roman" w:hAnsi="Times New Roman" w:cs="Times New Roman"/>
          <w:sz w:val="24"/>
          <w:szCs w:val="24"/>
          <w:vertAlign w:val="subscript"/>
        </w:rPr>
        <w:t>2</w:t>
      </w:r>
      <w:r>
        <w:rPr>
          <w:rFonts w:ascii="Times New Roman" w:hAnsi="Times New Roman" w:cs="Times New Roman"/>
          <w:sz w:val="24"/>
          <w:szCs w:val="24"/>
        </w:rPr>
        <w:t>).</w:t>
      </w:r>
    </w:p>
    <w:p w:rsidR="004145E7" w:rsidRDefault="002D6E0C">
      <w:pPr>
        <w:spacing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3.7 Phosphorus content in haulm (%)</w:t>
      </w:r>
    </w:p>
    <w:p w:rsidR="004145E7" w:rsidRDefault="002D6E0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3.7.1Effect of FYM</w:t>
      </w:r>
    </w:p>
    <w:p w:rsidR="004145E7" w:rsidRDefault="002D6E0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Data showed significant increase in phosphorus content of groundnut haulm </w:t>
      </w:r>
      <w:commentRangeStart w:id="45"/>
      <w:r>
        <w:rPr>
          <w:rFonts w:ascii="Times New Roman" w:hAnsi="Times New Roman" w:cs="Times New Roman"/>
          <w:sz w:val="24"/>
          <w:szCs w:val="24"/>
        </w:rPr>
        <w:t xml:space="preserve">was noticed </w:t>
      </w:r>
      <w:commentRangeEnd w:id="45"/>
      <w:r w:rsidR="0035536D">
        <w:rPr>
          <w:rStyle w:val="CommentReference"/>
        </w:rPr>
        <w:commentReference w:id="45"/>
      </w:r>
      <w:r>
        <w:rPr>
          <w:rFonts w:ascii="Times New Roman" w:hAnsi="Times New Roman" w:cs="Times New Roman"/>
          <w:sz w:val="24"/>
          <w:szCs w:val="24"/>
        </w:rPr>
        <w:t>due to different levels of FYM. Treatment F</w:t>
      </w:r>
      <w:r>
        <w:rPr>
          <w:rFonts w:ascii="Times New Roman" w:hAnsi="Times New Roman" w:cs="Times New Roman"/>
          <w:sz w:val="24"/>
          <w:szCs w:val="24"/>
          <w:vertAlign w:val="subscript"/>
        </w:rPr>
        <w:t>2</w:t>
      </w:r>
      <w:r>
        <w:rPr>
          <w:rFonts w:ascii="Times New Roman" w:hAnsi="Times New Roman" w:cs="Times New Roman"/>
          <w:sz w:val="24"/>
          <w:szCs w:val="24"/>
        </w:rPr>
        <w:t xml:space="preserve"> (5 t FYM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0035536D" w:rsidRPr="0035536D">
        <w:rPr>
          <w:rFonts w:ascii="Times New Roman" w:hAnsi="Times New Roman" w:cs="Times New Roman"/>
          <w:color w:val="FF0000"/>
          <w:sz w:val="24"/>
          <w:szCs w:val="24"/>
        </w:rPr>
        <w:t>recorded</w:t>
      </w:r>
      <w:r>
        <w:rPr>
          <w:rFonts w:ascii="Times New Roman" w:hAnsi="Times New Roman" w:cs="Times New Roman"/>
          <w:sz w:val="24"/>
          <w:szCs w:val="24"/>
        </w:rPr>
        <w:t xml:space="preserve"> highest phosphorus content (0.20 %) than </w:t>
      </w:r>
      <w:r w:rsidR="0035536D">
        <w:rPr>
          <w:rFonts w:ascii="Times New Roman" w:hAnsi="Times New Roman" w:cs="Times New Roman"/>
          <w:sz w:val="24"/>
          <w:szCs w:val="24"/>
        </w:rPr>
        <w:t xml:space="preserve">without </w:t>
      </w:r>
      <w:r>
        <w:rPr>
          <w:rFonts w:ascii="Times New Roman" w:hAnsi="Times New Roman" w:cs="Times New Roman"/>
          <w:sz w:val="24"/>
          <w:szCs w:val="24"/>
        </w:rPr>
        <w:t xml:space="preserve">application of FYM </w:t>
      </w:r>
      <w:commentRangeStart w:id="46"/>
      <w:r>
        <w:rPr>
          <w:rFonts w:ascii="Times New Roman" w:hAnsi="Times New Roman" w:cs="Times New Roman"/>
          <w:sz w:val="24"/>
          <w:szCs w:val="24"/>
        </w:rPr>
        <w:t>@ 0 t ha</w:t>
      </w:r>
      <w:r>
        <w:rPr>
          <w:rFonts w:ascii="Times New Roman" w:hAnsi="Times New Roman" w:cs="Times New Roman"/>
          <w:sz w:val="24"/>
          <w:szCs w:val="24"/>
          <w:vertAlign w:val="superscript"/>
        </w:rPr>
        <w:t>-1</w:t>
      </w:r>
      <w:commentRangeEnd w:id="46"/>
      <w:r w:rsidR="0035536D">
        <w:rPr>
          <w:rStyle w:val="CommentReference"/>
        </w:rPr>
        <w:commentReference w:id="46"/>
      </w:r>
      <w:r>
        <w:rPr>
          <w:rFonts w:ascii="Times New Roman" w:hAnsi="Times New Roman" w:cs="Times New Roman"/>
          <w:sz w:val="24"/>
          <w:szCs w:val="24"/>
        </w:rPr>
        <w:t>. However, treatment F</w:t>
      </w:r>
      <w:r>
        <w:rPr>
          <w:rFonts w:ascii="Times New Roman" w:hAnsi="Times New Roman" w:cs="Times New Roman"/>
          <w:sz w:val="24"/>
          <w:szCs w:val="24"/>
          <w:vertAlign w:val="subscript"/>
        </w:rPr>
        <w:t>1</w:t>
      </w:r>
      <w:r>
        <w:rPr>
          <w:rFonts w:ascii="Times New Roman" w:hAnsi="Times New Roman" w:cs="Times New Roman"/>
          <w:sz w:val="24"/>
          <w:szCs w:val="24"/>
        </w:rPr>
        <w:t xml:space="preserve"> (0 t FYM ha</w:t>
      </w:r>
      <w:r>
        <w:rPr>
          <w:rFonts w:ascii="Times New Roman" w:hAnsi="Times New Roman" w:cs="Times New Roman"/>
          <w:sz w:val="24"/>
          <w:szCs w:val="24"/>
          <w:vertAlign w:val="superscript"/>
        </w:rPr>
        <w:t>-1</w:t>
      </w:r>
      <w:r>
        <w:rPr>
          <w:rFonts w:ascii="Times New Roman" w:hAnsi="Times New Roman" w:cs="Times New Roman"/>
          <w:sz w:val="24"/>
          <w:szCs w:val="24"/>
        </w:rPr>
        <w:t>) recorded significantly the lowest phosphorus content (0.17 %). More or less</w:t>
      </w:r>
      <w:r w:rsidR="0035536D">
        <w:rPr>
          <w:rFonts w:ascii="Times New Roman" w:hAnsi="Times New Roman" w:cs="Times New Roman"/>
          <w:sz w:val="24"/>
          <w:szCs w:val="24"/>
        </w:rPr>
        <w:t>,</w:t>
      </w:r>
      <w:r>
        <w:rPr>
          <w:rFonts w:ascii="Times New Roman" w:hAnsi="Times New Roman" w:cs="Times New Roman"/>
          <w:sz w:val="24"/>
          <w:szCs w:val="24"/>
        </w:rPr>
        <w:t xml:space="preserve"> similar result has been reported by Reddy </w:t>
      </w:r>
      <w:r>
        <w:rPr>
          <w:rFonts w:ascii="Times New Roman" w:hAnsi="Times New Roman" w:cs="Times New Roman"/>
          <w:i/>
          <w:iCs/>
          <w:sz w:val="24"/>
          <w:szCs w:val="24"/>
        </w:rPr>
        <w:t>et al.</w:t>
      </w:r>
      <w:r>
        <w:rPr>
          <w:rFonts w:ascii="Times New Roman" w:hAnsi="Times New Roman" w:cs="Times New Roman"/>
          <w:sz w:val="24"/>
          <w:szCs w:val="24"/>
        </w:rPr>
        <w:t xml:space="preserve"> (2004), Sutaria </w:t>
      </w:r>
      <w:r>
        <w:rPr>
          <w:rFonts w:ascii="Times New Roman" w:hAnsi="Times New Roman" w:cs="Times New Roman"/>
          <w:i/>
          <w:iCs/>
          <w:sz w:val="24"/>
          <w:szCs w:val="24"/>
        </w:rPr>
        <w:t>et al.</w:t>
      </w:r>
      <w:r>
        <w:rPr>
          <w:rFonts w:ascii="Times New Roman" w:hAnsi="Times New Roman" w:cs="Times New Roman"/>
          <w:sz w:val="24"/>
          <w:szCs w:val="24"/>
        </w:rPr>
        <w:t xml:space="preserve"> (2010) and Vishwakarma </w:t>
      </w:r>
      <w:r>
        <w:rPr>
          <w:rFonts w:ascii="Times New Roman" w:hAnsi="Times New Roman" w:cs="Times New Roman"/>
          <w:i/>
          <w:iCs/>
          <w:sz w:val="24"/>
          <w:szCs w:val="24"/>
        </w:rPr>
        <w:t>et al.</w:t>
      </w:r>
      <w:r>
        <w:rPr>
          <w:rFonts w:ascii="Times New Roman" w:hAnsi="Times New Roman" w:cs="Times New Roman"/>
          <w:sz w:val="24"/>
          <w:szCs w:val="24"/>
        </w:rPr>
        <w:t xml:space="preserve"> (2012).</w:t>
      </w:r>
    </w:p>
    <w:p w:rsidR="004145E7" w:rsidRDefault="002D6E0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3.7.2 Effect of potassium</w:t>
      </w:r>
    </w:p>
    <w:p w:rsidR="004145E7" w:rsidRDefault="002D6E0C">
      <w:pPr>
        <w:spacing w:line="240" w:lineRule="auto"/>
        <w:jc w:val="both"/>
        <w:rPr>
          <w:rFonts w:ascii="Times New Roman" w:hAnsi="Times New Roman" w:cs="Times New Roman"/>
          <w:sz w:val="24"/>
          <w:szCs w:val="24"/>
        </w:rPr>
      </w:pPr>
      <w:r>
        <w:rPr>
          <w:rFonts w:ascii="Times New Roman" w:hAnsi="Times New Roman" w:cs="Times New Roman"/>
          <w:sz w:val="24"/>
          <w:szCs w:val="24"/>
        </w:rPr>
        <w:t>Results showed that effect of different levels of potassium on phosphorus content in haulm of groundnut was noted non-significant. Crop fertilized with 60 kg K</w:t>
      </w:r>
      <w:r>
        <w:rPr>
          <w:rFonts w:ascii="Times New Roman" w:hAnsi="Times New Roman" w:cs="Times New Roman"/>
          <w:sz w:val="24"/>
          <w:szCs w:val="24"/>
          <w:vertAlign w:val="subscript"/>
        </w:rPr>
        <w:t>2</w:t>
      </w:r>
      <w:r>
        <w:rPr>
          <w:rFonts w:ascii="Times New Roman" w:hAnsi="Times New Roman" w:cs="Times New Roman"/>
          <w:sz w:val="24"/>
          <w:szCs w:val="24"/>
        </w:rPr>
        <w:t xml:space="preserve">O </w:t>
      </w:r>
      <w:r>
        <w:rPr>
          <w:rFonts w:ascii="Times New Roman" w:hAnsi="Times New Roman" w:cs="Times New Roman"/>
          <w:sz w:val="24"/>
          <w:szCs w:val="24"/>
        </w:rPr>
        <w:lastRenderedPageBreak/>
        <w:t>ha</w:t>
      </w:r>
      <w:r>
        <w:rPr>
          <w:rFonts w:ascii="Times New Roman" w:hAnsi="Times New Roman" w:cs="Times New Roman"/>
          <w:sz w:val="24"/>
          <w:szCs w:val="24"/>
          <w:vertAlign w:val="superscript"/>
        </w:rPr>
        <w:t>-1</w:t>
      </w:r>
      <w:r>
        <w:rPr>
          <w:rFonts w:ascii="Times New Roman" w:hAnsi="Times New Roman" w:cs="Times New Roman"/>
          <w:sz w:val="24"/>
          <w:szCs w:val="24"/>
        </w:rPr>
        <w:t>, 40 kg K</w:t>
      </w:r>
      <w:r>
        <w:rPr>
          <w:rFonts w:ascii="Times New Roman" w:hAnsi="Times New Roman" w:cs="Times New Roman"/>
          <w:sz w:val="24"/>
          <w:szCs w:val="24"/>
          <w:vertAlign w:val="subscript"/>
        </w:rPr>
        <w:t>2</w:t>
      </w:r>
      <w:r>
        <w:rPr>
          <w:rFonts w:ascii="Times New Roman" w:hAnsi="Times New Roman" w:cs="Times New Roman"/>
          <w:sz w:val="24"/>
          <w:szCs w:val="24"/>
        </w:rPr>
        <w:t>O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and 20 kg K</w:t>
      </w:r>
      <w:r>
        <w:rPr>
          <w:rFonts w:ascii="Times New Roman" w:hAnsi="Times New Roman" w:cs="Times New Roman"/>
          <w:sz w:val="24"/>
          <w:szCs w:val="24"/>
          <w:vertAlign w:val="superscript"/>
        </w:rPr>
        <w:t>2</w:t>
      </w:r>
      <w:r>
        <w:rPr>
          <w:rFonts w:ascii="Times New Roman" w:hAnsi="Times New Roman" w:cs="Times New Roman"/>
          <w:sz w:val="24"/>
          <w:szCs w:val="24"/>
        </w:rPr>
        <w:t>O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recorded similar phosphorus content (0.19 %) in haulm of groundnut.</w:t>
      </w:r>
    </w:p>
    <w:p w:rsidR="004145E7" w:rsidRDefault="002D6E0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3.7.3 Effect of KMB</w:t>
      </w:r>
    </w:p>
    <w:p w:rsidR="004145E7" w:rsidRDefault="002D6E0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Data presented in </w:t>
      </w:r>
      <w:commentRangeStart w:id="47"/>
      <w:r>
        <w:rPr>
          <w:rFonts w:ascii="Times New Roman" w:hAnsi="Times New Roman" w:cs="Times New Roman"/>
          <w:sz w:val="24"/>
          <w:szCs w:val="24"/>
        </w:rPr>
        <w:t xml:space="preserve">Table </w:t>
      </w:r>
      <w:commentRangeEnd w:id="47"/>
      <w:r w:rsidR="0035536D">
        <w:rPr>
          <w:rStyle w:val="CommentReference"/>
        </w:rPr>
        <w:commentReference w:id="47"/>
      </w:r>
      <w:r>
        <w:rPr>
          <w:rFonts w:ascii="Times New Roman" w:hAnsi="Times New Roman" w:cs="Times New Roman"/>
          <w:sz w:val="24"/>
          <w:szCs w:val="24"/>
        </w:rPr>
        <w:t xml:space="preserve">that using KMB has no significant effect on phosphorus content of groundnut haulm. </w:t>
      </w:r>
      <w:r w:rsidR="0035536D" w:rsidRPr="0035536D">
        <w:rPr>
          <w:rFonts w:ascii="Times New Roman" w:hAnsi="Times New Roman" w:cs="Times New Roman"/>
          <w:color w:val="FF0000"/>
          <w:sz w:val="24"/>
          <w:szCs w:val="24"/>
        </w:rPr>
        <w:t>The</w:t>
      </w:r>
      <w:r>
        <w:rPr>
          <w:rFonts w:ascii="Times New Roman" w:hAnsi="Times New Roman" w:cs="Times New Roman"/>
          <w:sz w:val="24"/>
          <w:szCs w:val="24"/>
        </w:rPr>
        <w:t xml:space="preserve"> treatment B</w:t>
      </w:r>
      <w:r>
        <w:rPr>
          <w:rFonts w:ascii="Times New Roman" w:hAnsi="Times New Roman" w:cs="Times New Roman"/>
          <w:sz w:val="24"/>
          <w:szCs w:val="24"/>
          <w:vertAlign w:val="subscript"/>
        </w:rPr>
        <w:t>2</w:t>
      </w:r>
      <w:r>
        <w:rPr>
          <w:rFonts w:ascii="Times New Roman" w:hAnsi="Times New Roman" w:cs="Times New Roman"/>
          <w:sz w:val="24"/>
          <w:szCs w:val="24"/>
        </w:rPr>
        <w:t xml:space="preserve"> (without KMB) and B</w:t>
      </w:r>
      <w:r>
        <w:rPr>
          <w:rFonts w:ascii="Times New Roman" w:hAnsi="Times New Roman" w:cs="Times New Roman"/>
          <w:sz w:val="24"/>
          <w:szCs w:val="24"/>
          <w:vertAlign w:val="subscript"/>
        </w:rPr>
        <w:t>1</w:t>
      </w:r>
      <w:r>
        <w:rPr>
          <w:rFonts w:ascii="Times New Roman" w:hAnsi="Times New Roman" w:cs="Times New Roman"/>
          <w:sz w:val="24"/>
          <w:szCs w:val="24"/>
        </w:rPr>
        <w:t xml:space="preserve"> (with KMB) observed </w:t>
      </w:r>
      <w:commentRangeStart w:id="48"/>
      <w:r>
        <w:rPr>
          <w:rFonts w:ascii="Times New Roman" w:hAnsi="Times New Roman" w:cs="Times New Roman"/>
          <w:sz w:val="24"/>
          <w:szCs w:val="24"/>
        </w:rPr>
        <w:t xml:space="preserve">similar </w:t>
      </w:r>
      <w:commentRangeEnd w:id="48"/>
      <w:r w:rsidR="0035536D">
        <w:rPr>
          <w:rStyle w:val="CommentReference"/>
        </w:rPr>
        <w:commentReference w:id="48"/>
      </w:r>
      <w:r>
        <w:rPr>
          <w:rFonts w:ascii="Times New Roman" w:hAnsi="Times New Roman" w:cs="Times New Roman"/>
          <w:sz w:val="24"/>
          <w:szCs w:val="24"/>
        </w:rPr>
        <w:t>phosphorus content (0.19 %) in haulm of groundnut during the period of experimentation.</w:t>
      </w:r>
    </w:p>
    <w:p w:rsidR="004145E7" w:rsidRDefault="002D6E0C">
      <w:pPr>
        <w:spacing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3.8 Potassium content in haulm (%)</w:t>
      </w:r>
    </w:p>
    <w:p w:rsidR="004145E7" w:rsidRDefault="002D6E0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3.8.1Effect of FYM</w:t>
      </w:r>
    </w:p>
    <w:p w:rsidR="004145E7" w:rsidRDefault="002D6E0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maximum </w:t>
      </w:r>
      <w:commentRangeStart w:id="49"/>
      <w:r>
        <w:rPr>
          <w:rFonts w:ascii="Times New Roman" w:hAnsi="Times New Roman" w:cs="Times New Roman"/>
          <w:sz w:val="24"/>
          <w:szCs w:val="24"/>
        </w:rPr>
        <w:t xml:space="preserve">value </w:t>
      </w:r>
      <w:commentRangeEnd w:id="49"/>
      <w:r w:rsidR="0035536D">
        <w:rPr>
          <w:rStyle w:val="CommentReference"/>
        </w:rPr>
        <w:commentReference w:id="49"/>
      </w:r>
      <w:r>
        <w:rPr>
          <w:rFonts w:ascii="Times New Roman" w:hAnsi="Times New Roman" w:cs="Times New Roman"/>
          <w:sz w:val="24"/>
          <w:szCs w:val="24"/>
        </w:rPr>
        <w:t xml:space="preserve">(0.66 %) </w:t>
      </w:r>
      <w:commentRangeStart w:id="50"/>
      <w:r>
        <w:rPr>
          <w:rFonts w:ascii="Times New Roman" w:hAnsi="Times New Roman" w:cs="Times New Roman"/>
          <w:sz w:val="24"/>
          <w:szCs w:val="24"/>
        </w:rPr>
        <w:t xml:space="preserve">of </w:t>
      </w:r>
      <w:commentRangeEnd w:id="50"/>
      <w:r w:rsidR="0035536D">
        <w:rPr>
          <w:rStyle w:val="CommentReference"/>
        </w:rPr>
        <w:commentReference w:id="50"/>
      </w:r>
      <w:r>
        <w:rPr>
          <w:rFonts w:ascii="Times New Roman" w:hAnsi="Times New Roman" w:cs="Times New Roman"/>
          <w:sz w:val="24"/>
          <w:szCs w:val="24"/>
        </w:rPr>
        <w:t>potassium in haulm recorded with application of FYM @ 5 t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(F</w:t>
      </w:r>
      <w:r>
        <w:rPr>
          <w:rFonts w:ascii="Times New Roman" w:hAnsi="Times New Roman" w:cs="Times New Roman"/>
          <w:sz w:val="24"/>
          <w:szCs w:val="24"/>
          <w:vertAlign w:val="subscript"/>
        </w:rPr>
        <w:t>2</w:t>
      </w:r>
      <w:r>
        <w:rPr>
          <w:rFonts w:ascii="Times New Roman" w:hAnsi="Times New Roman" w:cs="Times New Roman"/>
          <w:sz w:val="24"/>
          <w:szCs w:val="24"/>
        </w:rPr>
        <w:t xml:space="preserve">) and minimum </w:t>
      </w:r>
      <w:commentRangeStart w:id="51"/>
      <w:r>
        <w:rPr>
          <w:rFonts w:ascii="Times New Roman" w:hAnsi="Times New Roman" w:cs="Times New Roman"/>
          <w:sz w:val="24"/>
          <w:szCs w:val="24"/>
        </w:rPr>
        <w:t xml:space="preserve">value </w:t>
      </w:r>
      <w:commentRangeEnd w:id="51"/>
      <w:r w:rsidR="0035536D">
        <w:rPr>
          <w:rStyle w:val="CommentReference"/>
        </w:rPr>
        <w:commentReference w:id="51"/>
      </w:r>
      <w:r>
        <w:rPr>
          <w:rFonts w:ascii="Times New Roman" w:hAnsi="Times New Roman" w:cs="Times New Roman"/>
          <w:sz w:val="24"/>
          <w:szCs w:val="24"/>
        </w:rPr>
        <w:t>(0.60 %) was observed due to no</w:t>
      </w:r>
      <w:r w:rsidR="0035536D">
        <w:rPr>
          <w:rFonts w:ascii="Times New Roman" w:hAnsi="Times New Roman" w:cs="Times New Roman"/>
          <w:sz w:val="24"/>
          <w:szCs w:val="24"/>
        </w:rPr>
        <w:t>n</w:t>
      </w:r>
      <w:r>
        <w:rPr>
          <w:rFonts w:ascii="Times New Roman" w:hAnsi="Times New Roman" w:cs="Times New Roman"/>
          <w:sz w:val="24"/>
          <w:szCs w:val="24"/>
        </w:rPr>
        <w:t xml:space="preserve"> application of FYM (F</w:t>
      </w:r>
      <w:r>
        <w:rPr>
          <w:rFonts w:ascii="Times New Roman" w:hAnsi="Times New Roman" w:cs="Times New Roman"/>
          <w:sz w:val="24"/>
          <w:szCs w:val="24"/>
          <w:vertAlign w:val="subscript"/>
        </w:rPr>
        <w:t>1</w:t>
      </w:r>
      <w:r>
        <w:rPr>
          <w:rFonts w:ascii="Times New Roman" w:hAnsi="Times New Roman" w:cs="Times New Roman"/>
          <w:sz w:val="24"/>
          <w:szCs w:val="24"/>
        </w:rPr>
        <w:t xml:space="preserve">) </w:t>
      </w:r>
      <w:commentRangeStart w:id="52"/>
      <w:r>
        <w:rPr>
          <w:rFonts w:ascii="Times New Roman" w:hAnsi="Times New Roman" w:cs="Times New Roman"/>
          <w:sz w:val="24"/>
          <w:szCs w:val="24"/>
        </w:rPr>
        <w:t>to groundnut crop</w:t>
      </w:r>
      <w:commentRangeEnd w:id="52"/>
      <w:r w:rsidR="0035536D">
        <w:rPr>
          <w:rStyle w:val="CommentReference"/>
        </w:rPr>
        <w:commentReference w:id="52"/>
      </w:r>
      <w:r>
        <w:rPr>
          <w:rFonts w:ascii="Times New Roman" w:hAnsi="Times New Roman" w:cs="Times New Roman"/>
          <w:sz w:val="24"/>
          <w:szCs w:val="24"/>
        </w:rPr>
        <w:t xml:space="preserve">. The present findings are in accordance with the findings of Reddy </w:t>
      </w:r>
      <w:r>
        <w:rPr>
          <w:rFonts w:ascii="Times New Roman" w:hAnsi="Times New Roman" w:cs="Times New Roman"/>
          <w:i/>
          <w:iCs/>
          <w:sz w:val="24"/>
          <w:szCs w:val="24"/>
        </w:rPr>
        <w:t>et al.</w:t>
      </w:r>
      <w:r>
        <w:rPr>
          <w:rFonts w:ascii="Times New Roman" w:hAnsi="Times New Roman" w:cs="Times New Roman"/>
          <w:sz w:val="24"/>
          <w:szCs w:val="24"/>
        </w:rPr>
        <w:t xml:space="preserve"> (2004), Sutariya</w:t>
      </w:r>
      <w:r w:rsidR="0035536D">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(2010) and Vishwakarma </w:t>
      </w:r>
      <w:r>
        <w:rPr>
          <w:rFonts w:ascii="Times New Roman" w:hAnsi="Times New Roman" w:cs="Times New Roman"/>
          <w:i/>
          <w:iCs/>
          <w:sz w:val="24"/>
          <w:szCs w:val="24"/>
        </w:rPr>
        <w:t>et al.</w:t>
      </w:r>
      <w:r>
        <w:rPr>
          <w:rFonts w:ascii="Times New Roman" w:hAnsi="Times New Roman" w:cs="Times New Roman"/>
          <w:sz w:val="24"/>
          <w:szCs w:val="24"/>
        </w:rPr>
        <w:t xml:space="preserve"> (2012).</w:t>
      </w:r>
    </w:p>
    <w:p w:rsidR="004145E7" w:rsidRDefault="002D6E0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3.8.2 Effect of potassium</w:t>
      </w:r>
    </w:p>
    <w:p w:rsidR="004145E7" w:rsidRDefault="002D6E0C">
      <w:pPr>
        <w:spacing w:line="240" w:lineRule="auto"/>
        <w:jc w:val="both"/>
        <w:rPr>
          <w:rFonts w:ascii="Times New Roman" w:hAnsi="Times New Roman" w:cs="Times New Roman"/>
          <w:sz w:val="24"/>
          <w:szCs w:val="24"/>
        </w:rPr>
      </w:pPr>
      <w:r>
        <w:rPr>
          <w:rFonts w:ascii="Times New Roman" w:hAnsi="Times New Roman" w:cs="Times New Roman"/>
          <w:sz w:val="24"/>
          <w:szCs w:val="24"/>
        </w:rPr>
        <w:t>Treatment K</w:t>
      </w:r>
      <w:r>
        <w:rPr>
          <w:rFonts w:ascii="Times New Roman" w:hAnsi="Times New Roman" w:cs="Times New Roman"/>
          <w:sz w:val="24"/>
          <w:szCs w:val="24"/>
          <w:vertAlign w:val="subscript"/>
        </w:rPr>
        <w:t>3</w:t>
      </w:r>
      <w:r>
        <w:rPr>
          <w:rFonts w:ascii="Times New Roman" w:hAnsi="Times New Roman" w:cs="Times New Roman"/>
          <w:sz w:val="24"/>
          <w:szCs w:val="24"/>
        </w:rPr>
        <w:t xml:space="preserve"> (60 kg K</w:t>
      </w:r>
      <w:r>
        <w:rPr>
          <w:rFonts w:ascii="Times New Roman" w:hAnsi="Times New Roman" w:cs="Times New Roman"/>
          <w:sz w:val="24"/>
          <w:szCs w:val="24"/>
          <w:vertAlign w:val="subscript"/>
        </w:rPr>
        <w:t>2</w:t>
      </w:r>
      <w:r>
        <w:rPr>
          <w:rFonts w:ascii="Times New Roman" w:hAnsi="Times New Roman" w:cs="Times New Roman"/>
          <w:sz w:val="24"/>
          <w:szCs w:val="24"/>
        </w:rPr>
        <w:t>O ha</w:t>
      </w:r>
      <w:r>
        <w:rPr>
          <w:rFonts w:ascii="Times New Roman" w:hAnsi="Times New Roman" w:cs="Times New Roman"/>
          <w:sz w:val="24"/>
          <w:szCs w:val="24"/>
          <w:vertAlign w:val="superscript"/>
        </w:rPr>
        <w:t>-1</w:t>
      </w:r>
      <w:r>
        <w:rPr>
          <w:rFonts w:ascii="Times New Roman" w:hAnsi="Times New Roman" w:cs="Times New Roman"/>
          <w:sz w:val="24"/>
          <w:szCs w:val="24"/>
        </w:rPr>
        <w:t>) recorded significantly higher potassium content (0.66 %) in groundnut haulm</w:t>
      </w:r>
      <w:r w:rsidR="0035536D">
        <w:rPr>
          <w:rFonts w:ascii="Times New Roman" w:hAnsi="Times New Roman" w:cs="Times New Roman"/>
          <w:sz w:val="24"/>
          <w:szCs w:val="24"/>
        </w:rPr>
        <w:t>,</w:t>
      </w:r>
      <w:r>
        <w:rPr>
          <w:rFonts w:ascii="Times New Roman" w:hAnsi="Times New Roman" w:cs="Times New Roman"/>
          <w:sz w:val="24"/>
          <w:szCs w:val="24"/>
        </w:rPr>
        <w:t xml:space="preserve"> which was remained at par with treatment K</w:t>
      </w:r>
      <w:r>
        <w:rPr>
          <w:rFonts w:ascii="Times New Roman" w:hAnsi="Times New Roman" w:cs="Times New Roman"/>
          <w:sz w:val="24"/>
          <w:szCs w:val="24"/>
          <w:vertAlign w:val="subscript"/>
        </w:rPr>
        <w:t xml:space="preserve">2 </w:t>
      </w:r>
      <w:r>
        <w:rPr>
          <w:rFonts w:ascii="Times New Roman" w:hAnsi="Times New Roman" w:cs="Times New Roman"/>
          <w:sz w:val="24"/>
          <w:szCs w:val="24"/>
        </w:rPr>
        <w:t>(40 kg K</w:t>
      </w:r>
      <w:r>
        <w:rPr>
          <w:rFonts w:ascii="Times New Roman" w:hAnsi="Times New Roman" w:cs="Times New Roman"/>
          <w:sz w:val="24"/>
          <w:szCs w:val="24"/>
          <w:vertAlign w:val="subscript"/>
        </w:rPr>
        <w:t>2</w:t>
      </w:r>
      <w:r>
        <w:rPr>
          <w:rFonts w:ascii="Times New Roman" w:hAnsi="Times New Roman" w:cs="Times New Roman"/>
          <w:sz w:val="24"/>
          <w:szCs w:val="24"/>
        </w:rPr>
        <w:t>O ha</w:t>
      </w:r>
      <w:r>
        <w:rPr>
          <w:rFonts w:ascii="Times New Roman" w:hAnsi="Times New Roman" w:cs="Times New Roman"/>
          <w:sz w:val="24"/>
          <w:szCs w:val="24"/>
          <w:vertAlign w:val="superscript"/>
        </w:rPr>
        <w:t>-1</w:t>
      </w:r>
      <w:r>
        <w:rPr>
          <w:rFonts w:ascii="Times New Roman" w:hAnsi="Times New Roman" w:cs="Times New Roman"/>
          <w:sz w:val="24"/>
          <w:szCs w:val="24"/>
        </w:rPr>
        <w:t>) with 0.64 %. The lowest potassium content in haulm (0.60 %) was recorded under treatment K</w:t>
      </w:r>
      <w:r>
        <w:rPr>
          <w:rFonts w:ascii="Times New Roman" w:hAnsi="Times New Roman" w:cs="Times New Roman"/>
          <w:sz w:val="24"/>
          <w:szCs w:val="24"/>
          <w:vertAlign w:val="subscript"/>
        </w:rPr>
        <w:t>1</w:t>
      </w:r>
      <w:r>
        <w:rPr>
          <w:rFonts w:ascii="Times New Roman" w:hAnsi="Times New Roman" w:cs="Times New Roman"/>
          <w:sz w:val="24"/>
          <w:szCs w:val="24"/>
        </w:rPr>
        <w:t xml:space="preserve"> (20 kg K</w:t>
      </w:r>
      <w:r>
        <w:rPr>
          <w:rFonts w:ascii="Times New Roman" w:hAnsi="Times New Roman" w:cs="Times New Roman"/>
          <w:sz w:val="24"/>
          <w:szCs w:val="24"/>
          <w:vertAlign w:val="subscript"/>
        </w:rPr>
        <w:t>2</w:t>
      </w:r>
      <w:r>
        <w:rPr>
          <w:rFonts w:ascii="Times New Roman" w:hAnsi="Times New Roman" w:cs="Times New Roman"/>
          <w:sz w:val="24"/>
          <w:szCs w:val="24"/>
        </w:rPr>
        <w:t>O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The findings are akin to the results of Salve and Gunjal (2011) and Patel </w:t>
      </w:r>
      <w:r>
        <w:rPr>
          <w:rFonts w:ascii="Times New Roman" w:hAnsi="Times New Roman" w:cs="Times New Roman"/>
          <w:i/>
          <w:iCs/>
          <w:sz w:val="24"/>
          <w:szCs w:val="24"/>
        </w:rPr>
        <w:t>et al.</w:t>
      </w:r>
      <w:r>
        <w:rPr>
          <w:rFonts w:ascii="Times New Roman" w:hAnsi="Times New Roman" w:cs="Times New Roman"/>
          <w:sz w:val="24"/>
          <w:szCs w:val="24"/>
        </w:rPr>
        <w:t xml:space="preserve"> (2019).</w:t>
      </w:r>
    </w:p>
    <w:p w:rsidR="004145E7" w:rsidRDefault="002D6E0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3.8.3 Effect of KMB</w:t>
      </w:r>
    </w:p>
    <w:p w:rsidR="004145E7" w:rsidRDefault="002D6E0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Data showed that KMB </w:t>
      </w:r>
      <w:r w:rsidR="0035536D">
        <w:rPr>
          <w:rFonts w:ascii="Times New Roman" w:hAnsi="Times New Roman" w:cs="Times New Roman"/>
          <w:sz w:val="24"/>
          <w:szCs w:val="24"/>
        </w:rPr>
        <w:t>recorded</w:t>
      </w:r>
      <w:r>
        <w:rPr>
          <w:rFonts w:ascii="Times New Roman" w:hAnsi="Times New Roman" w:cs="Times New Roman"/>
          <w:sz w:val="24"/>
          <w:szCs w:val="24"/>
        </w:rPr>
        <w:t xml:space="preserve"> </w:t>
      </w:r>
      <w:commentRangeStart w:id="53"/>
      <w:r>
        <w:rPr>
          <w:rFonts w:ascii="Times New Roman" w:hAnsi="Times New Roman" w:cs="Times New Roman"/>
          <w:sz w:val="24"/>
          <w:szCs w:val="24"/>
        </w:rPr>
        <w:t xml:space="preserve">their </w:t>
      </w:r>
      <w:commentRangeEnd w:id="53"/>
      <w:r w:rsidR="0035536D">
        <w:rPr>
          <w:rStyle w:val="CommentReference"/>
        </w:rPr>
        <w:commentReference w:id="53"/>
      </w:r>
      <w:r>
        <w:rPr>
          <w:rFonts w:ascii="Times New Roman" w:hAnsi="Times New Roman" w:cs="Times New Roman"/>
          <w:sz w:val="24"/>
          <w:szCs w:val="24"/>
        </w:rPr>
        <w:t>non significant effect on potassium content of groundnut haulm. However, numerically higher value of potassium content of haulm (0.64 %) was recorded with treatment B 1 (with KMB).</w:t>
      </w:r>
    </w:p>
    <w:p w:rsidR="004145E7" w:rsidRDefault="002D6E0C">
      <w:pPr>
        <w:jc w:val="both"/>
        <w:rPr>
          <w:rFonts w:ascii="Times New Roman" w:hAnsi="Times New Roman" w:cs="Times New Roman"/>
          <w:b/>
          <w:bCs/>
          <w:sz w:val="24"/>
          <w:szCs w:val="24"/>
        </w:rPr>
      </w:pPr>
      <w:r>
        <w:rPr>
          <w:rFonts w:ascii="Times New Roman" w:hAnsi="Times New Roman" w:cs="Times New Roman"/>
          <w:b/>
          <w:bCs/>
          <w:sz w:val="24"/>
          <w:szCs w:val="24"/>
        </w:rPr>
        <w:lastRenderedPageBreak/>
        <w:t>Conclusions</w:t>
      </w:r>
    </w:p>
    <w:p w:rsidR="004145E7" w:rsidRDefault="002D6E0C">
      <w:pPr>
        <w:spacing w:line="240" w:lineRule="auto"/>
        <w:jc w:val="both"/>
        <w:rPr>
          <w:rFonts w:ascii="Times New Roman" w:hAnsi="Times New Roman"/>
          <w:b/>
          <w:bCs/>
          <w:sz w:val="24"/>
          <w:szCs w:val="24"/>
        </w:rPr>
      </w:pPr>
      <w:r>
        <w:rPr>
          <w:rFonts w:ascii="Times New Roman" w:hAnsi="Times New Roman" w:cs="Times New Roman"/>
          <w:sz w:val="24"/>
          <w:szCs w:val="24"/>
        </w:rPr>
        <w:t xml:space="preserve">On the basis of the result obtained from the present investigation, it is concluded that, to achieve quality produce from </w:t>
      </w:r>
      <w:r>
        <w:rPr>
          <w:rFonts w:ascii="Times New Roman" w:hAnsi="Times New Roman" w:cs="Times New Roman"/>
          <w:i/>
          <w:iCs/>
          <w:sz w:val="24"/>
          <w:szCs w:val="24"/>
        </w:rPr>
        <w:t>kharif,</w:t>
      </w:r>
      <w:r>
        <w:rPr>
          <w:rFonts w:ascii="Times New Roman" w:hAnsi="Times New Roman" w:cs="Times New Roman"/>
          <w:sz w:val="24"/>
          <w:szCs w:val="24"/>
        </w:rPr>
        <w:t xml:space="preserve"> groundnut (TG 37 A) grown under loamy sand</w:t>
      </w:r>
      <w:r w:rsidR="0035536D">
        <w:rPr>
          <w:rFonts w:ascii="Times New Roman" w:hAnsi="Times New Roman" w:cs="Times New Roman"/>
          <w:sz w:val="24"/>
          <w:szCs w:val="24"/>
        </w:rPr>
        <w:t>,</w:t>
      </w:r>
      <w:r>
        <w:rPr>
          <w:rFonts w:ascii="Times New Roman" w:hAnsi="Times New Roman" w:cs="Times New Roman"/>
          <w:sz w:val="24"/>
          <w:szCs w:val="24"/>
        </w:rPr>
        <w:t xml:space="preserve"> which require application of manure @ 5 t FYM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and 40 kg K</w:t>
      </w:r>
      <w:r>
        <w:rPr>
          <w:rFonts w:ascii="Times New Roman" w:hAnsi="Times New Roman" w:cs="Times New Roman"/>
          <w:sz w:val="24"/>
          <w:szCs w:val="24"/>
          <w:vertAlign w:val="subscript"/>
        </w:rPr>
        <w:t>2</w:t>
      </w:r>
      <w:r>
        <w:rPr>
          <w:rFonts w:ascii="Times New Roman" w:hAnsi="Times New Roman" w:cs="Times New Roman"/>
          <w:sz w:val="24"/>
          <w:szCs w:val="24"/>
        </w:rPr>
        <w:t>O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along with seed inoculation with KMB and recommended dose of nitrogen and phosphorus.</w:t>
      </w:r>
    </w:p>
    <w:p w:rsidR="004145E7" w:rsidRDefault="004145E7">
      <w:pPr>
        <w:pStyle w:val="NoSpacing"/>
        <w:rPr>
          <w:rFonts w:ascii="Times New Roman" w:hAnsi="Times New Roman"/>
          <w:b/>
          <w:bCs/>
          <w:sz w:val="24"/>
          <w:szCs w:val="24"/>
        </w:rPr>
      </w:pPr>
    </w:p>
    <w:p w:rsidR="004145E7" w:rsidRDefault="002D6E0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Reference:</w:t>
      </w:r>
    </w:p>
    <w:p w:rsidR="004145E7" w:rsidRDefault="002D6E0C">
      <w:pPr>
        <w:spacing w:after="0" w:line="240" w:lineRule="auto"/>
        <w:ind w:left="1170" w:hanging="1170"/>
        <w:jc w:val="both"/>
        <w:outlineLvl w:val="1"/>
        <w:rPr>
          <w:rFonts w:ascii="Times New Roman" w:hAnsi="Times New Roman" w:cs="Times New Roman"/>
          <w:sz w:val="24"/>
          <w:szCs w:val="24"/>
          <w:lang w:val="en-IN"/>
        </w:rPr>
      </w:pPr>
      <w:r>
        <w:rPr>
          <w:rFonts w:ascii="Times New Roman" w:hAnsi="Times New Roman" w:cs="Times New Roman"/>
          <w:sz w:val="24"/>
          <w:szCs w:val="24"/>
          <w:lang w:val="en-IN"/>
        </w:rPr>
        <w:t>Borah, B., Patil, D.S. and Pawar, R.B. (2017). Enhancing kharif groundnut (</w:t>
      </w:r>
      <w:r>
        <w:rPr>
          <w:rFonts w:ascii="Times New Roman" w:hAnsi="Times New Roman" w:cs="Times New Roman"/>
          <w:i/>
          <w:iCs/>
          <w:sz w:val="24"/>
          <w:szCs w:val="24"/>
          <w:lang w:val="en-IN"/>
        </w:rPr>
        <w:t>Arachis hypogea</w:t>
      </w:r>
      <w:r>
        <w:rPr>
          <w:rFonts w:ascii="Times New Roman" w:hAnsi="Times New Roman" w:cs="Times New Roman"/>
          <w:sz w:val="24"/>
          <w:szCs w:val="24"/>
          <w:lang w:val="en-IN"/>
        </w:rPr>
        <w:t xml:space="preserve"> L.) yield and quality in entisol through potassic fertilizer management. </w:t>
      </w:r>
      <w:r>
        <w:rPr>
          <w:rFonts w:ascii="Times New Roman" w:hAnsi="Times New Roman" w:cs="Times New Roman"/>
          <w:i/>
          <w:iCs/>
          <w:sz w:val="24"/>
          <w:szCs w:val="24"/>
          <w:lang w:val="en-IN"/>
        </w:rPr>
        <w:t>International Journal of Current Microbiology and Applied Science</w:t>
      </w:r>
      <w:r>
        <w:rPr>
          <w:rFonts w:ascii="Times New Roman" w:hAnsi="Times New Roman" w:cs="Times New Roman"/>
          <w:sz w:val="24"/>
          <w:szCs w:val="24"/>
          <w:lang w:val="en-IN"/>
        </w:rPr>
        <w:t>, 6 (11) : 4068-4074.</w:t>
      </w:r>
    </w:p>
    <w:p w:rsidR="004145E7" w:rsidRDefault="002D6E0C">
      <w:pPr>
        <w:spacing w:after="0" w:line="240" w:lineRule="auto"/>
        <w:ind w:left="1170" w:hanging="1170"/>
        <w:jc w:val="both"/>
        <w:outlineLvl w:val="1"/>
        <w:rPr>
          <w:rFonts w:ascii="Times New Roman" w:hAnsi="Times New Roman" w:cs="Times New Roman"/>
          <w:sz w:val="24"/>
          <w:szCs w:val="24"/>
          <w:lang w:val="en-IN"/>
        </w:rPr>
      </w:pPr>
      <w:r>
        <w:rPr>
          <w:rFonts w:ascii="Times New Roman" w:hAnsi="Times New Roman" w:cs="Times New Roman"/>
          <w:sz w:val="24"/>
          <w:szCs w:val="24"/>
          <w:lang w:val="en-IN"/>
        </w:rPr>
        <w:t xml:space="preserve">Cakmark. (2005). Effect of N, P and K levels on yield, nutrient content, uptake and quality of summer groundnut grown on Typic Haplustep! </w:t>
      </w:r>
      <w:r>
        <w:rPr>
          <w:rFonts w:ascii="Times New Roman" w:hAnsi="Times New Roman" w:cs="Times New Roman"/>
          <w:i/>
          <w:iCs/>
          <w:sz w:val="24"/>
          <w:szCs w:val="24"/>
          <w:lang w:val="en-IN"/>
        </w:rPr>
        <w:t>Journal of the Indian Society of Soil Science.</w:t>
      </w:r>
      <w:r>
        <w:rPr>
          <w:rFonts w:ascii="Times New Roman" w:hAnsi="Times New Roman" w:cs="Times New Roman"/>
          <w:b/>
          <w:bCs/>
          <w:sz w:val="24"/>
          <w:szCs w:val="24"/>
          <w:lang w:val="en-IN"/>
        </w:rPr>
        <w:t>53</w:t>
      </w:r>
      <w:r>
        <w:rPr>
          <w:rFonts w:ascii="Times New Roman" w:hAnsi="Times New Roman" w:cs="Times New Roman"/>
          <w:sz w:val="24"/>
          <w:szCs w:val="24"/>
          <w:lang w:val="en-IN"/>
        </w:rPr>
        <w:t xml:space="preserve"> (1) : 125-128.</w:t>
      </w:r>
    </w:p>
    <w:p w:rsidR="004145E7" w:rsidRDefault="002D6E0C">
      <w:pPr>
        <w:spacing w:after="0" w:line="240" w:lineRule="auto"/>
        <w:ind w:left="1170" w:hanging="1170"/>
        <w:jc w:val="both"/>
        <w:outlineLvl w:val="1"/>
        <w:rPr>
          <w:rFonts w:ascii="Times New Roman" w:hAnsi="Times New Roman" w:cs="Times New Roman"/>
          <w:sz w:val="24"/>
          <w:szCs w:val="24"/>
          <w:lang w:val="en-IN"/>
        </w:rPr>
      </w:pPr>
      <w:r>
        <w:rPr>
          <w:rFonts w:ascii="Times New Roman" w:hAnsi="Times New Roman" w:cs="Times New Roman"/>
          <w:color w:val="000000"/>
          <w:sz w:val="24"/>
          <w:szCs w:val="24"/>
        </w:rPr>
        <w:t xml:space="preserve">Dhadge, S.M. and Satpute, N.R. (2014). Effect of integrated nutrient management on growth, yield and quality of summer groundnut. </w:t>
      </w:r>
      <w:r>
        <w:rPr>
          <w:rFonts w:ascii="Times New Roman" w:hAnsi="Times New Roman" w:cs="Times New Roman"/>
          <w:i/>
          <w:iCs/>
          <w:color w:val="000000"/>
          <w:sz w:val="24"/>
          <w:szCs w:val="24"/>
        </w:rPr>
        <w:t>International Journal of Agricultural Sciences,</w:t>
      </w:r>
      <w:r>
        <w:rPr>
          <w:rFonts w:ascii="Times New Roman" w:hAnsi="Times New Roman" w:cs="Times New Roman"/>
          <w:b/>
          <w:bCs/>
          <w:color w:val="000000"/>
          <w:sz w:val="24"/>
          <w:szCs w:val="24"/>
        </w:rPr>
        <w:t xml:space="preserve">10 </w:t>
      </w:r>
      <w:r>
        <w:rPr>
          <w:rFonts w:ascii="Times New Roman" w:hAnsi="Times New Roman" w:cs="Times New Roman"/>
          <w:color w:val="000000"/>
          <w:sz w:val="24"/>
          <w:szCs w:val="24"/>
        </w:rPr>
        <w:t>(1) : 314-316.</w:t>
      </w:r>
    </w:p>
    <w:p w:rsidR="004145E7" w:rsidRDefault="002D6E0C">
      <w:pPr>
        <w:spacing w:after="0" w:line="240" w:lineRule="auto"/>
        <w:ind w:left="1170" w:hanging="1170"/>
        <w:jc w:val="both"/>
        <w:outlineLvl w:val="1"/>
        <w:rPr>
          <w:rFonts w:ascii="Times New Roman" w:hAnsi="Times New Roman" w:cs="Times New Roman"/>
          <w:sz w:val="24"/>
          <w:szCs w:val="24"/>
          <w:lang w:val="en-IN"/>
        </w:rPr>
      </w:pPr>
      <w:r>
        <w:rPr>
          <w:rFonts w:ascii="Times New Roman" w:hAnsi="Times New Roman" w:cs="Times New Roman"/>
          <w:sz w:val="24"/>
          <w:szCs w:val="24"/>
          <w:lang w:val="en-IN"/>
        </w:rPr>
        <w:t xml:space="preserve">Gayathri, J. (2018). A trend analysis of area production and yield of groundnut in India. </w:t>
      </w:r>
      <w:r>
        <w:rPr>
          <w:rFonts w:ascii="Times New Roman" w:hAnsi="Times New Roman" w:cs="Times New Roman"/>
          <w:i/>
          <w:sz w:val="24"/>
          <w:szCs w:val="24"/>
          <w:lang w:val="en-IN"/>
        </w:rPr>
        <w:t>International Journal of Economics</w:t>
      </w:r>
      <w:r>
        <w:rPr>
          <w:rFonts w:ascii="Times New Roman" w:hAnsi="Times New Roman" w:cs="Times New Roman"/>
          <w:sz w:val="24"/>
          <w:szCs w:val="24"/>
          <w:lang w:val="en-IN"/>
        </w:rPr>
        <w:t xml:space="preserve">. </w:t>
      </w:r>
      <w:r>
        <w:rPr>
          <w:rFonts w:ascii="Times New Roman" w:hAnsi="Times New Roman" w:cs="Times New Roman"/>
          <w:b/>
          <w:sz w:val="24"/>
          <w:szCs w:val="24"/>
          <w:lang w:val="en-IN"/>
        </w:rPr>
        <w:t xml:space="preserve">6 </w:t>
      </w:r>
      <w:r>
        <w:rPr>
          <w:rFonts w:ascii="Times New Roman" w:hAnsi="Times New Roman" w:cs="Times New Roman"/>
          <w:sz w:val="24"/>
          <w:szCs w:val="24"/>
          <w:lang w:val="en-IN"/>
        </w:rPr>
        <w:t>(3) : 15-21.</w:t>
      </w:r>
    </w:p>
    <w:p w:rsidR="004145E7" w:rsidRDefault="002D6E0C">
      <w:pPr>
        <w:spacing w:after="0" w:line="240" w:lineRule="auto"/>
        <w:ind w:left="1170" w:hanging="1170"/>
        <w:jc w:val="both"/>
        <w:outlineLvl w:val="1"/>
        <w:rPr>
          <w:rFonts w:ascii="Times New Roman" w:hAnsi="Times New Roman" w:cs="Times New Roman"/>
          <w:sz w:val="24"/>
          <w:szCs w:val="24"/>
          <w:lang w:val="en-IN"/>
        </w:rPr>
      </w:pPr>
      <w:r>
        <w:rPr>
          <w:rFonts w:ascii="Times New Roman" w:hAnsi="Times New Roman" w:cs="Times New Roman"/>
          <w:sz w:val="24"/>
          <w:szCs w:val="24"/>
          <w:lang w:val="en-IN"/>
        </w:rPr>
        <w:t xml:space="preserve">Ghasti, A.H., Veshekaei, M.N.S. and Hossienzadeh, M.H. (2012). Effect of potassium and calcium application on Yield, Yield </w:t>
      </w:r>
      <w:r>
        <w:rPr>
          <w:rFonts w:ascii="Times New Roman" w:hAnsi="Times New Roman" w:cs="Times New Roman"/>
          <w:sz w:val="24"/>
          <w:szCs w:val="24"/>
          <w:lang w:val="en-IN"/>
        </w:rPr>
        <w:lastRenderedPageBreak/>
        <w:t>Components and qualitative characteristics of peanut (</w:t>
      </w:r>
      <w:r>
        <w:rPr>
          <w:rFonts w:ascii="Times New Roman" w:hAnsi="Times New Roman" w:cs="Times New Roman"/>
          <w:i/>
          <w:iCs/>
          <w:sz w:val="24"/>
          <w:szCs w:val="24"/>
          <w:lang w:val="en-IN"/>
        </w:rPr>
        <w:t>Arachis hypogea</w:t>
      </w:r>
      <w:r>
        <w:rPr>
          <w:rFonts w:ascii="Times New Roman" w:hAnsi="Times New Roman" w:cs="Times New Roman"/>
          <w:sz w:val="24"/>
          <w:szCs w:val="24"/>
          <w:lang w:val="en-IN"/>
        </w:rPr>
        <w:t xml:space="preserve"> L.). </w:t>
      </w:r>
      <w:r>
        <w:rPr>
          <w:rFonts w:ascii="Times New Roman" w:hAnsi="Times New Roman" w:cs="Times New Roman"/>
          <w:i/>
          <w:iCs/>
          <w:sz w:val="24"/>
          <w:szCs w:val="24"/>
          <w:lang w:val="en-IN"/>
        </w:rPr>
        <w:t>World Applied Science Journal</w:t>
      </w:r>
      <w:r>
        <w:rPr>
          <w:rFonts w:ascii="Times New Roman" w:hAnsi="Times New Roman" w:cs="Times New Roman"/>
          <w:sz w:val="24"/>
          <w:szCs w:val="24"/>
          <w:lang w:val="en-IN"/>
        </w:rPr>
        <w:t>, 16 (4) : 540-546.</w:t>
      </w:r>
    </w:p>
    <w:p w:rsidR="004145E7" w:rsidRDefault="002D6E0C">
      <w:pPr>
        <w:spacing w:after="0" w:line="240" w:lineRule="auto"/>
        <w:ind w:left="1170" w:hanging="1170"/>
        <w:jc w:val="both"/>
        <w:outlineLvl w:val="1"/>
        <w:rPr>
          <w:rFonts w:ascii="Times New Roman" w:hAnsi="Times New Roman" w:cs="Times New Roman"/>
          <w:sz w:val="24"/>
          <w:szCs w:val="24"/>
          <w:lang w:val="en-IN"/>
        </w:rPr>
      </w:pPr>
      <w:r>
        <w:rPr>
          <w:rFonts w:ascii="Times New Roman" w:hAnsi="Times New Roman" w:cs="Times New Roman"/>
          <w:sz w:val="24"/>
          <w:szCs w:val="24"/>
          <w:lang w:val="en-IN"/>
        </w:rPr>
        <w:t xml:space="preserve">Hemeid, N.M. (2015). Effect of different sources and levels of potassium fertilization on productivity of peanut grown under sandy soil conditions. </w:t>
      </w:r>
      <w:r>
        <w:rPr>
          <w:rFonts w:ascii="Times New Roman" w:hAnsi="Times New Roman" w:cs="Times New Roman"/>
          <w:i/>
          <w:iCs/>
          <w:sz w:val="24"/>
          <w:szCs w:val="24"/>
          <w:lang w:val="en-IN"/>
        </w:rPr>
        <w:t>Journal of Soil Science and Agricultural Engineering</w:t>
      </w:r>
      <w:r>
        <w:rPr>
          <w:rFonts w:ascii="Times New Roman" w:hAnsi="Times New Roman" w:cs="Times New Roman"/>
          <w:sz w:val="24"/>
          <w:szCs w:val="24"/>
          <w:lang w:val="en-IN"/>
        </w:rPr>
        <w:t>, 6 (12) : 1441-1454.</w:t>
      </w:r>
    </w:p>
    <w:p w:rsidR="004145E7" w:rsidRDefault="002D6E0C">
      <w:pPr>
        <w:spacing w:after="0" w:line="240" w:lineRule="auto"/>
        <w:ind w:left="1170" w:hanging="1170"/>
        <w:jc w:val="both"/>
        <w:outlineLvl w:val="1"/>
        <w:rPr>
          <w:rFonts w:ascii="Times New Roman" w:hAnsi="Times New Roman" w:cs="Times New Roman"/>
          <w:sz w:val="24"/>
          <w:szCs w:val="24"/>
          <w:lang w:val="en-IN"/>
        </w:rPr>
      </w:pPr>
      <w:r>
        <w:rPr>
          <w:rFonts w:ascii="Times New Roman" w:hAnsi="Times New Roman" w:cs="Times New Roman"/>
          <w:sz w:val="24"/>
          <w:szCs w:val="24"/>
        </w:rPr>
        <w:t>Indian Oil Seeds and Produce Export Promotion Council kharif survey of groundnut (2019).</w:t>
      </w:r>
    </w:p>
    <w:p w:rsidR="004145E7" w:rsidRDefault="002D6E0C">
      <w:pPr>
        <w:spacing w:after="0" w:line="240" w:lineRule="auto"/>
        <w:ind w:left="1170" w:hanging="1170"/>
        <w:jc w:val="both"/>
        <w:outlineLvl w:val="1"/>
        <w:rPr>
          <w:rFonts w:ascii="Times New Roman" w:hAnsi="Times New Roman" w:cs="Times New Roman"/>
          <w:sz w:val="24"/>
          <w:szCs w:val="24"/>
          <w:lang w:val="en-IN"/>
        </w:rPr>
      </w:pPr>
      <w:r>
        <w:rPr>
          <w:rFonts w:ascii="Times New Roman" w:hAnsi="Times New Roman" w:cs="Times New Roman"/>
          <w:color w:val="000000"/>
          <w:sz w:val="24"/>
          <w:szCs w:val="24"/>
        </w:rPr>
        <w:t xml:space="preserve">Kharade, S.B., Kasture, M.C. and Palsande, V.N. (2013). Response of groundnut to different levels of nitrogen and potassium with and without bio fertilizers in relation to yield, quality and nutrient uptake. </w:t>
      </w:r>
      <w:r>
        <w:rPr>
          <w:rFonts w:ascii="Times New Roman" w:hAnsi="Times New Roman" w:cs="Times New Roman"/>
          <w:i/>
          <w:iCs/>
          <w:color w:val="000000"/>
          <w:sz w:val="24"/>
          <w:szCs w:val="24"/>
        </w:rPr>
        <w:t>An Asian Journal of Soil Science,</w:t>
      </w:r>
      <w:r>
        <w:rPr>
          <w:rFonts w:ascii="Times New Roman" w:hAnsi="Times New Roman" w:cs="Times New Roman"/>
          <w:b/>
          <w:bCs/>
          <w:color w:val="000000"/>
          <w:sz w:val="24"/>
          <w:szCs w:val="24"/>
        </w:rPr>
        <w:t xml:space="preserve">8 </w:t>
      </w:r>
      <w:r>
        <w:rPr>
          <w:rFonts w:ascii="Times New Roman" w:hAnsi="Times New Roman" w:cs="Times New Roman"/>
          <w:color w:val="000000"/>
          <w:sz w:val="24"/>
          <w:szCs w:val="24"/>
        </w:rPr>
        <w:t>(2) : 241-244.</w:t>
      </w:r>
    </w:p>
    <w:p w:rsidR="004145E7" w:rsidRDefault="002D6E0C">
      <w:pPr>
        <w:pStyle w:val="NoSpacing"/>
        <w:ind w:left="851" w:hanging="851"/>
        <w:jc w:val="both"/>
        <w:rPr>
          <w:rFonts w:ascii="Times New Roman" w:hAnsi="Times New Roman"/>
          <w:color w:val="000000"/>
          <w:sz w:val="24"/>
          <w:szCs w:val="24"/>
        </w:rPr>
      </w:pPr>
      <w:r>
        <w:rPr>
          <w:rFonts w:ascii="Times New Roman" w:hAnsi="Times New Roman"/>
          <w:color w:val="000000"/>
          <w:sz w:val="24"/>
          <w:szCs w:val="24"/>
        </w:rPr>
        <w:t>Patel, P.K., Viradiya, M.B., Patel, V.S. and Kadivala, V.H. (2019). Effect of potassium and sulphur on nutrient content, uptake and soil fertility of summer groundnut (</w:t>
      </w:r>
      <w:r>
        <w:rPr>
          <w:rFonts w:ascii="Times New Roman" w:hAnsi="Times New Roman"/>
          <w:i/>
          <w:color w:val="000000"/>
          <w:sz w:val="24"/>
          <w:szCs w:val="24"/>
        </w:rPr>
        <w:t>Arachis hypogea</w:t>
      </w:r>
      <w:r>
        <w:rPr>
          <w:rFonts w:ascii="Times New Roman" w:hAnsi="Times New Roman"/>
          <w:color w:val="000000"/>
          <w:sz w:val="24"/>
          <w:szCs w:val="24"/>
        </w:rPr>
        <w:t xml:space="preserve"> L.) under middle Gujarat condition</w:t>
      </w:r>
      <w:r>
        <w:rPr>
          <w:rFonts w:ascii="Times New Roman" w:hAnsi="Times New Roman"/>
          <w:i/>
          <w:color w:val="000000"/>
          <w:sz w:val="24"/>
          <w:szCs w:val="24"/>
        </w:rPr>
        <w:t>. International Journal of chemical studies</w:t>
      </w:r>
      <w:r>
        <w:rPr>
          <w:rFonts w:ascii="Times New Roman" w:hAnsi="Times New Roman"/>
          <w:color w:val="000000"/>
          <w:sz w:val="24"/>
          <w:szCs w:val="24"/>
        </w:rPr>
        <w:t xml:space="preserve">. </w:t>
      </w:r>
      <w:r>
        <w:rPr>
          <w:rFonts w:ascii="Times New Roman" w:hAnsi="Times New Roman"/>
          <w:b/>
          <w:color w:val="000000"/>
          <w:sz w:val="24"/>
          <w:szCs w:val="24"/>
        </w:rPr>
        <w:t xml:space="preserve">7 </w:t>
      </w:r>
      <w:r>
        <w:rPr>
          <w:rFonts w:ascii="Times New Roman" w:hAnsi="Times New Roman"/>
          <w:color w:val="000000"/>
          <w:sz w:val="24"/>
          <w:szCs w:val="24"/>
        </w:rPr>
        <w:t>(1) : 797-800.</w:t>
      </w:r>
    </w:p>
    <w:p w:rsidR="004145E7" w:rsidRDefault="002D6E0C">
      <w:pPr>
        <w:pStyle w:val="NoSpacing"/>
        <w:ind w:left="851" w:hanging="851"/>
        <w:jc w:val="both"/>
        <w:rPr>
          <w:rFonts w:ascii="Times New Roman" w:hAnsi="Times New Roman"/>
          <w:color w:val="000000"/>
          <w:sz w:val="24"/>
          <w:szCs w:val="24"/>
        </w:rPr>
      </w:pPr>
      <w:r>
        <w:rPr>
          <w:rFonts w:ascii="Times New Roman" w:hAnsi="Times New Roman"/>
          <w:color w:val="000000"/>
          <w:sz w:val="24"/>
          <w:szCs w:val="24"/>
        </w:rPr>
        <w:t xml:space="preserve">Rahevar, H.D., Patel, P.P., Patel, B.T., Joshi, S.K. and Vaghela, S.G. (2015). Effect of FYM, iron and zinc on growth and yield of summer groundnut (Arachis hypogea L.) under north Gujarat agro-climatic conditions. </w:t>
      </w:r>
      <w:r>
        <w:rPr>
          <w:rFonts w:ascii="Times New Roman" w:hAnsi="Times New Roman"/>
          <w:i/>
          <w:iCs/>
          <w:color w:val="000000"/>
          <w:sz w:val="24"/>
          <w:szCs w:val="24"/>
        </w:rPr>
        <w:t>Indian Journal of Agricultural Research</w:t>
      </w:r>
      <w:r>
        <w:rPr>
          <w:rFonts w:ascii="Times New Roman" w:hAnsi="Times New Roman"/>
          <w:color w:val="000000"/>
          <w:sz w:val="24"/>
          <w:szCs w:val="24"/>
        </w:rPr>
        <w:t>, 49 (3) : 294-296.</w:t>
      </w:r>
    </w:p>
    <w:p w:rsidR="004145E7" w:rsidRDefault="002D6E0C">
      <w:pPr>
        <w:pStyle w:val="NoSpacing"/>
        <w:ind w:left="851" w:hanging="851"/>
        <w:jc w:val="both"/>
        <w:rPr>
          <w:rFonts w:ascii="Times New Roman" w:hAnsi="Times New Roman"/>
          <w:color w:val="000000"/>
          <w:sz w:val="24"/>
          <w:szCs w:val="24"/>
        </w:rPr>
      </w:pPr>
      <w:r>
        <w:rPr>
          <w:rFonts w:ascii="Times New Roman" w:hAnsi="Times New Roman"/>
          <w:color w:val="000000"/>
          <w:sz w:val="24"/>
          <w:szCs w:val="24"/>
        </w:rPr>
        <w:t xml:space="preserve">Rathore, S.S., Chadhary, D.R., Vaisya, L.K., Shekhawat, K. and Bhatt, B.P. (2014). Schoenite and potassium sulphate: Indigenous potassic fertilizer for rainfed groundnut </w:t>
      </w:r>
      <w:r>
        <w:rPr>
          <w:rFonts w:ascii="Times New Roman" w:hAnsi="Times New Roman"/>
          <w:color w:val="000000"/>
          <w:sz w:val="24"/>
          <w:szCs w:val="24"/>
        </w:rPr>
        <w:lastRenderedPageBreak/>
        <w:t xml:space="preserve">(Arachis hypogea L.). </w:t>
      </w:r>
      <w:r>
        <w:rPr>
          <w:rFonts w:ascii="Times New Roman" w:hAnsi="Times New Roman"/>
          <w:i/>
          <w:iCs/>
          <w:color w:val="000000"/>
          <w:sz w:val="24"/>
          <w:szCs w:val="24"/>
        </w:rPr>
        <w:t>Indian Journal of Traditional Knowledge</w:t>
      </w:r>
      <w:r>
        <w:rPr>
          <w:rFonts w:ascii="Times New Roman" w:hAnsi="Times New Roman"/>
          <w:color w:val="000000"/>
          <w:sz w:val="24"/>
          <w:szCs w:val="24"/>
        </w:rPr>
        <w:t>, 13 (1) : 222-226.</w:t>
      </w:r>
    </w:p>
    <w:p w:rsidR="004145E7" w:rsidRDefault="002D6E0C">
      <w:pPr>
        <w:pStyle w:val="NoSpacing"/>
        <w:ind w:left="851" w:hanging="851"/>
        <w:jc w:val="both"/>
        <w:rPr>
          <w:rFonts w:ascii="Times New Roman" w:hAnsi="Times New Roman"/>
          <w:color w:val="000000"/>
          <w:sz w:val="24"/>
          <w:szCs w:val="24"/>
        </w:rPr>
      </w:pPr>
      <w:r>
        <w:rPr>
          <w:rFonts w:ascii="Times New Roman" w:hAnsi="Times New Roman"/>
          <w:color w:val="000000"/>
          <w:sz w:val="24"/>
          <w:szCs w:val="24"/>
        </w:rPr>
        <w:t xml:space="preserve">Reddy, S.S., Shivaraj, B. and Reddy, V.C. (2004). Nutrient uptake and agronomy efficiency of groundnut as influenced by different organic manures. </w:t>
      </w:r>
      <w:r>
        <w:rPr>
          <w:rFonts w:ascii="Times New Roman" w:hAnsi="Times New Roman"/>
          <w:i/>
          <w:iCs/>
          <w:color w:val="000000"/>
          <w:sz w:val="24"/>
          <w:szCs w:val="24"/>
        </w:rPr>
        <w:t>Karnataka Journal of Agricultural Sciences</w:t>
      </w:r>
      <w:r>
        <w:rPr>
          <w:rFonts w:ascii="Times New Roman" w:hAnsi="Times New Roman"/>
          <w:color w:val="000000"/>
          <w:sz w:val="24"/>
          <w:szCs w:val="24"/>
        </w:rPr>
        <w:t>, 17 (4) : 670-675.</w:t>
      </w:r>
    </w:p>
    <w:p w:rsidR="004145E7" w:rsidRDefault="002D6E0C">
      <w:pPr>
        <w:pStyle w:val="NoSpacing"/>
        <w:ind w:left="851" w:hanging="851"/>
        <w:jc w:val="both"/>
        <w:rPr>
          <w:rFonts w:ascii="Times New Roman" w:hAnsi="Times New Roman"/>
          <w:color w:val="000000"/>
          <w:sz w:val="24"/>
          <w:szCs w:val="24"/>
        </w:rPr>
      </w:pPr>
      <w:r>
        <w:rPr>
          <w:rFonts w:ascii="Times New Roman" w:hAnsi="Times New Roman"/>
          <w:color w:val="000000"/>
          <w:sz w:val="24"/>
          <w:szCs w:val="24"/>
        </w:rPr>
        <w:t xml:space="preserve">Salve, Y.V. and Gunjal, B.S. (2011). Effect of different levels of phosphorus and potassium on summer groundnut (Arachis hypogea L.). </w:t>
      </w:r>
      <w:r>
        <w:rPr>
          <w:rFonts w:ascii="Times New Roman" w:hAnsi="Times New Roman"/>
          <w:i/>
          <w:iCs/>
          <w:color w:val="000000"/>
          <w:sz w:val="24"/>
          <w:szCs w:val="24"/>
        </w:rPr>
        <w:t>International Journal of Agricultural Sciences</w:t>
      </w:r>
      <w:r>
        <w:rPr>
          <w:rFonts w:ascii="Times New Roman" w:hAnsi="Times New Roman"/>
          <w:color w:val="000000"/>
          <w:sz w:val="24"/>
          <w:szCs w:val="24"/>
        </w:rPr>
        <w:t>, 7 (2) : 352-355.</w:t>
      </w:r>
    </w:p>
    <w:p w:rsidR="004145E7" w:rsidRDefault="002D6E0C">
      <w:pPr>
        <w:pStyle w:val="NoSpacing"/>
        <w:ind w:left="851" w:hanging="851"/>
        <w:jc w:val="both"/>
        <w:rPr>
          <w:rFonts w:ascii="Times New Roman" w:hAnsi="Times New Roman"/>
          <w:color w:val="000000"/>
          <w:sz w:val="24"/>
          <w:szCs w:val="24"/>
        </w:rPr>
      </w:pPr>
      <w:r>
        <w:rPr>
          <w:rFonts w:ascii="Times New Roman" w:hAnsi="Times New Roman"/>
          <w:color w:val="000000"/>
          <w:sz w:val="24"/>
          <w:szCs w:val="24"/>
        </w:rPr>
        <w:t xml:space="preserve">Sutariya, G.S, Akabari, K.N., Vora, V.D., Hirpara, D.S and Padmini, D.R. (2010). Influence of phosphorus and FYM on content and uptake of nutrients by groundnut and soil fertility of Verticustochrepts under rainfed conditions. </w:t>
      </w:r>
      <w:r>
        <w:rPr>
          <w:rFonts w:ascii="Times New Roman" w:hAnsi="Times New Roman"/>
          <w:i/>
          <w:iCs/>
          <w:color w:val="000000"/>
          <w:sz w:val="24"/>
          <w:szCs w:val="24"/>
        </w:rPr>
        <w:t>Asian Journal of Soil Science</w:t>
      </w:r>
      <w:r>
        <w:rPr>
          <w:rFonts w:ascii="Times New Roman" w:hAnsi="Times New Roman"/>
          <w:color w:val="000000"/>
          <w:sz w:val="24"/>
          <w:szCs w:val="24"/>
        </w:rPr>
        <w:t xml:space="preserve">. </w:t>
      </w:r>
      <w:r>
        <w:rPr>
          <w:rFonts w:ascii="Times New Roman" w:hAnsi="Times New Roman"/>
          <w:b/>
          <w:bCs/>
          <w:color w:val="000000"/>
          <w:sz w:val="24"/>
          <w:szCs w:val="24"/>
        </w:rPr>
        <w:t>5</w:t>
      </w:r>
      <w:r>
        <w:rPr>
          <w:rFonts w:ascii="Times New Roman" w:hAnsi="Times New Roman"/>
          <w:color w:val="000000"/>
          <w:sz w:val="24"/>
          <w:szCs w:val="24"/>
        </w:rPr>
        <w:t xml:space="preserve"> (1) : 197-199.</w:t>
      </w:r>
    </w:p>
    <w:p w:rsidR="004145E7" w:rsidRDefault="002D6E0C">
      <w:pPr>
        <w:pStyle w:val="NoSpacing"/>
        <w:ind w:left="851" w:hanging="851"/>
        <w:jc w:val="both"/>
        <w:rPr>
          <w:rFonts w:ascii="Times New Roman" w:hAnsi="Times New Roman"/>
          <w:sz w:val="24"/>
          <w:szCs w:val="24"/>
        </w:rPr>
      </w:pPr>
      <w:r>
        <w:rPr>
          <w:rFonts w:ascii="Times New Roman" w:hAnsi="Times New Roman"/>
          <w:sz w:val="24"/>
          <w:szCs w:val="24"/>
        </w:rPr>
        <w:t>Ventakesh, M.S., Majumdar, B., Kailash, K. and Patiram, H. (2006). Response of groundnut to sulphur, boron and FYM doses in a UlticHapludalf of Meghalaya. Journal of Oil Seed Research, 23 (1) : 52-54.</w:t>
      </w:r>
    </w:p>
    <w:p w:rsidR="004145E7" w:rsidRDefault="002D6E0C">
      <w:pPr>
        <w:pStyle w:val="NoSpacing"/>
        <w:ind w:left="851" w:hanging="851"/>
        <w:jc w:val="both"/>
        <w:rPr>
          <w:rFonts w:ascii="Times New Roman" w:hAnsi="Times New Roman"/>
          <w:color w:val="000000"/>
          <w:sz w:val="24"/>
          <w:szCs w:val="24"/>
        </w:rPr>
      </w:pPr>
      <w:r>
        <w:rPr>
          <w:rFonts w:ascii="Times New Roman" w:hAnsi="Times New Roman"/>
          <w:color w:val="000000"/>
          <w:sz w:val="24"/>
          <w:szCs w:val="24"/>
        </w:rPr>
        <w:t xml:space="preserve">Vishwakarma, A., Brajendra, K., Pathak, K.A. and Ramakrishna, Y. (2012). Effect of different sources of nutrient application on productivity, nutrient uptake and economics of groundnut in Kolasib District of Mizoram. </w:t>
      </w:r>
      <w:r>
        <w:rPr>
          <w:rFonts w:ascii="Times New Roman" w:hAnsi="Times New Roman"/>
          <w:i/>
          <w:iCs/>
          <w:color w:val="000000"/>
          <w:sz w:val="24"/>
          <w:szCs w:val="24"/>
        </w:rPr>
        <w:t>Indian Journal of  Soil Conservation</w:t>
      </w:r>
      <w:r>
        <w:rPr>
          <w:rFonts w:ascii="Times New Roman" w:hAnsi="Times New Roman"/>
          <w:color w:val="000000"/>
          <w:sz w:val="24"/>
          <w:szCs w:val="24"/>
        </w:rPr>
        <w:t>, 40 (2) : 152-157.</w:t>
      </w:r>
    </w:p>
    <w:sectPr w:rsidR="004145E7" w:rsidSect="004145E7">
      <w:type w:val="continuous"/>
      <w:pgSz w:w="12240" w:h="15840"/>
      <w:pgMar w:top="1440" w:right="1440" w:bottom="1440" w:left="1440" w:header="720" w:footer="720" w:gutter="0"/>
      <w:cols w:num="2"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Admin" w:date="2025-04-21T09:09:00Z" w:initials="A">
    <w:p w:rsidR="005C680B" w:rsidRDefault="005C680B">
      <w:pPr>
        <w:pStyle w:val="CommentText"/>
      </w:pPr>
      <w:r>
        <w:rPr>
          <w:rStyle w:val="CommentReference"/>
        </w:rPr>
        <w:annotationRef/>
      </w:r>
      <w:r>
        <w:t>delete</w:t>
      </w:r>
    </w:p>
  </w:comment>
  <w:comment w:id="2" w:author="Admin" w:date="2025-04-21T09:11:00Z" w:initials="A">
    <w:p w:rsidR="00C67C88" w:rsidRDefault="00C67C88">
      <w:pPr>
        <w:pStyle w:val="CommentText"/>
      </w:pPr>
      <w:r>
        <w:rPr>
          <w:rStyle w:val="CommentReference"/>
        </w:rPr>
        <w:annotationRef/>
      </w:r>
      <w:r>
        <w:t>?</w:t>
      </w:r>
    </w:p>
  </w:comment>
  <w:comment w:id="3" w:author="Admin" w:date="2025-04-21T09:12:00Z" w:initials="A">
    <w:p w:rsidR="00C67C88" w:rsidRDefault="00C67C88">
      <w:pPr>
        <w:pStyle w:val="CommentText"/>
      </w:pPr>
      <w:r>
        <w:rPr>
          <w:rStyle w:val="CommentReference"/>
        </w:rPr>
        <w:annotationRef/>
      </w:r>
      <w:r>
        <w:t>Not clear</w:t>
      </w:r>
    </w:p>
  </w:comment>
  <w:comment w:id="4" w:author="Admin" w:date="2025-04-21T09:13:00Z" w:initials="A">
    <w:p w:rsidR="00C345BB" w:rsidRDefault="00C345BB">
      <w:pPr>
        <w:pStyle w:val="CommentText"/>
      </w:pPr>
      <w:r>
        <w:rPr>
          <w:rStyle w:val="CommentReference"/>
        </w:rPr>
        <w:annotationRef/>
      </w:r>
      <w:r>
        <w:rPr>
          <w:rFonts w:ascii="Times New Roman" w:hAnsi="Times New Roman" w:cs="Times New Roman"/>
          <w:sz w:val="24"/>
          <w:szCs w:val="24"/>
        </w:rPr>
        <w:t>delete</w:t>
      </w:r>
    </w:p>
  </w:comment>
  <w:comment w:id="5" w:author="Admin" w:date="2025-04-21T09:14:00Z" w:initials="A">
    <w:p w:rsidR="00C345BB" w:rsidRDefault="00C345BB">
      <w:pPr>
        <w:pStyle w:val="CommentText"/>
      </w:pPr>
      <w:r>
        <w:rPr>
          <w:rStyle w:val="CommentReference"/>
        </w:rPr>
        <w:annotationRef/>
      </w:r>
      <w:r>
        <w:rPr>
          <w:rFonts w:ascii="Times New Roman" w:hAnsi="Times New Roman" w:cs="Times New Roman"/>
          <w:sz w:val="24"/>
          <w:szCs w:val="24"/>
        </w:rPr>
        <w:t>delete</w:t>
      </w:r>
    </w:p>
  </w:comment>
  <w:comment w:id="6" w:author="Admin" w:date="2025-04-21T09:19:00Z" w:initials="A">
    <w:p w:rsidR="001208C6" w:rsidRDefault="001208C6">
      <w:pPr>
        <w:pStyle w:val="CommentText"/>
      </w:pPr>
      <w:r>
        <w:rPr>
          <w:rStyle w:val="CommentReference"/>
        </w:rPr>
        <w:annotationRef/>
      </w:r>
      <w:r>
        <w:rPr>
          <w:rFonts w:ascii="Times New Roman" w:hAnsi="Times New Roman" w:cs="Times New Roman"/>
          <w:sz w:val="24"/>
          <w:szCs w:val="24"/>
        </w:rPr>
        <w:t>delete</w:t>
      </w:r>
    </w:p>
  </w:comment>
  <w:comment w:id="7" w:author="Admin" w:date="2025-04-21T09:20:00Z" w:initials="A">
    <w:p w:rsidR="001208C6" w:rsidRDefault="001208C6">
      <w:pPr>
        <w:pStyle w:val="CommentText"/>
      </w:pPr>
      <w:r>
        <w:rPr>
          <w:rStyle w:val="CommentReference"/>
        </w:rPr>
        <w:annotationRef/>
      </w:r>
      <w:r>
        <w:t>?</w:t>
      </w:r>
    </w:p>
  </w:comment>
  <w:comment w:id="8" w:author="Admin" w:date="2025-04-21T09:22:00Z" w:initials="A">
    <w:p w:rsidR="00F80082" w:rsidRDefault="00F80082">
      <w:pPr>
        <w:pStyle w:val="CommentText"/>
      </w:pPr>
      <w:r>
        <w:rPr>
          <w:rStyle w:val="CommentReference"/>
        </w:rPr>
        <w:annotationRef/>
      </w:r>
      <w:r>
        <w:rPr>
          <w:rFonts w:ascii="Times New Roman" w:hAnsi="Times New Roman" w:cs="Times New Roman"/>
          <w:sz w:val="24"/>
          <w:szCs w:val="24"/>
        </w:rPr>
        <w:t>delete</w:t>
      </w:r>
    </w:p>
  </w:comment>
  <w:comment w:id="9" w:author="Admin" w:date="2025-04-21T09:23:00Z" w:initials="A">
    <w:p w:rsidR="00F80082" w:rsidRDefault="00F80082">
      <w:pPr>
        <w:pStyle w:val="CommentText"/>
      </w:pPr>
      <w:r>
        <w:rPr>
          <w:rStyle w:val="CommentReference"/>
        </w:rPr>
        <w:annotationRef/>
      </w:r>
      <w:r>
        <w:rPr>
          <w:rFonts w:ascii="Times New Roman" w:hAnsi="Times New Roman" w:cs="Times New Roman"/>
          <w:sz w:val="24"/>
          <w:szCs w:val="24"/>
        </w:rPr>
        <w:t>delete</w:t>
      </w:r>
    </w:p>
  </w:comment>
  <w:comment w:id="10" w:author="Admin" w:date="2025-04-21T09:39:00Z" w:initials="A">
    <w:p w:rsidR="00F80082" w:rsidRDefault="00F80082">
      <w:pPr>
        <w:pStyle w:val="CommentText"/>
        <w:rPr>
          <w:rFonts w:ascii="Times New Roman" w:hAnsi="Times New Roman" w:cs="Times New Roman"/>
          <w:sz w:val="24"/>
          <w:szCs w:val="24"/>
        </w:rPr>
      </w:pPr>
      <w:r>
        <w:rPr>
          <w:rStyle w:val="CommentReference"/>
        </w:rPr>
        <w:annotationRef/>
      </w:r>
      <w:r>
        <w:rPr>
          <w:rFonts w:ascii="Times New Roman" w:hAnsi="Times New Roman" w:cs="Times New Roman"/>
          <w:sz w:val="24"/>
          <w:szCs w:val="24"/>
        </w:rPr>
        <w:t>delete</w:t>
      </w:r>
    </w:p>
    <w:p w:rsidR="004C165E" w:rsidRDefault="004C165E">
      <w:pPr>
        <w:pStyle w:val="CommentText"/>
        <w:rPr>
          <w:rFonts w:ascii="Times New Roman" w:hAnsi="Times New Roman" w:cs="Times New Roman"/>
          <w:sz w:val="24"/>
          <w:szCs w:val="24"/>
        </w:rPr>
      </w:pPr>
    </w:p>
    <w:p w:rsidR="004C165E" w:rsidRDefault="004C165E">
      <w:pPr>
        <w:pStyle w:val="CommentText"/>
        <w:rPr>
          <w:rFonts w:ascii="Times New Roman" w:hAnsi="Times New Roman" w:cs="Times New Roman"/>
          <w:sz w:val="24"/>
          <w:szCs w:val="24"/>
        </w:rPr>
      </w:pPr>
    </w:p>
    <w:p w:rsidR="004C165E" w:rsidRDefault="004C165E">
      <w:pPr>
        <w:pStyle w:val="CommentText"/>
      </w:pPr>
    </w:p>
  </w:comment>
  <w:comment w:id="11" w:author="Admin" w:date="2025-04-21T09:41:00Z" w:initials="A">
    <w:p w:rsidR="004C165E" w:rsidRDefault="004C165E">
      <w:pPr>
        <w:pStyle w:val="CommentText"/>
      </w:pPr>
      <w:r>
        <w:rPr>
          <w:rStyle w:val="CommentReference"/>
        </w:rPr>
        <w:annotationRef/>
      </w:r>
      <w:r>
        <w:rPr>
          <w:rFonts w:ascii="Times New Roman" w:hAnsi="Times New Roman" w:cs="Times New Roman"/>
          <w:sz w:val="24"/>
          <w:szCs w:val="24"/>
        </w:rPr>
        <w:t>delete</w:t>
      </w:r>
    </w:p>
  </w:comment>
  <w:comment w:id="12" w:author="Admin" w:date="2025-04-21T09:42:00Z" w:initials="A">
    <w:p w:rsidR="004C165E" w:rsidRDefault="004C165E">
      <w:pPr>
        <w:pStyle w:val="CommentText"/>
      </w:pPr>
      <w:r>
        <w:rPr>
          <w:rStyle w:val="CommentReference"/>
        </w:rPr>
        <w:annotationRef/>
      </w:r>
      <w:r>
        <w:rPr>
          <w:rFonts w:ascii="Times New Roman" w:hAnsi="Times New Roman"/>
          <w:sz w:val="24"/>
          <w:szCs w:val="24"/>
        </w:rPr>
        <w:t>delete</w:t>
      </w:r>
    </w:p>
  </w:comment>
  <w:comment w:id="13" w:author="Admin" w:date="2025-04-21T09:43:00Z" w:initials="A">
    <w:p w:rsidR="004C165E" w:rsidRDefault="004C165E">
      <w:pPr>
        <w:pStyle w:val="CommentText"/>
      </w:pPr>
      <w:r>
        <w:rPr>
          <w:rStyle w:val="CommentReference"/>
        </w:rPr>
        <w:annotationRef/>
      </w:r>
      <w:r>
        <w:rPr>
          <w:rFonts w:ascii="Times New Roman" w:hAnsi="Times New Roman"/>
          <w:sz w:val="24"/>
          <w:szCs w:val="24"/>
        </w:rPr>
        <w:t>delete</w:t>
      </w:r>
    </w:p>
  </w:comment>
  <w:comment w:id="14" w:author="Admin" w:date="2025-04-21T10:51:00Z" w:initials="A">
    <w:p w:rsidR="0015085D" w:rsidRDefault="0015085D">
      <w:pPr>
        <w:pStyle w:val="CommentText"/>
      </w:pPr>
      <w:r>
        <w:rPr>
          <w:rStyle w:val="CommentReference"/>
        </w:rPr>
        <w:annotationRef/>
      </w:r>
      <w:r>
        <w:t>delete</w:t>
      </w:r>
    </w:p>
  </w:comment>
  <w:comment w:id="15" w:author="Admin" w:date="2025-04-21T10:52:00Z" w:initials="A">
    <w:p w:rsidR="0015085D" w:rsidRDefault="0015085D">
      <w:pPr>
        <w:pStyle w:val="CommentText"/>
      </w:pPr>
      <w:r>
        <w:rPr>
          <w:rStyle w:val="CommentReference"/>
        </w:rPr>
        <w:annotationRef/>
      </w:r>
      <w:r>
        <w:t>delete</w:t>
      </w:r>
    </w:p>
  </w:comment>
  <w:comment w:id="16" w:author="Admin" w:date="2025-04-21T11:13:00Z" w:initials="A">
    <w:p w:rsidR="006D1FAD" w:rsidRDefault="006D1FAD">
      <w:pPr>
        <w:pStyle w:val="CommentText"/>
      </w:pPr>
      <w:r>
        <w:rPr>
          <w:rStyle w:val="CommentReference"/>
        </w:rPr>
        <w:annotationRef/>
      </w:r>
      <w:r>
        <w:t>delete</w:t>
      </w:r>
    </w:p>
  </w:comment>
  <w:comment w:id="17" w:author="Admin" w:date="2025-04-21T11:13:00Z" w:initials="A">
    <w:p w:rsidR="006D1FAD" w:rsidRDefault="006D1FAD">
      <w:pPr>
        <w:pStyle w:val="CommentText"/>
      </w:pPr>
      <w:r>
        <w:rPr>
          <w:rStyle w:val="CommentReference"/>
        </w:rPr>
        <w:annotationRef/>
      </w:r>
      <w:r>
        <w:t>delete</w:t>
      </w:r>
    </w:p>
  </w:comment>
  <w:comment w:id="18" w:author="Admin" w:date="2025-04-21T12:37:00Z" w:initials="A">
    <w:p w:rsidR="008E3A92" w:rsidRDefault="008E3A92">
      <w:pPr>
        <w:pStyle w:val="CommentText"/>
      </w:pPr>
      <w:r>
        <w:rPr>
          <w:rStyle w:val="CommentReference"/>
        </w:rPr>
        <w:annotationRef/>
      </w:r>
      <w:r>
        <w:t>delete</w:t>
      </w:r>
    </w:p>
  </w:comment>
  <w:comment w:id="19" w:author="Admin" w:date="2025-04-21T12:39:00Z" w:initials="A">
    <w:p w:rsidR="00B66C84" w:rsidRDefault="00B66C84">
      <w:pPr>
        <w:pStyle w:val="CommentText"/>
      </w:pPr>
      <w:r>
        <w:rPr>
          <w:rStyle w:val="CommentReference"/>
        </w:rPr>
        <w:annotationRef/>
      </w:r>
      <w:r>
        <w:t>delete</w:t>
      </w:r>
    </w:p>
  </w:comment>
  <w:comment w:id="20" w:author="Admin" w:date="2025-04-21T12:40:00Z" w:initials="A">
    <w:p w:rsidR="00066942" w:rsidRDefault="00066942">
      <w:pPr>
        <w:pStyle w:val="CommentText"/>
      </w:pPr>
      <w:r>
        <w:rPr>
          <w:rStyle w:val="CommentReference"/>
        </w:rPr>
        <w:annotationRef/>
      </w:r>
      <w:r>
        <w:t>delete</w:t>
      </w:r>
    </w:p>
  </w:comment>
  <w:comment w:id="21" w:author="Admin" w:date="2025-04-21T12:40:00Z" w:initials="A">
    <w:p w:rsidR="00066942" w:rsidRDefault="00066942">
      <w:pPr>
        <w:pStyle w:val="CommentText"/>
      </w:pPr>
      <w:r>
        <w:rPr>
          <w:rStyle w:val="CommentReference"/>
        </w:rPr>
        <w:annotationRef/>
      </w:r>
      <w:r>
        <w:t>delete</w:t>
      </w:r>
    </w:p>
  </w:comment>
  <w:comment w:id="22" w:author="Admin" w:date="2025-04-21T12:40:00Z" w:initials="A">
    <w:p w:rsidR="00066942" w:rsidRDefault="00066942">
      <w:pPr>
        <w:pStyle w:val="CommentText"/>
      </w:pPr>
      <w:r>
        <w:rPr>
          <w:rStyle w:val="CommentReference"/>
        </w:rPr>
        <w:annotationRef/>
      </w:r>
      <w:r>
        <w:t>delete</w:t>
      </w:r>
    </w:p>
  </w:comment>
  <w:comment w:id="23" w:author="Admin" w:date="2025-04-21T12:41:00Z" w:initials="A">
    <w:p w:rsidR="00066942" w:rsidRDefault="00066942">
      <w:pPr>
        <w:pStyle w:val="CommentText"/>
      </w:pPr>
      <w:r>
        <w:rPr>
          <w:rStyle w:val="CommentReference"/>
        </w:rPr>
        <w:annotationRef/>
      </w:r>
      <w:r>
        <w:t>delete</w:t>
      </w:r>
    </w:p>
  </w:comment>
  <w:comment w:id="24" w:author="Admin" w:date="2025-04-21T12:42:00Z" w:initials="A">
    <w:p w:rsidR="00066942" w:rsidRDefault="00066942">
      <w:pPr>
        <w:pStyle w:val="CommentText"/>
      </w:pPr>
      <w:r>
        <w:rPr>
          <w:rStyle w:val="CommentReference"/>
        </w:rPr>
        <w:annotationRef/>
      </w:r>
      <w:r>
        <w:t>delete</w:t>
      </w:r>
    </w:p>
  </w:comment>
  <w:comment w:id="25" w:author="Admin" w:date="2025-04-21T12:42:00Z" w:initials="A">
    <w:p w:rsidR="00066942" w:rsidRDefault="00066942">
      <w:pPr>
        <w:pStyle w:val="CommentText"/>
      </w:pPr>
      <w:r>
        <w:rPr>
          <w:rStyle w:val="CommentReference"/>
        </w:rPr>
        <w:annotationRef/>
      </w:r>
      <w:r>
        <w:t>delete</w:t>
      </w:r>
    </w:p>
  </w:comment>
  <w:comment w:id="26" w:author="Admin" w:date="2025-04-21T12:43:00Z" w:initials="A">
    <w:p w:rsidR="00066942" w:rsidRDefault="00066942">
      <w:pPr>
        <w:pStyle w:val="CommentText"/>
      </w:pPr>
      <w:r>
        <w:rPr>
          <w:rStyle w:val="CommentReference"/>
        </w:rPr>
        <w:annotationRef/>
      </w:r>
      <w:r>
        <w:t>delete</w:t>
      </w:r>
    </w:p>
  </w:comment>
  <w:comment w:id="27" w:author="Admin" w:date="2025-04-21T12:43:00Z" w:initials="A">
    <w:p w:rsidR="00066942" w:rsidRDefault="00066942">
      <w:pPr>
        <w:pStyle w:val="CommentText"/>
      </w:pPr>
      <w:r>
        <w:rPr>
          <w:rStyle w:val="CommentReference"/>
        </w:rPr>
        <w:annotationRef/>
      </w:r>
      <w:r>
        <w:t>delete</w:t>
      </w:r>
    </w:p>
  </w:comment>
  <w:comment w:id="28" w:author="Admin" w:date="2025-04-21T12:48:00Z" w:initials="A">
    <w:p w:rsidR="003B1DFA" w:rsidRDefault="003B1DFA">
      <w:pPr>
        <w:pStyle w:val="CommentText"/>
      </w:pPr>
      <w:r>
        <w:rPr>
          <w:rStyle w:val="CommentReference"/>
        </w:rPr>
        <w:annotationRef/>
      </w:r>
      <w:r>
        <w:t>delete</w:t>
      </w:r>
    </w:p>
  </w:comment>
  <w:comment w:id="29" w:author="Admin" w:date="2025-04-21T12:48:00Z" w:initials="A">
    <w:p w:rsidR="003B1DFA" w:rsidRDefault="003B1DFA">
      <w:pPr>
        <w:pStyle w:val="CommentText"/>
      </w:pPr>
      <w:r>
        <w:rPr>
          <w:rStyle w:val="CommentReference"/>
        </w:rPr>
        <w:annotationRef/>
      </w:r>
      <w:r>
        <w:t>delete</w:t>
      </w:r>
    </w:p>
  </w:comment>
  <w:comment w:id="30" w:author="Admin" w:date="2025-04-21T12:49:00Z" w:initials="A">
    <w:p w:rsidR="003B1DFA" w:rsidRDefault="003B1DFA">
      <w:pPr>
        <w:pStyle w:val="CommentText"/>
      </w:pPr>
      <w:r>
        <w:rPr>
          <w:rStyle w:val="CommentReference"/>
        </w:rPr>
        <w:annotationRef/>
      </w:r>
      <w:r>
        <w:t>delete</w:t>
      </w:r>
    </w:p>
  </w:comment>
  <w:comment w:id="31" w:author="Admin" w:date="2025-04-21T12:49:00Z" w:initials="A">
    <w:p w:rsidR="003B1DFA" w:rsidRDefault="003B1DFA">
      <w:pPr>
        <w:pStyle w:val="CommentText"/>
      </w:pPr>
      <w:r>
        <w:rPr>
          <w:rStyle w:val="CommentReference"/>
        </w:rPr>
        <w:annotationRef/>
      </w:r>
      <w:r>
        <w:t>delete</w:t>
      </w:r>
    </w:p>
  </w:comment>
  <w:comment w:id="32" w:author="Admin" w:date="2025-04-21T12:49:00Z" w:initials="A">
    <w:p w:rsidR="003B1DFA" w:rsidRDefault="003B1DFA">
      <w:pPr>
        <w:pStyle w:val="CommentText"/>
      </w:pPr>
      <w:r>
        <w:rPr>
          <w:rStyle w:val="CommentReference"/>
        </w:rPr>
        <w:annotationRef/>
      </w:r>
      <w:r>
        <w:t>delete</w:t>
      </w:r>
    </w:p>
  </w:comment>
  <w:comment w:id="33" w:author="Admin" w:date="2025-04-21T12:50:00Z" w:initials="A">
    <w:p w:rsidR="003B1DFA" w:rsidRDefault="003B1DFA">
      <w:pPr>
        <w:pStyle w:val="CommentText"/>
      </w:pPr>
      <w:r>
        <w:rPr>
          <w:rStyle w:val="CommentReference"/>
        </w:rPr>
        <w:annotationRef/>
      </w:r>
      <w:r>
        <w:t>delete</w:t>
      </w:r>
    </w:p>
  </w:comment>
  <w:comment w:id="34" w:author="Admin" w:date="2025-04-21T12:50:00Z" w:initials="A">
    <w:p w:rsidR="003B1DFA" w:rsidRDefault="003B1DFA">
      <w:pPr>
        <w:pStyle w:val="CommentText"/>
      </w:pPr>
      <w:r>
        <w:rPr>
          <w:rStyle w:val="CommentReference"/>
        </w:rPr>
        <w:annotationRef/>
      </w:r>
      <w:r>
        <w:t>?</w:t>
      </w:r>
    </w:p>
  </w:comment>
  <w:comment w:id="35" w:author="Admin" w:date="2025-04-21T12:51:00Z" w:initials="A">
    <w:p w:rsidR="003B1DFA" w:rsidRDefault="003B1DFA">
      <w:pPr>
        <w:pStyle w:val="CommentText"/>
      </w:pPr>
      <w:r>
        <w:rPr>
          <w:rStyle w:val="CommentReference"/>
        </w:rPr>
        <w:annotationRef/>
      </w:r>
      <w:r>
        <w:t>delete</w:t>
      </w:r>
    </w:p>
  </w:comment>
  <w:comment w:id="36" w:author="Admin" w:date="2025-04-21T12:51:00Z" w:initials="A">
    <w:p w:rsidR="003B1DFA" w:rsidRDefault="003B1DFA">
      <w:pPr>
        <w:pStyle w:val="CommentText"/>
      </w:pPr>
      <w:r>
        <w:rPr>
          <w:rStyle w:val="CommentReference"/>
        </w:rPr>
        <w:annotationRef/>
      </w:r>
      <w:r>
        <w:t>delete</w:t>
      </w:r>
    </w:p>
  </w:comment>
  <w:comment w:id="37" w:author="Admin" w:date="2025-04-21T12:51:00Z" w:initials="A">
    <w:p w:rsidR="003B1DFA" w:rsidRDefault="003B1DFA">
      <w:pPr>
        <w:pStyle w:val="CommentText"/>
      </w:pPr>
      <w:r>
        <w:rPr>
          <w:rStyle w:val="CommentReference"/>
        </w:rPr>
        <w:annotationRef/>
      </w:r>
      <w:r>
        <w:t>delete</w:t>
      </w:r>
    </w:p>
  </w:comment>
  <w:comment w:id="38" w:author="Admin" w:date="2025-04-21T12:52:00Z" w:initials="A">
    <w:p w:rsidR="003B1DFA" w:rsidRDefault="003B1DFA">
      <w:pPr>
        <w:pStyle w:val="CommentText"/>
      </w:pPr>
      <w:r>
        <w:rPr>
          <w:rStyle w:val="CommentReference"/>
        </w:rPr>
        <w:annotationRef/>
      </w:r>
      <w:r>
        <w:t>delete</w:t>
      </w:r>
    </w:p>
  </w:comment>
  <w:comment w:id="39" w:author="Admin" w:date="2025-04-21T12:52:00Z" w:initials="A">
    <w:p w:rsidR="003B1DFA" w:rsidRDefault="003B1DFA">
      <w:pPr>
        <w:pStyle w:val="CommentText"/>
      </w:pPr>
      <w:r>
        <w:rPr>
          <w:rStyle w:val="CommentReference"/>
        </w:rPr>
        <w:annotationRef/>
      </w:r>
      <w:r>
        <w:t>delete</w:t>
      </w:r>
    </w:p>
  </w:comment>
  <w:comment w:id="40" w:author="Admin" w:date="2025-04-21T12:52:00Z" w:initials="A">
    <w:p w:rsidR="003B1DFA" w:rsidRDefault="003B1DFA">
      <w:pPr>
        <w:pStyle w:val="CommentText"/>
      </w:pPr>
      <w:r>
        <w:rPr>
          <w:rStyle w:val="CommentReference"/>
        </w:rPr>
        <w:annotationRef/>
      </w:r>
      <w:r>
        <w:t>delete</w:t>
      </w:r>
    </w:p>
  </w:comment>
  <w:comment w:id="41" w:author="Admin" w:date="2025-04-21T12:53:00Z" w:initials="A">
    <w:p w:rsidR="003B1DFA" w:rsidRDefault="003B1DFA">
      <w:pPr>
        <w:pStyle w:val="CommentText"/>
      </w:pPr>
      <w:r>
        <w:rPr>
          <w:rStyle w:val="CommentReference"/>
        </w:rPr>
        <w:annotationRef/>
      </w:r>
      <w:r>
        <w:t>delete</w:t>
      </w:r>
    </w:p>
  </w:comment>
  <w:comment w:id="42" w:author="Admin" w:date="2025-04-21T12:53:00Z" w:initials="A">
    <w:p w:rsidR="003B1DFA" w:rsidRDefault="003B1DFA">
      <w:pPr>
        <w:pStyle w:val="CommentText"/>
      </w:pPr>
      <w:r>
        <w:rPr>
          <w:rStyle w:val="CommentReference"/>
        </w:rPr>
        <w:annotationRef/>
      </w:r>
      <w:r>
        <w:t>delete</w:t>
      </w:r>
    </w:p>
  </w:comment>
  <w:comment w:id="43" w:author="Admin" w:date="2025-04-21T12:55:00Z" w:initials="A">
    <w:p w:rsidR="0035536D" w:rsidRDefault="0035536D">
      <w:pPr>
        <w:pStyle w:val="CommentText"/>
      </w:pPr>
      <w:r>
        <w:rPr>
          <w:rStyle w:val="CommentReference"/>
        </w:rPr>
        <w:annotationRef/>
      </w:r>
      <w:r>
        <w:t>?</w:t>
      </w:r>
    </w:p>
  </w:comment>
  <w:comment w:id="44" w:author="Admin" w:date="2025-04-21T12:57:00Z" w:initials="A">
    <w:p w:rsidR="0035536D" w:rsidRDefault="0035536D">
      <w:pPr>
        <w:pStyle w:val="CommentText"/>
      </w:pPr>
      <w:r>
        <w:rPr>
          <w:rStyle w:val="CommentReference"/>
        </w:rPr>
        <w:annotationRef/>
      </w:r>
      <w:r>
        <w:t>delete</w:t>
      </w:r>
    </w:p>
  </w:comment>
  <w:comment w:id="45" w:author="Admin" w:date="2025-04-21T12:57:00Z" w:initials="A">
    <w:p w:rsidR="0035536D" w:rsidRDefault="0035536D">
      <w:pPr>
        <w:pStyle w:val="CommentText"/>
      </w:pPr>
      <w:r>
        <w:rPr>
          <w:rStyle w:val="CommentReference"/>
        </w:rPr>
        <w:annotationRef/>
      </w:r>
      <w:r>
        <w:t>delete</w:t>
      </w:r>
    </w:p>
  </w:comment>
  <w:comment w:id="46" w:author="Admin" w:date="2025-04-21T12:58:00Z" w:initials="A">
    <w:p w:rsidR="0035536D" w:rsidRDefault="0035536D">
      <w:pPr>
        <w:pStyle w:val="CommentText"/>
      </w:pPr>
      <w:r>
        <w:rPr>
          <w:rStyle w:val="CommentReference"/>
        </w:rPr>
        <w:annotationRef/>
      </w:r>
      <w:r>
        <w:t>delete</w:t>
      </w:r>
    </w:p>
  </w:comment>
  <w:comment w:id="47" w:author="Admin" w:date="2025-04-21T12:58:00Z" w:initials="A">
    <w:p w:rsidR="0035536D" w:rsidRDefault="0035536D">
      <w:pPr>
        <w:pStyle w:val="CommentText"/>
      </w:pPr>
      <w:r>
        <w:rPr>
          <w:rStyle w:val="CommentReference"/>
        </w:rPr>
        <w:annotationRef/>
      </w:r>
      <w:r>
        <w:t>?</w:t>
      </w:r>
    </w:p>
  </w:comment>
  <w:comment w:id="48" w:author="Admin" w:date="2025-04-21T12:59:00Z" w:initials="A">
    <w:p w:rsidR="0035536D" w:rsidRDefault="0035536D">
      <w:pPr>
        <w:pStyle w:val="CommentText"/>
      </w:pPr>
      <w:r>
        <w:rPr>
          <w:rStyle w:val="CommentReference"/>
        </w:rPr>
        <w:annotationRef/>
      </w:r>
      <w:r>
        <w:t>?</w:t>
      </w:r>
    </w:p>
  </w:comment>
  <w:comment w:id="49" w:author="Admin" w:date="2025-04-21T12:59:00Z" w:initials="A">
    <w:p w:rsidR="0035536D" w:rsidRDefault="0035536D">
      <w:pPr>
        <w:pStyle w:val="CommentText"/>
      </w:pPr>
      <w:r>
        <w:rPr>
          <w:rStyle w:val="CommentReference"/>
        </w:rPr>
        <w:annotationRef/>
      </w:r>
      <w:r>
        <w:t>delete</w:t>
      </w:r>
    </w:p>
  </w:comment>
  <w:comment w:id="50" w:author="Admin" w:date="2025-04-21T12:59:00Z" w:initials="A">
    <w:p w:rsidR="0035536D" w:rsidRDefault="0035536D">
      <w:pPr>
        <w:pStyle w:val="CommentText"/>
      </w:pPr>
      <w:r>
        <w:rPr>
          <w:rStyle w:val="CommentReference"/>
        </w:rPr>
        <w:annotationRef/>
      </w:r>
      <w:r>
        <w:t>delete</w:t>
      </w:r>
    </w:p>
  </w:comment>
  <w:comment w:id="51" w:author="Admin" w:date="2025-04-21T12:59:00Z" w:initials="A">
    <w:p w:rsidR="0035536D" w:rsidRDefault="0035536D">
      <w:pPr>
        <w:pStyle w:val="CommentText"/>
      </w:pPr>
      <w:r>
        <w:rPr>
          <w:rStyle w:val="CommentReference"/>
        </w:rPr>
        <w:annotationRef/>
      </w:r>
      <w:r>
        <w:t>delete</w:t>
      </w:r>
    </w:p>
  </w:comment>
  <w:comment w:id="52" w:author="Admin" w:date="2025-04-21T12:59:00Z" w:initials="A">
    <w:p w:rsidR="0035536D" w:rsidRDefault="0035536D">
      <w:pPr>
        <w:pStyle w:val="CommentText"/>
      </w:pPr>
      <w:r>
        <w:rPr>
          <w:rStyle w:val="CommentReference"/>
        </w:rPr>
        <w:annotationRef/>
      </w:r>
      <w:r>
        <w:t>delete</w:t>
      </w:r>
    </w:p>
  </w:comment>
  <w:comment w:id="53" w:author="Admin" w:date="2025-04-21T13:00:00Z" w:initials="A">
    <w:p w:rsidR="0035536D" w:rsidRDefault="0035536D">
      <w:pPr>
        <w:pStyle w:val="CommentText"/>
      </w:pPr>
      <w:r>
        <w:rPr>
          <w:rStyle w:val="CommentReference"/>
        </w:rPr>
        <w:annotationRef/>
      </w:r>
      <w:r>
        <w:t>delete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7E3F" w:rsidRDefault="00577E3F">
      <w:pPr>
        <w:spacing w:line="240" w:lineRule="auto"/>
      </w:pPr>
      <w:r>
        <w:separator/>
      </w:r>
    </w:p>
  </w:endnote>
  <w:endnote w:type="continuationSeparator" w:id="1">
    <w:p w:rsidR="00577E3F" w:rsidRDefault="00577E3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Shruti">
    <w:panose1 w:val="020B0502040204020203"/>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0F3" w:rsidRDefault="00A660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0F3" w:rsidRDefault="00A660F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0F3" w:rsidRDefault="00A660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7E3F" w:rsidRDefault="00577E3F">
      <w:pPr>
        <w:spacing w:after="0"/>
      </w:pPr>
      <w:r>
        <w:separator/>
      </w:r>
    </w:p>
  </w:footnote>
  <w:footnote w:type="continuationSeparator" w:id="1">
    <w:p w:rsidR="00577E3F" w:rsidRDefault="00577E3F">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0F3" w:rsidRDefault="006F2A01">
    <w:pPr>
      <w:pStyle w:val="Header"/>
    </w:pPr>
    <w:r w:rsidRPr="006F2A01">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8968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0F3" w:rsidRDefault="006F2A01">
    <w:pPr>
      <w:pStyle w:val="Header"/>
    </w:pPr>
    <w:r w:rsidRPr="006F2A01">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8968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0F3" w:rsidRDefault="006F2A01">
    <w:pPr>
      <w:pStyle w:val="Header"/>
    </w:pPr>
    <w:r w:rsidRPr="006F2A01">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8968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942EF3"/>
    <w:multiLevelType w:val="multilevel"/>
    <w:tmpl w:val="2E942EF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drawingGridHorizontalSpacing w:val="110"/>
  <w:noPunctuationKerning/>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doNotExpandShiftReturn/>
    <w:doNotWrapTextWithPunct/>
    <w:doNotUseEastAsianBreakRules/>
    <w:useFELayout/>
  </w:compat>
  <w:docVars>
    <w:docVar w:name="__Grammarly_42____i" w:val="H4sIAAAAAAAEAKtWckksSQxILCpxzi/NK1GyMqwFAAEhoTITAAAA"/>
    <w:docVar w:name="__Grammarly_42___1" w:val="H4sIAAAAAAAEAKtWcslP9kxRslIyNDa2sDS0NDI0NzS1MLE0NjBX0lEKTi0uzszPAykwrAUA9DwwGCwAAAA="/>
  </w:docVars>
  <w:rsids>
    <w:rsidRoot w:val="00817C6B"/>
    <w:rsid w:val="00021C4D"/>
    <w:rsid w:val="00066942"/>
    <w:rsid w:val="000D13FD"/>
    <w:rsid w:val="001208C6"/>
    <w:rsid w:val="001233B1"/>
    <w:rsid w:val="00130712"/>
    <w:rsid w:val="0015085D"/>
    <w:rsid w:val="00173997"/>
    <w:rsid w:val="00174802"/>
    <w:rsid w:val="001833A2"/>
    <w:rsid w:val="0022602D"/>
    <w:rsid w:val="00255F7B"/>
    <w:rsid w:val="00296489"/>
    <w:rsid w:val="002C4CE7"/>
    <w:rsid w:val="002D6E0C"/>
    <w:rsid w:val="002F2F06"/>
    <w:rsid w:val="002F5219"/>
    <w:rsid w:val="003000B4"/>
    <w:rsid w:val="00317E82"/>
    <w:rsid w:val="0035536D"/>
    <w:rsid w:val="00364A12"/>
    <w:rsid w:val="003B1DFA"/>
    <w:rsid w:val="003B71DD"/>
    <w:rsid w:val="003C25BE"/>
    <w:rsid w:val="003F52D7"/>
    <w:rsid w:val="004145E7"/>
    <w:rsid w:val="004430A5"/>
    <w:rsid w:val="004C165E"/>
    <w:rsid w:val="0051557A"/>
    <w:rsid w:val="00577E3F"/>
    <w:rsid w:val="005B5F0F"/>
    <w:rsid w:val="005C1382"/>
    <w:rsid w:val="005C680B"/>
    <w:rsid w:val="005D2F50"/>
    <w:rsid w:val="00652879"/>
    <w:rsid w:val="006572BF"/>
    <w:rsid w:val="006B0534"/>
    <w:rsid w:val="006B788D"/>
    <w:rsid w:val="006C1523"/>
    <w:rsid w:val="006D1FAD"/>
    <w:rsid w:val="006D739F"/>
    <w:rsid w:val="006F2A01"/>
    <w:rsid w:val="006F64CF"/>
    <w:rsid w:val="007207FA"/>
    <w:rsid w:val="00722110"/>
    <w:rsid w:val="00736FB9"/>
    <w:rsid w:val="007A528A"/>
    <w:rsid w:val="007D2504"/>
    <w:rsid w:val="00817C6B"/>
    <w:rsid w:val="00852CA7"/>
    <w:rsid w:val="00857D9E"/>
    <w:rsid w:val="0086349E"/>
    <w:rsid w:val="008B7893"/>
    <w:rsid w:val="008D583B"/>
    <w:rsid w:val="008E1230"/>
    <w:rsid w:val="008E3A92"/>
    <w:rsid w:val="00993E3F"/>
    <w:rsid w:val="009D1A3A"/>
    <w:rsid w:val="009F0E9A"/>
    <w:rsid w:val="009F6F21"/>
    <w:rsid w:val="00A16C10"/>
    <w:rsid w:val="00A4524A"/>
    <w:rsid w:val="00A56210"/>
    <w:rsid w:val="00A60B31"/>
    <w:rsid w:val="00A65FB0"/>
    <w:rsid w:val="00A660F3"/>
    <w:rsid w:val="00A82607"/>
    <w:rsid w:val="00AA35C5"/>
    <w:rsid w:val="00AA525D"/>
    <w:rsid w:val="00AA6C1A"/>
    <w:rsid w:val="00AC57FE"/>
    <w:rsid w:val="00B00445"/>
    <w:rsid w:val="00B04EB0"/>
    <w:rsid w:val="00B16BE4"/>
    <w:rsid w:val="00B32E3B"/>
    <w:rsid w:val="00B66C84"/>
    <w:rsid w:val="00B81A4B"/>
    <w:rsid w:val="00BA3A42"/>
    <w:rsid w:val="00BF7A6C"/>
    <w:rsid w:val="00C03704"/>
    <w:rsid w:val="00C23324"/>
    <w:rsid w:val="00C345BB"/>
    <w:rsid w:val="00C375F9"/>
    <w:rsid w:val="00C6587D"/>
    <w:rsid w:val="00C67C88"/>
    <w:rsid w:val="00C81DE7"/>
    <w:rsid w:val="00CF51AB"/>
    <w:rsid w:val="00D54ABD"/>
    <w:rsid w:val="00DA4FC6"/>
    <w:rsid w:val="00DC6E33"/>
    <w:rsid w:val="00DE5E9F"/>
    <w:rsid w:val="00DE5F70"/>
    <w:rsid w:val="00DF3164"/>
    <w:rsid w:val="00DF5F1B"/>
    <w:rsid w:val="00E41249"/>
    <w:rsid w:val="00E42EB3"/>
    <w:rsid w:val="00E875FE"/>
    <w:rsid w:val="00EB1011"/>
    <w:rsid w:val="00F7152D"/>
    <w:rsid w:val="00F80082"/>
    <w:rsid w:val="00FA05EC"/>
    <w:rsid w:val="00FA7D7F"/>
    <w:rsid w:val="00FD1C9D"/>
    <w:rsid w:val="00FD528A"/>
    <w:rsid w:val="00FF603D"/>
    <w:rsid w:val="66426331"/>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5E7"/>
    <w:pPr>
      <w:spacing w:after="200" w:line="276" w:lineRule="auto"/>
    </w:pPr>
    <w:rPr>
      <w:rFonts w:ascii="Calibri" w:hAnsi="Calibri" w:cs="Shruti"/>
      <w:sz w:val="22"/>
      <w:szCs w:val="22"/>
      <w:lang w:bidi="gu-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145E7"/>
    <w:pPr>
      <w:spacing w:before="100" w:beforeAutospacing="1" w:after="100" w:afterAutospacing="1" w:line="240" w:lineRule="auto"/>
    </w:pPr>
    <w:rPr>
      <w:rFonts w:ascii="Times New Roman" w:eastAsia="Times New Roman" w:hAnsi="Times New Roman" w:cs="Times New Roman"/>
      <w:sz w:val="24"/>
      <w:szCs w:val="24"/>
      <w:lang w:val="en-IN" w:eastAsia="en-IN" w:bidi="hi-IN"/>
    </w:rPr>
  </w:style>
  <w:style w:type="paragraph" w:styleId="NoSpacing">
    <w:name w:val="No Spacing"/>
    <w:link w:val="NoSpacingChar"/>
    <w:uiPriority w:val="1"/>
    <w:qFormat/>
    <w:rsid w:val="004145E7"/>
    <w:rPr>
      <w:rFonts w:ascii="Calibri" w:eastAsia="Times New Roman" w:hAnsi="Calibri"/>
      <w:sz w:val="22"/>
      <w:szCs w:val="22"/>
      <w:lang w:bidi="ar-SA"/>
    </w:rPr>
  </w:style>
  <w:style w:type="character" w:customStyle="1" w:styleId="NoSpacingChar">
    <w:name w:val="No Spacing Char"/>
    <w:link w:val="NoSpacing"/>
    <w:uiPriority w:val="1"/>
    <w:rsid w:val="004145E7"/>
    <w:rPr>
      <w:rFonts w:ascii="Calibri" w:eastAsia="Times New Roman" w:hAnsi="Calibri" w:cs="Times New Roman"/>
      <w:lang w:bidi="ar-SA"/>
    </w:rPr>
  </w:style>
  <w:style w:type="paragraph" w:styleId="ListParagraph">
    <w:name w:val="List Paragraph"/>
    <w:basedOn w:val="Normal"/>
    <w:uiPriority w:val="34"/>
    <w:qFormat/>
    <w:rsid w:val="004145E7"/>
    <w:pPr>
      <w:ind w:left="720"/>
      <w:contextualSpacing/>
    </w:pPr>
  </w:style>
  <w:style w:type="character" w:styleId="Hyperlink">
    <w:name w:val="Hyperlink"/>
    <w:basedOn w:val="DefaultParagraphFont"/>
    <w:uiPriority w:val="99"/>
    <w:unhideWhenUsed/>
    <w:rsid w:val="00E42EB3"/>
    <w:rPr>
      <w:color w:val="0000FF" w:themeColor="hyperlink"/>
      <w:u w:val="single"/>
    </w:rPr>
  </w:style>
  <w:style w:type="character" w:customStyle="1" w:styleId="UnresolvedMention">
    <w:name w:val="Unresolved Mention"/>
    <w:basedOn w:val="DefaultParagraphFont"/>
    <w:uiPriority w:val="99"/>
    <w:semiHidden/>
    <w:unhideWhenUsed/>
    <w:rsid w:val="00E42EB3"/>
    <w:rPr>
      <w:color w:val="605E5C"/>
      <w:shd w:val="clear" w:color="auto" w:fill="E1DFDD"/>
    </w:rPr>
  </w:style>
  <w:style w:type="paragraph" w:styleId="Header">
    <w:name w:val="header"/>
    <w:basedOn w:val="Normal"/>
    <w:link w:val="HeaderChar"/>
    <w:uiPriority w:val="99"/>
    <w:unhideWhenUsed/>
    <w:rsid w:val="00DF31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3164"/>
    <w:rPr>
      <w:rFonts w:ascii="Calibri" w:hAnsi="Calibri" w:cs="Shruti"/>
      <w:sz w:val="22"/>
      <w:szCs w:val="22"/>
      <w:lang w:bidi="gu-IN"/>
    </w:rPr>
  </w:style>
  <w:style w:type="paragraph" w:styleId="Footer">
    <w:name w:val="footer"/>
    <w:basedOn w:val="Normal"/>
    <w:link w:val="FooterChar"/>
    <w:uiPriority w:val="99"/>
    <w:unhideWhenUsed/>
    <w:rsid w:val="00DF31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3164"/>
    <w:rPr>
      <w:rFonts w:ascii="Calibri" w:hAnsi="Calibri" w:cs="Shruti"/>
      <w:sz w:val="22"/>
      <w:szCs w:val="22"/>
      <w:lang w:bidi="gu-IN"/>
    </w:rPr>
  </w:style>
  <w:style w:type="character" w:styleId="CommentReference">
    <w:name w:val="annotation reference"/>
    <w:basedOn w:val="DefaultParagraphFont"/>
    <w:uiPriority w:val="99"/>
    <w:semiHidden/>
    <w:unhideWhenUsed/>
    <w:rsid w:val="005C680B"/>
    <w:rPr>
      <w:sz w:val="16"/>
      <w:szCs w:val="16"/>
    </w:rPr>
  </w:style>
  <w:style w:type="paragraph" w:styleId="CommentText">
    <w:name w:val="annotation text"/>
    <w:basedOn w:val="Normal"/>
    <w:link w:val="CommentTextChar"/>
    <w:uiPriority w:val="99"/>
    <w:semiHidden/>
    <w:unhideWhenUsed/>
    <w:rsid w:val="005C680B"/>
    <w:pPr>
      <w:spacing w:line="240" w:lineRule="auto"/>
    </w:pPr>
    <w:rPr>
      <w:sz w:val="20"/>
      <w:szCs w:val="20"/>
    </w:rPr>
  </w:style>
  <w:style w:type="character" w:customStyle="1" w:styleId="CommentTextChar">
    <w:name w:val="Comment Text Char"/>
    <w:basedOn w:val="DefaultParagraphFont"/>
    <w:link w:val="CommentText"/>
    <w:uiPriority w:val="99"/>
    <w:semiHidden/>
    <w:rsid w:val="005C680B"/>
    <w:rPr>
      <w:rFonts w:ascii="Calibri" w:hAnsi="Calibri" w:cs="Shruti"/>
      <w:lang w:bidi="gu-IN"/>
    </w:rPr>
  </w:style>
  <w:style w:type="paragraph" w:styleId="CommentSubject">
    <w:name w:val="annotation subject"/>
    <w:basedOn w:val="CommentText"/>
    <w:next w:val="CommentText"/>
    <w:link w:val="CommentSubjectChar"/>
    <w:uiPriority w:val="99"/>
    <w:semiHidden/>
    <w:unhideWhenUsed/>
    <w:rsid w:val="005C680B"/>
    <w:rPr>
      <w:b/>
      <w:bCs/>
    </w:rPr>
  </w:style>
  <w:style w:type="character" w:customStyle="1" w:styleId="CommentSubjectChar">
    <w:name w:val="Comment Subject Char"/>
    <w:basedOn w:val="CommentTextChar"/>
    <w:link w:val="CommentSubject"/>
    <w:uiPriority w:val="99"/>
    <w:semiHidden/>
    <w:rsid w:val="005C680B"/>
    <w:rPr>
      <w:b/>
      <w:bCs/>
    </w:rPr>
  </w:style>
  <w:style w:type="paragraph" w:styleId="BalloonText">
    <w:name w:val="Balloon Text"/>
    <w:basedOn w:val="Normal"/>
    <w:link w:val="BalloonTextChar"/>
    <w:uiPriority w:val="99"/>
    <w:semiHidden/>
    <w:unhideWhenUsed/>
    <w:rsid w:val="005C68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680B"/>
    <w:rPr>
      <w:rFonts w:ascii="Tahoma" w:hAnsi="Tahoma" w:cs="Tahoma"/>
      <w:sz w:val="16"/>
      <w:szCs w:val="16"/>
      <w:lang w:bidi="gu-IN"/>
    </w:rPr>
  </w:style>
</w:styles>
</file>

<file path=word/webSettings.xml><?xml version="1.0" encoding="utf-8"?>
<w:webSettings xmlns:r="http://schemas.openxmlformats.org/officeDocument/2006/relationships" xmlns:w="http://schemas.openxmlformats.org/wordprocessingml/2006/main">
  <w:divs>
    <w:div w:id="581379185">
      <w:bodyDiv w:val="1"/>
      <w:marLeft w:val="0"/>
      <w:marRight w:val="0"/>
      <w:marTop w:val="0"/>
      <w:marBottom w:val="0"/>
      <w:divBdr>
        <w:top w:val="none" w:sz="0" w:space="0" w:color="auto"/>
        <w:left w:val="none" w:sz="0" w:space="0" w:color="auto"/>
        <w:bottom w:val="none" w:sz="0" w:space="0" w:color="auto"/>
        <w:right w:val="none" w:sz="0" w:space="0" w:color="auto"/>
      </w:divBdr>
      <w:divsChild>
        <w:div w:id="131101059">
          <w:marLeft w:val="0"/>
          <w:marRight w:val="0"/>
          <w:marTop w:val="0"/>
          <w:marBottom w:val="0"/>
          <w:divBdr>
            <w:top w:val="none" w:sz="0" w:space="0" w:color="313131"/>
            <w:left w:val="none" w:sz="0" w:space="0" w:color="313131"/>
            <w:bottom w:val="none" w:sz="0" w:space="0" w:color="313131"/>
            <w:right w:val="none" w:sz="0" w:space="0" w:color="313131"/>
          </w:divBdr>
          <w:divsChild>
            <w:div w:id="732701028">
              <w:marLeft w:val="0"/>
              <w:marRight w:val="0"/>
              <w:marTop w:val="0"/>
              <w:marBottom w:val="0"/>
              <w:divBdr>
                <w:top w:val="none" w:sz="0" w:space="0" w:color="313131"/>
                <w:left w:val="none" w:sz="0" w:space="0" w:color="313131"/>
                <w:bottom w:val="none" w:sz="0" w:space="0" w:color="313131"/>
                <w:right w:val="none" w:sz="0" w:space="0" w:color="313131"/>
              </w:divBdr>
              <w:divsChild>
                <w:div w:id="381714028">
                  <w:marLeft w:val="0"/>
                  <w:marRight w:val="0"/>
                  <w:marTop w:val="0"/>
                  <w:marBottom w:val="0"/>
                  <w:divBdr>
                    <w:top w:val="none" w:sz="0" w:space="0" w:color="757575"/>
                    <w:left w:val="none" w:sz="0" w:space="0" w:color="757575"/>
                    <w:bottom w:val="none" w:sz="0" w:space="0" w:color="757575"/>
                    <w:right w:val="none" w:sz="0" w:space="0" w:color="757575"/>
                  </w:divBdr>
                </w:div>
                <w:div w:id="338510842">
                  <w:marLeft w:val="0"/>
                  <w:marRight w:val="0"/>
                  <w:marTop w:val="0"/>
                  <w:marBottom w:val="0"/>
                  <w:divBdr>
                    <w:top w:val="none" w:sz="0" w:space="0" w:color="757575"/>
                    <w:left w:val="none" w:sz="0" w:space="0" w:color="757575"/>
                    <w:bottom w:val="none" w:sz="0" w:space="0" w:color="757575"/>
                    <w:right w:val="none" w:sz="0" w:space="0" w:color="757575"/>
                  </w:divBdr>
                </w:div>
                <w:div w:id="1702432276">
                  <w:marLeft w:val="0"/>
                  <w:marRight w:val="0"/>
                  <w:marTop w:val="0"/>
                  <w:marBottom w:val="0"/>
                  <w:divBdr>
                    <w:top w:val="none" w:sz="0" w:space="0" w:color="757575"/>
                    <w:left w:val="none" w:sz="0" w:space="0" w:color="757575"/>
                    <w:bottom w:val="none" w:sz="0" w:space="0" w:color="757575"/>
                    <w:right w:val="none" w:sz="0" w:space="0" w:color="757575"/>
                  </w:divBdr>
                </w:div>
                <w:div w:id="569996287">
                  <w:marLeft w:val="0"/>
                  <w:marRight w:val="0"/>
                  <w:marTop w:val="0"/>
                  <w:marBottom w:val="0"/>
                  <w:divBdr>
                    <w:top w:val="none" w:sz="0" w:space="0" w:color="313131"/>
                    <w:left w:val="none" w:sz="0" w:space="0" w:color="313131"/>
                    <w:bottom w:val="none" w:sz="0" w:space="0" w:color="313131"/>
                    <w:right w:val="none" w:sz="0" w:space="0" w:color="313131"/>
                  </w:divBdr>
                  <w:divsChild>
                    <w:div w:id="431515556">
                      <w:marLeft w:val="0"/>
                      <w:marRight w:val="0"/>
                      <w:marTop w:val="0"/>
                      <w:marBottom w:val="0"/>
                      <w:divBdr>
                        <w:top w:val="none" w:sz="0" w:space="0" w:color="757575"/>
                        <w:left w:val="none" w:sz="0" w:space="0" w:color="757575"/>
                        <w:bottom w:val="none" w:sz="0" w:space="0" w:color="757575"/>
                        <w:right w:val="none" w:sz="0" w:space="0" w:color="757575"/>
                      </w:divBdr>
                    </w:div>
                  </w:divsChild>
                </w:div>
              </w:divsChild>
            </w:div>
          </w:divsChild>
        </w:div>
        <w:div w:id="2062749484">
          <w:marLeft w:val="0"/>
          <w:marRight w:val="0"/>
          <w:marTop w:val="0"/>
          <w:marBottom w:val="0"/>
          <w:divBdr>
            <w:top w:val="none" w:sz="0" w:space="0" w:color="313131"/>
            <w:left w:val="none" w:sz="0" w:space="0" w:color="313131"/>
            <w:bottom w:val="none" w:sz="0" w:space="0" w:color="313131"/>
            <w:right w:val="none" w:sz="0" w:space="0" w:color="313131"/>
          </w:divBdr>
          <w:divsChild>
            <w:div w:id="282729684">
              <w:marLeft w:val="0"/>
              <w:marRight w:val="0"/>
              <w:marTop w:val="0"/>
              <w:marBottom w:val="0"/>
              <w:divBdr>
                <w:top w:val="none" w:sz="0" w:space="0" w:color="313131"/>
                <w:left w:val="none" w:sz="0" w:space="0" w:color="313131"/>
                <w:bottom w:val="none" w:sz="0" w:space="0" w:color="313131"/>
                <w:right w:val="none" w:sz="0" w:space="0" w:color="313131"/>
              </w:divBdr>
              <w:divsChild>
                <w:div w:id="731805887">
                  <w:marLeft w:val="0"/>
                  <w:marRight w:val="0"/>
                  <w:marTop w:val="0"/>
                  <w:marBottom w:val="0"/>
                  <w:divBdr>
                    <w:top w:val="none" w:sz="0" w:space="0" w:color="757575"/>
                    <w:left w:val="none" w:sz="0" w:space="0" w:color="757575"/>
                    <w:bottom w:val="none" w:sz="0" w:space="0" w:color="757575"/>
                    <w:right w:val="none" w:sz="0" w:space="0" w:color="757575"/>
                  </w:divBdr>
                  <w:divsChild>
                    <w:div w:id="1447581107">
                      <w:marLeft w:val="0"/>
                      <w:marRight w:val="0"/>
                      <w:marTop w:val="0"/>
                      <w:marBottom w:val="0"/>
                      <w:divBdr>
                        <w:top w:val="none" w:sz="0" w:space="0" w:color="313131"/>
                        <w:left w:val="none" w:sz="0" w:space="0" w:color="313131"/>
                        <w:bottom w:val="none" w:sz="0" w:space="0" w:color="313131"/>
                        <w:right w:val="none" w:sz="0" w:space="0" w:color="313131"/>
                      </w:divBdr>
                    </w:div>
                    <w:div w:id="1581061076">
                      <w:marLeft w:val="0"/>
                      <w:marRight w:val="0"/>
                      <w:marTop w:val="0"/>
                      <w:marBottom w:val="0"/>
                      <w:divBdr>
                        <w:top w:val="none" w:sz="0" w:space="0" w:color="313131"/>
                        <w:left w:val="none" w:sz="0" w:space="0" w:color="313131"/>
                        <w:bottom w:val="none" w:sz="0" w:space="0" w:color="313131"/>
                        <w:right w:val="none" w:sz="0" w:space="0" w:color="313131"/>
                      </w:divBdr>
                    </w:div>
                    <w:div w:id="1226180756">
                      <w:marLeft w:val="0"/>
                      <w:marRight w:val="0"/>
                      <w:marTop w:val="0"/>
                      <w:marBottom w:val="0"/>
                      <w:divBdr>
                        <w:top w:val="none" w:sz="0" w:space="0" w:color="313131"/>
                        <w:left w:val="none" w:sz="0" w:space="0" w:color="313131"/>
                        <w:bottom w:val="none" w:sz="0" w:space="0" w:color="313131"/>
                        <w:right w:val="none" w:sz="0" w:space="0" w:color="313131"/>
                      </w:divBdr>
                    </w:div>
                  </w:divsChild>
                </w:div>
                <w:div w:id="1871721975">
                  <w:marLeft w:val="0"/>
                  <w:marRight w:val="0"/>
                  <w:marTop w:val="0"/>
                  <w:marBottom w:val="0"/>
                  <w:divBdr>
                    <w:top w:val="none" w:sz="0" w:space="0" w:color="313131"/>
                    <w:left w:val="none" w:sz="0" w:space="0" w:color="313131"/>
                    <w:bottom w:val="none" w:sz="0" w:space="0" w:color="313131"/>
                    <w:right w:val="none" w:sz="0" w:space="0" w:color="313131"/>
                  </w:divBdr>
                </w:div>
                <w:div w:id="1378552216">
                  <w:marLeft w:val="0"/>
                  <w:marRight w:val="0"/>
                  <w:marTop w:val="0"/>
                  <w:marBottom w:val="0"/>
                  <w:divBdr>
                    <w:top w:val="none" w:sz="0" w:space="0" w:color="313131"/>
                    <w:left w:val="none" w:sz="0" w:space="0" w:color="313131"/>
                    <w:bottom w:val="none" w:sz="0" w:space="0" w:color="313131"/>
                    <w:right w:val="none" w:sz="0" w:space="0" w:color="313131"/>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109161-B456-4364-AFA3-5CEA6FBB0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8</Pages>
  <Words>2943</Words>
  <Characters>16781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raju lal dhakar</dc:creator>
  <cp:lastModifiedBy>Admin</cp:lastModifiedBy>
  <cp:revision>26</cp:revision>
  <dcterms:created xsi:type="dcterms:W3CDTF">2025-04-21T03:37:00Z</dcterms:created>
  <dcterms:modified xsi:type="dcterms:W3CDTF">2025-04-21T07:31:00Z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1033-12.2.0.20782</vt:lpwstr>
  </property>
  <property fmtid="{D5CDD505-2E9C-101B-9397-08002B2CF9AE}" pid="3" name="ICV">
    <vt:lpwstr>58B168D32CD44B82B502F50B6E1863FA_12</vt:lpwstr>
  </property>
</Properties>
</file>