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D4022">
      <w:pPr>
        <w:pStyle w:val="13"/>
        <w:tabs>
          <w:tab w:val="left" w:pos="6379"/>
        </w:tabs>
        <w:rPr>
          <w:rStyle w:val="14"/>
          <w:b/>
          <w:bCs/>
        </w:rPr>
      </w:pPr>
      <w:r>
        <w:rPr>
          <w:rStyle w:val="14"/>
          <w:b/>
          <w:bCs/>
        </w:rPr>
        <w:t>Seasonal incidence and management of Pear Psylla (</w:t>
      </w:r>
      <w:r>
        <w:rPr>
          <w:rStyle w:val="14"/>
          <w:b/>
          <w:bCs/>
          <w:i/>
          <w:iCs/>
        </w:rPr>
        <w:t>Cacopsylla pyricola</w:t>
      </w:r>
      <w:r>
        <w:rPr>
          <w:rStyle w:val="14"/>
          <w:b/>
          <w:bCs/>
        </w:rPr>
        <w:t xml:space="preserve"> Foerster, Hemiptera, Psyllidae) in Kashmir</w:t>
      </w:r>
    </w:p>
    <w:p w14:paraId="3678192A">
      <w:pPr>
        <w:pStyle w:val="16"/>
        <w:pBdr>
          <w:bottom w:val="single" w:color="auto" w:sz="4" w:space="1"/>
        </w:pBdr>
        <w:rPr>
          <w:vertAlign w:val="superscript"/>
        </w:rPr>
      </w:pPr>
    </w:p>
    <w:p w14:paraId="28B8AEA0">
      <w:pPr>
        <w:pStyle w:val="16"/>
        <w:pBdr>
          <w:bottom w:val="single" w:color="auto" w:sz="4" w:space="1"/>
        </w:pBdr>
        <w:rPr>
          <w:vertAlign w:val="superscript"/>
        </w:rPr>
      </w:pPr>
      <w:r>
        <w:rPr>
          <w:vertAlign w:val="superscript"/>
        </w:rPr>
        <w:t xml:space="preserve"> </w:t>
      </w:r>
    </w:p>
    <w:tbl>
      <w:tblPr>
        <w:tblStyle w:val="12"/>
        <w:tblW w:w="7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6"/>
        <w:gridCol w:w="6751"/>
      </w:tblGrid>
      <w:tr w14:paraId="4BEFF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trPr>
        <w:tc>
          <w:tcPr>
            <w:tcW w:w="866" w:type="dxa"/>
          </w:tcPr>
          <w:p w14:paraId="641772F5">
            <w:pPr>
              <w:pStyle w:val="21"/>
            </w:pPr>
          </w:p>
        </w:tc>
        <w:tc>
          <w:tcPr>
            <w:tcW w:w="6751" w:type="dxa"/>
            <w:tcBorders>
              <w:bottom w:val="single" w:color="auto" w:sz="4" w:space="0"/>
            </w:tcBorders>
          </w:tcPr>
          <w:p w14:paraId="72A2003C">
            <w:pPr>
              <w:pStyle w:val="21"/>
              <w:rPr>
                <w:vertAlign w:val="baseline"/>
              </w:rPr>
            </w:pPr>
            <w:r>
              <w:rPr>
                <w:vertAlign w:val="baseline"/>
              </w:rPr>
              <w:t>ABSTRACT</w:t>
            </w:r>
          </w:p>
        </w:tc>
      </w:tr>
      <w:tr w14:paraId="2BB34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3" w:hRule="atLeast"/>
        </w:trPr>
        <w:tc>
          <w:tcPr>
            <w:tcW w:w="866" w:type="dxa"/>
            <w:tcBorders>
              <w:bottom w:val="single" w:color="auto" w:sz="4" w:space="0"/>
            </w:tcBorders>
          </w:tcPr>
          <w:p w14:paraId="6CD43028">
            <w:pPr>
              <w:pStyle w:val="16"/>
              <w:spacing w:line="240" w:lineRule="auto"/>
              <w:rPr>
                <w:rFonts w:cs="Times New Roman"/>
                <w:sz w:val="22"/>
                <w:szCs w:val="22"/>
                <w:vertAlign w:val="superscript"/>
              </w:rPr>
            </w:pPr>
          </w:p>
        </w:tc>
        <w:tc>
          <w:tcPr>
            <w:tcW w:w="6751" w:type="dxa"/>
            <w:tcBorders>
              <w:top w:val="single" w:color="auto" w:sz="4" w:space="0"/>
              <w:bottom w:val="single" w:color="auto" w:sz="4" w:space="0"/>
            </w:tcBorders>
          </w:tcPr>
          <w:p w14:paraId="23486765">
            <w:pPr>
              <w:spacing w:after="0" w:line="240" w:lineRule="auto"/>
              <w:jc w:val="both"/>
              <w:rPr>
                <w:rFonts w:ascii="Times New Roman" w:hAnsi="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column">
                        <wp:posOffset>4250690</wp:posOffset>
                      </wp:positionH>
                      <wp:positionV relativeFrom="paragraph">
                        <wp:posOffset>1683385</wp:posOffset>
                      </wp:positionV>
                      <wp:extent cx="1491615" cy="254000"/>
                      <wp:effectExtent l="4445" t="5080" r="15240" b="7620"/>
                      <wp:wrapNone/>
                      <wp:docPr id="3" name="Text Box 3"/>
                      <wp:cNvGraphicFramePr/>
                      <a:graphic xmlns:a="http://schemas.openxmlformats.org/drawingml/2006/main">
                        <a:graphicData uri="http://schemas.microsoft.com/office/word/2010/wordprocessingShape">
                          <wps:wsp>
                            <wps:cNvSpPr txBox="1"/>
                            <wps:spPr>
                              <a:xfrm>
                                <a:off x="6641465" y="2977515"/>
                                <a:ext cx="1491615" cy="254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8D14C8">
                                  <w:pPr>
                                    <w:rPr>
                                      <w:rFonts w:hint="default"/>
                                      <w:color w:val="FF0000"/>
                                      <w:sz w:val="20"/>
                                      <w:szCs w:val="22"/>
                                      <w:lang w:val="en-IN"/>
                                    </w:rPr>
                                  </w:pPr>
                                  <w:r>
                                    <w:rPr>
                                      <w:rFonts w:hint="default"/>
                                      <w:color w:val="FF0000"/>
                                      <w:sz w:val="20"/>
                                      <w:szCs w:val="22"/>
                                      <w:lang w:val="en-IN"/>
                                    </w:rPr>
                                    <w:t>Capitalize first letter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4.7pt;margin-top:132.55pt;height:20pt;width:117.45pt;z-index:251662336;mso-width-relative:page;mso-height-relative:page;" fillcolor="#FFFFFF [3201]" filled="t" stroked="t" coordsize="21600,21600" o:gfxdata="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c75Z7XAAAACwEA&#10;AA8AAAAAAAAAAQAgAAAAIgAAAGRycy9kb3ducmV2LnhtbFBLAQIUABQAAAAIAIdO4kBv4XknVAIA&#10;AMIEAAAOAAAAAAAAAAEAIAAAACYBAABkcnMvZTJvRG9jLnhtbFBLBQYAAAAABgAGAFkBAADsBQAA&#10;AAA=&#10;">
                      <v:fill on="t" focussize="0,0"/>
                      <v:stroke weight="0.5pt" color="#000000 [3204]" joinstyle="round"/>
                      <v:imagedata o:title=""/>
                      <o:lock v:ext="edit" aspectratio="f"/>
                      <v:textbox>
                        <w:txbxContent>
                          <w:p w14:paraId="3A8D14C8">
                            <w:pPr>
                              <w:rPr>
                                <w:rFonts w:hint="default"/>
                                <w:color w:val="FF0000"/>
                                <w:sz w:val="20"/>
                                <w:szCs w:val="22"/>
                                <w:lang w:val="en-IN"/>
                              </w:rPr>
                            </w:pPr>
                            <w:r>
                              <w:rPr>
                                <w:rFonts w:hint="default"/>
                                <w:color w:val="FF0000"/>
                                <w:sz w:val="20"/>
                                <w:szCs w:val="22"/>
                                <w:lang w:val="en-IN"/>
                              </w:rPr>
                              <w:t>Capitalize first letter</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828800" cy="1828800"/>
                      <wp:effectExtent l="4445" t="4445" r="8255" b="8255"/>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7CE6BB">
                                  <w:pPr>
                                    <w:spacing w:after="0" w:line="240" w:lineRule="auto"/>
                                    <w:jc w:val="both"/>
                                    <w:rPr>
                                      <w:rFonts w:ascii="Times New Roman" w:hAnsi="Times New Roman" w:cs="Times New Roman"/>
                                      <w:sz w:val="18"/>
                                      <w:szCs w:val="18"/>
                                    </w:rPr>
                                  </w:pPr>
                                  <w:r>
                                    <w:rPr>
                                      <w:rFonts w:ascii="Times New Roman" w:hAnsi="Times New Roman" w:cs="Times New Roman"/>
                                      <w:sz w:val="20"/>
                                      <w:szCs w:val="20"/>
                                    </w:rPr>
                                    <w:t xml:space="preserve">                </w:t>
                                  </w:r>
                                  <w:r>
                                    <w:rPr>
                                      <w:rFonts w:ascii="Times New Roman" w:hAnsi="Times New Roman" w:cs="Times New Roman"/>
                                      <w:sz w:val="18"/>
                                      <w:szCs w:val="18"/>
                                    </w:rPr>
                                    <w:t xml:space="preserve">Pear </w:t>
                                  </w:r>
                                  <w:r>
                                    <w:rPr>
                                      <w:rFonts w:ascii="Times New Roman" w:hAnsi="Times New Roman" w:cs="Times New Roman"/>
                                      <w:i/>
                                      <w:iCs/>
                                      <w:sz w:val="18"/>
                                      <w:szCs w:val="18"/>
                                    </w:rPr>
                                    <w:t>(Pyrus communis</w:t>
                                  </w:r>
                                  <w:r>
                                    <w:rPr>
                                      <w:rFonts w:ascii="Times New Roman" w:hAnsi="Times New Roman" w:cs="Times New Roman"/>
                                      <w:sz w:val="18"/>
                                      <w:szCs w:val="18"/>
                                    </w:rPr>
                                    <w:t>) is an important fruit crop cultivated worldwide, including the temperate regions of India, particularly Jammu and Kashmir. Pear Psylla (</w:t>
                                  </w:r>
                                  <w:r>
                                    <w:rPr>
                                      <w:rFonts w:ascii="Times New Roman" w:hAnsi="Times New Roman" w:cs="Times New Roman"/>
                                      <w:i/>
                                      <w:iCs/>
                                      <w:sz w:val="18"/>
                                      <w:szCs w:val="18"/>
                                    </w:rPr>
                                    <w:t>Cacopsylla pyricola</w:t>
                                  </w:r>
                                  <w:r>
                                    <w:rPr>
                                      <w:rFonts w:ascii="Times New Roman" w:hAnsi="Times New Roman" w:cs="Times New Roman"/>
                                      <w:sz w:val="18"/>
                                      <w:szCs w:val="18"/>
                                    </w:rPr>
                                    <w:t xml:space="preserve"> (Foerster) has emerged as a significant pest, causing substantial losses by stunting tree growth, reducing fruit size leading to premature leaf drop. The present study investigated the influence of various abiotic factors such as temperature, humidity and rainfall on the seasonal incidence and population dynamics of Pear Psylla in four locations from two districts </w:t>
                                  </w:r>
                                  <w:r>
                                    <w:rPr>
                                      <w:rFonts w:ascii="Times New Roman" w:hAnsi="Times New Roman" w:cs="Times New Roman"/>
                                      <w:i/>
                                      <w:iCs/>
                                      <w:sz w:val="18"/>
                                      <w:szCs w:val="18"/>
                                    </w:rPr>
                                    <w:t>viz</w:t>
                                  </w:r>
                                  <w:r>
                                    <w:rPr>
                                      <w:rFonts w:ascii="Times New Roman" w:hAnsi="Times New Roman" w:cs="Times New Roman"/>
                                      <w:sz w:val="18"/>
                                      <w:szCs w:val="18"/>
                                    </w:rPr>
                                    <w:t>., Baramulla and Srinagar, Kashmir. Regular pest monitoring and meteorological data revealed that maximum and minimum temperatures had a positive correlation with Pear Psylla populations while rainfall and maximum relative humidity were negatively correlated. Regression analysis showed that these climatic factors accounted for up to 95% of the variation in pest populations.</w:t>
                                  </w:r>
                                  <w:r>
                                    <w:rPr>
                                      <w:color w:val="000000"/>
                                      <w:sz w:val="24"/>
                                      <w:szCs w:val="24"/>
                                      <w:lang w:eastAsia="en-IN"/>
                                    </w:rPr>
                                    <w:t xml:space="preserve"> </w:t>
                                  </w:r>
                                  <w:r>
                                    <w:rPr>
                                      <w:rFonts w:ascii="Times New Roman" w:hAnsi="Times New Roman" w:cs="Times New Roman"/>
                                      <w:color w:val="000000"/>
                                      <w:sz w:val="18"/>
                                      <w:szCs w:val="18"/>
                                      <w:lang w:eastAsia="en-IN"/>
                                    </w:rPr>
                                    <w:t xml:space="preserve">The results of the evaluation of different insecticides revealed that </w:t>
                                  </w:r>
                                  <w:r>
                                    <w:rPr>
                                      <w:rFonts w:ascii="Times New Roman" w:hAnsi="Times New Roman" w:cs="Times New Roman"/>
                                      <w:color w:val="000000"/>
                                      <w:sz w:val="18"/>
                                      <w:szCs w:val="18"/>
                                      <w:highlight w:val="yellow"/>
                                      <w:lang w:eastAsia="en-IN"/>
                                    </w:rPr>
                                    <w:t>cyantraniliprole</w:t>
                                  </w:r>
                                  <w:r>
                                    <w:rPr>
                                      <w:rFonts w:ascii="Times New Roman" w:hAnsi="Times New Roman" w:cs="Times New Roman"/>
                                      <w:color w:val="000000"/>
                                      <w:sz w:val="18"/>
                                      <w:szCs w:val="18"/>
                                      <w:lang w:eastAsia="en-IN"/>
                                    </w:rPr>
                                    <w:t xml:space="preserve"> 10.26% OD with an efficacy of 92.74%, proved to be the most effective followed by Acetamiprid 20% SP (90.87%).</w:t>
                                  </w:r>
                                  <w:r>
                                    <w:rPr>
                                      <w:color w:val="000000"/>
                                      <w:sz w:val="24"/>
                                      <w:szCs w:val="24"/>
                                      <w:lang w:eastAsia="en-IN"/>
                                    </w:rPr>
                                    <w:t xml:space="preserve"> </w:t>
                                  </w:r>
                                  <w:r>
                                    <w:rPr>
                                      <w:rFonts w:ascii="Times New Roman" w:hAnsi="Times New Roman" w:cs="Times New Roman"/>
                                      <w:sz w:val="18"/>
                                      <w:szCs w:val="18"/>
                                    </w:rPr>
                                    <w:t xml:space="preserve">These findings highlighted that the optimal temperature range for </w:t>
                                  </w:r>
                                  <w:r>
                                    <w:rPr>
                                      <w:rFonts w:ascii="Times New Roman" w:hAnsi="Times New Roman" w:cs="Times New Roman"/>
                                      <w:sz w:val="18"/>
                                      <w:szCs w:val="18"/>
                                      <w:highlight w:val="yellow"/>
                                    </w:rPr>
                                    <w:t>psylla</w:t>
                                  </w:r>
                                  <w:r>
                                    <w:rPr>
                                      <w:rFonts w:ascii="Times New Roman" w:hAnsi="Times New Roman" w:cs="Times New Roman"/>
                                      <w:sz w:val="18"/>
                                      <w:szCs w:val="18"/>
                                    </w:rPr>
                                    <w:t xml:space="preserve"> development was between</w:t>
                                  </w:r>
                                  <w:r>
                                    <w:rPr>
                                      <w:rFonts w:ascii="Times New Roman" w:hAnsi="Times New Roman" w:cs="Times New Roman"/>
                                      <w:sz w:val="18"/>
                                      <w:szCs w:val="18"/>
                                      <w:highlight w:val="none"/>
                                    </w:rPr>
                                    <w:t xml:space="preserve"> 27°C and 29°C </w:t>
                                  </w:r>
                                  <w:r>
                                    <w:rPr>
                                      <w:rFonts w:ascii="Times New Roman" w:hAnsi="Times New Roman" w:cs="Times New Roman"/>
                                      <w:sz w:val="18"/>
                                      <w:szCs w:val="18"/>
                                    </w:rPr>
                                    <w:t>suggesting that the weather conditions played a crucial role in fluctuating pest population and can govern the integrated pest management strategies.</w:t>
                                  </w:r>
                                </w:p>
                                <w:p w14:paraId="78BE1C06">
                                  <w:pPr>
                                    <w:spacing w:after="0" w:line="240" w:lineRule="auto"/>
                                    <w:jc w:val="both"/>
                                    <w:rPr>
                                      <w:rFonts w:ascii="Times New Roman" w:hAnsi="Times New Roman" w:cs="Times New Roman"/>
                                      <w:sz w:val="18"/>
                                      <w:szCs w:val="18"/>
                                    </w:rPr>
                                  </w:pPr>
                                </w:p>
                                <w:p w14:paraId="5898E185">
                                  <w:pPr>
                                    <w:spacing w:after="0" w:line="240" w:lineRule="auto"/>
                                    <w:jc w:val="both"/>
                                    <w:rPr>
                                      <w:rFonts w:ascii="Times New Roman" w:hAnsi="Times New Roman" w:cs="Times New Roman"/>
                                      <w:sz w:val="18"/>
                                      <w:szCs w:val="18"/>
                                    </w:rPr>
                                  </w:pPr>
                                </w:p>
                                <w:p w14:paraId="72924D5D">
                                  <w:pPr>
                                    <w:spacing w:after="0" w:line="240" w:lineRule="auto"/>
                                    <w:jc w:val="both"/>
                                    <w:rPr>
                                      <w:rFonts w:ascii="Times New Roman" w:hAnsi="Times New Roman" w:cs="Times New Roman"/>
                                      <w:sz w:val="18"/>
                                      <w:szCs w:val="18"/>
                                    </w:rPr>
                                  </w:pPr>
                                </w:p>
                                <w:p w14:paraId="22446AAF">
                                  <w:pPr>
                                    <w:spacing w:after="0" w:line="240" w:lineRule="auto"/>
                                    <w:jc w:val="both"/>
                                    <w:rPr>
                                      <w:rFonts w:ascii="Times New Roman" w:hAnsi="Times New Roman" w:cs="Times New Roman"/>
                                      <w:sz w:val="18"/>
                                      <w:szCs w:val="18"/>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0pt;height:144pt;width:144pt;mso-wrap-distance-bottom:0pt;mso-wrap-distance-left:9pt;mso-wrap-distance-right:9pt;mso-wrap-distance-top:0pt;mso-wrap-style:none;z-index:251661312;mso-width-relative:page;mso-height-relative:page;" fillcolor="#FFFFFF [3201]" filled="t" stroked="t" coordsize="21600,21600" o:gfxdata="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sqR73PAAAABQEAAA8AAAAAAAAAAQAgAAAAIgAAAGRycy9kb3du&#10;cmV2LnhtbFBLAQIUABQAAAAIAIdO4kA46ZvjQQIAALUEAAAOAAAAAAAAAAEAIAAAAB4BAABkcnMv&#10;ZTJvRG9jLnhtbFBLBQYAAAAABgAGAFkBAADRBQAAAAA=&#10;">
                      <v:fill on="t" focussize="0,0"/>
                      <v:stroke weight="0.5pt" color="#000000 [3204]" joinstyle="round"/>
                      <v:imagedata o:title=""/>
                      <o:lock v:ext="edit" aspectratio="f"/>
                      <v:textbox style="mso-fit-shape-to-text:t;">
                        <w:txbxContent>
                          <w:p w14:paraId="117CE6BB">
                            <w:pPr>
                              <w:spacing w:after="0" w:line="240" w:lineRule="auto"/>
                              <w:jc w:val="both"/>
                              <w:rPr>
                                <w:rFonts w:ascii="Times New Roman" w:hAnsi="Times New Roman" w:cs="Times New Roman"/>
                                <w:sz w:val="18"/>
                                <w:szCs w:val="18"/>
                              </w:rPr>
                            </w:pPr>
                            <w:r>
                              <w:rPr>
                                <w:rFonts w:ascii="Times New Roman" w:hAnsi="Times New Roman" w:cs="Times New Roman"/>
                                <w:sz w:val="20"/>
                                <w:szCs w:val="20"/>
                              </w:rPr>
                              <w:t xml:space="preserve">                </w:t>
                            </w:r>
                            <w:r>
                              <w:rPr>
                                <w:rFonts w:ascii="Times New Roman" w:hAnsi="Times New Roman" w:cs="Times New Roman"/>
                                <w:sz w:val="18"/>
                                <w:szCs w:val="18"/>
                              </w:rPr>
                              <w:t xml:space="preserve">Pear </w:t>
                            </w:r>
                            <w:r>
                              <w:rPr>
                                <w:rFonts w:ascii="Times New Roman" w:hAnsi="Times New Roman" w:cs="Times New Roman"/>
                                <w:i/>
                                <w:iCs/>
                                <w:sz w:val="18"/>
                                <w:szCs w:val="18"/>
                              </w:rPr>
                              <w:t>(Pyrus communis</w:t>
                            </w:r>
                            <w:r>
                              <w:rPr>
                                <w:rFonts w:ascii="Times New Roman" w:hAnsi="Times New Roman" w:cs="Times New Roman"/>
                                <w:sz w:val="18"/>
                                <w:szCs w:val="18"/>
                              </w:rPr>
                              <w:t>) is an important fruit crop cultivated worldwide, including the temperate regions of India, particularly Jammu and Kashmir. Pear Psylla (</w:t>
                            </w:r>
                            <w:r>
                              <w:rPr>
                                <w:rFonts w:ascii="Times New Roman" w:hAnsi="Times New Roman" w:cs="Times New Roman"/>
                                <w:i/>
                                <w:iCs/>
                                <w:sz w:val="18"/>
                                <w:szCs w:val="18"/>
                              </w:rPr>
                              <w:t>Cacopsylla pyricola</w:t>
                            </w:r>
                            <w:r>
                              <w:rPr>
                                <w:rFonts w:ascii="Times New Roman" w:hAnsi="Times New Roman" w:cs="Times New Roman"/>
                                <w:sz w:val="18"/>
                                <w:szCs w:val="18"/>
                              </w:rPr>
                              <w:t xml:space="preserve"> (Foerster) has emerged as a significant pest, causing substantial losses by stunting tree growth, reducing fruit size leading to premature leaf drop. The present study investigated the influence of various abiotic factors such as temperature, humidity and rainfall on the seasonal incidence and population dynamics of Pear Psylla in four locations from two districts </w:t>
                            </w:r>
                            <w:r>
                              <w:rPr>
                                <w:rFonts w:ascii="Times New Roman" w:hAnsi="Times New Roman" w:cs="Times New Roman"/>
                                <w:i/>
                                <w:iCs/>
                                <w:sz w:val="18"/>
                                <w:szCs w:val="18"/>
                              </w:rPr>
                              <w:t>viz</w:t>
                            </w:r>
                            <w:r>
                              <w:rPr>
                                <w:rFonts w:ascii="Times New Roman" w:hAnsi="Times New Roman" w:cs="Times New Roman"/>
                                <w:sz w:val="18"/>
                                <w:szCs w:val="18"/>
                              </w:rPr>
                              <w:t>., Baramulla and Srinagar, Kashmir. Regular pest monitoring and meteorological data revealed that maximum and minimum temperatures had a positive correlation with Pear Psylla populations while rainfall and maximum relative humidity were negatively correlated. Regression analysis showed that these climatic factors accounted for up to 95% of the variation in pest populations.</w:t>
                            </w:r>
                            <w:r>
                              <w:rPr>
                                <w:color w:val="000000"/>
                                <w:sz w:val="24"/>
                                <w:szCs w:val="24"/>
                                <w:lang w:eastAsia="en-IN"/>
                              </w:rPr>
                              <w:t xml:space="preserve"> </w:t>
                            </w:r>
                            <w:r>
                              <w:rPr>
                                <w:rFonts w:ascii="Times New Roman" w:hAnsi="Times New Roman" w:cs="Times New Roman"/>
                                <w:color w:val="000000"/>
                                <w:sz w:val="18"/>
                                <w:szCs w:val="18"/>
                                <w:lang w:eastAsia="en-IN"/>
                              </w:rPr>
                              <w:t xml:space="preserve">The results of the evaluation of different insecticides revealed that </w:t>
                            </w:r>
                            <w:r>
                              <w:rPr>
                                <w:rFonts w:ascii="Times New Roman" w:hAnsi="Times New Roman" w:cs="Times New Roman"/>
                                <w:color w:val="000000"/>
                                <w:sz w:val="18"/>
                                <w:szCs w:val="18"/>
                                <w:highlight w:val="yellow"/>
                                <w:lang w:eastAsia="en-IN"/>
                              </w:rPr>
                              <w:t>cyantraniliprole</w:t>
                            </w:r>
                            <w:r>
                              <w:rPr>
                                <w:rFonts w:ascii="Times New Roman" w:hAnsi="Times New Roman" w:cs="Times New Roman"/>
                                <w:color w:val="000000"/>
                                <w:sz w:val="18"/>
                                <w:szCs w:val="18"/>
                                <w:lang w:eastAsia="en-IN"/>
                              </w:rPr>
                              <w:t xml:space="preserve"> 10.26% OD with an efficacy of 92.74%, proved to be the most effective followed by Acetamiprid 20% SP (90.87%).</w:t>
                            </w:r>
                            <w:r>
                              <w:rPr>
                                <w:color w:val="000000"/>
                                <w:sz w:val="24"/>
                                <w:szCs w:val="24"/>
                                <w:lang w:eastAsia="en-IN"/>
                              </w:rPr>
                              <w:t xml:space="preserve"> </w:t>
                            </w:r>
                            <w:r>
                              <w:rPr>
                                <w:rFonts w:ascii="Times New Roman" w:hAnsi="Times New Roman" w:cs="Times New Roman"/>
                                <w:sz w:val="18"/>
                                <w:szCs w:val="18"/>
                              </w:rPr>
                              <w:t xml:space="preserve">These findings highlighted that the optimal temperature range for </w:t>
                            </w:r>
                            <w:r>
                              <w:rPr>
                                <w:rFonts w:ascii="Times New Roman" w:hAnsi="Times New Roman" w:cs="Times New Roman"/>
                                <w:sz w:val="18"/>
                                <w:szCs w:val="18"/>
                                <w:highlight w:val="yellow"/>
                              </w:rPr>
                              <w:t>psylla</w:t>
                            </w:r>
                            <w:r>
                              <w:rPr>
                                <w:rFonts w:ascii="Times New Roman" w:hAnsi="Times New Roman" w:cs="Times New Roman"/>
                                <w:sz w:val="18"/>
                                <w:szCs w:val="18"/>
                              </w:rPr>
                              <w:t xml:space="preserve"> development was between</w:t>
                            </w:r>
                            <w:r>
                              <w:rPr>
                                <w:rFonts w:ascii="Times New Roman" w:hAnsi="Times New Roman" w:cs="Times New Roman"/>
                                <w:sz w:val="18"/>
                                <w:szCs w:val="18"/>
                                <w:highlight w:val="none"/>
                              </w:rPr>
                              <w:t xml:space="preserve"> 27°C and 29°C </w:t>
                            </w:r>
                            <w:r>
                              <w:rPr>
                                <w:rFonts w:ascii="Times New Roman" w:hAnsi="Times New Roman" w:cs="Times New Roman"/>
                                <w:sz w:val="18"/>
                                <w:szCs w:val="18"/>
                              </w:rPr>
                              <w:t>suggesting that the weather conditions played a crucial role in fluctuating pest population and can govern the integrated pest management strategies.</w:t>
                            </w:r>
                          </w:p>
                          <w:p w14:paraId="78BE1C06">
                            <w:pPr>
                              <w:spacing w:after="0" w:line="240" w:lineRule="auto"/>
                              <w:jc w:val="both"/>
                              <w:rPr>
                                <w:rFonts w:ascii="Times New Roman" w:hAnsi="Times New Roman" w:cs="Times New Roman"/>
                                <w:sz w:val="18"/>
                                <w:szCs w:val="18"/>
                              </w:rPr>
                            </w:pPr>
                          </w:p>
                          <w:p w14:paraId="5898E185">
                            <w:pPr>
                              <w:spacing w:after="0" w:line="240" w:lineRule="auto"/>
                              <w:jc w:val="both"/>
                              <w:rPr>
                                <w:rFonts w:ascii="Times New Roman" w:hAnsi="Times New Roman" w:cs="Times New Roman"/>
                                <w:sz w:val="18"/>
                                <w:szCs w:val="18"/>
                              </w:rPr>
                            </w:pPr>
                          </w:p>
                          <w:p w14:paraId="72924D5D">
                            <w:pPr>
                              <w:spacing w:after="0" w:line="240" w:lineRule="auto"/>
                              <w:jc w:val="both"/>
                              <w:rPr>
                                <w:rFonts w:ascii="Times New Roman" w:hAnsi="Times New Roman" w:cs="Times New Roman"/>
                                <w:sz w:val="18"/>
                                <w:szCs w:val="18"/>
                              </w:rPr>
                            </w:pPr>
                          </w:p>
                          <w:p w14:paraId="22446AAF">
                            <w:pPr>
                              <w:spacing w:after="0" w:line="240" w:lineRule="auto"/>
                              <w:jc w:val="both"/>
                              <w:rPr>
                                <w:rFonts w:ascii="Times New Roman" w:hAnsi="Times New Roman" w:cs="Times New Roman"/>
                                <w:sz w:val="18"/>
                                <w:szCs w:val="18"/>
                              </w:rPr>
                            </w:pPr>
                          </w:p>
                        </w:txbxContent>
                      </v:textbox>
                      <w10:wrap type="square"/>
                    </v:shape>
                  </w:pict>
                </mc:Fallback>
              </mc:AlternateContent>
            </w:r>
          </w:p>
        </w:tc>
      </w:tr>
    </w:tbl>
    <w:p w14:paraId="17D77D18">
      <w:pPr>
        <w:pStyle w:val="16"/>
        <w:rPr>
          <w:rFonts w:cs="Times New Roman"/>
          <w:sz w:val="22"/>
          <w:szCs w:val="22"/>
          <w:vertAlign w:val="superscript"/>
        </w:rPr>
      </w:pPr>
    </w:p>
    <w:p w14:paraId="11AF1C75">
      <w:pPr>
        <w:spacing w:line="360" w:lineRule="auto"/>
        <w:rPr>
          <w:rFonts w:ascii="Times New Roman" w:hAnsi="Times New Roman" w:cs="Times New Roman"/>
          <w:i/>
          <w:iCs/>
          <w:sz w:val="18"/>
          <w:szCs w:val="18"/>
        </w:rPr>
      </w:pPr>
      <w:r>
        <w:rPr>
          <w:sz w:val="18"/>
        </w:rPr>
        <mc:AlternateContent>
          <mc:Choice Requires="wps">
            <w:drawing>
              <wp:anchor distT="0" distB="0" distL="114300" distR="114300" simplePos="0" relativeHeight="251667456" behindDoc="0" locked="0" layoutInCell="1" allowOverlap="1">
                <wp:simplePos x="0" y="0"/>
                <wp:positionH relativeFrom="column">
                  <wp:posOffset>2140585</wp:posOffset>
                </wp:positionH>
                <wp:positionV relativeFrom="paragraph">
                  <wp:posOffset>219710</wp:posOffset>
                </wp:positionV>
                <wp:extent cx="4304030" cy="202565"/>
                <wp:effectExtent l="4445" t="4445" r="9525" b="8890"/>
                <wp:wrapNone/>
                <wp:docPr id="4" name="Text Box 4"/>
                <wp:cNvGraphicFramePr/>
                <a:graphic xmlns:a="http://schemas.openxmlformats.org/drawingml/2006/main">
                  <a:graphicData uri="http://schemas.microsoft.com/office/word/2010/wordprocessingShape">
                    <wps:wsp>
                      <wps:cNvSpPr txBox="1"/>
                      <wps:spPr>
                        <a:xfrm>
                          <a:off x="0" y="0"/>
                          <a:ext cx="4304030" cy="2025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51B130">
                            <w:pPr>
                              <w:rPr>
                                <w:rFonts w:hint="default"/>
                                <w:color w:val="FF0000"/>
                                <w:sz w:val="16"/>
                                <w:szCs w:val="20"/>
                                <w:lang w:val="en-IN"/>
                              </w:rPr>
                            </w:pPr>
                            <w:r>
                              <w:rPr>
                                <w:rFonts w:hint="default"/>
                                <w:color w:val="FF0000"/>
                                <w:sz w:val="16"/>
                                <w:szCs w:val="20"/>
                                <w:lang w:val="en-IN"/>
                              </w:rPr>
                              <w:t>Not required scientific name in keyword remove it, remove weather already written abiotic factor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55pt;margin-top:17.3pt;height:15.95pt;width:338.9pt;z-index:251667456;mso-width-relative:page;mso-height-relative:page;" fillcolor="#FFFFFF [3201]" filled="t" stroked="t" coordsize="21600,21600" o:gfxdata="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LkxmR1wAAAAoBAAAPAAAAAAAAAAEAIAAA&#10;ACIAAABkcnMvZG93bnJldi54bWxQSwECFAAUAAAACACHTuJApA1TyEYCAAC2BAAADgAAAAAAAAAB&#10;ACAAAAAmAQAAZHJzL2Uyb0RvYy54bWxQSwUGAAAAAAYABgBZAQAA3gUAAAAA&#10;">
                <v:fill on="t" focussize="0,0"/>
                <v:stroke weight="0.5pt" color="#000000 [3204]" joinstyle="round"/>
                <v:imagedata o:title=""/>
                <o:lock v:ext="edit" aspectratio="f"/>
                <v:textbox>
                  <w:txbxContent>
                    <w:p w14:paraId="2B51B130">
                      <w:pPr>
                        <w:rPr>
                          <w:rFonts w:hint="default"/>
                          <w:color w:val="FF0000"/>
                          <w:sz w:val="16"/>
                          <w:szCs w:val="20"/>
                          <w:lang w:val="en-IN"/>
                        </w:rPr>
                      </w:pPr>
                      <w:r>
                        <w:rPr>
                          <w:rFonts w:hint="default"/>
                          <w:color w:val="FF0000"/>
                          <w:sz w:val="16"/>
                          <w:szCs w:val="20"/>
                          <w:lang w:val="en-IN"/>
                        </w:rPr>
                        <w:t>Not required scientific name in keyword remove it, remove weather already written abiotic factor</w:t>
                      </w:r>
                    </w:p>
                  </w:txbxContent>
                </v:textbox>
              </v:shape>
            </w:pict>
          </mc:Fallback>
        </mc:AlternateContent>
      </w:r>
      <w:r>
        <w:t>KEYWORDS:</w:t>
      </w:r>
      <w:r>
        <w:rPr>
          <w:highlight w:val="yellow"/>
        </w:rPr>
        <w:t xml:space="preserve"> </w:t>
      </w:r>
      <w:r>
        <w:rPr>
          <w:rFonts w:ascii="Times New Roman" w:hAnsi="Times New Roman" w:cs="Times New Roman"/>
          <w:i/>
          <w:iCs/>
          <w:sz w:val="18"/>
          <w:szCs w:val="18"/>
          <w:highlight w:val="yellow"/>
        </w:rPr>
        <w:t xml:space="preserve">Cacopsylla pyricola </w:t>
      </w:r>
      <w:r>
        <w:rPr>
          <w:rFonts w:ascii="Times New Roman" w:hAnsi="Times New Roman" w:cs="Times New Roman"/>
          <w:i/>
          <w:iCs/>
          <w:sz w:val="18"/>
          <w:szCs w:val="18"/>
        </w:rPr>
        <w:t>,</w:t>
      </w:r>
      <w:r>
        <w:rPr>
          <w:rFonts w:ascii="Times New Roman" w:hAnsi="Times New Roman" w:cs="Times New Roman"/>
          <w:sz w:val="18"/>
          <w:szCs w:val="18"/>
        </w:rPr>
        <w:t>Pear psylla ,Seasonal activity, Abiotic factor,</w:t>
      </w:r>
      <w:r>
        <w:rPr>
          <w:rFonts w:ascii="Times New Roman" w:hAnsi="Times New Roman" w:cs="Times New Roman"/>
          <w:sz w:val="18"/>
          <w:szCs w:val="18"/>
          <w:highlight w:val="yellow"/>
        </w:rPr>
        <w:t xml:space="preserve"> Weather, </w:t>
      </w:r>
      <w:r>
        <w:rPr>
          <w:rFonts w:ascii="Times New Roman" w:hAnsi="Times New Roman" w:cs="Times New Roman"/>
          <w:sz w:val="18"/>
          <w:szCs w:val="18"/>
        </w:rPr>
        <w:t>Bioefficacy, Insecticide</w:t>
      </w:r>
    </w:p>
    <w:p w14:paraId="19F3750C">
      <w:pPr>
        <w:pStyle w:val="16"/>
        <w:rPr>
          <w:rFonts w:cs="Times New Roman"/>
          <w:sz w:val="22"/>
          <w:szCs w:val="22"/>
          <w:vertAlign w:val="superscript"/>
        </w:rPr>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708" w:footer="708" w:gutter="0"/>
          <w:cols w:space="708" w:num="1"/>
          <w:docGrid w:linePitch="360" w:charSpace="0"/>
        </w:sectPr>
      </w:pPr>
    </w:p>
    <w:p w14:paraId="719D0D7A">
      <w:pPr>
        <w:pStyle w:val="29"/>
        <w:numPr>
          <w:ilvl w:val="0"/>
          <w:numId w:val="1"/>
        </w:numPr>
        <w:spacing w:line="240" w:lineRule="auto"/>
        <w:rPr>
          <w:rFonts w:cs="Times New Roman"/>
          <w:sz w:val="20"/>
          <w:szCs w:val="20"/>
        </w:rPr>
      </w:pPr>
      <w:r>
        <w:rPr>
          <w:rFonts w:cs="Times New Roman"/>
          <w:sz w:val="20"/>
          <w:szCs w:val="20"/>
        </w:rPr>
        <w:t>INTRODUCTION</w:t>
      </w:r>
    </w:p>
    <w:p w14:paraId="79C4648F">
      <w:pPr>
        <w:pStyle w:val="35"/>
        <w:spacing w:line="240" w:lineRule="auto"/>
        <w:rPr>
          <w:rFonts w:cs="Times New Roman"/>
          <w:sz w:val="20"/>
          <w:szCs w:val="20"/>
          <w:lang w:eastAsia="zh-CN"/>
        </w:rPr>
      </w:pPr>
      <w:r>
        <w:rPr>
          <w:rFonts w:cs="Times New Roman"/>
          <w:sz w:val="20"/>
          <w:szCs w:val="20"/>
          <w:lang w:eastAsia="zh-CN"/>
        </w:rPr>
        <w:t xml:space="preserve">            Pear (</w:t>
      </w:r>
      <w:r>
        <w:rPr>
          <w:rFonts w:cs="Times New Roman"/>
          <w:i/>
          <w:sz w:val="20"/>
          <w:szCs w:val="20"/>
          <w:lang w:eastAsia="zh-CN"/>
        </w:rPr>
        <w:t xml:space="preserve">Pyrus communis </w:t>
      </w:r>
      <w:r>
        <w:rPr>
          <w:rFonts w:cs="Times New Roman"/>
          <w:iCs/>
          <w:sz w:val="20"/>
          <w:szCs w:val="20"/>
          <w:lang w:eastAsia="zh-CN"/>
        </w:rPr>
        <w:t>L</w:t>
      </w:r>
      <w:r>
        <w:rPr>
          <w:rFonts w:cs="Times New Roman"/>
          <w:i/>
          <w:sz w:val="20"/>
          <w:szCs w:val="20"/>
          <w:lang w:eastAsia="zh-CN"/>
        </w:rPr>
        <w:t>.</w:t>
      </w:r>
      <w:r>
        <w:rPr>
          <w:rFonts w:cs="Times New Roman"/>
          <w:sz w:val="20"/>
          <w:szCs w:val="20"/>
          <w:lang w:eastAsia="zh-CN"/>
        </w:rPr>
        <w:t xml:space="preserve">) is a widely cultivated fruit tree species from the Rosaceae family. It is highly valued for its delicious and nutritious fruits making it a prevailing preference for fresh consumption and processing of various products. Pear cultivation has a long history with evidence dating back thousands of years in regions such as China and Europe (Wu </w:t>
      </w:r>
      <w:r>
        <w:rPr>
          <w:rFonts w:cs="Times New Roman"/>
          <w:i/>
          <w:sz w:val="20"/>
          <w:szCs w:val="20"/>
          <w:lang w:eastAsia="zh-CN"/>
        </w:rPr>
        <w:t>et al</w:t>
      </w:r>
      <w:r>
        <w:rPr>
          <w:rFonts w:cs="Times New Roman"/>
          <w:sz w:val="20"/>
          <w:szCs w:val="20"/>
          <w:lang w:eastAsia="zh-CN"/>
        </w:rPr>
        <w:t>., 2019). Over time, the cultivation of pear has spread to different parts of the world due to their adaptability to a wide range of climatic conditions.</w:t>
      </w:r>
      <w:r>
        <w:rPr>
          <w:rFonts w:cs="Times New Roman"/>
          <w:color w:val="000000"/>
          <w:sz w:val="20"/>
          <w:szCs w:val="20"/>
          <w:lang w:eastAsia="zh-CN"/>
        </w:rPr>
        <w:t xml:space="preserve"> </w:t>
      </w:r>
    </w:p>
    <w:p w14:paraId="1DE904CF">
      <w:pPr>
        <w:pStyle w:val="35"/>
        <w:spacing w:line="240" w:lineRule="auto"/>
        <w:rPr>
          <w:rFonts w:cs="Times New Roman"/>
          <w:color w:val="000000"/>
          <w:sz w:val="20"/>
          <w:szCs w:val="20"/>
          <w:lang w:eastAsia="zh-CN"/>
        </w:rPr>
      </w:pPr>
      <w:r>
        <w:rPr>
          <w:sz w:val="18"/>
        </w:rPr>
        <mc:AlternateContent>
          <mc:Choice Requires="wps">
            <w:drawing>
              <wp:anchor distT="0" distB="0" distL="114300" distR="114300" simplePos="0" relativeHeight="251673600" behindDoc="0" locked="0" layoutInCell="1" allowOverlap="1">
                <wp:simplePos x="0" y="0"/>
                <wp:positionH relativeFrom="column">
                  <wp:posOffset>5647055</wp:posOffset>
                </wp:positionH>
                <wp:positionV relativeFrom="paragraph">
                  <wp:posOffset>351790</wp:posOffset>
                </wp:positionV>
                <wp:extent cx="960755" cy="748030"/>
                <wp:effectExtent l="4445" t="4445" r="12700" b="9525"/>
                <wp:wrapSquare wrapText="bothSides"/>
                <wp:docPr id="6" name="Text Box 6"/>
                <wp:cNvGraphicFramePr/>
                <a:graphic xmlns:a="http://schemas.openxmlformats.org/drawingml/2006/main">
                  <a:graphicData uri="http://schemas.microsoft.com/office/word/2010/wordprocessingShape">
                    <wps:wsp>
                      <wps:cNvSpPr txBox="1"/>
                      <wps:spPr>
                        <a:xfrm>
                          <a:off x="0" y="0"/>
                          <a:ext cx="960755" cy="7480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0821A92">
                            <w:pPr>
                              <w:rPr>
                                <w:rFonts w:hint="default"/>
                                <w:color w:val="FF0000"/>
                                <w:sz w:val="16"/>
                                <w:szCs w:val="20"/>
                                <w:lang w:val="en-IN"/>
                              </w:rPr>
                            </w:pPr>
                            <w:r>
                              <w:rPr>
                                <w:rFonts w:hint="default"/>
                                <w:color w:val="FF0000"/>
                                <w:sz w:val="16"/>
                                <w:szCs w:val="20"/>
                                <w:lang w:val="en-IN"/>
                              </w:rPr>
                              <w:t xml:space="preserve">Add space in highlighted places. </w:t>
                            </w:r>
                          </w:p>
                          <w:p w14:paraId="3655D8F3">
                            <w:pPr>
                              <w:rPr>
                                <w:rFonts w:hint="default"/>
                                <w:color w:val="FF0000"/>
                                <w:sz w:val="16"/>
                                <w:szCs w:val="20"/>
                                <w:lang w:val="en-IN"/>
                              </w:rPr>
                            </w:pPr>
                            <w:r>
                              <w:rPr>
                                <w:rFonts w:hint="default"/>
                                <w:color w:val="FF0000"/>
                                <w:sz w:val="16"/>
                                <w:szCs w:val="20"/>
                                <w:lang w:val="en-IN"/>
                              </w:rPr>
                              <w:t>Add full stop after yield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4.65pt;margin-top:27.7pt;height:58.9pt;width:75.65pt;mso-wrap-distance-bottom:0pt;mso-wrap-distance-left:9pt;mso-wrap-distance-right:9pt;mso-wrap-distance-top:0pt;z-index:251673600;mso-width-relative:page;mso-height-relative:page;" fillcolor="#FFFFFF [3201]" filled="t" stroked="t" coordsize="21600,21600" o:gfxdata="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Ye/+NgAAAALAQAADwAAAAAAAAAB&#10;ACAAAAAiAAAAZHJzL2Rvd25yZXYueG1sUEsBAhQAFAAAAAgAh07iQPtETchJAgAAtQQAAA4AAAAA&#10;AAAAAQAgAAAAJwEAAGRycy9lMm9Eb2MueG1sUEsFBgAAAAAGAAYAWQEAAOIFAAAAAA==&#10;">
                <v:fill on="t" focussize="0,0"/>
                <v:stroke weight="0.5pt" color="#000000 [3204]" joinstyle="round"/>
                <v:imagedata o:title=""/>
                <o:lock v:ext="edit" aspectratio="f"/>
                <v:textbox>
                  <w:txbxContent>
                    <w:p w14:paraId="40821A92">
                      <w:pPr>
                        <w:rPr>
                          <w:rFonts w:hint="default"/>
                          <w:color w:val="FF0000"/>
                          <w:sz w:val="16"/>
                          <w:szCs w:val="20"/>
                          <w:lang w:val="en-IN"/>
                        </w:rPr>
                      </w:pPr>
                      <w:r>
                        <w:rPr>
                          <w:rFonts w:hint="default"/>
                          <w:color w:val="FF0000"/>
                          <w:sz w:val="16"/>
                          <w:szCs w:val="20"/>
                          <w:lang w:val="en-IN"/>
                        </w:rPr>
                        <w:t xml:space="preserve">Add space in highlighted places. </w:t>
                      </w:r>
                    </w:p>
                    <w:p w14:paraId="3655D8F3">
                      <w:pPr>
                        <w:rPr>
                          <w:rFonts w:hint="default"/>
                          <w:color w:val="FF0000"/>
                          <w:sz w:val="16"/>
                          <w:szCs w:val="20"/>
                          <w:lang w:val="en-IN"/>
                        </w:rPr>
                      </w:pPr>
                      <w:r>
                        <w:rPr>
                          <w:rFonts w:hint="default"/>
                          <w:color w:val="FF0000"/>
                          <w:sz w:val="16"/>
                          <w:szCs w:val="20"/>
                          <w:lang w:val="en-IN"/>
                        </w:rPr>
                        <w:t>Add full stop after yield</w:t>
                      </w:r>
                    </w:p>
                  </w:txbxContent>
                </v:textbox>
                <w10:wrap type="square"/>
              </v:shape>
            </w:pict>
          </mc:Fallback>
        </mc:AlternateContent>
      </w:r>
      <w:r>
        <w:rPr>
          <w:rFonts w:cs="Times New Roman"/>
          <w:sz w:val="20"/>
          <w:szCs w:val="20"/>
          <w:lang w:eastAsia="zh-CN"/>
        </w:rPr>
        <w:t xml:space="preserve">           </w:t>
      </w:r>
      <w:r>
        <w:rPr>
          <w:rFonts w:cs="Times New Roman"/>
          <w:color w:val="000000"/>
          <w:sz w:val="20"/>
          <w:szCs w:val="20"/>
          <w:lang w:eastAsia="zh-CN"/>
        </w:rPr>
        <w:t>Since prehistoric times, pear has been utilized as food, making them the second most significant fruit in the temperate region (Civolani, 2012). There are around 3,000 cultivars and over 20 main species; however, the majority of commercial variations are European or common pears (</w:t>
      </w:r>
      <w:r>
        <w:rPr>
          <w:rFonts w:cs="Times New Roman"/>
          <w:i/>
          <w:iCs/>
          <w:color w:val="000000"/>
          <w:sz w:val="20"/>
          <w:szCs w:val="20"/>
          <w:lang w:eastAsia="zh-CN"/>
        </w:rPr>
        <w:t>Pyrus communis</w:t>
      </w:r>
      <w:r>
        <w:rPr>
          <w:rFonts w:cs="Times New Roman"/>
          <w:color w:val="000000"/>
          <w:sz w:val="20"/>
          <w:szCs w:val="20"/>
          <w:lang w:eastAsia="zh-CN"/>
        </w:rPr>
        <w:t>).</w:t>
      </w:r>
    </w:p>
    <w:p w14:paraId="21A61049">
      <w:pPr>
        <w:pStyle w:val="35"/>
        <w:spacing w:line="240" w:lineRule="auto"/>
        <w:rPr>
          <w:rFonts w:eastAsia="Microsoft YaHei Light"/>
          <w:color w:val="000000"/>
          <w:sz w:val="20"/>
          <w:szCs w:val="20"/>
          <w:lang w:eastAsia="zh-CN"/>
        </w:rPr>
      </w:pPr>
      <w:r>
        <w:rPr>
          <w:rFonts w:eastAsia="Microsoft YaHei Light"/>
          <w:color w:val="000000"/>
          <w:sz w:val="20"/>
          <w:szCs w:val="20"/>
        </w:rPr>
        <w:t>Pears are the second most renowned temperate fruit in India in terms of both production and area.</w:t>
      </w:r>
      <w:r>
        <w:rPr>
          <w:color w:val="000000"/>
          <w:sz w:val="20"/>
          <w:szCs w:val="20"/>
        </w:rPr>
        <w:t xml:space="preserve"> India ranks 6</w:t>
      </w:r>
      <w:r>
        <w:rPr>
          <w:color w:val="000000"/>
          <w:sz w:val="20"/>
          <w:szCs w:val="20"/>
          <w:vertAlign w:val="superscript"/>
        </w:rPr>
        <w:t>th</w:t>
      </w:r>
      <w:r>
        <w:rPr>
          <w:color w:val="000000"/>
          <w:sz w:val="20"/>
          <w:szCs w:val="20"/>
        </w:rPr>
        <w:t xml:space="preserve"> in the world for pear production, with a total annual production of approximately 3,12,5000 metric tons in </w:t>
      </w:r>
      <w:r>
        <w:rPr>
          <w:color w:val="000000"/>
          <w:sz w:val="20"/>
          <w:szCs w:val="20"/>
          <w:highlight w:val="yellow"/>
        </w:rPr>
        <w:t>2023.</w:t>
      </w:r>
      <w:r>
        <w:rPr>
          <w:rFonts w:eastAsia="Microsoft YaHei Light"/>
          <w:color w:val="000000"/>
          <w:sz w:val="20"/>
          <w:szCs w:val="20"/>
          <w:highlight w:val="yellow"/>
          <w:lang w:eastAsia="zh-CN"/>
        </w:rPr>
        <w:t>Pears</w:t>
      </w:r>
      <w:r>
        <w:rPr>
          <w:rFonts w:eastAsia="Microsoft YaHei Light"/>
          <w:color w:val="000000"/>
          <w:sz w:val="20"/>
          <w:szCs w:val="20"/>
          <w:lang w:eastAsia="zh-CN"/>
        </w:rPr>
        <w:t xml:space="preserve"> are the second most popular fruit in Jammu and Kashmir, after apples and they are produced on 14,161 hectares of land with an 81,628 MT yiel</w:t>
      </w:r>
      <w:r>
        <w:rPr>
          <w:rFonts w:eastAsia="Microsoft YaHei Light"/>
          <w:color w:val="000000"/>
          <w:sz w:val="20"/>
          <w:szCs w:val="20"/>
          <w:highlight w:val="yellow"/>
          <w:lang w:eastAsia="zh-CN"/>
        </w:rPr>
        <w:t>d District Budgam</w:t>
      </w:r>
      <w:r>
        <w:rPr>
          <w:rFonts w:eastAsia="Microsoft YaHei Light"/>
          <w:color w:val="000000"/>
          <w:sz w:val="20"/>
          <w:szCs w:val="20"/>
          <w:lang w:eastAsia="zh-CN"/>
        </w:rPr>
        <w:t xml:space="preserve"> is the largest producer of pear </w:t>
      </w:r>
      <w:r>
        <w:rPr>
          <w:rFonts w:eastAsia="Microsoft YaHei Light"/>
          <w:color w:val="000000"/>
          <w:sz w:val="20"/>
          <w:szCs w:val="20"/>
          <w:highlight w:val="yellow"/>
          <w:lang w:eastAsia="zh-CN"/>
        </w:rPr>
        <w:t>15,909MT</w:t>
      </w:r>
      <w:r>
        <w:rPr>
          <w:rFonts w:eastAsia="Microsoft YaHei Light"/>
          <w:color w:val="000000"/>
          <w:sz w:val="20"/>
          <w:szCs w:val="20"/>
          <w:lang w:eastAsia="zh-CN"/>
        </w:rPr>
        <w:t xml:space="preserve"> (Anonymous, 2021).</w:t>
      </w:r>
    </w:p>
    <w:p w14:paraId="6B73FA50">
      <w:pPr>
        <w:tabs>
          <w:tab w:val="left" w:pos="709"/>
        </w:tabs>
        <w:spacing w:before="120" w:after="120" w:line="240" w:lineRule="auto"/>
        <w:jc w:val="both"/>
        <w:rPr>
          <w:rFonts w:ascii="Times New Roman" w:hAnsi="Times New Roman" w:eastAsia="Microsoft YaHei Light" w:cs="Times New Roman"/>
          <w:color w:val="000000"/>
          <w:sz w:val="20"/>
          <w:szCs w:val="20"/>
          <w:lang w:eastAsia="zh-CN"/>
        </w:rPr>
      </w:pPr>
      <w:r>
        <w:rPr>
          <w:sz w:val="18"/>
        </w:rPr>
        <mc:AlternateContent>
          <mc:Choice Requires="wps">
            <w:drawing>
              <wp:anchor distT="0" distB="0" distL="114300" distR="114300" simplePos="0" relativeHeight="251672576" behindDoc="0" locked="0" layoutInCell="1" allowOverlap="1">
                <wp:simplePos x="0" y="0"/>
                <wp:positionH relativeFrom="column">
                  <wp:posOffset>2762885</wp:posOffset>
                </wp:positionH>
                <wp:positionV relativeFrom="paragraph">
                  <wp:posOffset>770255</wp:posOffset>
                </wp:positionV>
                <wp:extent cx="2132965" cy="259715"/>
                <wp:effectExtent l="5080" t="4445" r="8255" b="15240"/>
                <wp:wrapNone/>
                <wp:docPr id="5" name="Text Box 5"/>
                <wp:cNvGraphicFramePr/>
                <a:graphic xmlns:a="http://schemas.openxmlformats.org/drawingml/2006/main">
                  <a:graphicData uri="http://schemas.microsoft.com/office/word/2010/wordprocessingShape">
                    <wps:wsp>
                      <wps:cNvSpPr txBox="1"/>
                      <wps:spPr>
                        <a:xfrm>
                          <a:off x="0" y="0"/>
                          <a:ext cx="2132965" cy="2597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F480377">
                            <w:pPr>
                              <w:rPr>
                                <w:rFonts w:hint="default"/>
                                <w:color w:val="FF0000"/>
                                <w:sz w:val="16"/>
                                <w:szCs w:val="20"/>
                                <w:lang w:val="en-IN"/>
                              </w:rPr>
                            </w:pPr>
                            <w:r>
                              <w:rPr>
                                <w:rFonts w:hint="default"/>
                                <w:color w:val="FF0000"/>
                                <w:sz w:val="16"/>
                                <w:szCs w:val="20"/>
                                <w:lang w:val="en-IN"/>
                              </w:rPr>
                              <w:t>Replace prey with pest, remove s in India,s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55pt;margin-top:60.65pt;height:20.45pt;width:167.95pt;z-index:251672576;mso-width-relative:page;mso-height-relative:page;" fillcolor="#FFFFFF [3201]" filled="t" stroked="t" coordsize="21600,21600" o:gfxdata="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M+StcAAAALAQAADwAAAAAAAAAB&#10;ACAAAAAiAAAAZHJzL2Rvd25yZXYueG1sUEsBAhQAFAAAAAgAh07iQFt5VzlKAgAAtgQAAA4AAAAA&#10;AAAAAQAgAAAAJgEAAGRycy9lMm9Eb2MueG1sUEsFBgAAAAAGAAYAWQEAAOIFAAAAAA==&#10;">
                <v:fill on="t" focussize="0,0"/>
                <v:stroke weight="0.5pt" color="#000000 [3204]" joinstyle="round"/>
                <v:imagedata o:title=""/>
                <o:lock v:ext="edit" aspectratio="f"/>
                <v:textbox>
                  <w:txbxContent>
                    <w:p w14:paraId="2F480377">
                      <w:pPr>
                        <w:rPr>
                          <w:rFonts w:hint="default"/>
                          <w:color w:val="FF0000"/>
                          <w:sz w:val="16"/>
                          <w:szCs w:val="20"/>
                          <w:lang w:val="en-IN"/>
                        </w:rPr>
                      </w:pPr>
                      <w:r>
                        <w:rPr>
                          <w:rFonts w:hint="default"/>
                          <w:color w:val="FF0000"/>
                          <w:sz w:val="16"/>
                          <w:szCs w:val="20"/>
                          <w:lang w:val="en-IN"/>
                        </w:rPr>
                        <w:t>Replace prey with pest, remove s in India,s</w:t>
                      </w:r>
                    </w:p>
                  </w:txbxContent>
                </v:textbox>
              </v:shape>
            </w:pict>
          </mc:Fallback>
        </mc:AlternateContent>
      </w:r>
      <w:r>
        <w:rPr>
          <w:rFonts w:ascii="Times New Roman" w:hAnsi="Times New Roman" w:eastAsia="Microsoft YaHei Light" w:cs="Times New Roman"/>
          <w:color w:val="000000"/>
          <w:sz w:val="20"/>
          <w:szCs w:val="20"/>
          <w:lang w:eastAsia="zh-CN"/>
        </w:rPr>
        <w:t xml:space="preserve">        Many pests </w:t>
      </w:r>
      <w:r>
        <w:rPr>
          <w:rFonts w:ascii="Times New Roman" w:hAnsi="Times New Roman" w:eastAsia="Microsoft YaHei Light" w:cs="Times New Roman"/>
          <w:i/>
          <w:iCs/>
          <w:color w:val="000000"/>
          <w:sz w:val="20"/>
          <w:szCs w:val="20"/>
          <w:lang w:eastAsia="zh-CN"/>
        </w:rPr>
        <w:t>viz.,</w:t>
      </w:r>
      <w:r>
        <w:rPr>
          <w:rFonts w:ascii="Times New Roman" w:hAnsi="Times New Roman" w:eastAsia="Microsoft YaHei Light" w:cs="Times New Roman"/>
          <w:color w:val="000000"/>
          <w:sz w:val="20"/>
          <w:szCs w:val="20"/>
          <w:lang w:eastAsia="zh-CN"/>
        </w:rPr>
        <w:t xml:space="preserve"> San Jose scale (</w:t>
      </w:r>
      <w:r>
        <w:rPr>
          <w:rFonts w:ascii="Times New Roman" w:hAnsi="Times New Roman" w:eastAsia="Microsoft YaHei Light" w:cs="Times New Roman"/>
          <w:i/>
          <w:iCs/>
          <w:color w:val="000000"/>
          <w:sz w:val="20"/>
          <w:szCs w:val="20"/>
          <w:lang w:eastAsia="zh-CN"/>
        </w:rPr>
        <w:t xml:space="preserve">Quadraspidiotus perniciosus </w:t>
      </w:r>
      <w:r>
        <w:rPr>
          <w:rFonts w:ascii="Times New Roman" w:hAnsi="Times New Roman" w:eastAsia="Microsoft YaHei Light" w:cs="Times New Roman"/>
          <w:color w:val="000000"/>
          <w:sz w:val="20"/>
          <w:szCs w:val="20"/>
          <w:lang w:eastAsia="zh-CN"/>
        </w:rPr>
        <w:t>(Comstock), the pear leaf blister mite (</w:t>
      </w:r>
      <w:r>
        <w:rPr>
          <w:rFonts w:ascii="Times New Roman" w:hAnsi="Times New Roman" w:eastAsia="Microsoft YaHei Light" w:cs="Times New Roman"/>
          <w:i/>
          <w:iCs/>
          <w:color w:val="000000"/>
          <w:sz w:val="20"/>
          <w:szCs w:val="20"/>
          <w:lang w:eastAsia="zh-CN"/>
        </w:rPr>
        <w:t xml:space="preserve">Eriophyes pyri </w:t>
      </w:r>
      <w:r>
        <w:rPr>
          <w:rFonts w:ascii="Times New Roman" w:hAnsi="Times New Roman" w:eastAsia="Microsoft YaHei Light" w:cs="Times New Roman"/>
          <w:color w:val="000000"/>
          <w:sz w:val="20"/>
          <w:szCs w:val="20"/>
          <w:lang w:eastAsia="zh-CN"/>
        </w:rPr>
        <w:t>(Pagenstecher)</w:t>
      </w:r>
      <w:r>
        <w:rPr>
          <w:rFonts w:ascii="Times New Roman" w:hAnsi="Times New Roman" w:eastAsia="Microsoft YaHei Light" w:cs="Times New Roman"/>
          <w:i/>
          <w:iCs/>
          <w:color w:val="000000"/>
          <w:sz w:val="20"/>
          <w:szCs w:val="20"/>
          <w:lang w:eastAsia="zh-CN"/>
        </w:rPr>
        <w:t>,</w:t>
      </w:r>
      <w:r>
        <w:rPr>
          <w:rFonts w:ascii="Times New Roman" w:hAnsi="Times New Roman" w:eastAsia="Microsoft YaHei Light" w:cs="Times New Roman"/>
          <w:color w:val="000000"/>
          <w:sz w:val="20"/>
          <w:szCs w:val="20"/>
          <w:lang w:eastAsia="zh-CN"/>
        </w:rPr>
        <w:t xml:space="preserve"> the codling moth (</w:t>
      </w:r>
      <w:r>
        <w:rPr>
          <w:rFonts w:ascii="Times New Roman" w:hAnsi="Times New Roman" w:eastAsia="Microsoft YaHei Light" w:cs="Times New Roman"/>
          <w:i/>
          <w:iCs/>
          <w:color w:val="000000"/>
          <w:sz w:val="20"/>
          <w:szCs w:val="20"/>
          <w:lang w:eastAsia="zh-CN"/>
        </w:rPr>
        <w:t>Cydia pomonella</w:t>
      </w:r>
      <w:r>
        <w:rPr>
          <w:rFonts w:ascii="Times New Roman" w:hAnsi="Times New Roman" w:eastAsia="Microsoft YaHei Light" w:cs="Times New Roman"/>
          <w:color w:val="000000"/>
          <w:sz w:val="20"/>
          <w:szCs w:val="20"/>
          <w:lang w:eastAsia="zh-CN"/>
        </w:rPr>
        <w:t xml:space="preserve"> (Linnaeus), the cotton aphid (</w:t>
      </w:r>
      <w:r>
        <w:rPr>
          <w:rFonts w:ascii="Times New Roman" w:hAnsi="Times New Roman" w:eastAsia="Microsoft YaHei Light" w:cs="Times New Roman"/>
          <w:i/>
          <w:iCs/>
          <w:color w:val="000000"/>
          <w:sz w:val="20"/>
          <w:szCs w:val="20"/>
          <w:lang w:eastAsia="zh-CN"/>
        </w:rPr>
        <w:t xml:space="preserve">Aphis gossypii </w:t>
      </w:r>
      <w:r>
        <w:rPr>
          <w:rFonts w:ascii="Times New Roman" w:hAnsi="Times New Roman" w:eastAsia="Microsoft YaHei Light" w:cs="Times New Roman"/>
          <w:color w:val="000000"/>
          <w:sz w:val="20"/>
          <w:szCs w:val="20"/>
          <w:lang w:eastAsia="zh-CN"/>
        </w:rPr>
        <w:t>(Glover) and the Pear Psylla (</w:t>
      </w:r>
      <w:r>
        <w:rPr>
          <w:rFonts w:ascii="Times New Roman" w:hAnsi="Times New Roman" w:eastAsia="Microsoft YaHei Light" w:cs="Times New Roman"/>
          <w:i/>
          <w:iCs/>
          <w:color w:val="000000"/>
          <w:sz w:val="20"/>
          <w:szCs w:val="20"/>
          <w:lang w:eastAsia="zh-CN"/>
        </w:rPr>
        <w:t>Cacopsylla pyricola</w:t>
      </w:r>
      <w:r>
        <w:rPr>
          <w:rFonts w:ascii="Times New Roman" w:hAnsi="Times New Roman" w:eastAsia="Microsoft YaHei Light" w:cs="Times New Roman"/>
          <w:color w:val="000000"/>
          <w:sz w:val="20"/>
          <w:szCs w:val="20"/>
          <w:lang w:eastAsia="zh-CN"/>
        </w:rPr>
        <w:t xml:space="preserve">), </w:t>
      </w:r>
      <w:r>
        <w:rPr>
          <w:rFonts w:ascii="Times New Roman" w:hAnsi="Times New Roman" w:eastAsia="Microsoft YaHei Light" w:cs="Times New Roman"/>
          <w:color w:val="000000"/>
          <w:sz w:val="20"/>
          <w:szCs w:val="20"/>
          <w:highlight w:val="yellow"/>
          <w:lang w:eastAsia="zh-CN"/>
        </w:rPr>
        <w:t xml:space="preserve">prey </w:t>
      </w:r>
      <w:r>
        <w:rPr>
          <w:rFonts w:ascii="Times New Roman" w:hAnsi="Times New Roman" w:eastAsia="Microsoft YaHei Light" w:cs="Times New Roman"/>
          <w:color w:val="000000"/>
          <w:sz w:val="20"/>
          <w:szCs w:val="20"/>
          <w:lang w:eastAsia="zh-CN"/>
        </w:rPr>
        <w:t xml:space="preserve">on pears in Jammu and Kashmir. In </w:t>
      </w:r>
      <w:r>
        <w:rPr>
          <w:rFonts w:ascii="Times New Roman" w:hAnsi="Times New Roman" w:eastAsia="Microsoft YaHei Light" w:cs="Times New Roman"/>
          <w:color w:val="000000"/>
          <w:sz w:val="20"/>
          <w:szCs w:val="20"/>
          <w:highlight w:val="yellow"/>
          <w:lang w:eastAsia="zh-CN"/>
        </w:rPr>
        <w:t>India's</w:t>
      </w:r>
      <w:r>
        <w:rPr>
          <w:rFonts w:ascii="Times New Roman" w:hAnsi="Times New Roman" w:eastAsia="Microsoft YaHei Light" w:cs="Times New Roman"/>
          <w:color w:val="000000"/>
          <w:sz w:val="20"/>
          <w:szCs w:val="20"/>
          <w:lang w:eastAsia="zh-CN"/>
        </w:rPr>
        <w:t xml:space="preserve"> pear-growing regions, including Jammu and Kashmir, Pear Psylla is an emerging pest (Ahmad </w:t>
      </w:r>
      <w:r>
        <w:rPr>
          <w:rFonts w:ascii="Times New Roman" w:hAnsi="Times New Roman" w:eastAsia="Microsoft YaHei Light" w:cs="Times New Roman"/>
          <w:i/>
          <w:iCs/>
          <w:color w:val="000000"/>
          <w:sz w:val="20"/>
          <w:szCs w:val="20"/>
          <w:lang w:eastAsia="zh-CN"/>
        </w:rPr>
        <w:t>et al.,</w:t>
      </w:r>
      <w:r>
        <w:rPr>
          <w:rFonts w:ascii="Times New Roman" w:hAnsi="Times New Roman" w:eastAsia="Microsoft YaHei Light" w:cs="Times New Roman"/>
          <w:color w:val="000000"/>
          <w:sz w:val="20"/>
          <w:szCs w:val="20"/>
          <w:lang w:eastAsia="zh-CN"/>
        </w:rPr>
        <w:t xml:space="preserve"> 2020). Pear Psylla produces the honeydew that promotes fruit russet and severe infestations can cause trees to droop and lose their leaves. </w:t>
      </w:r>
    </w:p>
    <w:p w14:paraId="5667B416">
      <w:pPr>
        <w:pStyle w:val="35"/>
        <w:spacing w:line="240" w:lineRule="auto"/>
        <w:rPr>
          <w:rFonts w:cs="Times New Roman"/>
          <w:color w:val="000000"/>
          <w:sz w:val="20"/>
          <w:szCs w:val="20"/>
        </w:rPr>
      </w:pPr>
      <w:r>
        <w:rPr>
          <w:rFonts w:eastAsia="Microsoft YaHei Light" w:cs="Times New Roman"/>
          <w:color w:val="000000"/>
          <w:sz w:val="20"/>
          <w:szCs w:val="20"/>
          <w:lang w:eastAsia="zh-CN"/>
        </w:rPr>
        <w:t xml:space="preserve">Psyllids, sometimes known as jumping plant lice (Chinery, 1993), are tiny, phloem-feeding insects that are members of the Psyllidae family and order Hemiptera. There have been reports of over 150 psyllid species as possible pests of temperate and subtropical plants grown in cultivation (Buckhardt, 1994). The pear psylla, or </w:t>
      </w:r>
      <w:r>
        <w:rPr>
          <w:rFonts w:eastAsia="Microsoft YaHei Light" w:cs="Times New Roman"/>
          <w:i/>
          <w:iCs/>
          <w:color w:val="000000"/>
          <w:sz w:val="20"/>
          <w:szCs w:val="20"/>
          <w:lang w:eastAsia="zh-CN"/>
        </w:rPr>
        <w:t>Cacopsylla pyricola</w:t>
      </w:r>
      <w:r>
        <w:rPr>
          <w:rFonts w:eastAsia="Microsoft YaHei Light" w:cs="Times New Roman"/>
          <w:color w:val="000000"/>
          <w:sz w:val="20"/>
          <w:szCs w:val="20"/>
          <w:lang w:eastAsia="zh-CN"/>
        </w:rPr>
        <w:t>, is a significant economic pest of pears. It was initially discovered in Connecticut in 1832 and brought to the United States (Pettit and Hutchison 1931). It is believed that Asia Minor or southern Europe is where the pest first appeared (Burts, 1970).</w:t>
      </w:r>
    </w:p>
    <w:p w14:paraId="6BBA9456">
      <w:pPr>
        <w:tabs>
          <w:tab w:val="left" w:pos="709"/>
        </w:tabs>
        <w:spacing w:before="120" w:after="120" w:line="240" w:lineRule="auto"/>
        <w:jc w:val="both"/>
        <w:rPr>
          <w:rFonts w:ascii="Times New Roman" w:hAnsi="Times New Roman" w:eastAsia="Microsoft YaHei Light" w:cs="Times New Roman"/>
          <w:color w:val="000000"/>
          <w:sz w:val="20"/>
          <w:szCs w:val="20"/>
          <w:lang w:eastAsia="zh-CN" w:bidi="ar"/>
        </w:rPr>
      </w:pPr>
      <w:r>
        <w:rPr>
          <w:sz w:val="20"/>
        </w:rPr>
        <mc:AlternateContent>
          <mc:Choice Requires="wps">
            <w:drawing>
              <wp:anchor distT="0" distB="0" distL="114300" distR="114300" simplePos="0" relativeHeight="251674624" behindDoc="0" locked="0" layoutInCell="1" allowOverlap="1">
                <wp:simplePos x="0" y="0"/>
                <wp:positionH relativeFrom="column">
                  <wp:posOffset>5822315</wp:posOffset>
                </wp:positionH>
                <wp:positionV relativeFrom="paragraph">
                  <wp:posOffset>1722120</wp:posOffset>
                </wp:positionV>
                <wp:extent cx="781050" cy="863600"/>
                <wp:effectExtent l="5080" t="4445" r="13970" b="8255"/>
                <wp:wrapNone/>
                <wp:docPr id="8" name="Text Box 8"/>
                <wp:cNvGraphicFramePr/>
                <a:graphic xmlns:a="http://schemas.openxmlformats.org/drawingml/2006/main">
                  <a:graphicData uri="http://schemas.microsoft.com/office/word/2010/wordprocessingShape">
                    <wps:wsp>
                      <wps:cNvSpPr txBox="1"/>
                      <wps:spPr>
                        <a:xfrm>
                          <a:off x="6838315" y="3759835"/>
                          <a:ext cx="781050" cy="863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5DD58C1">
                            <w:pPr>
                              <w:rPr>
                                <w:rFonts w:hint="default"/>
                                <w:color w:val="FF0000"/>
                                <w:sz w:val="18"/>
                                <w:szCs w:val="21"/>
                                <w:lang w:val="en-IN"/>
                              </w:rPr>
                            </w:pPr>
                            <w:r>
                              <w:rPr>
                                <w:rFonts w:hint="default"/>
                                <w:color w:val="FF0000"/>
                                <w:sz w:val="18"/>
                                <w:szCs w:val="21"/>
                                <w:lang w:val="en-IN"/>
                              </w:rPr>
                              <w:t>Add full stop after completion of one sentence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8.45pt;margin-top:135.6pt;height:68pt;width:61.5pt;z-index:251674624;mso-width-relative:page;mso-height-relative:page;" fillcolor="#FFFFFF [3201]" filled="t" stroked="t" coordsize="21600,21600" o:gfxdata="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eCI1z2AAAAAwB&#10;AAAPAAAAAAAAAAEAIAAAACIAAABkcnMvZG93bnJldi54bWxQSwECFAAUAAAACACHTuJArOGmZlQC&#10;AADBBAAADgAAAAAAAAABACAAAAAnAQAAZHJzL2Uyb0RvYy54bWxQSwUGAAAAAAYABgBZAQAA7QUA&#10;AAAA&#10;">
                <v:fill on="t" focussize="0,0"/>
                <v:stroke weight="0.5pt" color="#000000 [3204]" joinstyle="round"/>
                <v:imagedata o:title=""/>
                <o:lock v:ext="edit" aspectratio="f"/>
                <v:textbox>
                  <w:txbxContent>
                    <w:p w14:paraId="35DD58C1">
                      <w:pPr>
                        <w:rPr>
                          <w:rFonts w:hint="default"/>
                          <w:color w:val="FF0000"/>
                          <w:sz w:val="18"/>
                          <w:szCs w:val="21"/>
                          <w:lang w:val="en-IN"/>
                        </w:rPr>
                      </w:pPr>
                      <w:r>
                        <w:rPr>
                          <w:rFonts w:hint="default"/>
                          <w:color w:val="FF0000"/>
                          <w:sz w:val="18"/>
                          <w:szCs w:val="21"/>
                          <w:lang w:val="en-IN"/>
                        </w:rPr>
                        <w:t>Add full stop after completion of one sentence</w:t>
                      </w:r>
                    </w:p>
                  </w:txbxContent>
                </v:textbox>
              </v:shape>
            </w:pict>
          </mc:Fallback>
        </mc:AlternateContent>
      </w:r>
      <w:r>
        <w:rPr>
          <w:rFonts w:ascii="Times New Roman" w:hAnsi="Times New Roman" w:eastAsia="Microsoft YaHei Light" w:cs="Times New Roman"/>
          <w:color w:val="000000"/>
          <w:sz w:val="20"/>
          <w:szCs w:val="20"/>
          <w:lang w:eastAsia="zh-CN"/>
        </w:rPr>
        <w:t xml:space="preserve">Pear psylla produces severe production losses at high densities by stunting trees, reducing fruit size, causing early fruit drop, and causing premature leaf drop (Burts, 1970; Westigard and Zwick, 1972). A toxin in the saliva of feeding nymphs is the cause of these symptoms, which have come to be known as "psylla shock" (Beers </w:t>
      </w:r>
      <w:r>
        <w:rPr>
          <w:rFonts w:ascii="Times New Roman" w:hAnsi="Times New Roman" w:eastAsia="Microsoft YaHei Light" w:cs="Times New Roman"/>
          <w:i/>
          <w:iCs/>
          <w:color w:val="000000"/>
          <w:sz w:val="20"/>
          <w:szCs w:val="20"/>
          <w:lang w:eastAsia="zh-CN"/>
        </w:rPr>
        <w:t>et al</w:t>
      </w:r>
      <w:r>
        <w:rPr>
          <w:rFonts w:ascii="Times New Roman" w:hAnsi="Times New Roman" w:eastAsia="Microsoft YaHei Light" w:cs="Times New Roman"/>
          <w:color w:val="000000"/>
          <w:sz w:val="20"/>
          <w:szCs w:val="20"/>
          <w:lang w:eastAsia="zh-CN"/>
        </w:rPr>
        <w:t xml:space="preserve">., 1993). Foliage experiences blackening and scorching, skin to the harm inflicted by </w:t>
      </w:r>
      <w:r>
        <w:rPr>
          <w:rFonts w:ascii="Times New Roman" w:hAnsi="Times New Roman" w:eastAsia="Microsoft YaHei Light" w:cs="Times New Roman"/>
          <w:color w:val="000000"/>
          <w:sz w:val="20"/>
          <w:szCs w:val="20"/>
          <w:highlight w:val="none"/>
          <w:lang w:eastAsia="zh-CN"/>
        </w:rPr>
        <w:t xml:space="preserve">webspinning </w:t>
      </w:r>
      <w:r>
        <w:rPr>
          <w:rFonts w:ascii="Times New Roman" w:hAnsi="Times New Roman" w:eastAsia="Microsoft YaHei Light" w:cs="Times New Roman"/>
          <w:color w:val="000000"/>
          <w:sz w:val="20"/>
          <w:szCs w:val="20"/>
          <w:lang w:eastAsia="zh-CN"/>
        </w:rPr>
        <w:t xml:space="preserve">mites. The adult pear psylla is ultimately responsible for transmitting the mycoplasma like bacterium that causes pear decline disease (Lindner </w:t>
      </w:r>
      <w:r>
        <w:rPr>
          <w:rFonts w:ascii="Times New Roman" w:hAnsi="Times New Roman" w:eastAsia="Microsoft YaHei Light" w:cs="Times New Roman"/>
          <w:i/>
          <w:iCs/>
          <w:color w:val="000000"/>
          <w:sz w:val="20"/>
          <w:szCs w:val="20"/>
          <w:lang w:eastAsia="zh-CN"/>
        </w:rPr>
        <w:t>et al.,</w:t>
      </w:r>
      <w:r>
        <w:rPr>
          <w:rFonts w:ascii="Times New Roman" w:hAnsi="Times New Roman" w:eastAsia="Microsoft YaHei Light" w:cs="Times New Roman"/>
          <w:color w:val="000000"/>
          <w:sz w:val="20"/>
          <w:szCs w:val="20"/>
          <w:lang w:eastAsia="zh-CN"/>
        </w:rPr>
        <w:t xml:space="preserve"> 1961; Jensen </w:t>
      </w:r>
      <w:r>
        <w:rPr>
          <w:rFonts w:ascii="Times New Roman" w:hAnsi="Times New Roman" w:eastAsia="Microsoft YaHei Light" w:cs="Times New Roman"/>
          <w:i/>
          <w:iCs/>
          <w:color w:val="000000"/>
          <w:sz w:val="20"/>
          <w:szCs w:val="20"/>
          <w:lang w:eastAsia="zh-CN"/>
        </w:rPr>
        <w:t>et al</w:t>
      </w:r>
      <w:r>
        <w:rPr>
          <w:rFonts w:ascii="Times New Roman" w:hAnsi="Times New Roman" w:eastAsia="Microsoft YaHei Light" w:cs="Times New Roman"/>
          <w:color w:val="000000"/>
          <w:sz w:val="20"/>
          <w:szCs w:val="20"/>
          <w:lang w:eastAsia="zh-CN"/>
        </w:rPr>
        <w:t>., 1964) to trees through feeding (Hibino and Schneider, 1970).</w:t>
      </w:r>
      <w:r>
        <w:rPr>
          <w:rFonts w:ascii="Times New Roman" w:hAnsi="Times New Roman" w:eastAsia="Microsoft YaHei Light" w:cs="Times New Roman"/>
          <w:color w:val="000000"/>
          <w:sz w:val="20"/>
          <w:szCs w:val="20"/>
          <w:lang w:eastAsia="zh-CN" w:bidi="ar"/>
        </w:rPr>
        <w:t xml:space="preserve"> </w:t>
      </w:r>
      <w:r>
        <w:rPr>
          <w:rFonts w:ascii="Times New Roman" w:hAnsi="Times New Roman" w:eastAsia="Microsoft YaHei Light" w:cs="Times New Roman"/>
          <w:color w:val="000000"/>
          <w:sz w:val="20"/>
          <w:szCs w:val="20"/>
          <w:lang w:eastAsia="zh-CN"/>
        </w:rPr>
        <w:t xml:space="preserve">Pear psylla is a very challenging pest to eradicate and prompt and effective sampling of adults and immatures is necessary for effective treatment (Brunner, 1982). </w:t>
      </w:r>
      <w:r>
        <w:rPr>
          <w:rFonts w:ascii="Times New Roman" w:hAnsi="Times New Roman" w:cs="Times New Roman"/>
          <w:color w:val="000000"/>
          <w:sz w:val="20"/>
          <w:szCs w:val="20"/>
        </w:rPr>
        <w:t xml:space="preserve">However, repeated applications of broad-spectrum insecticides with similar modes of action may result in the development of resistance (Saha and Mukhopadhyay 2013) and less effective control. To overcome the problems of resistance, the identification of new chemical molecules with better insecticidal properties and lower dosage with selective action is a continuous and effective process against insect pests in different crop ecosystems (Chandi </w:t>
      </w:r>
      <w:r>
        <w:rPr>
          <w:rFonts w:ascii="Times New Roman" w:hAnsi="Times New Roman" w:cs="Times New Roman"/>
          <w:i/>
          <w:color w:val="000000"/>
          <w:sz w:val="20"/>
          <w:szCs w:val="20"/>
        </w:rPr>
        <w:t>et al</w:t>
      </w:r>
      <w:r>
        <w:rPr>
          <w:rFonts w:ascii="Times New Roman" w:hAnsi="Times New Roman" w:cs="Times New Roman"/>
          <w:color w:val="000000"/>
          <w:sz w:val="20"/>
          <w:szCs w:val="20"/>
        </w:rPr>
        <w:t>., 2016).</w:t>
      </w:r>
    </w:p>
    <w:p w14:paraId="7C79796C">
      <w:pPr>
        <w:tabs>
          <w:tab w:val="left" w:pos="709"/>
        </w:tabs>
        <w:spacing w:before="120" w:after="120" w:line="240" w:lineRule="auto"/>
        <w:jc w:val="both"/>
        <w:rPr>
          <w:rFonts w:ascii="Times New Roman" w:hAnsi="Times New Roman" w:eastAsia="Microsoft YaHei Light" w:cs="Times New Roman"/>
          <w:color w:val="000000"/>
          <w:sz w:val="20"/>
          <w:szCs w:val="20"/>
          <w:lang w:eastAsia="zh-CN"/>
        </w:rPr>
      </w:pPr>
      <w:r>
        <w:rPr>
          <w:rFonts w:ascii="Times New Roman" w:hAnsi="Times New Roman" w:eastAsia="Microsoft YaHei Light" w:cs="Times New Roman"/>
          <w:color w:val="000000"/>
          <w:sz w:val="20"/>
          <w:szCs w:val="20"/>
          <w:lang w:eastAsia="zh-CN" w:bidi="ar"/>
        </w:rPr>
        <w:t xml:space="preserve">Pear is an important commercial fruit crop of Jammu and Kashmir after apple and because of the serious dimensions of pear psylla not only as a pest but also as a </w:t>
      </w:r>
      <w:r>
        <w:rPr>
          <w:rFonts w:ascii="Times New Roman" w:hAnsi="Times New Roman" w:eastAsia="Microsoft YaHei Light" w:cs="Times New Roman"/>
          <w:color w:val="000000"/>
          <w:sz w:val="20"/>
          <w:szCs w:val="20"/>
          <w:highlight w:val="yellow"/>
          <w:lang w:eastAsia="zh-CN" w:bidi="ar"/>
        </w:rPr>
        <w:t>vector it</w:t>
      </w:r>
      <w:r>
        <w:rPr>
          <w:rFonts w:ascii="Times New Roman" w:hAnsi="Times New Roman" w:eastAsia="Microsoft YaHei Light" w:cs="Times New Roman"/>
          <w:color w:val="000000"/>
          <w:sz w:val="20"/>
          <w:szCs w:val="20"/>
          <w:lang w:eastAsia="zh-CN" w:bidi="ar"/>
        </w:rPr>
        <w:t xml:space="preserve"> is necessary to work out the seasonal incidence of this pest </w:t>
      </w:r>
      <w:r>
        <w:rPr>
          <w:rFonts w:ascii="Times New Roman" w:hAnsi="Times New Roman" w:eastAsia="Microsoft YaHei Light" w:cs="Times New Roman"/>
          <w:color w:val="000000"/>
          <w:sz w:val="20"/>
          <w:szCs w:val="20"/>
          <w:lang w:bidi="ar"/>
        </w:rPr>
        <w:t xml:space="preserve">and also to </w:t>
      </w:r>
      <w:r>
        <w:rPr>
          <w:rFonts w:ascii="Times New Roman" w:hAnsi="Times New Roman" w:cs="Times New Roman"/>
          <w:color w:val="000000"/>
          <w:sz w:val="20"/>
          <w:szCs w:val="20"/>
        </w:rPr>
        <w:t>find out the field efficacy of the newer insecticides for the management of the</w:t>
      </w:r>
      <w:r>
        <w:rPr>
          <w:rFonts w:ascii="Times New Roman" w:hAnsi="Times New Roman" w:eastAsia="Microsoft YaHei Light" w:cs="Times New Roman"/>
          <w:color w:val="000000"/>
          <w:sz w:val="20"/>
          <w:szCs w:val="20"/>
          <w:lang w:eastAsia="zh-CN" w:bidi="ar"/>
        </w:rPr>
        <w:t xml:space="preserve"> said pest In view of the economic importance of Pear in Jammu and Kashmir and the damage caused by this pest, the studies were conducted to determine the seasonal incidence and management of Pear psylla.</w:t>
      </w:r>
    </w:p>
    <w:p w14:paraId="73F7268E">
      <w:pPr>
        <w:pStyle w:val="35"/>
        <w:numPr>
          <w:ilvl w:val="0"/>
          <w:numId w:val="1"/>
        </w:numPr>
        <w:spacing w:line="240" w:lineRule="auto"/>
        <w:rPr>
          <w:rFonts w:cs="Times New Roman"/>
          <w:b/>
          <w:bCs/>
          <w:sz w:val="20"/>
          <w:szCs w:val="20"/>
        </w:rPr>
      </w:pPr>
      <w:r>
        <w:rPr>
          <w:rFonts w:cs="Times New Roman"/>
          <w:b/>
          <w:bCs/>
          <w:sz w:val="20"/>
          <w:szCs w:val="20"/>
        </w:rPr>
        <w:t>MATERIALS AND METHODS</w:t>
      </w:r>
    </w:p>
    <w:p w14:paraId="76B832B6">
      <w:pPr>
        <w:pStyle w:val="35"/>
        <w:spacing w:line="240" w:lineRule="auto"/>
        <w:ind w:left="792"/>
        <w:rPr>
          <w:rFonts w:cs="Times New Roman"/>
          <w:b/>
          <w:bCs/>
          <w:sz w:val="20"/>
          <w:szCs w:val="20"/>
        </w:rPr>
      </w:pPr>
      <w:r>
        <w:rPr>
          <w:rFonts w:cs="Times New Roman"/>
          <w:b/>
          <w:bCs/>
          <w:sz w:val="20"/>
          <w:szCs w:val="20"/>
        </w:rPr>
        <w:t>2.1 Seasonal Incidence</w:t>
      </w:r>
    </w:p>
    <w:p w14:paraId="58C0E09F">
      <w:pPr>
        <w:tabs>
          <w:tab w:val="left" w:pos="709"/>
        </w:tabs>
        <w:spacing w:before="120" w:after="120" w:line="240" w:lineRule="auto"/>
        <w:jc w:val="both"/>
        <w:rPr>
          <w:rFonts w:ascii="Times New Roman" w:hAnsi="Times New Roman" w:eastAsia="Microsoft JhengHei" w:cs="Times New Roman"/>
          <w:color w:val="000000"/>
          <w:sz w:val="20"/>
          <w:szCs w:val="20"/>
        </w:rPr>
      </w:pPr>
      <w:r>
        <w:rPr>
          <w:rFonts w:ascii="Times New Roman" w:hAnsi="Times New Roman" w:cs="Times New Roman"/>
          <w:sz w:val="20"/>
          <w:szCs w:val="20"/>
        </w:rPr>
        <w:t xml:space="preserve">          </w:t>
      </w:r>
      <w:r>
        <w:rPr>
          <w:rFonts w:ascii="Times New Roman" w:hAnsi="Times New Roman" w:eastAsia="Microsoft JhengHei" w:cs="Times New Roman"/>
          <w:color w:val="000000"/>
          <w:sz w:val="20"/>
          <w:szCs w:val="20"/>
        </w:rPr>
        <w:t>Seasonal incidence of Pear Psylla was carried out in two districts of Kashmir (Baramulla and Srinagar) with two locations from each district. From district Srinagar</w:t>
      </w:r>
      <w:r>
        <w:rPr>
          <w:color w:val="000000"/>
          <w:sz w:val="24"/>
          <w:szCs w:val="24"/>
          <w:lang w:eastAsia="en-IN"/>
        </w:rPr>
        <w:t xml:space="preserve"> </w:t>
      </w:r>
      <w:r>
        <w:rPr>
          <w:rFonts w:ascii="Times New Roman" w:hAnsi="Times New Roman" w:cs="Times New Roman"/>
          <w:color w:val="000000"/>
          <w:sz w:val="20"/>
          <w:szCs w:val="20"/>
          <w:lang w:eastAsia="en-IN"/>
        </w:rPr>
        <w:t>(1589 m a.s1)</w:t>
      </w:r>
      <w:r>
        <w:rPr>
          <w:rFonts w:ascii="Times New Roman" w:hAnsi="Times New Roman" w:eastAsia="Microsoft JhengHei" w:cs="Times New Roman"/>
          <w:color w:val="000000"/>
          <w:sz w:val="20"/>
          <w:szCs w:val="20"/>
        </w:rPr>
        <w:t>,</w:t>
      </w:r>
      <w:r>
        <w:rPr>
          <w:rFonts w:ascii="Times New Roman" w:hAnsi="Times New Roman" w:eastAsia="Microsoft JhengHei" w:cs="Times New Roman"/>
          <w:color w:val="000000"/>
          <w:sz w:val="24"/>
          <w:szCs w:val="24"/>
        </w:rPr>
        <w:t xml:space="preserve"> </w:t>
      </w:r>
      <w:r>
        <w:rPr>
          <w:rFonts w:ascii="Times New Roman" w:hAnsi="Times New Roman" w:eastAsia="Microsoft JhengHei" w:cs="Times New Roman"/>
          <w:color w:val="000000"/>
          <w:sz w:val="20"/>
          <w:szCs w:val="20"/>
        </w:rPr>
        <w:t xml:space="preserve">Harwan and Shalimar and from district Baramulla </w:t>
      </w:r>
      <w:r>
        <w:rPr>
          <w:rFonts w:ascii="Times New Roman" w:hAnsi="Times New Roman" w:cs="Times New Roman"/>
          <w:color w:val="000000"/>
          <w:sz w:val="20"/>
          <w:szCs w:val="20"/>
          <w:lang w:eastAsia="en-IN"/>
        </w:rPr>
        <w:t>(1593 m a.s1)</w:t>
      </w:r>
      <w:r>
        <w:rPr>
          <w:rFonts w:ascii="Times New Roman" w:hAnsi="Times New Roman" w:eastAsia="Microsoft JhengHei" w:cs="Times New Roman"/>
          <w:color w:val="000000"/>
          <w:sz w:val="20"/>
          <w:szCs w:val="20"/>
        </w:rPr>
        <w:t>, Nihalpora and Palhallan were selected. To study the seasonal incidence, data was recorded at fortnightly intervals starting from 20</w:t>
      </w:r>
      <w:r>
        <w:rPr>
          <w:rFonts w:ascii="Times New Roman" w:hAnsi="Times New Roman" w:eastAsia="Microsoft JhengHei" w:cs="Times New Roman"/>
          <w:color w:val="000000"/>
          <w:sz w:val="20"/>
          <w:szCs w:val="20"/>
          <w:vertAlign w:val="superscript"/>
        </w:rPr>
        <w:t>th</w:t>
      </w:r>
      <w:r>
        <w:rPr>
          <w:rFonts w:ascii="Times New Roman" w:hAnsi="Times New Roman" w:eastAsia="Microsoft JhengHei" w:cs="Times New Roman"/>
          <w:color w:val="000000"/>
          <w:sz w:val="20"/>
          <w:szCs w:val="20"/>
        </w:rPr>
        <w:t xml:space="preserve"> SMW (Standard Meteorological Week) to 34</w:t>
      </w:r>
      <w:r>
        <w:rPr>
          <w:rFonts w:ascii="Times New Roman" w:hAnsi="Times New Roman" w:eastAsia="Microsoft JhengHei" w:cs="Times New Roman"/>
          <w:color w:val="000000"/>
          <w:sz w:val="20"/>
          <w:szCs w:val="20"/>
          <w:vertAlign w:val="superscript"/>
        </w:rPr>
        <w:t>th</w:t>
      </w:r>
      <w:r>
        <w:rPr>
          <w:rFonts w:ascii="Times New Roman" w:hAnsi="Times New Roman" w:eastAsia="Microsoft JhengHei" w:cs="Times New Roman"/>
          <w:color w:val="000000"/>
          <w:sz w:val="20"/>
          <w:szCs w:val="20"/>
        </w:rPr>
        <w:t xml:space="preserve"> SMW on 10 randomly selected trees from each location. The Pear Psylla adults were collected and counted by a beating tray method and the different immature stages of Pear Psylla were monitored/counted by selecting a 1foot branch length and were tagged from individual trees from all four quadrants. The tagged pear trees were maintained free of chemical pesticides. Data on major abiotic factors such as maximum/minimum temperature, maximum/minimum relative humidity and rainfall were collected and the influence of weather parameters on incidence of pest were worked. To work out the impact of such abiotic factors and the buildup of the pest, meteorological data were procured from Meteorological departments of respective locations.</w:t>
      </w:r>
    </w:p>
    <w:p w14:paraId="0EA4BDE8">
      <w:pPr>
        <w:tabs>
          <w:tab w:val="left" w:pos="709"/>
        </w:tabs>
        <w:spacing w:before="120" w:after="120" w:line="240" w:lineRule="auto"/>
        <w:jc w:val="both"/>
        <w:rPr>
          <w:rFonts w:ascii="Times New Roman" w:hAnsi="Times New Roman" w:eastAsia="Microsoft JhengHei" w:cs="Times New Roman"/>
          <w:b/>
          <w:bCs/>
          <w:color w:val="000000"/>
          <w:sz w:val="20"/>
          <w:szCs w:val="20"/>
        </w:rPr>
      </w:pPr>
      <w:r>
        <w:rPr>
          <w:rFonts w:ascii="Times New Roman" w:hAnsi="Times New Roman" w:eastAsia="Microsoft JhengHei" w:cs="Times New Roman"/>
          <w:b/>
          <w:bCs/>
          <w:color w:val="000000"/>
          <w:sz w:val="20"/>
          <w:szCs w:val="20"/>
        </w:rPr>
        <w:t xml:space="preserve">2.2 Correlation analysis </w:t>
      </w:r>
    </w:p>
    <w:p w14:paraId="47CF4D44">
      <w:pPr>
        <w:pStyle w:val="35"/>
        <w:spacing w:line="240" w:lineRule="auto"/>
        <w:rPr>
          <w:rFonts w:cs="Times New Roman"/>
          <w:sz w:val="20"/>
          <w:szCs w:val="20"/>
        </w:rPr>
      </w:pPr>
      <w:r>
        <w:rPr>
          <w:rFonts w:cs="Times New Roman"/>
          <w:sz w:val="20"/>
          <w:szCs w:val="20"/>
        </w:rPr>
        <w:t xml:space="preserve">          </w:t>
      </w:r>
      <w:r>
        <w:rPr>
          <w:rFonts w:cs="Times New Roman"/>
          <w:color w:val="FF0000"/>
          <w:sz w:val="20"/>
          <w:szCs w:val="20"/>
        </w:rPr>
        <w:t xml:space="preserve">  </w:t>
      </w:r>
      <w:r>
        <w:rPr>
          <w:rFonts w:cs="Times New Roman"/>
          <w:sz w:val="20"/>
          <w:szCs w:val="20"/>
        </w:rPr>
        <w:t>Correlation analysis was performed between weather parameters (maximum/minimum tempeature, maximum/minimum relative humidity and rainfall) and the incidence of Pear Psylla at each location. This approach aimed to determine the role of climatic factors in the buildup and fluctuation of pest populations. The correlation coefficient and regression coefficient analysis were carried out by using SAS Software</w:t>
      </w:r>
      <w:r>
        <w:rPr>
          <w:rFonts w:cs="Times New Roman"/>
          <w:color w:val="auto"/>
          <w:sz w:val="20"/>
          <w:szCs w:val="20"/>
        </w:rPr>
        <w:t xml:space="preserve"> </w:t>
      </w:r>
      <w:r>
        <w:rPr>
          <w:rFonts w:cs="Times New Roman"/>
          <w:sz w:val="20"/>
          <w:szCs w:val="20"/>
        </w:rPr>
        <w:t>(SAS Instue.1998).</w:t>
      </w:r>
    </w:p>
    <w:p w14:paraId="6BA1C185">
      <w:pPr>
        <w:pStyle w:val="35"/>
        <w:spacing w:line="240" w:lineRule="auto"/>
        <w:rPr>
          <w:rFonts w:cs="Times New Roman"/>
          <w:b/>
          <w:bCs/>
          <w:sz w:val="20"/>
          <w:szCs w:val="20"/>
        </w:rPr>
      </w:pPr>
      <w:r>
        <w:rPr>
          <w:rFonts w:cs="Times New Roman"/>
          <w:b/>
          <w:bCs/>
          <w:sz w:val="20"/>
          <w:szCs w:val="20"/>
        </w:rPr>
        <w:t xml:space="preserve">2.3 </w:t>
      </w:r>
      <w:r>
        <w:rPr>
          <w:rFonts w:cs="Times New Roman"/>
          <w:b/>
          <w:bCs/>
          <w:sz w:val="20"/>
          <w:szCs w:val="20"/>
          <w:highlight w:val="yellow"/>
        </w:rPr>
        <w:t>Bioefficacy</w:t>
      </w:r>
      <w:r>
        <w:rPr>
          <w:rFonts w:cs="Times New Roman"/>
          <w:b/>
          <w:bCs/>
          <w:sz w:val="20"/>
          <w:szCs w:val="20"/>
        </w:rPr>
        <w:t xml:space="preserve"> of Newer Insecticides</w:t>
      </w:r>
    </w:p>
    <w:p w14:paraId="19A298EA">
      <w:pPr>
        <w:tabs>
          <w:tab w:val="left" w:pos="709"/>
        </w:tabs>
        <w:spacing w:before="120" w:after="120" w:line="240" w:lineRule="auto"/>
        <w:jc w:val="both"/>
        <w:rPr>
          <w:rFonts w:ascii="Times New Roman" w:hAnsi="Times New Roman" w:eastAsia="Microsoft JhengHei" w:cs="Times New Roman"/>
          <w:color w:val="000000"/>
          <w:sz w:val="20"/>
          <w:szCs w:val="20"/>
        </w:rPr>
      </w:pPr>
      <w:r>
        <w:rPr>
          <w:sz w:val="20"/>
        </w:rPr>
        <mc:AlternateContent>
          <mc:Choice Requires="wps">
            <w:drawing>
              <wp:anchor distT="0" distB="0" distL="114300" distR="114300" simplePos="0" relativeHeight="251675648" behindDoc="0" locked="0" layoutInCell="1" allowOverlap="1">
                <wp:simplePos x="0" y="0"/>
                <wp:positionH relativeFrom="column">
                  <wp:posOffset>4171950</wp:posOffset>
                </wp:positionH>
                <wp:positionV relativeFrom="paragraph">
                  <wp:posOffset>1246505</wp:posOffset>
                </wp:positionV>
                <wp:extent cx="2272030" cy="332105"/>
                <wp:effectExtent l="4445" t="4445" r="9525" b="6350"/>
                <wp:wrapNone/>
                <wp:docPr id="9" name="Text Box 9"/>
                <wp:cNvGraphicFramePr/>
                <a:graphic xmlns:a="http://schemas.openxmlformats.org/drawingml/2006/main">
                  <a:graphicData uri="http://schemas.microsoft.com/office/word/2010/wordprocessingShape">
                    <wps:wsp>
                      <wps:cNvSpPr txBox="1"/>
                      <wps:spPr>
                        <a:xfrm>
                          <a:off x="6901815" y="8707755"/>
                          <a:ext cx="2272030" cy="3321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FDB144C">
                            <w:pPr>
                              <w:rPr>
                                <w:rFonts w:hint="default"/>
                                <w:color w:val="FF0000"/>
                                <w:lang w:val="en-IN"/>
                              </w:rPr>
                            </w:pPr>
                            <w:r>
                              <w:rPr>
                                <w:rFonts w:hint="default"/>
                                <w:color w:val="FF0000"/>
                                <w:lang w:val="en-IN"/>
                              </w:rPr>
                              <w:t>Add space between 5 AND CM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8.5pt;margin-top:98.15pt;height:26.15pt;width:178.9pt;z-index:251675648;mso-width-relative:page;mso-height-relative:page;" fillcolor="#FFFFFF [3201]" filled="t" stroked="t" coordsize="21600,21600" o:gfxdata="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ptfD/YAAAA&#10;DAEAAA8AAAAAAAAAAQAgAAAAIgAAAGRycy9kb3ducmV2LnhtbFBLAQIUABQAAAAIAIdO4kAw+sGj&#10;VgIAAMIEAAAOAAAAAAAAAAEAIAAAACcBAABkcnMvZTJvRG9jLnhtbFBLBQYAAAAABgAGAFkBAADv&#10;BQAAAAA=&#10;">
                <v:fill on="t" focussize="0,0"/>
                <v:stroke weight="0.5pt" color="#000000 [3204]" joinstyle="round"/>
                <v:imagedata o:title=""/>
                <o:lock v:ext="edit" aspectratio="f"/>
                <v:textbox>
                  <w:txbxContent>
                    <w:p w14:paraId="6FDB144C">
                      <w:pPr>
                        <w:rPr>
                          <w:rFonts w:hint="default"/>
                          <w:color w:val="FF0000"/>
                          <w:lang w:val="en-IN"/>
                        </w:rPr>
                      </w:pPr>
                      <w:r>
                        <w:rPr>
                          <w:rFonts w:hint="default"/>
                          <w:color w:val="FF0000"/>
                          <w:lang w:val="en-IN"/>
                        </w:rPr>
                        <w:t>Add space between 5 AND CM</w:t>
                      </w:r>
                    </w:p>
                  </w:txbxContent>
                </v:textbox>
              </v:shape>
            </w:pict>
          </mc:Fallback>
        </mc:AlternateContent>
      </w:r>
      <w:r>
        <w:rPr>
          <w:rFonts w:ascii="Times New Roman" w:hAnsi="Times New Roman" w:eastAsia="Microsoft JhengHei" w:cs="Times New Roman"/>
          <w:color w:val="000000"/>
          <w:sz w:val="20"/>
          <w:szCs w:val="20"/>
        </w:rPr>
        <w:t>For management studies, experiment was carried out in a pear orchard at FOH, SKUAST-Kashmir in a randomized block design. There were six treatments and each treatment was replicated four times. Four newer insecticide molecules</w:t>
      </w:r>
      <w:r>
        <w:rPr>
          <w:rFonts w:ascii="Times New Roman" w:hAnsi="Times New Roman" w:eastAsia="Microsoft JhengHei" w:cs="Times New Roman"/>
          <w:color w:val="000000"/>
          <w:sz w:val="20"/>
          <w:szCs w:val="20"/>
          <w:lang w:eastAsia="en-IN"/>
        </w:rPr>
        <w:t xml:space="preserve"> </w:t>
      </w:r>
      <w:r>
        <w:rPr>
          <w:rFonts w:ascii="Times New Roman" w:hAnsi="Times New Roman" w:eastAsia="Microsoft JhengHei" w:cs="Times New Roman"/>
          <w:i/>
          <w:iCs/>
          <w:color w:val="000000"/>
          <w:sz w:val="20"/>
          <w:szCs w:val="20"/>
          <w:lang w:eastAsia="en-IN"/>
        </w:rPr>
        <w:t>viz</w:t>
      </w:r>
      <w:r>
        <w:rPr>
          <w:rFonts w:ascii="Times New Roman" w:hAnsi="Times New Roman" w:eastAsia="Microsoft JhengHei" w:cs="Times New Roman"/>
          <w:color w:val="000000"/>
          <w:sz w:val="20"/>
          <w:szCs w:val="20"/>
          <w:lang w:eastAsia="en-IN"/>
        </w:rPr>
        <w:t>., Cyantraniliprole 10.26% OD, Flubendiamide 20% WG, Acetamiprid 20% SP and Spinosad 45% SC</w:t>
      </w:r>
      <w:r>
        <w:rPr>
          <w:rFonts w:ascii="Times New Roman" w:hAnsi="Times New Roman" w:eastAsia="Microsoft JhengHei" w:cs="Times New Roman"/>
          <w:color w:val="000000"/>
          <w:sz w:val="20"/>
          <w:szCs w:val="20"/>
        </w:rPr>
        <w:t xml:space="preserve"> were evaluated in terms of their efficacy against </w:t>
      </w:r>
      <w:r>
        <w:rPr>
          <w:rFonts w:ascii="Times New Roman" w:hAnsi="Times New Roman" w:eastAsia="Microsoft JhengHei" w:cs="Times New Roman"/>
          <w:i/>
          <w:color w:val="000000"/>
          <w:sz w:val="20"/>
          <w:szCs w:val="20"/>
        </w:rPr>
        <w:t>Cacopsylla</w:t>
      </w:r>
      <w:r>
        <w:rPr>
          <w:rFonts w:ascii="Times New Roman" w:hAnsi="Times New Roman" w:eastAsia="Microsoft JhengHei" w:cs="Times New Roman"/>
          <w:color w:val="000000"/>
          <w:sz w:val="20"/>
          <w:szCs w:val="20"/>
        </w:rPr>
        <w:t xml:space="preserve"> </w:t>
      </w:r>
      <w:r>
        <w:rPr>
          <w:rFonts w:ascii="Times New Roman" w:hAnsi="Times New Roman" w:eastAsia="Microsoft JhengHei" w:cs="Times New Roman"/>
          <w:i/>
          <w:color w:val="000000"/>
          <w:sz w:val="20"/>
          <w:szCs w:val="20"/>
        </w:rPr>
        <w:t>pyricola</w:t>
      </w:r>
      <w:r>
        <w:rPr>
          <w:rFonts w:ascii="Times New Roman" w:hAnsi="Times New Roman" w:eastAsia="Microsoft JhengHei" w:cs="Times New Roman"/>
          <w:color w:val="000000"/>
          <w:sz w:val="20"/>
          <w:szCs w:val="20"/>
        </w:rPr>
        <w:t xml:space="preserve"> and were compared with </w:t>
      </w:r>
      <w:r>
        <w:rPr>
          <w:rFonts w:ascii="Times New Roman" w:hAnsi="Times New Roman" w:eastAsia="Microsoft JhengHei" w:cs="Times New Roman"/>
          <w:bCs/>
          <w:color w:val="000000"/>
          <w:sz w:val="20"/>
          <w:szCs w:val="20"/>
        </w:rPr>
        <w:t>Standard Check (Dimethoate 30% EC).</w:t>
      </w:r>
      <w:r>
        <w:rPr>
          <w:rFonts w:ascii="Times New Roman" w:hAnsi="Times New Roman" w:eastAsia="Microsoft JhengHei" w:cs="Times New Roman"/>
          <w:color w:val="000000"/>
          <w:sz w:val="20"/>
          <w:szCs w:val="20"/>
        </w:rPr>
        <w:t xml:space="preserve"> Pre and post-count treatments were taken per </w:t>
      </w:r>
      <w:r>
        <w:rPr>
          <w:rFonts w:ascii="Times New Roman" w:hAnsi="Times New Roman" w:eastAsia="Microsoft JhengHei" w:cs="Times New Roman"/>
          <w:color w:val="000000"/>
          <w:sz w:val="20"/>
          <w:szCs w:val="20"/>
          <w:highlight w:val="yellow"/>
        </w:rPr>
        <w:t>5cm</w:t>
      </w:r>
      <w:r>
        <w:rPr>
          <w:rFonts w:ascii="Times New Roman" w:hAnsi="Times New Roman" w:eastAsia="Microsoft JhengHei" w:cs="Times New Roman"/>
          <w:color w:val="000000"/>
          <w:sz w:val="20"/>
          <w:szCs w:val="20"/>
        </w:rPr>
        <w:t xml:space="preserve"> twig length randomly from four directions of the tree a day before spraying and after the 3</w:t>
      </w:r>
      <w:r>
        <w:rPr>
          <w:rFonts w:ascii="Times New Roman" w:hAnsi="Times New Roman" w:eastAsia="Microsoft JhengHei" w:cs="Times New Roman"/>
          <w:color w:val="000000"/>
          <w:sz w:val="20"/>
          <w:szCs w:val="20"/>
          <w:vertAlign w:val="superscript"/>
        </w:rPr>
        <w:t>rd</w:t>
      </w:r>
      <w:r>
        <w:rPr>
          <w:rFonts w:ascii="Times New Roman" w:hAnsi="Times New Roman" w:eastAsia="Microsoft JhengHei" w:cs="Times New Roman"/>
          <w:color w:val="000000"/>
          <w:sz w:val="20"/>
          <w:szCs w:val="20"/>
        </w:rPr>
        <w:t>, 7</w:t>
      </w:r>
      <w:r>
        <w:rPr>
          <w:rFonts w:ascii="Times New Roman" w:hAnsi="Times New Roman" w:eastAsia="Microsoft JhengHei" w:cs="Times New Roman"/>
          <w:color w:val="000000"/>
          <w:sz w:val="20"/>
          <w:szCs w:val="20"/>
          <w:vertAlign w:val="superscript"/>
        </w:rPr>
        <w:t>th,</w:t>
      </w:r>
      <w:r>
        <w:rPr>
          <w:rFonts w:ascii="Times New Roman" w:hAnsi="Times New Roman" w:eastAsia="Microsoft JhengHei" w:cs="Times New Roman"/>
          <w:color w:val="000000"/>
          <w:sz w:val="20"/>
          <w:szCs w:val="20"/>
        </w:rPr>
        <w:t xml:space="preserve"> and 14 days after spraying. The efficacy of treatments was calculated according to the equation of </w:t>
      </w:r>
      <w:r>
        <w:fldChar w:fldCharType="begin"/>
      </w:r>
      <w:r>
        <w:instrText xml:space="preserve"> HYPERLINK "https://www.sciencedirect.com/science/article/pii/S2090989614000083" \l "b0045" </w:instrText>
      </w:r>
      <w:r>
        <w:fldChar w:fldCharType="separate"/>
      </w:r>
      <w:r>
        <w:rPr>
          <w:rStyle w:val="47"/>
          <w:rFonts w:ascii="Times New Roman" w:hAnsi="Times New Roman" w:eastAsia="Microsoft JhengHei" w:cs="Times New Roman"/>
          <w:color w:val="000000"/>
          <w:sz w:val="20"/>
          <w:szCs w:val="20"/>
        </w:rPr>
        <w:t>Henderson and Tilton (1955)</w:t>
      </w:r>
      <w:r>
        <w:rPr>
          <w:rStyle w:val="47"/>
          <w:rFonts w:ascii="Times New Roman" w:hAnsi="Times New Roman" w:eastAsia="Microsoft JhengHei" w:cs="Times New Roman"/>
          <w:color w:val="000000"/>
          <w:sz w:val="20"/>
          <w:szCs w:val="20"/>
        </w:rPr>
        <w:fldChar w:fldCharType="end"/>
      </w:r>
      <w:r>
        <w:rPr>
          <w:rFonts w:ascii="Times New Roman" w:hAnsi="Times New Roman" w:eastAsia="Microsoft JhengHei" w:cs="Times New Roman"/>
          <w:color w:val="000000"/>
          <w:sz w:val="20"/>
          <w:szCs w:val="20"/>
        </w:rPr>
        <w:t>. The data was converted into percent pest reduction over control using the conversion formula and then analyzed using the ANOVA procedure.</w:t>
      </w:r>
    </w:p>
    <w:p w14:paraId="0DD116DD">
      <w:pPr>
        <w:tabs>
          <w:tab w:val="left" w:pos="709"/>
        </w:tabs>
        <w:spacing w:before="120" w:after="120" w:line="240" w:lineRule="auto"/>
        <w:jc w:val="both"/>
        <w:rPr>
          <w:rFonts w:ascii="Times New Roman" w:hAnsi="Times New Roman" w:eastAsia="Microsoft JhengHei" w:cs="Times New Roman"/>
          <w:color w:val="000000"/>
          <w:sz w:val="20"/>
          <w:szCs w:val="20"/>
        </w:rPr>
      </w:pPr>
      <w:r>
        <w:rPr>
          <w:sz w:val="20"/>
        </w:rPr>
        <mc:AlternateContent>
          <mc:Choice Requires="wps">
            <w:drawing>
              <wp:anchor distT="0" distB="0" distL="114300" distR="114300" simplePos="0" relativeHeight="251676672" behindDoc="0" locked="0" layoutInCell="1" allowOverlap="1">
                <wp:simplePos x="0" y="0"/>
                <wp:positionH relativeFrom="column">
                  <wp:posOffset>2489200</wp:posOffset>
                </wp:positionH>
                <wp:positionV relativeFrom="paragraph">
                  <wp:posOffset>256540</wp:posOffset>
                </wp:positionV>
                <wp:extent cx="3548380" cy="363220"/>
                <wp:effectExtent l="4445" t="5080" r="15875" b="12700"/>
                <wp:wrapNone/>
                <wp:docPr id="10" name="Text Box 10"/>
                <wp:cNvGraphicFramePr/>
                <a:graphic xmlns:a="http://schemas.openxmlformats.org/drawingml/2006/main">
                  <a:graphicData uri="http://schemas.microsoft.com/office/word/2010/wordprocessingShape">
                    <wps:wsp>
                      <wps:cNvSpPr txBox="1"/>
                      <wps:spPr>
                        <a:xfrm>
                          <a:off x="0" y="0"/>
                          <a:ext cx="3548380" cy="3632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504320">
                            <w:pPr>
                              <w:rPr>
                                <w:rFonts w:hint="default"/>
                                <w:color w:val="FF0000"/>
                                <w:lang w:val="en-IN"/>
                              </w:rPr>
                            </w:pPr>
                            <w:r>
                              <w:rPr>
                                <w:rFonts w:hint="default"/>
                                <w:color w:val="FF0000"/>
                                <w:lang w:val="en-IN"/>
                              </w:rPr>
                              <w:t>Replace ‘Bioefficacy’ with ‘Bio-efficacy’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6pt;margin-top:20.2pt;height:28.6pt;width:279.4pt;z-index:251676672;mso-width-relative:page;mso-height-relative:page;" fillcolor="#FFFFFF [3201]" filled="t" stroked="t" coordsize="21600,21600" o:gfxdata="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Qih2e1wAAAAkBAAAPAAAAAAAAAAEA&#10;IAAAACIAAABkcnMvZG93bnJldi54bWxQSwECFAAUAAAACACHTuJAiro7oUkCAAC4BAAADgAAAAAA&#10;AAABACAAAAAmAQAAZHJzL2Uyb0RvYy54bWxQSwUGAAAAAAYABgBZAQAA4QUAAAAA&#10;">
                <v:fill on="t" focussize="0,0"/>
                <v:stroke weight="0.5pt" color="#000000 [3204]" joinstyle="round"/>
                <v:imagedata o:title=""/>
                <o:lock v:ext="edit" aspectratio="f"/>
                <v:textbox>
                  <w:txbxContent>
                    <w:p w14:paraId="27504320">
                      <w:pPr>
                        <w:rPr>
                          <w:rFonts w:hint="default"/>
                          <w:color w:val="FF0000"/>
                          <w:lang w:val="en-IN"/>
                        </w:rPr>
                      </w:pPr>
                      <w:r>
                        <w:rPr>
                          <w:rFonts w:hint="default"/>
                          <w:color w:val="FF0000"/>
                          <w:lang w:val="en-IN"/>
                        </w:rPr>
                        <w:t>Replace ‘Bioefficacy’ with ‘Bio-efficacy’</w:t>
                      </w:r>
                    </w:p>
                  </w:txbxContent>
                </v:textbox>
              </v:shape>
            </w:pict>
          </mc:Fallback>
        </mc:AlternateContent>
      </w:r>
      <w:r>
        <w:fldChar w:fldCharType="begin"/>
      </w:r>
      <w:r>
        <w:instrText xml:space="preserve"> HYPERLINK "https://www.sciencedirect.com/science/article/pii/S2090989614000083" \l "b0045" </w:instrText>
      </w:r>
      <w:r>
        <w:fldChar w:fldCharType="separate"/>
      </w:r>
      <w:r>
        <w:rPr>
          <w:rStyle w:val="47"/>
          <w:rFonts w:ascii="Times New Roman" w:hAnsi="Times New Roman" w:eastAsia="Microsoft JhengHei" w:cs="Times New Roman"/>
          <w:b/>
          <w:bCs/>
          <w:color w:val="000000"/>
          <w:sz w:val="20"/>
          <w:szCs w:val="20"/>
        </w:rPr>
        <w:t xml:space="preserve">Henderson and Tilton </w:t>
      </w:r>
      <w:r>
        <w:rPr>
          <w:rStyle w:val="47"/>
          <w:rFonts w:ascii="Times New Roman" w:hAnsi="Times New Roman" w:eastAsia="Microsoft JhengHei" w:cs="Times New Roman"/>
          <w:b/>
          <w:bCs/>
          <w:color w:val="000000"/>
          <w:sz w:val="20"/>
          <w:szCs w:val="20"/>
        </w:rPr>
        <w:fldChar w:fldCharType="end"/>
      </w:r>
      <w:r>
        <w:rPr>
          <w:rFonts w:ascii="Times New Roman" w:hAnsi="Times New Roman" w:eastAsia="Microsoft JhengHei" w:cs="Times New Roman"/>
          <w:b/>
          <w:bCs/>
          <w:color w:val="000000"/>
          <w:sz w:val="20"/>
          <w:szCs w:val="20"/>
        </w:rPr>
        <w:t>formula</w:t>
      </w:r>
      <w:r>
        <w:rPr>
          <w:rFonts w:ascii="Times New Roman" w:hAnsi="Times New Roman" w:eastAsia="Microsoft JhengHei" w:cs="Times New Roman"/>
          <w:color w:val="000000"/>
          <w:sz w:val="20"/>
          <w:szCs w:val="20"/>
        </w:rPr>
        <w:t>:</w:t>
      </w:r>
    </w:p>
    <w:tbl>
      <w:tblPr>
        <w:tblStyle w:val="5"/>
        <w:tblW w:w="0" w:type="auto"/>
        <w:tblInd w:w="0" w:type="dxa"/>
        <w:tblLayout w:type="autofit"/>
        <w:tblCellMar>
          <w:top w:w="0" w:type="dxa"/>
          <w:left w:w="108" w:type="dxa"/>
          <w:bottom w:w="0" w:type="dxa"/>
          <w:right w:w="108" w:type="dxa"/>
        </w:tblCellMar>
      </w:tblPr>
      <w:tblGrid>
        <w:gridCol w:w="2235"/>
        <w:gridCol w:w="425"/>
        <w:gridCol w:w="4394"/>
        <w:gridCol w:w="816"/>
      </w:tblGrid>
      <w:tr w14:paraId="39070927">
        <w:tblPrEx>
          <w:tblCellMar>
            <w:top w:w="0" w:type="dxa"/>
            <w:left w:w="108" w:type="dxa"/>
            <w:bottom w:w="0" w:type="dxa"/>
            <w:right w:w="108" w:type="dxa"/>
          </w:tblCellMar>
        </w:tblPrEx>
        <w:tc>
          <w:tcPr>
            <w:tcW w:w="2235" w:type="dxa"/>
            <w:vMerge w:val="restart"/>
            <w:shd w:val="clear" w:color="auto" w:fill="auto"/>
            <w:vAlign w:val="center"/>
          </w:tcPr>
          <w:p w14:paraId="2966DC33">
            <w:pPr>
              <w:tabs>
                <w:tab w:val="left" w:pos="709"/>
              </w:tabs>
              <w:spacing w:line="240" w:lineRule="auto"/>
              <w:jc w:val="center"/>
              <w:rPr>
                <w:rFonts w:ascii="Times New Roman" w:hAnsi="Times New Roman" w:eastAsia="Microsoft JhengHei" w:cs="Times New Roman"/>
                <w:color w:val="000000"/>
                <w:sz w:val="20"/>
                <w:szCs w:val="20"/>
              </w:rPr>
            </w:pPr>
            <w:r>
              <w:rPr>
                <w:rFonts w:ascii="Times New Roman" w:hAnsi="Times New Roman" w:eastAsia="Microsoft JhengHei" w:cs="Times New Roman"/>
                <w:color w:val="000000"/>
                <w:sz w:val="20"/>
                <w:szCs w:val="20"/>
              </w:rPr>
              <w:t>Corrected % reduction in insect pest population</w:t>
            </w:r>
          </w:p>
        </w:tc>
        <w:tc>
          <w:tcPr>
            <w:tcW w:w="425" w:type="dxa"/>
            <w:vMerge w:val="restart"/>
            <w:shd w:val="clear" w:color="auto" w:fill="auto"/>
            <w:vAlign w:val="center"/>
          </w:tcPr>
          <w:p w14:paraId="6A1A680B">
            <w:pPr>
              <w:tabs>
                <w:tab w:val="left" w:pos="709"/>
              </w:tabs>
              <w:spacing w:line="240" w:lineRule="auto"/>
              <w:jc w:val="center"/>
              <w:rPr>
                <w:rFonts w:ascii="Times New Roman" w:hAnsi="Times New Roman" w:eastAsia="Microsoft JhengHei" w:cs="Times New Roman"/>
                <w:color w:val="000000"/>
                <w:sz w:val="20"/>
                <w:szCs w:val="20"/>
              </w:rPr>
            </w:pPr>
            <w:r>
              <w:rPr>
                <w:rFonts w:ascii="Times New Roman" w:hAnsi="Times New Roman" w:eastAsia="Microsoft JhengHei" w:cs="Times New Roman"/>
                <w:color w:val="000000"/>
                <w:sz w:val="20"/>
                <w:szCs w:val="20"/>
              </w:rPr>
              <w:t>1-</w:t>
            </w:r>
          </w:p>
        </w:tc>
        <w:tc>
          <w:tcPr>
            <w:tcW w:w="4394" w:type="dxa"/>
            <w:tcBorders>
              <w:bottom w:val="single" w:color="auto" w:sz="4" w:space="0"/>
            </w:tcBorders>
            <w:shd w:val="clear" w:color="auto" w:fill="auto"/>
            <w:vAlign w:val="center"/>
          </w:tcPr>
          <w:p w14:paraId="12164DD5">
            <w:pPr>
              <w:tabs>
                <w:tab w:val="left" w:pos="709"/>
              </w:tabs>
              <w:spacing w:line="240" w:lineRule="auto"/>
              <w:jc w:val="center"/>
              <w:rPr>
                <w:rFonts w:ascii="Times New Roman" w:hAnsi="Times New Roman" w:eastAsia="Microsoft JhengHei" w:cs="Times New Roman"/>
                <w:color w:val="000000"/>
                <w:sz w:val="20"/>
                <w:szCs w:val="20"/>
              </w:rPr>
            </w:pPr>
            <w:r>
              <w:rPr>
                <w:rFonts w:ascii="Times New Roman" w:hAnsi="Times New Roman" w:eastAsia="Microsoft JhengHei" w:cs="Times New Roman"/>
                <w:color w:val="000000"/>
                <w:sz w:val="20"/>
                <w:szCs w:val="20"/>
              </w:rPr>
              <w:t>(n in Co. before treatment × n in T after treatment)</w:t>
            </w:r>
          </w:p>
        </w:tc>
        <w:tc>
          <w:tcPr>
            <w:tcW w:w="816" w:type="dxa"/>
            <w:vMerge w:val="restart"/>
            <w:shd w:val="clear" w:color="auto" w:fill="auto"/>
            <w:vAlign w:val="center"/>
          </w:tcPr>
          <w:p w14:paraId="7CB4A411">
            <w:pPr>
              <w:tabs>
                <w:tab w:val="left" w:pos="709"/>
              </w:tabs>
              <w:spacing w:line="240" w:lineRule="auto"/>
              <w:jc w:val="center"/>
              <w:rPr>
                <w:rFonts w:ascii="Times New Roman" w:hAnsi="Times New Roman" w:eastAsia="Microsoft JhengHei" w:cs="Times New Roman"/>
                <w:color w:val="000000"/>
                <w:sz w:val="20"/>
                <w:szCs w:val="20"/>
              </w:rPr>
            </w:pPr>
            <w:r>
              <w:rPr>
                <w:rFonts w:ascii="Times New Roman" w:hAnsi="Times New Roman" w:eastAsia="Microsoft JhengHei" w:cs="Times New Roman"/>
                <w:color w:val="000000"/>
                <w:sz w:val="20"/>
                <w:szCs w:val="20"/>
              </w:rPr>
              <w:t>× 100</w:t>
            </w:r>
          </w:p>
        </w:tc>
      </w:tr>
      <w:tr w14:paraId="6275FD2D">
        <w:tblPrEx>
          <w:tblCellMar>
            <w:top w:w="0" w:type="dxa"/>
            <w:left w:w="108" w:type="dxa"/>
            <w:bottom w:w="0" w:type="dxa"/>
            <w:right w:w="108" w:type="dxa"/>
          </w:tblCellMar>
        </w:tblPrEx>
        <w:tc>
          <w:tcPr>
            <w:tcW w:w="2235" w:type="dxa"/>
            <w:vMerge w:val="continue"/>
            <w:shd w:val="clear" w:color="auto" w:fill="auto"/>
            <w:vAlign w:val="center"/>
          </w:tcPr>
          <w:p w14:paraId="5DF6E313">
            <w:pPr>
              <w:tabs>
                <w:tab w:val="left" w:pos="709"/>
              </w:tabs>
              <w:spacing w:line="240" w:lineRule="auto"/>
              <w:jc w:val="center"/>
              <w:rPr>
                <w:rFonts w:ascii="Times New Roman" w:hAnsi="Times New Roman" w:eastAsia="Microsoft JhengHei" w:cs="Times New Roman"/>
                <w:color w:val="000000"/>
                <w:sz w:val="20"/>
                <w:szCs w:val="20"/>
              </w:rPr>
            </w:pPr>
          </w:p>
        </w:tc>
        <w:tc>
          <w:tcPr>
            <w:tcW w:w="425" w:type="dxa"/>
            <w:vMerge w:val="continue"/>
            <w:shd w:val="clear" w:color="auto" w:fill="auto"/>
            <w:vAlign w:val="center"/>
          </w:tcPr>
          <w:p w14:paraId="63723BCC">
            <w:pPr>
              <w:tabs>
                <w:tab w:val="left" w:pos="709"/>
              </w:tabs>
              <w:spacing w:line="240" w:lineRule="auto"/>
              <w:jc w:val="center"/>
              <w:rPr>
                <w:rFonts w:ascii="Times New Roman" w:hAnsi="Times New Roman" w:eastAsia="Microsoft JhengHei" w:cs="Times New Roman"/>
                <w:color w:val="000000"/>
                <w:sz w:val="20"/>
                <w:szCs w:val="20"/>
              </w:rPr>
            </w:pPr>
          </w:p>
        </w:tc>
        <w:tc>
          <w:tcPr>
            <w:tcW w:w="4394" w:type="dxa"/>
            <w:tcBorders>
              <w:top w:val="single" w:color="auto" w:sz="4" w:space="0"/>
            </w:tcBorders>
            <w:shd w:val="clear" w:color="auto" w:fill="auto"/>
            <w:vAlign w:val="center"/>
          </w:tcPr>
          <w:p w14:paraId="306CF087">
            <w:pPr>
              <w:tabs>
                <w:tab w:val="left" w:pos="709"/>
              </w:tabs>
              <w:spacing w:line="240" w:lineRule="auto"/>
              <w:jc w:val="center"/>
              <w:rPr>
                <w:rFonts w:ascii="Times New Roman" w:hAnsi="Times New Roman" w:eastAsia="Microsoft JhengHei" w:cs="Times New Roman"/>
                <w:color w:val="000000"/>
                <w:sz w:val="20"/>
                <w:szCs w:val="20"/>
              </w:rPr>
            </w:pPr>
            <w:r>
              <w:rPr>
                <w:rFonts w:ascii="Times New Roman" w:hAnsi="Times New Roman" w:eastAsia="Microsoft JhengHei" w:cs="Times New Roman"/>
                <w:color w:val="000000"/>
                <w:sz w:val="20"/>
                <w:szCs w:val="20"/>
              </w:rPr>
              <w:t>(n in Co. after treatment × n in T before treatment)</w:t>
            </w:r>
          </w:p>
        </w:tc>
        <w:tc>
          <w:tcPr>
            <w:tcW w:w="816" w:type="dxa"/>
            <w:vMerge w:val="continue"/>
            <w:shd w:val="clear" w:color="auto" w:fill="auto"/>
            <w:vAlign w:val="center"/>
          </w:tcPr>
          <w:p w14:paraId="5E5448B4">
            <w:pPr>
              <w:tabs>
                <w:tab w:val="left" w:pos="709"/>
              </w:tabs>
              <w:spacing w:line="240" w:lineRule="auto"/>
              <w:jc w:val="center"/>
              <w:rPr>
                <w:rFonts w:ascii="Times New Roman" w:hAnsi="Times New Roman" w:eastAsia="Microsoft JhengHei" w:cs="Times New Roman"/>
                <w:color w:val="000000"/>
                <w:sz w:val="20"/>
                <w:szCs w:val="20"/>
              </w:rPr>
            </w:pPr>
          </w:p>
        </w:tc>
      </w:tr>
    </w:tbl>
    <w:p w14:paraId="637E94BE">
      <w:pPr>
        <w:tabs>
          <w:tab w:val="left" w:pos="709"/>
        </w:tabs>
        <w:spacing w:before="120" w:after="120" w:line="240" w:lineRule="auto"/>
        <w:jc w:val="both"/>
        <w:rPr>
          <w:rFonts w:ascii="Times New Roman" w:hAnsi="Times New Roman" w:eastAsia="Microsoft JhengHei" w:cs="Times New Roman"/>
          <w:color w:val="000000"/>
          <w:sz w:val="20"/>
          <w:szCs w:val="20"/>
        </w:rPr>
      </w:pPr>
      <w:r>
        <w:rPr>
          <w:rFonts w:ascii="Times New Roman" w:hAnsi="Times New Roman" w:eastAsia="Microsoft JhengHei" w:cs="Times New Roman"/>
          <w:color w:val="000000"/>
          <w:sz w:val="20"/>
          <w:szCs w:val="20"/>
        </w:rPr>
        <w:t>n = Insect pest population, Co. = control, T=treated</w:t>
      </w:r>
    </w:p>
    <w:p w14:paraId="029B4494">
      <w:pPr>
        <w:pStyle w:val="35"/>
        <w:spacing w:line="240" w:lineRule="auto"/>
        <w:rPr>
          <w:rFonts w:cs="Times New Roman"/>
          <w:color w:val="FF0000"/>
          <w:sz w:val="20"/>
          <w:szCs w:val="20"/>
        </w:rPr>
      </w:pPr>
    </w:p>
    <w:p w14:paraId="5045CDD2">
      <w:pPr>
        <w:pStyle w:val="29"/>
        <w:spacing w:line="240" w:lineRule="auto"/>
        <w:ind w:left="720"/>
        <w:rPr>
          <w:rFonts w:cs="Times New Roman"/>
          <w:sz w:val="20"/>
          <w:szCs w:val="20"/>
        </w:rPr>
      </w:pPr>
    </w:p>
    <w:p w14:paraId="115EB893">
      <w:pPr>
        <w:pStyle w:val="29"/>
        <w:spacing w:line="240" w:lineRule="auto"/>
        <w:ind w:left="720"/>
        <w:rPr>
          <w:rFonts w:cs="Times New Roman"/>
          <w:sz w:val="20"/>
          <w:szCs w:val="20"/>
        </w:rPr>
      </w:pPr>
    </w:p>
    <w:p w14:paraId="40B576AF">
      <w:pPr>
        <w:pStyle w:val="29"/>
        <w:spacing w:line="240" w:lineRule="auto"/>
        <w:ind w:left="720"/>
        <w:rPr>
          <w:rFonts w:cs="Times New Roman"/>
          <w:sz w:val="20"/>
          <w:szCs w:val="20"/>
        </w:rPr>
      </w:pPr>
      <w:r>
        <w:rPr>
          <w:rFonts w:cs="Times New Roman"/>
          <w:sz w:val="20"/>
          <w:szCs w:val="20"/>
        </w:rPr>
        <w:t>3     RESULTS</w:t>
      </w:r>
    </w:p>
    <w:p w14:paraId="0E8B4A96">
      <w:pPr>
        <w:pStyle w:val="29"/>
        <w:numPr>
          <w:ilvl w:val="1"/>
          <w:numId w:val="2"/>
        </w:numPr>
        <w:spacing w:line="240" w:lineRule="auto"/>
        <w:rPr>
          <w:color w:val="000000"/>
          <w:spacing w:val="2"/>
        </w:rPr>
      </w:pPr>
      <w:r>
        <w:rPr>
          <w:color w:val="000000"/>
        </w:rPr>
        <w:t>Seasonal Incidence</w:t>
      </w:r>
      <w:r>
        <w:rPr>
          <w:color w:val="000000"/>
          <w:spacing w:val="2"/>
        </w:rPr>
        <w:t xml:space="preserve"> </w:t>
      </w:r>
    </w:p>
    <w:p w14:paraId="0CE25218">
      <w:pPr>
        <w:pStyle w:val="29"/>
        <w:spacing w:line="240" w:lineRule="auto"/>
        <w:ind w:left="720"/>
        <w:rPr>
          <w:rFonts w:cs="Times New Roman"/>
          <w:sz w:val="20"/>
          <w:szCs w:val="20"/>
        </w:rPr>
      </w:pPr>
      <w:r>
        <w:rPr>
          <w:color w:val="000000"/>
        </w:rPr>
        <w:t>3.1.1 Seasonal Incidence of</w:t>
      </w:r>
      <w:r>
        <w:rPr>
          <w:color w:val="000000"/>
          <w:spacing w:val="4"/>
        </w:rPr>
        <w:t xml:space="preserve"> </w:t>
      </w:r>
      <w:r>
        <w:rPr>
          <w:color w:val="000000"/>
        </w:rPr>
        <w:t>Pear</w:t>
      </w:r>
      <w:r>
        <w:rPr>
          <w:color w:val="000000"/>
          <w:spacing w:val="1"/>
        </w:rPr>
        <w:t xml:space="preserve"> </w:t>
      </w:r>
      <w:r>
        <w:rPr>
          <w:color w:val="000000"/>
        </w:rPr>
        <w:t>Psylla</w:t>
      </w:r>
      <w:r>
        <w:rPr>
          <w:color w:val="000000"/>
          <w:spacing w:val="2"/>
        </w:rPr>
        <w:t xml:space="preserve"> </w:t>
      </w:r>
      <w:r>
        <w:rPr>
          <w:color w:val="000000"/>
        </w:rPr>
        <w:t>on</w:t>
      </w:r>
      <w:r>
        <w:rPr>
          <w:color w:val="000000"/>
          <w:spacing w:val="2"/>
        </w:rPr>
        <w:t xml:space="preserve"> </w:t>
      </w:r>
      <w:r>
        <w:rPr>
          <w:color w:val="000000"/>
        </w:rPr>
        <w:t xml:space="preserve">Pear </w:t>
      </w:r>
      <w:r>
        <w:rPr>
          <w:color w:val="000000"/>
          <w:spacing w:val="-57"/>
        </w:rPr>
        <w:t xml:space="preserve">    .     .    </w:t>
      </w:r>
      <w:r>
        <w:rPr>
          <w:color w:val="000000"/>
        </w:rPr>
        <w:t>in District</w:t>
      </w:r>
      <w:r>
        <w:rPr>
          <w:color w:val="000000"/>
          <w:spacing w:val="-1"/>
        </w:rPr>
        <w:t xml:space="preserve"> Baramulla </w:t>
      </w:r>
    </w:p>
    <w:p w14:paraId="5F7CDBBE">
      <w:pPr>
        <w:pStyle w:val="35"/>
        <w:spacing w:line="240" w:lineRule="auto"/>
        <w:rPr>
          <w:rFonts w:cs="Times New Roman"/>
          <w:sz w:val="20"/>
          <w:szCs w:val="20"/>
          <w:lang w:eastAsia="en-IN"/>
        </w:rPr>
      </w:pPr>
      <w:r>
        <w:rPr>
          <w:rFonts w:cs="Times New Roman"/>
          <w:sz w:val="20"/>
          <w:szCs w:val="20"/>
          <w:lang w:eastAsia="en-IN"/>
        </w:rPr>
        <w:t xml:space="preserve">             The data presented in Table-1 revealed that the </w:t>
      </w:r>
      <w:r>
        <w:rPr>
          <w:rFonts w:cs="Times New Roman"/>
          <w:sz w:val="20"/>
          <w:szCs w:val="20"/>
        </w:rPr>
        <w:t>lowest incidence of nymph and adult (10.85) was observed in the 20</w:t>
      </w:r>
      <w:r>
        <w:rPr>
          <w:rFonts w:cs="Times New Roman"/>
          <w:sz w:val="20"/>
          <w:szCs w:val="20"/>
          <w:vertAlign w:val="superscript"/>
        </w:rPr>
        <w:t>th</w:t>
      </w:r>
      <w:r>
        <w:rPr>
          <w:rFonts w:cs="Times New Roman"/>
          <w:sz w:val="20"/>
          <w:szCs w:val="20"/>
        </w:rPr>
        <w:t xml:space="preserve"> SMW and the highest as 44.30 in</w:t>
      </w:r>
      <w:r>
        <w:rPr>
          <w:rFonts w:cs="Times New Roman"/>
          <w:sz w:val="20"/>
          <w:szCs w:val="20"/>
          <w:highlight w:val="none"/>
        </w:rPr>
        <w:t xml:space="preserve"> the</w:t>
      </w:r>
      <w:r>
        <w:rPr>
          <w:rFonts w:cs="Times New Roman"/>
          <w:sz w:val="20"/>
          <w:szCs w:val="20"/>
        </w:rPr>
        <w:t xml:space="preserve"> 24</w:t>
      </w:r>
      <w:r>
        <w:rPr>
          <w:rFonts w:cs="Times New Roman"/>
          <w:sz w:val="20"/>
          <w:szCs w:val="20"/>
          <w:vertAlign w:val="superscript"/>
        </w:rPr>
        <w:t>th</w:t>
      </w:r>
      <w:r>
        <w:rPr>
          <w:rFonts w:cs="Times New Roman"/>
          <w:sz w:val="20"/>
          <w:szCs w:val="20"/>
        </w:rPr>
        <w:t xml:space="preserve"> SMW</w:t>
      </w:r>
      <w:r>
        <w:rPr>
          <w:rFonts w:cs="Times New Roman"/>
          <w:sz w:val="20"/>
          <w:szCs w:val="20"/>
          <w:lang w:eastAsia="en-IN"/>
        </w:rPr>
        <w:t>. The mean pest incidence showed an increasing trend from 20</w:t>
      </w:r>
      <w:r>
        <w:rPr>
          <w:rFonts w:cs="Times New Roman"/>
          <w:sz w:val="20"/>
          <w:szCs w:val="20"/>
          <w:vertAlign w:val="superscript"/>
          <w:lang w:eastAsia="en-IN"/>
        </w:rPr>
        <w:t>th</w:t>
      </w:r>
      <w:r>
        <w:rPr>
          <w:rFonts w:cs="Times New Roman"/>
          <w:sz w:val="20"/>
          <w:szCs w:val="20"/>
          <w:lang w:eastAsia="en-IN"/>
        </w:rPr>
        <w:t xml:space="preserve"> (10.85) to 24</w:t>
      </w:r>
      <w:r>
        <w:rPr>
          <w:rFonts w:cs="Times New Roman"/>
          <w:sz w:val="20"/>
          <w:szCs w:val="20"/>
          <w:vertAlign w:val="superscript"/>
          <w:lang w:eastAsia="en-IN"/>
        </w:rPr>
        <w:t>th</w:t>
      </w:r>
      <w:r>
        <w:rPr>
          <w:rFonts w:cs="Times New Roman"/>
          <w:sz w:val="20"/>
          <w:szCs w:val="20"/>
          <w:lang w:eastAsia="en-IN"/>
        </w:rPr>
        <w:t xml:space="preserve"> (44.30) SMW. The mean pest incidence declined to 36.30 in the 26</w:t>
      </w:r>
      <w:r>
        <w:rPr>
          <w:rFonts w:cs="Times New Roman"/>
          <w:sz w:val="20"/>
          <w:szCs w:val="20"/>
          <w:vertAlign w:val="superscript"/>
          <w:lang w:eastAsia="en-IN"/>
        </w:rPr>
        <w:t>th</w:t>
      </w:r>
      <w:r>
        <w:rPr>
          <w:rFonts w:cs="Times New Roman"/>
          <w:sz w:val="20"/>
          <w:szCs w:val="20"/>
          <w:lang w:eastAsia="en-IN"/>
        </w:rPr>
        <w:t xml:space="preserve"> SMW and then increased to 42.25 in the 28</w:t>
      </w:r>
      <w:r>
        <w:rPr>
          <w:rFonts w:cs="Times New Roman"/>
          <w:sz w:val="20"/>
          <w:szCs w:val="20"/>
          <w:vertAlign w:val="superscript"/>
          <w:lang w:eastAsia="en-IN"/>
        </w:rPr>
        <w:t>th</w:t>
      </w:r>
      <w:r>
        <w:rPr>
          <w:rFonts w:cs="Times New Roman"/>
          <w:sz w:val="20"/>
          <w:szCs w:val="20"/>
          <w:lang w:eastAsia="en-IN"/>
        </w:rPr>
        <w:t xml:space="preserve"> SMW. The mean incidence decreased thereafter from 35.30 in the 30</w:t>
      </w:r>
      <w:r>
        <w:rPr>
          <w:rFonts w:cs="Times New Roman"/>
          <w:sz w:val="20"/>
          <w:szCs w:val="20"/>
          <w:vertAlign w:val="superscript"/>
          <w:lang w:eastAsia="en-IN"/>
        </w:rPr>
        <w:t>th</w:t>
      </w:r>
      <w:r>
        <w:rPr>
          <w:rFonts w:cs="Times New Roman"/>
          <w:sz w:val="20"/>
          <w:szCs w:val="20"/>
          <w:lang w:eastAsia="en-IN"/>
        </w:rPr>
        <w:t xml:space="preserve"> SMW to 26.00 in the 34</w:t>
      </w:r>
      <w:r>
        <w:rPr>
          <w:rFonts w:cs="Times New Roman"/>
          <w:sz w:val="20"/>
          <w:szCs w:val="20"/>
          <w:vertAlign w:val="superscript"/>
          <w:lang w:eastAsia="en-IN"/>
        </w:rPr>
        <w:t>th</w:t>
      </w:r>
      <w:r>
        <w:rPr>
          <w:rFonts w:cs="Times New Roman"/>
          <w:sz w:val="20"/>
          <w:szCs w:val="20"/>
          <w:lang w:eastAsia="en-IN"/>
        </w:rPr>
        <w:t xml:space="preserve"> SMW.</w:t>
      </w:r>
    </w:p>
    <w:p w14:paraId="3D560C26">
      <w:pPr>
        <w:pStyle w:val="35"/>
        <w:spacing w:line="240" w:lineRule="auto"/>
        <w:jc w:val="left"/>
        <w:rPr>
          <w:rFonts w:cs="Times New Roman"/>
          <w:b/>
          <w:bCs/>
          <w:sz w:val="20"/>
          <w:szCs w:val="20"/>
          <w:lang w:eastAsia="en-IN"/>
        </w:rPr>
      </w:pPr>
      <w:r>
        <w:rPr>
          <w:b/>
          <w:bCs/>
          <w:color w:val="000000"/>
          <w:sz w:val="20"/>
          <w:szCs w:val="20"/>
        </w:rPr>
        <w:t xml:space="preserve">           3.1.2 Seasonal Incidence</w:t>
      </w:r>
      <w:r>
        <w:rPr>
          <w:b/>
          <w:bCs/>
          <w:color w:val="000000"/>
          <w:spacing w:val="2"/>
          <w:sz w:val="20"/>
          <w:szCs w:val="20"/>
        </w:rPr>
        <w:t xml:space="preserve"> </w:t>
      </w:r>
      <w:r>
        <w:rPr>
          <w:b/>
          <w:bCs/>
          <w:color w:val="000000"/>
          <w:sz w:val="20"/>
          <w:szCs w:val="20"/>
        </w:rPr>
        <w:t>of</w:t>
      </w:r>
      <w:r>
        <w:rPr>
          <w:b/>
          <w:bCs/>
          <w:color w:val="000000"/>
          <w:spacing w:val="4"/>
          <w:sz w:val="20"/>
          <w:szCs w:val="20"/>
        </w:rPr>
        <w:t xml:space="preserve"> </w:t>
      </w:r>
      <w:r>
        <w:rPr>
          <w:b/>
          <w:bCs/>
          <w:color w:val="000000"/>
          <w:sz w:val="20"/>
          <w:szCs w:val="20"/>
        </w:rPr>
        <w:t>Pear</w:t>
      </w:r>
      <w:r>
        <w:rPr>
          <w:b/>
          <w:bCs/>
          <w:color w:val="000000"/>
          <w:spacing w:val="1"/>
          <w:sz w:val="20"/>
          <w:szCs w:val="20"/>
        </w:rPr>
        <w:t xml:space="preserve"> </w:t>
      </w:r>
      <w:r>
        <w:rPr>
          <w:b/>
          <w:bCs/>
          <w:color w:val="000000"/>
          <w:sz w:val="20"/>
          <w:szCs w:val="20"/>
        </w:rPr>
        <w:t>Psylla</w:t>
      </w:r>
      <w:r>
        <w:rPr>
          <w:b/>
          <w:bCs/>
          <w:color w:val="000000"/>
          <w:spacing w:val="2"/>
          <w:sz w:val="20"/>
          <w:szCs w:val="20"/>
        </w:rPr>
        <w:t xml:space="preserve"> </w:t>
      </w:r>
      <w:r>
        <w:rPr>
          <w:b/>
          <w:bCs/>
          <w:color w:val="000000"/>
          <w:sz w:val="20"/>
          <w:szCs w:val="20"/>
        </w:rPr>
        <w:t>on</w:t>
      </w:r>
      <w:r>
        <w:rPr>
          <w:b/>
          <w:bCs/>
          <w:color w:val="000000"/>
          <w:spacing w:val="2"/>
          <w:sz w:val="20"/>
          <w:szCs w:val="20"/>
        </w:rPr>
        <w:t xml:space="preserve"> </w:t>
      </w:r>
      <w:r>
        <w:rPr>
          <w:b/>
          <w:bCs/>
          <w:color w:val="000000"/>
          <w:sz w:val="20"/>
          <w:szCs w:val="20"/>
        </w:rPr>
        <w:t>Pear in District</w:t>
      </w:r>
      <w:r>
        <w:rPr>
          <w:b/>
          <w:bCs/>
          <w:color w:val="000000"/>
          <w:spacing w:val="-1"/>
          <w:sz w:val="20"/>
          <w:szCs w:val="20"/>
        </w:rPr>
        <w:t xml:space="preserve"> Srinagar </w:t>
      </w:r>
    </w:p>
    <w:p w14:paraId="22C7E1BA">
      <w:pPr>
        <w:pStyle w:val="35"/>
        <w:spacing w:line="240" w:lineRule="auto"/>
        <w:rPr>
          <w:rFonts w:cs="Times New Roman"/>
          <w:sz w:val="20"/>
          <w:szCs w:val="20"/>
          <w:lang w:eastAsia="en-IN"/>
        </w:rPr>
      </w:pPr>
      <w:r>
        <w:rPr>
          <w:rFonts w:cs="Times New Roman"/>
          <w:sz w:val="20"/>
          <w:szCs w:val="20"/>
          <w:lang w:eastAsia="en-IN"/>
        </w:rPr>
        <w:t xml:space="preserve">           Perusal of data, Table-2 revealed that the </w:t>
      </w:r>
      <w:r>
        <w:rPr>
          <w:rFonts w:cs="Times New Roman"/>
          <w:sz w:val="20"/>
          <w:szCs w:val="20"/>
        </w:rPr>
        <w:t>lowest incidence of nymph and adult (6.55) was observed in the 20</w:t>
      </w:r>
      <w:r>
        <w:rPr>
          <w:rFonts w:cs="Times New Roman"/>
          <w:sz w:val="20"/>
          <w:szCs w:val="20"/>
          <w:vertAlign w:val="superscript"/>
        </w:rPr>
        <w:t>th</w:t>
      </w:r>
      <w:r>
        <w:rPr>
          <w:rFonts w:cs="Times New Roman"/>
          <w:sz w:val="20"/>
          <w:szCs w:val="20"/>
        </w:rPr>
        <w:t xml:space="preserve"> SMW and the highest as 34.30 in the 24</w:t>
      </w:r>
      <w:r>
        <w:rPr>
          <w:rFonts w:cs="Times New Roman"/>
          <w:sz w:val="20"/>
          <w:szCs w:val="20"/>
          <w:vertAlign w:val="superscript"/>
        </w:rPr>
        <w:t>th</w:t>
      </w:r>
      <w:r>
        <w:rPr>
          <w:rFonts w:cs="Times New Roman"/>
          <w:sz w:val="20"/>
          <w:szCs w:val="20"/>
        </w:rPr>
        <w:t xml:space="preserve"> SMW</w:t>
      </w:r>
      <w:r>
        <w:rPr>
          <w:rFonts w:cs="Times New Roman"/>
          <w:sz w:val="20"/>
          <w:szCs w:val="20"/>
          <w:lang w:eastAsia="en-IN"/>
        </w:rPr>
        <w:t>. The mean pest incidence showed an increasing trend from 20</w:t>
      </w:r>
      <w:r>
        <w:rPr>
          <w:rFonts w:cs="Times New Roman"/>
          <w:sz w:val="20"/>
          <w:szCs w:val="20"/>
          <w:vertAlign w:val="superscript"/>
          <w:lang w:eastAsia="en-IN"/>
        </w:rPr>
        <w:t>th</w:t>
      </w:r>
      <w:r>
        <w:rPr>
          <w:rFonts w:cs="Times New Roman"/>
          <w:sz w:val="20"/>
          <w:szCs w:val="20"/>
          <w:lang w:eastAsia="en-IN"/>
        </w:rPr>
        <w:t xml:space="preserve"> (6.55) to 24</w:t>
      </w:r>
      <w:r>
        <w:rPr>
          <w:rFonts w:cs="Times New Roman"/>
          <w:sz w:val="20"/>
          <w:szCs w:val="20"/>
          <w:vertAlign w:val="superscript"/>
          <w:lang w:eastAsia="en-IN"/>
        </w:rPr>
        <w:t>th</w:t>
      </w:r>
      <w:r>
        <w:rPr>
          <w:rFonts w:cs="Times New Roman"/>
          <w:sz w:val="20"/>
          <w:szCs w:val="20"/>
          <w:lang w:eastAsia="en-IN"/>
        </w:rPr>
        <w:t xml:space="preserve"> (34.30) SMW. The mean pest incidence declined to 29.05 in the 26</w:t>
      </w:r>
      <w:r>
        <w:rPr>
          <w:rFonts w:cs="Times New Roman"/>
          <w:sz w:val="20"/>
          <w:szCs w:val="20"/>
          <w:vertAlign w:val="superscript"/>
          <w:lang w:eastAsia="en-IN"/>
        </w:rPr>
        <w:t>th</w:t>
      </w:r>
      <w:r>
        <w:rPr>
          <w:rFonts w:cs="Times New Roman"/>
          <w:sz w:val="20"/>
          <w:szCs w:val="20"/>
          <w:lang w:eastAsia="en-IN"/>
        </w:rPr>
        <w:t xml:space="preserve"> SMW and then increased to 33.50 in the 28</w:t>
      </w:r>
      <w:r>
        <w:rPr>
          <w:rFonts w:cs="Times New Roman"/>
          <w:sz w:val="20"/>
          <w:szCs w:val="20"/>
          <w:vertAlign w:val="superscript"/>
          <w:lang w:eastAsia="en-IN"/>
        </w:rPr>
        <w:t>th</w:t>
      </w:r>
      <w:r>
        <w:rPr>
          <w:rFonts w:cs="Times New Roman"/>
          <w:sz w:val="20"/>
          <w:szCs w:val="20"/>
          <w:lang w:eastAsia="en-IN"/>
        </w:rPr>
        <w:t xml:space="preserve"> SMW. The mean incidence decreased thereafter from 29.85 in the 30</w:t>
      </w:r>
      <w:r>
        <w:rPr>
          <w:rFonts w:cs="Times New Roman"/>
          <w:sz w:val="20"/>
          <w:szCs w:val="20"/>
          <w:vertAlign w:val="superscript"/>
          <w:lang w:eastAsia="en-IN"/>
        </w:rPr>
        <w:t>th</w:t>
      </w:r>
      <w:r>
        <w:rPr>
          <w:rFonts w:cs="Times New Roman"/>
          <w:sz w:val="20"/>
          <w:szCs w:val="20"/>
          <w:lang w:eastAsia="en-IN"/>
        </w:rPr>
        <w:t xml:space="preserve"> SMW to 14.45 in the 34</w:t>
      </w:r>
      <w:r>
        <w:rPr>
          <w:rFonts w:cs="Times New Roman"/>
          <w:sz w:val="20"/>
          <w:szCs w:val="20"/>
          <w:vertAlign w:val="superscript"/>
          <w:lang w:eastAsia="en-IN"/>
        </w:rPr>
        <w:t>th</w:t>
      </w:r>
      <w:r>
        <w:rPr>
          <w:rFonts w:cs="Times New Roman"/>
          <w:sz w:val="20"/>
          <w:szCs w:val="20"/>
          <w:lang w:eastAsia="en-IN"/>
        </w:rPr>
        <w:t xml:space="preserve"> SMW.</w:t>
      </w:r>
    </w:p>
    <w:p w14:paraId="210E125E">
      <w:pPr>
        <w:pStyle w:val="45"/>
        <w:rPr>
          <w:rFonts w:ascii="Times New Roman" w:hAnsi="Times New Roman" w:cs="Times New Roman"/>
          <w:b/>
          <w:bCs/>
          <w:color w:val="000000"/>
          <w:sz w:val="20"/>
          <w:szCs w:val="20"/>
        </w:rPr>
      </w:pPr>
    </w:p>
    <w:p w14:paraId="7FAD9D25">
      <w:pPr>
        <w:pStyle w:val="45"/>
        <w:rPr>
          <w:rFonts w:ascii="Times New Roman" w:hAnsi="Times New Roman" w:cs="Times New Roman"/>
          <w:b/>
          <w:bCs/>
          <w:color w:val="000000"/>
          <w:sz w:val="20"/>
          <w:szCs w:val="20"/>
        </w:rPr>
      </w:pPr>
      <w:r>
        <w:rPr>
          <w:rFonts w:ascii="Times New Roman" w:hAnsi="Times New Roman" w:cs="Times New Roman"/>
          <w:b/>
          <w:bCs/>
          <w:color w:val="000000"/>
          <w:sz w:val="20"/>
          <w:szCs w:val="20"/>
        </w:rPr>
        <w:t>Table</w:t>
      </w:r>
      <w:r>
        <w:rPr>
          <w:rFonts w:ascii="Times New Roman" w:hAnsi="Times New Roman" w:cs="Times New Roman"/>
          <w:b/>
          <w:bCs/>
          <w:color w:val="000000"/>
          <w:spacing w:val="-1"/>
          <w:sz w:val="20"/>
          <w:szCs w:val="20"/>
        </w:rPr>
        <w:t xml:space="preserve"> </w:t>
      </w:r>
      <w:r>
        <w:rPr>
          <w:rFonts w:ascii="Times New Roman" w:hAnsi="Times New Roman" w:cs="Times New Roman"/>
          <w:b/>
          <w:bCs/>
          <w:color w:val="000000"/>
          <w:sz w:val="20"/>
          <w:szCs w:val="20"/>
        </w:rPr>
        <w:t>1:</w:t>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Seasonal</w:t>
      </w:r>
      <w:r>
        <w:rPr>
          <w:rFonts w:ascii="Times New Roman" w:hAnsi="Times New Roman" w:cs="Times New Roman"/>
          <w:b/>
          <w:bCs/>
          <w:color w:val="000000"/>
          <w:spacing w:val="46"/>
          <w:sz w:val="20"/>
          <w:szCs w:val="20"/>
        </w:rPr>
        <w:t xml:space="preserve"> </w:t>
      </w:r>
      <w:r>
        <w:rPr>
          <w:rFonts w:ascii="Times New Roman" w:hAnsi="Times New Roman" w:cs="Times New Roman"/>
          <w:b/>
          <w:bCs/>
          <w:color w:val="000000"/>
          <w:sz w:val="20"/>
          <w:szCs w:val="20"/>
        </w:rPr>
        <w:t>incidence</w:t>
      </w:r>
      <w:r>
        <w:rPr>
          <w:rFonts w:ascii="Times New Roman" w:hAnsi="Times New Roman" w:cs="Times New Roman"/>
          <w:b/>
          <w:bCs/>
          <w:color w:val="000000"/>
          <w:spacing w:val="43"/>
          <w:sz w:val="20"/>
          <w:szCs w:val="20"/>
        </w:rPr>
        <w:t xml:space="preserve"> </w:t>
      </w:r>
      <w:r>
        <w:rPr>
          <w:rFonts w:ascii="Times New Roman" w:hAnsi="Times New Roman" w:cs="Times New Roman"/>
          <w:b/>
          <w:bCs/>
          <w:color w:val="000000"/>
          <w:sz w:val="20"/>
          <w:szCs w:val="20"/>
        </w:rPr>
        <w:t>of</w:t>
      </w:r>
      <w:r>
        <w:rPr>
          <w:rFonts w:ascii="Times New Roman" w:hAnsi="Times New Roman" w:cs="Times New Roman"/>
          <w:b/>
          <w:bCs/>
          <w:color w:val="000000"/>
          <w:spacing w:val="49"/>
          <w:sz w:val="20"/>
          <w:szCs w:val="20"/>
        </w:rPr>
        <w:t xml:space="preserve"> </w:t>
      </w:r>
      <w:r>
        <w:rPr>
          <w:rFonts w:ascii="Times New Roman" w:hAnsi="Times New Roman" w:cs="Times New Roman"/>
          <w:b/>
          <w:bCs/>
          <w:color w:val="000000"/>
          <w:sz w:val="20"/>
          <w:szCs w:val="20"/>
        </w:rPr>
        <w:t>Pear</w:t>
      </w:r>
      <w:r>
        <w:rPr>
          <w:rFonts w:ascii="Times New Roman" w:hAnsi="Times New Roman" w:cs="Times New Roman"/>
          <w:b/>
          <w:bCs/>
          <w:color w:val="000000"/>
          <w:spacing w:val="46"/>
          <w:sz w:val="20"/>
          <w:szCs w:val="20"/>
        </w:rPr>
        <w:t xml:space="preserve"> </w:t>
      </w:r>
      <w:r>
        <w:rPr>
          <w:rFonts w:ascii="Times New Roman" w:hAnsi="Times New Roman" w:cs="Times New Roman"/>
          <w:b/>
          <w:bCs/>
          <w:color w:val="000000"/>
          <w:sz w:val="20"/>
          <w:szCs w:val="20"/>
        </w:rPr>
        <w:t>Psylla</w:t>
      </w:r>
      <w:r>
        <w:rPr>
          <w:rFonts w:ascii="Times New Roman" w:hAnsi="Times New Roman" w:cs="Times New Roman"/>
          <w:b/>
          <w:bCs/>
          <w:color w:val="000000"/>
          <w:spacing w:val="49"/>
          <w:sz w:val="20"/>
          <w:szCs w:val="20"/>
        </w:rPr>
        <w:t xml:space="preserve"> </w:t>
      </w:r>
      <w:r>
        <w:rPr>
          <w:rFonts w:ascii="Times New Roman" w:hAnsi="Times New Roman" w:cs="Times New Roman"/>
          <w:b/>
          <w:bCs/>
          <w:color w:val="000000"/>
          <w:sz w:val="20"/>
          <w:szCs w:val="20"/>
        </w:rPr>
        <w:t>(</w:t>
      </w:r>
      <w:r>
        <w:rPr>
          <w:rFonts w:ascii="Times New Roman" w:hAnsi="Times New Roman" w:cs="Times New Roman"/>
          <w:b/>
          <w:bCs/>
          <w:i/>
          <w:iCs/>
          <w:color w:val="000000"/>
          <w:sz w:val="20"/>
          <w:szCs w:val="20"/>
        </w:rPr>
        <w:t>Cacopsylla pyricola</w:t>
      </w:r>
      <w:r>
        <w:rPr>
          <w:rFonts w:ascii="Times New Roman" w:hAnsi="Times New Roman" w:cs="Times New Roman"/>
          <w:b/>
          <w:bCs/>
          <w:color w:val="000000"/>
          <w:sz w:val="20"/>
          <w:szCs w:val="20"/>
        </w:rPr>
        <w:t>)</w:t>
      </w:r>
      <w:r>
        <w:rPr>
          <w:rFonts w:ascii="Times New Roman" w:hAnsi="Times New Roman" w:cs="Times New Roman"/>
          <w:b/>
          <w:bCs/>
          <w:color w:val="000000"/>
          <w:spacing w:val="48"/>
          <w:sz w:val="20"/>
          <w:szCs w:val="20"/>
        </w:rPr>
        <w:t xml:space="preserve"> </w:t>
      </w:r>
      <w:r>
        <w:rPr>
          <w:rFonts w:ascii="Times New Roman" w:hAnsi="Times New Roman" w:cs="Times New Roman"/>
          <w:b/>
          <w:bCs/>
          <w:color w:val="000000"/>
          <w:sz w:val="20"/>
          <w:szCs w:val="20"/>
        </w:rPr>
        <w:t>on</w:t>
      </w:r>
      <w:r>
        <w:rPr>
          <w:rFonts w:ascii="Times New Roman" w:hAnsi="Times New Roman" w:cs="Times New Roman"/>
          <w:b/>
          <w:bCs/>
          <w:color w:val="000000"/>
          <w:spacing w:val="46"/>
          <w:sz w:val="20"/>
          <w:szCs w:val="20"/>
        </w:rPr>
        <w:t xml:space="preserve"> </w:t>
      </w:r>
      <w:r>
        <w:rPr>
          <w:rFonts w:ascii="Times New Roman" w:hAnsi="Times New Roman" w:cs="Times New Roman"/>
          <w:b/>
          <w:bCs/>
          <w:color w:val="000000"/>
          <w:sz w:val="20"/>
          <w:szCs w:val="20"/>
        </w:rPr>
        <w:t>pear</w:t>
      </w:r>
      <w:r>
        <w:rPr>
          <w:rFonts w:ascii="Times New Roman" w:hAnsi="Times New Roman" w:cs="Times New Roman"/>
          <w:b/>
          <w:bCs/>
          <w:color w:val="000000"/>
          <w:spacing w:val="46"/>
          <w:sz w:val="20"/>
          <w:szCs w:val="20"/>
        </w:rPr>
        <w:t xml:space="preserve"> </w:t>
      </w:r>
      <w:r>
        <w:rPr>
          <w:rFonts w:ascii="Times New Roman" w:hAnsi="Times New Roman" w:cs="Times New Roman"/>
          <w:b/>
          <w:bCs/>
          <w:color w:val="000000"/>
          <w:sz w:val="20"/>
          <w:szCs w:val="20"/>
        </w:rPr>
        <w:t>at</w:t>
      </w:r>
      <w:r>
        <w:rPr>
          <w:rFonts w:ascii="Times New Roman" w:hAnsi="Times New Roman" w:cs="Times New Roman"/>
          <w:b/>
          <w:bCs/>
          <w:color w:val="000000"/>
          <w:spacing w:val="45"/>
          <w:sz w:val="20"/>
          <w:szCs w:val="20"/>
        </w:rPr>
        <w:t xml:space="preserve"> </w:t>
      </w:r>
      <w:r>
        <w:rPr>
          <w:rFonts w:ascii="Times New Roman" w:hAnsi="Times New Roman" w:cs="Times New Roman"/>
          <w:b/>
          <w:bCs/>
          <w:color w:val="000000"/>
          <w:sz w:val="20"/>
          <w:szCs w:val="20"/>
        </w:rPr>
        <w:t>different</w:t>
      </w:r>
      <w:r>
        <w:rPr>
          <w:rFonts w:ascii="Times New Roman" w:hAnsi="Times New Roman" w:cs="Times New Roman"/>
          <w:b/>
          <w:bCs/>
          <w:color w:val="000000"/>
          <w:spacing w:val="49"/>
          <w:sz w:val="20"/>
          <w:szCs w:val="20"/>
        </w:rPr>
        <w:t xml:space="preserve"> </w:t>
      </w:r>
      <w:r>
        <w:rPr>
          <w:rFonts w:ascii="Times New Roman" w:hAnsi="Times New Roman" w:cs="Times New Roman"/>
          <w:b/>
          <w:bCs/>
          <w:color w:val="000000"/>
          <w:sz w:val="20"/>
          <w:szCs w:val="20"/>
        </w:rPr>
        <w:t>locations</w:t>
      </w:r>
      <w:r>
        <w:rPr>
          <w:rFonts w:ascii="Times New Roman" w:hAnsi="Times New Roman" w:cs="Times New Roman"/>
          <w:b/>
          <w:bCs/>
          <w:color w:val="000000"/>
          <w:spacing w:val="47"/>
          <w:sz w:val="20"/>
          <w:szCs w:val="20"/>
        </w:rPr>
        <w:t xml:space="preserve"> </w:t>
      </w:r>
      <w:r>
        <w:rPr>
          <w:rFonts w:ascii="Times New Roman" w:hAnsi="Times New Roman" w:cs="Times New Roman"/>
          <w:b/>
          <w:bCs/>
          <w:color w:val="000000"/>
          <w:sz w:val="20"/>
          <w:szCs w:val="20"/>
        </w:rPr>
        <w:t>in</w:t>
      </w:r>
      <w:r>
        <w:rPr>
          <w:rFonts w:ascii="Times New Roman" w:hAnsi="Times New Roman" w:cs="Times New Roman"/>
          <w:b/>
          <w:bCs/>
          <w:color w:val="000000"/>
          <w:spacing w:val="-67"/>
          <w:sz w:val="20"/>
          <w:szCs w:val="20"/>
        </w:rPr>
        <w:t xml:space="preserve"> </w:t>
      </w:r>
      <w:r>
        <w:rPr>
          <w:rFonts w:ascii="Times New Roman" w:hAnsi="Times New Roman" w:cs="Times New Roman"/>
          <w:b/>
          <w:bCs/>
          <w:color w:val="000000"/>
          <w:sz w:val="20"/>
          <w:szCs w:val="20"/>
        </w:rPr>
        <w:t>district</w:t>
      </w:r>
      <w:r>
        <w:rPr>
          <w:rFonts w:ascii="Times New Roman" w:hAnsi="Times New Roman" w:cs="Times New Roman"/>
          <w:b/>
          <w:bCs/>
          <w:color w:val="000000"/>
          <w:spacing w:val="-2"/>
          <w:sz w:val="20"/>
          <w:szCs w:val="20"/>
        </w:rPr>
        <w:t xml:space="preserve"> </w:t>
      </w:r>
      <w:r>
        <w:rPr>
          <w:rFonts w:ascii="Times New Roman" w:hAnsi="Times New Roman" w:cs="Times New Roman"/>
          <w:b/>
          <w:bCs/>
          <w:color w:val="000000"/>
          <w:sz w:val="20"/>
          <w:szCs w:val="20"/>
        </w:rPr>
        <w:t>Baramulla during the</w:t>
      </w:r>
      <w:r>
        <w:rPr>
          <w:rFonts w:ascii="Times New Roman" w:hAnsi="Times New Roman" w:cs="Times New Roman"/>
          <w:b/>
          <w:bCs/>
          <w:color w:val="000000"/>
          <w:spacing w:val="-1"/>
          <w:sz w:val="20"/>
          <w:szCs w:val="20"/>
        </w:rPr>
        <w:t xml:space="preserve"> </w:t>
      </w:r>
      <w:r>
        <w:rPr>
          <w:rFonts w:ascii="Times New Roman" w:hAnsi="Times New Roman" w:cs="Times New Roman"/>
          <w:b/>
          <w:bCs/>
          <w:color w:val="000000"/>
          <w:sz w:val="20"/>
          <w:szCs w:val="20"/>
        </w:rPr>
        <w:t>year</w:t>
      </w:r>
      <w:r>
        <w:rPr>
          <w:rFonts w:ascii="Times New Roman" w:hAnsi="Times New Roman" w:cs="Times New Roman"/>
          <w:b/>
          <w:bCs/>
          <w:color w:val="000000"/>
          <w:spacing w:val="-3"/>
          <w:sz w:val="20"/>
          <w:szCs w:val="20"/>
        </w:rPr>
        <w:t xml:space="preserve"> </w:t>
      </w:r>
      <w:r>
        <w:rPr>
          <w:rFonts w:ascii="Times New Roman" w:hAnsi="Times New Roman" w:cs="Times New Roman"/>
          <w:b/>
          <w:bCs/>
          <w:color w:val="000000"/>
          <w:sz w:val="20"/>
          <w:szCs w:val="20"/>
        </w:rPr>
        <w:t>2023</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488"/>
        <w:gridCol w:w="461"/>
        <w:gridCol w:w="488"/>
        <w:gridCol w:w="462"/>
        <w:gridCol w:w="489"/>
        <w:gridCol w:w="462"/>
        <w:gridCol w:w="489"/>
        <w:gridCol w:w="462"/>
        <w:gridCol w:w="489"/>
        <w:gridCol w:w="462"/>
        <w:gridCol w:w="489"/>
        <w:gridCol w:w="462"/>
        <w:gridCol w:w="489"/>
        <w:gridCol w:w="462"/>
        <w:gridCol w:w="489"/>
        <w:gridCol w:w="462"/>
        <w:gridCol w:w="454"/>
        <w:gridCol w:w="9"/>
        <w:gridCol w:w="515"/>
        <w:gridCol w:w="19"/>
      </w:tblGrid>
      <w:tr w14:paraId="6A9C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 w:hRule="atLeast"/>
        </w:trPr>
        <w:tc>
          <w:tcPr>
            <w:tcW w:w="343" w:type="pct"/>
            <w:vMerge w:val="restart"/>
            <w:shd w:val="clear" w:color="auto" w:fill="auto"/>
            <w:vAlign w:val="center"/>
          </w:tcPr>
          <w:p w14:paraId="42728236">
            <w:pPr>
              <w:pStyle w:val="45"/>
              <w:spacing w:before="300" w:after="300"/>
              <w:jc w:val="center"/>
              <w:rPr>
                <w:rFonts w:ascii="Times New Roman" w:hAnsi="Times New Roman" w:cs="Times New Roman"/>
                <w:b/>
                <w:bCs/>
                <w:sz w:val="14"/>
                <w:szCs w:val="14"/>
              </w:rPr>
            </w:pPr>
          </w:p>
          <w:p w14:paraId="3DFA2F81">
            <w:pPr>
              <w:pStyle w:val="45"/>
              <w:spacing w:before="300" w:after="300"/>
              <w:jc w:val="center"/>
              <w:rPr>
                <w:rFonts w:ascii="Times New Roman" w:hAnsi="Times New Roman" w:cs="Times New Roman"/>
                <w:b/>
                <w:bCs/>
                <w:sz w:val="14"/>
                <w:szCs w:val="14"/>
              </w:rPr>
            </w:pPr>
          </w:p>
          <w:p w14:paraId="41FD3231">
            <w:pPr>
              <w:pStyle w:val="45"/>
              <w:spacing w:before="300" w:after="300"/>
              <w:jc w:val="center"/>
              <w:rPr>
                <w:rFonts w:ascii="Times New Roman" w:hAnsi="Times New Roman" w:cs="Times New Roman"/>
                <w:b/>
                <w:bCs/>
                <w:sz w:val="14"/>
                <w:szCs w:val="14"/>
              </w:rPr>
            </w:pPr>
          </w:p>
          <w:p w14:paraId="297B62D6">
            <w:pPr>
              <w:pStyle w:val="45"/>
              <w:spacing w:before="300" w:after="300"/>
              <w:jc w:val="center"/>
              <w:rPr>
                <w:rFonts w:ascii="Times New Roman" w:hAnsi="Times New Roman" w:cs="Times New Roman"/>
                <w:b/>
                <w:bCs/>
                <w:sz w:val="13"/>
                <w:szCs w:val="13"/>
              </w:rPr>
            </w:pPr>
            <w:r>
              <w:rPr>
                <w:rFonts w:ascii="Times New Roman" w:hAnsi="Times New Roman" w:cs="Times New Roman"/>
                <w:b/>
                <w:bCs/>
                <w:sz w:val="13"/>
                <w:szCs w:val="13"/>
              </w:rPr>
              <w:t>Baramulla</w:t>
            </w:r>
          </w:p>
          <w:p w14:paraId="7D8B67D5">
            <w:pPr>
              <w:pStyle w:val="45"/>
              <w:spacing w:before="300" w:after="300"/>
              <w:jc w:val="center"/>
              <w:rPr>
                <w:rFonts w:ascii="Times New Roman" w:hAnsi="Times New Roman" w:cs="Times New Roman"/>
                <w:b/>
                <w:bCs/>
                <w:sz w:val="14"/>
                <w:szCs w:val="14"/>
              </w:rPr>
            </w:pPr>
          </w:p>
        </w:tc>
        <w:tc>
          <w:tcPr>
            <w:tcW w:w="4189" w:type="pct"/>
            <w:gridSpan w:val="16"/>
            <w:shd w:val="clear" w:color="auto" w:fill="auto"/>
            <w:vAlign w:val="center"/>
          </w:tcPr>
          <w:p w14:paraId="681B4A24">
            <w:pPr>
              <w:pStyle w:val="45"/>
              <w:spacing w:before="300" w:after="30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Standard</w:t>
            </w:r>
            <w:r>
              <w:rPr>
                <w:rFonts w:ascii="Times New Roman" w:hAnsi="Times New Roman" w:cs="Times New Roman"/>
                <w:b/>
                <w:bCs/>
                <w:color w:val="000000"/>
                <w:spacing w:val="-6"/>
                <w:sz w:val="20"/>
                <w:szCs w:val="20"/>
              </w:rPr>
              <w:t xml:space="preserve"> </w:t>
            </w:r>
            <w:r>
              <w:rPr>
                <w:rFonts w:ascii="Times New Roman" w:hAnsi="Times New Roman" w:cs="Times New Roman"/>
                <w:b/>
                <w:bCs/>
                <w:color w:val="000000"/>
                <w:sz w:val="20"/>
                <w:szCs w:val="20"/>
              </w:rPr>
              <w:t>Meteorological</w:t>
            </w:r>
            <w:r>
              <w:rPr>
                <w:rFonts w:ascii="Times New Roman" w:hAnsi="Times New Roman" w:cs="Times New Roman"/>
                <w:b/>
                <w:bCs/>
                <w:color w:val="000000"/>
                <w:spacing w:val="-5"/>
                <w:sz w:val="20"/>
                <w:szCs w:val="20"/>
              </w:rPr>
              <w:t xml:space="preserve"> </w:t>
            </w:r>
            <w:r>
              <w:rPr>
                <w:rFonts w:ascii="Times New Roman" w:hAnsi="Times New Roman" w:cs="Times New Roman"/>
                <w:b/>
                <w:bCs/>
                <w:color w:val="000000"/>
                <w:sz w:val="20"/>
                <w:szCs w:val="20"/>
              </w:rPr>
              <w:t>Weeks</w:t>
            </w:r>
            <w:r>
              <w:rPr>
                <w:rFonts w:ascii="Times New Roman" w:hAnsi="Times New Roman" w:cs="Times New Roman"/>
                <w:b/>
                <w:bCs/>
                <w:color w:val="000000"/>
                <w:spacing w:val="-3"/>
                <w:sz w:val="20"/>
                <w:szCs w:val="20"/>
              </w:rPr>
              <w:t xml:space="preserve"> </w:t>
            </w:r>
            <w:r>
              <w:rPr>
                <w:rFonts w:ascii="Times New Roman" w:hAnsi="Times New Roman" w:cs="Times New Roman"/>
                <w:b/>
                <w:bCs/>
                <w:color w:val="000000"/>
                <w:sz w:val="20"/>
                <w:szCs w:val="20"/>
              </w:rPr>
              <w:t>(SMW)</w:t>
            </w:r>
          </w:p>
        </w:tc>
        <w:tc>
          <w:tcPr>
            <w:tcW w:w="250" w:type="pct"/>
            <w:gridSpan w:val="2"/>
            <w:shd w:val="clear" w:color="auto" w:fill="auto"/>
            <w:vAlign w:val="center"/>
          </w:tcPr>
          <w:p w14:paraId="79F83957">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Mean</w:t>
            </w:r>
          </w:p>
        </w:tc>
        <w:tc>
          <w:tcPr>
            <w:tcW w:w="217" w:type="pct"/>
            <w:gridSpan w:val="2"/>
            <w:shd w:val="clear" w:color="auto" w:fill="auto"/>
            <w:vAlign w:val="center"/>
          </w:tcPr>
          <w:p w14:paraId="42BCBEE2">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pacing w:val="-1"/>
                <w:sz w:val="14"/>
                <w:szCs w:val="14"/>
              </w:rPr>
              <w:t>Overall</w:t>
            </w:r>
          </w:p>
          <w:p w14:paraId="5DF3BCBD">
            <w:pPr>
              <w:pStyle w:val="45"/>
              <w:spacing w:before="300" w:after="300"/>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Mean</w:t>
            </w:r>
          </w:p>
        </w:tc>
      </w:tr>
      <w:tr w14:paraId="3648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03" w:hRule="atLeast"/>
        </w:trPr>
        <w:tc>
          <w:tcPr>
            <w:tcW w:w="343" w:type="pct"/>
            <w:vMerge w:val="continue"/>
            <w:shd w:val="clear" w:color="auto" w:fill="auto"/>
            <w:vAlign w:val="center"/>
          </w:tcPr>
          <w:p w14:paraId="14D7FDD9">
            <w:pPr>
              <w:pStyle w:val="45"/>
              <w:spacing w:before="300" w:after="300"/>
              <w:jc w:val="center"/>
              <w:rPr>
                <w:rFonts w:ascii="Times New Roman" w:hAnsi="Times New Roman" w:cs="Times New Roman"/>
                <w:sz w:val="14"/>
                <w:szCs w:val="14"/>
              </w:rPr>
            </w:pPr>
          </w:p>
        </w:tc>
        <w:tc>
          <w:tcPr>
            <w:tcW w:w="522" w:type="pct"/>
            <w:gridSpan w:val="2"/>
            <w:shd w:val="clear" w:color="auto" w:fill="auto"/>
            <w:vAlign w:val="center"/>
          </w:tcPr>
          <w:p w14:paraId="3D323610">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 SMW</w:t>
            </w:r>
          </w:p>
        </w:tc>
        <w:tc>
          <w:tcPr>
            <w:tcW w:w="522" w:type="pct"/>
            <w:gridSpan w:val="2"/>
            <w:shd w:val="clear" w:color="auto" w:fill="auto"/>
            <w:vAlign w:val="center"/>
          </w:tcPr>
          <w:p w14:paraId="4A50E18C">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22 SMW</w:t>
            </w:r>
          </w:p>
        </w:tc>
        <w:tc>
          <w:tcPr>
            <w:tcW w:w="522" w:type="pct"/>
            <w:gridSpan w:val="2"/>
            <w:shd w:val="clear" w:color="auto" w:fill="auto"/>
            <w:vAlign w:val="center"/>
          </w:tcPr>
          <w:p w14:paraId="1BE99A9E">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24 SMW</w:t>
            </w:r>
          </w:p>
        </w:tc>
        <w:tc>
          <w:tcPr>
            <w:tcW w:w="522" w:type="pct"/>
            <w:gridSpan w:val="2"/>
            <w:shd w:val="clear" w:color="auto" w:fill="auto"/>
            <w:vAlign w:val="center"/>
          </w:tcPr>
          <w:p w14:paraId="6BDD624F">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26 SMW</w:t>
            </w:r>
          </w:p>
        </w:tc>
        <w:tc>
          <w:tcPr>
            <w:tcW w:w="522" w:type="pct"/>
            <w:gridSpan w:val="2"/>
            <w:shd w:val="clear" w:color="auto" w:fill="auto"/>
            <w:vAlign w:val="center"/>
          </w:tcPr>
          <w:p w14:paraId="27115268">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28 SMW</w:t>
            </w:r>
          </w:p>
        </w:tc>
        <w:tc>
          <w:tcPr>
            <w:tcW w:w="522" w:type="pct"/>
            <w:gridSpan w:val="2"/>
            <w:shd w:val="clear" w:color="auto" w:fill="auto"/>
            <w:vAlign w:val="center"/>
          </w:tcPr>
          <w:p w14:paraId="5E933439">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30 SMW</w:t>
            </w:r>
          </w:p>
        </w:tc>
        <w:tc>
          <w:tcPr>
            <w:tcW w:w="522" w:type="pct"/>
            <w:gridSpan w:val="2"/>
            <w:shd w:val="clear" w:color="auto" w:fill="auto"/>
            <w:vAlign w:val="center"/>
          </w:tcPr>
          <w:p w14:paraId="504763BF">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32 SMW</w:t>
            </w:r>
          </w:p>
        </w:tc>
        <w:tc>
          <w:tcPr>
            <w:tcW w:w="535" w:type="pct"/>
            <w:gridSpan w:val="2"/>
            <w:shd w:val="clear" w:color="auto" w:fill="auto"/>
            <w:vAlign w:val="center"/>
          </w:tcPr>
          <w:p w14:paraId="5DCA6596">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34 SMW</w:t>
            </w:r>
          </w:p>
        </w:tc>
        <w:tc>
          <w:tcPr>
            <w:tcW w:w="245" w:type="pct"/>
            <w:vMerge w:val="restart"/>
            <w:shd w:val="clear" w:color="auto" w:fill="auto"/>
            <w:vAlign w:val="center"/>
          </w:tcPr>
          <w:p w14:paraId="38A8051B">
            <w:pPr>
              <w:pStyle w:val="45"/>
              <w:spacing w:before="300" w:after="300"/>
              <w:jc w:val="center"/>
              <w:rPr>
                <w:rFonts w:ascii="Times New Roman" w:hAnsi="Times New Roman" w:cs="Times New Roman"/>
                <w:color w:val="000000"/>
                <w:sz w:val="14"/>
                <w:szCs w:val="14"/>
              </w:rPr>
            </w:pPr>
          </w:p>
        </w:tc>
        <w:tc>
          <w:tcPr>
            <w:tcW w:w="215" w:type="pct"/>
            <w:gridSpan w:val="2"/>
            <w:vMerge w:val="restart"/>
            <w:shd w:val="clear" w:color="auto" w:fill="auto"/>
            <w:vAlign w:val="center"/>
          </w:tcPr>
          <w:p w14:paraId="20D8BFF1">
            <w:pPr>
              <w:pStyle w:val="45"/>
              <w:spacing w:before="300" w:after="300"/>
              <w:jc w:val="center"/>
              <w:rPr>
                <w:rFonts w:ascii="Times New Roman" w:hAnsi="Times New Roman" w:cs="Times New Roman"/>
                <w:color w:val="000000"/>
                <w:sz w:val="14"/>
                <w:szCs w:val="14"/>
                <w:highlight w:val="none"/>
              </w:rPr>
            </w:pPr>
          </w:p>
        </w:tc>
      </w:tr>
      <w:tr w14:paraId="3364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54" w:hRule="atLeast"/>
        </w:trPr>
        <w:tc>
          <w:tcPr>
            <w:tcW w:w="343" w:type="pct"/>
            <w:vMerge w:val="continue"/>
            <w:shd w:val="clear" w:color="auto" w:fill="auto"/>
            <w:vAlign w:val="center"/>
          </w:tcPr>
          <w:p w14:paraId="0CC9CDA8">
            <w:pPr>
              <w:pStyle w:val="45"/>
              <w:spacing w:before="300" w:after="300"/>
              <w:jc w:val="center"/>
              <w:rPr>
                <w:rFonts w:ascii="Times New Roman" w:hAnsi="Times New Roman" w:cs="Times New Roman"/>
                <w:sz w:val="14"/>
                <w:szCs w:val="14"/>
              </w:rPr>
            </w:pPr>
          </w:p>
        </w:tc>
        <w:tc>
          <w:tcPr>
            <w:tcW w:w="261" w:type="pct"/>
            <w:shd w:val="clear" w:color="auto" w:fill="auto"/>
            <w:vAlign w:val="center"/>
          </w:tcPr>
          <w:p w14:paraId="34E355FD">
            <w:pPr>
              <w:pStyle w:val="45"/>
              <w:spacing w:before="300" w:after="300"/>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Nymph</w:t>
            </w:r>
          </w:p>
        </w:tc>
        <w:tc>
          <w:tcPr>
            <w:tcW w:w="261" w:type="pct"/>
            <w:shd w:val="clear" w:color="auto" w:fill="auto"/>
            <w:vAlign w:val="center"/>
          </w:tcPr>
          <w:p w14:paraId="106687FB">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Adult</w:t>
            </w:r>
          </w:p>
        </w:tc>
        <w:tc>
          <w:tcPr>
            <w:tcW w:w="261" w:type="pct"/>
            <w:shd w:val="clear" w:color="auto" w:fill="auto"/>
            <w:vAlign w:val="center"/>
          </w:tcPr>
          <w:p w14:paraId="487B5D15">
            <w:pPr>
              <w:pStyle w:val="45"/>
              <w:spacing w:before="300" w:after="300"/>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Nymph</w:t>
            </w:r>
          </w:p>
        </w:tc>
        <w:tc>
          <w:tcPr>
            <w:tcW w:w="261" w:type="pct"/>
            <w:shd w:val="clear" w:color="auto" w:fill="auto"/>
            <w:vAlign w:val="center"/>
          </w:tcPr>
          <w:p w14:paraId="3FAED19C">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Adult</w:t>
            </w:r>
          </w:p>
        </w:tc>
        <w:tc>
          <w:tcPr>
            <w:tcW w:w="261" w:type="pct"/>
            <w:shd w:val="clear" w:color="auto" w:fill="auto"/>
            <w:vAlign w:val="center"/>
          </w:tcPr>
          <w:p w14:paraId="30AC257D">
            <w:pPr>
              <w:pStyle w:val="45"/>
              <w:spacing w:before="300" w:after="300"/>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Nymph</w:t>
            </w:r>
          </w:p>
        </w:tc>
        <w:tc>
          <w:tcPr>
            <w:tcW w:w="261" w:type="pct"/>
            <w:shd w:val="clear" w:color="auto" w:fill="auto"/>
            <w:vAlign w:val="center"/>
          </w:tcPr>
          <w:p w14:paraId="572701C1">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Adult</w:t>
            </w:r>
          </w:p>
        </w:tc>
        <w:tc>
          <w:tcPr>
            <w:tcW w:w="261" w:type="pct"/>
            <w:shd w:val="clear" w:color="auto" w:fill="auto"/>
            <w:vAlign w:val="center"/>
          </w:tcPr>
          <w:p w14:paraId="0E7B1EAF">
            <w:pPr>
              <w:pStyle w:val="45"/>
              <w:spacing w:before="300" w:after="300"/>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Nymph</w:t>
            </w:r>
          </w:p>
        </w:tc>
        <w:tc>
          <w:tcPr>
            <w:tcW w:w="261" w:type="pct"/>
            <w:shd w:val="clear" w:color="auto" w:fill="auto"/>
            <w:vAlign w:val="center"/>
          </w:tcPr>
          <w:p w14:paraId="2454E3B0">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Adult</w:t>
            </w:r>
          </w:p>
        </w:tc>
        <w:tc>
          <w:tcPr>
            <w:tcW w:w="261" w:type="pct"/>
            <w:shd w:val="clear" w:color="auto" w:fill="auto"/>
            <w:vAlign w:val="center"/>
          </w:tcPr>
          <w:p w14:paraId="67AF8EAF">
            <w:pPr>
              <w:pStyle w:val="45"/>
              <w:spacing w:before="300" w:after="300"/>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Nymph</w:t>
            </w:r>
          </w:p>
        </w:tc>
        <w:tc>
          <w:tcPr>
            <w:tcW w:w="261" w:type="pct"/>
            <w:shd w:val="clear" w:color="auto" w:fill="auto"/>
            <w:vAlign w:val="center"/>
          </w:tcPr>
          <w:p w14:paraId="5501AECF">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Adult</w:t>
            </w:r>
          </w:p>
        </w:tc>
        <w:tc>
          <w:tcPr>
            <w:tcW w:w="261" w:type="pct"/>
            <w:shd w:val="clear" w:color="auto" w:fill="auto"/>
            <w:vAlign w:val="center"/>
          </w:tcPr>
          <w:p w14:paraId="3C9C0FDE">
            <w:pPr>
              <w:pStyle w:val="45"/>
              <w:spacing w:before="300" w:after="300"/>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Nymph</w:t>
            </w:r>
          </w:p>
        </w:tc>
        <w:tc>
          <w:tcPr>
            <w:tcW w:w="261" w:type="pct"/>
            <w:shd w:val="clear" w:color="auto" w:fill="auto"/>
            <w:vAlign w:val="center"/>
          </w:tcPr>
          <w:p w14:paraId="4A199B3A">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Adult</w:t>
            </w:r>
          </w:p>
        </w:tc>
        <w:tc>
          <w:tcPr>
            <w:tcW w:w="261" w:type="pct"/>
            <w:shd w:val="clear" w:color="auto" w:fill="auto"/>
            <w:vAlign w:val="center"/>
          </w:tcPr>
          <w:p w14:paraId="5364E945">
            <w:pPr>
              <w:pStyle w:val="45"/>
              <w:spacing w:before="300" w:after="300"/>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Nymph</w:t>
            </w:r>
          </w:p>
        </w:tc>
        <w:tc>
          <w:tcPr>
            <w:tcW w:w="261" w:type="pct"/>
            <w:shd w:val="clear" w:color="auto" w:fill="auto"/>
            <w:vAlign w:val="center"/>
          </w:tcPr>
          <w:p w14:paraId="6155D6CE">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Adult</w:t>
            </w:r>
          </w:p>
        </w:tc>
        <w:tc>
          <w:tcPr>
            <w:tcW w:w="261" w:type="pct"/>
            <w:shd w:val="clear" w:color="auto" w:fill="auto"/>
            <w:vAlign w:val="center"/>
          </w:tcPr>
          <w:p w14:paraId="351E7567">
            <w:pPr>
              <w:pStyle w:val="45"/>
              <w:spacing w:before="300" w:after="300"/>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Nymph</w:t>
            </w:r>
          </w:p>
        </w:tc>
        <w:tc>
          <w:tcPr>
            <w:tcW w:w="274" w:type="pct"/>
            <w:shd w:val="clear" w:color="auto" w:fill="auto"/>
            <w:vAlign w:val="center"/>
          </w:tcPr>
          <w:p w14:paraId="6C8ABEB7">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Adult</w:t>
            </w:r>
          </w:p>
        </w:tc>
        <w:tc>
          <w:tcPr>
            <w:tcW w:w="245" w:type="pct"/>
            <w:vMerge w:val="continue"/>
            <w:shd w:val="clear" w:color="auto" w:fill="auto"/>
            <w:vAlign w:val="center"/>
          </w:tcPr>
          <w:p w14:paraId="21C36B91">
            <w:pPr>
              <w:pStyle w:val="45"/>
              <w:spacing w:before="300" w:after="300"/>
              <w:jc w:val="center"/>
              <w:rPr>
                <w:rFonts w:ascii="Times New Roman" w:hAnsi="Times New Roman" w:cs="Times New Roman"/>
                <w:color w:val="000000"/>
                <w:sz w:val="14"/>
                <w:szCs w:val="14"/>
              </w:rPr>
            </w:pPr>
          </w:p>
        </w:tc>
        <w:tc>
          <w:tcPr>
            <w:tcW w:w="215" w:type="pct"/>
            <w:gridSpan w:val="2"/>
            <w:vMerge w:val="continue"/>
            <w:shd w:val="clear" w:color="auto" w:fill="auto"/>
            <w:vAlign w:val="center"/>
          </w:tcPr>
          <w:p w14:paraId="61026188">
            <w:pPr>
              <w:pStyle w:val="45"/>
              <w:spacing w:before="300" w:after="300"/>
              <w:jc w:val="center"/>
              <w:rPr>
                <w:rFonts w:ascii="Times New Roman" w:hAnsi="Times New Roman" w:cs="Times New Roman"/>
                <w:color w:val="000000"/>
                <w:sz w:val="14"/>
                <w:szCs w:val="14"/>
                <w:highlight w:val="none"/>
              </w:rPr>
            </w:pPr>
          </w:p>
        </w:tc>
      </w:tr>
      <w:tr w14:paraId="52CB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85" w:hRule="atLeast"/>
        </w:trPr>
        <w:tc>
          <w:tcPr>
            <w:tcW w:w="343" w:type="pct"/>
            <w:shd w:val="clear" w:color="auto" w:fill="auto"/>
            <w:vAlign w:val="center"/>
          </w:tcPr>
          <w:p w14:paraId="31826DC2">
            <w:pPr>
              <w:pStyle w:val="45"/>
              <w:spacing w:before="300" w:after="300"/>
              <w:jc w:val="center"/>
              <w:rPr>
                <w:rFonts w:ascii="Times New Roman" w:hAnsi="Times New Roman" w:cs="Times New Roman"/>
                <w:b/>
                <w:bCs/>
                <w:sz w:val="14"/>
                <w:szCs w:val="14"/>
              </w:rPr>
            </w:pPr>
            <w:r>
              <w:rPr>
                <w:rFonts w:ascii="Times New Roman" w:hAnsi="Times New Roman" w:cs="Times New Roman"/>
                <w:b/>
                <w:bCs/>
                <w:sz w:val="14"/>
                <w:szCs w:val="14"/>
              </w:rPr>
              <w:t>Palhallan</w:t>
            </w:r>
          </w:p>
        </w:tc>
        <w:tc>
          <w:tcPr>
            <w:tcW w:w="261" w:type="pct"/>
            <w:shd w:val="clear" w:color="auto" w:fill="auto"/>
            <w:vAlign w:val="center"/>
          </w:tcPr>
          <w:p w14:paraId="73B96C83">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10.2 ± 2.85</w:t>
            </w:r>
          </w:p>
        </w:tc>
        <w:tc>
          <w:tcPr>
            <w:tcW w:w="261" w:type="pct"/>
            <w:shd w:val="clear" w:color="auto" w:fill="auto"/>
            <w:vAlign w:val="center"/>
          </w:tcPr>
          <w:p w14:paraId="2B84D0E8">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1.9 ± 0.99</w:t>
            </w:r>
          </w:p>
        </w:tc>
        <w:tc>
          <w:tcPr>
            <w:tcW w:w="261" w:type="pct"/>
            <w:shd w:val="clear" w:color="auto" w:fill="auto"/>
            <w:vAlign w:val="center"/>
          </w:tcPr>
          <w:p w14:paraId="214F1CBD">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18.6 ± 4.97</w:t>
            </w:r>
          </w:p>
        </w:tc>
        <w:tc>
          <w:tcPr>
            <w:tcW w:w="261" w:type="pct"/>
            <w:shd w:val="clear" w:color="auto" w:fill="auto"/>
            <w:vAlign w:val="center"/>
          </w:tcPr>
          <w:p w14:paraId="730E4AEF">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4.1 ± 0.87</w:t>
            </w:r>
          </w:p>
        </w:tc>
        <w:tc>
          <w:tcPr>
            <w:tcW w:w="261" w:type="pct"/>
            <w:shd w:val="clear" w:color="auto" w:fill="auto"/>
            <w:vAlign w:val="center"/>
          </w:tcPr>
          <w:p w14:paraId="065DAF95">
            <w:pPr>
              <w:pStyle w:val="45"/>
              <w:spacing w:before="300" w:after="300"/>
              <w:jc w:val="center"/>
              <w:rPr>
                <w:rFonts w:ascii="Times New Roman" w:hAnsi="Times New Roman" w:cs="Times New Roman"/>
                <w:color w:val="000000"/>
                <w:sz w:val="14"/>
                <w:szCs w:val="14"/>
              </w:rPr>
            </w:pPr>
            <w:r>
              <w:rPr>
                <w:rFonts w:ascii="Times New Roman" w:hAnsi="Times New Roman" w:cs="Times New Roman"/>
                <w:sz w:val="14"/>
                <w:szCs w:val="14"/>
              </w:rPr>
              <w:t>39.2 ± 1.75</w:t>
            </w:r>
          </w:p>
        </w:tc>
        <w:tc>
          <w:tcPr>
            <w:tcW w:w="261" w:type="pct"/>
            <w:shd w:val="clear" w:color="auto" w:fill="auto"/>
            <w:vAlign w:val="center"/>
          </w:tcPr>
          <w:p w14:paraId="5325AB3D">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7.3 ± 1.76</w:t>
            </w:r>
          </w:p>
        </w:tc>
        <w:tc>
          <w:tcPr>
            <w:tcW w:w="261" w:type="pct"/>
            <w:shd w:val="clear" w:color="auto" w:fill="auto"/>
            <w:vAlign w:val="center"/>
          </w:tcPr>
          <w:p w14:paraId="67272145">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32.8 ± 2.57</w:t>
            </w:r>
          </w:p>
        </w:tc>
        <w:tc>
          <w:tcPr>
            <w:tcW w:w="261" w:type="pct"/>
            <w:shd w:val="clear" w:color="auto" w:fill="auto"/>
            <w:vAlign w:val="center"/>
          </w:tcPr>
          <w:p w14:paraId="6334334C">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6.6 ± 1.34</w:t>
            </w:r>
          </w:p>
        </w:tc>
        <w:tc>
          <w:tcPr>
            <w:tcW w:w="261" w:type="pct"/>
            <w:shd w:val="clear" w:color="auto" w:fill="auto"/>
            <w:vAlign w:val="center"/>
          </w:tcPr>
          <w:p w14:paraId="64A0E5A4">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36.9 ± 2.46</w:t>
            </w:r>
          </w:p>
        </w:tc>
        <w:tc>
          <w:tcPr>
            <w:tcW w:w="261" w:type="pct"/>
            <w:shd w:val="clear" w:color="auto" w:fill="auto"/>
            <w:vAlign w:val="center"/>
          </w:tcPr>
          <w:p w14:paraId="0B96A829">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8.9 ± 1.19</w:t>
            </w:r>
          </w:p>
        </w:tc>
        <w:tc>
          <w:tcPr>
            <w:tcW w:w="261" w:type="pct"/>
            <w:shd w:val="clear" w:color="auto" w:fill="auto"/>
            <w:vAlign w:val="center"/>
          </w:tcPr>
          <w:p w14:paraId="2DBDEFBB">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30.6 ± 1.89</w:t>
            </w:r>
          </w:p>
        </w:tc>
        <w:tc>
          <w:tcPr>
            <w:tcW w:w="261" w:type="pct"/>
            <w:shd w:val="clear" w:color="auto" w:fill="auto"/>
            <w:vAlign w:val="center"/>
          </w:tcPr>
          <w:p w14:paraId="6AA2B3AB">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7.0 ± 0.66</w:t>
            </w:r>
          </w:p>
        </w:tc>
        <w:tc>
          <w:tcPr>
            <w:tcW w:w="261" w:type="pct"/>
            <w:shd w:val="clear" w:color="auto" w:fill="auto"/>
            <w:vAlign w:val="center"/>
          </w:tcPr>
          <w:p w14:paraId="7ED3A60C">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27.8 ± 6.01</w:t>
            </w:r>
          </w:p>
        </w:tc>
        <w:tc>
          <w:tcPr>
            <w:tcW w:w="261" w:type="pct"/>
            <w:shd w:val="clear" w:color="auto" w:fill="auto"/>
            <w:vAlign w:val="center"/>
          </w:tcPr>
          <w:p w14:paraId="18960F07">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5.1 ± 0.99</w:t>
            </w:r>
          </w:p>
        </w:tc>
        <w:tc>
          <w:tcPr>
            <w:tcW w:w="261" w:type="pct"/>
            <w:shd w:val="clear" w:color="auto" w:fill="auto"/>
            <w:vAlign w:val="center"/>
          </w:tcPr>
          <w:p w14:paraId="4FCB2BFA">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24.1 ± 2.23</w:t>
            </w:r>
          </w:p>
        </w:tc>
        <w:tc>
          <w:tcPr>
            <w:tcW w:w="274" w:type="pct"/>
            <w:shd w:val="clear" w:color="auto" w:fill="auto"/>
            <w:vAlign w:val="center"/>
          </w:tcPr>
          <w:p w14:paraId="4062E4A5">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3.9 ± 0.99</w:t>
            </w:r>
          </w:p>
        </w:tc>
        <w:tc>
          <w:tcPr>
            <w:tcW w:w="245" w:type="pct"/>
            <w:shd w:val="clear" w:color="auto" w:fill="auto"/>
            <w:vAlign w:val="center"/>
          </w:tcPr>
          <w:p w14:paraId="2CEA6B14">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33.12</w:t>
            </w:r>
          </w:p>
        </w:tc>
        <w:tc>
          <w:tcPr>
            <w:tcW w:w="215" w:type="pct"/>
            <w:gridSpan w:val="2"/>
            <w:vMerge w:val="restart"/>
            <w:shd w:val="clear" w:color="auto" w:fill="auto"/>
            <w:vAlign w:val="center"/>
          </w:tcPr>
          <w:p w14:paraId="381AAFA3">
            <w:pPr>
              <w:pStyle w:val="45"/>
              <w:spacing w:before="300" w:after="300"/>
              <w:jc w:val="center"/>
              <w:rPr>
                <w:rFonts w:ascii="Times New Roman" w:hAnsi="Times New Roman" w:cs="Times New Roman"/>
                <w:b/>
                <w:bCs/>
                <w:color w:val="000000"/>
                <w:sz w:val="12"/>
                <w:szCs w:val="12"/>
                <w:highlight w:val="none"/>
              </w:rPr>
            </w:pPr>
            <w:r>
              <w:rPr>
                <w:rFonts w:ascii="Times New Roman" w:hAnsi="Times New Roman" w:cs="Times New Roman"/>
                <w:b/>
                <w:bCs/>
                <w:color w:val="000000"/>
                <w:sz w:val="12"/>
                <w:szCs w:val="12"/>
                <w:highlight w:val="none"/>
              </w:rPr>
              <w:t>30.76</w:t>
            </w:r>
          </w:p>
          <w:p w14:paraId="72D0E417">
            <w:pPr>
              <w:pStyle w:val="45"/>
              <w:spacing w:before="300" w:after="300"/>
              <w:jc w:val="center"/>
              <w:rPr>
                <w:rFonts w:ascii="Times New Roman" w:hAnsi="Times New Roman" w:cs="Times New Roman"/>
                <w:color w:val="000000"/>
                <w:sz w:val="14"/>
                <w:szCs w:val="14"/>
                <w:highlight w:val="none"/>
              </w:rPr>
            </w:pPr>
          </w:p>
        </w:tc>
      </w:tr>
      <w:tr w14:paraId="7911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236" w:hRule="atLeast"/>
        </w:trPr>
        <w:tc>
          <w:tcPr>
            <w:tcW w:w="343" w:type="pct"/>
            <w:shd w:val="clear" w:color="auto" w:fill="auto"/>
            <w:vAlign w:val="center"/>
          </w:tcPr>
          <w:p w14:paraId="5C198537">
            <w:pPr>
              <w:pStyle w:val="45"/>
              <w:spacing w:before="300" w:after="300"/>
              <w:rPr>
                <w:rFonts w:ascii="Times New Roman" w:hAnsi="Times New Roman" w:cs="Times New Roman"/>
                <w:b/>
                <w:bCs/>
                <w:sz w:val="12"/>
                <w:szCs w:val="12"/>
              </w:rPr>
            </w:pPr>
            <w:r>
              <w:rPr>
                <w:rFonts w:ascii="Times New Roman" w:hAnsi="Times New Roman" w:cs="Times New Roman"/>
                <w:b/>
                <w:bCs/>
                <w:sz w:val="12"/>
                <w:szCs w:val="12"/>
              </w:rPr>
              <w:t>Nihalpora</w:t>
            </w:r>
          </w:p>
        </w:tc>
        <w:tc>
          <w:tcPr>
            <w:tcW w:w="261" w:type="pct"/>
            <w:shd w:val="clear" w:color="auto" w:fill="auto"/>
            <w:vAlign w:val="center"/>
          </w:tcPr>
          <w:p w14:paraId="5A18690B">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8.1 ± 33</w:t>
            </w:r>
          </w:p>
        </w:tc>
        <w:tc>
          <w:tcPr>
            <w:tcW w:w="261" w:type="pct"/>
            <w:shd w:val="clear" w:color="auto" w:fill="auto"/>
            <w:vAlign w:val="center"/>
          </w:tcPr>
          <w:p w14:paraId="7582B192">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1.5 ± 1.08</w:t>
            </w:r>
          </w:p>
        </w:tc>
        <w:tc>
          <w:tcPr>
            <w:tcW w:w="261" w:type="pct"/>
            <w:shd w:val="clear" w:color="auto" w:fill="auto"/>
            <w:vAlign w:val="center"/>
          </w:tcPr>
          <w:p w14:paraId="31E3216E">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14.6 ± 2.11</w:t>
            </w:r>
          </w:p>
        </w:tc>
        <w:tc>
          <w:tcPr>
            <w:tcW w:w="261" w:type="pct"/>
            <w:shd w:val="clear" w:color="auto" w:fill="auto"/>
            <w:vAlign w:val="center"/>
          </w:tcPr>
          <w:p w14:paraId="7186484F">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2.9 ± 0.73</w:t>
            </w:r>
          </w:p>
        </w:tc>
        <w:tc>
          <w:tcPr>
            <w:tcW w:w="261" w:type="pct"/>
            <w:shd w:val="clear" w:color="auto" w:fill="auto"/>
            <w:vAlign w:val="center"/>
          </w:tcPr>
          <w:p w14:paraId="4790E640">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35.9 ± 3.81</w:t>
            </w:r>
          </w:p>
        </w:tc>
        <w:tc>
          <w:tcPr>
            <w:tcW w:w="261" w:type="pct"/>
            <w:shd w:val="clear" w:color="auto" w:fill="auto"/>
            <w:vAlign w:val="center"/>
          </w:tcPr>
          <w:p w14:paraId="1CDE004A">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6.2 ± 0.78</w:t>
            </w:r>
          </w:p>
        </w:tc>
        <w:tc>
          <w:tcPr>
            <w:tcW w:w="261" w:type="pct"/>
            <w:shd w:val="clear" w:color="auto" w:fill="auto"/>
            <w:vAlign w:val="center"/>
          </w:tcPr>
          <w:p w14:paraId="0BBDE4F6">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28.0 ± 6.64</w:t>
            </w:r>
          </w:p>
        </w:tc>
        <w:tc>
          <w:tcPr>
            <w:tcW w:w="261" w:type="pct"/>
            <w:shd w:val="clear" w:color="auto" w:fill="auto"/>
            <w:vAlign w:val="center"/>
          </w:tcPr>
          <w:p w14:paraId="0F056F30">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5.2 ± 0.42</w:t>
            </w:r>
          </w:p>
        </w:tc>
        <w:tc>
          <w:tcPr>
            <w:tcW w:w="261" w:type="pct"/>
            <w:shd w:val="clear" w:color="auto" w:fill="auto"/>
            <w:vAlign w:val="center"/>
          </w:tcPr>
          <w:p w14:paraId="5E87324B">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32.1 ± 2.47</w:t>
            </w:r>
          </w:p>
        </w:tc>
        <w:tc>
          <w:tcPr>
            <w:tcW w:w="261" w:type="pct"/>
            <w:shd w:val="clear" w:color="auto" w:fill="auto"/>
            <w:vAlign w:val="center"/>
          </w:tcPr>
          <w:p w14:paraId="03A14762">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6.6 ± 0.51</w:t>
            </w:r>
          </w:p>
        </w:tc>
        <w:tc>
          <w:tcPr>
            <w:tcW w:w="261" w:type="pct"/>
            <w:shd w:val="clear" w:color="auto" w:fill="auto"/>
            <w:vAlign w:val="center"/>
          </w:tcPr>
          <w:p w14:paraId="5D3C2FCD">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28.3 ± 3.19</w:t>
            </w:r>
          </w:p>
        </w:tc>
        <w:tc>
          <w:tcPr>
            <w:tcW w:w="261" w:type="pct"/>
            <w:shd w:val="clear" w:color="auto" w:fill="auto"/>
            <w:vAlign w:val="center"/>
          </w:tcPr>
          <w:p w14:paraId="6902A3F6">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4.7 ± 0.48</w:t>
            </w:r>
          </w:p>
        </w:tc>
        <w:tc>
          <w:tcPr>
            <w:tcW w:w="261" w:type="pct"/>
            <w:shd w:val="clear" w:color="auto" w:fill="auto"/>
            <w:vAlign w:val="center"/>
          </w:tcPr>
          <w:p w14:paraId="25590210">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25.9 ± 3.81</w:t>
            </w:r>
          </w:p>
        </w:tc>
        <w:tc>
          <w:tcPr>
            <w:tcW w:w="261" w:type="pct"/>
            <w:shd w:val="clear" w:color="auto" w:fill="auto"/>
            <w:vAlign w:val="center"/>
          </w:tcPr>
          <w:p w14:paraId="62B0F6A7">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3.2 ± 1.47</w:t>
            </w:r>
          </w:p>
        </w:tc>
        <w:tc>
          <w:tcPr>
            <w:tcW w:w="261" w:type="pct"/>
            <w:shd w:val="clear" w:color="auto" w:fill="auto"/>
            <w:vAlign w:val="center"/>
          </w:tcPr>
          <w:p w14:paraId="39F35283">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21.8 ± 2.65</w:t>
            </w:r>
          </w:p>
        </w:tc>
        <w:tc>
          <w:tcPr>
            <w:tcW w:w="274" w:type="pct"/>
            <w:shd w:val="clear" w:color="auto" w:fill="auto"/>
            <w:vAlign w:val="center"/>
          </w:tcPr>
          <w:p w14:paraId="46B1505E">
            <w:pPr>
              <w:pStyle w:val="45"/>
              <w:spacing w:before="300" w:after="300"/>
              <w:jc w:val="center"/>
              <w:rPr>
                <w:rFonts w:ascii="Times New Roman" w:hAnsi="Times New Roman" w:cs="Times New Roman"/>
                <w:color w:val="000000"/>
                <w:sz w:val="14"/>
                <w:szCs w:val="14"/>
              </w:rPr>
            </w:pPr>
            <w:r>
              <w:rPr>
                <w:rFonts w:ascii="Times New Roman" w:hAnsi="Times New Roman" w:cs="Times New Roman"/>
                <w:color w:val="000000"/>
                <w:sz w:val="14"/>
                <w:szCs w:val="14"/>
              </w:rPr>
              <w:t>2.2 ± 0.42</w:t>
            </w:r>
          </w:p>
        </w:tc>
        <w:tc>
          <w:tcPr>
            <w:tcW w:w="245" w:type="pct"/>
            <w:shd w:val="clear" w:color="auto" w:fill="auto"/>
            <w:vAlign w:val="center"/>
          </w:tcPr>
          <w:p w14:paraId="1B650BC1">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28.40</w:t>
            </w:r>
          </w:p>
        </w:tc>
        <w:tc>
          <w:tcPr>
            <w:tcW w:w="215" w:type="pct"/>
            <w:gridSpan w:val="2"/>
            <w:vMerge w:val="continue"/>
            <w:shd w:val="clear" w:color="auto" w:fill="auto"/>
            <w:vAlign w:val="center"/>
          </w:tcPr>
          <w:p w14:paraId="0E80AA48">
            <w:pPr>
              <w:pStyle w:val="45"/>
              <w:spacing w:before="300" w:after="300"/>
              <w:jc w:val="center"/>
              <w:rPr>
                <w:rFonts w:ascii="Times New Roman" w:hAnsi="Times New Roman" w:cs="Times New Roman"/>
                <w:color w:val="000000"/>
                <w:sz w:val="14"/>
                <w:szCs w:val="14"/>
              </w:rPr>
            </w:pPr>
          </w:p>
        </w:tc>
      </w:tr>
      <w:tr w14:paraId="58F5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112" w:hRule="atLeast"/>
        </w:trPr>
        <w:tc>
          <w:tcPr>
            <w:tcW w:w="343" w:type="pct"/>
            <w:shd w:val="clear" w:color="auto" w:fill="auto"/>
            <w:vAlign w:val="center"/>
          </w:tcPr>
          <w:p w14:paraId="26781361">
            <w:pPr>
              <w:pStyle w:val="45"/>
              <w:spacing w:before="300" w:after="300"/>
              <w:jc w:val="center"/>
              <w:rPr>
                <w:rFonts w:ascii="Times New Roman" w:hAnsi="Times New Roman" w:cs="Times New Roman"/>
                <w:b/>
                <w:bCs/>
                <w:sz w:val="14"/>
                <w:szCs w:val="14"/>
              </w:rPr>
            </w:pPr>
            <w:r>
              <w:rPr>
                <w:rFonts w:ascii="Times New Roman" w:hAnsi="Times New Roman" w:cs="Times New Roman"/>
                <w:b/>
                <w:bCs/>
                <w:sz w:val="14"/>
                <w:szCs w:val="14"/>
              </w:rPr>
              <w:t>Mean</w:t>
            </w:r>
          </w:p>
        </w:tc>
        <w:tc>
          <w:tcPr>
            <w:tcW w:w="522" w:type="pct"/>
            <w:gridSpan w:val="2"/>
            <w:shd w:val="clear" w:color="auto" w:fill="auto"/>
            <w:vAlign w:val="center"/>
          </w:tcPr>
          <w:p w14:paraId="678C2C41">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10.85</w:t>
            </w:r>
          </w:p>
        </w:tc>
        <w:tc>
          <w:tcPr>
            <w:tcW w:w="522" w:type="pct"/>
            <w:gridSpan w:val="2"/>
            <w:shd w:val="clear" w:color="auto" w:fill="auto"/>
            <w:vAlign w:val="center"/>
          </w:tcPr>
          <w:p w14:paraId="078AA66A">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20.10</w:t>
            </w:r>
          </w:p>
        </w:tc>
        <w:tc>
          <w:tcPr>
            <w:tcW w:w="522" w:type="pct"/>
            <w:gridSpan w:val="2"/>
            <w:shd w:val="clear" w:color="auto" w:fill="auto"/>
            <w:vAlign w:val="center"/>
          </w:tcPr>
          <w:p w14:paraId="6D1EDA17">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44.30</w:t>
            </w:r>
          </w:p>
        </w:tc>
        <w:tc>
          <w:tcPr>
            <w:tcW w:w="522" w:type="pct"/>
            <w:gridSpan w:val="2"/>
            <w:shd w:val="clear" w:color="auto" w:fill="auto"/>
            <w:vAlign w:val="center"/>
          </w:tcPr>
          <w:p w14:paraId="53A19D4A">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36.30</w:t>
            </w:r>
          </w:p>
        </w:tc>
        <w:tc>
          <w:tcPr>
            <w:tcW w:w="522" w:type="pct"/>
            <w:gridSpan w:val="2"/>
            <w:shd w:val="clear" w:color="auto" w:fill="auto"/>
            <w:vAlign w:val="center"/>
          </w:tcPr>
          <w:p w14:paraId="7A1C0050">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42.25</w:t>
            </w:r>
          </w:p>
        </w:tc>
        <w:tc>
          <w:tcPr>
            <w:tcW w:w="522" w:type="pct"/>
            <w:gridSpan w:val="2"/>
            <w:shd w:val="clear" w:color="auto" w:fill="auto"/>
            <w:vAlign w:val="center"/>
          </w:tcPr>
          <w:p w14:paraId="1F44F480">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35.30</w:t>
            </w:r>
          </w:p>
        </w:tc>
        <w:tc>
          <w:tcPr>
            <w:tcW w:w="522" w:type="pct"/>
            <w:gridSpan w:val="2"/>
            <w:shd w:val="clear" w:color="auto" w:fill="auto"/>
            <w:vAlign w:val="center"/>
          </w:tcPr>
          <w:p w14:paraId="33649AA8">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31.00</w:t>
            </w:r>
          </w:p>
        </w:tc>
        <w:tc>
          <w:tcPr>
            <w:tcW w:w="535" w:type="pct"/>
            <w:gridSpan w:val="2"/>
            <w:shd w:val="clear" w:color="auto" w:fill="auto"/>
            <w:vAlign w:val="center"/>
          </w:tcPr>
          <w:p w14:paraId="358DF5CD">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26.00</w:t>
            </w:r>
          </w:p>
        </w:tc>
        <w:tc>
          <w:tcPr>
            <w:tcW w:w="245" w:type="pct"/>
            <w:shd w:val="clear" w:color="auto" w:fill="auto"/>
            <w:vAlign w:val="center"/>
          </w:tcPr>
          <w:p w14:paraId="221B79FD">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30.76</w:t>
            </w:r>
          </w:p>
        </w:tc>
        <w:tc>
          <w:tcPr>
            <w:tcW w:w="215" w:type="pct"/>
            <w:gridSpan w:val="2"/>
            <w:vMerge w:val="continue"/>
            <w:shd w:val="clear" w:color="auto" w:fill="auto"/>
            <w:vAlign w:val="center"/>
          </w:tcPr>
          <w:p w14:paraId="1323A173">
            <w:pPr>
              <w:pStyle w:val="45"/>
              <w:spacing w:before="300" w:after="300"/>
              <w:jc w:val="center"/>
              <w:rPr>
                <w:rFonts w:ascii="Times New Roman" w:hAnsi="Times New Roman" w:cs="Times New Roman"/>
                <w:color w:val="000000"/>
                <w:sz w:val="14"/>
                <w:szCs w:val="14"/>
              </w:rPr>
            </w:pPr>
          </w:p>
        </w:tc>
      </w:tr>
    </w:tbl>
    <w:p w14:paraId="5BFBB7A0">
      <w:pPr>
        <w:pStyle w:val="45"/>
        <w:rPr>
          <w:rFonts w:ascii="Times New Roman" w:hAnsi="Times New Roman" w:cs="Times New Roman"/>
          <w:b/>
          <w:sz w:val="14"/>
          <w:szCs w:val="14"/>
        </w:rPr>
      </w:pPr>
      <w:r>
        <w:rPr>
          <w:rFonts w:ascii="Times New Roman" w:hAnsi="Times New Roman" w:cs="Times New Roman"/>
          <w:b/>
          <w:sz w:val="20"/>
          <w:szCs w:val="20"/>
        </w:rPr>
        <w:t>*</w:t>
      </w:r>
      <w:r>
        <w:rPr>
          <w:rFonts w:ascii="Times New Roman" w:hAnsi="Times New Roman" w:cs="Times New Roman"/>
          <w:b/>
          <w:sz w:val="14"/>
          <w:szCs w:val="14"/>
        </w:rPr>
        <w:t>Each</w:t>
      </w:r>
      <w:r>
        <w:rPr>
          <w:rFonts w:ascii="Times New Roman" w:hAnsi="Times New Roman" w:cs="Times New Roman"/>
          <w:b/>
          <w:spacing w:val="-2"/>
          <w:sz w:val="14"/>
          <w:szCs w:val="14"/>
        </w:rPr>
        <w:t xml:space="preserve"> </w:t>
      </w:r>
      <w:r>
        <w:rPr>
          <w:rFonts w:ascii="Times New Roman" w:hAnsi="Times New Roman" w:cs="Times New Roman"/>
          <w:b/>
          <w:sz w:val="14"/>
          <w:szCs w:val="14"/>
        </w:rPr>
        <w:t>figure is</w:t>
      </w:r>
      <w:r>
        <w:rPr>
          <w:rFonts w:ascii="Times New Roman" w:hAnsi="Times New Roman" w:cs="Times New Roman"/>
          <w:b/>
          <w:spacing w:val="-2"/>
          <w:sz w:val="14"/>
          <w:szCs w:val="14"/>
        </w:rPr>
        <w:t xml:space="preserve"> </w:t>
      </w:r>
      <w:r>
        <w:rPr>
          <w:rFonts w:ascii="Times New Roman" w:hAnsi="Times New Roman" w:cs="Times New Roman"/>
          <w:b/>
          <w:sz w:val="14"/>
          <w:szCs w:val="14"/>
        </w:rPr>
        <w:t>a</w:t>
      </w:r>
      <w:r>
        <w:rPr>
          <w:rFonts w:ascii="Times New Roman" w:hAnsi="Times New Roman" w:cs="Times New Roman"/>
          <w:b/>
          <w:spacing w:val="3"/>
          <w:sz w:val="14"/>
          <w:szCs w:val="14"/>
        </w:rPr>
        <w:t xml:space="preserve"> </w:t>
      </w:r>
      <w:r>
        <w:rPr>
          <w:rFonts w:ascii="Times New Roman" w:hAnsi="Times New Roman" w:cs="Times New Roman"/>
          <w:b/>
          <w:sz w:val="14"/>
          <w:szCs w:val="14"/>
        </w:rPr>
        <w:t>mean</w:t>
      </w:r>
      <w:r>
        <w:rPr>
          <w:rFonts w:ascii="Times New Roman" w:hAnsi="Times New Roman" w:cs="Times New Roman"/>
          <w:b/>
          <w:spacing w:val="-1"/>
          <w:sz w:val="14"/>
          <w:szCs w:val="14"/>
        </w:rPr>
        <w:t xml:space="preserve"> </w:t>
      </w:r>
      <w:r>
        <w:rPr>
          <w:rFonts w:ascii="Times New Roman" w:hAnsi="Times New Roman" w:cs="Times New Roman"/>
          <w:b/>
          <w:sz w:val="14"/>
          <w:szCs w:val="14"/>
        </w:rPr>
        <w:t>of</w:t>
      </w:r>
      <w:r>
        <w:rPr>
          <w:rFonts w:ascii="Times New Roman" w:hAnsi="Times New Roman" w:cs="Times New Roman"/>
          <w:b/>
          <w:spacing w:val="-3"/>
          <w:sz w:val="14"/>
          <w:szCs w:val="14"/>
        </w:rPr>
        <w:t xml:space="preserve"> </w:t>
      </w:r>
      <w:r>
        <w:rPr>
          <w:rFonts w:ascii="Times New Roman" w:hAnsi="Times New Roman" w:cs="Times New Roman"/>
          <w:b/>
          <w:sz w:val="14"/>
          <w:szCs w:val="14"/>
        </w:rPr>
        <w:t>10</w:t>
      </w:r>
      <w:r>
        <w:rPr>
          <w:rFonts w:ascii="Times New Roman" w:hAnsi="Times New Roman" w:cs="Times New Roman"/>
          <w:b/>
          <w:spacing w:val="1"/>
          <w:sz w:val="14"/>
          <w:szCs w:val="14"/>
        </w:rPr>
        <w:t xml:space="preserve"> </w:t>
      </w:r>
      <w:r>
        <w:rPr>
          <w:rFonts w:ascii="Times New Roman" w:hAnsi="Times New Roman" w:cs="Times New Roman"/>
          <w:b/>
          <w:sz w:val="14"/>
          <w:szCs w:val="14"/>
        </w:rPr>
        <w:t>replication</w:t>
      </w:r>
    </w:p>
    <w:p w14:paraId="62C0684A">
      <w:pPr>
        <w:pStyle w:val="45"/>
        <w:rPr>
          <w:rFonts w:ascii="Times New Roman" w:hAnsi="Times New Roman" w:cs="Times New Roman"/>
          <w:b/>
          <w:sz w:val="14"/>
          <w:szCs w:val="14"/>
        </w:rPr>
      </w:pPr>
      <w:r>
        <w:rPr>
          <w:rFonts w:ascii="Times New Roman" w:hAnsi="Times New Roman" w:cs="Times New Roman"/>
          <w:b/>
          <w:sz w:val="14"/>
          <w:szCs w:val="14"/>
        </w:rPr>
        <w:t>Population count was taken on a 1ft branch</w:t>
      </w:r>
    </w:p>
    <w:p w14:paraId="0A732DB8">
      <w:pPr>
        <w:pStyle w:val="35"/>
        <w:spacing w:line="240" w:lineRule="auto"/>
        <w:rPr>
          <w:rFonts w:cs="Times New Roman"/>
          <w:sz w:val="20"/>
          <w:szCs w:val="20"/>
          <w:lang w:eastAsia="en-IN"/>
        </w:rPr>
      </w:pPr>
    </w:p>
    <w:p w14:paraId="51274E15">
      <w:pPr>
        <w:spacing w:line="240" w:lineRule="auto"/>
        <w:rPr>
          <w:rFonts w:ascii="Times New Roman" w:hAnsi="Times New Roman" w:cs="Times New Roman"/>
          <w:b/>
          <w:bCs/>
          <w:sz w:val="20"/>
          <w:szCs w:val="20"/>
        </w:rPr>
      </w:pPr>
    </w:p>
    <w:p w14:paraId="22D7225A">
      <w:pPr>
        <w:spacing w:line="240" w:lineRule="auto"/>
        <w:rPr>
          <w:rFonts w:ascii="Times New Roman" w:hAnsi="Times New Roman" w:cs="Times New Roman"/>
          <w:b/>
          <w:bCs/>
          <w:sz w:val="20"/>
          <w:szCs w:val="20"/>
        </w:rPr>
      </w:pPr>
    </w:p>
    <w:p w14:paraId="2CF17810">
      <w:pPr>
        <w:pStyle w:val="2"/>
        <w:tabs>
          <w:tab w:val="left" w:pos="709"/>
        </w:tabs>
        <w:spacing w:before="120" w:after="120" w:line="240" w:lineRule="auto"/>
        <w:ind w:left="1440" w:hanging="144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Table</w:t>
      </w:r>
      <w:r>
        <w:rPr>
          <w:rFonts w:ascii="Times New Roman" w:hAnsi="Times New Roman" w:cs="Times New Roman"/>
          <w:b/>
          <w:bCs/>
          <w:color w:val="000000"/>
          <w:spacing w:val="-1"/>
          <w:sz w:val="20"/>
          <w:szCs w:val="20"/>
        </w:rPr>
        <w:t xml:space="preserve"> </w:t>
      </w:r>
      <w:r>
        <w:rPr>
          <w:rFonts w:ascii="Times New Roman" w:hAnsi="Times New Roman" w:cs="Times New Roman"/>
          <w:b/>
          <w:bCs/>
          <w:color w:val="000000"/>
          <w:sz w:val="20"/>
          <w:szCs w:val="20"/>
        </w:rPr>
        <w:t>2:</w:t>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Seasonal</w:t>
      </w:r>
      <w:r>
        <w:rPr>
          <w:rFonts w:ascii="Times New Roman" w:hAnsi="Times New Roman" w:cs="Times New Roman"/>
          <w:b/>
          <w:bCs/>
          <w:color w:val="000000"/>
          <w:spacing w:val="46"/>
          <w:sz w:val="20"/>
          <w:szCs w:val="20"/>
        </w:rPr>
        <w:t xml:space="preserve"> </w:t>
      </w:r>
      <w:r>
        <w:rPr>
          <w:rFonts w:ascii="Times New Roman" w:hAnsi="Times New Roman" w:cs="Times New Roman"/>
          <w:b/>
          <w:bCs/>
          <w:color w:val="000000"/>
          <w:sz w:val="20"/>
          <w:szCs w:val="20"/>
        </w:rPr>
        <w:t>incidence</w:t>
      </w:r>
      <w:r>
        <w:rPr>
          <w:rFonts w:ascii="Times New Roman" w:hAnsi="Times New Roman" w:cs="Times New Roman"/>
          <w:b/>
          <w:bCs/>
          <w:color w:val="000000"/>
          <w:spacing w:val="43"/>
          <w:sz w:val="20"/>
          <w:szCs w:val="20"/>
        </w:rPr>
        <w:t xml:space="preserve"> </w:t>
      </w:r>
      <w:r>
        <w:rPr>
          <w:rFonts w:ascii="Times New Roman" w:hAnsi="Times New Roman" w:cs="Times New Roman"/>
          <w:b/>
          <w:bCs/>
          <w:color w:val="000000"/>
          <w:sz w:val="20"/>
          <w:szCs w:val="20"/>
        </w:rPr>
        <w:t>of</w:t>
      </w:r>
      <w:r>
        <w:rPr>
          <w:rFonts w:ascii="Times New Roman" w:hAnsi="Times New Roman" w:cs="Times New Roman"/>
          <w:b/>
          <w:bCs/>
          <w:color w:val="000000"/>
          <w:spacing w:val="49"/>
          <w:sz w:val="20"/>
          <w:szCs w:val="20"/>
        </w:rPr>
        <w:t xml:space="preserve"> </w:t>
      </w:r>
      <w:r>
        <w:rPr>
          <w:rFonts w:ascii="Times New Roman" w:hAnsi="Times New Roman" w:cs="Times New Roman"/>
          <w:b/>
          <w:bCs/>
          <w:color w:val="000000"/>
          <w:sz w:val="20"/>
          <w:szCs w:val="20"/>
        </w:rPr>
        <w:t>Pear</w:t>
      </w:r>
      <w:r>
        <w:rPr>
          <w:rFonts w:ascii="Times New Roman" w:hAnsi="Times New Roman" w:cs="Times New Roman"/>
          <w:b/>
          <w:bCs/>
          <w:color w:val="000000"/>
          <w:spacing w:val="46"/>
          <w:sz w:val="20"/>
          <w:szCs w:val="20"/>
        </w:rPr>
        <w:t xml:space="preserve"> </w:t>
      </w:r>
      <w:r>
        <w:rPr>
          <w:rFonts w:ascii="Times New Roman" w:hAnsi="Times New Roman" w:cs="Times New Roman"/>
          <w:b/>
          <w:bCs/>
          <w:color w:val="000000"/>
          <w:sz w:val="20"/>
          <w:szCs w:val="20"/>
        </w:rPr>
        <w:t>Psylla</w:t>
      </w:r>
      <w:r>
        <w:rPr>
          <w:rFonts w:ascii="Times New Roman" w:hAnsi="Times New Roman" w:cs="Times New Roman"/>
          <w:b/>
          <w:bCs/>
          <w:color w:val="000000"/>
          <w:spacing w:val="49"/>
          <w:sz w:val="20"/>
          <w:szCs w:val="20"/>
        </w:rPr>
        <w:t xml:space="preserve"> </w:t>
      </w:r>
      <w:r>
        <w:rPr>
          <w:rFonts w:ascii="Times New Roman" w:hAnsi="Times New Roman" w:cs="Times New Roman"/>
          <w:b/>
          <w:bCs/>
          <w:color w:val="000000"/>
          <w:sz w:val="20"/>
          <w:szCs w:val="20"/>
        </w:rPr>
        <w:t>(</w:t>
      </w:r>
      <w:r>
        <w:rPr>
          <w:rFonts w:ascii="Times New Roman" w:hAnsi="Times New Roman" w:cs="Times New Roman"/>
          <w:b/>
          <w:bCs/>
          <w:i/>
          <w:iCs/>
          <w:color w:val="000000"/>
          <w:sz w:val="20"/>
          <w:szCs w:val="20"/>
        </w:rPr>
        <w:t>Cacopsylla pyricola</w:t>
      </w:r>
      <w:r>
        <w:rPr>
          <w:rFonts w:ascii="Times New Roman" w:hAnsi="Times New Roman" w:cs="Times New Roman"/>
          <w:b/>
          <w:bCs/>
          <w:color w:val="000000"/>
          <w:sz w:val="20"/>
          <w:szCs w:val="20"/>
        </w:rPr>
        <w:t>)</w:t>
      </w:r>
      <w:r>
        <w:rPr>
          <w:rFonts w:ascii="Times New Roman" w:hAnsi="Times New Roman" w:cs="Times New Roman"/>
          <w:b/>
          <w:bCs/>
          <w:color w:val="000000"/>
          <w:spacing w:val="48"/>
          <w:sz w:val="20"/>
          <w:szCs w:val="20"/>
        </w:rPr>
        <w:t xml:space="preserve"> </w:t>
      </w:r>
      <w:r>
        <w:rPr>
          <w:rFonts w:ascii="Times New Roman" w:hAnsi="Times New Roman" w:cs="Times New Roman"/>
          <w:b/>
          <w:bCs/>
          <w:color w:val="000000"/>
          <w:sz w:val="20"/>
          <w:szCs w:val="20"/>
        </w:rPr>
        <w:t>on</w:t>
      </w:r>
      <w:r>
        <w:rPr>
          <w:rFonts w:ascii="Times New Roman" w:hAnsi="Times New Roman" w:cs="Times New Roman"/>
          <w:b/>
          <w:bCs/>
          <w:color w:val="000000"/>
          <w:spacing w:val="46"/>
          <w:sz w:val="20"/>
          <w:szCs w:val="20"/>
        </w:rPr>
        <w:t xml:space="preserve"> </w:t>
      </w:r>
      <w:r>
        <w:rPr>
          <w:rFonts w:ascii="Times New Roman" w:hAnsi="Times New Roman" w:cs="Times New Roman"/>
          <w:b/>
          <w:bCs/>
          <w:color w:val="000000"/>
          <w:sz w:val="20"/>
          <w:szCs w:val="20"/>
        </w:rPr>
        <w:t>pear</w:t>
      </w:r>
      <w:r>
        <w:rPr>
          <w:rFonts w:ascii="Times New Roman" w:hAnsi="Times New Roman" w:cs="Times New Roman"/>
          <w:b/>
          <w:bCs/>
          <w:color w:val="000000"/>
          <w:spacing w:val="46"/>
          <w:sz w:val="20"/>
          <w:szCs w:val="20"/>
        </w:rPr>
        <w:t xml:space="preserve"> </w:t>
      </w:r>
      <w:r>
        <w:rPr>
          <w:rFonts w:ascii="Times New Roman" w:hAnsi="Times New Roman" w:cs="Times New Roman"/>
          <w:b/>
          <w:bCs/>
          <w:color w:val="000000"/>
          <w:sz w:val="20"/>
          <w:szCs w:val="20"/>
        </w:rPr>
        <w:t>at</w:t>
      </w:r>
      <w:r>
        <w:rPr>
          <w:rFonts w:ascii="Times New Roman" w:hAnsi="Times New Roman" w:cs="Times New Roman"/>
          <w:b/>
          <w:bCs/>
          <w:color w:val="000000"/>
          <w:spacing w:val="45"/>
          <w:sz w:val="20"/>
          <w:szCs w:val="20"/>
        </w:rPr>
        <w:t xml:space="preserve"> </w:t>
      </w:r>
      <w:r>
        <w:rPr>
          <w:rFonts w:ascii="Times New Roman" w:hAnsi="Times New Roman" w:cs="Times New Roman"/>
          <w:b/>
          <w:bCs/>
          <w:color w:val="000000"/>
          <w:sz w:val="20"/>
          <w:szCs w:val="20"/>
        </w:rPr>
        <w:t>different</w:t>
      </w:r>
      <w:r>
        <w:rPr>
          <w:rFonts w:ascii="Times New Roman" w:hAnsi="Times New Roman" w:cs="Times New Roman"/>
          <w:b/>
          <w:bCs/>
          <w:color w:val="000000"/>
          <w:spacing w:val="49"/>
          <w:sz w:val="20"/>
          <w:szCs w:val="20"/>
        </w:rPr>
        <w:t xml:space="preserve"> </w:t>
      </w:r>
      <w:r>
        <w:rPr>
          <w:rFonts w:ascii="Times New Roman" w:hAnsi="Times New Roman" w:cs="Times New Roman"/>
          <w:b/>
          <w:bCs/>
          <w:color w:val="000000"/>
          <w:sz w:val="20"/>
          <w:szCs w:val="20"/>
        </w:rPr>
        <w:t>locations</w:t>
      </w:r>
      <w:r>
        <w:rPr>
          <w:rFonts w:ascii="Times New Roman" w:hAnsi="Times New Roman" w:cs="Times New Roman"/>
          <w:b/>
          <w:bCs/>
          <w:color w:val="000000"/>
          <w:spacing w:val="47"/>
          <w:sz w:val="20"/>
          <w:szCs w:val="20"/>
        </w:rPr>
        <w:t xml:space="preserve"> </w:t>
      </w:r>
      <w:r>
        <w:rPr>
          <w:rFonts w:ascii="Times New Roman" w:hAnsi="Times New Roman" w:cs="Times New Roman"/>
          <w:b/>
          <w:bCs/>
          <w:color w:val="000000"/>
          <w:sz w:val="20"/>
          <w:szCs w:val="20"/>
        </w:rPr>
        <w:t>in</w:t>
      </w:r>
      <w:r>
        <w:rPr>
          <w:rFonts w:ascii="Times New Roman" w:hAnsi="Times New Roman" w:cs="Times New Roman"/>
          <w:b/>
          <w:bCs/>
          <w:color w:val="000000"/>
          <w:spacing w:val="-67"/>
          <w:sz w:val="20"/>
          <w:szCs w:val="20"/>
        </w:rPr>
        <w:t xml:space="preserve"> </w:t>
      </w:r>
      <w:r>
        <w:rPr>
          <w:rFonts w:ascii="Times New Roman" w:hAnsi="Times New Roman" w:cs="Times New Roman"/>
          <w:b/>
          <w:bCs/>
          <w:color w:val="000000"/>
          <w:sz w:val="20"/>
          <w:szCs w:val="20"/>
        </w:rPr>
        <w:t>district Srinagar during the</w:t>
      </w:r>
      <w:r>
        <w:rPr>
          <w:rFonts w:ascii="Times New Roman" w:hAnsi="Times New Roman" w:cs="Times New Roman"/>
          <w:b/>
          <w:bCs/>
          <w:color w:val="000000"/>
          <w:spacing w:val="-1"/>
          <w:sz w:val="20"/>
          <w:szCs w:val="20"/>
        </w:rPr>
        <w:t xml:space="preserve"> </w:t>
      </w:r>
      <w:r>
        <w:rPr>
          <w:rFonts w:ascii="Times New Roman" w:hAnsi="Times New Roman" w:cs="Times New Roman"/>
          <w:b/>
          <w:bCs/>
          <w:color w:val="000000"/>
          <w:sz w:val="20"/>
          <w:szCs w:val="20"/>
        </w:rPr>
        <w:t>year</w:t>
      </w:r>
      <w:r>
        <w:rPr>
          <w:rFonts w:ascii="Times New Roman" w:hAnsi="Times New Roman" w:cs="Times New Roman"/>
          <w:b/>
          <w:bCs/>
          <w:color w:val="000000"/>
          <w:spacing w:val="-3"/>
          <w:sz w:val="20"/>
          <w:szCs w:val="20"/>
        </w:rPr>
        <w:t xml:space="preserve"> </w:t>
      </w:r>
      <w:r>
        <w:rPr>
          <w:rFonts w:ascii="Times New Roman" w:hAnsi="Times New Roman" w:cs="Times New Roman"/>
          <w:b/>
          <w:bCs/>
          <w:color w:val="000000"/>
          <w:sz w:val="20"/>
          <w:szCs w:val="20"/>
        </w:rPr>
        <w:t xml:space="preserve">2023 </w:t>
      </w:r>
    </w:p>
    <w:tbl>
      <w:tblPr>
        <w:tblStyle w:val="5"/>
        <w:tblW w:w="11669"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67"/>
        <w:gridCol w:w="567"/>
        <w:gridCol w:w="709"/>
        <w:gridCol w:w="567"/>
        <w:gridCol w:w="709"/>
        <w:gridCol w:w="567"/>
        <w:gridCol w:w="567"/>
        <w:gridCol w:w="567"/>
        <w:gridCol w:w="567"/>
        <w:gridCol w:w="567"/>
        <w:gridCol w:w="567"/>
        <w:gridCol w:w="567"/>
        <w:gridCol w:w="567"/>
        <w:gridCol w:w="567"/>
        <w:gridCol w:w="567"/>
        <w:gridCol w:w="709"/>
        <w:gridCol w:w="567"/>
        <w:gridCol w:w="875"/>
        <w:gridCol w:w="20"/>
      </w:tblGrid>
      <w:tr w14:paraId="0E81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09" w:type="dxa"/>
            <w:vMerge w:val="restart"/>
            <w:shd w:val="clear" w:color="auto" w:fill="auto"/>
            <w:vAlign w:val="center"/>
          </w:tcPr>
          <w:p w14:paraId="4697C4B2">
            <w:pPr>
              <w:pStyle w:val="45"/>
              <w:spacing w:before="300" w:after="300"/>
              <w:jc w:val="center"/>
              <w:rPr>
                <w:rFonts w:ascii="Times New Roman" w:hAnsi="Times New Roman" w:cs="Times New Roman"/>
                <w:b/>
                <w:bCs/>
                <w:sz w:val="14"/>
                <w:szCs w:val="14"/>
              </w:rPr>
            </w:pPr>
          </w:p>
          <w:p w14:paraId="4761B40F">
            <w:pPr>
              <w:pStyle w:val="45"/>
              <w:spacing w:before="300" w:after="300"/>
              <w:jc w:val="center"/>
              <w:rPr>
                <w:rFonts w:ascii="Times New Roman" w:hAnsi="Times New Roman" w:cs="Times New Roman"/>
                <w:b/>
                <w:bCs/>
                <w:sz w:val="14"/>
                <w:szCs w:val="14"/>
              </w:rPr>
            </w:pPr>
          </w:p>
          <w:p w14:paraId="0A4583A9">
            <w:pPr>
              <w:pStyle w:val="45"/>
              <w:spacing w:before="300" w:after="300"/>
              <w:jc w:val="center"/>
              <w:rPr>
                <w:rFonts w:ascii="Times New Roman" w:hAnsi="Times New Roman" w:cs="Times New Roman"/>
                <w:b/>
                <w:bCs/>
                <w:sz w:val="14"/>
                <w:szCs w:val="14"/>
              </w:rPr>
            </w:pPr>
          </w:p>
          <w:p w14:paraId="27D8A690">
            <w:pPr>
              <w:pStyle w:val="45"/>
              <w:spacing w:before="300" w:after="300"/>
              <w:jc w:val="center"/>
              <w:rPr>
                <w:rFonts w:ascii="Times New Roman" w:hAnsi="Times New Roman" w:cs="Times New Roman"/>
                <w:b/>
                <w:bCs/>
                <w:sz w:val="12"/>
                <w:szCs w:val="12"/>
              </w:rPr>
            </w:pPr>
            <w:r>
              <w:rPr>
                <w:rFonts w:ascii="Times New Roman" w:hAnsi="Times New Roman" w:cs="Times New Roman"/>
                <w:b/>
                <w:bCs/>
                <w:sz w:val="12"/>
                <w:szCs w:val="12"/>
              </w:rPr>
              <w:t>Srinagar</w:t>
            </w:r>
          </w:p>
          <w:p w14:paraId="3D7AB6AF">
            <w:pPr>
              <w:pStyle w:val="45"/>
              <w:spacing w:before="300" w:after="300"/>
              <w:jc w:val="center"/>
              <w:rPr>
                <w:rFonts w:ascii="Times New Roman" w:hAnsi="Times New Roman" w:cs="Times New Roman"/>
                <w:b/>
                <w:bCs/>
                <w:sz w:val="14"/>
                <w:szCs w:val="14"/>
              </w:rPr>
            </w:pPr>
          </w:p>
        </w:tc>
        <w:tc>
          <w:tcPr>
            <w:tcW w:w="9498" w:type="dxa"/>
            <w:gridSpan w:val="16"/>
            <w:shd w:val="clear" w:color="auto" w:fill="auto"/>
            <w:vAlign w:val="center"/>
          </w:tcPr>
          <w:p w14:paraId="27BF1F48">
            <w:pPr>
              <w:pStyle w:val="45"/>
              <w:spacing w:before="300" w:after="30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Standard</w:t>
            </w:r>
            <w:r>
              <w:rPr>
                <w:rFonts w:ascii="Times New Roman" w:hAnsi="Times New Roman" w:cs="Times New Roman"/>
                <w:b/>
                <w:bCs/>
                <w:color w:val="000000"/>
                <w:spacing w:val="-6"/>
                <w:sz w:val="18"/>
                <w:szCs w:val="18"/>
              </w:rPr>
              <w:t xml:space="preserve"> </w:t>
            </w:r>
            <w:r>
              <w:rPr>
                <w:rFonts w:ascii="Times New Roman" w:hAnsi="Times New Roman" w:cs="Times New Roman"/>
                <w:b/>
                <w:bCs/>
                <w:color w:val="000000"/>
                <w:sz w:val="18"/>
                <w:szCs w:val="18"/>
              </w:rPr>
              <w:t>Meteorological</w:t>
            </w:r>
            <w:r>
              <w:rPr>
                <w:rFonts w:ascii="Times New Roman" w:hAnsi="Times New Roman" w:cs="Times New Roman"/>
                <w:b/>
                <w:bCs/>
                <w:color w:val="000000"/>
                <w:spacing w:val="-5"/>
                <w:sz w:val="18"/>
                <w:szCs w:val="18"/>
              </w:rPr>
              <w:t xml:space="preserve"> </w:t>
            </w:r>
            <w:r>
              <w:rPr>
                <w:rFonts w:ascii="Times New Roman" w:hAnsi="Times New Roman" w:cs="Times New Roman"/>
                <w:b/>
                <w:bCs/>
                <w:color w:val="000000"/>
                <w:sz w:val="18"/>
                <w:szCs w:val="18"/>
              </w:rPr>
              <w:t>Weeks</w:t>
            </w:r>
            <w:r>
              <w:rPr>
                <w:rFonts w:ascii="Times New Roman" w:hAnsi="Times New Roman" w:cs="Times New Roman"/>
                <w:b/>
                <w:bCs/>
                <w:color w:val="000000"/>
                <w:spacing w:val="-3"/>
                <w:sz w:val="18"/>
                <w:szCs w:val="18"/>
              </w:rPr>
              <w:t xml:space="preserve"> </w:t>
            </w:r>
            <w:r>
              <w:rPr>
                <w:rFonts w:ascii="Times New Roman" w:hAnsi="Times New Roman" w:cs="Times New Roman"/>
                <w:b/>
                <w:bCs/>
                <w:color w:val="000000"/>
                <w:sz w:val="18"/>
                <w:szCs w:val="18"/>
              </w:rPr>
              <w:t>(SMW)</w:t>
            </w:r>
          </w:p>
        </w:tc>
        <w:tc>
          <w:tcPr>
            <w:tcW w:w="567" w:type="dxa"/>
            <w:shd w:val="clear" w:color="auto" w:fill="auto"/>
            <w:vAlign w:val="center"/>
          </w:tcPr>
          <w:p w14:paraId="6A1FE079">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Mean</w:t>
            </w:r>
          </w:p>
        </w:tc>
        <w:tc>
          <w:tcPr>
            <w:tcW w:w="895" w:type="dxa"/>
            <w:gridSpan w:val="2"/>
            <w:shd w:val="clear" w:color="auto" w:fill="auto"/>
            <w:vAlign w:val="center"/>
          </w:tcPr>
          <w:p w14:paraId="63F3818F">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pacing w:val="-1"/>
                <w:sz w:val="14"/>
                <w:szCs w:val="14"/>
              </w:rPr>
              <w:t>Overall</w:t>
            </w:r>
          </w:p>
          <w:p w14:paraId="0FBE319B">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Mean</w:t>
            </w:r>
          </w:p>
        </w:tc>
      </w:tr>
      <w:tr w14:paraId="4AC5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6" w:hRule="atLeast"/>
        </w:trPr>
        <w:tc>
          <w:tcPr>
            <w:tcW w:w="709" w:type="dxa"/>
            <w:vMerge w:val="continue"/>
            <w:shd w:val="clear" w:color="auto" w:fill="auto"/>
            <w:vAlign w:val="center"/>
          </w:tcPr>
          <w:p w14:paraId="21074CC8">
            <w:pPr>
              <w:pStyle w:val="45"/>
              <w:spacing w:before="300" w:after="300"/>
              <w:jc w:val="center"/>
              <w:rPr>
                <w:rFonts w:ascii="Times New Roman" w:hAnsi="Times New Roman" w:cs="Times New Roman"/>
                <w:sz w:val="14"/>
                <w:szCs w:val="14"/>
              </w:rPr>
            </w:pPr>
          </w:p>
        </w:tc>
        <w:tc>
          <w:tcPr>
            <w:tcW w:w="1134" w:type="dxa"/>
            <w:gridSpan w:val="2"/>
            <w:shd w:val="clear" w:color="auto" w:fill="auto"/>
            <w:vAlign w:val="center"/>
          </w:tcPr>
          <w:p w14:paraId="30195638">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20 SMW</w:t>
            </w:r>
          </w:p>
        </w:tc>
        <w:tc>
          <w:tcPr>
            <w:tcW w:w="1276" w:type="dxa"/>
            <w:gridSpan w:val="2"/>
            <w:shd w:val="clear" w:color="auto" w:fill="auto"/>
            <w:vAlign w:val="center"/>
          </w:tcPr>
          <w:p w14:paraId="570D79B6">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22 SMW</w:t>
            </w:r>
          </w:p>
        </w:tc>
        <w:tc>
          <w:tcPr>
            <w:tcW w:w="1276" w:type="dxa"/>
            <w:gridSpan w:val="2"/>
            <w:shd w:val="clear" w:color="auto" w:fill="auto"/>
            <w:vAlign w:val="center"/>
          </w:tcPr>
          <w:p w14:paraId="3B030D04">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24 SMW</w:t>
            </w:r>
          </w:p>
        </w:tc>
        <w:tc>
          <w:tcPr>
            <w:tcW w:w="1134" w:type="dxa"/>
            <w:gridSpan w:val="2"/>
            <w:shd w:val="clear" w:color="auto" w:fill="auto"/>
            <w:vAlign w:val="center"/>
          </w:tcPr>
          <w:p w14:paraId="7F171A61">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26 SMW</w:t>
            </w:r>
          </w:p>
        </w:tc>
        <w:tc>
          <w:tcPr>
            <w:tcW w:w="1134" w:type="dxa"/>
            <w:gridSpan w:val="2"/>
            <w:shd w:val="clear" w:color="auto" w:fill="auto"/>
            <w:vAlign w:val="center"/>
          </w:tcPr>
          <w:p w14:paraId="345C09D4">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28 SMW</w:t>
            </w:r>
          </w:p>
        </w:tc>
        <w:tc>
          <w:tcPr>
            <w:tcW w:w="1134" w:type="dxa"/>
            <w:gridSpan w:val="2"/>
            <w:shd w:val="clear" w:color="auto" w:fill="auto"/>
            <w:vAlign w:val="center"/>
          </w:tcPr>
          <w:p w14:paraId="49F1D6F7">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30 SMW</w:t>
            </w:r>
          </w:p>
        </w:tc>
        <w:tc>
          <w:tcPr>
            <w:tcW w:w="1134" w:type="dxa"/>
            <w:gridSpan w:val="2"/>
            <w:shd w:val="clear" w:color="auto" w:fill="auto"/>
            <w:vAlign w:val="center"/>
          </w:tcPr>
          <w:p w14:paraId="5DD0B079">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32 SMW</w:t>
            </w:r>
          </w:p>
        </w:tc>
        <w:tc>
          <w:tcPr>
            <w:tcW w:w="1276" w:type="dxa"/>
            <w:gridSpan w:val="2"/>
            <w:shd w:val="clear" w:color="auto" w:fill="auto"/>
            <w:vAlign w:val="center"/>
          </w:tcPr>
          <w:p w14:paraId="2A0EFDA1">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34 SMW</w:t>
            </w:r>
          </w:p>
        </w:tc>
        <w:tc>
          <w:tcPr>
            <w:tcW w:w="567" w:type="dxa"/>
            <w:vMerge w:val="restart"/>
            <w:shd w:val="clear" w:color="auto" w:fill="auto"/>
            <w:vAlign w:val="center"/>
          </w:tcPr>
          <w:p w14:paraId="1C24E401">
            <w:pPr>
              <w:pStyle w:val="45"/>
              <w:spacing w:before="300" w:after="300"/>
              <w:jc w:val="center"/>
              <w:rPr>
                <w:rFonts w:ascii="Times New Roman" w:hAnsi="Times New Roman" w:cs="Times New Roman"/>
                <w:color w:val="000000"/>
                <w:sz w:val="14"/>
                <w:szCs w:val="14"/>
              </w:rPr>
            </w:pPr>
          </w:p>
        </w:tc>
        <w:tc>
          <w:tcPr>
            <w:tcW w:w="875" w:type="dxa"/>
            <w:vMerge w:val="restart"/>
            <w:shd w:val="clear" w:color="auto" w:fill="auto"/>
            <w:vAlign w:val="center"/>
          </w:tcPr>
          <w:p w14:paraId="4E4BBE06">
            <w:pPr>
              <w:pStyle w:val="45"/>
              <w:spacing w:before="300" w:after="300"/>
              <w:jc w:val="center"/>
              <w:rPr>
                <w:rFonts w:ascii="Times New Roman" w:hAnsi="Times New Roman" w:cs="Times New Roman"/>
                <w:color w:val="000000"/>
                <w:sz w:val="14"/>
                <w:szCs w:val="14"/>
              </w:rPr>
            </w:pPr>
          </w:p>
        </w:tc>
      </w:tr>
      <w:tr w14:paraId="2DB4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3" w:hRule="atLeast"/>
        </w:trPr>
        <w:tc>
          <w:tcPr>
            <w:tcW w:w="709" w:type="dxa"/>
            <w:vMerge w:val="continue"/>
            <w:shd w:val="clear" w:color="auto" w:fill="auto"/>
            <w:vAlign w:val="center"/>
          </w:tcPr>
          <w:p w14:paraId="206A1E11">
            <w:pPr>
              <w:pStyle w:val="45"/>
              <w:spacing w:before="300" w:after="300"/>
              <w:jc w:val="center"/>
              <w:rPr>
                <w:rFonts w:ascii="Times New Roman" w:hAnsi="Times New Roman" w:cs="Times New Roman"/>
                <w:sz w:val="14"/>
                <w:szCs w:val="14"/>
              </w:rPr>
            </w:pPr>
          </w:p>
        </w:tc>
        <w:tc>
          <w:tcPr>
            <w:tcW w:w="567" w:type="dxa"/>
            <w:shd w:val="clear" w:color="auto" w:fill="auto"/>
            <w:vAlign w:val="center"/>
          </w:tcPr>
          <w:p w14:paraId="22104499">
            <w:pPr>
              <w:pStyle w:val="45"/>
              <w:spacing w:before="300" w:after="300"/>
              <w:jc w:val="center"/>
              <w:rPr>
                <w:rFonts w:ascii="Times New Roman" w:hAnsi="Times New Roman" w:cs="Times New Roman"/>
                <w:b/>
                <w:bCs/>
                <w:color w:val="000000"/>
                <w:sz w:val="11"/>
                <w:szCs w:val="11"/>
              </w:rPr>
            </w:pPr>
            <w:r>
              <w:rPr>
                <w:rFonts w:ascii="Times New Roman" w:hAnsi="Times New Roman" w:cs="Times New Roman"/>
                <w:b/>
                <w:bCs/>
                <w:color w:val="000000"/>
                <w:sz w:val="11"/>
                <w:szCs w:val="11"/>
              </w:rPr>
              <w:t>Nymph</w:t>
            </w:r>
          </w:p>
        </w:tc>
        <w:tc>
          <w:tcPr>
            <w:tcW w:w="567" w:type="dxa"/>
            <w:shd w:val="clear" w:color="auto" w:fill="auto"/>
            <w:vAlign w:val="center"/>
          </w:tcPr>
          <w:p w14:paraId="652473ED">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Adult</w:t>
            </w:r>
          </w:p>
        </w:tc>
        <w:tc>
          <w:tcPr>
            <w:tcW w:w="709" w:type="dxa"/>
            <w:shd w:val="clear" w:color="auto" w:fill="auto"/>
            <w:vAlign w:val="center"/>
          </w:tcPr>
          <w:p w14:paraId="42803CD7">
            <w:pPr>
              <w:pStyle w:val="45"/>
              <w:spacing w:before="300" w:after="300"/>
              <w:jc w:val="center"/>
              <w:rPr>
                <w:rFonts w:ascii="Times New Roman" w:hAnsi="Times New Roman" w:cs="Times New Roman"/>
                <w:b/>
                <w:bCs/>
                <w:color w:val="000000"/>
                <w:sz w:val="11"/>
                <w:szCs w:val="11"/>
              </w:rPr>
            </w:pPr>
            <w:r>
              <w:rPr>
                <w:rFonts w:ascii="Times New Roman" w:hAnsi="Times New Roman" w:cs="Times New Roman"/>
                <w:b/>
                <w:bCs/>
                <w:color w:val="000000"/>
                <w:sz w:val="11"/>
                <w:szCs w:val="11"/>
              </w:rPr>
              <w:t>Nymph</w:t>
            </w:r>
          </w:p>
        </w:tc>
        <w:tc>
          <w:tcPr>
            <w:tcW w:w="567" w:type="dxa"/>
            <w:shd w:val="clear" w:color="auto" w:fill="auto"/>
            <w:vAlign w:val="center"/>
          </w:tcPr>
          <w:p w14:paraId="4CAAD39B">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Adult</w:t>
            </w:r>
          </w:p>
        </w:tc>
        <w:tc>
          <w:tcPr>
            <w:tcW w:w="709" w:type="dxa"/>
            <w:shd w:val="clear" w:color="auto" w:fill="auto"/>
            <w:vAlign w:val="center"/>
          </w:tcPr>
          <w:p w14:paraId="5084B06F">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Nymph</w:t>
            </w:r>
          </w:p>
        </w:tc>
        <w:tc>
          <w:tcPr>
            <w:tcW w:w="567" w:type="dxa"/>
            <w:shd w:val="clear" w:color="auto" w:fill="auto"/>
            <w:vAlign w:val="center"/>
          </w:tcPr>
          <w:p w14:paraId="0D7164F9">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Adult</w:t>
            </w:r>
          </w:p>
        </w:tc>
        <w:tc>
          <w:tcPr>
            <w:tcW w:w="567" w:type="dxa"/>
            <w:shd w:val="clear" w:color="auto" w:fill="auto"/>
            <w:vAlign w:val="center"/>
          </w:tcPr>
          <w:p w14:paraId="523B6558">
            <w:pPr>
              <w:pStyle w:val="45"/>
              <w:spacing w:before="300" w:after="300"/>
              <w:jc w:val="center"/>
              <w:rPr>
                <w:rFonts w:ascii="Times New Roman" w:hAnsi="Times New Roman" w:cs="Times New Roman"/>
                <w:b/>
                <w:bCs/>
                <w:color w:val="000000"/>
                <w:sz w:val="11"/>
                <w:szCs w:val="11"/>
              </w:rPr>
            </w:pPr>
            <w:r>
              <w:rPr>
                <w:rFonts w:ascii="Times New Roman" w:hAnsi="Times New Roman" w:cs="Times New Roman"/>
                <w:b/>
                <w:bCs/>
                <w:color w:val="000000"/>
                <w:sz w:val="11"/>
                <w:szCs w:val="11"/>
              </w:rPr>
              <w:t>Nymph</w:t>
            </w:r>
          </w:p>
        </w:tc>
        <w:tc>
          <w:tcPr>
            <w:tcW w:w="567" w:type="dxa"/>
            <w:shd w:val="clear" w:color="auto" w:fill="auto"/>
            <w:vAlign w:val="center"/>
          </w:tcPr>
          <w:p w14:paraId="4BABC659">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Adult</w:t>
            </w:r>
          </w:p>
        </w:tc>
        <w:tc>
          <w:tcPr>
            <w:tcW w:w="567" w:type="dxa"/>
            <w:shd w:val="clear" w:color="auto" w:fill="auto"/>
            <w:vAlign w:val="center"/>
          </w:tcPr>
          <w:p w14:paraId="17E514F5">
            <w:pPr>
              <w:pStyle w:val="45"/>
              <w:spacing w:before="300" w:after="300"/>
              <w:jc w:val="center"/>
              <w:rPr>
                <w:rFonts w:ascii="Times New Roman" w:hAnsi="Times New Roman" w:cs="Times New Roman"/>
                <w:b/>
                <w:bCs/>
                <w:color w:val="000000"/>
                <w:sz w:val="11"/>
                <w:szCs w:val="11"/>
              </w:rPr>
            </w:pPr>
            <w:r>
              <w:rPr>
                <w:rFonts w:ascii="Times New Roman" w:hAnsi="Times New Roman" w:cs="Times New Roman"/>
                <w:b/>
                <w:bCs/>
                <w:color w:val="000000"/>
                <w:sz w:val="11"/>
                <w:szCs w:val="11"/>
              </w:rPr>
              <w:t>Nymph</w:t>
            </w:r>
          </w:p>
        </w:tc>
        <w:tc>
          <w:tcPr>
            <w:tcW w:w="567" w:type="dxa"/>
            <w:shd w:val="clear" w:color="auto" w:fill="auto"/>
            <w:vAlign w:val="center"/>
          </w:tcPr>
          <w:p w14:paraId="4A61BF90">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Adult</w:t>
            </w:r>
          </w:p>
        </w:tc>
        <w:tc>
          <w:tcPr>
            <w:tcW w:w="567" w:type="dxa"/>
            <w:shd w:val="clear" w:color="auto" w:fill="auto"/>
            <w:vAlign w:val="center"/>
          </w:tcPr>
          <w:p w14:paraId="22FED8DF">
            <w:pPr>
              <w:pStyle w:val="45"/>
              <w:spacing w:before="300" w:after="300"/>
              <w:jc w:val="center"/>
              <w:rPr>
                <w:rFonts w:ascii="Times New Roman" w:hAnsi="Times New Roman" w:cs="Times New Roman"/>
                <w:b/>
                <w:bCs/>
                <w:color w:val="000000"/>
                <w:sz w:val="11"/>
                <w:szCs w:val="11"/>
              </w:rPr>
            </w:pPr>
            <w:r>
              <w:rPr>
                <w:rFonts w:ascii="Times New Roman" w:hAnsi="Times New Roman" w:cs="Times New Roman"/>
                <w:b/>
                <w:bCs/>
                <w:color w:val="000000"/>
                <w:sz w:val="11"/>
                <w:szCs w:val="11"/>
              </w:rPr>
              <w:t>Nymph</w:t>
            </w:r>
          </w:p>
        </w:tc>
        <w:tc>
          <w:tcPr>
            <w:tcW w:w="567" w:type="dxa"/>
            <w:shd w:val="clear" w:color="auto" w:fill="auto"/>
            <w:vAlign w:val="center"/>
          </w:tcPr>
          <w:p w14:paraId="25D2A985">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Adult</w:t>
            </w:r>
          </w:p>
        </w:tc>
        <w:tc>
          <w:tcPr>
            <w:tcW w:w="567" w:type="dxa"/>
            <w:shd w:val="clear" w:color="auto" w:fill="auto"/>
            <w:vAlign w:val="center"/>
          </w:tcPr>
          <w:p w14:paraId="1DBE2A3C">
            <w:pPr>
              <w:pStyle w:val="45"/>
              <w:spacing w:before="300" w:after="300"/>
              <w:jc w:val="center"/>
              <w:rPr>
                <w:rFonts w:ascii="Times New Roman" w:hAnsi="Times New Roman" w:cs="Times New Roman"/>
                <w:b/>
                <w:bCs/>
                <w:color w:val="000000"/>
                <w:sz w:val="11"/>
                <w:szCs w:val="11"/>
              </w:rPr>
            </w:pPr>
            <w:r>
              <w:rPr>
                <w:rFonts w:ascii="Times New Roman" w:hAnsi="Times New Roman" w:cs="Times New Roman"/>
                <w:b/>
                <w:bCs/>
                <w:color w:val="000000"/>
                <w:sz w:val="11"/>
                <w:szCs w:val="11"/>
              </w:rPr>
              <w:t>Nymph</w:t>
            </w:r>
          </w:p>
        </w:tc>
        <w:tc>
          <w:tcPr>
            <w:tcW w:w="567" w:type="dxa"/>
            <w:shd w:val="clear" w:color="auto" w:fill="auto"/>
            <w:vAlign w:val="center"/>
          </w:tcPr>
          <w:p w14:paraId="23670E40">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Adult</w:t>
            </w:r>
          </w:p>
        </w:tc>
        <w:tc>
          <w:tcPr>
            <w:tcW w:w="567" w:type="dxa"/>
            <w:shd w:val="clear" w:color="auto" w:fill="auto"/>
            <w:vAlign w:val="center"/>
          </w:tcPr>
          <w:p w14:paraId="439A678B">
            <w:pPr>
              <w:pStyle w:val="45"/>
              <w:spacing w:before="300" w:after="300"/>
              <w:jc w:val="center"/>
              <w:rPr>
                <w:rFonts w:ascii="Times New Roman" w:hAnsi="Times New Roman" w:cs="Times New Roman"/>
                <w:b/>
                <w:bCs/>
                <w:color w:val="000000"/>
                <w:sz w:val="11"/>
                <w:szCs w:val="11"/>
              </w:rPr>
            </w:pPr>
            <w:r>
              <w:rPr>
                <w:rFonts w:ascii="Times New Roman" w:hAnsi="Times New Roman" w:cs="Times New Roman"/>
                <w:b/>
                <w:bCs/>
                <w:color w:val="000000"/>
                <w:sz w:val="11"/>
                <w:szCs w:val="11"/>
              </w:rPr>
              <w:t>Nymph</w:t>
            </w:r>
          </w:p>
        </w:tc>
        <w:tc>
          <w:tcPr>
            <w:tcW w:w="709" w:type="dxa"/>
            <w:shd w:val="clear" w:color="auto" w:fill="auto"/>
            <w:vAlign w:val="center"/>
          </w:tcPr>
          <w:p w14:paraId="1583257A">
            <w:pPr>
              <w:pStyle w:val="45"/>
              <w:spacing w:before="300" w:after="300"/>
              <w:jc w:val="center"/>
              <w:rPr>
                <w:rFonts w:ascii="Times New Roman" w:hAnsi="Times New Roman" w:cs="Times New Roman"/>
                <w:b/>
                <w:bCs/>
                <w:color w:val="000000"/>
                <w:sz w:val="14"/>
                <w:szCs w:val="14"/>
              </w:rPr>
            </w:pPr>
            <w:r>
              <w:rPr>
                <w:rFonts w:ascii="Times New Roman" w:hAnsi="Times New Roman" w:cs="Times New Roman"/>
                <w:b/>
                <w:bCs/>
                <w:color w:val="000000"/>
                <w:sz w:val="14"/>
                <w:szCs w:val="14"/>
              </w:rPr>
              <w:t>Adult</w:t>
            </w:r>
          </w:p>
        </w:tc>
        <w:tc>
          <w:tcPr>
            <w:tcW w:w="567" w:type="dxa"/>
            <w:vMerge w:val="continue"/>
            <w:shd w:val="clear" w:color="auto" w:fill="auto"/>
            <w:vAlign w:val="center"/>
          </w:tcPr>
          <w:p w14:paraId="634174F6">
            <w:pPr>
              <w:pStyle w:val="45"/>
              <w:spacing w:before="300" w:after="300"/>
              <w:jc w:val="center"/>
              <w:rPr>
                <w:rFonts w:ascii="Times New Roman" w:hAnsi="Times New Roman" w:cs="Times New Roman"/>
                <w:color w:val="000000"/>
                <w:sz w:val="14"/>
                <w:szCs w:val="14"/>
              </w:rPr>
            </w:pPr>
          </w:p>
        </w:tc>
        <w:tc>
          <w:tcPr>
            <w:tcW w:w="875" w:type="dxa"/>
            <w:vMerge w:val="continue"/>
            <w:shd w:val="clear" w:color="auto" w:fill="auto"/>
            <w:vAlign w:val="center"/>
          </w:tcPr>
          <w:p w14:paraId="6130F1AF">
            <w:pPr>
              <w:pStyle w:val="45"/>
              <w:spacing w:before="300" w:after="300"/>
              <w:jc w:val="center"/>
              <w:rPr>
                <w:rFonts w:ascii="Times New Roman" w:hAnsi="Times New Roman" w:cs="Times New Roman"/>
                <w:color w:val="000000"/>
                <w:sz w:val="14"/>
                <w:szCs w:val="14"/>
              </w:rPr>
            </w:pPr>
          </w:p>
        </w:tc>
      </w:tr>
      <w:tr w14:paraId="7525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72" w:hRule="atLeast"/>
        </w:trPr>
        <w:tc>
          <w:tcPr>
            <w:tcW w:w="709" w:type="dxa"/>
            <w:shd w:val="clear" w:color="auto" w:fill="auto"/>
            <w:vAlign w:val="center"/>
          </w:tcPr>
          <w:p w14:paraId="0715E1B1">
            <w:pPr>
              <w:pStyle w:val="45"/>
              <w:spacing w:before="300" w:after="300"/>
              <w:jc w:val="center"/>
              <w:rPr>
                <w:rFonts w:ascii="Times New Roman" w:hAnsi="Times New Roman" w:cs="Times New Roman"/>
                <w:b/>
                <w:bCs/>
                <w:sz w:val="14"/>
                <w:szCs w:val="14"/>
              </w:rPr>
            </w:pPr>
            <w:r>
              <w:rPr>
                <w:rFonts w:ascii="Times New Roman" w:hAnsi="Times New Roman" w:cs="Times New Roman"/>
                <w:b/>
                <w:bCs/>
                <w:sz w:val="14"/>
                <w:szCs w:val="14"/>
              </w:rPr>
              <w:t>Harwan</w:t>
            </w:r>
          </w:p>
        </w:tc>
        <w:tc>
          <w:tcPr>
            <w:tcW w:w="567" w:type="dxa"/>
            <w:shd w:val="clear" w:color="auto" w:fill="auto"/>
            <w:vAlign w:val="center"/>
          </w:tcPr>
          <w:p w14:paraId="6D7FE876">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6.3 ± 1.56*</w:t>
            </w:r>
          </w:p>
        </w:tc>
        <w:tc>
          <w:tcPr>
            <w:tcW w:w="567" w:type="dxa"/>
            <w:shd w:val="clear" w:color="auto" w:fill="auto"/>
            <w:vAlign w:val="center"/>
          </w:tcPr>
          <w:p w14:paraId="5F05FAAA">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1.5 ± 1.08</w:t>
            </w:r>
          </w:p>
        </w:tc>
        <w:tc>
          <w:tcPr>
            <w:tcW w:w="709" w:type="dxa"/>
            <w:shd w:val="clear" w:color="auto" w:fill="auto"/>
            <w:vAlign w:val="center"/>
          </w:tcPr>
          <w:p w14:paraId="036E3915">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12.8 ± 2.29</w:t>
            </w:r>
          </w:p>
        </w:tc>
        <w:tc>
          <w:tcPr>
            <w:tcW w:w="567" w:type="dxa"/>
            <w:shd w:val="clear" w:color="auto" w:fill="auto"/>
            <w:vAlign w:val="center"/>
          </w:tcPr>
          <w:p w14:paraId="36908EA1">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2.2 ± 0.63</w:t>
            </w:r>
          </w:p>
        </w:tc>
        <w:tc>
          <w:tcPr>
            <w:tcW w:w="709" w:type="dxa"/>
            <w:shd w:val="clear" w:color="auto" w:fill="auto"/>
            <w:vAlign w:val="center"/>
          </w:tcPr>
          <w:p w14:paraId="62BC9293">
            <w:pPr>
              <w:pStyle w:val="45"/>
              <w:spacing w:before="300" w:after="300"/>
              <w:jc w:val="center"/>
              <w:rPr>
                <w:rFonts w:ascii="Times New Roman" w:hAnsi="Times New Roman" w:cs="Times New Roman"/>
                <w:sz w:val="14"/>
                <w:szCs w:val="14"/>
              </w:rPr>
            </w:pPr>
            <w:r>
              <w:rPr>
                <w:rFonts w:ascii="Times New Roman" w:hAnsi="Times New Roman" w:cs="Times New Roman"/>
                <w:bCs/>
                <w:sz w:val="14"/>
                <w:szCs w:val="14"/>
              </w:rPr>
              <w:t>30.6 ± 3.16</w:t>
            </w:r>
          </w:p>
        </w:tc>
        <w:tc>
          <w:tcPr>
            <w:tcW w:w="567" w:type="dxa"/>
            <w:shd w:val="clear" w:color="auto" w:fill="auto"/>
            <w:vAlign w:val="center"/>
          </w:tcPr>
          <w:p w14:paraId="774FF44E">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5.0 ± 1.05</w:t>
            </w:r>
          </w:p>
        </w:tc>
        <w:tc>
          <w:tcPr>
            <w:tcW w:w="567" w:type="dxa"/>
            <w:shd w:val="clear" w:color="auto" w:fill="auto"/>
            <w:vAlign w:val="center"/>
          </w:tcPr>
          <w:p w14:paraId="515C4B8C">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26.3 ± 3.33</w:t>
            </w:r>
          </w:p>
        </w:tc>
        <w:tc>
          <w:tcPr>
            <w:tcW w:w="567" w:type="dxa"/>
            <w:shd w:val="clear" w:color="auto" w:fill="auto"/>
            <w:vAlign w:val="center"/>
          </w:tcPr>
          <w:p w14:paraId="5CCB1366">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4.0 ± 0.66</w:t>
            </w:r>
          </w:p>
        </w:tc>
        <w:tc>
          <w:tcPr>
            <w:tcW w:w="567" w:type="dxa"/>
            <w:shd w:val="clear" w:color="auto" w:fill="auto"/>
            <w:vAlign w:val="center"/>
          </w:tcPr>
          <w:p w14:paraId="75B40C37">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29.5 ± 3.13</w:t>
            </w:r>
          </w:p>
        </w:tc>
        <w:tc>
          <w:tcPr>
            <w:tcW w:w="567" w:type="dxa"/>
            <w:shd w:val="clear" w:color="auto" w:fill="auto"/>
            <w:vAlign w:val="center"/>
          </w:tcPr>
          <w:p w14:paraId="174583DB">
            <w:pPr>
              <w:pStyle w:val="45"/>
              <w:spacing w:before="300" w:after="300"/>
              <w:jc w:val="center"/>
              <w:rPr>
                <w:rFonts w:ascii="Times New Roman" w:hAnsi="Times New Roman" w:cs="Times New Roman"/>
                <w:sz w:val="14"/>
                <w:szCs w:val="14"/>
              </w:rPr>
            </w:pPr>
            <w:r>
              <w:rPr>
                <w:rFonts w:ascii="Times New Roman" w:hAnsi="Times New Roman" w:cs="Times New Roman"/>
                <w:bCs/>
                <w:sz w:val="14"/>
                <w:szCs w:val="14"/>
              </w:rPr>
              <w:t>6.4 ± 1.17</w:t>
            </w:r>
          </w:p>
        </w:tc>
        <w:tc>
          <w:tcPr>
            <w:tcW w:w="567" w:type="dxa"/>
            <w:shd w:val="clear" w:color="auto" w:fill="auto"/>
            <w:vAlign w:val="center"/>
          </w:tcPr>
          <w:p w14:paraId="60E0355C">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27.7 ± 1.82</w:t>
            </w:r>
          </w:p>
        </w:tc>
        <w:tc>
          <w:tcPr>
            <w:tcW w:w="567" w:type="dxa"/>
            <w:shd w:val="clear" w:color="auto" w:fill="auto"/>
            <w:vAlign w:val="center"/>
          </w:tcPr>
          <w:p w14:paraId="146BEB3B">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5.5 ± 1.08</w:t>
            </w:r>
          </w:p>
        </w:tc>
        <w:tc>
          <w:tcPr>
            <w:tcW w:w="567" w:type="dxa"/>
            <w:shd w:val="clear" w:color="auto" w:fill="auto"/>
            <w:vAlign w:val="center"/>
          </w:tcPr>
          <w:p w14:paraId="0B2C03FD">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22.1 ± 3.03</w:t>
            </w:r>
          </w:p>
        </w:tc>
        <w:tc>
          <w:tcPr>
            <w:tcW w:w="567" w:type="dxa"/>
            <w:shd w:val="clear" w:color="auto" w:fill="auto"/>
            <w:vAlign w:val="center"/>
          </w:tcPr>
          <w:p w14:paraId="32A1B450">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3.3 ± 1.15</w:t>
            </w:r>
          </w:p>
        </w:tc>
        <w:tc>
          <w:tcPr>
            <w:tcW w:w="567" w:type="dxa"/>
            <w:shd w:val="clear" w:color="auto" w:fill="auto"/>
            <w:vAlign w:val="center"/>
          </w:tcPr>
          <w:p w14:paraId="008F2BC5">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15.3 ± 5.57</w:t>
            </w:r>
          </w:p>
        </w:tc>
        <w:tc>
          <w:tcPr>
            <w:tcW w:w="709" w:type="dxa"/>
            <w:shd w:val="clear" w:color="auto" w:fill="auto"/>
            <w:vAlign w:val="center"/>
          </w:tcPr>
          <w:p w14:paraId="0F8EDBB8">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2.1 ± 0.73</w:t>
            </w:r>
          </w:p>
        </w:tc>
        <w:tc>
          <w:tcPr>
            <w:tcW w:w="567" w:type="dxa"/>
            <w:shd w:val="clear" w:color="auto" w:fill="auto"/>
            <w:vAlign w:val="center"/>
          </w:tcPr>
          <w:p w14:paraId="768FC954">
            <w:pPr>
              <w:pStyle w:val="45"/>
              <w:spacing w:before="300" w:after="300"/>
              <w:jc w:val="center"/>
              <w:rPr>
                <w:rFonts w:ascii="Times New Roman" w:hAnsi="Times New Roman" w:cs="Times New Roman"/>
                <w:b/>
                <w:bCs/>
                <w:sz w:val="14"/>
                <w:szCs w:val="14"/>
              </w:rPr>
            </w:pPr>
            <w:r>
              <w:rPr>
                <w:rFonts w:ascii="Times New Roman" w:hAnsi="Times New Roman" w:cs="Times New Roman"/>
                <w:b/>
                <w:bCs/>
                <w:sz w:val="14"/>
                <w:szCs w:val="14"/>
              </w:rPr>
              <w:t>25.07</w:t>
            </w:r>
          </w:p>
        </w:tc>
        <w:tc>
          <w:tcPr>
            <w:tcW w:w="875" w:type="dxa"/>
            <w:vMerge w:val="restart"/>
            <w:shd w:val="clear" w:color="auto" w:fill="auto"/>
            <w:vAlign w:val="center"/>
          </w:tcPr>
          <w:p w14:paraId="052B9CA9">
            <w:pPr>
              <w:pStyle w:val="45"/>
              <w:spacing w:before="300" w:after="300"/>
              <w:jc w:val="center"/>
              <w:rPr>
                <w:rFonts w:ascii="Times New Roman" w:hAnsi="Times New Roman" w:cs="Times New Roman"/>
                <w:color w:val="000000"/>
                <w:sz w:val="14"/>
                <w:szCs w:val="14"/>
              </w:rPr>
            </w:pPr>
            <w:r>
              <w:rPr>
                <w:rFonts w:ascii="Times New Roman" w:hAnsi="Times New Roman" w:cs="Times New Roman"/>
                <w:b/>
                <w:bCs/>
                <w:sz w:val="14"/>
                <w:szCs w:val="14"/>
              </w:rPr>
              <w:t>22.87</w:t>
            </w:r>
          </w:p>
        </w:tc>
      </w:tr>
      <w:tr w14:paraId="7118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19" w:hRule="atLeast"/>
        </w:trPr>
        <w:tc>
          <w:tcPr>
            <w:tcW w:w="709" w:type="dxa"/>
            <w:shd w:val="clear" w:color="auto" w:fill="auto"/>
            <w:vAlign w:val="center"/>
          </w:tcPr>
          <w:p w14:paraId="3FC243E9">
            <w:pPr>
              <w:pStyle w:val="45"/>
              <w:spacing w:before="300" w:after="300"/>
              <w:jc w:val="center"/>
              <w:rPr>
                <w:rFonts w:ascii="Times New Roman" w:hAnsi="Times New Roman" w:cs="Times New Roman"/>
                <w:b/>
                <w:bCs/>
                <w:sz w:val="12"/>
                <w:szCs w:val="12"/>
              </w:rPr>
            </w:pPr>
            <w:r>
              <w:rPr>
                <w:rFonts w:ascii="Times New Roman" w:hAnsi="Times New Roman" w:cs="Times New Roman"/>
                <w:b/>
                <w:bCs/>
                <w:sz w:val="12"/>
                <w:szCs w:val="12"/>
              </w:rPr>
              <w:t>Shalimar</w:t>
            </w:r>
          </w:p>
        </w:tc>
        <w:tc>
          <w:tcPr>
            <w:tcW w:w="567" w:type="dxa"/>
            <w:shd w:val="clear" w:color="auto" w:fill="auto"/>
            <w:vAlign w:val="center"/>
          </w:tcPr>
          <w:p w14:paraId="1AB425AD">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4.2 ± 0.63</w:t>
            </w:r>
          </w:p>
        </w:tc>
        <w:tc>
          <w:tcPr>
            <w:tcW w:w="567" w:type="dxa"/>
            <w:shd w:val="clear" w:color="auto" w:fill="auto"/>
            <w:vAlign w:val="center"/>
          </w:tcPr>
          <w:p w14:paraId="0C162422">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1.1 ± 0.99</w:t>
            </w:r>
          </w:p>
        </w:tc>
        <w:tc>
          <w:tcPr>
            <w:tcW w:w="709" w:type="dxa"/>
            <w:shd w:val="clear" w:color="auto" w:fill="auto"/>
            <w:vAlign w:val="center"/>
          </w:tcPr>
          <w:p w14:paraId="4874EE5D">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8.1 ± 1.96</w:t>
            </w:r>
          </w:p>
        </w:tc>
        <w:tc>
          <w:tcPr>
            <w:tcW w:w="567" w:type="dxa"/>
            <w:shd w:val="clear" w:color="auto" w:fill="auto"/>
            <w:vAlign w:val="center"/>
          </w:tcPr>
          <w:p w14:paraId="48E94099">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1.8 ± 0.63</w:t>
            </w:r>
          </w:p>
        </w:tc>
        <w:tc>
          <w:tcPr>
            <w:tcW w:w="709" w:type="dxa"/>
            <w:shd w:val="clear" w:color="auto" w:fill="auto"/>
            <w:vAlign w:val="center"/>
          </w:tcPr>
          <w:p w14:paraId="37600D1E">
            <w:pPr>
              <w:pStyle w:val="45"/>
              <w:spacing w:before="300" w:after="300"/>
              <w:jc w:val="center"/>
              <w:rPr>
                <w:rFonts w:ascii="Times New Roman" w:hAnsi="Times New Roman" w:cs="Times New Roman"/>
                <w:sz w:val="14"/>
                <w:szCs w:val="14"/>
              </w:rPr>
            </w:pPr>
            <w:r>
              <w:rPr>
                <w:rFonts w:ascii="Times New Roman" w:hAnsi="Times New Roman" w:cs="Times New Roman"/>
                <w:bCs/>
                <w:sz w:val="14"/>
                <w:szCs w:val="14"/>
              </w:rPr>
              <w:t>28.8 ± 4.10</w:t>
            </w:r>
          </w:p>
        </w:tc>
        <w:tc>
          <w:tcPr>
            <w:tcW w:w="567" w:type="dxa"/>
            <w:shd w:val="clear" w:color="auto" w:fill="auto"/>
            <w:vAlign w:val="center"/>
          </w:tcPr>
          <w:p w14:paraId="7AE40213">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4.2 ± 1.03</w:t>
            </w:r>
          </w:p>
        </w:tc>
        <w:tc>
          <w:tcPr>
            <w:tcW w:w="567" w:type="dxa"/>
            <w:shd w:val="clear" w:color="auto" w:fill="auto"/>
            <w:vAlign w:val="center"/>
          </w:tcPr>
          <w:p w14:paraId="18308C5D">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24.3 ± 2.90</w:t>
            </w:r>
          </w:p>
        </w:tc>
        <w:tc>
          <w:tcPr>
            <w:tcW w:w="567" w:type="dxa"/>
            <w:shd w:val="clear" w:color="auto" w:fill="auto"/>
            <w:vAlign w:val="center"/>
          </w:tcPr>
          <w:p w14:paraId="19859033">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3.5 ± 0.84</w:t>
            </w:r>
          </w:p>
        </w:tc>
        <w:tc>
          <w:tcPr>
            <w:tcW w:w="567" w:type="dxa"/>
            <w:shd w:val="clear" w:color="auto" w:fill="auto"/>
            <w:vAlign w:val="center"/>
          </w:tcPr>
          <w:p w14:paraId="33F9A1C9">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25.5 ± 4.19</w:t>
            </w:r>
          </w:p>
        </w:tc>
        <w:tc>
          <w:tcPr>
            <w:tcW w:w="567" w:type="dxa"/>
            <w:shd w:val="clear" w:color="auto" w:fill="auto"/>
            <w:vAlign w:val="center"/>
          </w:tcPr>
          <w:p w14:paraId="0AC06AC6">
            <w:pPr>
              <w:pStyle w:val="45"/>
              <w:spacing w:before="300" w:after="300"/>
              <w:jc w:val="center"/>
              <w:rPr>
                <w:rFonts w:ascii="Times New Roman" w:hAnsi="Times New Roman" w:cs="Times New Roman"/>
                <w:b/>
                <w:sz w:val="14"/>
                <w:szCs w:val="14"/>
              </w:rPr>
            </w:pPr>
            <w:r>
              <w:rPr>
                <w:rFonts w:ascii="Times New Roman" w:hAnsi="Times New Roman" w:cs="Times New Roman"/>
                <w:bCs/>
                <w:sz w:val="14"/>
                <w:szCs w:val="14"/>
              </w:rPr>
              <w:t>5.6 ± 1.42</w:t>
            </w:r>
          </w:p>
        </w:tc>
        <w:tc>
          <w:tcPr>
            <w:tcW w:w="567" w:type="dxa"/>
            <w:shd w:val="clear" w:color="auto" w:fill="auto"/>
            <w:vAlign w:val="center"/>
          </w:tcPr>
          <w:p w14:paraId="12CCDDBD">
            <w:pPr>
              <w:pStyle w:val="45"/>
              <w:spacing w:before="300" w:after="300"/>
              <w:jc w:val="center"/>
              <w:rPr>
                <w:rFonts w:ascii="Times New Roman" w:hAnsi="Times New Roman" w:cs="Times New Roman"/>
                <w:b/>
                <w:sz w:val="14"/>
                <w:szCs w:val="14"/>
              </w:rPr>
            </w:pPr>
            <w:r>
              <w:rPr>
                <w:rFonts w:ascii="Times New Roman" w:hAnsi="Times New Roman" w:cs="Times New Roman"/>
                <w:sz w:val="14"/>
                <w:szCs w:val="14"/>
              </w:rPr>
              <w:t>23.3 ± 3.36</w:t>
            </w:r>
          </w:p>
        </w:tc>
        <w:tc>
          <w:tcPr>
            <w:tcW w:w="567" w:type="dxa"/>
            <w:shd w:val="clear" w:color="auto" w:fill="auto"/>
            <w:vAlign w:val="center"/>
          </w:tcPr>
          <w:p w14:paraId="58634ACA">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3.2 ± 0.63</w:t>
            </w:r>
          </w:p>
        </w:tc>
        <w:tc>
          <w:tcPr>
            <w:tcW w:w="567" w:type="dxa"/>
            <w:shd w:val="clear" w:color="auto" w:fill="auto"/>
            <w:vAlign w:val="center"/>
          </w:tcPr>
          <w:p w14:paraId="74390AE2">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18.1 ± 4.53</w:t>
            </w:r>
          </w:p>
        </w:tc>
        <w:tc>
          <w:tcPr>
            <w:tcW w:w="567" w:type="dxa"/>
            <w:shd w:val="clear" w:color="auto" w:fill="auto"/>
            <w:vAlign w:val="center"/>
          </w:tcPr>
          <w:p w14:paraId="4B6388B2">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2.2 ± 0.42</w:t>
            </w:r>
          </w:p>
        </w:tc>
        <w:tc>
          <w:tcPr>
            <w:tcW w:w="567" w:type="dxa"/>
            <w:shd w:val="clear" w:color="auto" w:fill="auto"/>
            <w:vAlign w:val="center"/>
          </w:tcPr>
          <w:p w14:paraId="447FF399">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10.3 ± 2.86</w:t>
            </w:r>
          </w:p>
        </w:tc>
        <w:tc>
          <w:tcPr>
            <w:tcW w:w="709" w:type="dxa"/>
            <w:shd w:val="clear" w:color="auto" w:fill="auto"/>
            <w:vAlign w:val="center"/>
          </w:tcPr>
          <w:p w14:paraId="7BB113BD">
            <w:pPr>
              <w:pStyle w:val="45"/>
              <w:spacing w:before="300" w:after="300"/>
              <w:jc w:val="center"/>
              <w:rPr>
                <w:rFonts w:ascii="Times New Roman" w:hAnsi="Times New Roman" w:cs="Times New Roman"/>
                <w:sz w:val="14"/>
                <w:szCs w:val="14"/>
              </w:rPr>
            </w:pPr>
            <w:r>
              <w:rPr>
                <w:rFonts w:ascii="Times New Roman" w:hAnsi="Times New Roman" w:cs="Times New Roman"/>
                <w:sz w:val="14"/>
                <w:szCs w:val="14"/>
              </w:rPr>
              <w:t>1.2 ± 0.42</w:t>
            </w:r>
          </w:p>
        </w:tc>
        <w:tc>
          <w:tcPr>
            <w:tcW w:w="567" w:type="dxa"/>
            <w:shd w:val="clear" w:color="auto" w:fill="auto"/>
            <w:vAlign w:val="center"/>
          </w:tcPr>
          <w:p w14:paraId="534F2DB9">
            <w:pPr>
              <w:pStyle w:val="45"/>
              <w:spacing w:before="300" w:after="300"/>
              <w:jc w:val="center"/>
              <w:rPr>
                <w:rFonts w:ascii="Times New Roman" w:hAnsi="Times New Roman" w:cs="Times New Roman"/>
                <w:b/>
                <w:bCs/>
                <w:sz w:val="14"/>
                <w:szCs w:val="14"/>
              </w:rPr>
            </w:pPr>
            <w:r>
              <w:rPr>
                <w:rFonts w:ascii="Times New Roman" w:hAnsi="Times New Roman" w:cs="Times New Roman"/>
                <w:b/>
                <w:bCs/>
                <w:sz w:val="14"/>
                <w:szCs w:val="14"/>
              </w:rPr>
              <w:t>20.67</w:t>
            </w:r>
          </w:p>
        </w:tc>
        <w:tc>
          <w:tcPr>
            <w:tcW w:w="875" w:type="dxa"/>
            <w:vMerge w:val="continue"/>
            <w:shd w:val="clear" w:color="auto" w:fill="auto"/>
            <w:vAlign w:val="center"/>
          </w:tcPr>
          <w:p w14:paraId="1F99F9FC">
            <w:pPr>
              <w:pStyle w:val="45"/>
              <w:spacing w:before="300" w:after="300"/>
              <w:jc w:val="center"/>
              <w:rPr>
                <w:rFonts w:ascii="Times New Roman" w:hAnsi="Times New Roman" w:cs="Times New Roman"/>
                <w:color w:val="000000"/>
                <w:sz w:val="14"/>
                <w:szCs w:val="14"/>
              </w:rPr>
            </w:pPr>
          </w:p>
        </w:tc>
      </w:tr>
      <w:tr w14:paraId="181F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05" w:hRule="atLeast"/>
        </w:trPr>
        <w:tc>
          <w:tcPr>
            <w:tcW w:w="709" w:type="dxa"/>
            <w:shd w:val="clear" w:color="auto" w:fill="auto"/>
            <w:vAlign w:val="center"/>
          </w:tcPr>
          <w:p w14:paraId="4110ADF6">
            <w:pPr>
              <w:pStyle w:val="45"/>
              <w:spacing w:before="300" w:after="300"/>
              <w:jc w:val="center"/>
              <w:rPr>
                <w:rFonts w:ascii="Times New Roman" w:hAnsi="Times New Roman" w:cs="Times New Roman"/>
                <w:b/>
                <w:bCs/>
                <w:sz w:val="14"/>
                <w:szCs w:val="14"/>
              </w:rPr>
            </w:pPr>
            <w:r>
              <w:rPr>
                <w:rFonts w:ascii="Times New Roman" w:hAnsi="Times New Roman" w:cs="Times New Roman"/>
                <w:b/>
                <w:bCs/>
                <w:sz w:val="14"/>
                <w:szCs w:val="14"/>
              </w:rPr>
              <w:t>Mean</w:t>
            </w:r>
          </w:p>
        </w:tc>
        <w:tc>
          <w:tcPr>
            <w:tcW w:w="1134" w:type="dxa"/>
            <w:gridSpan w:val="2"/>
            <w:shd w:val="clear" w:color="auto" w:fill="auto"/>
            <w:vAlign w:val="center"/>
          </w:tcPr>
          <w:p w14:paraId="37EE7DA0">
            <w:pPr>
              <w:pStyle w:val="45"/>
              <w:spacing w:before="300" w:after="300"/>
              <w:jc w:val="center"/>
              <w:rPr>
                <w:rFonts w:ascii="Times New Roman" w:hAnsi="Times New Roman" w:cs="Times New Roman"/>
                <w:sz w:val="14"/>
                <w:szCs w:val="14"/>
              </w:rPr>
            </w:pPr>
            <w:r>
              <w:rPr>
                <w:rFonts w:ascii="Times New Roman" w:hAnsi="Times New Roman" w:cs="Times New Roman"/>
                <w:b/>
                <w:sz w:val="14"/>
                <w:szCs w:val="14"/>
              </w:rPr>
              <w:t>6.55</w:t>
            </w:r>
          </w:p>
        </w:tc>
        <w:tc>
          <w:tcPr>
            <w:tcW w:w="1276" w:type="dxa"/>
            <w:gridSpan w:val="2"/>
            <w:shd w:val="clear" w:color="auto" w:fill="auto"/>
            <w:vAlign w:val="center"/>
          </w:tcPr>
          <w:p w14:paraId="535632FF">
            <w:pPr>
              <w:pStyle w:val="45"/>
              <w:spacing w:before="300" w:after="300"/>
              <w:jc w:val="center"/>
              <w:rPr>
                <w:rFonts w:ascii="Times New Roman" w:hAnsi="Times New Roman" w:cs="Times New Roman"/>
                <w:sz w:val="14"/>
                <w:szCs w:val="14"/>
              </w:rPr>
            </w:pPr>
            <w:r>
              <w:rPr>
                <w:rFonts w:ascii="Times New Roman" w:hAnsi="Times New Roman" w:cs="Times New Roman"/>
                <w:b/>
                <w:sz w:val="14"/>
                <w:szCs w:val="14"/>
              </w:rPr>
              <w:t>12.45</w:t>
            </w:r>
          </w:p>
        </w:tc>
        <w:tc>
          <w:tcPr>
            <w:tcW w:w="1276" w:type="dxa"/>
            <w:gridSpan w:val="2"/>
            <w:shd w:val="clear" w:color="auto" w:fill="auto"/>
            <w:vAlign w:val="center"/>
          </w:tcPr>
          <w:p w14:paraId="2CEF529B">
            <w:pPr>
              <w:pStyle w:val="45"/>
              <w:spacing w:before="300" w:after="300"/>
              <w:jc w:val="center"/>
              <w:rPr>
                <w:rFonts w:ascii="Times New Roman" w:hAnsi="Times New Roman" w:cs="Times New Roman"/>
                <w:sz w:val="14"/>
                <w:szCs w:val="14"/>
              </w:rPr>
            </w:pPr>
            <w:r>
              <w:rPr>
                <w:rFonts w:ascii="Times New Roman" w:hAnsi="Times New Roman" w:cs="Times New Roman"/>
                <w:b/>
                <w:sz w:val="14"/>
                <w:szCs w:val="14"/>
              </w:rPr>
              <w:t>34.30</w:t>
            </w:r>
          </w:p>
        </w:tc>
        <w:tc>
          <w:tcPr>
            <w:tcW w:w="1134" w:type="dxa"/>
            <w:gridSpan w:val="2"/>
            <w:shd w:val="clear" w:color="auto" w:fill="auto"/>
            <w:vAlign w:val="center"/>
          </w:tcPr>
          <w:p w14:paraId="7440C259">
            <w:pPr>
              <w:pStyle w:val="45"/>
              <w:spacing w:before="300" w:after="300"/>
              <w:jc w:val="center"/>
              <w:rPr>
                <w:rFonts w:ascii="Times New Roman" w:hAnsi="Times New Roman" w:cs="Times New Roman"/>
                <w:sz w:val="14"/>
                <w:szCs w:val="14"/>
              </w:rPr>
            </w:pPr>
            <w:r>
              <w:rPr>
                <w:rFonts w:ascii="Times New Roman" w:hAnsi="Times New Roman" w:cs="Times New Roman"/>
                <w:b/>
                <w:sz w:val="14"/>
                <w:szCs w:val="14"/>
              </w:rPr>
              <w:t>29.05</w:t>
            </w:r>
          </w:p>
        </w:tc>
        <w:tc>
          <w:tcPr>
            <w:tcW w:w="1134" w:type="dxa"/>
            <w:gridSpan w:val="2"/>
            <w:shd w:val="clear" w:color="auto" w:fill="auto"/>
            <w:vAlign w:val="center"/>
          </w:tcPr>
          <w:p w14:paraId="736CB974">
            <w:pPr>
              <w:pStyle w:val="45"/>
              <w:spacing w:before="300" w:after="300"/>
              <w:jc w:val="center"/>
              <w:rPr>
                <w:rFonts w:ascii="Times New Roman" w:hAnsi="Times New Roman" w:cs="Times New Roman"/>
                <w:b/>
                <w:sz w:val="14"/>
                <w:szCs w:val="14"/>
              </w:rPr>
            </w:pPr>
            <w:r>
              <w:rPr>
                <w:rFonts w:ascii="Times New Roman" w:hAnsi="Times New Roman" w:cs="Times New Roman"/>
                <w:b/>
                <w:sz w:val="14"/>
                <w:szCs w:val="14"/>
              </w:rPr>
              <w:t>33.50</w:t>
            </w:r>
          </w:p>
        </w:tc>
        <w:tc>
          <w:tcPr>
            <w:tcW w:w="1134" w:type="dxa"/>
            <w:gridSpan w:val="2"/>
            <w:shd w:val="clear" w:color="auto" w:fill="auto"/>
            <w:vAlign w:val="center"/>
          </w:tcPr>
          <w:p w14:paraId="2D13915A">
            <w:pPr>
              <w:pStyle w:val="45"/>
              <w:spacing w:before="300" w:after="300"/>
              <w:jc w:val="center"/>
              <w:rPr>
                <w:rFonts w:ascii="Times New Roman" w:hAnsi="Times New Roman" w:cs="Times New Roman"/>
                <w:sz w:val="14"/>
                <w:szCs w:val="14"/>
              </w:rPr>
            </w:pPr>
            <w:r>
              <w:rPr>
                <w:rFonts w:ascii="Times New Roman" w:hAnsi="Times New Roman" w:cs="Times New Roman"/>
                <w:b/>
                <w:sz w:val="14"/>
                <w:szCs w:val="14"/>
              </w:rPr>
              <w:t>29.85</w:t>
            </w:r>
          </w:p>
        </w:tc>
        <w:tc>
          <w:tcPr>
            <w:tcW w:w="1134" w:type="dxa"/>
            <w:gridSpan w:val="2"/>
            <w:shd w:val="clear" w:color="auto" w:fill="auto"/>
            <w:vAlign w:val="center"/>
          </w:tcPr>
          <w:p w14:paraId="62BBE70F">
            <w:pPr>
              <w:pStyle w:val="45"/>
              <w:spacing w:before="300" w:after="300"/>
              <w:jc w:val="center"/>
              <w:rPr>
                <w:rFonts w:ascii="Times New Roman" w:hAnsi="Times New Roman" w:cs="Times New Roman"/>
                <w:sz w:val="14"/>
                <w:szCs w:val="14"/>
              </w:rPr>
            </w:pPr>
            <w:r>
              <w:rPr>
                <w:rFonts w:ascii="Times New Roman" w:hAnsi="Times New Roman" w:cs="Times New Roman"/>
                <w:b/>
                <w:sz w:val="14"/>
                <w:szCs w:val="14"/>
              </w:rPr>
              <w:t>22.88</w:t>
            </w:r>
          </w:p>
        </w:tc>
        <w:tc>
          <w:tcPr>
            <w:tcW w:w="1276" w:type="dxa"/>
            <w:gridSpan w:val="2"/>
            <w:shd w:val="clear" w:color="auto" w:fill="auto"/>
            <w:vAlign w:val="center"/>
          </w:tcPr>
          <w:p w14:paraId="5D9C2195">
            <w:pPr>
              <w:pStyle w:val="45"/>
              <w:spacing w:before="300" w:after="300"/>
              <w:jc w:val="center"/>
              <w:rPr>
                <w:rFonts w:ascii="Times New Roman" w:hAnsi="Times New Roman" w:cs="Times New Roman"/>
                <w:sz w:val="14"/>
                <w:szCs w:val="14"/>
              </w:rPr>
            </w:pPr>
            <w:r>
              <w:rPr>
                <w:rFonts w:ascii="Times New Roman" w:hAnsi="Times New Roman" w:cs="Times New Roman"/>
                <w:b/>
                <w:sz w:val="14"/>
                <w:szCs w:val="14"/>
              </w:rPr>
              <w:t>14.45</w:t>
            </w:r>
          </w:p>
        </w:tc>
        <w:tc>
          <w:tcPr>
            <w:tcW w:w="567" w:type="dxa"/>
            <w:shd w:val="clear" w:color="auto" w:fill="auto"/>
            <w:vAlign w:val="center"/>
          </w:tcPr>
          <w:p w14:paraId="49C149FD">
            <w:pPr>
              <w:pStyle w:val="45"/>
              <w:spacing w:before="300" w:after="300"/>
              <w:jc w:val="center"/>
              <w:rPr>
                <w:rFonts w:ascii="Times New Roman" w:hAnsi="Times New Roman" w:cs="Times New Roman"/>
                <w:b/>
                <w:bCs/>
                <w:sz w:val="14"/>
                <w:szCs w:val="14"/>
              </w:rPr>
            </w:pPr>
            <w:r>
              <w:rPr>
                <w:rFonts w:ascii="Times New Roman" w:hAnsi="Times New Roman" w:cs="Times New Roman"/>
                <w:b/>
                <w:bCs/>
                <w:sz w:val="14"/>
                <w:szCs w:val="14"/>
              </w:rPr>
              <w:t>22.87</w:t>
            </w:r>
          </w:p>
        </w:tc>
        <w:tc>
          <w:tcPr>
            <w:tcW w:w="875" w:type="dxa"/>
            <w:vMerge w:val="continue"/>
            <w:shd w:val="clear" w:color="auto" w:fill="auto"/>
            <w:vAlign w:val="center"/>
          </w:tcPr>
          <w:p w14:paraId="1740483A">
            <w:pPr>
              <w:pStyle w:val="45"/>
              <w:spacing w:before="300" w:after="300"/>
              <w:jc w:val="center"/>
              <w:rPr>
                <w:rFonts w:ascii="Times New Roman" w:hAnsi="Times New Roman" w:cs="Times New Roman"/>
                <w:color w:val="000000"/>
                <w:sz w:val="14"/>
                <w:szCs w:val="14"/>
              </w:rPr>
            </w:pPr>
          </w:p>
        </w:tc>
      </w:tr>
    </w:tbl>
    <w:p w14:paraId="10568664">
      <w:pPr>
        <w:pStyle w:val="45"/>
        <w:rPr>
          <w:rFonts w:ascii="Times New Roman" w:hAnsi="Times New Roman" w:cs="Times New Roman"/>
          <w:b/>
          <w:sz w:val="14"/>
          <w:szCs w:val="14"/>
        </w:rPr>
      </w:pPr>
      <w:r>
        <w:rPr>
          <w:rFonts w:ascii="Times New Roman" w:hAnsi="Times New Roman" w:cs="Times New Roman"/>
          <w:b/>
          <w:sz w:val="20"/>
          <w:szCs w:val="20"/>
        </w:rPr>
        <w:t>*</w:t>
      </w:r>
      <w:r>
        <w:rPr>
          <w:rFonts w:ascii="Times New Roman" w:hAnsi="Times New Roman" w:cs="Times New Roman"/>
          <w:b/>
          <w:sz w:val="14"/>
          <w:szCs w:val="14"/>
        </w:rPr>
        <w:t>Each</w:t>
      </w:r>
      <w:r>
        <w:rPr>
          <w:rFonts w:ascii="Times New Roman" w:hAnsi="Times New Roman" w:cs="Times New Roman"/>
          <w:b/>
          <w:spacing w:val="-2"/>
          <w:sz w:val="14"/>
          <w:szCs w:val="14"/>
        </w:rPr>
        <w:t xml:space="preserve"> </w:t>
      </w:r>
      <w:r>
        <w:rPr>
          <w:rFonts w:ascii="Times New Roman" w:hAnsi="Times New Roman" w:cs="Times New Roman"/>
          <w:b/>
          <w:sz w:val="14"/>
          <w:szCs w:val="14"/>
        </w:rPr>
        <w:t>figure is</w:t>
      </w:r>
      <w:r>
        <w:rPr>
          <w:rFonts w:ascii="Times New Roman" w:hAnsi="Times New Roman" w:cs="Times New Roman"/>
          <w:b/>
          <w:spacing w:val="-2"/>
          <w:sz w:val="14"/>
          <w:szCs w:val="14"/>
        </w:rPr>
        <w:t xml:space="preserve"> </w:t>
      </w:r>
      <w:r>
        <w:rPr>
          <w:rFonts w:ascii="Times New Roman" w:hAnsi="Times New Roman" w:cs="Times New Roman"/>
          <w:b/>
          <w:sz w:val="14"/>
          <w:szCs w:val="14"/>
        </w:rPr>
        <w:t>a</w:t>
      </w:r>
      <w:r>
        <w:rPr>
          <w:rFonts w:ascii="Times New Roman" w:hAnsi="Times New Roman" w:cs="Times New Roman"/>
          <w:b/>
          <w:spacing w:val="3"/>
          <w:sz w:val="14"/>
          <w:szCs w:val="14"/>
        </w:rPr>
        <w:t xml:space="preserve"> </w:t>
      </w:r>
      <w:r>
        <w:rPr>
          <w:rFonts w:ascii="Times New Roman" w:hAnsi="Times New Roman" w:cs="Times New Roman"/>
          <w:b/>
          <w:sz w:val="14"/>
          <w:szCs w:val="14"/>
        </w:rPr>
        <w:t>mean</w:t>
      </w:r>
      <w:r>
        <w:rPr>
          <w:rFonts w:ascii="Times New Roman" w:hAnsi="Times New Roman" w:cs="Times New Roman"/>
          <w:b/>
          <w:spacing w:val="-1"/>
          <w:sz w:val="14"/>
          <w:szCs w:val="14"/>
        </w:rPr>
        <w:t xml:space="preserve"> </w:t>
      </w:r>
      <w:r>
        <w:rPr>
          <w:rFonts w:ascii="Times New Roman" w:hAnsi="Times New Roman" w:cs="Times New Roman"/>
          <w:b/>
          <w:sz w:val="14"/>
          <w:szCs w:val="14"/>
        </w:rPr>
        <w:t>of</w:t>
      </w:r>
      <w:r>
        <w:rPr>
          <w:rFonts w:ascii="Times New Roman" w:hAnsi="Times New Roman" w:cs="Times New Roman"/>
          <w:b/>
          <w:spacing w:val="-3"/>
          <w:sz w:val="14"/>
          <w:szCs w:val="14"/>
        </w:rPr>
        <w:t xml:space="preserve"> </w:t>
      </w:r>
      <w:r>
        <w:rPr>
          <w:rFonts w:ascii="Times New Roman" w:hAnsi="Times New Roman" w:cs="Times New Roman"/>
          <w:b/>
          <w:sz w:val="14"/>
          <w:szCs w:val="14"/>
        </w:rPr>
        <w:t>10</w:t>
      </w:r>
      <w:r>
        <w:rPr>
          <w:rFonts w:ascii="Times New Roman" w:hAnsi="Times New Roman" w:cs="Times New Roman"/>
          <w:b/>
          <w:spacing w:val="1"/>
          <w:sz w:val="14"/>
          <w:szCs w:val="14"/>
        </w:rPr>
        <w:t xml:space="preserve"> </w:t>
      </w:r>
      <w:r>
        <w:rPr>
          <w:rFonts w:ascii="Times New Roman" w:hAnsi="Times New Roman" w:cs="Times New Roman"/>
          <w:b/>
          <w:sz w:val="14"/>
          <w:szCs w:val="14"/>
        </w:rPr>
        <w:t>replication</w:t>
      </w:r>
    </w:p>
    <w:p w14:paraId="626E75EE">
      <w:pPr>
        <w:pStyle w:val="45"/>
        <w:rPr>
          <w:rFonts w:ascii="Times New Roman" w:hAnsi="Times New Roman" w:cs="Times New Roman"/>
          <w:b/>
          <w:sz w:val="14"/>
          <w:szCs w:val="14"/>
        </w:rPr>
      </w:pPr>
      <w:r>
        <w:rPr>
          <w:rFonts w:ascii="Times New Roman" w:hAnsi="Times New Roman" w:cs="Times New Roman"/>
          <w:b/>
          <w:sz w:val="14"/>
          <w:szCs w:val="14"/>
        </w:rPr>
        <w:t xml:space="preserve"> Population count was taken on a 1ft branch</w:t>
      </w:r>
    </w:p>
    <w:p w14:paraId="3FE41B20">
      <w:pPr>
        <w:spacing w:line="240" w:lineRule="auto"/>
        <w:rPr>
          <w:rFonts w:ascii="Times New Roman" w:hAnsi="Times New Roman" w:cs="Times New Roman"/>
          <w:sz w:val="20"/>
          <w:szCs w:val="20"/>
        </w:rPr>
      </w:pPr>
    </w:p>
    <w:p w14:paraId="5555C419">
      <w:pPr>
        <w:spacing w:line="240" w:lineRule="auto"/>
        <w:rPr>
          <w:rFonts w:ascii="Times New Roman" w:hAnsi="Times New Roman" w:cs="Times New Roman"/>
          <w:sz w:val="20"/>
          <w:szCs w:val="20"/>
        </w:rPr>
      </w:pPr>
    </w:p>
    <w:p w14:paraId="51007A69">
      <w:pPr>
        <w:pStyle w:val="35"/>
        <w:spacing w:line="240" w:lineRule="auto"/>
        <w:rPr>
          <w:b/>
          <w:bCs/>
          <w:color w:val="000000"/>
          <w:sz w:val="20"/>
          <w:szCs w:val="20"/>
        </w:rPr>
      </w:pPr>
    </w:p>
    <w:p w14:paraId="5908B384">
      <w:pPr>
        <w:pStyle w:val="35"/>
        <w:numPr>
          <w:ilvl w:val="1"/>
          <w:numId w:val="2"/>
        </w:numPr>
        <w:spacing w:line="240" w:lineRule="auto"/>
        <w:rPr>
          <w:b/>
          <w:bCs/>
          <w:color w:val="000000"/>
          <w:sz w:val="20"/>
          <w:szCs w:val="20"/>
        </w:rPr>
      </w:pPr>
      <w:r>
        <w:rPr>
          <w:b/>
          <w:bCs/>
          <w:color w:val="000000"/>
          <w:sz w:val="20"/>
          <w:szCs w:val="20"/>
        </w:rPr>
        <w:t>Effect</w:t>
      </w:r>
      <w:r>
        <w:rPr>
          <w:b/>
          <w:bCs/>
          <w:color w:val="000000"/>
          <w:spacing w:val="1"/>
          <w:sz w:val="20"/>
          <w:szCs w:val="20"/>
        </w:rPr>
        <w:t xml:space="preserve"> </w:t>
      </w:r>
      <w:r>
        <w:rPr>
          <w:b/>
          <w:bCs/>
          <w:color w:val="000000"/>
          <w:sz w:val="20"/>
          <w:szCs w:val="20"/>
        </w:rPr>
        <w:t>of</w:t>
      </w:r>
      <w:r>
        <w:rPr>
          <w:b/>
          <w:bCs/>
          <w:color w:val="000000"/>
          <w:spacing w:val="1"/>
          <w:sz w:val="20"/>
          <w:szCs w:val="20"/>
        </w:rPr>
        <w:t xml:space="preserve"> </w:t>
      </w:r>
      <w:r>
        <w:rPr>
          <w:b/>
          <w:bCs/>
          <w:color w:val="000000"/>
          <w:sz w:val="20"/>
          <w:szCs w:val="20"/>
        </w:rPr>
        <w:t>various</w:t>
      </w:r>
      <w:r>
        <w:rPr>
          <w:b/>
          <w:bCs/>
          <w:color w:val="000000"/>
          <w:spacing w:val="1"/>
          <w:sz w:val="20"/>
          <w:szCs w:val="20"/>
        </w:rPr>
        <w:t xml:space="preserve"> </w:t>
      </w:r>
      <w:r>
        <w:rPr>
          <w:b/>
          <w:bCs/>
          <w:color w:val="000000"/>
          <w:sz w:val="20"/>
          <w:szCs w:val="20"/>
        </w:rPr>
        <w:t>abiotic</w:t>
      </w:r>
      <w:r>
        <w:rPr>
          <w:b/>
          <w:bCs/>
          <w:color w:val="000000"/>
          <w:spacing w:val="1"/>
          <w:sz w:val="20"/>
          <w:szCs w:val="20"/>
        </w:rPr>
        <w:t xml:space="preserve"> </w:t>
      </w:r>
      <w:r>
        <w:rPr>
          <w:b/>
          <w:bCs/>
          <w:color w:val="000000"/>
          <w:sz w:val="20"/>
          <w:szCs w:val="20"/>
        </w:rPr>
        <w:t>factors</w:t>
      </w:r>
      <w:r>
        <w:rPr>
          <w:b/>
          <w:bCs/>
          <w:color w:val="000000"/>
          <w:spacing w:val="1"/>
          <w:sz w:val="20"/>
          <w:szCs w:val="20"/>
        </w:rPr>
        <w:t xml:space="preserve"> </w:t>
      </w:r>
      <w:r>
        <w:rPr>
          <w:b/>
          <w:bCs/>
          <w:color w:val="000000"/>
          <w:sz w:val="20"/>
          <w:szCs w:val="20"/>
        </w:rPr>
        <w:t>on</w:t>
      </w:r>
      <w:r>
        <w:rPr>
          <w:b/>
          <w:bCs/>
          <w:color w:val="000000"/>
          <w:spacing w:val="1"/>
          <w:sz w:val="20"/>
          <w:szCs w:val="20"/>
        </w:rPr>
        <w:t xml:space="preserve"> </w:t>
      </w:r>
      <w:r>
        <w:rPr>
          <w:b/>
          <w:bCs/>
          <w:color w:val="000000"/>
          <w:sz w:val="20"/>
          <w:szCs w:val="20"/>
        </w:rPr>
        <w:t>the</w:t>
      </w:r>
      <w:r>
        <w:rPr>
          <w:b/>
          <w:bCs/>
          <w:color w:val="000000"/>
          <w:spacing w:val="1"/>
          <w:sz w:val="20"/>
          <w:szCs w:val="20"/>
        </w:rPr>
        <w:t xml:space="preserve"> </w:t>
      </w:r>
      <w:r>
        <w:rPr>
          <w:b/>
          <w:bCs/>
          <w:color w:val="000000"/>
          <w:sz w:val="20"/>
          <w:szCs w:val="20"/>
        </w:rPr>
        <w:t>fluctuation</w:t>
      </w:r>
      <w:r>
        <w:rPr>
          <w:b/>
          <w:bCs/>
          <w:color w:val="000000"/>
          <w:spacing w:val="1"/>
          <w:sz w:val="20"/>
          <w:szCs w:val="20"/>
        </w:rPr>
        <w:t xml:space="preserve"> </w:t>
      </w:r>
      <w:r>
        <w:rPr>
          <w:b/>
          <w:bCs/>
          <w:color w:val="000000"/>
          <w:sz w:val="20"/>
          <w:szCs w:val="20"/>
        </w:rPr>
        <w:t>of</w:t>
      </w:r>
      <w:r>
        <w:rPr>
          <w:b/>
          <w:bCs/>
          <w:color w:val="000000"/>
          <w:spacing w:val="1"/>
          <w:sz w:val="20"/>
          <w:szCs w:val="20"/>
        </w:rPr>
        <w:t xml:space="preserve"> </w:t>
      </w:r>
      <w:r>
        <w:rPr>
          <w:b/>
          <w:bCs/>
          <w:color w:val="000000"/>
          <w:sz w:val="20"/>
          <w:szCs w:val="20"/>
        </w:rPr>
        <w:t>Pear</w:t>
      </w:r>
      <w:r>
        <w:rPr>
          <w:b/>
          <w:bCs/>
          <w:color w:val="000000"/>
          <w:spacing w:val="60"/>
          <w:sz w:val="20"/>
          <w:szCs w:val="20"/>
        </w:rPr>
        <w:t xml:space="preserve"> </w:t>
      </w:r>
      <w:r>
        <w:rPr>
          <w:b/>
          <w:bCs/>
          <w:color w:val="000000"/>
          <w:sz w:val="20"/>
          <w:szCs w:val="20"/>
        </w:rPr>
        <w:t>Psylla</w:t>
      </w:r>
      <w:r>
        <w:rPr>
          <w:b/>
          <w:bCs/>
          <w:color w:val="000000"/>
          <w:spacing w:val="1"/>
          <w:sz w:val="20"/>
          <w:szCs w:val="20"/>
        </w:rPr>
        <w:t xml:space="preserve"> </w:t>
      </w:r>
    </w:p>
    <w:p w14:paraId="2F01A54B">
      <w:pPr>
        <w:pStyle w:val="35"/>
        <w:spacing w:line="240" w:lineRule="auto"/>
        <w:ind w:left="720"/>
        <w:rPr>
          <w:rFonts w:cs="Times New Roman"/>
          <w:b/>
          <w:bCs/>
          <w:sz w:val="20"/>
          <w:szCs w:val="20"/>
          <w:lang w:eastAsia="en-IN"/>
        </w:rPr>
      </w:pPr>
      <w:r>
        <w:rPr>
          <w:b/>
          <w:bCs/>
          <w:color w:val="000000"/>
          <w:sz w:val="20"/>
          <w:szCs w:val="20"/>
        </w:rPr>
        <w:t>3.2.1 Effect</w:t>
      </w:r>
      <w:r>
        <w:rPr>
          <w:b/>
          <w:bCs/>
          <w:color w:val="000000"/>
          <w:spacing w:val="1"/>
          <w:sz w:val="20"/>
          <w:szCs w:val="20"/>
        </w:rPr>
        <w:t xml:space="preserve"> </w:t>
      </w:r>
      <w:r>
        <w:rPr>
          <w:b/>
          <w:bCs/>
          <w:color w:val="000000"/>
          <w:sz w:val="20"/>
          <w:szCs w:val="20"/>
        </w:rPr>
        <w:t>of</w:t>
      </w:r>
      <w:r>
        <w:rPr>
          <w:b/>
          <w:bCs/>
          <w:color w:val="000000"/>
          <w:spacing w:val="1"/>
          <w:sz w:val="20"/>
          <w:szCs w:val="20"/>
        </w:rPr>
        <w:t xml:space="preserve"> </w:t>
      </w:r>
      <w:r>
        <w:rPr>
          <w:b/>
          <w:bCs/>
          <w:color w:val="000000"/>
          <w:sz w:val="20"/>
          <w:szCs w:val="20"/>
        </w:rPr>
        <w:t>various</w:t>
      </w:r>
      <w:r>
        <w:rPr>
          <w:b/>
          <w:bCs/>
          <w:color w:val="000000"/>
          <w:spacing w:val="1"/>
          <w:sz w:val="20"/>
          <w:szCs w:val="20"/>
        </w:rPr>
        <w:t xml:space="preserve"> </w:t>
      </w:r>
      <w:r>
        <w:rPr>
          <w:b/>
          <w:bCs/>
          <w:color w:val="000000"/>
          <w:sz w:val="20"/>
          <w:szCs w:val="20"/>
        </w:rPr>
        <w:t>abiotic</w:t>
      </w:r>
      <w:r>
        <w:rPr>
          <w:b/>
          <w:bCs/>
          <w:color w:val="000000"/>
          <w:spacing w:val="1"/>
          <w:sz w:val="20"/>
          <w:szCs w:val="20"/>
        </w:rPr>
        <w:t xml:space="preserve"> </w:t>
      </w:r>
      <w:r>
        <w:rPr>
          <w:b/>
          <w:bCs/>
          <w:color w:val="000000"/>
          <w:sz w:val="20"/>
          <w:szCs w:val="20"/>
        </w:rPr>
        <w:t>factors</w:t>
      </w:r>
      <w:r>
        <w:rPr>
          <w:b/>
          <w:bCs/>
          <w:color w:val="000000"/>
          <w:spacing w:val="1"/>
          <w:sz w:val="20"/>
          <w:szCs w:val="20"/>
        </w:rPr>
        <w:t xml:space="preserve"> </w:t>
      </w:r>
      <w:r>
        <w:rPr>
          <w:b/>
          <w:bCs/>
          <w:color w:val="000000"/>
          <w:sz w:val="20"/>
          <w:szCs w:val="20"/>
        </w:rPr>
        <w:t>on</w:t>
      </w:r>
      <w:r>
        <w:rPr>
          <w:b/>
          <w:bCs/>
          <w:color w:val="000000"/>
          <w:spacing w:val="1"/>
          <w:sz w:val="20"/>
          <w:szCs w:val="20"/>
        </w:rPr>
        <w:t xml:space="preserve"> </w:t>
      </w:r>
      <w:r>
        <w:rPr>
          <w:b/>
          <w:bCs/>
          <w:color w:val="000000"/>
          <w:sz w:val="20"/>
          <w:szCs w:val="20"/>
        </w:rPr>
        <w:t>the</w:t>
      </w:r>
      <w:r>
        <w:rPr>
          <w:b/>
          <w:bCs/>
          <w:color w:val="000000"/>
          <w:spacing w:val="1"/>
          <w:sz w:val="20"/>
          <w:szCs w:val="20"/>
        </w:rPr>
        <w:t xml:space="preserve"> </w:t>
      </w:r>
      <w:r>
        <w:rPr>
          <w:b/>
          <w:bCs/>
          <w:color w:val="000000"/>
          <w:sz w:val="20"/>
          <w:szCs w:val="20"/>
        </w:rPr>
        <w:t>fluctuation</w:t>
      </w:r>
      <w:r>
        <w:rPr>
          <w:b/>
          <w:bCs/>
          <w:color w:val="000000"/>
          <w:spacing w:val="1"/>
          <w:sz w:val="20"/>
          <w:szCs w:val="20"/>
        </w:rPr>
        <w:t xml:space="preserve"> </w:t>
      </w:r>
      <w:r>
        <w:rPr>
          <w:b/>
          <w:bCs/>
          <w:color w:val="000000"/>
          <w:sz w:val="20"/>
          <w:szCs w:val="20"/>
        </w:rPr>
        <w:t>of</w:t>
      </w:r>
      <w:r>
        <w:rPr>
          <w:b/>
          <w:bCs/>
          <w:color w:val="000000"/>
          <w:spacing w:val="1"/>
          <w:sz w:val="20"/>
          <w:szCs w:val="20"/>
        </w:rPr>
        <w:t xml:space="preserve"> </w:t>
      </w:r>
      <w:r>
        <w:rPr>
          <w:b/>
          <w:bCs/>
          <w:color w:val="000000"/>
          <w:sz w:val="20"/>
          <w:szCs w:val="20"/>
        </w:rPr>
        <w:t>Pear</w:t>
      </w:r>
      <w:r>
        <w:rPr>
          <w:b/>
          <w:bCs/>
          <w:color w:val="000000"/>
          <w:spacing w:val="60"/>
          <w:sz w:val="20"/>
          <w:szCs w:val="20"/>
        </w:rPr>
        <w:t xml:space="preserve"> </w:t>
      </w:r>
      <w:r>
        <w:rPr>
          <w:b/>
          <w:bCs/>
          <w:color w:val="000000"/>
          <w:sz w:val="20"/>
          <w:szCs w:val="20"/>
        </w:rPr>
        <w:t>Psylla</w:t>
      </w:r>
      <w:r>
        <w:rPr>
          <w:b/>
          <w:bCs/>
          <w:color w:val="000000"/>
          <w:spacing w:val="1"/>
          <w:sz w:val="20"/>
          <w:szCs w:val="20"/>
        </w:rPr>
        <w:t xml:space="preserve"> </w:t>
      </w:r>
      <w:r>
        <w:rPr>
          <w:b/>
          <w:bCs/>
          <w:color w:val="000000"/>
          <w:sz w:val="20"/>
          <w:szCs w:val="20"/>
        </w:rPr>
        <w:t>population in district</w:t>
      </w:r>
      <w:r>
        <w:rPr>
          <w:b/>
          <w:bCs/>
          <w:color w:val="000000"/>
          <w:spacing w:val="1"/>
          <w:sz w:val="20"/>
          <w:szCs w:val="20"/>
        </w:rPr>
        <w:t xml:space="preserve"> Baramulla</w:t>
      </w:r>
    </w:p>
    <w:p w14:paraId="32886B57">
      <w:pPr>
        <w:pStyle w:val="35"/>
        <w:spacing w:line="240" w:lineRule="auto"/>
        <w:rPr>
          <w:rFonts w:cs="Times New Roman"/>
          <w:sz w:val="20"/>
          <w:szCs w:val="20"/>
          <w:lang w:eastAsia="en-IN"/>
        </w:rPr>
      </w:pPr>
      <w:r>
        <w:rPr>
          <w:sz w:val="20"/>
        </w:rPr>
        <mc:AlternateContent>
          <mc:Choice Requires="wps">
            <w:drawing>
              <wp:anchor distT="0" distB="0" distL="114300" distR="114300" simplePos="0" relativeHeight="251678720" behindDoc="0" locked="0" layoutInCell="1" allowOverlap="1">
                <wp:simplePos x="0" y="0"/>
                <wp:positionH relativeFrom="column">
                  <wp:posOffset>5796280</wp:posOffset>
                </wp:positionH>
                <wp:positionV relativeFrom="paragraph">
                  <wp:posOffset>1228090</wp:posOffset>
                </wp:positionV>
                <wp:extent cx="675005" cy="585470"/>
                <wp:effectExtent l="4445" t="4445" r="6350" b="6985"/>
                <wp:wrapNone/>
                <wp:docPr id="12" name="Text Box 12"/>
                <wp:cNvGraphicFramePr/>
                <a:graphic xmlns:a="http://schemas.openxmlformats.org/drawingml/2006/main">
                  <a:graphicData uri="http://schemas.microsoft.com/office/word/2010/wordprocessingShape">
                    <wps:wsp>
                      <wps:cNvSpPr txBox="1"/>
                      <wps:spPr>
                        <a:xfrm>
                          <a:off x="0" y="0"/>
                          <a:ext cx="675005" cy="5854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542EC12">
                            <w:pPr>
                              <w:rPr>
                                <w:rFonts w:hint="default"/>
                                <w:color w:val="FF0000"/>
                                <w:sz w:val="16"/>
                                <w:szCs w:val="20"/>
                                <w:lang w:val="en-IN"/>
                              </w:rPr>
                            </w:pPr>
                            <w:r>
                              <w:rPr>
                                <w:rFonts w:hint="default"/>
                                <w:color w:val="FF0000"/>
                                <w:sz w:val="16"/>
                                <w:szCs w:val="20"/>
                                <w:lang w:val="en-IN"/>
                              </w:rPr>
                              <w:t>Correct spelling in “</w:t>
                            </w:r>
                            <w:r>
                              <w:rPr>
                                <w:rFonts w:hint="default"/>
                                <w:b/>
                                <w:bCs/>
                                <w:color w:val="FF0000"/>
                                <w:sz w:val="16"/>
                                <w:szCs w:val="20"/>
                                <w:lang w:val="en-IN"/>
                              </w:rPr>
                              <w:t>weas”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6.4pt;margin-top:96.7pt;height:46.1pt;width:53.15pt;z-index:251678720;mso-width-relative:page;mso-height-relative:page;" fillcolor="#FFFFFF [3201]" filled="t" stroked="t" coordsize="21600,21600" o:gfxdata="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Z5J9gAAAAMAQAADwAAAAAAAAAB&#10;ACAAAAAiAAAAZHJzL2Rvd25yZXYueG1sUEsBAhQAFAAAAAgAh07iQJdCCy5JAgAAtwQAAA4AAAAA&#10;AAAAAQAgAAAAJwEAAGRycy9lMm9Eb2MueG1sUEsFBgAAAAAGAAYAWQEAAOIFAAAAAA==&#10;">
                <v:fill on="t" focussize="0,0"/>
                <v:stroke weight="0.5pt" color="#000000 [3204]" joinstyle="round"/>
                <v:imagedata o:title=""/>
                <o:lock v:ext="edit" aspectratio="f"/>
                <v:textbox>
                  <w:txbxContent>
                    <w:p w14:paraId="6542EC12">
                      <w:pPr>
                        <w:rPr>
                          <w:rFonts w:hint="default"/>
                          <w:color w:val="FF0000"/>
                          <w:sz w:val="16"/>
                          <w:szCs w:val="20"/>
                          <w:lang w:val="en-IN"/>
                        </w:rPr>
                      </w:pPr>
                      <w:r>
                        <w:rPr>
                          <w:rFonts w:hint="default"/>
                          <w:color w:val="FF0000"/>
                          <w:sz w:val="16"/>
                          <w:szCs w:val="20"/>
                          <w:lang w:val="en-IN"/>
                        </w:rPr>
                        <w:t>Correct spelling in “</w:t>
                      </w:r>
                      <w:r>
                        <w:rPr>
                          <w:rFonts w:hint="default"/>
                          <w:b/>
                          <w:bCs/>
                          <w:color w:val="FF0000"/>
                          <w:sz w:val="16"/>
                          <w:szCs w:val="20"/>
                          <w:lang w:val="en-IN"/>
                        </w:rPr>
                        <w:t>weas”</w:t>
                      </w:r>
                    </w:p>
                  </w:txbxContent>
                </v:textbox>
              </v:shape>
            </w:pict>
          </mc:Fallback>
        </mc:AlternateContent>
      </w:r>
      <w:r>
        <w:rPr>
          <w:sz w:val="20"/>
        </w:rPr>
        <mc:AlternateContent>
          <mc:Choice Requires="wps">
            <w:drawing>
              <wp:anchor distT="0" distB="0" distL="114300" distR="114300" simplePos="0" relativeHeight="251677696" behindDoc="0" locked="0" layoutInCell="1" allowOverlap="1">
                <wp:simplePos x="0" y="0"/>
                <wp:positionH relativeFrom="column">
                  <wp:posOffset>5840730</wp:posOffset>
                </wp:positionH>
                <wp:positionV relativeFrom="paragraph">
                  <wp:posOffset>60325</wp:posOffset>
                </wp:positionV>
                <wp:extent cx="680720" cy="1093470"/>
                <wp:effectExtent l="4445" t="4445" r="13335" b="6985"/>
                <wp:wrapNone/>
                <wp:docPr id="11" name="Text Box 11"/>
                <wp:cNvGraphicFramePr/>
                <a:graphic xmlns:a="http://schemas.openxmlformats.org/drawingml/2006/main">
                  <a:graphicData uri="http://schemas.microsoft.com/office/word/2010/wordprocessingShape">
                    <wps:wsp>
                      <wps:cNvSpPr txBox="1"/>
                      <wps:spPr>
                        <a:xfrm>
                          <a:off x="6851015" y="7795895"/>
                          <a:ext cx="680720" cy="10934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ED7018A">
                            <w:pPr>
                              <w:rPr>
                                <w:rFonts w:hint="default"/>
                                <w:color w:val="FF0000"/>
                                <w:sz w:val="16"/>
                                <w:szCs w:val="20"/>
                                <w:lang w:val="en-IN"/>
                              </w:rPr>
                            </w:pPr>
                            <w:r>
                              <w:rPr>
                                <w:rFonts w:hint="default"/>
                                <w:color w:val="FF0000"/>
                                <w:sz w:val="16"/>
                                <w:szCs w:val="20"/>
                                <w:lang w:val="en-IN"/>
                              </w:rPr>
                              <w:t>Add value before co-efficient. Similarly follow in remaining places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9.9pt;margin-top:4.75pt;height:86.1pt;width:53.6pt;z-index:251677696;mso-width-relative:page;mso-height-relative:page;" fillcolor="#FFFFFF [3201]" filled="t" stroked="t" coordsize="21600,21600" o:gfxdata="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EdTvpdYAAAAKAQAA&#10;DwAAAAAAAAABACAAAAAiAAAAZHJzL2Rvd25yZXYueG1sUEsBAhQAFAAAAAgAh07iQAvVcHJUAgAA&#10;xAQAAA4AAAAAAAAAAQAgAAAAJQEAAGRycy9lMm9Eb2MueG1sUEsFBgAAAAAGAAYAWQEAAOsFAAAA&#10;AA==&#10;">
                <v:fill on="t" focussize="0,0"/>
                <v:stroke weight="0.5pt" color="#000000 [3204]" joinstyle="round"/>
                <v:imagedata o:title=""/>
                <o:lock v:ext="edit" aspectratio="f"/>
                <v:textbox>
                  <w:txbxContent>
                    <w:p w14:paraId="4ED7018A">
                      <w:pPr>
                        <w:rPr>
                          <w:rFonts w:hint="default"/>
                          <w:color w:val="FF0000"/>
                          <w:sz w:val="16"/>
                          <w:szCs w:val="20"/>
                          <w:lang w:val="en-IN"/>
                        </w:rPr>
                      </w:pPr>
                      <w:r>
                        <w:rPr>
                          <w:rFonts w:hint="default"/>
                          <w:color w:val="FF0000"/>
                          <w:sz w:val="16"/>
                          <w:szCs w:val="20"/>
                          <w:lang w:val="en-IN"/>
                        </w:rPr>
                        <w:t>Add value before co-efficient. Similarly follow in remaining places</w:t>
                      </w:r>
                    </w:p>
                  </w:txbxContent>
                </v:textbox>
              </v:shape>
            </w:pict>
          </mc:Fallback>
        </mc:AlternateContent>
      </w:r>
      <w:r>
        <w:rPr>
          <w:rFonts w:cs="Times New Roman"/>
          <w:sz w:val="20"/>
          <w:szCs w:val="20"/>
          <w:lang w:eastAsia="en-IN"/>
        </w:rPr>
        <w:t>Perusal of data, Table 3 and Figure 1 revealed that the population of Pear Psylla at Palhallan and Nihalpora exhibited a positive correlation with maximum and minimum temperatures, with correlation</w:t>
      </w:r>
      <w:r>
        <w:rPr>
          <w:rFonts w:cs="Times New Roman"/>
          <w:sz w:val="20"/>
          <w:szCs w:val="20"/>
          <w:highlight w:val="yellow"/>
          <w:lang w:eastAsia="en-IN"/>
        </w:rPr>
        <w:t xml:space="preserve"> co</w:t>
      </w:r>
      <w:r>
        <w:rPr>
          <w:rFonts w:hint="default" w:cs="Times New Roman"/>
          <w:sz w:val="20"/>
          <w:szCs w:val="20"/>
          <w:highlight w:val="yellow"/>
          <w:lang w:val="en-US" w:eastAsia="en-IN"/>
        </w:rPr>
        <w:t>-</w:t>
      </w:r>
      <w:r>
        <w:rPr>
          <w:rFonts w:cs="Times New Roman"/>
          <w:sz w:val="20"/>
          <w:szCs w:val="20"/>
          <w:highlight w:val="yellow"/>
          <w:lang w:eastAsia="en-IN"/>
        </w:rPr>
        <w:t xml:space="preserve">efficients </w:t>
      </w:r>
      <w:r>
        <w:rPr>
          <w:rFonts w:hint="default" w:cs="Times New Roman"/>
          <w:color w:val="FF0000"/>
          <w:sz w:val="20"/>
          <w:szCs w:val="20"/>
          <w:highlight w:val="yellow"/>
          <w:lang w:val="en-US" w:eastAsia="en-IN"/>
        </w:rPr>
        <w:t>value</w:t>
      </w:r>
      <w:r>
        <w:rPr>
          <w:rFonts w:hint="default" w:cs="Times New Roman"/>
          <w:sz w:val="20"/>
          <w:szCs w:val="20"/>
          <w:highlight w:val="yellow"/>
          <w:lang w:val="en-US" w:eastAsia="en-IN"/>
        </w:rPr>
        <w:t xml:space="preserve">  </w:t>
      </w:r>
      <w:r>
        <w:rPr>
          <w:rFonts w:cs="Times New Roman"/>
          <w:sz w:val="20"/>
          <w:szCs w:val="20"/>
          <w:highlight w:val="yellow"/>
          <w:lang w:eastAsia="en-IN"/>
        </w:rPr>
        <w:t xml:space="preserve">of </w:t>
      </w:r>
      <w:r>
        <w:rPr>
          <w:rFonts w:cs="Times New Roman"/>
          <w:sz w:val="20"/>
          <w:szCs w:val="20"/>
          <w:lang w:eastAsia="en-IN"/>
        </w:rPr>
        <w:t>0.73 &amp; 0.65 and 0.77 &amp; 0.68 for</w:t>
      </w:r>
      <w:r>
        <w:rPr>
          <w:rFonts w:cs="Times New Roman"/>
          <w:sz w:val="20"/>
          <w:szCs w:val="20"/>
          <w:highlight w:val="none"/>
          <w:lang w:eastAsia="en-IN"/>
        </w:rPr>
        <w:t xml:space="preserve"> nymphs </w:t>
      </w:r>
      <w:r>
        <w:rPr>
          <w:rFonts w:cs="Times New Roman"/>
          <w:sz w:val="20"/>
          <w:szCs w:val="20"/>
          <w:lang w:eastAsia="en-IN"/>
        </w:rPr>
        <w:t xml:space="preserve">respectively. The correlation coefficient for adults was 0.72 &amp; 0.56 and 0.58 &amp; 0.41, respectively, indicating the significant influence of these factors on population fluctuations. Conversely, rainfall </w:t>
      </w:r>
      <w:r>
        <w:rPr>
          <w:rFonts w:cs="Times New Roman"/>
          <w:sz w:val="20"/>
          <w:szCs w:val="20"/>
          <w:highlight w:val="yellow"/>
          <w:lang w:eastAsia="en-IN"/>
        </w:rPr>
        <w:t>weas</w:t>
      </w:r>
      <w:r>
        <w:rPr>
          <w:rFonts w:cs="Times New Roman"/>
          <w:sz w:val="20"/>
          <w:szCs w:val="20"/>
          <w:lang w:eastAsia="en-IN"/>
        </w:rPr>
        <w:t xml:space="preserve"> negatively correlated, with coefficients of -0.37 &amp;-0.42 for nymphs and -0.26 &amp; -0.24 for adults respectively. Maximum relative humidity for nymphs was -0.37 &amp; -0.36 and -0.10 &amp;-0.14 for adults respectively. However, minimum relative humidity showed a positive correlation with coefficients of 0.59 &amp; 0.60 for nymphs and 0.60 &amp; 0.42 for adults respectively.</w:t>
      </w:r>
    </w:p>
    <w:p w14:paraId="3E79C17B">
      <w:pPr>
        <w:pStyle w:val="35"/>
        <w:spacing w:line="240" w:lineRule="auto"/>
        <w:rPr>
          <w:rFonts w:cs="Times New Roman"/>
          <w:sz w:val="20"/>
          <w:szCs w:val="20"/>
        </w:rPr>
      </w:pPr>
      <w:r>
        <w:rPr>
          <w:rFonts w:cs="Times New Roman"/>
          <w:sz w:val="20"/>
          <w:szCs w:val="20"/>
          <w:lang w:eastAsia="en-IN"/>
        </w:rPr>
        <w:t xml:space="preserve">      Perusal of data, Table 4 and Figure 1 revealed the relationships between meteorological and Pear Psylla populations (nymphs and adults) at Palhallan and Nihalpora, using the coefficient of determination (R²) and prediction equations to quantify these interactions.</w:t>
      </w:r>
      <w:r>
        <w:rPr>
          <w:rFonts w:cs="Times New Roman"/>
          <w:sz w:val="20"/>
          <w:szCs w:val="20"/>
        </w:rPr>
        <w:t xml:space="preserve"> At Palhallan and Nihalpora, the R² value for the nymphs population was 0.80 and 0.82 indicating that 80% and 82% of its variation could be explained by meteorological variables, while for adults, the R² value was 0.77 and 0.62, explaining 77% and 62% of the variation. </w:t>
      </w:r>
    </w:p>
    <w:p w14:paraId="21C5D676">
      <w:pPr>
        <w:pStyle w:val="35"/>
        <w:spacing w:line="240" w:lineRule="auto"/>
        <w:rPr>
          <w:b/>
          <w:bCs/>
          <w:color w:val="000000"/>
          <w:spacing w:val="1"/>
          <w:sz w:val="20"/>
          <w:szCs w:val="20"/>
        </w:rPr>
      </w:pPr>
      <w:r>
        <w:rPr>
          <w:rFonts w:cs="Times New Roman"/>
          <w:b/>
          <w:bCs/>
          <w:sz w:val="20"/>
          <w:szCs w:val="20"/>
        </w:rPr>
        <w:t xml:space="preserve">        3.2.2 </w:t>
      </w:r>
      <w:r>
        <w:rPr>
          <w:b/>
          <w:bCs/>
          <w:color w:val="000000"/>
          <w:sz w:val="20"/>
          <w:szCs w:val="20"/>
        </w:rPr>
        <w:t>Effect</w:t>
      </w:r>
      <w:r>
        <w:rPr>
          <w:b/>
          <w:bCs/>
          <w:color w:val="000000"/>
          <w:spacing w:val="1"/>
          <w:sz w:val="20"/>
          <w:szCs w:val="20"/>
        </w:rPr>
        <w:t xml:space="preserve"> </w:t>
      </w:r>
      <w:r>
        <w:rPr>
          <w:b/>
          <w:bCs/>
          <w:color w:val="000000"/>
          <w:sz w:val="20"/>
          <w:szCs w:val="20"/>
        </w:rPr>
        <w:t>of</w:t>
      </w:r>
      <w:r>
        <w:rPr>
          <w:b/>
          <w:bCs/>
          <w:color w:val="000000"/>
          <w:spacing w:val="1"/>
          <w:sz w:val="20"/>
          <w:szCs w:val="20"/>
        </w:rPr>
        <w:t xml:space="preserve"> </w:t>
      </w:r>
      <w:r>
        <w:rPr>
          <w:b/>
          <w:bCs/>
          <w:color w:val="000000"/>
          <w:sz w:val="20"/>
          <w:szCs w:val="20"/>
        </w:rPr>
        <w:t>various</w:t>
      </w:r>
      <w:r>
        <w:rPr>
          <w:b/>
          <w:bCs/>
          <w:color w:val="000000"/>
          <w:spacing w:val="1"/>
          <w:sz w:val="20"/>
          <w:szCs w:val="20"/>
        </w:rPr>
        <w:t xml:space="preserve"> </w:t>
      </w:r>
      <w:r>
        <w:rPr>
          <w:b/>
          <w:bCs/>
          <w:color w:val="000000"/>
          <w:sz w:val="20"/>
          <w:szCs w:val="20"/>
        </w:rPr>
        <w:t>abiotic</w:t>
      </w:r>
      <w:r>
        <w:rPr>
          <w:b/>
          <w:bCs/>
          <w:color w:val="000000"/>
          <w:spacing w:val="1"/>
          <w:sz w:val="20"/>
          <w:szCs w:val="20"/>
        </w:rPr>
        <w:t xml:space="preserve"> </w:t>
      </w:r>
      <w:r>
        <w:rPr>
          <w:b/>
          <w:bCs/>
          <w:color w:val="000000"/>
          <w:sz w:val="20"/>
          <w:szCs w:val="20"/>
        </w:rPr>
        <w:t>factors</w:t>
      </w:r>
      <w:r>
        <w:rPr>
          <w:b/>
          <w:bCs/>
          <w:color w:val="000000"/>
          <w:spacing w:val="1"/>
          <w:sz w:val="20"/>
          <w:szCs w:val="20"/>
        </w:rPr>
        <w:t xml:space="preserve"> </w:t>
      </w:r>
      <w:r>
        <w:rPr>
          <w:b/>
          <w:bCs/>
          <w:color w:val="000000"/>
          <w:sz w:val="20"/>
          <w:szCs w:val="20"/>
        </w:rPr>
        <w:t>on</w:t>
      </w:r>
      <w:r>
        <w:rPr>
          <w:b/>
          <w:bCs/>
          <w:color w:val="000000"/>
          <w:spacing w:val="1"/>
          <w:sz w:val="20"/>
          <w:szCs w:val="20"/>
        </w:rPr>
        <w:t xml:space="preserve"> </w:t>
      </w:r>
      <w:r>
        <w:rPr>
          <w:b/>
          <w:bCs/>
          <w:color w:val="000000"/>
          <w:sz w:val="20"/>
          <w:szCs w:val="20"/>
        </w:rPr>
        <w:t>the</w:t>
      </w:r>
      <w:r>
        <w:rPr>
          <w:b/>
          <w:bCs/>
          <w:color w:val="000000"/>
          <w:spacing w:val="1"/>
          <w:sz w:val="20"/>
          <w:szCs w:val="20"/>
        </w:rPr>
        <w:t xml:space="preserve"> </w:t>
      </w:r>
      <w:r>
        <w:rPr>
          <w:b/>
          <w:bCs/>
          <w:color w:val="000000"/>
          <w:sz w:val="20"/>
          <w:szCs w:val="20"/>
        </w:rPr>
        <w:t>fluctuation</w:t>
      </w:r>
      <w:r>
        <w:rPr>
          <w:b/>
          <w:bCs/>
          <w:color w:val="000000"/>
          <w:spacing w:val="1"/>
          <w:sz w:val="20"/>
          <w:szCs w:val="20"/>
        </w:rPr>
        <w:t xml:space="preserve"> </w:t>
      </w:r>
      <w:r>
        <w:rPr>
          <w:b/>
          <w:bCs/>
          <w:color w:val="000000"/>
          <w:sz w:val="20"/>
          <w:szCs w:val="20"/>
        </w:rPr>
        <w:t>of</w:t>
      </w:r>
      <w:r>
        <w:rPr>
          <w:b/>
          <w:bCs/>
          <w:color w:val="000000"/>
          <w:spacing w:val="1"/>
          <w:sz w:val="20"/>
          <w:szCs w:val="20"/>
        </w:rPr>
        <w:t xml:space="preserve"> </w:t>
      </w:r>
      <w:r>
        <w:rPr>
          <w:b/>
          <w:bCs/>
          <w:color w:val="000000"/>
          <w:sz w:val="20"/>
          <w:szCs w:val="20"/>
        </w:rPr>
        <w:t>Pear</w:t>
      </w:r>
      <w:r>
        <w:rPr>
          <w:b/>
          <w:bCs/>
          <w:color w:val="000000"/>
          <w:spacing w:val="60"/>
          <w:sz w:val="20"/>
          <w:szCs w:val="20"/>
        </w:rPr>
        <w:t xml:space="preserve"> </w:t>
      </w:r>
      <w:r>
        <w:rPr>
          <w:b/>
          <w:bCs/>
          <w:color w:val="000000"/>
          <w:sz w:val="20"/>
          <w:szCs w:val="20"/>
        </w:rPr>
        <w:t>Psylla</w:t>
      </w:r>
      <w:r>
        <w:rPr>
          <w:b/>
          <w:bCs/>
          <w:color w:val="000000"/>
          <w:spacing w:val="1"/>
          <w:sz w:val="20"/>
          <w:szCs w:val="20"/>
        </w:rPr>
        <w:t xml:space="preserve"> </w:t>
      </w:r>
      <w:r>
        <w:rPr>
          <w:b/>
          <w:bCs/>
          <w:color w:val="000000"/>
          <w:sz w:val="20"/>
          <w:szCs w:val="20"/>
        </w:rPr>
        <w:t>population in districts</w:t>
      </w:r>
      <w:r>
        <w:rPr>
          <w:b/>
          <w:bCs/>
          <w:color w:val="000000"/>
          <w:spacing w:val="1"/>
          <w:sz w:val="20"/>
          <w:szCs w:val="20"/>
        </w:rPr>
        <w:t xml:space="preserve"> Srinagar</w:t>
      </w:r>
    </w:p>
    <w:p w14:paraId="3DC143A2">
      <w:pPr>
        <w:pStyle w:val="35"/>
        <w:spacing w:line="240" w:lineRule="auto"/>
        <w:rPr>
          <w:rFonts w:cs="Times New Roman"/>
          <w:sz w:val="20"/>
          <w:szCs w:val="20"/>
          <w:lang w:eastAsia="en-IN"/>
        </w:rPr>
      </w:pPr>
      <w:r>
        <w:rPr>
          <w:sz w:val="20"/>
        </w:rPr>
        <mc:AlternateContent>
          <mc:Choice Requires="wps">
            <w:drawing>
              <wp:anchor distT="0" distB="0" distL="114300" distR="114300" simplePos="0" relativeHeight="251679744" behindDoc="0" locked="0" layoutInCell="1" allowOverlap="1">
                <wp:simplePos x="0" y="0"/>
                <wp:positionH relativeFrom="column">
                  <wp:posOffset>5797550</wp:posOffset>
                </wp:positionH>
                <wp:positionV relativeFrom="paragraph">
                  <wp:posOffset>467360</wp:posOffset>
                </wp:positionV>
                <wp:extent cx="698500" cy="661035"/>
                <wp:effectExtent l="4445" t="4445" r="8255" b="7620"/>
                <wp:wrapNone/>
                <wp:docPr id="13" name="Text Box 13"/>
                <wp:cNvGraphicFramePr/>
                <a:graphic xmlns:a="http://schemas.openxmlformats.org/drawingml/2006/main">
                  <a:graphicData uri="http://schemas.microsoft.com/office/word/2010/wordprocessingShape">
                    <wps:wsp>
                      <wps:cNvSpPr txBox="1"/>
                      <wps:spPr>
                        <a:xfrm>
                          <a:off x="7035165" y="2003425"/>
                          <a:ext cx="698500" cy="661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2ACDF9F">
                            <w:pPr>
                              <w:rPr>
                                <w:rFonts w:hint="default"/>
                                <w:color w:val="FF0000"/>
                                <w:sz w:val="18"/>
                                <w:szCs w:val="21"/>
                                <w:lang w:val="en-IN"/>
                              </w:rPr>
                            </w:pPr>
                            <w:r>
                              <w:rPr>
                                <w:rFonts w:hint="default"/>
                                <w:color w:val="FF0000"/>
                                <w:sz w:val="18"/>
                                <w:szCs w:val="21"/>
                                <w:lang w:val="en-IN"/>
                              </w:rPr>
                              <w:t>Replace weekly with “weakly”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6.5pt;margin-top:36.8pt;height:52.05pt;width:55pt;z-index:251679744;mso-width-relative:page;mso-height-relative:page;" fillcolor="#FFFFFF [3201]" filled="t" stroked="t" coordsize="21600,21600" o:gfxdata="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ZgZLPXAAAACwEAAA8A&#10;AAAAAAAAAQAgAAAAIgAAAGRycy9kb3ducmV2LnhtbFBLAQIUABQAAAAIAIdO4kCX9b5dUQIAAMME&#10;AAAOAAAAAAAAAAEAIAAAACYBAABkcnMvZTJvRG9jLnhtbFBLBQYAAAAABgAGAFkBAADpBQAAAAA=&#10;">
                <v:fill on="t" focussize="0,0"/>
                <v:stroke weight="0.5pt" color="#000000 [3204]" joinstyle="round"/>
                <v:imagedata o:title=""/>
                <o:lock v:ext="edit" aspectratio="f"/>
                <v:textbox>
                  <w:txbxContent>
                    <w:p w14:paraId="22ACDF9F">
                      <w:pPr>
                        <w:rPr>
                          <w:rFonts w:hint="default"/>
                          <w:color w:val="FF0000"/>
                          <w:sz w:val="18"/>
                          <w:szCs w:val="21"/>
                          <w:lang w:val="en-IN"/>
                        </w:rPr>
                      </w:pPr>
                      <w:r>
                        <w:rPr>
                          <w:rFonts w:hint="default"/>
                          <w:color w:val="FF0000"/>
                          <w:sz w:val="18"/>
                          <w:szCs w:val="21"/>
                          <w:lang w:val="en-IN"/>
                        </w:rPr>
                        <w:t>Replace weekly with “weakly”</w:t>
                      </w:r>
                    </w:p>
                  </w:txbxContent>
                </v:textbox>
              </v:shape>
            </w:pict>
          </mc:Fallback>
        </mc:AlternateContent>
      </w:r>
      <w:r>
        <w:rPr>
          <w:rFonts w:cs="Times New Roman"/>
          <w:sz w:val="20"/>
          <w:szCs w:val="20"/>
          <w:lang w:eastAsia="en-IN"/>
        </w:rPr>
        <w:t xml:space="preserve">        Perusal of data, Table 5 and Figure 2 revealed that the population of Pear Psylla at Harwan and Shalimar exhibited a positive correlation with maximum and minimum temperatures, with correlation coefficient</w:t>
      </w:r>
      <w:r>
        <w:rPr>
          <w:rFonts w:cs="Times New Roman"/>
          <w:sz w:val="20"/>
          <w:szCs w:val="20"/>
          <w:highlight w:val="yellow"/>
          <w:lang w:eastAsia="en-IN"/>
        </w:rPr>
        <w:t xml:space="preserve">s of </w:t>
      </w:r>
      <w:r>
        <w:rPr>
          <w:rFonts w:cs="Times New Roman"/>
          <w:sz w:val="20"/>
          <w:szCs w:val="20"/>
          <w:lang w:eastAsia="en-IN"/>
        </w:rPr>
        <w:t xml:space="preserve">0.58 &amp; 0.58 and 0.51 &amp; 0.51 for nymphs respectively. The correlation coefficient for adults was 0.51 &amp; 0.42 and 0.33 &amp; 0.26, respectively, indicating the significant influence of these factors on population fluctuations. Conversely, rainfall was </w:t>
      </w:r>
      <w:r>
        <w:rPr>
          <w:rFonts w:cs="Times New Roman"/>
          <w:sz w:val="20"/>
          <w:szCs w:val="20"/>
          <w:highlight w:val="yellow"/>
          <w:lang w:eastAsia="en-IN"/>
        </w:rPr>
        <w:t>weekly</w:t>
      </w:r>
      <w:r>
        <w:rPr>
          <w:rFonts w:cs="Times New Roman"/>
          <w:sz w:val="20"/>
          <w:szCs w:val="20"/>
          <w:lang w:eastAsia="en-IN"/>
        </w:rPr>
        <w:t xml:space="preserve"> correlated, with coefficients of 0.26 &amp;0.31 for nymphs and 0.10 &amp; 0.17 for adults respectively. Maximum relative humidity for nymphs was -0.64 &amp; -0.72and -0.55 &amp;-0.62 for adults respectively. However, minimum relative humidity showed a negative correlation with coefficients of -0.04 &amp; -0.09 for nymphs and -0.04 &amp; 0.03 for adults respectively.</w:t>
      </w:r>
    </w:p>
    <w:p w14:paraId="3A4C84BB">
      <w:pPr>
        <w:pStyle w:val="35"/>
        <w:spacing w:line="240" w:lineRule="auto"/>
        <w:rPr>
          <w:rFonts w:cs="Times New Roman"/>
          <w:sz w:val="20"/>
          <w:szCs w:val="20"/>
        </w:rPr>
      </w:pPr>
      <w:r>
        <w:rPr>
          <w:rFonts w:cs="Times New Roman"/>
          <w:sz w:val="20"/>
          <w:szCs w:val="20"/>
          <w:lang w:eastAsia="en-IN"/>
        </w:rPr>
        <w:t xml:space="preserve">      Perusal of data, Table 6 and Figure 2 revealed the relationships between meteorological and Pear Psylla populations (nymphs and adults) at Harwan and Shalimar, using the coefficient of determination (R²) and prediction equations to quantify these interactions.</w:t>
      </w:r>
      <w:r>
        <w:rPr>
          <w:rFonts w:cs="Times New Roman"/>
          <w:sz w:val="20"/>
          <w:szCs w:val="20"/>
        </w:rPr>
        <w:t xml:space="preserve"> At Harwan and Shalimar, the R² value for the nymphs population was 0.94 and 0.95 indicating that 94% and 95% of its variation could be explained by meteorological variables, while for adults, the R² value was 0.78 and 0.75, explaining 78% and 75% of the variation. </w:t>
      </w:r>
    </w:p>
    <w:p w14:paraId="07058360">
      <w:pPr>
        <w:pStyle w:val="35"/>
        <w:spacing w:line="240" w:lineRule="auto"/>
        <w:rPr>
          <w:rFonts w:cs="Times New Roman"/>
          <w:b/>
          <w:bCs/>
          <w:sz w:val="20"/>
          <w:szCs w:val="20"/>
        </w:rPr>
      </w:pPr>
      <w:r>
        <w:rPr>
          <w:rFonts w:cs="Times New Roman"/>
          <w:sz w:val="20"/>
          <w:szCs w:val="20"/>
        </w:rPr>
        <w:t xml:space="preserve">        </w:t>
      </w:r>
    </w:p>
    <w:p w14:paraId="7E7FFAF1">
      <w:pPr>
        <w:pStyle w:val="3"/>
        <w:tabs>
          <w:tab w:val="left" w:pos="709"/>
        </w:tabs>
        <w:spacing w:before="120" w:after="120"/>
        <w:ind w:left="1440" w:hanging="1440"/>
        <w:jc w:val="both"/>
        <w:rPr>
          <w:color w:val="000000"/>
          <w:sz w:val="20"/>
          <w:szCs w:val="20"/>
        </w:rPr>
      </w:pPr>
      <w:r>
        <w:rPr>
          <w:sz w:val="20"/>
        </w:rPr>
        <mc:AlternateContent>
          <mc:Choice Requires="wps">
            <w:drawing>
              <wp:anchor distT="0" distB="0" distL="114300" distR="114300" simplePos="0" relativeHeight="251680768" behindDoc="0" locked="0" layoutInCell="1" allowOverlap="1">
                <wp:simplePos x="0" y="0"/>
                <wp:positionH relativeFrom="column">
                  <wp:posOffset>5695950</wp:posOffset>
                </wp:positionH>
                <wp:positionV relativeFrom="paragraph">
                  <wp:posOffset>80010</wp:posOffset>
                </wp:positionV>
                <wp:extent cx="698500" cy="1448435"/>
                <wp:effectExtent l="4445" t="4445" r="8255" b="7620"/>
                <wp:wrapNone/>
                <wp:docPr id="14" name="Text Box 14"/>
                <wp:cNvGraphicFramePr/>
                <a:graphic xmlns:a="http://schemas.openxmlformats.org/drawingml/2006/main">
                  <a:graphicData uri="http://schemas.microsoft.com/office/word/2010/wordprocessingShape">
                    <wps:wsp>
                      <wps:cNvSpPr txBox="1"/>
                      <wps:spPr>
                        <a:xfrm>
                          <a:off x="0" y="0"/>
                          <a:ext cx="698500" cy="1448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5E64BE1">
                            <w:pPr>
                              <w:rPr>
                                <w:rFonts w:hint="default"/>
                                <w:color w:val="FF0000"/>
                                <w:sz w:val="18"/>
                                <w:szCs w:val="21"/>
                                <w:lang w:val="en-IN"/>
                              </w:rPr>
                            </w:pPr>
                            <w:r>
                              <w:rPr>
                                <w:rFonts w:hint="default"/>
                                <w:color w:val="FF0000"/>
                                <w:sz w:val="18"/>
                                <w:szCs w:val="21"/>
                                <w:lang w:val="en-IN"/>
                              </w:rPr>
                              <w:t xml:space="preserve">Replace Coefficient with </w:t>
                            </w:r>
                            <w:r>
                              <w:rPr>
                                <w:rFonts w:hint="default"/>
                                <w:b/>
                                <w:bCs/>
                                <w:color w:val="FF0000"/>
                                <w:sz w:val="18"/>
                                <w:szCs w:val="21"/>
                                <w:lang w:val="en-IN"/>
                              </w:rPr>
                              <w:t>“Co-efficien</w:t>
                            </w:r>
                            <w:r>
                              <w:rPr>
                                <w:rFonts w:hint="default"/>
                                <w:color w:val="FF0000"/>
                                <w:sz w:val="18"/>
                                <w:szCs w:val="21"/>
                                <w:lang w:val="en-IN"/>
                              </w:rPr>
                              <w:t>t” and follow the same in remaining places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8.5pt;margin-top:6.3pt;height:114.05pt;width:55pt;z-index:251680768;mso-width-relative:page;mso-height-relative:page;" fillcolor="#FFFFFF [3201]" filled="t" stroked="t" coordsize="21600,21600" o:gfxdata="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UMq49YAAAALAQAADwAAAAAAAAABACAAAAAi&#10;AAAAZHJzL2Rvd25yZXYueG1sUEsBAhQAFAAAAAgAh07iQKSBfkJFAgAAuAQAAA4AAAAAAAAAAQAg&#10;AAAAJQEAAGRycy9lMm9Eb2MueG1sUEsFBgAAAAAGAAYAWQEAANwFAAAAAA==&#10;">
                <v:fill on="t" focussize="0,0"/>
                <v:stroke weight="0.5pt" color="#000000 [3204]" joinstyle="round"/>
                <v:imagedata o:title=""/>
                <o:lock v:ext="edit" aspectratio="f"/>
                <v:textbox>
                  <w:txbxContent>
                    <w:p w14:paraId="45E64BE1">
                      <w:pPr>
                        <w:rPr>
                          <w:rFonts w:hint="default"/>
                          <w:color w:val="FF0000"/>
                          <w:sz w:val="18"/>
                          <w:szCs w:val="21"/>
                          <w:lang w:val="en-IN"/>
                        </w:rPr>
                      </w:pPr>
                      <w:r>
                        <w:rPr>
                          <w:rFonts w:hint="default"/>
                          <w:color w:val="FF0000"/>
                          <w:sz w:val="18"/>
                          <w:szCs w:val="21"/>
                          <w:lang w:val="en-IN"/>
                        </w:rPr>
                        <w:t xml:space="preserve">Replace Coefficient with </w:t>
                      </w:r>
                      <w:r>
                        <w:rPr>
                          <w:rFonts w:hint="default"/>
                          <w:b/>
                          <w:bCs/>
                          <w:color w:val="FF0000"/>
                          <w:sz w:val="18"/>
                          <w:szCs w:val="21"/>
                          <w:lang w:val="en-IN"/>
                        </w:rPr>
                        <w:t>“Co-efficien</w:t>
                      </w:r>
                      <w:r>
                        <w:rPr>
                          <w:rFonts w:hint="default"/>
                          <w:color w:val="FF0000"/>
                          <w:sz w:val="18"/>
                          <w:szCs w:val="21"/>
                          <w:lang w:val="en-IN"/>
                        </w:rPr>
                        <w:t>t” and follow the same in remaining places</w:t>
                      </w:r>
                    </w:p>
                  </w:txbxContent>
                </v:textbox>
              </v:shape>
            </w:pict>
          </mc:Fallback>
        </mc:AlternateContent>
      </w:r>
      <w:r>
        <w:rPr>
          <w:color w:val="000000"/>
          <w:sz w:val="20"/>
          <w:szCs w:val="20"/>
        </w:rPr>
        <w:t>Table</w:t>
      </w:r>
      <w:r>
        <w:rPr>
          <w:color w:val="000000"/>
          <w:spacing w:val="-1"/>
          <w:sz w:val="20"/>
          <w:szCs w:val="20"/>
        </w:rPr>
        <w:t xml:space="preserve"> </w:t>
      </w:r>
      <w:r>
        <w:rPr>
          <w:color w:val="000000"/>
          <w:sz w:val="20"/>
          <w:szCs w:val="20"/>
        </w:rPr>
        <w:t>3:</w:t>
      </w:r>
      <w:r>
        <w:rPr>
          <w:color w:val="000000"/>
          <w:sz w:val="20"/>
          <w:szCs w:val="20"/>
        </w:rPr>
        <w:tab/>
      </w:r>
      <w:r>
        <w:rPr>
          <w:color w:val="000000"/>
          <w:sz w:val="20"/>
          <w:szCs w:val="20"/>
        </w:rPr>
        <w:t xml:space="preserve">Correlation </w:t>
      </w:r>
      <w:r>
        <w:rPr>
          <w:color w:val="000000"/>
          <w:sz w:val="20"/>
          <w:szCs w:val="20"/>
          <w:highlight w:val="yellow"/>
        </w:rPr>
        <w:t>Coefficient</w:t>
      </w:r>
      <w:r>
        <w:rPr>
          <w:color w:val="000000"/>
          <w:sz w:val="20"/>
          <w:szCs w:val="20"/>
        </w:rPr>
        <w:t xml:space="preserve"> </w:t>
      </w:r>
      <w:r>
        <w:rPr>
          <w:color w:val="000000"/>
          <w:spacing w:val="11"/>
          <w:sz w:val="20"/>
          <w:szCs w:val="20"/>
        </w:rPr>
        <w:t xml:space="preserve">between </w:t>
      </w:r>
      <w:r>
        <w:rPr>
          <w:color w:val="000000"/>
          <w:sz w:val="20"/>
          <w:szCs w:val="20"/>
        </w:rPr>
        <w:t>Pear</w:t>
      </w:r>
      <w:r>
        <w:rPr>
          <w:color w:val="000000"/>
          <w:spacing w:val="11"/>
          <w:sz w:val="20"/>
          <w:szCs w:val="20"/>
        </w:rPr>
        <w:t xml:space="preserve"> </w:t>
      </w:r>
      <w:r>
        <w:rPr>
          <w:color w:val="000000"/>
          <w:sz w:val="20"/>
          <w:szCs w:val="20"/>
        </w:rPr>
        <w:t>Psylla</w:t>
      </w:r>
      <w:r>
        <w:rPr>
          <w:color w:val="000000"/>
          <w:spacing w:val="12"/>
          <w:sz w:val="20"/>
          <w:szCs w:val="20"/>
        </w:rPr>
        <w:t xml:space="preserve"> </w:t>
      </w:r>
      <w:r>
        <w:rPr>
          <w:color w:val="000000"/>
          <w:sz w:val="20"/>
          <w:szCs w:val="20"/>
        </w:rPr>
        <w:t>(</w:t>
      </w:r>
      <w:r>
        <w:rPr>
          <w:i/>
          <w:color w:val="000000"/>
          <w:sz w:val="20"/>
          <w:szCs w:val="20"/>
        </w:rPr>
        <w:t>Cacopsylla pyricola</w:t>
      </w:r>
      <w:r>
        <w:rPr>
          <w:color w:val="000000"/>
          <w:sz w:val="20"/>
          <w:szCs w:val="20"/>
        </w:rPr>
        <w:t>)</w:t>
      </w:r>
      <w:r>
        <w:rPr>
          <w:color w:val="000000"/>
          <w:spacing w:val="11"/>
          <w:sz w:val="20"/>
          <w:szCs w:val="20"/>
        </w:rPr>
        <w:t xml:space="preserve"> </w:t>
      </w:r>
      <w:r>
        <w:rPr>
          <w:color w:val="000000"/>
          <w:sz w:val="20"/>
          <w:szCs w:val="20"/>
        </w:rPr>
        <w:t>and abiotic factors in</w:t>
      </w:r>
      <w:r>
        <w:rPr>
          <w:color w:val="000000"/>
          <w:spacing w:val="-1"/>
          <w:sz w:val="20"/>
          <w:szCs w:val="20"/>
        </w:rPr>
        <w:t xml:space="preserve"> district </w:t>
      </w:r>
      <w:r>
        <w:rPr>
          <w:color w:val="000000"/>
          <w:sz w:val="20"/>
          <w:szCs w:val="20"/>
        </w:rPr>
        <w:t>Baramulla</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9"/>
        <w:gridCol w:w="1473"/>
        <w:gridCol w:w="1474"/>
        <w:gridCol w:w="1470"/>
        <w:gridCol w:w="1471"/>
      </w:tblGrid>
      <w:tr w14:paraId="19BB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927" w:type="dxa"/>
            <w:gridSpan w:val="5"/>
            <w:shd w:val="clear" w:color="auto" w:fill="auto"/>
            <w:vAlign w:val="center"/>
          </w:tcPr>
          <w:p w14:paraId="0ECAEB8F">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Correlation Coefficient (r)</w:t>
            </w:r>
          </w:p>
        </w:tc>
      </w:tr>
      <w:tr w14:paraId="3DBD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039" w:type="dxa"/>
            <w:vMerge w:val="restart"/>
            <w:shd w:val="clear" w:color="auto" w:fill="auto"/>
            <w:vAlign w:val="center"/>
          </w:tcPr>
          <w:p w14:paraId="4CC6FE6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Parameters</w:t>
            </w:r>
          </w:p>
        </w:tc>
        <w:tc>
          <w:tcPr>
            <w:tcW w:w="2947" w:type="dxa"/>
            <w:gridSpan w:val="2"/>
            <w:shd w:val="clear" w:color="auto" w:fill="auto"/>
            <w:vAlign w:val="center"/>
          </w:tcPr>
          <w:p w14:paraId="091A90E9">
            <w:pPr>
              <w:spacing w:line="240" w:lineRule="auto"/>
              <w:jc w:val="center"/>
              <w:rPr>
                <w:rFonts w:ascii="Times New Roman" w:hAnsi="Times New Roman" w:cs="Times New Roman"/>
                <w:b/>
                <w:sz w:val="20"/>
                <w:szCs w:val="20"/>
              </w:rPr>
            </w:pPr>
            <w:r>
              <w:rPr>
                <w:rFonts w:ascii="Times New Roman" w:hAnsi="Times New Roman" w:cs="Times New Roman"/>
                <w:b/>
                <w:sz w:val="20"/>
                <w:szCs w:val="20"/>
              </w:rPr>
              <w:t>Palhallan</w:t>
            </w:r>
          </w:p>
        </w:tc>
        <w:tc>
          <w:tcPr>
            <w:tcW w:w="2941" w:type="dxa"/>
            <w:gridSpan w:val="2"/>
            <w:shd w:val="clear" w:color="auto" w:fill="auto"/>
            <w:vAlign w:val="center"/>
          </w:tcPr>
          <w:p w14:paraId="5B35E5CD">
            <w:pPr>
              <w:spacing w:line="240" w:lineRule="auto"/>
              <w:jc w:val="center"/>
              <w:rPr>
                <w:rFonts w:ascii="Times New Roman" w:hAnsi="Times New Roman" w:cs="Times New Roman"/>
                <w:b/>
                <w:sz w:val="20"/>
                <w:szCs w:val="20"/>
              </w:rPr>
            </w:pPr>
            <w:r>
              <w:rPr>
                <w:rFonts w:ascii="Times New Roman" w:hAnsi="Times New Roman" w:cs="Times New Roman"/>
                <w:b/>
                <w:sz w:val="20"/>
                <w:szCs w:val="20"/>
              </w:rPr>
              <w:t>Nihalpora</w:t>
            </w:r>
          </w:p>
        </w:tc>
      </w:tr>
      <w:tr w14:paraId="748C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039" w:type="dxa"/>
            <w:vMerge w:val="continue"/>
            <w:shd w:val="clear" w:color="auto" w:fill="auto"/>
            <w:vAlign w:val="center"/>
          </w:tcPr>
          <w:p w14:paraId="37927C5A">
            <w:pPr>
              <w:spacing w:line="240" w:lineRule="auto"/>
              <w:jc w:val="center"/>
              <w:rPr>
                <w:rFonts w:ascii="Times New Roman" w:hAnsi="Times New Roman" w:cs="Times New Roman"/>
                <w:b/>
                <w:sz w:val="20"/>
                <w:szCs w:val="20"/>
              </w:rPr>
            </w:pPr>
          </w:p>
        </w:tc>
        <w:tc>
          <w:tcPr>
            <w:tcW w:w="1473" w:type="dxa"/>
            <w:shd w:val="clear" w:color="auto" w:fill="auto"/>
            <w:vAlign w:val="center"/>
          </w:tcPr>
          <w:p w14:paraId="09B953B4">
            <w:pPr>
              <w:spacing w:line="240" w:lineRule="auto"/>
              <w:jc w:val="center"/>
              <w:rPr>
                <w:rFonts w:ascii="Times New Roman" w:hAnsi="Times New Roman" w:cs="Times New Roman"/>
                <w:b/>
                <w:sz w:val="20"/>
                <w:szCs w:val="20"/>
              </w:rPr>
            </w:pPr>
            <w:r>
              <w:rPr>
                <w:rFonts w:ascii="Times New Roman" w:hAnsi="Times New Roman" w:cs="Times New Roman"/>
                <w:b/>
                <w:spacing w:val="-2"/>
                <w:sz w:val="20"/>
                <w:szCs w:val="20"/>
              </w:rPr>
              <w:t>Nymph</w:t>
            </w:r>
          </w:p>
        </w:tc>
        <w:tc>
          <w:tcPr>
            <w:tcW w:w="1474" w:type="dxa"/>
            <w:shd w:val="clear" w:color="auto" w:fill="auto"/>
            <w:vAlign w:val="center"/>
          </w:tcPr>
          <w:p w14:paraId="25CCCD0D">
            <w:pPr>
              <w:spacing w:line="240" w:lineRule="auto"/>
              <w:jc w:val="center"/>
              <w:rPr>
                <w:rFonts w:ascii="Times New Roman" w:hAnsi="Times New Roman" w:cs="Times New Roman"/>
                <w:b/>
                <w:sz w:val="20"/>
                <w:szCs w:val="20"/>
              </w:rPr>
            </w:pPr>
            <w:r>
              <w:rPr>
                <w:rFonts w:ascii="Times New Roman" w:hAnsi="Times New Roman" w:cs="Times New Roman"/>
                <w:b/>
                <w:spacing w:val="-2"/>
                <w:sz w:val="20"/>
                <w:szCs w:val="20"/>
              </w:rPr>
              <w:t>Adult</w:t>
            </w:r>
          </w:p>
        </w:tc>
        <w:tc>
          <w:tcPr>
            <w:tcW w:w="1470" w:type="dxa"/>
            <w:shd w:val="clear" w:color="auto" w:fill="auto"/>
            <w:vAlign w:val="center"/>
          </w:tcPr>
          <w:p w14:paraId="3CE32917">
            <w:pPr>
              <w:spacing w:line="240" w:lineRule="auto"/>
              <w:jc w:val="center"/>
              <w:rPr>
                <w:rFonts w:ascii="Times New Roman" w:hAnsi="Times New Roman" w:cs="Times New Roman"/>
                <w:b/>
                <w:spacing w:val="-2"/>
                <w:sz w:val="20"/>
                <w:szCs w:val="20"/>
              </w:rPr>
            </w:pPr>
            <w:r>
              <w:rPr>
                <w:rFonts w:ascii="Times New Roman" w:hAnsi="Times New Roman" w:cs="Times New Roman"/>
                <w:b/>
                <w:spacing w:val="-2"/>
                <w:sz w:val="20"/>
                <w:szCs w:val="20"/>
              </w:rPr>
              <w:t>Nymph</w:t>
            </w:r>
          </w:p>
        </w:tc>
        <w:tc>
          <w:tcPr>
            <w:tcW w:w="1471" w:type="dxa"/>
            <w:shd w:val="clear" w:color="auto" w:fill="auto"/>
            <w:vAlign w:val="center"/>
          </w:tcPr>
          <w:p w14:paraId="71AC2820">
            <w:pPr>
              <w:spacing w:line="240" w:lineRule="auto"/>
              <w:jc w:val="center"/>
              <w:rPr>
                <w:rFonts w:ascii="Times New Roman" w:hAnsi="Times New Roman" w:cs="Times New Roman"/>
                <w:b/>
                <w:spacing w:val="-2"/>
                <w:sz w:val="20"/>
                <w:szCs w:val="20"/>
              </w:rPr>
            </w:pPr>
            <w:r>
              <w:rPr>
                <w:rFonts w:ascii="Times New Roman" w:hAnsi="Times New Roman" w:cs="Times New Roman"/>
                <w:b/>
                <w:spacing w:val="-2"/>
                <w:sz w:val="20"/>
                <w:szCs w:val="20"/>
              </w:rPr>
              <w:t>Adult</w:t>
            </w:r>
          </w:p>
        </w:tc>
      </w:tr>
      <w:tr w14:paraId="3FDF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039" w:type="dxa"/>
            <w:shd w:val="clear" w:color="auto" w:fill="auto"/>
            <w:vAlign w:val="center"/>
          </w:tcPr>
          <w:p w14:paraId="455F0A70">
            <w:pPr>
              <w:spacing w:line="240" w:lineRule="auto"/>
              <w:jc w:val="both"/>
              <w:rPr>
                <w:rFonts w:ascii="Times New Roman" w:hAnsi="Times New Roman" w:cs="Times New Roman"/>
                <w:b/>
                <w:sz w:val="20"/>
                <w:szCs w:val="20"/>
              </w:rPr>
            </w:pPr>
            <w:r>
              <w:rPr>
                <w:rFonts w:ascii="Times New Roman" w:hAnsi="Times New Roman" w:cs="Times New Roman"/>
                <w:b/>
                <w:sz w:val="20"/>
                <w:szCs w:val="20"/>
              </w:rPr>
              <w:t>Max.</w:t>
            </w:r>
            <w:r>
              <w:rPr>
                <w:rFonts w:ascii="Times New Roman" w:hAnsi="Times New Roman" w:cs="Times New Roman"/>
                <w:b/>
                <w:spacing w:val="-5"/>
                <w:sz w:val="20"/>
                <w:szCs w:val="20"/>
              </w:rPr>
              <w:t xml:space="preserve"> </w:t>
            </w:r>
            <w:r>
              <w:rPr>
                <w:rFonts w:ascii="Times New Roman" w:hAnsi="Times New Roman" w:cs="Times New Roman"/>
                <w:b/>
                <w:sz w:val="20"/>
                <w:szCs w:val="20"/>
              </w:rPr>
              <w:t>Temp.</w:t>
            </w:r>
            <w:r>
              <w:rPr>
                <w:rFonts w:ascii="Times New Roman" w:hAnsi="Times New Roman" w:cs="Times New Roman"/>
                <w:b/>
                <w:spacing w:val="-5"/>
                <w:sz w:val="20"/>
                <w:szCs w:val="20"/>
              </w:rPr>
              <w:t xml:space="preserve"> </w:t>
            </w:r>
            <w:r>
              <w:rPr>
                <w:rFonts w:ascii="Times New Roman" w:hAnsi="Times New Roman" w:cs="Times New Roman"/>
                <w:b/>
                <w:spacing w:val="-4"/>
                <w:sz w:val="20"/>
                <w:szCs w:val="20"/>
              </w:rPr>
              <w:t>(</w:t>
            </w:r>
            <w:r>
              <w:rPr>
                <w:rFonts w:ascii="Times New Roman" w:hAnsi="Times New Roman" w:cs="Times New Roman"/>
                <w:b/>
                <w:spacing w:val="-4"/>
                <w:sz w:val="20"/>
                <w:szCs w:val="20"/>
                <w:vertAlign w:val="superscript"/>
              </w:rPr>
              <w:t>o</w:t>
            </w:r>
            <w:r>
              <w:rPr>
                <w:rFonts w:ascii="Times New Roman" w:hAnsi="Times New Roman" w:cs="Times New Roman"/>
                <w:b/>
                <w:spacing w:val="-4"/>
                <w:sz w:val="20"/>
                <w:szCs w:val="20"/>
              </w:rPr>
              <w:t>C)</w:t>
            </w:r>
          </w:p>
        </w:tc>
        <w:tc>
          <w:tcPr>
            <w:tcW w:w="1473" w:type="dxa"/>
            <w:shd w:val="clear" w:color="auto" w:fill="auto"/>
            <w:vAlign w:val="center"/>
          </w:tcPr>
          <w:p w14:paraId="6A2038FC">
            <w:pPr>
              <w:spacing w:line="240" w:lineRule="auto"/>
              <w:jc w:val="center"/>
              <w:rPr>
                <w:rFonts w:ascii="Times New Roman" w:hAnsi="Times New Roman" w:cs="Times New Roman"/>
                <w:sz w:val="20"/>
                <w:szCs w:val="20"/>
              </w:rPr>
            </w:pPr>
            <w:r>
              <w:rPr>
                <w:rFonts w:ascii="Times New Roman" w:hAnsi="Times New Roman" w:cs="Times New Roman"/>
                <w:sz w:val="20"/>
                <w:szCs w:val="20"/>
              </w:rPr>
              <w:t>0.73*</w:t>
            </w:r>
          </w:p>
        </w:tc>
        <w:tc>
          <w:tcPr>
            <w:tcW w:w="1474" w:type="dxa"/>
            <w:shd w:val="clear" w:color="auto" w:fill="auto"/>
            <w:vAlign w:val="center"/>
          </w:tcPr>
          <w:p w14:paraId="713714A1">
            <w:pPr>
              <w:spacing w:line="240" w:lineRule="auto"/>
              <w:jc w:val="center"/>
              <w:rPr>
                <w:rFonts w:ascii="Times New Roman" w:hAnsi="Times New Roman" w:cs="Times New Roman"/>
                <w:sz w:val="20"/>
                <w:szCs w:val="20"/>
              </w:rPr>
            </w:pPr>
            <w:r>
              <w:rPr>
                <w:rFonts w:ascii="Times New Roman" w:hAnsi="Times New Roman" w:cs="Times New Roman"/>
                <w:sz w:val="20"/>
                <w:szCs w:val="20"/>
              </w:rPr>
              <w:t>0.72*</w:t>
            </w:r>
          </w:p>
        </w:tc>
        <w:tc>
          <w:tcPr>
            <w:tcW w:w="1470" w:type="dxa"/>
            <w:shd w:val="clear" w:color="auto" w:fill="auto"/>
            <w:vAlign w:val="center"/>
          </w:tcPr>
          <w:p w14:paraId="691F52B5">
            <w:pPr>
              <w:spacing w:line="240" w:lineRule="auto"/>
              <w:jc w:val="center"/>
              <w:rPr>
                <w:rFonts w:ascii="Times New Roman" w:hAnsi="Times New Roman" w:cs="Times New Roman"/>
                <w:spacing w:val="-4"/>
                <w:sz w:val="20"/>
                <w:szCs w:val="20"/>
              </w:rPr>
            </w:pPr>
            <w:r>
              <w:rPr>
                <w:rFonts w:ascii="Times New Roman" w:hAnsi="Times New Roman" w:cs="Times New Roman"/>
                <w:spacing w:val="-4"/>
                <w:sz w:val="20"/>
                <w:szCs w:val="20"/>
              </w:rPr>
              <w:t>0.77*</w:t>
            </w:r>
          </w:p>
        </w:tc>
        <w:tc>
          <w:tcPr>
            <w:tcW w:w="1471" w:type="dxa"/>
            <w:shd w:val="clear" w:color="auto" w:fill="auto"/>
            <w:vAlign w:val="center"/>
          </w:tcPr>
          <w:p w14:paraId="71B4CB15">
            <w:pPr>
              <w:spacing w:line="240" w:lineRule="auto"/>
              <w:jc w:val="center"/>
              <w:rPr>
                <w:rFonts w:ascii="Times New Roman" w:hAnsi="Times New Roman" w:cs="Times New Roman"/>
                <w:spacing w:val="-4"/>
                <w:sz w:val="20"/>
                <w:szCs w:val="20"/>
              </w:rPr>
            </w:pPr>
            <w:r>
              <w:rPr>
                <w:rFonts w:ascii="Times New Roman" w:hAnsi="Times New Roman" w:cs="Times New Roman"/>
                <w:spacing w:val="-4"/>
                <w:sz w:val="20"/>
                <w:szCs w:val="20"/>
              </w:rPr>
              <w:t>0.58*</w:t>
            </w:r>
          </w:p>
        </w:tc>
      </w:tr>
      <w:tr w14:paraId="7D0C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039" w:type="dxa"/>
            <w:shd w:val="clear" w:color="auto" w:fill="auto"/>
            <w:vAlign w:val="center"/>
          </w:tcPr>
          <w:p w14:paraId="0B12B470">
            <w:pPr>
              <w:spacing w:line="240" w:lineRule="auto"/>
              <w:jc w:val="both"/>
              <w:rPr>
                <w:rFonts w:ascii="Times New Roman" w:hAnsi="Times New Roman" w:cs="Times New Roman"/>
                <w:b/>
                <w:sz w:val="20"/>
                <w:szCs w:val="20"/>
              </w:rPr>
            </w:pPr>
            <w:r>
              <w:rPr>
                <w:rFonts w:ascii="Times New Roman" w:hAnsi="Times New Roman" w:cs="Times New Roman"/>
                <w:b/>
                <w:sz w:val="20"/>
                <w:szCs w:val="20"/>
              </w:rPr>
              <w:t>Min.</w:t>
            </w:r>
            <w:r>
              <w:rPr>
                <w:rFonts w:ascii="Times New Roman" w:hAnsi="Times New Roman" w:cs="Times New Roman"/>
                <w:b/>
                <w:spacing w:val="-5"/>
                <w:sz w:val="20"/>
                <w:szCs w:val="20"/>
              </w:rPr>
              <w:t xml:space="preserve"> </w:t>
            </w:r>
            <w:r>
              <w:rPr>
                <w:rFonts w:ascii="Times New Roman" w:hAnsi="Times New Roman" w:cs="Times New Roman"/>
                <w:b/>
                <w:sz w:val="20"/>
                <w:szCs w:val="20"/>
              </w:rPr>
              <w:t>Temp.</w:t>
            </w:r>
            <w:r>
              <w:rPr>
                <w:rFonts w:ascii="Times New Roman" w:hAnsi="Times New Roman" w:cs="Times New Roman"/>
                <w:b/>
                <w:spacing w:val="-5"/>
                <w:sz w:val="20"/>
                <w:szCs w:val="20"/>
              </w:rPr>
              <w:t xml:space="preserve"> </w:t>
            </w:r>
            <w:r>
              <w:rPr>
                <w:rFonts w:ascii="Times New Roman" w:hAnsi="Times New Roman" w:cs="Times New Roman"/>
                <w:b/>
                <w:spacing w:val="-4"/>
                <w:sz w:val="20"/>
                <w:szCs w:val="20"/>
              </w:rPr>
              <w:t>(</w:t>
            </w:r>
            <w:r>
              <w:rPr>
                <w:rFonts w:ascii="Times New Roman" w:hAnsi="Times New Roman" w:cs="Times New Roman"/>
                <w:b/>
                <w:spacing w:val="-4"/>
                <w:sz w:val="20"/>
                <w:szCs w:val="20"/>
                <w:vertAlign w:val="superscript"/>
              </w:rPr>
              <w:t>o</w:t>
            </w:r>
            <w:r>
              <w:rPr>
                <w:rFonts w:ascii="Times New Roman" w:hAnsi="Times New Roman" w:cs="Times New Roman"/>
                <w:b/>
                <w:spacing w:val="-4"/>
                <w:sz w:val="20"/>
                <w:szCs w:val="20"/>
              </w:rPr>
              <w:t>C)</w:t>
            </w:r>
          </w:p>
        </w:tc>
        <w:tc>
          <w:tcPr>
            <w:tcW w:w="1473" w:type="dxa"/>
            <w:shd w:val="clear" w:color="auto" w:fill="auto"/>
            <w:vAlign w:val="center"/>
          </w:tcPr>
          <w:p w14:paraId="67A0E196">
            <w:pPr>
              <w:spacing w:line="240" w:lineRule="auto"/>
              <w:jc w:val="center"/>
              <w:rPr>
                <w:rFonts w:ascii="Times New Roman" w:hAnsi="Times New Roman" w:cs="Times New Roman"/>
                <w:sz w:val="20"/>
                <w:szCs w:val="20"/>
              </w:rPr>
            </w:pPr>
            <w:r>
              <w:rPr>
                <w:rFonts w:ascii="Times New Roman" w:hAnsi="Times New Roman" w:cs="Times New Roman"/>
                <w:sz w:val="20"/>
                <w:szCs w:val="20"/>
              </w:rPr>
              <w:t>0.65*</w:t>
            </w:r>
          </w:p>
        </w:tc>
        <w:tc>
          <w:tcPr>
            <w:tcW w:w="1474" w:type="dxa"/>
            <w:shd w:val="clear" w:color="auto" w:fill="auto"/>
            <w:vAlign w:val="center"/>
          </w:tcPr>
          <w:p w14:paraId="21FB1A7A">
            <w:pPr>
              <w:spacing w:line="240" w:lineRule="auto"/>
              <w:jc w:val="center"/>
              <w:rPr>
                <w:rFonts w:ascii="Times New Roman" w:hAnsi="Times New Roman" w:cs="Times New Roman"/>
                <w:sz w:val="20"/>
                <w:szCs w:val="20"/>
              </w:rPr>
            </w:pPr>
            <w:r>
              <w:rPr>
                <w:rFonts w:ascii="Times New Roman" w:hAnsi="Times New Roman" w:cs="Times New Roman"/>
                <w:sz w:val="20"/>
                <w:szCs w:val="20"/>
              </w:rPr>
              <w:t>0.56*</w:t>
            </w:r>
          </w:p>
        </w:tc>
        <w:tc>
          <w:tcPr>
            <w:tcW w:w="1470" w:type="dxa"/>
            <w:shd w:val="clear" w:color="auto" w:fill="auto"/>
            <w:vAlign w:val="center"/>
          </w:tcPr>
          <w:p w14:paraId="39336BC6">
            <w:pPr>
              <w:spacing w:line="240" w:lineRule="auto"/>
              <w:jc w:val="center"/>
              <w:rPr>
                <w:rFonts w:ascii="Times New Roman" w:hAnsi="Times New Roman" w:cs="Times New Roman"/>
                <w:spacing w:val="-4"/>
                <w:sz w:val="20"/>
                <w:szCs w:val="20"/>
              </w:rPr>
            </w:pPr>
            <w:r>
              <w:rPr>
                <w:rFonts w:ascii="Times New Roman" w:hAnsi="Times New Roman" w:cs="Times New Roman"/>
                <w:spacing w:val="-4"/>
                <w:sz w:val="20"/>
                <w:szCs w:val="20"/>
              </w:rPr>
              <w:t>0.68*</w:t>
            </w:r>
          </w:p>
        </w:tc>
        <w:tc>
          <w:tcPr>
            <w:tcW w:w="1471" w:type="dxa"/>
            <w:shd w:val="clear" w:color="auto" w:fill="auto"/>
            <w:vAlign w:val="center"/>
          </w:tcPr>
          <w:p w14:paraId="04BA6047">
            <w:pPr>
              <w:spacing w:line="240" w:lineRule="auto"/>
              <w:jc w:val="center"/>
              <w:rPr>
                <w:rFonts w:ascii="Times New Roman" w:hAnsi="Times New Roman" w:cs="Times New Roman"/>
                <w:spacing w:val="-4"/>
                <w:sz w:val="20"/>
                <w:szCs w:val="20"/>
              </w:rPr>
            </w:pPr>
            <w:r>
              <w:rPr>
                <w:rFonts w:ascii="Times New Roman" w:hAnsi="Times New Roman" w:cs="Times New Roman"/>
                <w:spacing w:val="-4"/>
                <w:sz w:val="20"/>
                <w:szCs w:val="20"/>
              </w:rPr>
              <w:t>0.41</w:t>
            </w:r>
          </w:p>
        </w:tc>
      </w:tr>
      <w:tr w14:paraId="20C7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039" w:type="dxa"/>
            <w:shd w:val="clear" w:color="auto" w:fill="auto"/>
            <w:vAlign w:val="center"/>
          </w:tcPr>
          <w:p w14:paraId="580D4B1C">
            <w:pPr>
              <w:spacing w:line="240" w:lineRule="auto"/>
              <w:jc w:val="both"/>
              <w:rPr>
                <w:rFonts w:ascii="Times New Roman" w:hAnsi="Times New Roman" w:cs="Times New Roman"/>
                <w:b/>
                <w:sz w:val="20"/>
                <w:szCs w:val="20"/>
              </w:rPr>
            </w:pPr>
            <w:r>
              <w:rPr>
                <w:rFonts w:ascii="Times New Roman" w:hAnsi="Times New Roman" w:cs="Times New Roman"/>
                <w:b/>
                <w:sz w:val="20"/>
                <w:szCs w:val="20"/>
              </w:rPr>
              <w:t>Rainfall</w:t>
            </w:r>
            <w:r>
              <w:rPr>
                <w:rFonts w:ascii="Times New Roman" w:hAnsi="Times New Roman" w:cs="Times New Roman"/>
                <w:b/>
                <w:spacing w:val="-11"/>
                <w:sz w:val="20"/>
                <w:szCs w:val="20"/>
              </w:rPr>
              <w:t xml:space="preserve"> </w:t>
            </w:r>
            <w:r>
              <w:rPr>
                <w:rFonts w:ascii="Times New Roman" w:hAnsi="Times New Roman" w:cs="Times New Roman"/>
                <w:b/>
                <w:spacing w:val="-4"/>
                <w:sz w:val="20"/>
                <w:szCs w:val="20"/>
              </w:rPr>
              <w:t>(mm)</w:t>
            </w:r>
          </w:p>
        </w:tc>
        <w:tc>
          <w:tcPr>
            <w:tcW w:w="1473" w:type="dxa"/>
            <w:shd w:val="clear" w:color="auto" w:fill="auto"/>
            <w:vAlign w:val="center"/>
          </w:tcPr>
          <w:p w14:paraId="11074F5C">
            <w:pPr>
              <w:spacing w:line="240" w:lineRule="auto"/>
              <w:jc w:val="center"/>
              <w:rPr>
                <w:rFonts w:ascii="Times New Roman" w:hAnsi="Times New Roman" w:cs="Times New Roman"/>
                <w:sz w:val="20"/>
                <w:szCs w:val="20"/>
              </w:rPr>
            </w:pPr>
            <w:r>
              <w:rPr>
                <w:rFonts w:ascii="Times New Roman" w:hAnsi="Times New Roman" w:cs="Times New Roman"/>
                <w:sz w:val="20"/>
                <w:szCs w:val="20"/>
              </w:rPr>
              <w:t>-0.37</w:t>
            </w:r>
          </w:p>
        </w:tc>
        <w:tc>
          <w:tcPr>
            <w:tcW w:w="1474" w:type="dxa"/>
            <w:shd w:val="clear" w:color="auto" w:fill="auto"/>
            <w:vAlign w:val="center"/>
          </w:tcPr>
          <w:p w14:paraId="607C3C42">
            <w:pPr>
              <w:spacing w:line="240" w:lineRule="auto"/>
              <w:jc w:val="center"/>
              <w:rPr>
                <w:rFonts w:ascii="Times New Roman" w:hAnsi="Times New Roman" w:cs="Times New Roman"/>
                <w:sz w:val="20"/>
                <w:szCs w:val="20"/>
              </w:rPr>
            </w:pPr>
            <w:r>
              <w:rPr>
                <w:rFonts w:ascii="Times New Roman" w:hAnsi="Times New Roman" w:cs="Times New Roman"/>
                <w:sz w:val="20"/>
                <w:szCs w:val="20"/>
              </w:rPr>
              <w:t>-0.26</w:t>
            </w:r>
          </w:p>
        </w:tc>
        <w:tc>
          <w:tcPr>
            <w:tcW w:w="1470" w:type="dxa"/>
            <w:shd w:val="clear" w:color="auto" w:fill="auto"/>
            <w:vAlign w:val="center"/>
          </w:tcPr>
          <w:p w14:paraId="1920A6E4">
            <w:pPr>
              <w:spacing w:line="240" w:lineRule="auto"/>
              <w:jc w:val="center"/>
              <w:rPr>
                <w:rFonts w:ascii="Times New Roman" w:hAnsi="Times New Roman" w:cs="Times New Roman"/>
                <w:spacing w:val="-4"/>
                <w:sz w:val="20"/>
                <w:szCs w:val="20"/>
              </w:rPr>
            </w:pPr>
            <w:r>
              <w:rPr>
                <w:rFonts w:ascii="Times New Roman" w:hAnsi="Times New Roman" w:cs="Times New Roman"/>
                <w:spacing w:val="-4"/>
                <w:sz w:val="20"/>
                <w:szCs w:val="20"/>
              </w:rPr>
              <w:t>-0.42</w:t>
            </w:r>
          </w:p>
        </w:tc>
        <w:tc>
          <w:tcPr>
            <w:tcW w:w="1471" w:type="dxa"/>
            <w:shd w:val="clear" w:color="auto" w:fill="auto"/>
            <w:vAlign w:val="center"/>
          </w:tcPr>
          <w:p w14:paraId="14AF366C">
            <w:pPr>
              <w:spacing w:line="240" w:lineRule="auto"/>
              <w:jc w:val="center"/>
              <w:rPr>
                <w:rFonts w:ascii="Times New Roman" w:hAnsi="Times New Roman" w:cs="Times New Roman"/>
                <w:spacing w:val="-4"/>
                <w:sz w:val="20"/>
                <w:szCs w:val="20"/>
              </w:rPr>
            </w:pPr>
            <w:r>
              <w:rPr>
                <w:rFonts w:ascii="Times New Roman" w:hAnsi="Times New Roman" w:cs="Times New Roman"/>
                <w:spacing w:val="-4"/>
                <w:sz w:val="20"/>
                <w:szCs w:val="20"/>
              </w:rPr>
              <w:t>-0.24</w:t>
            </w:r>
          </w:p>
        </w:tc>
      </w:tr>
      <w:tr w14:paraId="58B1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039" w:type="dxa"/>
            <w:shd w:val="clear" w:color="auto" w:fill="auto"/>
            <w:vAlign w:val="center"/>
          </w:tcPr>
          <w:p w14:paraId="2267C35C">
            <w:pPr>
              <w:spacing w:line="240" w:lineRule="auto"/>
              <w:jc w:val="both"/>
              <w:rPr>
                <w:rFonts w:ascii="Times New Roman" w:hAnsi="Times New Roman" w:cs="Times New Roman"/>
                <w:b/>
                <w:sz w:val="20"/>
                <w:szCs w:val="20"/>
              </w:rPr>
            </w:pPr>
            <w:r>
              <w:rPr>
                <w:rFonts w:ascii="Times New Roman" w:hAnsi="Times New Roman" w:cs="Times New Roman"/>
                <w:b/>
                <w:sz w:val="20"/>
                <w:szCs w:val="20"/>
              </w:rPr>
              <w:t>Max. RH</w:t>
            </w:r>
          </w:p>
        </w:tc>
        <w:tc>
          <w:tcPr>
            <w:tcW w:w="1473" w:type="dxa"/>
            <w:shd w:val="clear" w:color="auto" w:fill="auto"/>
            <w:vAlign w:val="center"/>
          </w:tcPr>
          <w:p w14:paraId="01BE5480">
            <w:pPr>
              <w:spacing w:line="240" w:lineRule="auto"/>
              <w:jc w:val="center"/>
              <w:rPr>
                <w:rFonts w:ascii="Times New Roman" w:hAnsi="Times New Roman" w:cs="Times New Roman"/>
                <w:sz w:val="20"/>
                <w:szCs w:val="20"/>
              </w:rPr>
            </w:pPr>
            <w:r>
              <w:rPr>
                <w:rFonts w:ascii="Times New Roman" w:hAnsi="Times New Roman" w:cs="Times New Roman"/>
                <w:sz w:val="20"/>
                <w:szCs w:val="20"/>
              </w:rPr>
              <w:t>-0.37</w:t>
            </w:r>
          </w:p>
        </w:tc>
        <w:tc>
          <w:tcPr>
            <w:tcW w:w="1474" w:type="dxa"/>
            <w:shd w:val="clear" w:color="auto" w:fill="auto"/>
            <w:vAlign w:val="center"/>
          </w:tcPr>
          <w:p w14:paraId="7DBC6F30">
            <w:pPr>
              <w:spacing w:line="240" w:lineRule="auto"/>
              <w:jc w:val="center"/>
              <w:rPr>
                <w:rFonts w:ascii="Times New Roman" w:hAnsi="Times New Roman" w:cs="Times New Roman"/>
                <w:sz w:val="20"/>
                <w:szCs w:val="20"/>
              </w:rPr>
            </w:pPr>
            <w:r>
              <w:rPr>
                <w:rFonts w:ascii="Times New Roman" w:hAnsi="Times New Roman" w:cs="Times New Roman"/>
                <w:sz w:val="20"/>
                <w:szCs w:val="20"/>
              </w:rPr>
              <w:t>-0.10</w:t>
            </w:r>
          </w:p>
        </w:tc>
        <w:tc>
          <w:tcPr>
            <w:tcW w:w="1470" w:type="dxa"/>
            <w:shd w:val="clear" w:color="auto" w:fill="auto"/>
            <w:vAlign w:val="center"/>
          </w:tcPr>
          <w:p w14:paraId="41028996">
            <w:pPr>
              <w:spacing w:line="240" w:lineRule="auto"/>
              <w:jc w:val="center"/>
              <w:rPr>
                <w:rFonts w:ascii="Times New Roman" w:hAnsi="Times New Roman" w:cs="Times New Roman"/>
                <w:spacing w:val="-4"/>
                <w:sz w:val="20"/>
                <w:szCs w:val="20"/>
              </w:rPr>
            </w:pPr>
            <w:r>
              <w:rPr>
                <w:rFonts w:ascii="Times New Roman" w:hAnsi="Times New Roman" w:cs="Times New Roman"/>
                <w:spacing w:val="-4"/>
                <w:sz w:val="20"/>
                <w:szCs w:val="20"/>
              </w:rPr>
              <w:t>-0.36</w:t>
            </w:r>
          </w:p>
        </w:tc>
        <w:tc>
          <w:tcPr>
            <w:tcW w:w="1471" w:type="dxa"/>
            <w:shd w:val="clear" w:color="auto" w:fill="auto"/>
            <w:vAlign w:val="center"/>
          </w:tcPr>
          <w:p w14:paraId="196527B8">
            <w:pPr>
              <w:spacing w:line="240" w:lineRule="auto"/>
              <w:jc w:val="center"/>
              <w:rPr>
                <w:rFonts w:ascii="Times New Roman" w:hAnsi="Times New Roman" w:cs="Times New Roman"/>
                <w:spacing w:val="-4"/>
                <w:sz w:val="20"/>
                <w:szCs w:val="20"/>
              </w:rPr>
            </w:pPr>
            <w:r>
              <w:rPr>
                <w:rFonts w:ascii="Times New Roman" w:hAnsi="Times New Roman" w:cs="Times New Roman"/>
                <w:spacing w:val="-4"/>
                <w:sz w:val="20"/>
                <w:szCs w:val="20"/>
              </w:rPr>
              <w:t>-0.14</w:t>
            </w:r>
          </w:p>
        </w:tc>
      </w:tr>
      <w:tr w14:paraId="354E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039" w:type="dxa"/>
            <w:shd w:val="clear" w:color="auto" w:fill="auto"/>
            <w:vAlign w:val="center"/>
          </w:tcPr>
          <w:p w14:paraId="2E239C9F">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Min. RH</w:t>
            </w:r>
          </w:p>
        </w:tc>
        <w:tc>
          <w:tcPr>
            <w:tcW w:w="1473" w:type="dxa"/>
            <w:shd w:val="clear" w:color="auto" w:fill="auto"/>
            <w:vAlign w:val="center"/>
          </w:tcPr>
          <w:p w14:paraId="273C4931">
            <w:pPr>
              <w:spacing w:line="240" w:lineRule="auto"/>
              <w:jc w:val="center"/>
              <w:rPr>
                <w:rFonts w:ascii="Times New Roman" w:hAnsi="Times New Roman" w:cs="Times New Roman"/>
                <w:sz w:val="20"/>
                <w:szCs w:val="20"/>
              </w:rPr>
            </w:pPr>
            <w:r>
              <w:rPr>
                <w:rFonts w:ascii="Times New Roman" w:hAnsi="Times New Roman" w:cs="Times New Roman"/>
                <w:sz w:val="20"/>
                <w:szCs w:val="20"/>
              </w:rPr>
              <w:t>0.59*</w:t>
            </w:r>
          </w:p>
        </w:tc>
        <w:tc>
          <w:tcPr>
            <w:tcW w:w="1474" w:type="dxa"/>
            <w:shd w:val="clear" w:color="auto" w:fill="auto"/>
            <w:vAlign w:val="center"/>
          </w:tcPr>
          <w:p w14:paraId="4ED0B6F0">
            <w:pPr>
              <w:spacing w:line="240" w:lineRule="auto"/>
              <w:jc w:val="center"/>
              <w:rPr>
                <w:rFonts w:ascii="Times New Roman" w:hAnsi="Times New Roman" w:cs="Times New Roman"/>
                <w:sz w:val="20"/>
                <w:szCs w:val="20"/>
              </w:rPr>
            </w:pPr>
            <w:r>
              <w:rPr>
                <w:rFonts w:ascii="Times New Roman" w:hAnsi="Times New Roman" w:cs="Times New Roman"/>
                <w:sz w:val="20"/>
                <w:szCs w:val="20"/>
              </w:rPr>
              <w:t>0.60*</w:t>
            </w:r>
          </w:p>
        </w:tc>
        <w:tc>
          <w:tcPr>
            <w:tcW w:w="1470" w:type="dxa"/>
            <w:shd w:val="clear" w:color="auto" w:fill="auto"/>
            <w:vAlign w:val="center"/>
          </w:tcPr>
          <w:p w14:paraId="380702BC">
            <w:pPr>
              <w:spacing w:line="240" w:lineRule="auto"/>
              <w:jc w:val="center"/>
              <w:rPr>
                <w:rFonts w:ascii="Times New Roman" w:hAnsi="Times New Roman" w:cs="Times New Roman"/>
                <w:spacing w:val="-4"/>
                <w:sz w:val="20"/>
                <w:szCs w:val="20"/>
              </w:rPr>
            </w:pPr>
            <w:r>
              <w:rPr>
                <w:rFonts w:ascii="Times New Roman" w:hAnsi="Times New Roman" w:cs="Times New Roman"/>
                <w:spacing w:val="-4"/>
                <w:sz w:val="20"/>
                <w:szCs w:val="20"/>
              </w:rPr>
              <w:t>0.60*</w:t>
            </w:r>
          </w:p>
        </w:tc>
        <w:tc>
          <w:tcPr>
            <w:tcW w:w="1471" w:type="dxa"/>
            <w:shd w:val="clear" w:color="auto" w:fill="auto"/>
            <w:vAlign w:val="center"/>
          </w:tcPr>
          <w:p w14:paraId="0000AF35">
            <w:pPr>
              <w:spacing w:line="240" w:lineRule="auto"/>
              <w:jc w:val="center"/>
              <w:rPr>
                <w:rFonts w:ascii="Times New Roman" w:hAnsi="Times New Roman" w:cs="Times New Roman"/>
                <w:spacing w:val="-4"/>
                <w:sz w:val="20"/>
                <w:szCs w:val="20"/>
              </w:rPr>
            </w:pPr>
            <w:r>
              <w:rPr>
                <w:rFonts w:ascii="Times New Roman" w:hAnsi="Times New Roman" w:cs="Times New Roman"/>
                <w:spacing w:val="-4"/>
                <w:sz w:val="20"/>
                <w:szCs w:val="20"/>
              </w:rPr>
              <w:t>0.42</w:t>
            </w:r>
          </w:p>
        </w:tc>
      </w:tr>
    </w:tbl>
    <w:p w14:paraId="1338C412">
      <w:pPr>
        <w:pStyle w:val="35"/>
        <w:spacing w:line="240" w:lineRule="auto"/>
        <w:rPr>
          <w:rFonts w:cs="Times New Roman"/>
          <w:szCs w:val="16"/>
        </w:rPr>
      </w:pPr>
      <w:r>
        <w:rPr>
          <w:rFonts w:cs="Times New Roman"/>
          <w:b/>
          <w:bCs/>
          <w:szCs w:val="16"/>
        </w:rPr>
        <w:t>*Population count was taken on a 1ft branch</w:t>
      </w:r>
    </w:p>
    <w:p w14:paraId="03C69440">
      <w:pPr>
        <w:pStyle w:val="11"/>
        <w:widowControl w:val="0"/>
        <w:tabs>
          <w:tab w:val="left" w:pos="709"/>
        </w:tabs>
        <w:spacing w:before="120" w:beforeAutospacing="0" w:after="120" w:afterAutospacing="0"/>
        <w:jc w:val="both"/>
        <w:rPr>
          <w:b/>
          <w:bCs/>
          <w:color w:val="000000"/>
          <w:sz w:val="20"/>
          <w:szCs w:val="20"/>
        </w:rPr>
      </w:pPr>
    </w:p>
    <w:p w14:paraId="74320715">
      <w:pPr>
        <w:pStyle w:val="11"/>
        <w:widowControl w:val="0"/>
        <w:tabs>
          <w:tab w:val="left" w:pos="709"/>
        </w:tabs>
        <w:spacing w:before="120" w:beforeAutospacing="0" w:after="120" w:afterAutospacing="0"/>
        <w:jc w:val="both"/>
        <w:rPr>
          <w:b/>
          <w:bCs/>
          <w:color w:val="000000"/>
          <w:sz w:val="20"/>
          <w:szCs w:val="20"/>
          <w:lang w:val="en-US"/>
        </w:rPr>
      </w:pPr>
      <w:r>
        <w:rPr>
          <w:b/>
          <w:bCs/>
          <w:color w:val="000000"/>
          <w:sz w:val="20"/>
          <w:szCs w:val="20"/>
        </w:rPr>
        <w:t>Table</w:t>
      </w:r>
      <w:r>
        <w:rPr>
          <w:b/>
          <w:bCs/>
          <w:color w:val="000000"/>
          <w:spacing w:val="-3"/>
          <w:sz w:val="20"/>
          <w:szCs w:val="20"/>
        </w:rPr>
        <w:t xml:space="preserve"> </w:t>
      </w:r>
      <w:r>
        <w:rPr>
          <w:b/>
          <w:bCs/>
          <w:color w:val="000000"/>
          <w:sz w:val="20"/>
          <w:szCs w:val="20"/>
        </w:rPr>
        <w:t>4:</w:t>
      </w:r>
      <w:r>
        <w:rPr>
          <w:b/>
          <w:bCs/>
          <w:color w:val="000000"/>
          <w:sz w:val="20"/>
          <w:szCs w:val="20"/>
        </w:rPr>
        <w:tab/>
      </w:r>
      <w:r>
        <w:rPr>
          <w:b/>
          <w:bCs/>
          <w:color w:val="000000"/>
          <w:sz w:val="20"/>
          <w:szCs w:val="20"/>
        </w:rPr>
        <w:t>Regression</w:t>
      </w:r>
      <w:r>
        <w:rPr>
          <w:b/>
          <w:bCs/>
          <w:color w:val="000000"/>
          <w:spacing w:val="6"/>
          <w:sz w:val="20"/>
          <w:szCs w:val="20"/>
        </w:rPr>
        <w:t xml:space="preserve"> </w:t>
      </w:r>
      <w:r>
        <w:rPr>
          <w:b/>
          <w:bCs/>
          <w:color w:val="000000"/>
          <w:sz w:val="20"/>
          <w:szCs w:val="20"/>
        </w:rPr>
        <w:t>coefficients</w:t>
      </w:r>
      <w:r>
        <w:rPr>
          <w:b/>
          <w:bCs/>
          <w:color w:val="000000"/>
          <w:spacing w:val="5"/>
          <w:sz w:val="20"/>
          <w:szCs w:val="20"/>
        </w:rPr>
        <w:t xml:space="preserve"> </w:t>
      </w:r>
      <w:r>
        <w:rPr>
          <w:b/>
          <w:bCs/>
          <w:color w:val="000000"/>
          <w:sz w:val="20"/>
          <w:szCs w:val="20"/>
        </w:rPr>
        <w:t>between</w:t>
      </w:r>
      <w:r>
        <w:rPr>
          <w:b/>
          <w:bCs/>
          <w:color w:val="000000"/>
          <w:spacing w:val="6"/>
          <w:sz w:val="20"/>
          <w:szCs w:val="20"/>
        </w:rPr>
        <w:t xml:space="preserve"> </w:t>
      </w:r>
      <w:r>
        <w:rPr>
          <w:b/>
          <w:bCs/>
          <w:color w:val="000000"/>
          <w:sz w:val="20"/>
          <w:szCs w:val="20"/>
        </w:rPr>
        <w:t>the</w:t>
      </w:r>
      <w:r>
        <w:rPr>
          <w:b/>
          <w:bCs/>
          <w:color w:val="000000"/>
          <w:spacing w:val="4"/>
          <w:sz w:val="20"/>
          <w:szCs w:val="20"/>
        </w:rPr>
        <w:t xml:space="preserve"> </w:t>
      </w:r>
      <w:r>
        <w:rPr>
          <w:b/>
          <w:bCs/>
          <w:color w:val="000000"/>
          <w:sz w:val="20"/>
          <w:szCs w:val="20"/>
        </w:rPr>
        <w:t>abiotic</w:t>
      </w:r>
      <w:r>
        <w:rPr>
          <w:b/>
          <w:bCs/>
          <w:color w:val="000000"/>
          <w:spacing w:val="5"/>
          <w:sz w:val="20"/>
          <w:szCs w:val="20"/>
        </w:rPr>
        <w:t xml:space="preserve"> </w:t>
      </w:r>
      <w:r>
        <w:rPr>
          <w:b/>
          <w:bCs/>
          <w:color w:val="000000"/>
          <w:sz w:val="20"/>
          <w:szCs w:val="20"/>
        </w:rPr>
        <w:t>factors</w:t>
      </w:r>
      <w:r>
        <w:rPr>
          <w:b/>
          <w:bCs/>
          <w:color w:val="000000"/>
          <w:spacing w:val="5"/>
          <w:sz w:val="20"/>
          <w:szCs w:val="20"/>
        </w:rPr>
        <w:t xml:space="preserve"> </w:t>
      </w:r>
      <w:r>
        <w:rPr>
          <w:b/>
          <w:bCs/>
          <w:color w:val="000000"/>
          <w:sz w:val="20"/>
          <w:szCs w:val="20"/>
        </w:rPr>
        <w:t>and</w:t>
      </w:r>
      <w:r>
        <w:rPr>
          <w:b/>
          <w:bCs/>
          <w:color w:val="000000"/>
          <w:spacing w:val="6"/>
          <w:sz w:val="20"/>
          <w:szCs w:val="20"/>
        </w:rPr>
        <w:t xml:space="preserve"> </w:t>
      </w:r>
      <w:r>
        <w:rPr>
          <w:b/>
          <w:bCs/>
          <w:color w:val="000000"/>
          <w:sz w:val="20"/>
          <w:szCs w:val="20"/>
        </w:rPr>
        <w:t>Pear</w:t>
      </w:r>
      <w:r>
        <w:rPr>
          <w:b/>
          <w:bCs/>
          <w:color w:val="000000"/>
          <w:spacing w:val="4"/>
          <w:sz w:val="20"/>
          <w:szCs w:val="20"/>
        </w:rPr>
        <w:t xml:space="preserve"> </w:t>
      </w:r>
      <w:r>
        <w:rPr>
          <w:b/>
          <w:bCs/>
          <w:color w:val="000000"/>
          <w:sz w:val="20"/>
          <w:szCs w:val="20"/>
        </w:rPr>
        <w:t>Psylla</w:t>
      </w:r>
      <w:r>
        <w:rPr>
          <w:b/>
          <w:bCs/>
          <w:color w:val="000000"/>
          <w:spacing w:val="5"/>
          <w:sz w:val="20"/>
          <w:szCs w:val="20"/>
        </w:rPr>
        <w:t xml:space="preserve"> </w:t>
      </w:r>
      <w:r>
        <w:rPr>
          <w:b/>
          <w:bCs/>
          <w:color w:val="000000"/>
          <w:sz w:val="20"/>
          <w:szCs w:val="20"/>
        </w:rPr>
        <w:t>(</w:t>
      </w:r>
      <w:r>
        <w:rPr>
          <w:b/>
          <w:bCs/>
          <w:i/>
          <w:color w:val="000000"/>
          <w:sz w:val="20"/>
          <w:szCs w:val="20"/>
        </w:rPr>
        <w:t>Cacopsylla</w:t>
      </w:r>
      <w:r>
        <w:rPr>
          <w:b/>
          <w:bCs/>
          <w:i/>
          <w:color w:val="000000"/>
          <w:spacing w:val="5"/>
          <w:sz w:val="20"/>
          <w:szCs w:val="20"/>
        </w:rPr>
        <w:t xml:space="preserve"> </w:t>
      </w:r>
      <w:r>
        <w:rPr>
          <w:b/>
          <w:bCs/>
          <w:i/>
          <w:color w:val="000000"/>
          <w:sz w:val="20"/>
          <w:szCs w:val="20"/>
        </w:rPr>
        <w:t>pyricola</w:t>
      </w:r>
      <w:r>
        <w:rPr>
          <w:b/>
          <w:bCs/>
          <w:color w:val="000000"/>
          <w:sz w:val="20"/>
          <w:szCs w:val="20"/>
        </w:rPr>
        <w:t>)</w:t>
      </w:r>
      <w:r>
        <w:rPr>
          <w:b/>
          <w:bCs/>
          <w:color w:val="000000"/>
          <w:spacing w:val="-2"/>
          <w:sz w:val="20"/>
          <w:szCs w:val="20"/>
        </w:rPr>
        <w:t xml:space="preserve"> </w:t>
      </w:r>
      <w:r>
        <w:rPr>
          <w:b/>
          <w:bCs/>
          <w:color w:val="000000"/>
          <w:sz w:val="20"/>
          <w:szCs w:val="20"/>
        </w:rPr>
        <w:t>in district Baramulla</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014"/>
        <w:gridCol w:w="992"/>
        <w:gridCol w:w="4565"/>
      </w:tblGrid>
      <w:tr w14:paraId="2149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3"/>
            <w:shd w:val="clear" w:color="auto" w:fill="auto"/>
            <w:vAlign w:val="center"/>
          </w:tcPr>
          <w:p w14:paraId="3E46946F">
            <w:pPr>
              <w:pStyle w:val="44"/>
              <w:tabs>
                <w:tab w:val="left" w:pos="709"/>
              </w:tabs>
              <w:spacing w:before="60" w:after="60"/>
              <w:jc w:val="center"/>
              <w:rPr>
                <w:b/>
                <w:color w:val="000000"/>
                <w:kern w:val="2"/>
                <w:sz w:val="20"/>
                <w:szCs w:val="20"/>
              </w:rPr>
            </w:pPr>
            <w:r>
              <w:rPr>
                <w:b/>
                <w:color w:val="000000"/>
                <w:kern w:val="2"/>
                <w:sz w:val="20"/>
                <w:szCs w:val="20"/>
              </w:rPr>
              <w:t>Coefficient of</w:t>
            </w:r>
            <w:r>
              <w:rPr>
                <w:b/>
                <w:color w:val="000000"/>
                <w:spacing w:val="1"/>
                <w:kern w:val="2"/>
                <w:sz w:val="20"/>
                <w:szCs w:val="20"/>
              </w:rPr>
              <w:t xml:space="preserve"> </w:t>
            </w:r>
            <w:r>
              <w:rPr>
                <w:b/>
                <w:color w:val="000000"/>
                <w:kern w:val="2"/>
                <w:sz w:val="20"/>
                <w:szCs w:val="20"/>
              </w:rPr>
              <w:t>determination</w:t>
            </w:r>
          </w:p>
          <w:p w14:paraId="34B93E11">
            <w:pPr>
              <w:tabs>
                <w:tab w:val="left" w:pos="709"/>
              </w:tabs>
              <w:spacing w:before="60" w:after="60" w:line="240" w:lineRule="auto"/>
              <w:jc w:val="center"/>
              <w:rPr>
                <w:rFonts w:ascii="Times New Roman" w:hAnsi="Times New Roman" w:cs="Times New Roman"/>
                <w:color w:val="000000"/>
                <w:sz w:val="20"/>
                <w:szCs w:val="20"/>
              </w:rPr>
            </w:pPr>
            <w:r>
              <w:rPr>
                <w:rFonts w:ascii="Times New Roman" w:hAnsi="Times New Roman" w:cs="Times New Roman"/>
                <w:b/>
                <w:color w:val="000000"/>
                <w:sz w:val="20"/>
                <w:szCs w:val="20"/>
              </w:rPr>
              <w:t>(R</w:t>
            </w:r>
            <w:r>
              <w:rPr>
                <w:rFonts w:ascii="Times New Roman" w:hAnsi="Times New Roman" w:cs="Times New Roman"/>
                <w:b/>
                <w:color w:val="000000"/>
                <w:sz w:val="20"/>
                <w:szCs w:val="20"/>
                <w:vertAlign w:val="superscript"/>
              </w:rPr>
              <w:t>2</w:t>
            </w:r>
            <w:r>
              <w:rPr>
                <w:rFonts w:ascii="Times New Roman" w:hAnsi="Times New Roman" w:cs="Times New Roman"/>
                <w:b/>
                <w:color w:val="000000"/>
                <w:sz w:val="20"/>
                <w:szCs w:val="20"/>
              </w:rPr>
              <w:t>)</w:t>
            </w:r>
          </w:p>
        </w:tc>
        <w:tc>
          <w:tcPr>
            <w:tcW w:w="4565" w:type="dxa"/>
            <w:shd w:val="clear" w:color="auto" w:fill="auto"/>
            <w:vAlign w:val="center"/>
          </w:tcPr>
          <w:p w14:paraId="418EE08D">
            <w:pPr>
              <w:tabs>
                <w:tab w:val="left" w:pos="709"/>
              </w:tabs>
              <w:spacing w:before="60" w:after="60" w:line="240" w:lineRule="auto"/>
              <w:jc w:val="center"/>
              <w:rPr>
                <w:rFonts w:ascii="Times New Roman" w:hAnsi="Times New Roman" w:cs="Times New Roman"/>
                <w:color w:val="000000"/>
                <w:sz w:val="20"/>
                <w:szCs w:val="20"/>
              </w:rPr>
            </w:pPr>
            <w:r>
              <w:rPr>
                <w:rFonts w:ascii="Times New Roman" w:hAnsi="Times New Roman" w:cs="Times New Roman"/>
                <w:b/>
                <w:color w:val="000000"/>
                <w:sz w:val="20"/>
                <w:szCs w:val="20"/>
              </w:rPr>
              <w:t>Prediction</w:t>
            </w:r>
            <w:r>
              <w:rPr>
                <w:rFonts w:ascii="Times New Roman" w:hAnsi="Times New Roman" w:cs="Times New Roman"/>
                <w:b/>
                <w:color w:val="000000"/>
                <w:spacing w:val="-5"/>
                <w:sz w:val="20"/>
                <w:szCs w:val="20"/>
              </w:rPr>
              <w:t xml:space="preserve"> </w:t>
            </w:r>
            <w:r>
              <w:rPr>
                <w:rFonts w:ascii="Times New Roman" w:hAnsi="Times New Roman" w:cs="Times New Roman"/>
                <w:b/>
                <w:color w:val="000000"/>
                <w:sz w:val="20"/>
                <w:szCs w:val="20"/>
              </w:rPr>
              <w:t>equation</w:t>
            </w:r>
          </w:p>
        </w:tc>
      </w:tr>
      <w:tr w14:paraId="7138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Merge w:val="restart"/>
            <w:shd w:val="clear" w:color="auto" w:fill="auto"/>
            <w:vAlign w:val="center"/>
          </w:tcPr>
          <w:p w14:paraId="163186BF">
            <w:pPr>
              <w:pStyle w:val="44"/>
              <w:tabs>
                <w:tab w:val="left" w:pos="709"/>
              </w:tabs>
              <w:spacing w:before="60" w:after="60"/>
              <w:jc w:val="center"/>
              <w:rPr>
                <w:b/>
                <w:color w:val="000000"/>
                <w:kern w:val="2"/>
                <w:sz w:val="20"/>
                <w:szCs w:val="20"/>
              </w:rPr>
            </w:pPr>
            <w:r>
              <w:rPr>
                <w:b/>
                <w:color w:val="000000"/>
                <w:kern w:val="2"/>
                <w:sz w:val="20"/>
                <w:szCs w:val="20"/>
              </w:rPr>
              <w:t>Palhallan</w:t>
            </w:r>
          </w:p>
        </w:tc>
        <w:tc>
          <w:tcPr>
            <w:tcW w:w="1014" w:type="dxa"/>
            <w:shd w:val="clear" w:color="auto" w:fill="auto"/>
            <w:vAlign w:val="center"/>
          </w:tcPr>
          <w:p w14:paraId="050B08A9">
            <w:pPr>
              <w:pStyle w:val="44"/>
              <w:tabs>
                <w:tab w:val="left" w:pos="709"/>
              </w:tabs>
              <w:spacing w:before="60" w:after="60"/>
              <w:jc w:val="center"/>
              <w:rPr>
                <w:color w:val="000000"/>
                <w:kern w:val="2"/>
                <w:sz w:val="20"/>
                <w:szCs w:val="20"/>
              </w:rPr>
            </w:pPr>
            <w:r>
              <w:rPr>
                <w:color w:val="000000"/>
                <w:kern w:val="2"/>
                <w:sz w:val="20"/>
                <w:szCs w:val="20"/>
              </w:rPr>
              <w:t>Nymph</w:t>
            </w:r>
          </w:p>
        </w:tc>
        <w:tc>
          <w:tcPr>
            <w:tcW w:w="992" w:type="dxa"/>
            <w:shd w:val="clear" w:color="auto" w:fill="auto"/>
            <w:vAlign w:val="center"/>
          </w:tcPr>
          <w:p w14:paraId="1357E283">
            <w:pPr>
              <w:pStyle w:val="44"/>
              <w:tabs>
                <w:tab w:val="left" w:pos="709"/>
              </w:tabs>
              <w:spacing w:before="60" w:after="60"/>
              <w:jc w:val="center"/>
              <w:rPr>
                <w:color w:val="000000"/>
                <w:kern w:val="2"/>
                <w:sz w:val="20"/>
                <w:szCs w:val="20"/>
              </w:rPr>
            </w:pPr>
            <w:r>
              <w:rPr>
                <w:color w:val="000000"/>
                <w:kern w:val="2"/>
                <w:sz w:val="20"/>
                <w:szCs w:val="20"/>
              </w:rPr>
              <w:t>0.80</w:t>
            </w:r>
          </w:p>
        </w:tc>
        <w:tc>
          <w:tcPr>
            <w:tcW w:w="4565" w:type="dxa"/>
            <w:shd w:val="clear" w:color="auto" w:fill="auto"/>
            <w:vAlign w:val="center"/>
          </w:tcPr>
          <w:p w14:paraId="2D996806">
            <w:pPr>
              <w:spacing w:line="240" w:lineRule="auto"/>
              <w:jc w:val="center"/>
              <w:rPr>
                <w:rFonts w:ascii="Times New Roman" w:hAnsi="Times New Roman" w:cs="Times New Roman"/>
                <w:sz w:val="20"/>
                <w:szCs w:val="20"/>
              </w:rPr>
            </w:pPr>
            <w:r>
              <w:rPr>
                <w:rFonts w:ascii="Times New Roman" w:hAnsi="Times New Roman" w:cs="Times New Roman"/>
                <w:sz w:val="20"/>
                <w:szCs w:val="20"/>
              </w:rPr>
              <w:t>Y=257.13-0.04X</w:t>
            </w:r>
            <w:r>
              <w:rPr>
                <w:rFonts w:ascii="Times New Roman" w:hAnsi="Times New Roman" w:cs="Times New Roman"/>
                <w:sz w:val="20"/>
                <w:szCs w:val="20"/>
                <w:vertAlign w:val="subscript"/>
              </w:rPr>
              <w:t>1</w:t>
            </w:r>
            <w:r>
              <w:rPr>
                <w:rFonts w:ascii="Times New Roman" w:hAnsi="Times New Roman" w:cs="Times New Roman"/>
                <w:sz w:val="20"/>
                <w:szCs w:val="20"/>
              </w:rPr>
              <w:t>-4.93X</w:t>
            </w:r>
            <w:r>
              <w:rPr>
                <w:rFonts w:ascii="Times New Roman" w:hAnsi="Times New Roman" w:cs="Times New Roman"/>
                <w:sz w:val="20"/>
                <w:szCs w:val="20"/>
                <w:vertAlign w:val="subscript"/>
              </w:rPr>
              <w:t>2</w:t>
            </w:r>
            <w:r>
              <w:rPr>
                <w:rFonts w:ascii="Times New Roman" w:hAnsi="Times New Roman" w:cs="Times New Roman"/>
                <w:sz w:val="20"/>
                <w:szCs w:val="20"/>
              </w:rPr>
              <w:t>-16.17X</w:t>
            </w:r>
            <w:r>
              <w:rPr>
                <w:rFonts w:ascii="Times New Roman" w:hAnsi="Times New Roman" w:cs="Times New Roman"/>
                <w:sz w:val="20"/>
                <w:szCs w:val="20"/>
                <w:vertAlign w:val="subscript"/>
              </w:rPr>
              <w:t>3</w:t>
            </w:r>
            <w:r>
              <w:rPr>
                <w:rFonts w:ascii="Times New Roman" w:hAnsi="Times New Roman" w:cs="Times New Roman"/>
                <w:sz w:val="20"/>
                <w:szCs w:val="20"/>
              </w:rPr>
              <w:t>-4.39X</w:t>
            </w:r>
            <w:r>
              <w:rPr>
                <w:rFonts w:ascii="Times New Roman" w:hAnsi="Times New Roman" w:cs="Times New Roman"/>
                <w:sz w:val="20"/>
                <w:szCs w:val="20"/>
                <w:vertAlign w:val="subscript"/>
              </w:rPr>
              <w:t>4</w:t>
            </w:r>
            <w:r>
              <w:rPr>
                <w:rFonts w:ascii="Times New Roman" w:hAnsi="Times New Roman" w:cs="Times New Roman"/>
                <w:sz w:val="20"/>
                <w:szCs w:val="20"/>
              </w:rPr>
              <w:t>+5.46X</w:t>
            </w:r>
            <w:r>
              <w:rPr>
                <w:rFonts w:ascii="Times New Roman" w:hAnsi="Times New Roman" w:cs="Times New Roman"/>
                <w:sz w:val="20"/>
                <w:szCs w:val="20"/>
                <w:vertAlign w:val="subscript"/>
              </w:rPr>
              <w:t>5</w:t>
            </w:r>
          </w:p>
        </w:tc>
      </w:tr>
      <w:tr w14:paraId="5B8F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Merge w:val="continue"/>
            <w:shd w:val="clear" w:color="auto" w:fill="auto"/>
            <w:vAlign w:val="center"/>
          </w:tcPr>
          <w:p w14:paraId="1F206C80">
            <w:pPr>
              <w:pStyle w:val="44"/>
              <w:tabs>
                <w:tab w:val="left" w:pos="709"/>
              </w:tabs>
              <w:spacing w:before="60" w:after="60"/>
              <w:jc w:val="center"/>
              <w:rPr>
                <w:b/>
                <w:color w:val="000000"/>
                <w:kern w:val="2"/>
                <w:sz w:val="20"/>
                <w:szCs w:val="20"/>
              </w:rPr>
            </w:pPr>
          </w:p>
        </w:tc>
        <w:tc>
          <w:tcPr>
            <w:tcW w:w="1014" w:type="dxa"/>
            <w:shd w:val="clear" w:color="auto" w:fill="auto"/>
            <w:vAlign w:val="center"/>
          </w:tcPr>
          <w:p w14:paraId="39EF3BF3">
            <w:pPr>
              <w:pStyle w:val="44"/>
              <w:tabs>
                <w:tab w:val="left" w:pos="709"/>
              </w:tabs>
              <w:spacing w:before="60" w:after="60"/>
              <w:jc w:val="center"/>
              <w:rPr>
                <w:b/>
                <w:color w:val="000000"/>
                <w:kern w:val="2"/>
                <w:sz w:val="20"/>
                <w:szCs w:val="20"/>
              </w:rPr>
            </w:pPr>
            <w:r>
              <w:rPr>
                <w:color w:val="000000"/>
                <w:kern w:val="2"/>
                <w:sz w:val="20"/>
                <w:szCs w:val="20"/>
              </w:rPr>
              <w:t>Adult</w:t>
            </w:r>
          </w:p>
        </w:tc>
        <w:tc>
          <w:tcPr>
            <w:tcW w:w="992" w:type="dxa"/>
            <w:shd w:val="clear" w:color="auto" w:fill="auto"/>
            <w:vAlign w:val="center"/>
          </w:tcPr>
          <w:p w14:paraId="29DB9DC3">
            <w:pPr>
              <w:pStyle w:val="44"/>
              <w:tabs>
                <w:tab w:val="left" w:pos="709"/>
              </w:tabs>
              <w:spacing w:before="60" w:after="60"/>
              <w:jc w:val="center"/>
              <w:rPr>
                <w:color w:val="000000"/>
                <w:kern w:val="2"/>
                <w:sz w:val="20"/>
                <w:szCs w:val="20"/>
              </w:rPr>
            </w:pPr>
            <w:r>
              <w:rPr>
                <w:color w:val="000000"/>
                <w:kern w:val="2"/>
                <w:sz w:val="20"/>
                <w:szCs w:val="20"/>
              </w:rPr>
              <w:t>0.77</w:t>
            </w:r>
          </w:p>
        </w:tc>
        <w:tc>
          <w:tcPr>
            <w:tcW w:w="4565" w:type="dxa"/>
            <w:shd w:val="clear" w:color="auto" w:fill="auto"/>
            <w:vAlign w:val="center"/>
          </w:tcPr>
          <w:p w14:paraId="69401C6D">
            <w:pPr>
              <w:spacing w:line="240" w:lineRule="auto"/>
              <w:jc w:val="center"/>
              <w:rPr>
                <w:rFonts w:ascii="Times New Roman" w:hAnsi="Times New Roman" w:cs="Times New Roman"/>
                <w:sz w:val="20"/>
                <w:szCs w:val="20"/>
              </w:rPr>
            </w:pPr>
            <w:r>
              <w:rPr>
                <w:rFonts w:ascii="Times New Roman" w:hAnsi="Times New Roman" w:cs="Times New Roman"/>
                <w:sz w:val="20"/>
                <w:szCs w:val="20"/>
              </w:rPr>
              <w:t>Y=40.84-0.15X</w:t>
            </w:r>
            <w:r>
              <w:rPr>
                <w:rFonts w:ascii="Times New Roman" w:hAnsi="Times New Roman" w:cs="Times New Roman"/>
                <w:sz w:val="20"/>
                <w:szCs w:val="20"/>
                <w:vertAlign w:val="subscript"/>
              </w:rPr>
              <w:t>1</w:t>
            </w:r>
            <w:r>
              <w:rPr>
                <w:rFonts w:ascii="Times New Roman" w:hAnsi="Times New Roman" w:cs="Times New Roman"/>
                <w:sz w:val="20"/>
                <w:szCs w:val="20"/>
              </w:rPr>
              <w:t>-1.78X</w:t>
            </w:r>
            <w:r>
              <w:rPr>
                <w:rFonts w:ascii="Times New Roman" w:hAnsi="Times New Roman" w:cs="Times New Roman"/>
                <w:sz w:val="20"/>
                <w:szCs w:val="20"/>
                <w:vertAlign w:val="subscript"/>
              </w:rPr>
              <w:t>2</w:t>
            </w:r>
            <w:r>
              <w:rPr>
                <w:rFonts w:ascii="Times New Roman" w:hAnsi="Times New Roman" w:cs="Times New Roman"/>
                <w:sz w:val="20"/>
                <w:szCs w:val="20"/>
              </w:rPr>
              <w:t>-5.41X</w:t>
            </w:r>
            <w:r>
              <w:rPr>
                <w:rFonts w:ascii="Times New Roman" w:hAnsi="Times New Roman" w:cs="Times New Roman"/>
                <w:sz w:val="20"/>
                <w:szCs w:val="20"/>
                <w:vertAlign w:val="subscript"/>
              </w:rPr>
              <w:t xml:space="preserve">3 </w:t>
            </w:r>
            <w:r>
              <w:rPr>
                <w:rFonts w:ascii="Times New Roman" w:hAnsi="Times New Roman" w:cs="Times New Roman"/>
                <w:sz w:val="20"/>
                <w:szCs w:val="20"/>
              </w:rPr>
              <w:t>- 0.99X</w:t>
            </w:r>
            <w:r>
              <w:rPr>
                <w:rFonts w:ascii="Times New Roman" w:hAnsi="Times New Roman" w:cs="Times New Roman"/>
                <w:sz w:val="20"/>
                <w:szCs w:val="20"/>
                <w:vertAlign w:val="subscript"/>
              </w:rPr>
              <w:t>4</w:t>
            </w:r>
            <w:r>
              <w:rPr>
                <w:rFonts w:ascii="Times New Roman" w:hAnsi="Times New Roman" w:cs="Times New Roman"/>
                <w:sz w:val="20"/>
                <w:szCs w:val="20"/>
              </w:rPr>
              <w:t>+1.88X</w:t>
            </w:r>
            <w:r>
              <w:rPr>
                <w:rFonts w:ascii="Times New Roman" w:hAnsi="Times New Roman" w:cs="Times New Roman"/>
                <w:sz w:val="20"/>
                <w:szCs w:val="20"/>
                <w:vertAlign w:val="subscript"/>
              </w:rPr>
              <w:t>5</w:t>
            </w:r>
          </w:p>
        </w:tc>
      </w:tr>
      <w:tr w14:paraId="61C8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Merge w:val="restart"/>
            <w:shd w:val="clear" w:color="auto" w:fill="auto"/>
            <w:vAlign w:val="center"/>
          </w:tcPr>
          <w:p w14:paraId="292BE166">
            <w:pPr>
              <w:pStyle w:val="44"/>
              <w:tabs>
                <w:tab w:val="left" w:pos="709"/>
              </w:tabs>
              <w:spacing w:before="60" w:after="60"/>
              <w:jc w:val="center"/>
              <w:rPr>
                <w:b/>
                <w:color w:val="000000"/>
                <w:kern w:val="2"/>
                <w:sz w:val="20"/>
                <w:szCs w:val="20"/>
              </w:rPr>
            </w:pPr>
            <w:r>
              <w:rPr>
                <w:b/>
                <w:color w:val="000000"/>
                <w:kern w:val="2"/>
                <w:sz w:val="20"/>
                <w:szCs w:val="20"/>
              </w:rPr>
              <w:t>Nihalpora</w:t>
            </w:r>
          </w:p>
        </w:tc>
        <w:tc>
          <w:tcPr>
            <w:tcW w:w="1014" w:type="dxa"/>
            <w:shd w:val="clear" w:color="auto" w:fill="auto"/>
            <w:vAlign w:val="center"/>
          </w:tcPr>
          <w:p w14:paraId="1372D807">
            <w:pPr>
              <w:pStyle w:val="44"/>
              <w:tabs>
                <w:tab w:val="left" w:pos="709"/>
              </w:tabs>
              <w:spacing w:before="60" w:after="60"/>
              <w:jc w:val="center"/>
              <w:rPr>
                <w:color w:val="000000"/>
                <w:kern w:val="2"/>
                <w:sz w:val="20"/>
                <w:szCs w:val="20"/>
              </w:rPr>
            </w:pPr>
            <w:r>
              <w:rPr>
                <w:color w:val="000000"/>
                <w:kern w:val="2"/>
                <w:sz w:val="20"/>
                <w:szCs w:val="20"/>
              </w:rPr>
              <w:t>Nymph</w:t>
            </w:r>
          </w:p>
        </w:tc>
        <w:tc>
          <w:tcPr>
            <w:tcW w:w="992" w:type="dxa"/>
            <w:shd w:val="clear" w:color="auto" w:fill="auto"/>
            <w:vAlign w:val="center"/>
          </w:tcPr>
          <w:p w14:paraId="37D65371">
            <w:pPr>
              <w:pStyle w:val="44"/>
              <w:tabs>
                <w:tab w:val="left" w:pos="709"/>
              </w:tabs>
              <w:spacing w:before="60" w:after="60"/>
              <w:jc w:val="center"/>
              <w:rPr>
                <w:color w:val="000000"/>
                <w:kern w:val="2"/>
                <w:sz w:val="20"/>
                <w:szCs w:val="20"/>
              </w:rPr>
            </w:pPr>
            <w:r>
              <w:rPr>
                <w:color w:val="000000"/>
                <w:kern w:val="2"/>
                <w:sz w:val="20"/>
                <w:szCs w:val="20"/>
              </w:rPr>
              <w:t>0.82</w:t>
            </w:r>
          </w:p>
        </w:tc>
        <w:tc>
          <w:tcPr>
            <w:tcW w:w="4565" w:type="dxa"/>
            <w:shd w:val="clear" w:color="auto" w:fill="auto"/>
            <w:vAlign w:val="center"/>
          </w:tcPr>
          <w:p w14:paraId="344BFA28">
            <w:pPr>
              <w:spacing w:line="240" w:lineRule="auto"/>
              <w:jc w:val="center"/>
              <w:rPr>
                <w:rFonts w:ascii="Times New Roman" w:hAnsi="Times New Roman" w:cs="Times New Roman"/>
                <w:sz w:val="20"/>
                <w:szCs w:val="20"/>
              </w:rPr>
            </w:pPr>
            <w:r>
              <w:rPr>
                <w:rFonts w:ascii="Times New Roman" w:hAnsi="Times New Roman" w:cs="Times New Roman"/>
                <w:sz w:val="20"/>
                <w:szCs w:val="20"/>
              </w:rPr>
              <w:t>Y=119.71+1.45X</w:t>
            </w:r>
            <w:r>
              <w:rPr>
                <w:rFonts w:ascii="Times New Roman" w:hAnsi="Times New Roman" w:cs="Times New Roman"/>
                <w:sz w:val="20"/>
                <w:szCs w:val="20"/>
                <w:vertAlign w:val="subscript"/>
              </w:rPr>
              <w:t>1</w:t>
            </w:r>
            <w:r>
              <w:rPr>
                <w:rFonts w:ascii="Times New Roman" w:hAnsi="Times New Roman" w:cs="Times New Roman"/>
                <w:sz w:val="20"/>
                <w:szCs w:val="20"/>
              </w:rPr>
              <w:t>-1.50X</w:t>
            </w:r>
            <w:r>
              <w:rPr>
                <w:rFonts w:ascii="Times New Roman" w:hAnsi="Times New Roman" w:cs="Times New Roman"/>
                <w:sz w:val="20"/>
                <w:szCs w:val="20"/>
                <w:vertAlign w:val="subscript"/>
              </w:rPr>
              <w:t>2</w:t>
            </w:r>
            <w:r>
              <w:rPr>
                <w:rFonts w:ascii="Times New Roman" w:hAnsi="Times New Roman" w:cs="Times New Roman"/>
                <w:sz w:val="20"/>
                <w:szCs w:val="20"/>
              </w:rPr>
              <w:t>-5.12X</w:t>
            </w:r>
            <w:r>
              <w:rPr>
                <w:rFonts w:ascii="Times New Roman" w:hAnsi="Times New Roman" w:cs="Times New Roman"/>
                <w:sz w:val="20"/>
                <w:szCs w:val="20"/>
                <w:vertAlign w:val="subscript"/>
              </w:rPr>
              <w:t xml:space="preserve">3 </w:t>
            </w:r>
            <w:r>
              <w:rPr>
                <w:rFonts w:ascii="Times New Roman" w:hAnsi="Times New Roman" w:cs="Times New Roman"/>
                <w:sz w:val="20"/>
                <w:szCs w:val="20"/>
              </w:rPr>
              <w:t>– 2.23X</w:t>
            </w:r>
            <w:r>
              <w:rPr>
                <w:rFonts w:ascii="Times New Roman" w:hAnsi="Times New Roman" w:cs="Times New Roman"/>
                <w:sz w:val="20"/>
                <w:szCs w:val="20"/>
                <w:vertAlign w:val="subscript"/>
              </w:rPr>
              <w:t>4</w:t>
            </w:r>
            <w:r>
              <w:rPr>
                <w:rFonts w:ascii="Times New Roman" w:hAnsi="Times New Roman" w:cs="Times New Roman"/>
                <w:sz w:val="20"/>
                <w:szCs w:val="20"/>
              </w:rPr>
              <w:t>+1.97X</w:t>
            </w:r>
            <w:r>
              <w:rPr>
                <w:rFonts w:ascii="Times New Roman" w:hAnsi="Times New Roman" w:cs="Times New Roman"/>
                <w:sz w:val="20"/>
                <w:szCs w:val="20"/>
                <w:vertAlign w:val="subscript"/>
              </w:rPr>
              <w:t>5</w:t>
            </w:r>
          </w:p>
        </w:tc>
      </w:tr>
      <w:tr w14:paraId="29B5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dxa"/>
            <w:vMerge w:val="continue"/>
            <w:shd w:val="clear" w:color="auto" w:fill="auto"/>
            <w:vAlign w:val="center"/>
          </w:tcPr>
          <w:p w14:paraId="6859E5E8">
            <w:pPr>
              <w:pStyle w:val="44"/>
              <w:tabs>
                <w:tab w:val="left" w:pos="709"/>
              </w:tabs>
              <w:spacing w:before="60" w:after="60"/>
              <w:jc w:val="center"/>
              <w:rPr>
                <w:b/>
                <w:color w:val="000000"/>
                <w:kern w:val="2"/>
                <w:sz w:val="20"/>
                <w:szCs w:val="20"/>
              </w:rPr>
            </w:pPr>
          </w:p>
        </w:tc>
        <w:tc>
          <w:tcPr>
            <w:tcW w:w="1014" w:type="dxa"/>
            <w:shd w:val="clear" w:color="auto" w:fill="auto"/>
            <w:vAlign w:val="center"/>
          </w:tcPr>
          <w:p w14:paraId="5BD5F6D5">
            <w:pPr>
              <w:pStyle w:val="44"/>
              <w:tabs>
                <w:tab w:val="left" w:pos="709"/>
              </w:tabs>
              <w:spacing w:before="60" w:after="60"/>
              <w:jc w:val="center"/>
              <w:rPr>
                <w:bCs/>
                <w:color w:val="000000"/>
                <w:kern w:val="2"/>
                <w:sz w:val="20"/>
                <w:szCs w:val="20"/>
              </w:rPr>
            </w:pPr>
            <w:r>
              <w:rPr>
                <w:bCs/>
                <w:color w:val="000000"/>
                <w:kern w:val="2"/>
                <w:sz w:val="20"/>
                <w:szCs w:val="20"/>
              </w:rPr>
              <w:t>Adult</w:t>
            </w:r>
          </w:p>
        </w:tc>
        <w:tc>
          <w:tcPr>
            <w:tcW w:w="992" w:type="dxa"/>
            <w:shd w:val="clear" w:color="auto" w:fill="auto"/>
            <w:vAlign w:val="center"/>
          </w:tcPr>
          <w:p w14:paraId="3A6B2564">
            <w:pPr>
              <w:pStyle w:val="44"/>
              <w:tabs>
                <w:tab w:val="left" w:pos="709"/>
              </w:tabs>
              <w:spacing w:before="60" w:after="60"/>
              <w:jc w:val="center"/>
              <w:rPr>
                <w:bCs/>
                <w:color w:val="000000"/>
                <w:kern w:val="2"/>
                <w:sz w:val="20"/>
                <w:szCs w:val="20"/>
              </w:rPr>
            </w:pPr>
            <w:r>
              <w:rPr>
                <w:bCs/>
                <w:color w:val="000000"/>
                <w:kern w:val="2"/>
                <w:sz w:val="20"/>
                <w:szCs w:val="20"/>
              </w:rPr>
              <w:t>0.62</w:t>
            </w:r>
          </w:p>
        </w:tc>
        <w:tc>
          <w:tcPr>
            <w:tcW w:w="4565" w:type="dxa"/>
            <w:shd w:val="clear" w:color="auto" w:fill="auto"/>
            <w:vAlign w:val="center"/>
          </w:tcPr>
          <w:p w14:paraId="3B864944">
            <w:pPr>
              <w:spacing w:line="240" w:lineRule="auto"/>
              <w:jc w:val="center"/>
              <w:rPr>
                <w:rFonts w:ascii="Times New Roman" w:hAnsi="Times New Roman" w:cs="Times New Roman"/>
                <w:sz w:val="20"/>
                <w:szCs w:val="20"/>
              </w:rPr>
            </w:pPr>
            <w:r>
              <w:rPr>
                <w:rFonts w:ascii="Times New Roman" w:hAnsi="Times New Roman" w:cs="Times New Roman"/>
                <w:sz w:val="20"/>
                <w:szCs w:val="20"/>
              </w:rPr>
              <w:t>Y=60.97-0.39X</w:t>
            </w:r>
            <w:r>
              <w:rPr>
                <w:rFonts w:ascii="Times New Roman" w:hAnsi="Times New Roman" w:cs="Times New Roman"/>
                <w:sz w:val="20"/>
                <w:szCs w:val="20"/>
                <w:vertAlign w:val="subscript"/>
              </w:rPr>
              <w:t>1</w:t>
            </w:r>
            <w:r>
              <w:rPr>
                <w:rFonts w:ascii="Times New Roman" w:hAnsi="Times New Roman" w:cs="Times New Roman"/>
                <w:sz w:val="20"/>
                <w:szCs w:val="20"/>
              </w:rPr>
              <w:t>-1.91X</w:t>
            </w:r>
            <w:r>
              <w:rPr>
                <w:rFonts w:ascii="Times New Roman" w:hAnsi="Times New Roman" w:cs="Times New Roman"/>
                <w:sz w:val="20"/>
                <w:szCs w:val="20"/>
                <w:vertAlign w:val="subscript"/>
              </w:rPr>
              <w:t>2</w:t>
            </w:r>
            <w:r>
              <w:rPr>
                <w:rFonts w:ascii="Times New Roman" w:hAnsi="Times New Roman" w:cs="Times New Roman"/>
                <w:sz w:val="20"/>
                <w:szCs w:val="20"/>
              </w:rPr>
              <w:t>-6.08X</w:t>
            </w:r>
            <w:r>
              <w:rPr>
                <w:rFonts w:ascii="Times New Roman" w:hAnsi="Times New Roman" w:cs="Times New Roman"/>
                <w:sz w:val="20"/>
                <w:szCs w:val="20"/>
                <w:vertAlign w:val="subscript"/>
              </w:rPr>
              <w:t xml:space="preserve">3 </w:t>
            </w:r>
            <w:r>
              <w:rPr>
                <w:rFonts w:ascii="Times New Roman" w:hAnsi="Times New Roman" w:cs="Times New Roman"/>
                <w:sz w:val="20"/>
                <w:szCs w:val="20"/>
              </w:rPr>
              <w:t>– 1.15X</w:t>
            </w:r>
            <w:r>
              <w:rPr>
                <w:rFonts w:ascii="Times New Roman" w:hAnsi="Times New Roman" w:cs="Times New Roman"/>
                <w:sz w:val="20"/>
                <w:szCs w:val="20"/>
                <w:vertAlign w:val="subscript"/>
              </w:rPr>
              <w:t>4</w:t>
            </w:r>
            <w:r>
              <w:rPr>
                <w:rFonts w:ascii="Times New Roman" w:hAnsi="Times New Roman" w:cs="Times New Roman"/>
                <w:sz w:val="20"/>
                <w:szCs w:val="20"/>
              </w:rPr>
              <w:t>+1.93X</w:t>
            </w:r>
            <w:r>
              <w:rPr>
                <w:rFonts w:ascii="Times New Roman" w:hAnsi="Times New Roman" w:cs="Times New Roman"/>
                <w:sz w:val="20"/>
                <w:szCs w:val="20"/>
                <w:vertAlign w:val="subscript"/>
              </w:rPr>
              <w:t>5</w:t>
            </w:r>
          </w:p>
        </w:tc>
      </w:tr>
    </w:tbl>
    <w:p w14:paraId="3495C193">
      <w:pPr>
        <w:pStyle w:val="45"/>
        <w:rPr>
          <w:rFonts w:ascii="Times New Roman" w:hAnsi="Times New Roman" w:cs="Times New Roman"/>
          <w:b/>
          <w:bCs/>
          <w:sz w:val="16"/>
          <w:szCs w:val="16"/>
        </w:rPr>
      </w:pPr>
      <w:r>
        <w:rPr>
          <w:rFonts w:ascii="Times New Roman" w:hAnsi="Times New Roman" w:cs="Times New Roman"/>
          <w:b/>
          <w:bCs/>
          <w:sz w:val="16"/>
          <w:szCs w:val="16"/>
        </w:rPr>
        <w:t>Y= No. of psyllids/shoot</w:t>
      </w:r>
    </w:p>
    <w:p w14:paraId="702FFD1D">
      <w:pPr>
        <w:pStyle w:val="45"/>
        <w:rPr>
          <w:rFonts w:ascii="Times New Roman" w:hAnsi="Times New Roman" w:cs="Times New Roman"/>
          <w:b/>
          <w:bCs/>
          <w:spacing w:val="-37"/>
          <w:sz w:val="16"/>
          <w:szCs w:val="16"/>
        </w:rPr>
      </w:pPr>
      <w:r>
        <w:rPr>
          <w:rFonts w:ascii="Times New Roman" w:hAnsi="Times New Roman" w:cs="Times New Roman"/>
          <w:b/>
          <w:bCs/>
          <w:sz w:val="16"/>
          <w:szCs w:val="16"/>
        </w:rPr>
        <w:t>X1=Maximum Temperature (</w:t>
      </w:r>
      <w:r>
        <w:rPr>
          <w:rFonts w:ascii="Times New Roman" w:hAnsi="Times New Roman" w:cs="Times New Roman"/>
          <w:b/>
          <w:bCs/>
          <w:sz w:val="16"/>
          <w:szCs w:val="16"/>
          <w:vertAlign w:val="superscript"/>
        </w:rPr>
        <w:t>o</w:t>
      </w:r>
      <w:r>
        <w:rPr>
          <w:rFonts w:ascii="Times New Roman" w:hAnsi="Times New Roman" w:cs="Times New Roman"/>
          <w:b/>
          <w:bCs/>
          <w:sz w:val="16"/>
          <w:szCs w:val="16"/>
        </w:rPr>
        <w:t>C)</w:t>
      </w:r>
      <w:r>
        <w:rPr>
          <w:rFonts w:ascii="Times New Roman" w:hAnsi="Times New Roman" w:cs="Times New Roman"/>
          <w:b/>
          <w:bCs/>
          <w:spacing w:val="-37"/>
          <w:sz w:val="16"/>
          <w:szCs w:val="16"/>
        </w:rPr>
        <w:t xml:space="preserve"> </w:t>
      </w:r>
    </w:p>
    <w:p w14:paraId="7C0E4422">
      <w:pPr>
        <w:pStyle w:val="45"/>
        <w:rPr>
          <w:rFonts w:ascii="Times New Roman" w:hAnsi="Times New Roman" w:cs="Times New Roman"/>
          <w:b/>
          <w:bCs/>
          <w:sz w:val="16"/>
          <w:szCs w:val="16"/>
        </w:rPr>
      </w:pPr>
      <w:r>
        <w:rPr>
          <w:rFonts w:ascii="Times New Roman" w:hAnsi="Times New Roman" w:cs="Times New Roman"/>
          <w:b/>
          <w:bCs/>
          <w:sz w:val="16"/>
          <w:szCs w:val="16"/>
        </w:rPr>
        <w:t>X2=Minimum</w:t>
      </w:r>
      <w:r>
        <w:rPr>
          <w:rFonts w:ascii="Times New Roman" w:hAnsi="Times New Roman" w:cs="Times New Roman"/>
          <w:b/>
          <w:bCs/>
          <w:spacing w:val="-4"/>
          <w:sz w:val="16"/>
          <w:szCs w:val="16"/>
        </w:rPr>
        <w:t xml:space="preserve"> </w:t>
      </w:r>
      <w:r>
        <w:rPr>
          <w:rFonts w:ascii="Times New Roman" w:hAnsi="Times New Roman" w:cs="Times New Roman"/>
          <w:b/>
          <w:bCs/>
          <w:sz w:val="16"/>
          <w:szCs w:val="16"/>
        </w:rPr>
        <w:t>Temperature</w:t>
      </w:r>
      <w:r>
        <w:rPr>
          <w:rFonts w:ascii="Times New Roman" w:hAnsi="Times New Roman" w:cs="Times New Roman"/>
          <w:b/>
          <w:bCs/>
          <w:spacing w:val="-4"/>
          <w:sz w:val="16"/>
          <w:szCs w:val="16"/>
        </w:rPr>
        <w:t xml:space="preserve"> </w:t>
      </w:r>
      <w:r>
        <w:rPr>
          <w:rFonts w:ascii="Times New Roman" w:hAnsi="Times New Roman" w:cs="Times New Roman"/>
          <w:b/>
          <w:bCs/>
          <w:sz w:val="16"/>
          <w:szCs w:val="16"/>
        </w:rPr>
        <w:t>(</w:t>
      </w:r>
      <w:r>
        <w:rPr>
          <w:rFonts w:ascii="Times New Roman" w:hAnsi="Times New Roman" w:cs="Times New Roman"/>
          <w:b/>
          <w:bCs/>
          <w:sz w:val="16"/>
          <w:szCs w:val="16"/>
          <w:vertAlign w:val="superscript"/>
        </w:rPr>
        <w:t>o</w:t>
      </w:r>
      <w:r>
        <w:rPr>
          <w:rFonts w:ascii="Times New Roman" w:hAnsi="Times New Roman" w:cs="Times New Roman"/>
          <w:b/>
          <w:bCs/>
          <w:sz w:val="16"/>
          <w:szCs w:val="16"/>
        </w:rPr>
        <w:t>C)</w:t>
      </w:r>
    </w:p>
    <w:p w14:paraId="4A58BD45">
      <w:pPr>
        <w:pStyle w:val="45"/>
        <w:rPr>
          <w:rFonts w:ascii="Times New Roman" w:hAnsi="Times New Roman" w:cs="Times New Roman"/>
          <w:b/>
          <w:bCs/>
          <w:sz w:val="16"/>
          <w:szCs w:val="16"/>
        </w:rPr>
      </w:pPr>
      <w:r>
        <w:rPr>
          <w:rFonts w:ascii="Times New Roman" w:hAnsi="Times New Roman" w:cs="Times New Roman"/>
          <w:b/>
          <w:bCs/>
          <w:sz w:val="16"/>
          <w:szCs w:val="16"/>
        </w:rPr>
        <w:t>X3= Rainfall</w:t>
      </w:r>
      <w:r>
        <w:rPr>
          <w:rFonts w:ascii="Times New Roman" w:hAnsi="Times New Roman" w:cs="Times New Roman"/>
          <w:b/>
          <w:bCs/>
          <w:spacing w:val="-1"/>
          <w:sz w:val="16"/>
          <w:szCs w:val="16"/>
        </w:rPr>
        <w:t xml:space="preserve"> </w:t>
      </w:r>
      <w:r>
        <w:rPr>
          <w:rFonts w:ascii="Times New Roman" w:hAnsi="Times New Roman" w:cs="Times New Roman"/>
          <w:b/>
          <w:bCs/>
          <w:sz w:val="16"/>
          <w:szCs w:val="16"/>
        </w:rPr>
        <w:t>(mm)</w:t>
      </w:r>
    </w:p>
    <w:p w14:paraId="4961CFB7">
      <w:pPr>
        <w:pStyle w:val="45"/>
        <w:rPr>
          <w:rFonts w:ascii="Times New Roman" w:hAnsi="Times New Roman" w:cs="Times New Roman"/>
          <w:b/>
          <w:bCs/>
          <w:sz w:val="16"/>
          <w:szCs w:val="16"/>
        </w:rPr>
      </w:pPr>
      <w:r>
        <w:rPr>
          <w:rFonts w:ascii="Times New Roman" w:hAnsi="Times New Roman" w:cs="Times New Roman"/>
          <w:b/>
          <w:bCs/>
          <w:sz w:val="16"/>
          <w:szCs w:val="16"/>
        </w:rPr>
        <w:t>X4= Maximum Relative Humidity</w:t>
      </w:r>
    </w:p>
    <w:p w14:paraId="486A7C8B">
      <w:pPr>
        <w:pStyle w:val="45"/>
        <w:rPr>
          <w:rFonts w:ascii="Times New Roman" w:hAnsi="Times New Roman" w:cs="Times New Roman"/>
          <w:b/>
          <w:bCs/>
          <w:sz w:val="16"/>
          <w:szCs w:val="16"/>
        </w:rPr>
      </w:pPr>
      <w:r>
        <w:rPr>
          <w:rFonts w:ascii="Times New Roman" w:hAnsi="Times New Roman" w:cs="Times New Roman"/>
          <w:b/>
          <w:bCs/>
          <w:sz w:val="16"/>
          <w:szCs w:val="16"/>
        </w:rPr>
        <w:t>X5=Minimum Relative Humidity</w:t>
      </w:r>
    </w:p>
    <w:p w14:paraId="3838AAE7">
      <w:pPr>
        <w:pStyle w:val="3"/>
        <w:tabs>
          <w:tab w:val="left" w:pos="709"/>
        </w:tabs>
        <w:spacing w:before="120" w:after="120"/>
        <w:ind w:left="1440" w:hanging="1440"/>
        <w:jc w:val="both"/>
        <w:rPr>
          <w:color w:val="000000"/>
          <w:sz w:val="20"/>
          <w:szCs w:val="20"/>
        </w:rPr>
      </w:pPr>
    </w:p>
    <w:p w14:paraId="03473950">
      <w:pPr>
        <w:tabs>
          <w:tab w:val="left" w:pos="709"/>
        </w:tabs>
        <w:spacing w:before="120" w:after="120" w:line="240" w:lineRule="auto"/>
        <w:jc w:val="both"/>
        <w:rPr>
          <w:rFonts w:ascii="Times New Roman" w:hAnsi="Times New Roman" w:cs="Times New Roman"/>
          <w:b/>
          <w:bCs/>
          <w:color w:val="000000"/>
          <w:sz w:val="20"/>
          <w:szCs w:val="20"/>
          <w:lang w:eastAsia="en-IN"/>
        </w:rPr>
      </w:pPr>
    </w:p>
    <w:p w14:paraId="4E25BAB1">
      <w:pPr>
        <w:pStyle w:val="15"/>
        <w:tabs>
          <w:tab w:val="left" w:pos="709"/>
        </w:tabs>
        <w:spacing w:before="120" w:after="120" w:line="240" w:lineRule="auto"/>
        <w:ind w:left="705" w:hanging="705"/>
        <w:jc w:val="both"/>
        <w:rPr>
          <w:rFonts w:ascii="Times New Roman" w:hAnsi="Times New Roman" w:cs="Times New Roman"/>
          <w:b/>
          <w:bCs/>
          <w:color w:val="000000"/>
          <w:sz w:val="20"/>
          <w:szCs w:val="20"/>
          <w:lang w:eastAsia="en-IN"/>
        </w:rPr>
      </w:pPr>
    </w:p>
    <w:p w14:paraId="4DD31244">
      <w:pPr>
        <w:pStyle w:val="15"/>
        <w:tabs>
          <w:tab w:val="left" w:pos="709"/>
        </w:tabs>
        <w:spacing w:before="120" w:after="120" w:line="240" w:lineRule="auto"/>
        <w:ind w:left="705" w:hanging="705"/>
        <w:jc w:val="both"/>
        <w:rPr>
          <w:rFonts w:ascii="Times New Roman" w:hAnsi="Times New Roman" w:cs="Times New Roman"/>
          <w:b/>
          <w:bCs/>
          <w:color w:val="000000"/>
          <w:sz w:val="20"/>
          <w:szCs w:val="20"/>
          <w:lang w:eastAsia="en-IN"/>
        </w:rPr>
      </w:pPr>
      <w:r>
        <w:rPr>
          <w:rFonts w:ascii="Times New Roman" w:hAnsi="Times New Roman" w:cs="Times New Roman"/>
          <w:sz w:val="20"/>
          <w:szCs w:val="20"/>
        </w:rPr>
        <w:drawing>
          <wp:inline distT="0" distB="0" distL="0" distR="0">
            <wp:extent cx="5731510" cy="1862455"/>
            <wp:effectExtent l="0" t="0" r="2540" b="4445"/>
            <wp:docPr id="63764593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B70AAA6">
      <w:pPr>
        <w:spacing w:line="240" w:lineRule="auto"/>
        <w:rPr>
          <w:rFonts w:hint="default" w:ascii="Times New Roman" w:hAnsi="Times New Roman" w:cs="Times New Roman"/>
          <w:b/>
          <w:bCs/>
          <w:sz w:val="20"/>
          <w:szCs w:val="20"/>
          <w:lang w:val="en-IN"/>
        </w:rPr>
      </w:pPr>
      <w:r>
        <w:rPr>
          <w:rFonts w:ascii="Times New Roman" w:hAnsi="Times New Roman" w:cs="Times New Roman"/>
          <w:b/>
          <w:bCs/>
          <w:sz w:val="20"/>
          <w:szCs w:val="20"/>
        </w:rPr>
        <w:t>Fig. 1: Population</w:t>
      </w:r>
      <w:r>
        <w:rPr>
          <w:rFonts w:ascii="Times New Roman" w:hAnsi="Times New Roman" w:cs="Times New Roman"/>
          <w:b/>
          <w:bCs/>
          <w:spacing w:val="13"/>
          <w:sz w:val="20"/>
          <w:szCs w:val="20"/>
        </w:rPr>
        <w:t xml:space="preserve"> </w:t>
      </w:r>
      <w:r>
        <w:rPr>
          <w:rFonts w:ascii="Times New Roman" w:hAnsi="Times New Roman" w:cs="Times New Roman"/>
          <w:b/>
          <w:bCs/>
          <w:sz w:val="20"/>
          <w:szCs w:val="20"/>
        </w:rPr>
        <w:t>build-up</w:t>
      </w:r>
      <w:r>
        <w:rPr>
          <w:rFonts w:ascii="Times New Roman" w:hAnsi="Times New Roman" w:cs="Times New Roman"/>
          <w:b/>
          <w:bCs/>
          <w:spacing w:val="12"/>
          <w:sz w:val="20"/>
          <w:szCs w:val="20"/>
        </w:rPr>
        <w:t xml:space="preserve"> </w:t>
      </w:r>
      <w:r>
        <w:rPr>
          <w:rFonts w:ascii="Times New Roman" w:hAnsi="Times New Roman" w:cs="Times New Roman"/>
          <w:b/>
          <w:bCs/>
          <w:sz w:val="20"/>
          <w:szCs w:val="20"/>
        </w:rPr>
        <w:t>of</w:t>
      </w:r>
      <w:r>
        <w:rPr>
          <w:rFonts w:ascii="Times New Roman" w:hAnsi="Times New Roman" w:cs="Times New Roman"/>
          <w:b/>
          <w:bCs/>
          <w:spacing w:val="11"/>
          <w:sz w:val="20"/>
          <w:szCs w:val="20"/>
        </w:rPr>
        <w:t xml:space="preserve"> </w:t>
      </w:r>
      <w:r>
        <w:rPr>
          <w:rFonts w:ascii="Times New Roman" w:hAnsi="Times New Roman" w:cs="Times New Roman"/>
          <w:b/>
          <w:bCs/>
          <w:sz w:val="20"/>
          <w:szCs w:val="20"/>
        </w:rPr>
        <w:t>Pear</w:t>
      </w:r>
      <w:r>
        <w:rPr>
          <w:rFonts w:ascii="Times New Roman" w:hAnsi="Times New Roman" w:cs="Times New Roman"/>
          <w:b/>
          <w:bCs/>
          <w:spacing w:val="11"/>
          <w:sz w:val="20"/>
          <w:szCs w:val="20"/>
        </w:rPr>
        <w:t xml:space="preserve"> </w:t>
      </w:r>
      <w:r>
        <w:rPr>
          <w:rFonts w:ascii="Times New Roman" w:hAnsi="Times New Roman" w:cs="Times New Roman"/>
          <w:b/>
          <w:bCs/>
          <w:sz w:val="20"/>
          <w:szCs w:val="20"/>
        </w:rPr>
        <w:t>Psylla</w:t>
      </w:r>
      <w:r>
        <w:rPr>
          <w:rFonts w:ascii="Times New Roman" w:hAnsi="Times New Roman" w:cs="Times New Roman"/>
          <w:b/>
          <w:bCs/>
          <w:spacing w:val="12"/>
          <w:sz w:val="20"/>
          <w:szCs w:val="20"/>
        </w:rPr>
        <w:t xml:space="preserve"> </w:t>
      </w:r>
      <w:r>
        <w:rPr>
          <w:rFonts w:ascii="Times New Roman" w:hAnsi="Times New Roman" w:cs="Times New Roman"/>
          <w:b/>
          <w:bCs/>
          <w:sz w:val="20"/>
          <w:szCs w:val="20"/>
        </w:rPr>
        <w:t>(</w:t>
      </w:r>
      <w:r>
        <w:rPr>
          <w:rFonts w:ascii="Times New Roman" w:hAnsi="Times New Roman" w:cs="Times New Roman"/>
          <w:b/>
          <w:bCs/>
          <w:i/>
          <w:sz w:val="20"/>
          <w:szCs w:val="20"/>
        </w:rPr>
        <w:t xml:space="preserve">Cacopsylla pyricola </w:t>
      </w:r>
      <w:r>
        <w:rPr>
          <w:rFonts w:ascii="Times New Roman" w:hAnsi="Times New Roman" w:cs="Times New Roman"/>
          <w:b/>
          <w:bCs/>
          <w:sz w:val="20"/>
          <w:szCs w:val="20"/>
        </w:rPr>
        <w:t>Foerster)</w:t>
      </w:r>
      <w:r>
        <w:rPr>
          <w:rFonts w:ascii="Times New Roman" w:hAnsi="Times New Roman" w:cs="Times New Roman"/>
          <w:b/>
          <w:bCs/>
          <w:spacing w:val="11"/>
          <w:sz w:val="20"/>
          <w:szCs w:val="20"/>
        </w:rPr>
        <w:t xml:space="preserve"> </w:t>
      </w:r>
      <w:r>
        <w:rPr>
          <w:rFonts w:ascii="Times New Roman" w:hAnsi="Times New Roman" w:cs="Times New Roman"/>
          <w:b/>
          <w:bCs/>
          <w:sz w:val="20"/>
          <w:szCs w:val="20"/>
        </w:rPr>
        <w:t xml:space="preserve">in </w:t>
      </w:r>
      <w:r>
        <w:rPr>
          <w:rFonts w:ascii="Times New Roman" w:hAnsi="Times New Roman" w:cs="Times New Roman"/>
          <w:b/>
          <w:bCs/>
          <w:spacing w:val="-57"/>
          <w:sz w:val="20"/>
          <w:szCs w:val="20"/>
        </w:rPr>
        <w:t xml:space="preserve"> </w:t>
      </w:r>
      <w:r>
        <w:rPr>
          <w:rFonts w:ascii="Times New Roman" w:hAnsi="Times New Roman" w:cs="Times New Roman"/>
          <w:b/>
          <w:bCs/>
          <w:sz w:val="20"/>
          <w:szCs w:val="20"/>
        </w:rPr>
        <w:t>relation to</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some</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abiotic factors in</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Baramulla</w:t>
      </w:r>
      <w:r>
        <w:rPr>
          <w:rFonts w:hint="default" w:ascii="Times New Roman" w:hAnsi="Times New Roman" w:cs="Times New Roman"/>
          <w:b/>
          <w:bCs/>
          <w:sz w:val="20"/>
          <w:szCs w:val="20"/>
          <w:lang w:val="en-IN"/>
        </w:rPr>
        <w:t xml:space="preserve">  (</w:t>
      </w:r>
      <w:r>
        <w:rPr>
          <w:rFonts w:hint="default" w:ascii="Times New Roman" w:hAnsi="Times New Roman" w:cs="Times New Roman"/>
          <w:b/>
          <w:bCs/>
          <w:color w:val="FF0000"/>
          <w:sz w:val="20"/>
          <w:szCs w:val="20"/>
          <w:highlight w:val="yellow"/>
          <w:lang w:val="en-IN"/>
        </w:rPr>
        <w:t>*</w:t>
      </w:r>
      <w:r>
        <w:rPr>
          <w:rFonts w:hint="default" w:ascii="Times New Roman" w:hAnsi="Times New Roman" w:cs="Times New Roman"/>
          <w:b/>
          <w:bCs/>
          <w:sz w:val="20"/>
          <w:szCs w:val="20"/>
          <w:lang w:val="en-IN"/>
        </w:rPr>
        <w:t xml:space="preserve"> </w:t>
      </w:r>
      <w:r>
        <w:rPr>
          <w:rFonts w:hint="default" w:ascii="Times New Roman" w:hAnsi="Times New Roman" w:cs="Times New Roman"/>
          <w:b/>
          <w:bCs/>
          <w:color w:val="FF0000"/>
          <w:sz w:val="20"/>
          <w:szCs w:val="20"/>
          <w:highlight w:val="yellow"/>
          <w:lang w:val="en-IN"/>
        </w:rPr>
        <w:t>plot SMW in x axis &amp; weather and Psylla data in y axis for better comparison. Represent the data in</w:t>
      </w:r>
      <w:r>
        <w:rPr>
          <w:rFonts w:hint="default" w:ascii="Times New Roman" w:hAnsi="Times New Roman" w:cs="Times New Roman"/>
          <w:b w:val="0"/>
          <w:bCs w:val="0"/>
          <w:color w:val="FF0000"/>
          <w:sz w:val="20"/>
          <w:szCs w:val="20"/>
          <w:highlight w:val="yellow"/>
          <w:lang w:val="en-IN"/>
        </w:rPr>
        <w:t xml:space="preserve"> </w:t>
      </w:r>
      <w:r>
        <w:rPr>
          <w:rFonts w:hint="default" w:ascii="Times New Roman" w:hAnsi="Times New Roman" w:cs="Times New Roman"/>
          <w:b/>
          <w:bCs/>
          <w:color w:val="FF0000"/>
          <w:sz w:val="20"/>
          <w:szCs w:val="20"/>
          <w:highlight w:val="yellow"/>
          <w:lang w:val="en-IN"/>
        </w:rPr>
        <w:t>“line chart</w:t>
      </w:r>
      <w:r>
        <w:rPr>
          <w:rFonts w:hint="default" w:ascii="Times New Roman" w:hAnsi="Times New Roman" w:cs="Times New Roman"/>
          <w:b w:val="0"/>
          <w:bCs w:val="0"/>
          <w:color w:val="FF0000"/>
          <w:sz w:val="20"/>
          <w:szCs w:val="20"/>
          <w:highlight w:val="yellow"/>
          <w:lang w:val="en-IN"/>
        </w:rPr>
        <w:t>”</w:t>
      </w:r>
      <w:r>
        <w:rPr>
          <w:rFonts w:hint="default" w:ascii="Times New Roman" w:hAnsi="Times New Roman" w:cs="Times New Roman"/>
          <w:b/>
          <w:bCs/>
          <w:color w:val="FF0000"/>
          <w:sz w:val="20"/>
          <w:szCs w:val="20"/>
          <w:highlight w:val="yellow"/>
          <w:lang w:val="en-IN"/>
        </w:rPr>
        <w:t xml:space="preserve"> instead of bar chart and follow the same in remaining charts</w:t>
      </w:r>
      <w:r>
        <w:rPr>
          <w:rFonts w:hint="default" w:ascii="Times New Roman" w:hAnsi="Times New Roman" w:cs="Times New Roman"/>
          <w:b/>
          <w:bCs/>
          <w:sz w:val="20"/>
          <w:szCs w:val="20"/>
          <w:lang w:val="en-IN"/>
        </w:rPr>
        <w:t>)</w:t>
      </w:r>
    </w:p>
    <w:p w14:paraId="784C2D2A">
      <w:pPr>
        <w:pStyle w:val="3"/>
        <w:tabs>
          <w:tab w:val="left" w:pos="709"/>
        </w:tabs>
        <w:spacing w:before="120" w:after="120"/>
        <w:jc w:val="both"/>
        <w:rPr>
          <w:color w:val="000000"/>
          <w:sz w:val="20"/>
          <w:szCs w:val="20"/>
        </w:rPr>
      </w:pPr>
      <w:r>
        <w:rPr>
          <w:color w:val="000000"/>
          <w:sz w:val="20"/>
          <w:szCs w:val="20"/>
        </w:rPr>
        <w:t>Table</w:t>
      </w:r>
      <w:r>
        <w:rPr>
          <w:color w:val="000000"/>
          <w:spacing w:val="-1"/>
          <w:sz w:val="20"/>
          <w:szCs w:val="20"/>
        </w:rPr>
        <w:t xml:space="preserve"> </w:t>
      </w:r>
      <w:r>
        <w:rPr>
          <w:color w:val="000000"/>
          <w:sz w:val="20"/>
          <w:szCs w:val="20"/>
        </w:rPr>
        <w:t>5:</w:t>
      </w:r>
      <w:r>
        <w:rPr>
          <w:color w:val="000000"/>
          <w:sz w:val="20"/>
          <w:szCs w:val="20"/>
        </w:rPr>
        <w:tab/>
      </w:r>
      <w:r>
        <w:rPr>
          <w:color w:val="000000"/>
          <w:sz w:val="20"/>
          <w:szCs w:val="20"/>
        </w:rPr>
        <w:t>Correlation Coefficient of</w:t>
      </w:r>
      <w:r>
        <w:rPr>
          <w:color w:val="000000"/>
          <w:spacing w:val="11"/>
          <w:sz w:val="20"/>
          <w:szCs w:val="20"/>
        </w:rPr>
        <w:t xml:space="preserve"> </w:t>
      </w:r>
      <w:r>
        <w:rPr>
          <w:color w:val="000000"/>
          <w:sz w:val="20"/>
          <w:szCs w:val="20"/>
        </w:rPr>
        <w:t>Pear</w:t>
      </w:r>
      <w:r>
        <w:rPr>
          <w:color w:val="000000"/>
          <w:spacing w:val="11"/>
          <w:sz w:val="20"/>
          <w:szCs w:val="20"/>
        </w:rPr>
        <w:t xml:space="preserve"> </w:t>
      </w:r>
      <w:r>
        <w:rPr>
          <w:color w:val="000000"/>
          <w:sz w:val="20"/>
          <w:szCs w:val="20"/>
        </w:rPr>
        <w:t>Psylla</w:t>
      </w:r>
      <w:r>
        <w:rPr>
          <w:color w:val="000000"/>
          <w:spacing w:val="12"/>
          <w:sz w:val="20"/>
          <w:szCs w:val="20"/>
        </w:rPr>
        <w:t xml:space="preserve"> </w:t>
      </w:r>
      <w:r>
        <w:rPr>
          <w:color w:val="000000"/>
          <w:sz w:val="20"/>
          <w:szCs w:val="20"/>
        </w:rPr>
        <w:t>(</w:t>
      </w:r>
      <w:r>
        <w:rPr>
          <w:i/>
          <w:color w:val="000000"/>
          <w:sz w:val="20"/>
          <w:szCs w:val="20"/>
        </w:rPr>
        <w:t>Cacopsylla pyricola</w:t>
      </w:r>
      <w:r>
        <w:rPr>
          <w:color w:val="000000"/>
          <w:sz w:val="20"/>
          <w:szCs w:val="20"/>
        </w:rPr>
        <w:t>)</w:t>
      </w:r>
      <w:r>
        <w:rPr>
          <w:color w:val="000000"/>
          <w:spacing w:val="11"/>
          <w:sz w:val="20"/>
          <w:szCs w:val="20"/>
        </w:rPr>
        <w:t xml:space="preserve"> </w:t>
      </w:r>
      <w:r>
        <w:rPr>
          <w:color w:val="000000"/>
          <w:sz w:val="20"/>
          <w:szCs w:val="20"/>
        </w:rPr>
        <w:t>and abiotic factors in</w:t>
      </w:r>
      <w:r>
        <w:rPr>
          <w:color w:val="000000"/>
          <w:spacing w:val="-1"/>
          <w:sz w:val="20"/>
          <w:szCs w:val="20"/>
        </w:rPr>
        <w:t xml:space="preserve"> </w:t>
      </w:r>
      <w:r>
        <w:rPr>
          <w:color w:val="000000"/>
          <w:sz w:val="20"/>
          <w:szCs w:val="20"/>
        </w:rPr>
        <w:t>district     Srinagar</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511"/>
        <w:gridCol w:w="1507"/>
        <w:gridCol w:w="1505"/>
        <w:gridCol w:w="1496"/>
      </w:tblGrid>
      <w:tr w14:paraId="3625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7" w:type="dxa"/>
            <w:gridSpan w:val="5"/>
            <w:shd w:val="clear" w:color="auto" w:fill="auto"/>
            <w:vAlign w:val="center"/>
          </w:tcPr>
          <w:p w14:paraId="1D6DA30A">
            <w:pPr>
              <w:pStyle w:val="45"/>
              <w:jc w:val="center"/>
              <w:rPr>
                <w:rFonts w:ascii="Times New Roman" w:hAnsi="Times New Roman" w:cs="Times New Roman"/>
                <w:b/>
                <w:bCs/>
                <w:sz w:val="20"/>
                <w:szCs w:val="20"/>
              </w:rPr>
            </w:pPr>
            <w:r>
              <w:rPr>
                <w:rFonts w:ascii="Times New Roman" w:hAnsi="Times New Roman" w:cs="Times New Roman"/>
                <w:b/>
                <w:bCs/>
                <w:sz w:val="20"/>
                <w:szCs w:val="20"/>
              </w:rPr>
              <w:t>Correlation Coefficient (r)</w:t>
            </w:r>
          </w:p>
          <w:p w14:paraId="12147700">
            <w:pPr>
              <w:pStyle w:val="45"/>
              <w:jc w:val="center"/>
              <w:rPr>
                <w:rFonts w:ascii="Times New Roman" w:hAnsi="Times New Roman" w:cs="Times New Roman"/>
                <w:b/>
                <w:bCs/>
                <w:sz w:val="20"/>
                <w:szCs w:val="20"/>
              </w:rPr>
            </w:pPr>
          </w:p>
        </w:tc>
      </w:tr>
      <w:tr w14:paraId="2885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08" w:type="dxa"/>
            <w:vMerge w:val="restart"/>
            <w:shd w:val="clear" w:color="auto" w:fill="auto"/>
            <w:vAlign w:val="center"/>
          </w:tcPr>
          <w:p w14:paraId="6865AE0D">
            <w:pPr>
              <w:pStyle w:val="45"/>
              <w:jc w:val="center"/>
              <w:rPr>
                <w:rFonts w:ascii="Times New Roman" w:hAnsi="Times New Roman" w:cs="Times New Roman"/>
                <w:b/>
                <w:bCs/>
                <w:sz w:val="20"/>
                <w:szCs w:val="20"/>
              </w:rPr>
            </w:pPr>
            <w:r>
              <w:rPr>
                <w:rFonts w:ascii="Times New Roman" w:hAnsi="Times New Roman" w:cs="Times New Roman"/>
                <w:b/>
                <w:bCs/>
                <w:sz w:val="20"/>
                <w:szCs w:val="20"/>
              </w:rPr>
              <w:t>Parameters</w:t>
            </w:r>
          </w:p>
        </w:tc>
        <w:tc>
          <w:tcPr>
            <w:tcW w:w="1511" w:type="dxa"/>
            <w:shd w:val="clear" w:color="auto" w:fill="auto"/>
            <w:vAlign w:val="center"/>
          </w:tcPr>
          <w:p w14:paraId="1FD31106">
            <w:pPr>
              <w:pStyle w:val="45"/>
              <w:jc w:val="center"/>
              <w:rPr>
                <w:rFonts w:ascii="Times New Roman" w:hAnsi="Times New Roman" w:cs="Times New Roman"/>
                <w:b/>
                <w:sz w:val="20"/>
                <w:szCs w:val="20"/>
              </w:rPr>
            </w:pPr>
            <w:r>
              <w:rPr>
                <w:rFonts w:ascii="Times New Roman" w:hAnsi="Times New Roman" w:cs="Times New Roman"/>
                <w:b/>
                <w:sz w:val="20"/>
                <w:szCs w:val="20"/>
              </w:rPr>
              <w:t>Harwan</w:t>
            </w:r>
          </w:p>
        </w:tc>
        <w:tc>
          <w:tcPr>
            <w:tcW w:w="1507" w:type="dxa"/>
            <w:shd w:val="clear" w:color="auto" w:fill="auto"/>
            <w:vAlign w:val="center"/>
          </w:tcPr>
          <w:p w14:paraId="7F40E705">
            <w:pPr>
              <w:pStyle w:val="45"/>
              <w:jc w:val="center"/>
              <w:rPr>
                <w:rFonts w:ascii="Times New Roman" w:hAnsi="Times New Roman" w:cs="Times New Roman"/>
                <w:b/>
                <w:sz w:val="20"/>
                <w:szCs w:val="20"/>
              </w:rPr>
            </w:pPr>
          </w:p>
        </w:tc>
        <w:tc>
          <w:tcPr>
            <w:tcW w:w="3001" w:type="dxa"/>
            <w:gridSpan w:val="2"/>
            <w:shd w:val="clear" w:color="auto" w:fill="auto"/>
            <w:vAlign w:val="center"/>
          </w:tcPr>
          <w:p w14:paraId="77EBB4D5">
            <w:pPr>
              <w:pStyle w:val="45"/>
              <w:jc w:val="center"/>
              <w:rPr>
                <w:rFonts w:ascii="Times New Roman" w:hAnsi="Times New Roman" w:cs="Times New Roman"/>
                <w:b/>
                <w:sz w:val="20"/>
                <w:szCs w:val="20"/>
              </w:rPr>
            </w:pPr>
            <w:r>
              <w:rPr>
                <w:rFonts w:ascii="Times New Roman" w:hAnsi="Times New Roman" w:cs="Times New Roman"/>
                <w:b/>
                <w:sz w:val="20"/>
                <w:szCs w:val="20"/>
              </w:rPr>
              <w:t>Shalimar</w:t>
            </w:r>
          </w:p>
        </w:tc>
      </w:tr>
      <w:tr w14:paraId="6120F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08" w:type="dxa"/>
            <w:vMerge w:val="continue"/>
            <w:shd w:val="clear" w:color="auto" w:fill="auto"/>
            <w:vAlign w:val="center"/>
          </w:tcPr>
          <w:p w14:paraId="1AE9744C">
            <w:pPr>
              <w:pStyle w:val="45"/>
              <w:jc w:val="center"/>
              <w:rPr>
                <w:rFonts w:ascii="Times New Roman" w:hAnsi="Times New Roman" w:cs="Times New Roman"/>
                <w:b/>
                <w:bCs/>
                <w:sz w:val="20"/>
                <w:szCs w:val="20"/>
              </w:rPr>
            </w:pPr>
          </w:p>
        </w:tc>
        <w:tc>
          <w:tcPr>
            <w:tcW w:w="1511" w:type="dxa"/>
            <w:shd w:val="clear" w:color="auto" w:fill="auto"/>
            <w:vAlign w:val="center"/>
          </w:tcPr>
          <w:p w14:paraId="091F38EA">
            <w:pPr>
              <w:pStyle w:val="45"/>
              <w:jc w:val="center"/>
              <w:rPr>
                <w:rFonts w:ascii="Times New Roman" w:hAnsi="Times New Roman" w:cs="Times New Roman"/>
                <w:b/>
                <w:sz w:val="20"/>
                <w:szCs w:val="20"/>
              </w:rPr>
            </w:pPr>
            <w:r>
              <w:rPr>
                <w:rFonts w:ascii="Times New Roman" w:hAnsi="Times New Roman" w:cs="Times New Roman"/>
                <w:b/>
                <w:spacing w:val="-2"/>
                <w:sz w:val="20"/>
                <w:szCs w:val="20"/>
              </w:rPr>
              <w:t>Nymph</w:t>
            </w:r>
          </w:p>
        </w:tc>
        <w:tc>
          <w:tcPr>
            <w:tcW w:w="1507" w:type="dxa"/>
            <w:shd w:val="clear" w:color="auto" w:fill="auto"/>
            <w:vAlign w:val="center"/>
          </w:tcPr>
          <w:p w14:paraId="0DD7306B">
            <w:pPr>
              <w:pStyle w:val="45"/>
              <w:jc w:val="center"/>
              <w:rPr>
                <w:rFonts w:ascii="Times New Roman" w:hAnsi="Times New Roman" w:cs="Times New Roman"/>
                <w:b/>
                <w:sz w:val="20"/>
                <w:szCs w:val="20"/>
              </w:rPr>
            </w:pPr>
            <w:r>
              <w:rPr>
                <w:rFonts w:ascii="Times New Roman" w:hAnsi="Times New Roman" w:cs="Times New Roman"/>
                <w:b/>
                <w:spacing w:val="-2"/>
                <w:sz w:val="20"/>
                <w:szCs w:val="20"/>
              </w:rPr>
              <w:t>Adult</w:t>
            </w:r>
          </w:p>
        </w:tc>
        <w:tc>
          <w:tcPr>
            <w:tcW w:w="1505" w:type="dxa"/>
            <w:shd w:val="clear" w:color="auto" w:fill="auto"/>
            <w:vAlign w:val="center"/>
          </w:tcPr>
          <w:p w14:paraId="13693052">
            <w:pPr>
              <w:pStyle w:val="45"/>
              <w:jc w:val="center"/>
              <w:rPr>
                <w:rFonts w:ascii="Times New Roman" w:hAnsi="Times New Roman" w:cs="Times New Roman"/>
                <w:b/>
                <w:spacing w:val="-2"/>
                <w:sz w:val="20"/>
                <w:szCs w:val="20"/>
              </w:rPr>
            </w:pPr>
            <w:r>
              <w:rPr>
                <w:rFonts w:ascii="Times New Roman" w:hAnsi="Times New Roman" w:cs="Times New Roman"/>
                <w:b/>
                <w:spacing w:val="-2"/>
                <w:sz w:val="20"/>
                <w:szCs w:val="20"/>
              </w:rPr>
              <w:t>Nymph</w:t>
            </w:r>
          </w:p>
        </w:tc>
        <w:tc>
          <w:tcPr>
            <w:tcW w:w="1496" w:type="dxa"/>
            <w:shd w:val="clear" w:color="auto" w:fill="auto"/>
            <w:vAlign w:val="center"/>
          </w:tcPr>
          <w:p w14:paraId="456F7D26">
            <w:pPr>
              <w:pStyle w:val="45"/>
              <w:jc w:val="center"/>
              <w:rPr>
                <w:rFonts w:ascii="Times New Roman" w:hAnsi="Times New Roman" w:cs="Times New Roman"/>
                <w:b/>
                <w:spacing w:val="-2"/>
                <w:sz w:val="20"/>
                <w:szCs w:val="20"/>
              </w:rPr>
            </w:pPr>
            <w:r>
              <w:rPr>
                <w:rFonts w:ascii="Times New Roman" w:hAnsi="Times New Roman" w:cs="Times New Roman"/>
                <w:b/>
                <w:spacing w:val="-2"/>
                <w:sz w:val="20"/>
                <w:szCs w:val="20"/>
              </w:rPr>
              <w:t>Adult</w:t>
            </w:r>
          </w:p>
        </w:tc>
      </w:tr>
      <w:tr w14:paraId="1DC7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08" w:type="dxa"/>
            <w:shd w:val="clear" w:color="auto" w:fill="auto"/>
            <w:vAlign w:val="center"/>
          </w:tcPr>
          <w:p w14:paraId="4A083C16">
            <w:pPr>
              <w:pStyle w:val="45"/>
              <w:jc w:val="both"/>
              <w:rPr>
                <w:rFonts w:ascii="Times New Roman" w:hAnsi="Times New Roman" w:cs="Times New Roman"/>
                <w:b/>
                <w:bCs/>
                <w:sz w:val="20"/>
                <w:szCs w:val="20"/>
              </w:rPr>
            </w:pPr>
            <w:r>
              <w:rPr>
                <w:rFonts w:ascii="Times New Roman" w:hAnsi="Times New Roman" w:cs="Times New Roman"/>
                <w:b/>
                <w:bCs/>
                <w:sz w:val="20"/>
                <w:szCs w:val="20"/>
              </w:rPr>
              <w:t>Max.</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Temp.</w:t>
            </w:r>
            <w:r>
              <w:rPr>
                <w:rFonts w:ascii="Times New Roman" w:hAnsi="Times New Roman" w:cs="Times New Roman"/>
                <w:b/>
                <w:bCs/>
                <w:spacing w:val="-5"/>
                <w:sz w:val="20"/>
                <w:szCs w:val="20"/>
              </w:rPr>
              <w:t xml:space="preserve"> </w:t>
            </w:r>
            <w:r>
              <w:rPr>
                <w:rFonts w:ascii="Times New Roman" w:hAnsi="Times New Roman" w:cs="Times New Roman"/>
                <w:b/>
                <w:bCs/>
                <w:spacing w:val="-4"/>
                <w:sz w:val="20"/>
                <w:szCs w:val="20"/>
              </w:rPr>
              <w:t>(</w:t>
            </w:r>
            <w:r>
              <w:rPr>
                <w:rFonts w:ascii="Times New Roman" w:hAnsi="Times New Roman" w:cs="Times New Roman"/>
                <w:b/>
                <w:bCs/>
                <w:spacing w:val="-4"/>
                <w:sz w:val="20"/>
                <w:szCs w:val="20"/>
                <w:vertAlign w:val="superscript"/>
              </w:rPr>
              <w:t>o</w:t>
            </w:r>
            <w:r>
              <w:rPr>
                <w:rFonts w:ascii="Times New Roman" w:hAnsi="Times New Roman" w:cs="Times New Roman"/>
                <w:b/>
                <w:bCs/>
                <w:spacing w:val="-4"/>
                <w:sz w:val="20"/>
                <w:szCs w:val="20"/>
              </w:rPr>
              <w:t>C)</w:t>
            </w:r>
          </w:p>
        </w:tc>
        <w:tc>
          <w:tcPr>
            <w:tcW w:w="1511" w:type="dxa"/>
            <w:shd w:val="clear" w:color="auto" w:fill="auto"/>
            <w:vAlign w:val="center"/>
          </w:tcPr>
          <w:p w14:paraId="38F5E8EA">
            <w:pPr>
              <w:pStyle w:val="45"/>
              <w:jc w:val="center"/>
              <w:rPr>
                <w:rFonts w:ascii="Times New Roman" w:hAnsi="Times New Roman" w:cs="Times New Roman"/>
                <w:sz w:val="20"/>
                <w:szCs w:val="20"/>
              </w:rPr>
            </w:pPr>
            <w:r>
              <w:rPr>
                <w:rFonts w:ascii="Times New Roman" w:hAnsi="Times New Roman" w:cs="Times New Roman"/>
                <w:sz w:val="20"/>
                <w:szCs w:val="20"/>
              </w:rPr>
              <w:t>0.58*</w:t>
            </w:r>
          </w:p>
        </w:tc>
        <w:tc>
          <w:tcPr>
            <w:tcW w:w="1507" w:type="dxa"/>
            <w:shd w:val="clear" w:color="auto" w:fill="auto"/>
            <w:vAlign w:val="center"/>
          </w:tcPr>
          <w:p w14:paraId="4CF53971">
            <w:pPr>
              <w:pStyle w:val="45"/>
              <w:jc w:val="center"/>
              <w:rPr>
                <w:rFonts w:ascii="Times New Roman" w:hAnsi="Times New Roman" w:cs="Times New Roman"/>
                <w:sz w:val="20"/>
                <w:szCs w:val="20"/>
              </w:rPr>
            </w:pPr>
            <w:r>
              <w:rPr>
                <w:rFonts w:ascii="Times New Roman" w:hAnsi="Times New Roman" w:cs="Times New Roman"/>
                <w:sz w:val="20"/>
                <w:szCs w:val="20"/>
              </w:rPr>
              <w:t>0.51*</w:t>
            </w:r>
          </w:p>
        </w:tc>
        <w:tc>
          <w:tcPr>
            <w:tcW w:w="1505" w:type="dxa"/>
            <w:shd w:val="clear" w:color="auto" w:fill="auto"/>
            <w:vAlign w:val="center"/>
          </w:tcPr>
          <w:p w14:paraId="76A9751F">
            <w:pPr>
              <w:pStyle w:val="45"/>
              <w:jc w:val="center"/>
              <w:rPr>
                <w:rFonts w:ascii="Times New Roman" w:hAnsi="Times New Roman" w:cs="Times New Roman"/>
                <w:spacing w:val="-4"/>
                <w:sz w:val="20"/>
                <w:szCs w:val="20"/>
              </w:rPr>
            </w:pPr>
            <w:r>
              <w:rPr>
                <w:rFonts w:ascii="Times New Roman" w:hAnsi="Times New Roman" w:cs="Times New Roman"/>
                <w:spacing w:val="-4"/>
                <w:sz w:val="20"/>
                <w:szCs w:val="20"/>
              </w:rPr>
              <w:t>0.51*</w:t>
            </w:r>
          </w:p>
        </w:tc>
        <w:tc>
          <w:tcPr>
            <w:tcW w:w="1496" w:type="dxa"/>
            <w:shd w:val="clear" w:color="auto" w:fill="auto"/>
            <w:vAlign w:val="center"/>
          </w:tcPr>
          <w:p w14:paraId="5DFF14A1">
            <w:pPr>
              <w:pStyle w:val="45"/>
              <w:jc w:val="center"/>
              <w:rPr>
                <w:rFonts w:ascii="Times New Roman" w:hAnsi="Times New Roman" w:cs="Times New Roman"/>
                <w:spacing w:val="-4"/>
                <w:sz w:val="20"/>
                <w:szCs w:val="20"/>
              </w:rPr>
            </w:pPr>
            <w:r>
              <w:rPr>
                <w:rFonts w:ascii="Times New Roman" w:hAnsi="Times New Roman" w:cs="Times New Roman"/>
                <w:spacing w:val="-4"/>
                <w:sz w:val="20"/>
                <w:szCs w:val="20"/>
              </w:rPr>
              <w:t>0.33</w:t>
            </w:r>
          </w:p>
        </w:tc>
      </w:tr>
      <w:tr w14:paraId="0830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908" w:type="dxa"/>
            <w:shd w:val="clear" w:color="auto" w:fill="auto"/>
            <w:vAlign w:val="center"/>
          </w:tcPr>
          <w:p w14:paraId="02E50934">
            <w:pPr>
              <w:pStyle w:val="45"/>
              <w:jc w:val="both"/>
              <w:rPr>
                <w:rFonts w:ascii="Times New Roman" w:hAnsi="Times New Roman" w:cs="Times New Roman"/>
                <w:b/>
                <w:bCs/>
                <w:sz w:val="20"/>
                <w:szCs w:val="20"/>
              </w:rPr>
            </w:pPr>
            <w:r>
              <w:rPr>
                <w:rFonts w:ascii="Times New Roman" w:hAnsi="Times New Roman" w:cs="Times New Roman"/>
                <w:b/>
                <w:bCs/>
                <w:sz w:val="20"/>
                <w:szCs w:val="20"/>
              </w:rPr>
              <w:t>Min.</w:t>
            </w:r>
            <w:r>
              <w:rPr>
                <w:rFonts w:ascii="Times New Roman" w:hAnsi="Times New Roman" w:cs="Times New Roman"/>
                <w:b/>
                <w:bCs/>
                <w:spacing w:val="-5"/>
                <w:sz w:val="20"/>
                <w:szCs w:val="20"/>
              </w:rPr>
              <w:t xml:space="preserve"> </w:t>
            </w:r>
            <w:r>
              <w:rPr>
                <w:rFonts w:ascii="Times New Roman" w:hAnsi="Times New Roman" w:cs="Times New Roman"/>
                <w:b/>
                <w:bCs/>
                <w:sz w:val="20"/>
                <w:szCs w:val="20"/>
              </w:rPr>
              <w:t>Temp.</w:t>
            </w:r>
            <w:r>
              <w:rPr>
                <w:rFonts w:ascii="Times New Roman" w:hAnsi="Times New Roman" w:cs="Times New Roman"/>
                <w:b/>
                <w:bCs/>
                <w:spacing w:val="-5"/>
                <w:sz w:val="20"/>
                <w:szCs w:val="20"/>
              </w:rPr>
              <w:t xml:space="preserve"> </w:t>
            </w:r>
            <w:r>
              <w:rPr>
                <w:rFonts w:ascii="Times New Roman" w:hAnsi="Times New Roman" w:cs="Times New Roman"/>
                <w:b/>
                <w:bCs/>
                <w:spacing w:val="-4"/>
                <w:sz w:val="20"/>
                <w:szCs w:val="20"/>
              </w:rPr>
              <w:t>(</w:t>
            </w:r>
            <w:r>
              <w:rPr>
                <w:rFonts w:ascii="Times New Roman" w:hAnsi="Times New Roman" w:cs="Times New Roman"/>
                <w:b/>
                <w:bCs/>
                <w:spacing w:val="-4"/>
                <w:sz w:val="20"/>
                <w:szCs w:val="20"/>
                <w:vertAlign w:val="superscript"/>
              </w:rPr>
              <w:t>o</w:t>
            </w:r>
            <w:r>
              <w:rPr>
                <w:rFonts w:ascii="Times New Roman" w:hAnsi="Times New Roman" w:cs="Times New Roman"/>
                <w:b/>
                <w:bCs/>
                <w:spacing w:val="-4"/>
                <w:sz w:val="20"/>
                <w:szCs w:val="20"/>
              </w:rPr>
              <w:t>C)</w:t>
            </w:r>
          </w:p>
        </w:tc>
        <w:tc>
          <w:tcPr>
            <w:tcW w:w="1511" w:type="dxa"/>
            <w:shd w:val="clear" w:color="auto" w:fill="auto"/>
            <w:vAlign w:val="center"/>
          </w:tcPr>
          <w:p w14:paraId="279ECD8F">
            <w:pPr>
              <w:pStyle w:val="45"/>
              <w:jc w:val="center"/>
              <w:rPr>
                <w:rFonts w:ascii="Times New Roman" w:hAnsi="Times New Roman" w:cs="Times New Roman"/>
                <w:sz w:val="20"/>
                <w:szCs w:val="20"/>
              </w:rPr>
            </w:pPr>
            <w:r>
              <w:rPr>
                <w:rFonts w:ascii="Times New Roman" w:hAnsi="Times New Roman" w:cs="Times New Roman"/>
                <w:sz w:val="20"/>
                <w:szCs w:val="20"/>
              </w:rPr>
              <w:t>0.58*</w:t>
            </w:r>
          </w:p>
        </w:tc>
        <w:tc>
          <w:tcPr>
            <w:tcW w:w="1507" w:type="dxa"/>
            <w:shd w:val="clear" w:color="auto" w:fill="auto"/>
            <w:vAlign w:val="center"/>
          </w:tcPr>
          <w:p w14:paraId="1240AD3D">
            <w:pPr>
              <w:pStyle w:val="45"/>
              <w:jc w:val="center"/>
              <w:rPr>
                <w:rFonts w:ascii="Times New Roman" w:hAnsi="Times New Roman" w:cs="Times New Roman"/>
                <w:sz w:val="20"/>
                <w:szCs w:val="20"/>
              </w:rPr>
            </w:pPr>
            <w:r>
              <w:rPr>
                <w:rFonts w:ascii="Times New Roman" w:hAnsi="Times New Roman" w:cs="Times New Roman"/>
                <w:sz w:val="20"/>
                <w:szCs w:val="20"/>
              </w:rPr>
              <w:t>0.42</w:t>
            </w:r>
          </w:p>
        </w:tc>
        <w:tc>
          <w:tcPr>
            <w:tcW w:w="1505" w:type="dxa"/>
            <w:shd w:val="clear" w:color="auto" w:fill="auto"/>
            <w:vAlign w:val="center"/>
          </w:tcPr>
          <w:p w14:paraId="5642AFD0">
            <w:pPr>
              <w:pStyle w:val="45"/>
              <w:jc w:val="center"/>
              <w:rPr>
                <w:rFonts w:ascii="Times New Roman" w:hAnsi="Times New Roman" w:cs="Times New Roman"/>
                <w:spacing w:val="-4"/>
                <w:sz w:val="20"/>
                <w:szCs w:val="20"/>
              </w:rPr>
            </w:pPr>
            <w:r>
              <w:rPr>
                <w:rFonts w:ascii="Times New Roman" w:hAnsi="Times New Roman" w:cs="Times New Roman"/>
                <w:spacing w:val="-4"/>
                <w:sz w:val="20"/>
                <w:szCs w:val="20"/>
              </w:rPr>
              <w:t>0.51*</w:t>
            </w:r>
          </w:p>
        </w:tc>
        <w:tc>
          <w:tcPr>
            <w:tcW w:w="1496" w:type="dxa"/>
            <w:shd w:val="clear" w:color="auto" w:fill="auto"/>
            <w:vAlign w:val="center"/>
          </w:tcPr>
          <w:p w14:paraId="575F904F">
            <w:pPr>
              <w:pStyle w:val="45"/>
              <w:jc w:val="center"/>
              <w:rPr>
                <w:rFonts w:ascii="Times New Roman" w:hAnsi="Times New Roman" w:cs="Times New Roman"/>
                <w:spacing w:val="-4"/>
                <w:sz w:val="20"/>
                <w:szCs w:val="20"/>
              </w:rPr>
            </w:pPr>
            <w:r>
              <w:rPr>
                <w:rFonts w:ascii="Times New Roman" w:hAnsi="Times New Roman" w:cs="Times New Roman"/>
                <w:spacing w:val="-4"/>
                <w:sz w:val="20"/>
                <w:szCs w:val="20"/>
              </w:rPr>
              <w:t>0.26</w:t>
            </w:r>
          </w:p>
        </w:tc>
      </w:tr>
      <w:tr w14:paraId="0CB2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08" w:type="dxa"/>
            <w:shd w:val="clear" w:color="auto" w:fill="auto"/>
            <w:vAlign w:val="center"/>
          </w:tcPr>
          <w:p w14:paraId="358B948E">
            <w:pPr>
              <w:pStyle w:val="45"/>
              <w:jc w:val="both"/>
              <w:rPr>
                <w:rFonts w:ascii="Times New Roman" w:hAnsi="Times New Roman" w:cs="Times New Roman"/>
                <w:b/>
                <w:bCs/>
                <w:sz w:val="20"/>
                <w:szCs w:val="20"/>
              </w:rPr>
            </w:pPr>
            <w:r>
              <w:rPr>
                <w:rFonts w:ascii="Times New Roman" w:hAnsi="Times New Roman" w:cs="Times New Roman"/>
                <w:b/>
                <w:bCs/>
                <w:sz w:val="20"/>
                <w:szCs w:val="20"/>
              </w:rPr>
              <w:t>Rainfall</w:t>
            </w:r>
            <w:r>
              <w:rPr>
                <w:rFonts w:ascii="Times New Roman" w:hAnsi="Times New Roman" w:cs="Times New Roman"/>
                <w:b/>
                <w:bCs/>
                <w:spacing w:val="-11"/>
                <w:sz w:val="20"/>
                <w:szCs w:val="20"/>
              </w:rPr>
              <w:t xml:space="preserve"> </w:t>
            </w:r>
            <w:r>
              <w:rPr>
                <w:rFonts w:ascii="Times New Roman" w:hAnsi="Times New Roman" w:cs="Times New Roman"/>
                <w:b/>
                <w:bCs/>
                <w:spacing w:val="-4"/>
                <w:sz w:val="20"/>
                <w:szCs w:val="20"/>
              </w:rPr>
              <w:t>(mm)</w:t>
            </w:r>
          </w:p>
        </w:tc>
        <w:tc>
          <w:tcPr>
            <w:tcW w:w="1511" w:type="dxa"/>
            <w:shd w:val="clear" w:color="auto" w:fill="auto"/>
            <w:vAlign w:val="center"/>
          </w:tcPr>
          <w:p w14:paraId="46CED7B7">
            <w:pPr>
              <w:pStyle w:val="45"/>
              <w:jc w:val="center"/>
              <w:rPr>
                <w:rFonts w:ascii="Times New Roman" w:hAnsi="Times New Roman" w:cs="Times New Roman"/>
                <w:sz w:val="20"/>
                <w:szCs w:val="20"/>
              </w:rPr>
            </w:pPr>
            <w:r>
              <w:rPr>
                <w:rFonts w:ascii="Times New Roman" w:hAnsi="Times New Roman" w:cs="Times New Roman"/>
                <w:sz w:val="20"/>
                <w:szCs w:val="20"/>
              </w:rPr>
              <w:t>0.26</w:t>
            </w:r>
          </w:p>
        </w:tc>
        <w:tc>
          <w:tcPr>
            <w:tcW w:w="1507" w:type="dxa"/>
            <w:shd w:val="clear" w:color="auto" w:fill="auto"/>
            <w:vAlign w:val="center"/>
          </w:tcPr>
          <w:p w14:paraId="08364FF1">
            <w:pPr>
              <w:pStyle w:val="45"/>
              <w:jc w:val="center"/>
              <w:rPr>
                <w:rFonts w:ascii="Times New Roman" w:hAnsi="Times New Roman" w:cs="Times New Roman"/>
                <w:sz w:val="20"/>
                <w:szCs w:val="20"/>
              </w:rPr>
            </w:pPr>
            <w:r>
              <w:rPr>
                <w:rFonts w:ascii="Times New Roman" w:hAnsi="Times New Roman" w:cs="Times New Roman"/>
                <w:sz w:val="20"/>
                <w:szCs w:val="20"/>
              </w:rPr>
              <w:t>0.10</w:t>
            </w:r>
          </w:p>
        </w:tc>
        <w:tc>
          <w:tcPr>
            <w:tcW w:w="1505" w:type="dxa"/>
            <w:shd w:val="clear" w:color="auto" w:fill="auto"/>
            <w:vAlign w:val="center"/>
          </w:tcPr>
          <w:p w14:paraId="26A57677">
            <w:pPr>
              <w:pStyle w:val="45"/>
              <w:jc w:val="center"/>
              <w:rPr>
                <w:rFonts w:ascii="Times New Roman" w:hAnsi="Times New Roman" w:cs="Times New Roman"/>
                <w:spacing w:val="-4"/>
                <w:sz w:val="20"/>
                <w:szCs w:val="20"/>
              </w:rPr>
            </w:pPr>
            <w:r>
              <w:rPr>
                <w:rFonts w:ascii="Times New Roman" w:hAnsi="Times New Roman" w:cs="Times New Roman"/>
                <w:spacing w:val="-4"/>
                <w:sz w:val="20"/>
                <w:szCs w:val="20"/>
              </w:rPr>
              <w:t>0.31</w:t>
            </w:r>
          </w:p>
        </w:tc>
        <w:tc>
          <w:tcPr>
            <w:tcW w:w="1496" w:type="dxa"/>
            <w:shd w:val="clear" w:color="auto" w:fill="auto"/>
            <w:vAlign w:val="center"/>
          </w:tcPr>
          <w:p w14:paraId="34BE89A0">
            <w:pPr>
              <w:pStyle w:val="45"/>
              <w:jc w:val="center"/>
              <w:rPr>
                <w:rFonts w:ascii="Times New Roman" w:hAnsi="Times New Roman" w:cs="Times New Roman"/>
                <w:spacing w:val="-4"/>
                <w:sz w:val="20"/>
                <w:szCs w:val="20"/>
              </w:rPr>
            </w:pPr>
            <w:r>
              <w:rPr>
                <w:rFonts w:ascii="Times New Roman" w:hAnsi="Times New Roman" w:cs="Times New Roman"/>
                <w:spacing w:val="-4"/>
                <w:sz w:val="20"/>
                <w:szCs w:val="20"/>
              </w:rPr>
              <w:t>0.17</w:t>
            </w:r>
          </w:p>
        </w:tc>
      </w:tr>
      <w:tr w14:paraId="6949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08" w:type="dxa"/>
            <w:shd w:val="clear" w:color="auto" w:fill="auto"/>
            <w:vAlign w:val="center"/>
          </w:tcPr>
          <w:p w14:paraId="375E9309">
            <w:pPr>
              <w:pStyle w:val="45"/>
              <w:jc w:val="both"/>
              <w:rPr>
                <w:rFonts w:ascii="Times New Roman" w:hAnsi="Times New Roman" w:cs="Times New Roman"/>
                <w:b/>
                <w:bCs/>
                <w:sz w:val="20"/>
                <w:szCs w:val="20"/>
              </w:rPr>
            </w:pPr>
            <w:r>
              <w:rPr>
                <w:rFonts w:ascii="Times New Roman" w:hAnsi="Times New Roman" w:cs="Times New Roman"/>
                <w:b/>
                <w:bCs/>
                <w:sz w:val="20"/>
                <w:szCs w:val="20"/>
              </w:rPr>
              <w:t>Max. RH</w:t>
            </w:r>
          </w:p>
        </w:tc>
        <w:tc>
          <w:tcPr>
            <w:tcW w:w="1511" w:type="dxa"/>
            <w:shd w:val="clear" w:color="auto" w:fill="auto"/>
            <w:vAlign w:val="center"/>
          </w:tcPr>
          <w:p w14:paraId="423BA3A0">
            <w:pPr>
              <w:pStyle w:val="45"/>
              <w:jc w:val="center"/>
              <w:rPr>
                <w:rFonts w:ascii="Times New Roman" w:hAnsi="Times New Roman" w:cs="Times New Roman"/>
                <w:sz w:val="20"/>
                <w:szCs w:val="20"/>
              </w:rPr>
            </w:pPr>
            <w:r>
              <w:rPr>
                <w:rFonts w:ascii="Times New Roman" w:hAnsi="Times New Roman" w:cs="Times New Roman"/>
                <w:sz w:val="20"/>
                <w:szCs w:val="20"/>
              </w:rPr>
              <w:t>-0.64*</w:t>
            </w:r>
          </w:p>
        </w:tc>
        <w:tc>
          <w:tcPr>
            <w:tcW w:w="1507" w:type="dxa"/>
            <w:shd w:val="clear" w:color="auto" w:fill="auto"/>
            <w:vAlign w:val="center"/>
          </w:tcPr>
          <w:p w14:paraId="0501056C">
            <w:pPr>
              <w:pStyle w:val="45"/>
              <w:jc w:val="center"/>
              <w:rPr>
                <w:rFonts w:ascii="Times New Roman" w:hAnsi="Times New Roman" w:cs="Times New Roman"/>
                <w:sz w:val="20"/>
                <w:szCs w:val="20"/>
              </w:rPr>
            </w:pPr>
            <w:r>
              <w:rPr>
                <w:rFonts w:ascii="Times New Roman" w:hAnsi="Times New Roman" w:cs="Times New Roman"/>
                <w:sz w:val="20"/>
                <w:szCs w:val="20"/>
              </w:rPr>
              <w:t>-0.55*</w:t>
            </w:r>
          </w:p>
        </w:tc>
        <w:tc>
          <w:tcPr>
            <w:tcW w:w="1505" w:type="dxa"/>
            <w:shd w:val="clear" w:color="auto" w:fill="auto"/>
            <w:vAlign w:val="center"/>
          </w:tcPr>
          <w:p w14:paraId="1339C0FA">
            <w:pPr>
              <w:pStyle w:val="45"/>
              <w:jc w:val="center"/>
              <w:rPr>
                <w:rFonts w:ascii="Times New Roman" w:hAnsi="Times New Roman" w:cs="Times New Roman"/>
                <w:spacing w:val="-4"/>
                <w:sz w:val="20"/>
                <w:szCs w:val="20"/>
              </w:rPr>
            </w:pPr>
            <w:r>
              <w:rPr>
                <w:rFonts w:ascii="Times New Roman" w:hAnsi="Times New Roman" w:cs="Times New Roman"/>
                <w:spacing w:val="-4"/>
                <w:sz w:val="20"/>
                <w:szCs w:val="20"/>
              </w:rPr>
              <w:t>-0.72*</w:t>
            </w:r>
          </w:p>
        </w:tc>
        <w:tc>
          <w:tcPr>
            <w:tcW w:w="1496" w:type="dxa"/>
            <w:shd w:val="clear" w:color="auto" w:fill="auto"/>
            <w:vAlign w:val="center"/>
          </w:tcPr>
          <w:p w14:paraId="29ACE7E6">
            <w:pPr>
              <w:pStyle w:val="45"/>
              <w:jc w:val="center"/>
              <w:rPr>
                <w:rFonts w:ascii="Times New Roman" w:hAnsi="Times New Roman" w:cs="Times New Roman"/>
                <w:spacing w:val="-4"/>
                <w:sz w:val="20"/>
                <w:szCs w:val="20"/>
              </w:rPr>
            </w:pPr>
            <w:r>
              <w:rPr>
                <w:rFonts w:ascii="Times New Roman" w:hAnsi="Times New Roman" w:cs="Times New Roman"/>
                <w:spacing w:val="-4"/>
                <w:sz w:val="20"/>
                <w:szCs w:val="20"/>
              </w:rPr>
              <w:t>-0.62*</w:t>
            </w:r>
          </w:p>
        </w:tc>
      </w:tr>
      <w:tr w14:paraId="1331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908" w:type="dxa"/>
            <w:shd w:val="clear" w:color="auto" w:fill="auto"/>
            <w:vAlign w:val="center"/>
          </w:tcPr>
          <w:p w14:paraId="3979620C">
            <w:pPr>
              <w:pStyle w:val="45"/>
              <w:jc w:val="both"/>
              <w:rPr>
                <w:rFonts w:ascii="Times New Roman" w:hAnsi="Times New Roman" w:cs="Times New Roman"/>
                <w:b/>
                <w:bCs/>
                <w:sz w:val="20"/>
                <w:szCs w:val="20"/>
              </w:rPr>
            </w:pPr>
            <w:r>
              <w:rPr>
                <w:rFonts w:ascii="Times New Roman" w:hAnsi="Times New Roman" w:cs="Times New Roman"/>
                <w:b/>
                <w:bCs/>
                <w:sz w:val="20"/>
                <w:szCs w:val="20"/>
              </w:rPr>
              <w:t>Min. RH</w:t>
            </w:r>
          </w:p>
        </w:tc>
        <w:tc>
          <w:tcPr>
            <w:tcW w:w="1511" w:type="dxa"/>
            <w:shd w:val="clear" w:color="auto" w:fill="auto"/>
            <w:vAlign w:val="center"/>
          </w:tcPr>
          <w:p w14:paraId="00B3289A">
            <w:pPr>
              <w:pStyle w:val="45"/>
              <w:jc w:val="center"/>
              <w:rPr>
                <w:rFonts w:ascii="Times New Roman" w:hAnsi="Times New Roman" w:cs="Times New Roman"/>
                <w:sz w:val="20"/>
                <w:szCs w:val="20"/>
              </w:rPr>
            </w:pPr>
            <w:r>
              <w:rPr>
                <w:rFonts w:ascii="Times New Roman" w:hAnsi="Times New Roman" w:cs="Times New Roman"/>
                <w:sz w:val="20"/>
                <w:szCs w:val="20"/>
              </w:rPr>
              <w:t>-0.04</w:t>
            </w:r>
          </w:p>
        </w:tc>
        <w:tc>
          <w:tcPr>
            <w:tcW w:w="1507" w:type="dxa"/>
            <w:shd w:val="clear" w:color="auto" w:fill="auto"/>
            <w:vAlign w:val="center"/>
          </w:tcPr>
          <w:p w14:paraId="74293EEF">
            <w:pPr>
              <w:pStyle w:val="45"/>
              <w:jc w:val="center"/>
              <w:rPr>
                <w:rFonts w:ascii="Times New Roman" w:hAnsi="Times New Roman" w:cs="Times New Roman"/>
                <w:sz w:val="20"/>
                <w:szCs w:val="20"/>
              </w:rPr>
            </w:pPr>
            <w:r>
              <w:rPr>
                <w:rFonts w:ascii="Times New Roman" w:hAnsi="Times New Roman" w:cs="Times New Roman"/>
                <w:sz w:val="20"/>
                <w:szCs w:val="20"/>
              </w:rPr>
              <w:t>-0.04</w:t>
            </w:r>
          </w:p>
        </w:tc>
        <w:tc>
          <w:tcPr>
            <w:tcW w:w="1505" w:type="dxa"/>
            <w:shd w:val="clear" w:color="auto" w:fill="auto"/>
            <w:vAlign w:val="center"/>
          </w:tcPr>
          <w:p w14:paraId="6D60505B">
            <w:pPr>
              <w:pStyle w:val="45"/>
              <w:jc w:val="center"/>
              <w:rPr>
                <w:rFonts w:ascii="Times New Roman" w:hAnsi="Times New Roman" w:cs="Times New Roman"/>
                <w:spacing w:val="-4"/>
                <w:sz w:val="20"/>
                <w:szCs w:val="20"/>
              </w:rPr>
            </w:pPr>
            <w:r>
              <w:rPr>
                <w:rFonts w:ascii="Times New Roman" w:hAnsi="Times New Roman" w:cs="Times New Roman"/>
                <w:spacing w:val="-4"/>
                <w:sz w:val="20"/>
                <w:szCs w:val="20"/>
              </w:rPr>
              <w:t>-0.09</w:t>
            </w:r>
          </w:p>
        </w:tc>
        <w:tc>
          <w:tcPr>
            <w:tcW w:w="1496" w:type="dxa"/>
            <w:shd w:val="clear" w:color="auto" w:fill="auto"/>
            <w:vAlign w:val="center"/>
          </w:tcPr>
          <w:p w14:paraId="22F7B044">
            <w:pPr>
              <w:pStyle w:val="45"/>
              <w:jc w:val="center"/>
              <w:rPr>
                <w:rFonts w:ascii="Times New Roman" w:hAnsi="Times New Roman" w:cs="Times New Roman"/>
                <w:spacing w:val="-4"/>
                <w:sz w:val="20"/>
                <w:szCs w:val="20"/>
              </w:rPr>
            </w:pPr>
            <w:r>
              <w:rPr>
                <w:rFonts w:ascii="Times New Roman" w:hAnsi="Times New Roman" w:cs="Times New Roman"/>
                <w:spacing w:val="-4"/>
                <w:sz w:val="20"/>
                <w:szCs w:val="20"/>
              </w:rPr>
              <w:t>0.03</w:t>
            </w:r>
          </w:p>
        </w:tc>
      </w:tr>
    </w:tbl>
    <w:p w14:paraId="7CA817B8">
      <w:pPr>
        <w:spacing w:line="240" w:lineRule="auto"/>
        <w:rPr>
          <w:rFonts w:ascii="Times New Roman" w:hAnsi="Times New Roman" w:cs="Times New Roman"/>
          <w:b/>
          <w:bCs/>
          <w:sz w:val="16"/>
          <w:szCs w:val="16"/>
        </w:rPr>
      </w:pPr>
      <w:r>
        <w:rPr>
          <w:rFonts w:ascii="Times New Roman" w:hAnsi="Times New Roman" w:cs="Times New Roman"/>
          <w:b/>
          <w:bCs/>
          <w:sz w:val="16"/>
          <w:szCs w:val="16"/>
        </w:rPr>
        <w:t>*Population count was taken on a 1ft branch</w:t>
      </w:r>
    </w:p>
    <w:p w14:paraId="57A2F5B0">
      <w:pPr>
        <w:pStyle w:val="3"/>
        <w:tabs>
          <w:tab w:val="left" w:pos="709"/>
        </w:tabs>
        <w:spacing w:before="120" w:after="120"/>
        <w:ind w:left="1440" w:hanging="1440"/>
        <w:jc w:val="both"/>
        <w:rPr>
          <w:color w:val="000000"/>
          <w:sz w:val="20"/>
          <w:szCs w:val="20"/>
        </w:rPr>
      </w:pPr>
    </w:p>
    <w:p w14:paraId="21B846EB">
      <w:pPr>
        <w:pStyle w:val="3"/>
        <w:tabs>
          <w:tab w:val="left" w:pos="709"/>
        </w:tabs>
        <w:spacing w:before="120" w:after="120"/>
        <w:ind w:left="1440" w:hanging="1440"/>
        <w:jc w:val="both"/>
        <w:rPr>
          <w:color w:val="000000"/>
          <w:sz w:val="20"/>
          <w:szCs w:val="20"/>
        </w:rPr>
      </w:pPr>
    </w:p>
    <w:p w14:paraId="35856104">
      <w:pPr>
        <w:pStyle w:val="3"/>
        <w:tabs>
          <w:tab w:val="left" w:pos="709"/>
        </w:tabs>
        <w:spacing w:before="120" w:after="120"/>
        <w:ind w:left="1440" w:hanging="1440"/>
        <w:jc w:val="both"/>
        <w:rPr>
          <w:b w:val="0"/>
          <w:bCs w:val="0"/>
          <w:color w:val="000000"/>
          <w:sz w:val="20"/>
          <w:szCs w:val="20"/>
        </w:rPr>
      </w:pPr>
      <w:r>
        <w:rPr>
          <w:color w:val="000000"/>
          <w:sz w:val="20"/>
          <w:szCs w:val="20"/>
        </w:rPr>
        <w:t>Table</w:t>
      </w:r>
      <w:r>
        <w:rPr>
          <w:color w:val="000000"/>
          <w:spacing w:val="-3"/>
          <w:sz w:val="20"/>
          <w:szCs w:val="20"/>
        </w:rPr>
        <w:t xml:space="preserve"> </w:t>
      </w:r>
      <w:r>
        <w:rPr>
          <w:color w:val="000000"/>
          <w:sz w:val="20"/>
          <w:szCs w:val="20"/>
        </w:rPr>
        <w:t>6:</w:t>
      </w:r>
      <w:r>
        <w:rPr>
          <w:color w:val="000000"/>
          <w:sz w:val="20"/>
          <w:szCs w:val="20"/>
        </w:rPr>
        <w:tab/>
      </w:r>
      <w:r>
        <w:rPr>
          <w:color w:val="000000"/>
          <w:sz w:val="20"/>
          <w:szCs w:val="20"/>
        </w:rPr>
        <w:t>Regression</w:t>
      </w:r>
      <w:r>
        <w:rPr>
          <w:color w:val="000000"/>
          <w:spacing w:val="6"/>
          <w:sz w:val="20"/>
          <w:szCs w:val="20"/>
        </w:rPr>
        <w:t xml:space="preserve"> </w:t>
      </w:r>
      <w:r>
        <w:rPr>
          <w:color w:val="000000"/>
          <w:sz w:val="20"/>
          <w:szCs w:val="20"/>
        </w:rPr>
        <w:t>coefficients</w:t>
      </w:r>
      <w:r>
        <w:rPr>
          <w:color w:val="000000"/>
          <w:spacing w:val="5"/>
          <w:sz w:val="20"/>
          <w:szCs w:val="20"/>
        </w:rPr>
        <w:t xml:space="preserve"> </w:t>
      </w:r>
      <w:r>
        <w:rPr>
          <w:color w:val="000000"/>
          <w:sz w:val="20"/>
          <w:szCs w:val="20"/>
        </w:rPr>
        <w:t>between</w:t>
      </w:r>
      <w:r>
        <w:rPr>
          <w:color w:val="000000"/>
          <w:spacing w:val="6"/>
          <w:sz w:val="20"/>
          <w:szCs w:val="20"/>
        </w:rPr>
        <w:t xml:space="preserve"> </w:t>
      </w:r>
      <w:r>
        <w:rPr>
          <w:color w:val="000000"/>
          <w:sz w:val="20"/>
          <w:szCs w:val="20"/>
        </w:rPr>
        <w:t>the</w:t>
      </w:r>
      <w:r>
        <w:rPr>
          <w:color w:val="000000"/>
          <w:spacing w:val="4"/>
          <w:sz w:val="20"/>
          <w:szCs w:val="20"/>
        </w:rPr>
        <w:t xml:space="preserve"> </w:t>
      </w:r>
      <w:r>
        <w:rPr>
          <w:color w:val="000000"/>
          <w:sz w:val="20"/>
          <w:szCs w:val="20"/>
        </w:rPr>
        <w:t>abiotic</w:t>
      </w:r>
      <w:r>
        <w:rPr>
          <w:color w:val="000000"/>
          <w:spacing w:val="5"/>
          <w:sz w:val="20"/>
          <w:szCs w:val="20"/>
        </w:rPr>
        <w:t xml:space="preserve"> </w:t>
      </w:r>
      <w:r>
        <w:rPr>
          <w:color w:val="000000"/>
          <w:sz w:val="20"/>
          <w:szCs w:val="20"/>
        </w:rPr>
        <w:t>factors</w:t>
      </w:r>
      <w:r>
        <w:rPr>
          <w:color w:val="000000"/>
          <w:spacing w:val="5"/>
          <w:sz w:val="20"/>
          <w:szCs w:val="20"/>
        </w:rPr>
        <w:t xml:space="preserve"> </w:t>
      </w:r>
      <w:r>
        <w:rPr>
          <w:color w:val="000000"/>
          <w:sz w:val="20"/>
          <w:szCs w:val="20"/>
        </w:rPr>
        <w:t>and</w:t>
      </w:r>
      <w:r>
        <w:rPr>
          <w:color w:val="000000"/>
          <w:spacing w:val="6"/>
          <w:sz w:val="20"/>
          <w:szCs w:val="20"/>
        </w:rPr>
        <w:t xml:space="preserve"> </w:t>
      </w:r>
      <w:r>
        <w:rPr>
          <w:color w:val="000000"/>
          <w:sz w:val="20"/>
          <w:szCs w:val="20"/>
        </w:rPr>
        <w:t>Pear</w:t>
      </w:r>
      <w:r>
        <w:rPr>
          <w:color w:val="000000"/>
          <w:spacing w:val="4"/>
          <w:sz w:val="20"/>
          <w:szCs w:val="20"/>
        </w:rPr>
        <w:t xml:space="preserve"> </w:t>
      </w:r>
      <w:r>
        <w:rPr>
          <w:color w:val="000000"/>
          <w:sz w:val="20"/>
          <w:szCs w:val="20"/>
        </w:rPr>
        <w:t>Psylla</w:t>
      </w:r>
      <w:r>
        <w:rPr>
          <w:color w:val="000000"/>
          <w:spacing w:val="5"/>
          <w:sz w:val="20"/>
          <w:szCs w:val="20"/>
        </w:rPr>
        <w:t xml:space="preserve"> </w:t>
      </w:r>
      <w:r>
        <w:rPr>
          <w:color w:val="000000"/>
          <w:sz w:val="20"/>
          <w:szCs w:val="20"/>
        </w:rPr>
        <w:t>(</w:t>
      </w:r>
      <w:r>
        <w:rPr>
          <w:i/>
          <w:color w:val="000000"/>
          <w:sz w:val="20"/>
          <w:szCs w:val="20"/>
        </w:rPr>
        <w:t>Cacopsylla</w:t>
      </w:r>
      <w:r>
        <w:rPr>
          <w:i/>
          <w:color w:val="000000"/>
          <w:spacing w:val="5"/>
          <w:sz w:val="20"/>
          <w:szCs w:val="20"/>
        </w:rPr>
        <w:t xml:space="preserve"> </w:t>
      </w:r>
      <w:r>
        <w:rPr>
          <w:i/>
          <w:color w:val="000000"/>
          <w:sz w:val="20"/>
          <w:szCs w:val="20"/>
        </w:rPr>
        <w:t>pyricola</w:t>
      </w:r>
      <w:r>
        <w:rPr>
          <w:color w:val="000000"/>
          <w:sz w:val="20"/>
          <w:szCs w:val="20"/>
        </w:rPr>
        <w:t>)</w:t>
      </w:r>
      <w:r>
        <w:rPr>
          <w:color w:val="000000"/>
          <w:spacing w:val="-2"/>
          <w:sz w:val="20"/>
          <w:szCs w:val="20"/>
        </w:rPr>
        <w:t xml:space="preserve"> </w:t>
      </w:r>
      <w:r>
        <w:rPr>
          <w:color w:val="000000"/>
          <w:sz w:val="20"/>
          <w:szCs w:val="20"/>
        </w:rPr>
        <w:t>in district Srinagar</w:t>
      </w:r>
    </w:p>
    <w:tbl>
      <w:tblPr>
        <w:tblStyle w:val="5"/>
        <w:tblW w:w="8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099"/>
        <w:gridCol w:w="1376"/>
        <w:gridCol w:w="4426"/>
      </w:tblGrid>
      <w:tr w14:paraId="2B0C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817" w:type="dxa"/>
            <w:gridSpan w:val="3"/>
            <w:shd w:val="clear" w:color="auto" w:fill="auto"/>
            <w:vAlign w:val="center"/>
          </w:tcPr>
          <w:p w14:paraId="58E7A068">
            <w:pPr>
              <w:pStyle w:val="44"/>
              <w:tabs>
                <w:tab w:val="left" w:pos="709"/>
              </w:tabs>
              <w:spacing w:before="120" w:after="120"/>
              <w:jc w:val="center"/>
              <w:rPr>
                <w:b/>
                <w:color w:val="000000"/>
                <w:kern w:val="2"/>
                <w:sz w:val="20"/>
                <w:szCs w:val="20"/>
              </w:rPr>
            </w:pPr>
            <w:r>
              <w:rPr>
                <w:b/>
                <w:color w:val="000000"/>
                <w:kern w:val="2"/>
                <w:sz w:val="20"/>
                <w:szCs w:val="20"/>
              </w:rPr>
              <w:t>Coefficient of</w:t>
            </w:r>
            <w:r>
              <w:rPr>
                <w:b/>
                <w:color w:val="000000"/>
                <w:spacing w:val="1"/>
                <w:kern w:val="2"/>
                <w:sz w:val="20"/>
                <w:szCs w:val="20"/>
              </w:rPr>
              <w:t xml:space="preserve"> </w:t>
            </w:r>
            <w:r>
              <w:rPr>
                <w:b/>
                <w:color w:val="000000"/>
                <w:kern w:val="2"/>
                <w:sz w:val="20"/>
                <w:szCs w:val="20"/>
              </w:rPr>
              <w:t>determination</w:t>
            </w:r>
          </w:p>
          <w:p w14:paraId="49019A56">
            <w:pPr>
              <w:pStyle w:val="44"/>
              <w:tabs>
                <w:tab w:val="left" w:pos="709"/>
              </w:tabs>
              <w:spacing w:before="120" w:after="120"/>
              <w:jc w:val="center"/>
              <w:rPr>
                <w:b/>
                <w:color w:val="000000"/>
                <w:kern w:val="2"/>
                <w:sz w:val="20"/>
                <w:szCs w:val="20"/>
              </w:rPr>
            </w:pPr>
            <w:r>
              <w:rPr>
                <w:b/>
                <w:color w:val="000000"/>
                <w:kern w:val="2"/>
                <w:sz w:val="20"/>
                <w:szCs w:val="20"/>
              </w:rPr>
              <w:t>(R</w:t>
            </w:r>
            <w:r>
              <w:rPr>
                <w:b/>
                <w:color w:val="000000"/>
                <w:kern w:val="2"/>
                <w:sz w:val="20"/>
                <w:szCs w:val="20"/>
                <w:vertAlign w:val="superscript"/>
              </w:rPr>
              <w:t>2</w:t>
            </w:r>
            <w:r>
              <w:rPr>
                <w:b/>
                <w:color w:val="000000"/>
                <w:kern w:val="2"/>
                <w:sz w:val="20"/>
                <w:szCs w:val="20"/>
              </w:rPr>
              <w:t>)</w:t>
            </w:r>
          </w:p>
        </w:tc>
        <w:tc>
          <w:tcPr>
            <w:tcW w:w="4426" w:type="dxa"/>
            <w:shd w:val="clear" w:color="auto" w:fill="auto"/>
            <w:vAlign w:val="center"/>
          </w:tcPr>
          <w:p w14:paraId="5D8AA5F0">
            <w:pPr>
              <w:pStyle w:val="44"/>
              <w:tabs>
                <w:tab w:val="left" w:pos="709"/>
              </w:tabs>
              <w:spacing w:before="120" w:after="120"/>
              <w:jc w:val="center"/>
              <w:rPr>
                <w:b/>
                <w:color w:val="000000"/>
                <w:kern w:val="2"/>
                <w:sz w:val="20"/>
                <w:szCs w:val="20"/>
              </w:rPr>
            </w:pPr>
            <w:r>
              <w:rPr>
                <w:b/>
                <w:color w:val="000000"/>
                <w:kern w:val="2"/>
                <w:sz w:val="20"/>
                <w:szCs w:val="20"/>
              </w:rPr>
              <w:t>Prediction</w:t>
            </w:r>
            <w:r>
              <w:rPr>
                <w:b/>
                <w:color w:val="000000"/>
                <w:spacing w:val="-5"/>
                <w:kern w:val="2"/>
                <w:sz w:val="20"/>
                <w:szCs w:val="20"/>
              </w:rPr>
              <w:t xml:space="preserve"> </w:t>
            </w:r>
            <w:r>
              <w:rPr>
                <w:b/>
                <w:color w:val="000000"/>
                <w:kern w:val="2"/>
                <w:sz w:val="20"/>
                <w:szCs w:val="20"/>
              </w:rPr>
              <w:t>equation</w:t>
            </w:r>
          </w:p>
        </w:tc>
      </w:tr>
      <w:tr w14:paraId="06A49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42" w:type="dxa"/>
            <w:vMerge w:val="restart"/>
            <w:shd w:val="clear" w:color="auto" w:fill="auto"/>
            <w:vAlign w:val="center"/>
          </w:tcPr>
          <w:p w14:paraId="27170EB4">
            <w:pPr>
              <w:pStyle w:val="44"/>
              <w:tabs>
                <w:tab w:val="left" w:pos="709"/>
              </w:tabs>
              <w:spacing w:before="120" w:after="120"/>
              <w:jc w:val="center"/>
              <w:rPr>
                <w:b/>
                <w:color w:val="000000"/>
                <w:kern w:val="2"/>
                <w:sz w:val="20"/>
                <w:szCs w:val="20"/>
              </w:rPr>
            </w:pPr>
            <w:r>
              <w:rPr>
                <w:b/>
                <w:color w:val="000000"/>
                <w:kern w:val="2"/>
                <w:sz w:val="20"/>
                <w:szCs w:val="20"/>
              </w:rPr>
              <w:t>Harwan</w:t>
            </w:r>
          </w:p>
        </w:tc>
        <w:tc>
          <w:tcPr>
            <w:tcW w:w="1099" w:type="dxa"/>
            <w:shd w:val="clear" w:color="auto" w:fill="auto"/>
            <w:vAlign w:val="center"/>
          </w:tcPr>
          <w:p w14:paraId="3A9BD646">
            <w:pPr>
              <w:pStyle w:val="44"/>
              <w:tabs>
                <w:tab w:val="left" w:pos="709"/>
              </w:tabs>
              <w:spacing w:before="120" w:after="120"/>
              <w:jc w:val="center"/>
              <w:rPr>
                <w:color w:val="000000"/>
                <w:kern w:val="2"/>
                <w:sz w:val="20"/>
                <w:szCs w:val="20"/>
              </w:rPr>
            </w:pPr>
            <w:r>
              <w:rPr>
                <w:color w:val="000000"/>
                <w:kern w:val="2"/>
                <w:sz w:val="20"/>
                <w:szCs w:val="20"/>
              </w:rPr>
              <w:t>Nymph</w:t>
            </w:r>
          </w:p>
        </w:tc>
        <w:tc>
          <w:tcPr>
            <w:tcW w:w="1375" w:type="dxa"/>
            <w:shd w:val="clear" w:color="auto" w:fill="auto"/>
            <w:vAlign w:val="center"/>
          </w:tcPr>
          <w:p w14:paraId="07780ED4">
            <w:pPr>
              <w:pStyle w:val="44"/>
              <w:tabs>
                <w:tab w:val="left" w:pos="709"/>
              </w:tabs>
              <w:spacing w:before="120" w:after="120"/>
              <w:jc w:val="center"/>
              <w:rPr>
                <w:color w:val="000000"/>
                <w:kern w:val="2"/>
                <w:sz w:val="20"/>
                <w:szCs w:val="20"/>
              </w:rPr>
            </w:pPr>
            <w:r>
              <w:rPr>
                <w:color w:val="000000"/>
                <w:kern w:val="2"/>
                <w:sz w:val="20"/>
                <w:szCs w:val="20"/>
              </w:rPr>
              <w:t>0.94</w:t>
            </w:r>
          </w:p>
        </w:tc>
        <w:tc>
          <w:tcPr>
            <w:tcW w:w="4426" w:type="dxa"/>
            <w:shd w:val="clear" w:color="auto" w:fill="auto"/>
            <w:vAlign w:val="center"/>
          </w:tcPr>
          <w:p w14:paraId="23DD94DD">
            <w:pPr>
              <w:spacing w:line="240" w:lineRule="auto"/>
              <w:jc w:val="center"/>
              <w:rPr>
                <w:rFonts w:ascii="Times New Roman" w:hAnsi="Times New Roman" w:cs="Times New Roman"/>
                <w:color w:val="000000"/>
                <w:sz w:val="20"/>
                <w:szCs w:val="20"/>
              </w:rPr>
            </w:pPr>
            <w:r>
              <w:rPr>
                <w:rFonts w:ascii="Times New Roman" w:hAnsi="Times New Roman" w:cs="Times New Roman"/>
                <w:sz w:val="20"/>
                <w:szCs w:val="20"/>
              </w:rPr>
              <w:t>Y=110.08-0.10X</w:t>
            </w:r>
            <w:r>
              <w:rPr>
                <w:rFonts w:ascii="Times New Roman" w:hAnsi="Times New Roman" w:cs="Times New Roman"/>
                <w:sz w:val="20"/>
                <w:szCs w:val="20"/>
                <w:vertAlign w:val="subscript"/>
              </w:rPr>
              <w:t>1</w:t>
            </w:r>
            <w:r>
              <w:rPr>
                <w:rFonts w:ascii="Times New Roman" w:hAnsi="Times New Roman" w:cs="Times New Roman"/>
                <w:sz w:val="20"/>
                <w:szCs w:val="20"/>
              </w:rPr>
              <w:t>+1.67X</w:t>
            </w:r>
            <w:r>
              <w:rPr>
                <w:rFonts w:ascii="Times New Roman" w:hAnsi="Times New Roman" w:cs="Times New Roman"/>
                <w:sz w:val="20"/>
                <w:szCs w:val="20"/>
                <w:vertAlign w:val="subscript"/>
              </w:rPr>
              <w:t>2</w:t>
            </w:r>
            <w:r>
              <w:rPr>
                <w:rFonts w:ascii="Times New Roman" w:hAnsi="Times New Roman" w:cs="Times New Roman"/>
                <w:sz w:val="20"/>
                <w:szCs w:val="20"/>
              </w:rPr>
              <w:t>-0.12X</w:t>
            </w:r>
            <w:r>
              <w:rPr>
                <w:rFonts w:ascii="Times New Roman" w:hAnsi="Times New Roman" w:cs="Times New Roman"/>
                <w:sz w:val="20"/>
                <w:szCs w:val="20"/>
                <w:vertAlign w:val="subscript"/>
              </w:rPr>
              <w:t xml:space="preserve">3 </w:t>
            </w:r>
            <w:r>
              <w:rPr>
                <w:rFonts w:ascii="Times New Roman" w:hAnsi="Times New Roman" w:cs="Times New Roman"/>
                <w:sz w:val="20"/>
                <w:szCs w:val="20"/>
              </w:rPr>
              <w:t>-1.34X</w:t>
            </w:r>
            <w:r>
              <w:rPr>
                <w:rFonts w:ascii="Times New Roman" w:hAnsi="Times New Roman" w:cs="Times New Roman"/>
                <w:sz w:val="20"/>
                <w:szCs w:val="20"/>
                <w:vertAlign w:val="subscript"/>
              </w:rPr>
              <w:t>4</w:t>
            </w:r>
            <w:r>
              <w:rPr>
                <w:rFonts w:ascii="Times New Roman" w:hAnsi="Times New Roman" w:cs="Times New Roman"/>
                <w:sz w:val="20"/>
                <w:szCs w:val="20"/>
              </w:rPr>
              <w:t>+0.13X</w:t>
            </w:r>
            <w:r>
              <w:rPr>
                <w:rFonts w:ascii="Times New Roman" w:hAnsi="Times New Roman" w:cs="Times New Roman"/>
                <w:sz w:val="20"/>
                <w:szCs w:val="20"/>
                <w:vertAlign w:val="subscript"/>
              </w:rPr>
              <w:t>5</w:t>
            </w:r>
          </w:p>
        </w:tc>
      </w:tr>
      <w:tr w14:paraId="6BDC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42" w:type="dxa"/>
            <w:vMerge w:val="continue"/>
            <w:shd w:val="clear" w:color="auto" w:fill="auto"/>
            <w:vAlign w:val="center"/>
          </w:tcPr>
          <w:p w14:paraId="745F9C82">
            <w:pPr>
              <w:pStyle w:val="44"/>
              <w:tabs>
                <w:tab w:val="left" w:pos="709"/>
              </w:tabs>
              <w:spacing w:before="120" w:after="120"/>
              <w:jc w:val="center"/>
              <w:rPr>
                <w:b/>
                <w:color w:val="000000"/>
                <w:kern w:val="2"/>
                <w:sz w:val="20"/>
                <w:szCs w:val="20"/>
              </w:rPr>
            </w:pPr>
          </w:p>
        </w:tc>
        <w:tc>
          <w:tcPr>
            <w:tcW w:w="1099" w:type="dxa"/>
            <w:shd w:val="clear" w:color="auto" w:fill="auto"/>
            <w:vAlign w:val="center"/>
          </w:tcPr>
          <w:p w14:paraId="1304154D">
            <w:pPr>
              <w:pStyle w:val="44"/>
              <w:tabs>
                <w:tab w:val="left" w:pos="709"/>
              </w:tabs>
              <w:spacing w:before="120" w:after="120"/>
              <w:jc w:val="center"/>
              <w:rPr>
                <w:b/>
                <w:color w:val="000000"/>
                <w:kern w:val="2"/>
                <w:sz w:val="20"/>
                <w:szCs w:val="20"/>
              </w:rPr>
            </w:pPr>
            <w:r>
              <w:rPr>
                <w:color w:val="000000"/>
                <w:kern w:val="2"/>
                <w:sz w:val="20"/>
                <w:szCs w:val="20"/>
              </w:rPr>
              <w:t>Adult</w:t>
            </w:r>
          </w:p>
        </w:tc>
        <w:tc>
          <w:tcPr>
            <w:tcW w:w="1375" w:type="dxa"/>
            <w:shd w:val="clear" w:color="auto" w:fill="auto"/>
            <w:vAlign w:val="center"/>
          </w:tcPr>
          <w:p w14:paraId="1EB1D802">
            <w:pPr>
              <w:pStyle w:val="44"/>
              <w:tabs>
                <w:tab w:val="left" w:pos="709"/>
              </w:tabs>
              <w:spacing w:before="120" w:after="120"/>
              <w:jc w:val="center"/>
              <w:rPr>
                <w:color w:val="000000"/>
                <w:kern w:val="2"/>
                <w:sz w:val="20"/>
                <w:szCs w:val="20"/>
              </w:rPr>
            </w:pPr>
            <w:r>
              <w:rPr>
                <w:color w:val="000000"/>
                <w:kern w:val="2"/>
                <w:sz w:val="20"/>
                <w:szCs w:val="20"/>
              </w:rPr>
              <w:t>0.78</w:t>
            </w:r>
          </w:p>
        </w:tc>
        <w:tc>
          <w:tcPr>
            <w:tcW w:w="4426" w:type="dxa"/>
            <w:shd w:val="clear" w:color="auto" w:fill="auto"/>
            <w:vAlign w:val="center"/>
          </w:tcPr>
          <w:p w14:paraId="27B87E93">
            <w:pPr>
              <w:spacing w:line="240" w:lineRule="auto"/>
              <w:jc w:val="center"/>
              <w:rPr>
                <w:rFonts w:ascii="Times New Roman" w:hAnsi="Times New Roman" w:cs="Times New Roman"/>
                <w:color w:val="000000"/>
                <w:sz w:val="20"/>
                <w:szCs w:val="20"/>
              </w:rPr>
            </w:pPr>
            <w:r>
              <w:rPr>
                <w:rFonts w:ascii="Times New Roman" w:hAnsi="Times New Roman" w:cs="Times New Roman"/>
                <w:sz w:val="20"/>
                <w:szCs w:val="20"/>
              </w:rPr>
              <w:t>Y=9.42+0.25X</w:t>
            </w:r>
            <w:r>
              <w:rPr>
                <w:rFonts w:ascii="Times New Roman" w:hAnsi="Times New Roman" w:cs="Times New Roman"/>
                <w:sz w:val="20"/>
                <w:szCs w:val="20"/>
                <w:vertAlign w:val="subscript"/>
              </w:rPr>
              <w:t>1</w:t>
            </w:r>
            <w:r>
              <w:rPr>
                <w:rFonts w:ascii="Times New Roman" w:hAnsi="Times New Roman" w:cs="Times New Roman"/>
                <w:sz w:val="20"/>
                <w:szCs w:val="20"/>
              </w:rPr>
              <w:t>+0.10X</w:t>
            </w:r>
            <w:r>
              <w:rPr>
                <w:rFonts w:ascii="Times New Roman" w:hAnsi="Times New Roman" w:cs="Times New Roman"/>
                <w:sz w:val="20"/>
                <w:szCs w:val="20"/>
                <w:vertAlign w:val="subscript"/>
              </w:rPr>
              <w:t>2</w:t>
            </w:r>
            <w:r>
              <w:rPr>
                <w:rFonts w:ascii="Times New Roman" w:hAnsi="Times New Roman" w:cs="Times New Roman"/>
                <w:sz w:val="20"/>
                <w:szCs w:val="20"/>
              </w:rPr>
              <w:t>-0.00X</w:t>
            </w:r>
            <w:r>
              <w:rPr>
                <w:rFonts w:ascii="Times New Roman" w:hAnsi="Times New Roman" w:cs="Times New Roman"/>
                <w:sz w:val="20"/>
                <w:szCs w:val="20"/>
                <w:vertAlign w:val="subscript"/>
              </w:rPr>
              <w:t xml:space="preserve">3 </w:t>
            </w:r>
            <w:r>
              <w:rPr>
                <w:rFonts w:ascii="Times New Roman" w:hAnsi="Times New Roman" w:cs="Times New Roman"/>
                <w:sz w:val="20"/>
                <w:szCs w:val="20"/>
              </w:rPr>
              <w:t>-0.19X</w:t>
            </w:r>
            <w:r>
              <w:rPr>
                <w:rFonts w:ascii="Times New Roman" w:hAnsi="Times New Roman" w:cs="Times New Roman"/>
                <w:sz w:val="20"/>
                <w:szCs w:val="20"/>
                <w:vertAlign w:val="subscript"/>
              </w:rPr>
              <w:t>4</w:t>
            </w:r>
            <w:r>
              <w:rPr>
                <w:rFonts w:ascii="Times New Roman" w:hAnsi="Times New Roman" w:cs="Times New Roman"/>
                <w:sz w:val="20"/>
                <w:szCs w:val="20"/>
              </w:rPr>
              <w:t>+0.04X</w:t>
            </w:r>
            <w:r>
              <w:rPr>
                <w:rFonts w:ascii="Times New Roman" w:hAnsi="Times New Roman" w:cs="Times New Roman"/>
                <w:sz w:val="20"/>
                <w:szCs w:val="20"/>
                <w:vertAlign w:val="subscript"/>
              </w:rPr>
              <w:t>5</w:t>
            </w:r>
          </w:p>
        </w:tc>
      </w:tr>
      <w:tr w14:paraId="3601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42" w:type="dxa"/>
            <w:vMerge w:val="restart"/>
            <w:shd w:val="clear" w:color="auto" w:fill="auto"/>
            <w:vAlign w:val="center"/>
          </w:tcPr>
          <w:p w14:paraId="06967A6A">
            <w:pPr>
              <w:pStyle w:val="44"/>
              <w:tabs>
                <w:tab w:val="left" w:pos="709"/>
              </w:tabs>
              <w:spacing w:before="120" w:after="120"/>
              <w:jc w:val="center"/>
              <w:rPr>
                <w:b/>
                <w:color w:val="000000"/>
                <w:kern w:val="2"/>
                <w:sz w:val="20"/>
                <w:szCs w:val="20"/>
              </w:rPr>
            </w:pPr>
            <w:r>
              <w:rPr>
                <w:b/>
                <w:color w:val="000000"/>
                <w:kern w:val="2"/>
                <w:sz w:val="20"/>
                <w:szCs w:val="20"/>
              </w:rPr>
              <w:t>Shalimar</w:t>
            </w:r>
          </w:p>
        </w:tc>
        <w:tc>
          <w:tcPr>
            <w:tcW w:w="1099" w:type="dxa"/>
            <w:shd w:val="clear" w:color="auto" w:fill="auto"/>
            <w:vAlign w:val="center"/>
          </w:tcPr>
          <w:p w14:paraId="55E2D600">
            <w:pPr>
              <w:pStyle w:val="44"/>
              <w:tabs>
                <w:tab w:val="left" w:pos="709"/>
              </w:tabs>
              <w:spacing w:before="120" w:after="120"/>
              <w:jc w:val="center"/>
              <w:rPr>
                <w:color w:val="000000"/>
                <w:kern w:val="2"/>
                <w:sz w:val="20"/>
                <w:szCs w:val="20"/>
              </w:rPr>
            </w:pPr>
            <w:r>
              <w:rPr>
                <w:color w:val="000000"/>
                <w:kern w:val="2"/>
                <w:sz w:val="20"/>
                <w:szCs w:val="20"/>
              </w:rPr>
              <w:t>Nymph</w:t>
            </w:r>
          </w:p>
        </w:tc>
        <w:tc>
          <w:tcPr>
            <w:tcW w:w="1375" w:type="dxa"/>
            <w:shd w:val="clear" w:color="auto" w:fill="auto"/>
            <w:vAlign w:val="center"/>
          </w:tcPr>
          <w:p w14:paraId="7A389F41">
            <w:pPr>
              <w:pStyle w:val="44"/>
              <w:tabs>
                <w:tab w:val="left" w:pos="709"/>
              </w:tabs>
              <w:spacing w:before="120" w:after="120"/>
              <w:jc w:val="center"/>
              <w:rPr>
                <w:color w:val="000000"/>
                <w:kern w:val="2"/>
                <w:sz w:val="20"/>
                <w:szCs w:val="20"/>
              </w:rPr>
            </w:pPr>
            <w:r>
              <w:rPr>
                <w:color w:val="000000"/>
                <w:kern w:val="2"/>
                <w:sz w:val="20"/>
                <w:szCs w:val="20"/>
              </w:rPr>
              <w:t>0.95</w:t>
            </w:r>
          </w:p>
        </w:tc>
        <w:tc>
          <w:tcPr>
            <w:tcW w:w="4426" w:type="dxa"/>
            <w:shd w:val="clear" w:color="auto" w:fill="auto"/>
            <w:vAlign w:val="center"/>
          </w:tcPr>
          <w:p w14:paraId="694277F9">
            <w:pPr>
              <w:spacing w:line="240" w:lineRule="auto"/>
              <w:jc w:val="center"/>
              <w:rPr>
                <w:rFonts w:ascii="Times New Roman" w:hAnsi="Times New Roman" w:cs="Times New Roman"/>
                <w:color w:val="000000"/>
                <w:sz w:val="20"/>
                <w:szCs w:val="20"/>
              </w:rPr>
            </w:pPr>
            <w:r>
              <w:rPr>
                <w:rFonts w:ascii="Times New Roman" w:hAnsi="Times New Roman" w:cs="Times New Roman"/>
                <w:sz w:val="20"/>
                <w:szCs w:val="20"/>
              </w:rPr>
              <w:t>Y=162.57-1.21X</w:t>
            </w:r>
            <w:r>
              <w:rPr>
                <w:rFonts w:ascii="Times New Roman" w:hAnsi="Times New Roman" w:cs="Times New Roman"/>
                <w:sz w:val="20"/>
                <w:szCs w:val="20"/>
                <w:vertAlign w:val="subscript"/>
              </w:rPr>
              <w:t>1</w:t>
            </w:r>
            <w:r>
              <w:rPr>
                <w:rFonts w:ascii="Times New Roman" w:hAnsi="Times New Roman" w:cs="Times New Roman"/>
                <w:sz w:val="20"/>
                <w:szCs w:val="20"/>
              </w:rPr>
              <w:t>+2.15X</w:t>
            </w:r>
            <w:r>
              <w:rPr>
                <w:rFonts w:ascii="Times New Roman" w:hAnsi="Times New Roman" w:cs="Times New Roman"/>
                <w:sz w:val="20"/>
                <w:szCs w:val="20"/>
                <w:vertAlign w:val="subscript"/>
              </w:rPr>
              <w:t>2</w:t>
            </w:r>
            <w:r>
              <w:rPr>
                <w:rFonts w:ascii="Times New Roman" w:hAnsi="Times New Roman" w:cs="Times New Roman"/>
                <w:sz w:val="20"/>
                <w:szCs w:val="20"/>
              </w:rPr>
              <w:t>-0.21X</w:t>
            </w:r>
            <w:r>
              <w:rPr>
                <w:rFonts w:ascii="Times New Roman" w:hAnsi="Times New Roman" w:cs="Times New Roman"/>
                <w:sz w:val="20"/>
                <w:szCs w:val="20"/>
                <w:vertAlign w:val="subscript"/>
              </w:rPr>
              <w:t xml:space="preserve">3 </w:t>
            </w:r>
            <w:r>
              <w:rPr>
                <w:rFonts w:ascii="Times New Roman" w:hAnsi="Times New Roman" w:cs="Times New Roman"/>
                <w:sz w:val="20"/>
                <w:szCs w:val="20"/>
              </w:rPr>
              <w:t>-1.62X</w:t>
            </w:r>
            <w:r>
              <w:rPr>
                <w:rFonts w:ascii="Times New Roman" w:hAnsi="Times New Roman" w:cs="Times New Roman"/>
                <w:sz w:val="20"/>
                <w:szCs w:val="20"/>
                <w:vertAlign w:val="subscript"/>
              </w:rPr>
              <w:t>4</w:t>
            </w:r>
            <w:r>
              <w:rPr>
                <w:rFonts w:ascii="Times New Roman" w:hAnsi="Times New Roman" w:cs="Times New Roman"/>
                <w:sz w:val="20"/>
                <w:szCs w:val="20"/>
              </w:rPr>
              <w:t>+0.01X</w:t>
            </w:r>
            <w:r>
              <w:rPr>
                <w:rFonts w:ascii="Times New Roman" w:hAnsi="Times New Roman" w:cs="Times New Roman"/>
                <w:sz w:val="20"/>
                <w:szCs w:val="20"/>
                <w:vertAlign w:val="subscript"/>
              </w:rPr>
              <w:t>5</w:t>
            </w:r>
          </w:p>
        </w:tc>
      </w:tr>
      <w:tr w14:paraId="6FAC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342" w:type="dxa"/>
            <w:vMerge w:val="continue"/>
            <w:shd w:val="clear" w:color="auto" w:fill="auto"/>
            <w:vAlign w:val="center"/>
          </w:tcPr>
          <w:p w14:paraId="70A30EBE">
            <w:pPr>
              <w:pStyle w:val="44"/>
              <w:tabs>
                <w:tab w:val="left" w:pos="709"/>
              </w:tabs>
              <w:spacing w:before="120" w:after="120"/>
              <w:jc w:val="center"/>
              <w:rPr>
                <w:b/>
                <w:color w:val="000000"/>
                <w:kern w:val="2"/>
                <w:sz w:val="20"/>
                <w:szCs w:val="20"/>
              </w:rPr>
            </w:pPr>
          </w:p>
        </w:tc>
        <w:tc>
          <w:tcPr>
            <w:tcW w:w="1099" w:type="dxa"/>
            <w:shd w:val="clear" w:color="auto" w:fill="auto"/>
            <w:vAlign w:val="center"/>
          </w:tcPr>
          <w:p w14:paraId="3A7979A6">
            <w:pPr>
              <w:pStyle w:val="44"/>
              <w:tabs>
                <w:tab w:val="left" w:pos="709"/>
              </w:tabs>
              <w:spacing w:before="120" w:after="120"/>
              <w:jc w:val="center"/>
              <w:rPr>
                <w:bCs/>
                <w:color w:val="000000"/>
                <w:kern w:val="2"/>
                <w:sz w:val="20"/>
                <w:szCs w:val="20"/>
              </w:rPr>
            </w:pPr>
            <w:r>
              <w:rPr>
                <w:bCs/>
                <w:color w:val="000000"/>
                <w:kern w:val="2"/>
                <w:sz w:val="20"/>
                <w:szCs w:val="20"/>
              </w:rPr>
              <w:t>Adult</w:t>
            </w:r>
          </w:p>
        </w:tc>
        <w:tc>
          <w:tcPr>
            <w:tcW w:w="1375" w:type="dxa"/>
            <w:shd w:val="clear" w:color="auto" w:fill="auto"/>
            <w:vAlign w:val="center"/>
          </w:tcPr>
          <w:p w14:paraId="613C9B10">
            <w:pPr>
              <w:pStyle w:val="44"/>
              <w:tabs>
                <w:tab w:val="left" w:pos="709"/>
              </w:tabs>
              <w:spacing w:before="120" w:after="120"/>
              <w:jc w:val="center"/>
              <w:rPr>
                <w:bCs/>
                <w:color w:val="000000"/>
                <w:kern w:val="2"/>
                <w:sz w:val="20"/>
                <w:szCs w:val="20"/>
              </w:rPr>
            </w:pPr>
            <w:r>
              <w:rPr>
                <w:bCs/>
                <w:color w:val="000000"/>
                <w:kern w:val="2"/>
                <w:sz w:val="20"/>
                <w:szCs w:val="20"/>
              </w:rPr>
              <w:t>0.75</w:t>
            </w:r>
          </w:p>
        </w:tc>
        <w:tc>
          <w:tcPr>
            <w:tcW w:w="4426" w:type="dxa"/>
            <w:shd w:val="clear" w:color="auto" w:fill="auto"/>
            <w:vAlign w:val="center"/>
          </w:tcPr>
          <w:p w14:paraId="6D1592C5">
            <w:pPr>
              <w:spacing w:line="240" w:lineRule="auto"/>
              <w:jc w:val="center"/>
              <w:rPr>
                <w:rFonts w:ascii="Times New Roman" w:hAnsi="Times New Roman" w:cs="Times New Roman"/>
                <w:color w:val="000000"/>
                <w:sz w:val="20"/>
                <w:szCs w:val="20"/>
              </w:rPr>
            </w:pPr>
            <w:r>
              <w:rPr>
                <w:rFonts w:ascii="Times New Roman" w:hAnsi="Times New Roman" w:cs="Times New Roman"/>
                <w:sz w:val="20"/>
                <w:szCs w:val="20"/>
              </w:rPr>
              <w:t>Y=3.29+0.38X</w:t>
            </w:r>
            <w:r>
              <w:rPr>
                <w:rFonts w:ascii="Times New Roman" w:hAnsi="Times New Roman" w:cs="Times New Roman"/>
                <w:sz w:val="20"/>
                <w:szCs w:val="20"/>
                <w:vertAlign w:val="subscript"/>
              </w:rPr>
              <w:t>1</w:t>
            </w:r>
            <w:r>
              <w:rPr>
                <w:rFonts w:ascii="Times New Roman" w:hAnsi="Times New Roman" w:cs="Times New Roman"/>
                <w:sz w:val="20"/>
                <w:szCs w:val="20"/>
              </w:rPr>
              <w:t>-0.06X</w:t>
            </w:r>
            <w:r>
              <w:rPr>
                <w:rFonts w:ascii="Times New Roman" w:hAnsi="Times New Roman" w:cs="Times New Roman"/>
                <w:sz w:val="20"/>
                <w:szCs w:val="20"/>
                <w:vertAlign w:val="subscript"/>
              </w:rPr>
              <w:t>2</w:t>
            </w:r>
            <w:r>
              <w:rPr>
                <w:rFonts w:ascii="Times New Roman" w:hAnsi="Times New Roman" w:cs="Times New Roman"/>
                <w:sz w:val="20"/>
                <w:szCs w:val="20"/>
              </w:rPr>
              <w:t>+0.03X</w:t>
            </w:r>
            <w:r>
              <w:rPr>
                <w:rFonts w:ascii="Times New Roman" w:hAnsi="Times New Roman" w:cs="Times New Roman"/>
                <w:sz w:val="20"/>
                <w:szCs w:val="20"/>
                <w:vertAlign w:val="subscript"/>
              </w:rPr>
              <w:t xml:space="preserve">3 </w:t>
            </w:r>
            <w:r>
              <w:rPr>
                <w:rFonts w:ascii="Times New Roman" w:hAnsi="Times New Roman" w:cs="Times New Roman"/>
                <w:sz w:val="20"/>
                <w:szCs w:val="20"/>
              </w:rPr>
              <w:t>-1.15X</w:t>
            </w:r>
            <w:r>
              <w:rPr>
                <w:rFonts w:ascii="Times New Roman" w:hAnsi="Times New Roman" w:cs="Times New Roman"/>
                <w:sz w:val="20"/>
                <w:szCs w:val="20"/>
                <w:vertAlign w:val="subscript"/>
              </w:rPr>
              <w:t>4</w:t>
            </w:r>
            <w:r>
              <w:rPr>
                <w:rFonts w:ascii="Times New Roman" w:hAnsi="Times New Roman" w:cs="Times New Roman"/>
                <w:sz w:val="20"/>
                <w:szCs w:val="20"/>
              </w:rPr>
              <w:t>+0.05X</w:t>
            </w:r>
            <w:r>
              <w:rPr>
                <w:rFonts w:ascii="Times New Roman" w:hAnsi="Times New Roman" w:cs="Times New Roman"/>
                <w:sz w:val="20"/>
                <w:szCs w:val="20"/>
                <w:vertAlign w:val="subscript"/>
              </w:rPr>
              <w:t>5</w:t>
            </w:r>
          </w:p>
        </w:tc>
      </w:tr>
    </w:tbl>
    <w:p w14:paraId="48CC990E">
      <w:pPr>
        <w:pStyle w:val="45"/>
        <w:rPr>
          <w:rFonts w:ascii="Times New Roman" w:hAnsi="Times New Roman" w:cs="Times New Roman"/>
          <w:b/>
          <w:bCs/>
          <w:sz w:val="16"/>
          <w:szCs w:val="16"/>
        </w:rPr>
      </w:pPr>
      <w:r>
        <w:rPr>
          <w:rFonts w:ascii="Times New Roman" w:hAnsi="Times New Roman" w:cs="Times New Roman"/>
          <w:b/>
          <w:bCs/>
          <w:sz w:val="16"/>
          <w:szCs w:val="16"/>
        </w:rPr>
        <w:t>Y= No. of psyllids/shoot</w:t>
      </w:r>
    </w:p>
    <w:p w14:paraId="6C1897F5">
      <w:pPr>
        <w:pStyle w:val="45"/>
        <w:rPr>
          <w:rFonts w:ascii="Times New Roman" w:hAnsi="Times New Roman" w:cs="Times New Roman"/>
          <w:b/>
          <w:bCs/>
          <w:spacing w:val="-37"/>
          <w:sz w:val="16"/>
          <w:szCs w:val="16"/>
        </w:rPr>
      </w:pPr>
      <w:r>
        <w:rPr>
          <w:rFonts w:ascii="Times New Roman" w:hAnsi="Times New Roman" w:cs="Times New Roman"/>
          <w:b/>
          <w:bCs/>
          <w:sz w:val="16"/>
          <w:szCs w:val="16"/>
        </w:rPr>
        <w:t>X1=Maximum Temperature (</w:t>
      </w:r>
      <w:r>
        <w:rPr>
          <w:rFonts w:ascii="Times New Roman" w:hAnsi="Times New Roman" w:cs="Times New Roman"/>
          <w:b/>
          <w:bCs/>
          <w:sz w:val="16"/>
          <w:szCs w:val="16"/>
          <w:vertAlign w:val="superscript"/>
        </w:rPr>
        <w:t>o</w:t>
      </w:r>
      <w:r>
        <w:rPr>
          <w:rFonts w:ascii="Times New Roman" w:hAnsi="Times New Roman" w:cs="Times New Roman"/>
          <w:b/>
          <w:bCs/>
          <w:sz w:val="16"/>
          <w:szCs w:val="16"/>
        </w:rPr>
        <w:t>C)</w:t>
      </w:r>
      <w:r>
        <w:rPr>
          <w:rFonts w:ascii="Times New Roman" w:hAnsi="Times New Roman" w:cs="Times New Roman"/>
          <w:b/>
          <w:bCs/>
          <w:spacing w:val="-37"/>
          <w:sz w:val="16"/>
          <w:szCs w:val="16"/>
        </w:rPr>
        <w:t xml:space="preserve"> </w:t>
      </w:r>
    </w:p>
    <w:p w14:paraId="068A8519">
      <w:pPr>
        <w:pStyle w:val="45"/>
        <w:rPr>
          <w:rFonts w:ascii="Times New Roman" w:hAnsi="Times New Roman" w:cs="Times New Roman"/>
          <w:b/>
          <w:bCs/>
          <w:sz w:val="16"/>
          <w:szCs w:val="16"/>
        </w:rPr>
      </w:pPr>
      <w:r>
        <w:rPr>
          <w:rFonts w:ascii="Times New Roman" w:hAnsi="Times New Roman" w:cs="Times New Roman"/>
          <w:b/>
          <w:bCs/>
          <w:sz w:val="16"/>
          <w:szCs w:val="16"/>
        </w:rPr>
        <w:t>X2=Minimum</w:t>
      </w:r>
      <w:r>
        <w:rPr>
          <w:rFonts w:ascii="Times New Roman" w:hAnsi="Times New Roman" w:cs="Times New Roman"/>
          <w:b/>
          <w:bCs/>
          <w:spacing w:val="-4"/>
          <w:sz w:val="16"/>
          <w:szCs w:val="16"/>
        </w:rPr>
        <w:t xml:space="preserve"> </w:t>
      </w:r>
      <w:r>
        <w:rPr>
          <w:rFonts w:ascii="Times New Roman" w:hAnsi="Times New Roman" w:cs="Times New Roman"/>
          <w:b/>
          <w:bCs/>
          <w:sz w:val="16"/>
          <w:szCs w:val="16"/>
        </w:rPr>
        <w:t>Temperature</w:t>
      </w:r>
      <w:r>
        <w:rPr>
          <w:rFonts w:ascii="Times New Roman" w:hAnsi="Times New Roman" w:cs="Times New Roman"/>
          <w:b/>
          <w:bCs/>
          <w:spacing w:val="-4"/>
          <w:sz w:val="16"/>
          <w:szCs w:val="16"/>
        </w:rPr>
        <w:t xml:space="preserve"> </w:t>
      </w:r>
      <w:r>
        <w:rPr>
          <w:rFonts w:ascii="Times New Roman" w:hAnsi="Times New Roman" w:cs="Times New Roman"/>
          <w:b/>
          <w:bCs/>
          <w:sz w:val="16"/>
          <w:szCs w:val="16"/>
        </w:rPr>
        <w:t>(</w:t>
      </w:r>
      <w:r>
        <w:rPr>
          <w:rFonts w:ascii="Times New Roman" w:hAnsi="Times New Roman" w:cs="Times New Roman"/>
          <w:b/>
          <w:bCs/>
          <w:sz w:val="16"/>
          <w:szCs w:val="16"/>
          <w:vertAlign w:val="superscript"/>
        </w:rPr>
        <w:t>o</w:t>
      </w:r>
      <w:r>
        <w:rPr>
          <w:rFonts w:ascii="Times New Roman" w:hAnsi="Times New Roman" w:cs="Times New Roman"/>
          <w:b/>
          <w:bCs/>
          <w:sz w:val="16"/>
          <w:szCs w:val="16"/>
        </w:rPr>
        <w:t>C)</w:t>
      </w:r>
    </w:p>
    <w:p w14:paraId="0B20C390">
      <w:pPr>
        <w:pStyle w:val="45"/>
        <w:rPr>
          <w:rFonts w:ascii="Times New Roman" w:hAnsi="Times New Roman" w:cs="Times New Roman"/>
          <w:b/>
          <w:bCs/>
          <w:sz w:val="16"/>
          <w:szCs w:val="16"/>
        </w:rPr>
      </w:pPr>
      <w:r>
        <w:rPr>
          <w:rFonts w:ascii="Times New Roman" w:hAnsi="Times New Roman" w:cs="Times New Roman"/>
          <w:b/>
          <w:bCs/>
          <w:sz w:val="16"/>
          <w:szCs w:val="16"/>
        </w:rPr>
        <w:t>X3= Rainfall</w:t>
      </w:r>
      <w:r>
        <w:rPr>
          <w:rFonts w:ascii="Times New Roman" w:hAnsi="Times New Roman" w:cs="Times New Roman"/>
          <w:b/>
          <w:bCs/>
          <w:spacing w:val="-1"/>
          <w:sz w:val="16"/>
          <w:szCs w:val="16"/>
        </w:rPr>
        <w:t xml:space="preserve"> </w:t>
      </w:r>
      <w:r>
        <w:rPr>
          <w:rFonts w:ascii="Times New Roman" w:hAnsi="Times New Roman" w:cs="Times New Roman"/>
          <w:b/>
          <w:bCs/>
          <w:sz w:val="16"/>
          <w:szCs w:val="16"/>
        </w:rPr>
        <w:t>(mm)</w:t>
      </w:r>
    </w:p>
    <w:p w14:paraId="02FB16A0">
      <w:pPr>
        <w:pStyle w:val="45"/>
        <w:rPr>
          <w:rFonts w:ascii="Times New Roman" w:hAnsi="Times New Roman" w:cs="Times New Roman"/>
          <w:b/>
          <w:bCs/>
          <w:sz w:val="16"/>
          <w:szCs w:val="16"/>
        </w:rPr>
      </w:pPr>
      <w:r>
        <w:rPr>
          <w:rFonts w:ascii="Times New Roman" w:hAnsi="Times New Roman" w:cs="Times New Roman"/>
          <w:b/>
          <w:bCs/>
          <w:sz w:val="16"/>
          <w:szCs w:val="16"/>
        </w:rPr>
        <w:t>X4= Maximum Relative Humidity</w:t>
      </w:r>
    </w:p>
    <w:p w14:paraId="759FAB26">
      <w:pPr>
        <w:pStyle w:val="45"/>
        <w:rPr>
          <w:rFonts w:ascii="Times New Roman" w:hAnsi="Times New Roman" w:cs="Times New Roman"/>
          <w:b/>
          <w:bCs/>
          <w:sz w:val="16"/>
          <w:szCs w:val="16"/>
        </w:rPr>
      </w:pPr>
      <w:r>
        <w:rPr>
          <w:rFonts w:ascii="Times New Roman" w:hAnsi="Times New Roman" w:cs="Times New Roman"/>
          <w:b/>
          <w:bCs/>
          <w:sz w:val="16"/>
          <w:szCs w:val="16"/>
        </w:rPr>
        <w:t>X5=Minimum Relative Humidity</w:t>
      </w:r>
    </w:p>
    <w:p w14:paraId="3E1CF768">
      <w:pPr>
        <w:spacing w:line="240" w:lineRule="auto"/>
        <w:rPr>
          <w:rFonts w:ascii="Times New Roman" w:hAnsi="Times New Roman" w:cs="Times New Roman"/>
          <w:b/>
          <w:bCs/>
          <w:sz w:val="20"/>
          <w:szCs w:val="20"/>
        </w:rPr>
      </w:pPr>
    </w:p>
    <w:p w14:paraId="1E897C42">
      <w:pPr>
        <w:tabs>
          <w:tab w:val="left" w:pos="709"/>
        </w:tabs>
        <w:spacing w:before="120" w:after="120" w:line="240" w:lineRule="auto"/>
        <w:jc w:val="both"/>
        <w:rPr>
          <w:rFonts w:ascii="Times New Roman" w:hAnsi="Times New Roman" w:cs="Times New Roman"/>
          <w:b/>
          <w:bCs/>
          <w:color w:val="000000"/>
          <w:sz w:val="20"/>
          <w:szCs w:val="20"/>
          <w:lang w:eastAsia="en-IN"/>
        </w:rPr>
      </w:pPr>
      <w:r>
        <w:drawing>
          <wp:inline distT="0" distB="0" distL="0" distR="0">
            <wp:extent cx="4572000" cy="2025650"/>
            <wp:effectExtent l="0" t="0" r="0" b="12700"/>
            <wp:docPr id="14110695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4096FCD">
      <w:pPr>
        <w:spacing w:line="240" w:lineRule="auto"/>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Fig. 2: Population</w:t>
      </w:r>
      <w:r>
        <w:rPr>
          <w:rFonts w:ascii="Times New Roman" w:hAnsi="Times New Roman" w:cs="Times New Roman"/>
          <w:b/>
          <w:bCs/>
          <w:spacing w:val="13"/>
          <w:sz w:val="20"/>
          <w:szCs w:val="20"/>
          <w:highlight w:val="yellow"/>
        </w:rPr>
        <w:t xml:space="preserve"> </w:t>
      </w:r>
      <w:r>
        <w:rPr>
          <w:rFonts w:ascii="Times New Roman" w:hAnsi="Times New Roman" w:cs="Times New Roman"/>
          <w:b/>
          <w:bCs/>
          <w:sz w:val="20"/>
          <w:szCs w:val="20"/>
          <w:highlight w:val="yellow"/>
        </w:rPr>
        <w:t>build-up</w:t>
      </w:r>
      <w:r>
        <w:rPr>
          <w:rFonts w:ascii="Times New Roman" w:hAnsi="Times New Roman" w:cs="Times New Roman"/>
          <w:b/>
          <w:bCs/>
          <w:spacing w:val="12"/>
          <w:sz w:val="20"/>
          <w:szCs w:val="20"/>
          <w:highlight w:val="yellow"/>
        </w:rPr>
        <w:t xml:space="preserve"> </w:t>
      </w:r>
      <w:r>
        <w:rPr>
          <w:rFonts w:ascii="Times New Roman" w:hAnsi="Times New Roman" w:cs="Times New Roman"/>
          <w:b/>
          <w:bCs/>
          <w:sz w:val="20"/>
          <w:szCs w:val="20"/>
          <w:highlight w:val="yellow"/>
        </w:rPr>
        <w:t>of</w:t>
      </w:r>
      <w:r>
        <w:rPr>
          <w:rFonts w:ascii="Times New Roman" w:hAnsi="Times New Roman" w:cs="Times New Roman"/>
          <w:b/>
          <w:bCs/>
          <w:spacing w:val="11"/>
          <w:sz w:val="20"/>
          <w:szCs w:val="20"/>
          <w:highlight w:val="yellow"/>
        </w:rPr>
        <w:t xml:space="preserve"> </w:t>
      </w:r>
      <w:r>
        <w:rPr>
          <w:rFonts w:ascii="Times New Roman" w:hAnsi="Times New Roman" w:cs="Times New Roman"/>
          <w:b/>
          <w:bCs/>
          <w:sz w:val="20"/>
          <w:szCs w:val="20"/>
          <w:highlight w:val="yellow"/>
        </w:rPr>
        <w:t>Pear</w:t>
      </w:r>
      <w:r>
        <w:rPr>
          <w:rFonts w:ascii="Times New Roman" w:hAnsi="Times New Roman" w:cs="Times New Roman"/>
          <w:b/>
          <w:bCs/>
          <w:spacing w:val="11"/>
          <w:sz w:val="20"/>
          <w:szCs w:val="20"/>
          <w:highlight w:val="yellow"/>
        </w:rPr>
        <w:t xml:space="preserve"> </w:t>
      </w:r>
      <w:r>
        <w:rPr>
          <w:rFonts w:ascii="Times New Roman" w:hAnsi="Times New Roman" w:cs="Times New Roman"/>
          <w:b/>
          <w:bCs/>
          <w:sz w:val="20"/>
          <w:szCs w:val="20"/>
          <w:highlight w:val="yellow"/>
        </w:rPr>
        <w:t>Psylla</w:t>
      </w:r>
      <w:r>
        <w:rPr>
          <w:rFonts w:ascii="Times New Roman" w:hAnsi="Times New Roman" w:cs="Times New Roman"/>
          <w:b/>
          <w:bCs/>
          <w:spacing w:val="12"/>
          <w:sz w:val="20"/>
          <w:szCs w:val="20"/>
          <w:highlight w:val="yellow"/>
        </w:rPr>
        <w:t xml:space="preserve"> </w:t>
      </w:r>
      <w:r>
        <w:rPr>
          <w:rFonts w:ascii="Times New Roman" w:hAnsi="Times New Roman" w:cs="Times New Roman"/>
          <w:b/>
          <w:bCs/>
          <w:sz w:val="20"/>
          <w:szCs w:val="20"/>
          <w:highlight w:val="yellow"/>
        </w:rPr>
        <w:t>(</w:t>
      </w:r>
      <w:r>
        <w:rPr>
          <w:rFonts w:ascii="Times New Roman" w:hAnsi="Times New Roman" w:cs="Times New Roman"/>
          <w:b/>
          <w:bCs/>
          <w:i/>
          <w:sz w:val="20"/>
          <w:szCs w:val="20"/>
          <w:highlight w:val="yellow"/>
        </w:rPr>
        <w:t xml:space="preserve">Cacopsylla pyricola </w:t>
      </w:r>
      <w:r>
        <w:rPr>
          <w:rFonts w:ascii="Times New Roman" w:hAnsi="Times New Roman" w:cs="Times New Roman"/>
          <w:b/>
          <w:bCs/>
          <w:sz w:val="20"/>
          <w:szCs w:val="20"/>
          <w:highlight w:val="yellow"/>
        </w:rPr>
        <w:t>Foerster)</w:t>
      </w:r>
      <w:r>
        <w:rPr>
          <w:rFonts w:ascii="Times New Roman" w:hAnsi="Times New Roman" w:cs="Times New Roman"/>
          <w:b/>
          <w:bCs/>
          <w:spacing w:val="11"/>
          <w:sz w:val="20"/>
          <w:szCs w:val="20"/>
          <w:highlight w:val="yellow"/>
        </w:rPr>
        <w:t xml:space="preserve"> </w:t>
      </w:r>
      <w:r>
        <w:rPr>
          <w:rFonts w:ascii="Times New Roman" w:hAnsi="Times New Roman" w:cs="Times New Roman"/>
          <w:b/>
          <w:bCs/>
          <w:sz w:val="20"/>
          <w:szCs w:val="20"/>
          <w:highlight w:val="yellow"/>
        </w:rPr>
        <w:t xml:space="preserve">in </w:t>
      </w:r>
      <w:r>
        <w:rPr>
          <w:rFonts w:ascii="Times New Roman" w:hAnsi="Times New Roman" w:cs="Times New Roman"/>
          <w:b/>
          <w:bCs/>
          <w:spacing w:val="-57"/>
          <w:sz w:val="20"/>
          <w:szCs w:val="20"/>
          <w:highlight w:val="yellow"/>
        </w:rPr>
        <w:t xml:space="preserve"> </w:t>
      </w:r>
      <w:r>
        <w:rPr>
          <w:rFonts w:ascii="Times New Roman" w:hAnsi="Times New Roman" w:cs="Times New Roman"/>
          <w:b/>
          <w:bCs/>
          <w:sz w:val="20"/>
          <w:szCs w:val="20"/>
          <w:highlight w:val="yellow"/>
        </w:rPr>
        <w:t>relation to</w:t>
      </w:r>
      <w:r>
        <w:rPr>
          <w:rFonts w:ascii="Times New Roman" w:hAnsi="Times New Roman" w:cs="Times New Roman"/>
          <w:b/>
          <w:bCs/>
          <w:spacing w:val="-1"/>
          <w:sz w:val="20"/>
          <w:szCs w:val="20"/>
          <w:highlight w:val="yellow"/>
        </w:rPr>
        <w:t xml:space="preserve"> </w:t>
      </w:r>
      <w:r>
        <w:rPr>
          <w:rFonts w:ascii="Times New Roman" w:hAnsi="Times New Roman" w:cs="Times New Roman"/>
          <w:b/>
          <w:bCs/>
          <w:sz w:val="20"/>
          <w:szCs w:val="20"/>
          <w:highlight w:val="yellow"/>
        </w:rPr>
        <w:t>some</w:t>
      </w:r>
      <w:r>
        <w:rPr>
          <w:rFonts w:ascii="Times New Roman" w:hAnsi="Times New Roman" w:cs="Times New Roman"/>
          <w:b/>
          <w:bCs/>
          <w:spacing w:val="-1"/>
          <w:sz w:val="20"/>
          <w:szCs w:val="20"/>
          <w:highlight w:val="yellow"/>
        </w:rPr>
        <w:t xml:space="preserve"> </w:t>
      </w:r>
      <w:r>
        <w:rPr>
          <w:rFonts w:ascii="Times New Roman" w:hAnsi="Times New Roman" w:cs="Times New Roman"/>
          <w:b/>
          <w:bCs/>
          <w:sz w:val="20"/>
          <w:szCs w:val="20"/>
          <w:highlight w:val="yellow"/>
        </w:rPr>
        <w:t>abiotic factors in</w:t>
      </w:r>
      <w:r>
        <w:rPr>
          <w:rFonts w:ascii="Times New Roman" w:hAnsi="Times New Roman" w:cs="Times New Roman"/>
          <w:b/>
          <w:bCs/>
          <w:spacing w:val="-1"/>
          <w:sz w:val="20"/>
          <w:szCs w:val="20"/>
          <w:highlight w:val="yellow"/>
        </w:rPr>
        <w:t xml:space="preserve"> </w:t>
      </w:r>
      <w:r>
        <w:rPr>
          <w:rFonts w:ascii="Times New Roman" w:hAnsi="Times New Roman" w:cs="Times New Roman"/>
          <w:b/>
          <w:bCs/>
          <w:sz w:val="20"/>
          <w:szCs w:val="20"/>
          <w:highlight w:val="yellow"/>
        </w:rPr>
        <w:t>Srinagar</w:t>
      </w:r>
    </w:p>
    <w:p w14:paraId="70FCEB8C">
      <w:pPr>
        <w:pStyle w:val="15"/>
        <w:tabs>
          <w:tab w:val="left" w:pos="709"/>
        </w:tabs>
        <w:spacing w:before="120" w:after="120" w:line="240" w:lineRule="auto"/>
        <w:ind w:left="705" w:hanging="705"/>
        <w:jc w:val="both"/>
        <w:rPr>
          <w:rFonts w:ascii="Times New Roman" w:hAnsi="Times New Roman" w:cs="Times New Roman"/>
          <w:b/>
          <w:bCs/>
          <w:color w:val="000000"/>
          <w:sz w:val="20"/>
          <w:szCs w:val="20"/>
          <w:lang w:eastAsia="en-IN"/>
        </w:rPr>
      </w:pPr>
    </w:p>
    <w:p w14:paraId="421C9ED7">
      <w:pPr>
        <w:pStyle w:val="15"/>
        <w:tabs>
          <w:tab w:val="left" w:pos="709"/>
        </w:tabs>
        <w:spacing w:before="120" w:after="120" w:line="240" w:lineRule="auto"/>
        <w:ind w:left="705" w:hanging="705"/>
        <w:jc w:val="both"/>
        <w:rPr>
          <w:rFonts w:ascii="Times New Roman" w:hAnsi="Times New Roman" w:cs="Times New Roman"/>
          <w:b/>
          <w:bCs/>
          <w:color w:val="000000"/>
          <w:sz w:val="20"/>
          <w:szCs w:val="20"/>
          <w:lang w:eastAsia="en-IN"/>
        </w:rPr>
      </w:pPr>
    </w:p>
    <w:p w14:paraId="53D60DD2">
      <w:pPr>
        <w:pStyle w:val="15"/>
        <w:tabs>
          <w:tab w:val="left" w:pos="709"/>
        </w:tabs>
        <w:spacing w:before="120" w:after="120" w:line="240" w:lineRule="auto"/>
        <w:ind w:left="705" w:hanging="705"/>
        <w:jc w:val="both"/>
        <w:rPr>
          <w:b/>
          <w:bCs/>
          <w:i/>
          <w:color w:val="000000"/>
          <w:sz w:val="24"/>
          <w:szCs w:val="24"/>
        </w:rPr>
      </w:pPr>
      <w:r>
        <w:rPr>
          <w:rFonts w:ascii="Times New Roman" w:hAnsi="Times New Roman" w:cs="Times New Roman"/>
          <w:b/>
          <w:bCs/>
          <w:color w:val="000000"/>
          <w:sz w:val="20"/>
          <w:szCs w:val="20"/>
          <w:lang w:eastAsia="en-IN"/>
        </w:rPr>
        <w:t>3.3</w:t>
      </w:r>
      <w:r>
        <w:rPr>
          <w:color w:val="000000"/>
          <w:sz w:val="20"/>
          <w:szCs w:val="20"/>
          <w:lang w:eastAsia="en-IN"/>
        </w:rPr>
        <w:t xml:space="preserve"> </w:t>
      </w:r>
      <w:r>
        <w:rPr>
          <w:rFonts w:ascii="Times New Roman" w:hAnsi="Times New Roman" w:cs="Times New Roman"/>
          <w:b/>
          <w:color w:val="000000"/>
          <w:sz w:val="20"/>
          <w:szCs w:val="20"/>
        </w:rPr>
        <w:t xml:space="preserve">   Bio</w:t>
      </w:r>
      <w:r>
        <w:rPr>
          <w:rFonts w:hint="default" w:ascii="Times New Roman" w:hAnsi="Times New Roman" w:cs="Times New Roman"/>
          <w:b/>
          <w:color w:val="000000"/>
          <w:sz w:val="20"/>
          <w:szCs w:val="20"/>
          <w:lang w:val="en-IN"/>
        </w:rPr>
        <w:t>-</w:t>
      </w:r>
      <w:r>
        <w:rPr>
          <w:rFonts w:ascii="Times New Roman" w:hAnsi="Times New Roman" w:cs="Times New Roman"/>
          <w:b/>
          <w:color w:val="000000"/>
          <w:sz w:val="20"/>
          <w:szCs w:val="20"/>
        </w:rPr>
        <w:t>efficacy</w:t>
      </w:r>
      <w:r>
        <w:rPr>
          <w:rFonts w:ascii="Times New Roman" w:hAnsi="Times New Roman" w:cs="Times New Roman"/>
          <w:b/>
          <w:color w:val="000000"/>
          <w:spacing w:val="3"/>
          <w:sz w:val="20"/>
          <w:szCs w:val="20"/>
        </w:rPr>
        <w:t xml:space="preserve"> </w:t>
      </w:r>
      <w:r>
        <w:rPr>
          <w:rFonts w:ascii="Times New Roman" w:hAnsi="Times New Roman" w:cs="Times New Roman"/>
          <w:b/>
          <w:color w:val="000000"/>
          <w:sz w:val="20"/>
          <w:szCs w:val="20"/>
        </w:rPr>
        <w:t>of</w:t>
      </w:r>
      <w:r>
        <w:rPr>
          <w:rFonts w:ascii="Times New Roman" w:hAnsi="Times New Roman" w:cs="Times New Roman"/>
          <w:b/>
          <w:color w:val="000000"/>
          <w:spacing w:val="64"/>
          <w:sz w:val="20"/>
          <w:szCs w:val="20"/>
        </w:rPr>
        <w:t xml:space="preserve"> </w:t>
      </w:r>
      <w:r>
        <w:rPr>
          <w:rFonts w:ascii="Times New Roman" w:hAnsi="Times New Roman" w:cs="Times New Roman"/>
          <w:b/>
          <w:color w:val="000000"/>
          <w:sz w:val="20"/>
          <w:szCs w:val="20"/>
        </w:rPr>
        <w:t>various</w:t>
      </w:r>
      <w:r>
        <w:rPr>
          <w:rFonts w:ascii="Times New Roman" w:hAnsi="Times New Roman" w:cs="Times New Roman"/>
          <w:b/>
          <w:color w:val="000000"/>
          <w:spacing w:val="60"/>
          <w:sz w:val="20"/>
          <w:szCs w:val="20"/>
        </w:rPr>
        <w:t xml:space="preserve"> </w:t>
      </w:r>
      <w:r>
        <w:rPr>
          <w:rFonts w:ascii="Times New Roman" w:hAnsi="Times New Roman" w:cs="Times New Roman"/>
          <w:b/>
          <w:color w:val="000000"/>
          <w:sz w:val="20"/>
          <w:szCs w:val="20"/>
        </w:rPr>
        <w:t>insecticides</w:t>
      </w:r>
      <w:r>
        <w:rPr>
          <w:rFonts w:ascii="Times New Roman" w:hAnsi="Times New Roman" w:cs="Times New Roman"/>
          <w:b/>
          <w:color w:val="000000"/>
          <w:spacing w:val="63"/>
          <w:sz w:val="20"/>
          <w:szCs w:val="20"/>
        </w:rPr>
        <w:t xml:space="preserve"> </w:t>
      </w:r>
      <w:r>
        <w:rPr>
          <w:rFonts w:ascii="Times New Roman" w:hAnsi="Times New Roman" w:cs="Times New Roman"/>
          <w:b/>
          <w:color w:val="000000"/>
          <w:sz w:val="20"/>
          <w:szCs w:val="20"/>
        </w:rPr>
        <w:t>against</w:t>
      </w:r>
      <w:r>
        <w:rPr>
          <w:rFonts w:ascii="Times New Roman" w:hAnsi="Times New Roman" w:cs="Times New Roman"/>
          <w:b/>
          <w:color w:val="000000"/>
          <w:spacing w:val="62"/>
          <w:sz w:val="20"/>
          <w:szCs w:val="20"/>
        </w:rPr>
        <w:t xml:space="preserve"> </w:t>
      </w:r>
      <w:r>
        <w:rPr>
          <w:rFonts w:ascii="Times New Roman" w:hAnsi="Times New Roman" w:cs="Times New Roman"/>
          <w:b/>
          <w:color w:val="000000"/>
          <w:sz w:val="20"/>
          <w:szCs w:val="20"/>
        </w:rPr>
        <w:t>Pear</w:t>
      </w:r>
      <w:r>
        <w:rPr>
          <w:rFonts w:ascii="Times New Roman" w:hAnsi="Times New Roman" w:cs="Times New Roman"/>
          <w:b/>
          <w:color w:val="000000"/>
          <w:spacing w:val="64"/>
          <w:sz w:val="20"/>
          <w:szCs w:val="20"/>
        </w:rPr>
        <w:t xml:space="preserve"> </w:t>
      </w:r>
      <w:r>
        <w:rPr>
          <w:rFonts w:ascii="Times New Roman" w:hAnsi="Times New Roman" w:cs="Times New Roman"/>
          <w:b/>
          <w:color w:val="000000"/>
          <w:sz w:val="20"/>
          <w:szCs w:val="20"/>
        </w:rPr>
        <w:t>Psylla</w:t>
      </w:r>
      <w:r>
        <w:rPr>
          <w:rFonts w:ascii="Times New Roman" w:hAnsi="Times New Roman" w:cs="Times New Roman"/>
          <w:b/>
          <w:color w:val="000000"/>
          <w:spacing w:val="62"/>
          <w:sz w:val="20"/>
          <w:szCs w:val="20"/>
        </w:rPr>
        <w:t xml:space="preserve"> </w:t>
      </w:r>
      <w:r>
        <w:rPr>
          <w:rFonts w:ascii="Times New Roman" w:hAnsi="Times New Roman" w:cs="Times New Roman"/>
          <w:b/>
          <w:color w:val="000000"/>
          <w:sz w:val="20"/>
          <w:szCs w:val="20"/>
        </w:rPr>
        <w:t>(</w:t>
      </w:r>
      <w:r>
        <w:rPr>
          <w:rFonts w:ascii="Times New Roman" w:hAnsi="Times New Roman" w:cs="Times New Roman"/>
          <w:b/>
          <w:i/>
          <w:color w:val="000000"/>
          <w:sz w:val="20"/>
          <w:szCs w:val="20"/>
        </w:rPr>
        <w:t>Cacopsylla</w:t>
      </w:r>
      <w:r>
        <w:rPr>
          <w:rFonts w:ascii="Times New Roman" w:hAnsi="Times New Roman" w:cs="Times New Roman"/>
          <w:b/>
          <w:i/>
          <w:color w:val="000000"/>
          <w:spacing w:val="62"/>
          <w:sz w:val="20"/>
          <w:szCs w:val="20"/>
        </w:rPr>
        <w:t xml:space="preserve"> </w:t>
      </w:r>
      <w:r>
        <w:rPr>
          <w:rFonts w:ascii="Times New Roman" w:hAnsi="Times New Roman" w:cs="Times New Roman"/>
          <w:b/>
          <w:i/>
          <w:color w:val="000000"/>
          <w:sz w:val="20"/>
          <w:szCs w:val="20"/>
        </w:rPr>
        <w:t>pyricola</w:t>
      </w:r>
      <w:r>
        <w:rPr>
          <w:rFonts w:ascii="Times New Roman" w:hAnsi="Times New Roman" w:cs="Times New Roman"/>
          <w:b/>
          <w:bCs/>
          <w:color w:val="000000"/>
          <w:sz w:val="20"/>
          <w:szCs w:val="20"/>
        </w:rPr>
        <w:t>)</w:t>
      </w:r>
      <w:r>
        <w:rPr>
          <w:rFonts w:ascii="Times New Roman" w:hAnsi="Times New Roman" w:cs="Times New Roman"/>
          <w:b/>
          <w:bCs/>
          <w:color w:val="000000"/>
          <w:spacing w:val="-3"/>
          <w:sz w:val="20"/>
          <w:szCs w:val="20"/>
        </w:rPr>
        <w:t xml:space="preserve"> </w:t>
      </w:r>
      <w:r>
        <w:rPr>
          <w:rFonts w:ascii="Times New Roman" w:hAnsi="Times New Roman" w:cs="Times New Roman"/>
          <w:b/>
          <w:bCs/>
          <w:color w:val="000000"/>
          <w:sz w:val="20"/>
          <w:szCs w:val="20"/>
        </w:rPr>
        <w:t>on pear</w:t>
      </w:r>
    </w:p>
    <w:p w14:paraId="0A52F116">
      <w:pPr>
        <w:widowControl w:val="0"/>
        <w:tabs>
          <w:tab w:val="left" w:pos="142"/>
        </w:tabs>
        <w:autoSpaceDE w:val="0"/>
        <w:autoSpaceDN w:val="0"/>
        <w:spacing w:before="120" w:after="120" w:line="240" w:lineRule="auto"/>
        <w:jc w:val="both"/>
        <w:rPr>
          <w:rFonts w:ascii="Times New Roman" w:hAnsi="Times New Roman" w:cs="Times New Roman"/>
          <w:color w:val="000000"/>
          <w:sz w:val="20"/>
          <w:szCs w:val="20"/>
          <w:lang w:eastAsia="en-IN"/>
        </w:rPr>
        <w:sectPr>
          <w:headerReference r:id="rId13" w:type="first"/>
          <w:headerReference r:id="rId11" w:type="default"/>
          <w:footerReference r:id="rId14" w:type="default"/>
          <w:headerReference r:id="rId12" w:type="even"/>
          <w:type w:val="continuous"/>
          <w:pgSz w:w="11906" w:h="16838"/>
          <w:pgMar w:top="1440" w:right="1440" w:bottom="1440" w:left="1440" w:header="708" w:footer="708" w:gutter="0"/>
          <w:cols w:space="708" w:num="1"/>
          <w:docGrid w:linePitch="360" w:charSpace="0"/>
        </w:sectPr>
      </w:pPr>
      <w:r>
        <w:rPr>
          <w:rFonts w:ascii="Times New Roman" w:hAnsi="Times New Roman" w:cs="Times New Roman"/>
          <w:sz w:val="20"/>
          <w:szCs w:val="20"/>
          <w:lang w:eastAsia="en-IN"/>
        </w:rPr>
        <w:t xml:space="preserve">Perusal of data Table 7 and Figure 3 revealed </w:t>
      </w:r>
      <w:r>
        <w:rPr>
          <w:rFonts w:ascii="Times New Roman" w:hAnsi="Times New Roman" w:cs="Times New Roman"/>
          <w:color w:val="000000"/>
          <w:sz w:val="20"/>
          <w:szCs w:val="20"/>
          <w:lang w:eastAsia="en-IN"/>
        </w:rPr>
        <w:t>the findings from a field experiment that assessed the effectiveness of several newer groups of insecticides on pear psylla documented that Cyantraniliprole proved to be the most effective with an efficacy of 92.74%. The next effective treatment was Acetamiprid, reducing the population by 90.87 percent compared to that of the control group. Dimethoate and Spinosad, with percent population reductions of 89.70 and 82.43 percent, respectively were next effective treatment. However, Flubendiamide proved to be the least successful treatment with an efficacy of 77.20 percent.</w:t>
      </w:r>
    </w:p>
    <w:p w14:paraId="472B860B">
      <w:pPr>
        <w:pStyle w:val="3"/>
        <w:tabs>
          <w:tab w:val="left" w:pos="709"/>
        </w:tabs>
        <w:spacing w:before="120" w:after="120"/>
        <w:jc w:val="both"/>
        <w:rPr>
          <w:color w:val="000000"/>
        </w:rPr>
      </w:pPr>
      <w:bookmarkStart w:id="0" w:name="_Hlk173773143"/>
    </w:p>
    <w:p w14:paraId="29090F75">
      <w:pPr>
        <w:pStyle w:val="3"/>
        <w:tabs>
          <w:tab w:val="left" w:pos="709"/>
        </w:tabs>
        <w:spacing w:before="120" w:after="120"/>
        <w:jc w:val="both"/>
        <w:rPr>
          <w:color w:val="000000"/>
        </w:rPr>
      </w:pPr>
      <w:r>
        <w:rPr>
          <w:color w:val="000000"/>
        </w:rPr>
        <w:t>Table</w:t>
      </w:r>
      <w:r>
        <w:rPr>
          <w:color w:val="000000"/>
          <w:spacing w:val="-1"/>
        </w:rPr>
        <w:t xml:space="preserve"> </w:t>
      </w:r>
      <w:r>
        <w:rPr>
          <w:color w:val="000000"/>
        </w:rPr>
        <w:t>7:</w:t>
      </w:r>
      <w:r>
        <w:rPr>
          <w:color w:val="000000"/>
        </w:rPr>
        <w:tab/>
      </w:r>
      <w:r>
        <w:t>Bio</w:t>
      </w:r>
      <w:r>
        <w:rPr>
          <w:rFonts w:hint="default"/>
          <w:lang w:val="en-IN"/>
        </w:rPr>
        <w:t>-</w:t>
      </w:r>
      <w:r>
        <w:t>efficacy of various insecticides in population reduction of Pear Psylla (</w:t>
      </w:r>
      <w:r>
        <w:rPr>
          <w:i/>
          <w:iCs/>
        </w:rPr>
        <w:t>Cacopsylla pyricola</w:t>
      </w:r>
      <w:r>
        <w:t>) at FOH, SKUAST-K, Shalimar during the year 2023</w:t>
      </w:r>
    </w:p>
    <w:tbl>
      <w:tblPr>
        <w:tblStyle w:val="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93"/>
        <w:gridCol w:w="2128"/>
        <w:gridCol w:w="908"/>
        <w:gridCol w:w="1241"/>
        <w:gridCol w:w="947"/>
        <w:gridCol w:w="852"/>
        <w:gridCol w:w="853"/>
        <w:gridCol w:w="979"/>
      </w:tblGrid>
      <w:tr w14:paraId="438E9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82" w:type="pct"/>
            <w:vMerge w:val="restart"/>
            <w:vAlign w:val="center"/>
          </w:tcPr>
          <w:p w14:paraId="4654EF94">
            <w:pPr>
              <w:pStyle w:val="44"/>
              <w:spacing w:before="80" w:after="80"/>
              <w:ind w:left="403" w:right="67" w:hanging="312"/>
              <w:jc w:val="center"/>
              <w:rPr>
                <w:b/>
                <w:spacing w:val="-57"/>
                <w:sz w:val="20"/>
                <w:szCs w:val="20"/>
              </w:rPr>
            </w:pPr>
            <w:r>
              <w:rPr>
                <w:b/>
                <w:spacing w:val="-1"/>
                <w:sz w:val="20"/>
                <w:szCs w:val="20"/>
              </w:rPr>
              <w:t>Treatments</w:t>
            </w:r>
            <w:r>
              <w:rPr>
                <w:b/>
                <w:spacing w:val="-57"/>
                <w:sz w:val="20"/>
                <w:szCs w:val="20"/>
              </w:rPr>
              <w:t xml:space="preserve"> </w:t>
            </w:r>
          </w:p>
          <w:p w14:paraId="5BA2B127">
            <w:pPr>
              <w:pStyle w:val="44"/>
              <w:spacing w:before="80" w:after="80"/>
              <w:ind w:left="403" w:right="67" w:hanging="312"/>
              <w:jc w:val="center"/>
              <w:rPr>
                <w:b/>
                <w:sz w:val="20"/>
                <w:szCs w:val="20"/>
              </w:rPr>
            </w:pPr>
          </w:p>
        </w:tc>
        <w:tc>
          <w:tcPr>
            <w:tcW w:w="1038" w:type="pct"/>
            <w:vMerge w:val="restart"/>
            <w:vAlign w:val="center"/>
          </w:tcPr>
          <w:p w14:paraId="0B73011C">
            <w:pPr>
              <w:pStyle w:val="44"/>
              <w:spacing w:before="80" w:after="80"/>
              <w:rPr>
                <w:b/>
                <w:sz w:val="20"/>
                <w:szCs w:val="20"/>
              </w:rPr>
            </w:pPr>
            <w:r>
              <w:rPr>
                <w:b/>
                <w:sz w:val="20"/>
                <w:szCs w:val="20"/>
              </w:rPr>
              <w:t xml:space="preserve"> Insecticide Used</w:t>
            </w:r>
          </w:p>
        </w:tc>
        <w:tc>
          <w:tcPr>
            <w:tcW w:w="519" w:type="pct"/>
            <w:vMerge w:val="restart"/>
            <w:vAlign w:val="center"/>
          </w:tcPr>
          <w:p w14:paraId="55FE3DC7">
            <w:pPr>
              <w:pStyle w:val="44"/>
              <w:spacing w:before="80" w:after="80"/>
              <w:ind w:left="105" w:right="88" w:firstLine="93"/>
              <w:jc w:val="center"/>
              <w:rPr>
                <w:b/>
                <w:sz w:val="20"/>
                <w:szCs w:val="20"/>
              </w:rPr>
            </w:pPr>
            <w:r>
              <w:rPr>
                <w:b/>
                <w:sz w:val="20"/>
                <w:szCs w:val="20"/>
              </w:rPr>
              <w:t>Dosage</w:t>
            </w:r>
            <w:r>
              <w:rPr>
                <w:b/>
                <w:spacing w:val="1"/>
                <w:sz w:val="20"/>
                <w:szCs w:val="20"/>
              </w:rPr>
              <w:t xml:space="preserve"> </w:t>
            </w:r>
            <w:r>
              <w:rPr>
                <w:b/>
                <w:spacing w:val="-1"/>
                <w:sz w:val="20"/>
                <w:szCs w:val="20"/>
              </w:rPr>
              <w:t>(ml/g per litre)</w:t>
            </w:r>
          </w:p>
        </w:tc>
        <w:tc>
          <w:tcPr>
            <w:tcW w:w="813" w:type="pct"/>
            <w:vMerge w:val="restart"/>
            <w:vAlign w:val="center"/>
          </w:tcPr>
          <w:p w14:paraId="1594D463">
            <w:pPr>
              <w:pStyle w:val="44"/>
              <w:spacing w:before="80" w:after="80"/>
              <w:ind w:left="184" w:right="173" w:hanging="3"/>
              <w:jc w:val="center"/>
              <w:rPr>
                <w:b/>
                <w:sz w:val="20"/>
                <w:szCs w:val="20"/>
              </w:rPr>
            </w:pPr>
            <w:r>
              <w:rPr>
                <w:b/>
                <w:sz w:val="20"/>
                <w:szCs w:val="20"/>
              </w:rPr>
              <w:t>Pre-treatment count</w:t>
            </w:r>
          </w:p>
        </w:tc>
        <w:tc>
          <w:tcPr>
            <w:tcW w:w="1462" w:type="pct"/>
            <w:gridSpan w:val="3"/>
            <w:vAlign w:val="center"/>
          </w:tcPr>
          <w:p w14:paraId="09A48C52">
            <w:pPr>
              <w:pStyle w:val="44"/>
              <w:spacing w:before="80" w:after="80"/>
              <w:ind w:left="346"/>
              <w:jc w:val="center"/>
              <w:rPr>
                <w:b/>
                <w:sz w:val="20"/>
                <w:szCs w:val="20"/>
              </w:rPr>
            </w:pPr>
            <w:r>
              <w:rPr>
                <w:b/>
                <w:sz w:val="20"/>
                <w:szCs w:val="20"/>
              </w:rPr>
              <w:t>Percent pest reduction</w:t>
            </w:r>
          </w:p>
          <w:p w14:paraId="08A7DBAB">
            <w:pPr>
              <w:pStyle w:val="44"/>
              <w:spacing w:before="80" w:after="80"/>
              <w:ind w:left="346"/>
              <w:jc w:val="center"/>
              <w:rPr>
                <w:b/>
                <w:sz w:val="20"/>
                <w:szCs w:val="20"/>
              </w:rPr>
            </w:pPr>
            <w:r>
              <w:rPr>
                <w:b/>
                <w:sz w:val="20"/>
                <w:szCs w:val="20"/>
              </w:rPr>
              <w:t>Days after treatment</w:t>
            </w:r>
          </w:p>
        </w:tc>
        <w:tc>
          <w:tcPr>
            <w:tcW w:w="585" w:type="pct"/>
            <w:vMerge w:val="restart"/>
            <w:vAlign w:val="center"/>
          </w:tcPr>
          <w:p w14:paraId="2AA2D33D">
            <w:pPr>
              <w:pStyle w:val="44"/>
              <w:spacing w:before="80" w:after="80"/>
              <w:ind w:left="268" w:right="157" w:hanging="94"/>
              <w:jc w:val="center"/>
              <w:rPr>
                <w:b/>
                <w:sz w:val="20"/>
                <w:szCs w:val="20"/>
              </w:rPr>
            </w:pPr>
            <w:r>
              <w:rPr>
                <w:b/>
                <w:spacing w:val="-1"/>
                <w:sz w:val="20"/>
                <w:szCs w:val="20"/>
              </w:rPr>
              <w:t>Overall</w:t>
            </w:r>
            <w:r>
              <w:rPr>
                <w:b/>
                <w:spacing w:val="-57"/>
                <w:sz w:val="20"/>
                <w:szCs w:val="20"/>
              </w:rPr>
              <w:t xml:space="preserve"> </w:t>
            </w:r>
            <w:r>
              <w:rPr>
                <w:b/>
                <w:sz w:val="20"/>
                <w:szCs w:val="20"/>
              </w:rPr>
              <w:t>Mean</w:t>
            </w:r>
          </w:p>
        </w:tc>
      </w:tr>
      <w:tr w14:paraId="7C433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582" w:type="pct"/>
            <w:vMerge w:val="continue"/>
            <w:tcBorders>
              <w:top w:val="nil"/>
            </w:tcBorders>
            <w:vAlign w:val="center"/>
          </w:tcPr>
          <w:p w14:paraId="4FC7A06B">
            <w:pPr>
              <w:spacing w:before="80" w:after="80"/>
              <w:jc w:val="center"/>
              <w:rPr>
                <w:sz w:val="20"/>
                <w:szCs w:val="20"/>
              </w:rPr>
            </w:pPr>
          </w:p>
        </w:tc>
        <w:tc>
          <w:tcPr>
            <w:tcW w:w="1038" w:type="pct"/>
            <w:vMerge w:val="continue"/>
            <w:tcBorders>
              <w:top w:val="nil"/>
            </w:tcBorders>
            <w:vAlign w:val="center"/>
          </w:tcPr>
          <w:p w14:paraId="3861F706">
            <w:pPr>
              <w:spacing w:before="80" w:after="80"/>
              <w:jc w:val="center"/>
              <w:rPr>
                <w:sz w:val="20"/>
                <w:szCs w:val="20"/>
              </w:rPr>
            </w:pPr>
          </w:p>
        </w:tc>
        <w:tc>
          <w:tcPr>
            <w:tcW w:w="519" w:type="pct"/>
            <w:vMerge w:val="continue"/>
            <w:tcBorders>
              <w:top w:val="nil"/>
            </w:tcBorders>
            <w:vAlign w:val="center"/>
          </w:tcPr>
          <w:p w14:paraId="214E65F7">
            <w:pPr>
              <w:spacing w:before="80" w:after="80"/>
              <w:jc w:val="center"/>
              <w:rPr>
                <w:sz w:val="20"/>
                <w:szCs w:val="20"/>
              </w:rPr>
            </w:pPr>
          </w:p>
        </w:tc>
        <w:tc>
          <w:tcPr>
            <w:tcW w:w="813" w:type="pct"/>
            <w:vMerge w:val="continue"/>
            <w:tcBorders>
              <w:top w:val="nil"/>
            </w:tcBorders>
            <w:vAlign w:val="center"/>
          </w:tcPr>
          <w:p w14:paraId="57AA84D4">
            <w:pPr>
              <w:spacing w:before="80" w:after="80"/>
              <w:jc w:val="center"/>
              <w:rPr>
                <w:sz w:val="20"/>
                <w:szCs w:val="20"/>
              </w:rPr>
            </w:pPr>
          </w:p>
        </w:tc>
        <w:tc>
          <w:tcPr>
            <w:tcW w:w="506" w:type="pct"/>
            <w:vAlign w:val="center"/>
          </w:tcPr>
          <w:p w14:paraId="43B69986">
            <w:pPr>
              <w:pStyle w:val="44"/>
              <w:spacing w:before="80" w:after="80"/>
              <w:ind w:left="145" w:right="142"/>
              <w:jc w:val="center"/>
              <w:rPr>
                <w:b/>
                <w:sz w:val="20"/>
                <w:szCs w:val="20"/>
              </w:rPr>
            </w:pPr>
            <w:r>
              <w:rPr>
                <w:b/>
                <w:sz w:val="20"/>
                <w:szCs w:val="20"/>
              </w:rPr>
              <w:t>3</w:t>
            </w:r>
            <w:r>
              <w:rPr>
                <w:b/>
                <w:spacing w:val="-2"/>
                <w:sz w:val="20"/>
                <w:szCs w:val="20"/>
              </w:rPr>
              <w:t xml:space="preserve"> </w:t>
            </w:r>
            <w:r>
              <w:rPr>
                <w:b/>
                <w:sz w:val="20"/>
                <w:szCs w:val="20"/>
              </w:rPr>
              <w:t>DAT</w:t>
            </w:r>
          </w:p>
        </w:tc>
        <w:tc>
          <w:tcPr>
            <w:tcW w:w="477" w:type="pct"/>
            <w:vAlign w:val="center"/>
          </w:tcPr>
          <w:p w14:paraId="4F2C81B8">
            <w:pPr>
              <w:pStyle w:val="44"/>
              <w:spacing w:before="80" w:after="80"/>
              <w:ind w:left="94" w:right="94"/>
              <w:jc w:val="center"/>
              <w:rPr>
                <w:b/>
                <w:sz w:val="20"/>
                <w:szCs w:val="20"/>
              </w:rPr>
            </w:pPr>
            <w:r>
              <w:rPr>
                <w:b/>
                <w:sz w:val="20"/>
                <w:szCs w:val="20"/>
              </w:rPr>
              <w:t>7</w:t>
            </w:r>
            <w:r>
              <w:rPr>
                <w:b/>
                <w:spacing w:val="-2"/>
                <w:sz w:val="20"/>
                <w:szCs w:val="20"/>
              </w:rPr>
              <w:t xml:space="preserve"> </w:t>
            </w:r>
            <w:r>
              <w:rPr>
                <w:b/>
                <w:sz w:val="20"/>
                <w:szCs w:val="20"/>
              </w:rPr>
              <w:t>DAT</w:t>
            </w:r>
          </w:p>
        </w:tc>
        <w:tc>
          <w:tcPr>
            <w:tcW w:w="479" w:type="pct"/>
            <w:vAlign w:val="center"/>
          </w:tcPr>
          <w:p w14:paraId="79795A17">
            <w:pPr>
              <w:pStyle w:val="44"/>
              <w:spacing w:before="80" w:after="80"/>
              <w:ind w:left="94" w:right="94"/>
              <w:jc w:val="center"/>
              <w:rPr>
                <w:b/>
                <w:sz w:val="20"/>
                <w:szCs w:val="20"/>
              </w:rPr>
            </w:pPr>
            <w:r>
              <w:rPr>
                <w:b/>
                <w:sz w:val="20"/>
                <w:szCs w:val="20"/>
              </w:rPr>
              <w:t>15</w:t>
            </w:r>
            <w:r>
              <w:rPr>
                <w:b/>
                <w:spacing w:val="-3"/>
                <w:sz w:val="20"/>
                <w:szCs w:val="20"/>
              </w:rPr>
              <w:t xml:space="preserve"> </w:t>
            </w:r>
            <w:r>
              <w:rPr>
                <w:b/>
                <w:sz w:val="20"/>
                <w:szCs w:val="20"/>
              </w:rPr>
              <w:t>DAT</w:t>
            </w:r>
          </w:p>
        </w:tc>
        <w:tc>
          <w:tcPr>
            <w:tcW w:w="585" w:type="pct"/>
            <w:vMerge w:val="continue"/>
            <w:vAlign w:val="center"/>
          </w:tcPr>
          <w:p w14:paraId="3F8213ED">
            <w:pPr>
              <w:spacing w:before="80" w:after="80"/>
              <w:jc w:val="center"/>
              <w:rPr>
                <w:sz w:val="20"/>
                <w:szCs w:val="20"/>
              </w:rPr>
            </w:pPr>
          </w:p>
        </w:tc>
      </w:tr>
      <w:tr w14:paraId="50D78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582" w:type="pct"/>
            <w:vAlign w:val="center"/>
          </w:tcPr>
          <w:p w14:paraId="38A4E04C">
            <w:pPr>
              <w:pStyle w:val="44"/>
              <w:spacing w:before="80" w:after="80"/>
              <w:ind w:right="510"/>
              <w:jc w:val="center"/>
              <w:rPr>
                <w:b/>
                <w:bCs/>
                <w:sz w:val="20"/>
                <w:szCs w:val="20"/>
              </w:rPr>
            </w:pPr>
            <w:r>
              <w:rPr>
                <w:b/>
                <w:bCs/>
                <w:sz w:val="20"/>
                <w:szCs w:val="20"/>
              </w:rPr>
              <w:t>T</w:t>
            </w:r>
            <w:r>
              <w:rPr>
                <w:b/>
                <w:bCs/>
                <w:sz w:val="20"/>
                <w:szCs w:val="20"/>
                <w:vertAlign w:val="subscript"/>
              </w:rPr>
              <w:t>1</w:t>
            </w:r>
          </w:p>
        </w:tc>
        <w:tc>
          <w:tcPr>
            <w:tcW w:w="1038" w:type="pct"/>
            <w:vAlign w:val="center"/>
          </w:tcPr>
          <w:p w14:paraId="283D8745">
            <w:pPr>
              <w:pStyle w:val="44"/>
              <w:spacing w:before="80" w:after="80"/>
              <w:ind w:firstLine="189"/>
              <w:jc w:val="both"/>
              <w:rPr>
                <w:b/>
                <w:bCs/>
                <w:sz w:val="20"/>
                <w:szCs w:val="20"/>
              </w:rPr>
            </w:pPr>
            <w:r>
              <w:rPr>
                <w:b/>
                <w:bCs/>
                <w:sz w:val="20"/>
                <w:szCs w:val="20"/>
              </w:rPr>
              <w:t xml:space="preserve">Cyantraniliprole </w:t>
            </w:r>
          </w:p>
          <w:p w14:paraId="5B7B3CBA">
            <w:pPr>
              <w:pStyle w:val="44"/>
              <w:spacing w:before="80" w:after="80"/>
              <w:ind w:firstLine="189"/>
              <w:jc w:val="both"/>
              <w:rPr>
                <w:sz w:val="20"/>
                <w:szCs w:val="20"/>
              </w:rPr>
            </w:pPr>
            <w:r>
              <w:rPr>
                <w:b/>
                <w:bCs/>
                <w:sz w:val="20"/>
                <w:szCs w:val="20"/>
              </w:rPr>
              <w:t xml:space="preserve"> (10.26%OD</w:t>
            </w:r>
            <w:r>
              <w:rPr>
                <w:sz w:val="20"/>
                <w:szCs w:val="20"/>
              </w:rPr>
              <w:t>)</w:t>
            </w:r>
          </w:p>
        </w:tc>
        <w:tc>
          <w:tcPr>
            <w:tcW w:w="519" w:type="pct"/>
            <w:vAlign w:val="center"/>
          </w:tcPr>
          <w:p w14:paraId="21D5A388">
            <w:pPr>
              <w:pStyle w:val="44"/>
              <w:spacing w:before="80" w:after="80"/>
              <w:ind w:left="116" w:right="110"/>
              <w:jc w:val="center"/>
              <w:rPr>
                <w:sz w:val="20"/>
                <w:szCs w:val="20"/>
              </w:rPr>
            </w:pPr>
            <w:r>
              <w:rPr>
                <w:sz w:val="20"/>
                <w:szCs w:val="20"/>
              </w:rPr>
              <w:t>1.2</w:t>
            </w:r>
          </w:p>
        </w:tc>
        <w:tc>
          <w:tcPr>
            <w:tcW w:w="813" w:type="pct"/>
            <w:vAlign w:val="center"/>
          </w:tcPr>
          <w:p w14:paraId="1BEF6AD4">
            <w:pPr>
              <w:pStyle w:val="44"/>
              <w:spacing w:before="80" w:after="80"/>
              <w:ind w:left="647"/>
              <w:rPr>
                <w:sz w:val="20"/>
                <w:szCs w:val="20"/>
              </w:rPr>
            </w:pPr>
            <w:r>
              <w:rPr>
                <w:sz w:val="20"/>
                <w:szCs w:val="20"/>
              </w:rPr>
              <w:t>18.25</w:t>
            </w:r>
          </w:p>
          <w:p w14:paraId="4AE2195D">
            <w:pPr>
              <w:pStyle w:val="44"/>
              <w:spacing w:before="80" w:after="80"/>
              <w:ind w:left="647"/>
              <w:rPr>
                <w:sz w:val="20"/>
                <w:szCs w:val="20"/>
              </w:rPr>
            </w:pPr>
            <w:r>
              <w:rPr>
                <w:sz w:val="20"/>
                <w:szCs w:val="20"/>
              </w:rPr>
              <w:t xml:space="preserve">(25.29) </w:t>
            </w:r>
          </w:p>
        </w:tc>
        <w:tc>
          <w:tcPr>
            <w:tcW w:w="506" w:type="pct"/>
            <w:vAlign w:val="center"/>
          </w:tcPr>
          <w:p w14:paraId="5EF3D029">
            <w:pPr>
              <w:pStyle w:val="44"/>
              <w:spacing w:before="80" w:after="80"/>
              <w:ind w:left="94" w:right="93"/>
              <w:jc w:val="center"/>
              <w:rPr>
                <w:b/>
                <w:bCs/>
                <w:sz w:val="20"/>
                <w:szCs w:val="20"/>
              </w:rPr>
            </w:pPr>
            <w:r>
              <w:rPr>
                <w:b/>
                <w:bCs/>
                <w:sz w:val="20"/>
                <w:szCs w:val="20"/>
              </w:rPr>
              <w:t>90.03</w:t>
            </w:r>
          </w:p>
          <w:p w14:paraId="4A85AAC2">
            <w:pPr>
              <w:pStyle w:val="44"/>
              <w:spacing w:before="80" w:after="80"/>
              <w:ind w:right="144"/>
              <w:jc w:val="center"/>
              <w:rPr>
                <w:sz w:val="20"/>
                <w:szCs w:val="20"/>
              </w:rPr>
            </w:pPr>
            <w:r>
              <w:rPr>
                <w:b/>
                <w:bCs/>
                <w:sz w:val="20"/>
                <w:szCs w:val="20"/>
              </w:rPr>
              <w:t xml:space="preserve"> (71.59)</w:t>
            </w:r>
            <w:r>
              <w:rPr>
                <w:b/>
                <w:bCs/>
                <w:sz w:val="20"/>
                <w:szCs w:val="20"/>
                <w:vertAlign w:val="superscript"/>
              </w:rPr>
              <w:t>e</w:t>
            </w:r>
          </w:p>
        </w:tc>
        <w:tc>
          <w:tcPr>
            <w:tcW w:w="477" w:type="pct"/>
            <w:vAlign w:val="center"/>
          </w:tcPr>
          <w:p w14:paraId="04F4A39B">
            <w:pPr>
              <w:pStyle w:val="44"/>
              <w:spacing w:before="80" w:after="80"/>
              <w:ind w:left="145" w:right="141"/>
              <w:jc w:val="center"/>
              <w:rPr>
                <w:b/>
                <w:bCs/>
                <w:sz w:val="20"/>
                <w:szCs w:val="20"/>
              </w:rPr>
            </w:pPr>
            <w:r>
              <w:rPr>
                <w:b/>
                <w:bCs/>
                <w:sz w:val="20"/>
                <w:szCs w:val="20"/>
              </w:rPr>
              <w:t>92.37</w:t>
            </w:r>
          </w:p>
          <w:p w14:paraId="38351D98">
            <w:pPr>
              <w:pStyle w:val="44"/>
              <w:spacing w:before="80" w:after="80"/>
              <w:ind w:left="93" w:right="94"/>
              <w:jc w:val="center"/>
              <w:rPr>
                <w:sz w:val="20"/>
                <w:szCs w:val="20"/>
              </w:rPr>
            </w:pPr>
            <w:r>
              <w:rPr>
                <w:b/>
                <w:bCs/>
                <w:sz w:val="20"/>
                <w:szCs w:val="20"/>
              </w:rPr>
              <w:t xml:space="preserve"> (73.96)</w:t>
            </w:r>
            <w:r>
              <w:rPr>
                <w:b/>
                <w:bCs/>
                <w:sz w:val="20"/>
                <w:szCs w:val="20"/>
                <w:vertAlign w:val="superscript"/>
              </w:rPr>
              <w:t xml:space="preserve">d </w:t>
            </w:r>
          </w:p>
        </w:tc>
        <w:tc>
          <w:tcPr>
            <w:tcW w:w="479" w:type="pct"/>
            <w:vAlign w:val="center"/>
          </w:tcPr>
          <w:p w14:paraId="68BD111B">
            <w:pPr>
              <w:pStyle w:val="44"/>
              <w:spacing w:before="80" w:after="80"/>
              <w:ind w:left="94" w:right="94"/>
              <w:jc w:val="center"/>
              <w:rPr>
                <w:b/>
                <w:bCs/>
                <w:sz w:val="20"/>
                <w:szCs w:val="20"/>
              </w:rPr>
            </w:pPr>
            <w:r>
              <w:rPr>
                <w:b/>
                <w:bCs/>
                <w:sz w:val="20"/>
                <w:szCs w:val="20"/>
              </w:rPr>
              <w:t>95.84</w:t>
            </w:r>
          </w:p>
          <w:p w14:paraId="38461E30">
            <w:pPr>
              <w:pStyle w:val="44"/>
              <w:spacing w:before="80" w:after="80"/>
              <w:ind w:left="94" w:right="94"/>
              <w:jc w:val="center"/>
              <w:rPr>
                <w:sz w:val="20"/>
                <w:szCs w:val="20"/>
              </w:rPr>
            </w:pPr>
            <w:r>
              <w:rPr>
                <w:b/>
                <w:bCs/>
                <w:sz w:val="20"/>
                <w:szCs w:val="20"/>
              </w:rPr>
              <w:t>(78.23)</w:t>
            </w:r>
            <w:r>
              <w:rPr>
                <w:b/>
                <w:bCs/>
                <w:sz w:val="20"/>
                <w:szCs w:val="20"/>
                <w:vertAlign w:val="superscript"/>
              </w:rPr>
              <w:t>d</w:t>
            </w:r>
          </w:p>
        </w:tc>
        <w:tc>
          <w:tcPr>
            <w:tcW w:w="585" w:type="pct"/>
            <w:vAlign w:val="center"/>
          </w:tcPr>
          <w:p w14:paraId="7500E80F">
            <w:pPr>
              <w:pStyle w:val="44"/>
              <w:spacing w:before="80" w:after="80"/>
              <w:ind w:left="246"/>
              <w:jc w:val="center"/>
              <w:rPr>
                <w:b/>
                <w:sz w:val="20"/>
                <w:szCs w:val="20"/>
              </w:rPr>
            </w:pPr>
            <w:r>
              <w:rPr>
                <w:b/>
                <w:sz w:val="20"/>
                <w:szCs w:val="20"/>
              </w:rPr>
              <w:t>92.74</w:t>
            </w:r>
          </w:p>
          <w:p w14:paraId="3ED3725F">
            <w:pPr>
              <w:pStyle w:val="44"/>
              <w:spacing w:before="80" w:after="80"/>
              <w:ind w:left="210"/>
              <w:jc w:val="center"/>
              <w:rPr>
                <w:b/>
                <w:sz w:val="20"/>
                <w:szCs w:val="20"/>
              </w:rPr>
            </w:pPr>
            <w:r>
              <w:rPr>
                <w:b/>
                <w:sz w:val="20"/>
                <w:szCs w:val="20"/>
              </w:rPr>
              <w:t>(74.59)</w:t>
            </w:r>
          </w:p>
        </w:tc>
      </w:tr>
      <w:tr w14:paraId="2FE72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582" w:type="pct"/>
            <w:vAlign w:val="center"/>
          </w:tcPr>
          <w:p w14:paraId="778EC0EA">
            <w:pPr>
              <w:pStyle w:val="44"/>
              <w:spacing w:before="80" w:after="80"/>
              <w:ind w:right="510"/>
              <w:jc w:val="center"/>
              <w:rPr>
                <w:b/>
                <w:bCs/>
                <w:sz w:val="20"/>
                <w:szCs w:val="20"/>
              </w:rPr>
            </w:pPr>
            <w:r>
              <w:rPr>
                <w:b/>
                <w:bCs/>
                <w:sz w:val="20"/>
                <w:szCs w:val="20"/>
              </w:rPr>
              <w:t>T</w:t>
            </w:r>
            <w:r>
              <w:rPr>
                <w:b/>
                <w:bCs/>
                <w:sz w:val="20"/>
                <w:szCs w:val="20"/>
                <w:vertAlign w:val="subscript"/>
              </w:rPr>
              <w:t>2</w:t>
            </w:r>
          </w:p>
        </w:tc>
        <w:tc>
          <w:tcPr>
            <w:tcW w:w="1038" w:type="pct"/>
            <w:vAlign w:val="center"/>
          </w:tcPr>
          <w:p w14:paraId="3A8BCA2B">
            <w:pPr>
              <w:pStyle w:val="44"/>
              <w:spacing w:before="80" w:after="80"/>
              <w:ind w:firstLine="189"/>
              <w:jc w:val="both"/>
              <w:rPr>
                <w:sz w:val="20"/>
                <w:szCs w:val="20"/>
              </w:rPr>
            </w:pPr>
            <w:r>
              <w:rPr>
                <w:sz w:val="20"/>
                <w:szCs w:val="20"/>
              </w:rPr>
              <w:t>Flubendiamide</w:t>
            </w:r>
          </w:p>
          <w:p w14:paraId="1FD7A286">
            <w:pPr>
              <w:pStyle w:val="44"/>
              <w:tabs>
                <w:tab w:val="left" w:pos="1257"/>
              </w:tabs>
              <w:spacing w:before="80" w:after="80"/>
              <w:ind w:firstLine="189"/>
              <w:jc w:val="both"/>
              <w:rPr>
                <w:sz w:val="20"/>
                <w:szCs w:val="20"/>
              </w:rPr>
            </w:pPr>
            <w:r>
              <w:rPr>
                <w:sz w:val="20"/>
                <w:szCs w:val="20"/>
              </w:rPr>
              <w:t>(20%WG)</w:t>
            </w:r>
          </w:p>
        </w:tc>
        <w:tc>
          <w:tcPr>
            <w:tcW w:w="519" w:type="pct"/>
            <w:vAlign w:val="center"/>
          </w:tcPr>
          <w:p w14:paraId="2E82AC6C">
            <w:pPr>
              <w:pStyle w:val="44"/>
              <w:spacing w:before="80" w:after="80"/>
              <w:ind w:left="116" w:right="110"/>
              <w:jc w:val="center"/>
              <w:rPr>
                <w:sz w:val="20"/>
                <w:szCs w:val="20"/>
              </w:rPr>
            </w:pPr>
            <w:r>
              <w:rPr>
                <w:sz w:val="20"/>
                <w:szCs w:val="20"/>
              </w:rPr>
              <w:t>0.12</w:t>
            </w:r>
          </w:p>
        </w:tc>
        <w:tc>
          <w:tcPr>
            <w:tcW w:w="813" w:type="pct"/>
            <w:vAlign w:val="center"/>
          </w:tcPr>
          <w:p w14:paraId="661D787C">
            <w:pPr>
              <w:pStyle w:val="44"/>
              <w:spacing w:before="80" w:after="80"/>
              <w:ind w:left="647"/>
              <w:rPr>
                <w:sz w:val="20"/>
                <w:szCs w:val="20"/>
              </w:rPr>
            </w:pPr>
            <w:r>
              <w:rPr>
                <w:sz w:val="20"/>
                <w:szCs w:val="20"/>
              </w:rPr>
              <w:t>1850</w:t>
            </w:r>
          </w:p>
          <w:p w14:paraId="13A4114E">
            <w:pPr>
              <w:pStyle w:val="44"/>
              <w:spacing w:before="80" w:after="80"/>
              <w:ind w:left="647"/>
              <w:rPr>
                <w:sz w:val="20"/>
                <w:szCs w:val="20"/>
              </w:rPr>
            </w:pPr>
            <w:r>
              <w:rPr>
                <w:sz w:val="20"/>
                <w:szCs w:val="20"/>
              </w:rPr>
              <w:t>(25.47)</w:t>
            </w:r>
          </w:p>
        </w:tc>
        <w:tc>
          <w:tcPr>
            <w:tcW w:w="506" w:type="pct"/>
            <w:vAlign w:val="center"/>
          </w:tcPr>
          <w:p w14:paraId="1838922A">
            <w:pPr>
              <w:pStyle w:val="44"/>
              <w:spacing w:before="80" w:after="80"/>
              <w:ind w:left="145" w:right="141"/>
              <w:jc w:val="center"/>
              <w:rPr>
                <w:sz w:val="20"/>
                <w:szCs w:val="20"/>
              </w:rPr>
            </w:pPr>
            <w:r>
              <w:rPr>
                <w:sz w:val="20"/>
                <w:szCs w:val="20"/>
              </w:rPr>
              <w:t>73.36</w:t>
            </w:r>
          </w:p>
          <w:p w14:paraId="4D4C0AE8">
            <w:pPr>
              <w:pStyle w:val="44"/>
              <w:spacing w:before="80" w:after="80"/>
              <w:ind w:left="145" w:right="144"/>
              <w:jc w:val="center"/>
              <w:rPr>
                <w:sz w:val="20"/>
                <w:szCs w:val="20"/>
              </w:rPr>
            </w:pPr>
            <w:r>
              <w:rPr>
                <w:sz w:val="20"/>
                <w:szCs w:val="20"/>
              </w:rPr>
              <w:t>(58.92)</w:t>
            </w:r>
            <w:r>
              <w:rPr>
                <w:sz w:val="20"/>
                <w:szCs w:val="20"/>
                <w:vertAlign w:val="superscript"/>
              </w:rPr>
              <w:t>a</w:t>
            </w:r>
          </w:p>
        </w:tc>
        <w:tc>
          <w:tcPr>
            <w:tcW w:w="477" w:type="pct"/>
            <w:vAlign w:val="center"/>
          </w:tcPr>
          <w:p w14:paraId="794B4237">
            <w:pPr>
              <w:pStyle w:val="44"/>
              <w:spacing w:before="80" w:after="80"/>
              <w:ind w:left="94" w:right="93"/>
              <w:jc w:val="center"/>
              <w:rPr>
                <w:sz w:val="20"/>
                <w:szCs w:val="20"/>
              </w:rPr>
            </w:pPr>
            <w:r>
              <w:rPr>
                <w:sz w:val="20"/>
                <w:szCs w:val="20"/>
              </w:rPr>
              <w:t>77.41</w:t>
            </w:r>
          </w:p>
          <w:p w14:paraId="57383350">
            <w:pPr>
              <w:pStyle w:val="44"/>
              <w:spacing w:before="80" w:after="80"/>
              <w:ind w:left="93" w:right="94"/>
              <w:jc w:val="center"/>
              <w:rPr>
                <w:sz w:val="20"/>
                <w:szCs w:val="20"/>
              </w:rPr>
            </w:pPr>
            <w:r>
              <w:rPr>
                <w:sz w:val="20"/>
                <w:szCs w:val="20"/>
              </w:rPr>
              <w:t>(61.62)</w:t>
            </w:r>
            <w:r>
              <w:rPr>
                <w:sz w:val="20"/>
                <w:szCs w:val="20"/>
                <w:vertAlign w:val="superscript"/>
              </w:rPr>
              <w:t>a</w:t>
            </w:r>
          </w:p>
        </w:tc>
        <w:tc>
          <w:tcPr>
            <w:tcW w:w="479" w:type="pct"/>
            <w:vAlign w:val="center"/>
          </w:tcPr>
          <w:p w14:paraId="22155D4E">
            <w:pPr>
              <w:pStyle w:val="44"/>
              <w:spacing w:before="80" w:after="80"/>
              <w:ind w:left="94" w:right="93"/>
              <w:jc w:val="center"/>
              <w:rPr>
                <w:sz w:val="20"/>
                <w:szCs w:val="20"/>
              </w:rPr>
            </w:pPr>
            <w:r>
              <w:rPr>
                <w:sz w:val="20"/>
                <w:szCs w:val="20"/>
              </w:rPr>
              <w:t>80.84</w:t>
            </w:r>
          </w:p>
          <w:p w14:paraId="28A939A0">
            <w:pPr>
              <w:pStyle w:val="44"/>
              <w:spacing w:before="80" w:after="80"/>
              <w:ind w:left="94" w:right="94"/>
              <w:jc w:val="center"/>
              <w:rPr>
                <w:sz w:val="20"/>
                <w:szCs w:val="20"/>
              </w:rPr>
            </w:pPr>
            <w:r>
              <w:rPr>
                <w:sz w:val="20"/>
                <w:szCs w:val="20"/>
              </w:rPr>
              <w:t>(64.04)</w:t>
            </w:r>
            <w:r>
              <w:rPr>
                <w:sz w:val="20"/>
                <w:szCs w:val="20"/>
                <w:vertAlign w:val="superscript"/>
              </w:rPr>
              <w:t>a</w:t>
            </w:r>
          </w:p>
        </w:tc>
        <w:tc>
          <w:tcPr>
            <w:tcW w:w="585" w:type="pct"/>
            <w:vAlign w:val="center"/>
          </w:tcPr>
          <w:p w14:paraId="7F14831E">
            <w:pPr>
              <w:pStyle w:val="44"/>
              <w:spacing w:before="80" w:after="80"/>
              <w:ind w:left="246"/>
              <w:jc w:val="center"/>
              <w:rPr>
                <w:b/>
                <w:sz w:val="20"/>
                <w:szCs w:val="20"/>
              </w:rPr>
            </w:pPr>
            <w:r>
              <w:rPr>
                <w:b/>
                <w:sz w:val="20"/>
                <w:szCs w:val="20"/>
              </w:rPr>
              <w:t>77.20</w:t>
            </w:r>
          </w:p>
          <w:p w14:paraId="50F7077D">
            <w:pPr>
              <w:pStyle w:val="44"/>
              <w:spacing w:before="80" w:after="80"/>
              <w:ind w:left="210"/>
              <w:jc w:val="center"/>
              <w:rPr>
                <w:b/>
                <w:sz w:val="20"/>
                <w:szCs w:val="20"/>
              </w:rPr>
            </w:pPr>
            <w:r>
              <w:rPr>
                <w:b/>
                <w:sz w:val="20"/>
                <w:szCs w:val="20"/>
              </w:rPr>
              <w:t>(61.47)</w:t>
            </w:r>
          </w:p>
        </w:tc>
      </w:tr>
      <w:tr w14:paraId="24030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582" w:type="pct"/>
            <w:vAlign w:val="center"/>
          </w:tcPr>
          <w:p w14:paraId="52E9709C">
            <w:pPr>
              <w:pStyle w:val="44"/>
              <w:spacing w:before="80" w:after="80"/>
              <w:ind w:right="510"/>
              <w:jc w:val="center"/>
              <w:rPr>
                <w:b/>
                <w:bCs/>
                <w:sz w:val="20"/>
                <w:szCs w:val="20"/>
              </w:rPr>
            </w:pPr>
            <w:r>
              <w:rPr>
                <w:b/>
                <w:bCs/>
                <w:sz w:val="20"/>
                <w:szCs w:val="20"/>
              </w:rPr>
              <w:t>T</w:t>
            </w:r>
            <w:r>
              <w:rPr>
                <w:b/>
                <w:bCs/>
                <w:sz w:val="20"/>
                <w:szCs w:val="20"/>
                <w:vertAlign w:val="subscript"/>
              </w:rPr>
              <w:t>3</w:t>
            </w:r>
          </w:p>
        </w:tc>
        <w:tc>
          <w:tcPr>
            <w:tcW w:w="1038" w:type="pct"/>
            <w:vAlign w:val="center"/>
          </w:tcPr>
          <w:p w14:paraId="6091E291">
            <w:pPr>
              <w:pStyle w:val="44"/>
              <w:spacing w:before="80" w:after="80"/>
              <w:ind w:firstLine="189"/>
              <w:jc w:val="both"/>
              <w:rPr>
                <w:sz w:val="20"/>
                <w:szCs w:val="20"/>
              </w:rPr>
            </w:pPr>
            <w:r>
              <w:rPr>
                <w:sz w:val="20"/>
                <w:szCs w:val="20"/>
              </w:rPr>
              <w:t>Acetamiprid</w:t>
            </w:r>
          </w:p>
          <w:p w14:paraId="57ADC2F8">
            <w:pPr>
              <w:pStyle w:val="44"/>
              <w:spacing w:before="80" w:after="80"/>
              <w:ind w:firstLine="189"/>
              <w:jc w:val="both"/>
              <w:rPr>
                <w:sz w:val="20"/>
                <w:szCs w:val="20"/>
              </w:rPr>
            </w:pPr>
            <w:r>
              <w:rPr>
                <w:sz w:val="20"/>
                <w:szCs w:val="20"/>
              </w:rPr>
              <w:t>(20%SP)</w:t>
            </w:r>
          </w:p>
        </w:tc>
        <w:tc>
          <w:tcPr>
            <w:tcW w:w="519" w:type="pct"/>
            <w:vAlign w:val="center"/>
          </w:tcPr>
          <w:p w14:paraId="401D8C52">
            <w:pPr>
              <w:pStyle w:val="44"/>
              <w:spacing w:before="80" w:after="80"/>
              <w:ind w:left="116" w:right="110"/>
              <w:jc w:val="center"/>
              <w:rPr>
                <w:sz w:val="20"/>
                <w:szCs w:val="20"/>
              </w:rPr>
            </w:pPr>
            <w:r>
              <w:rPr>
                <w:sz w:val="20"/>
                <w:szCs w:val="20"/>
              </w:rPr>
              <w:t>0.15</w:t>
            </w:r>
          </w:p>
        </w:tc>
        <w:tc>
          <w:tcPr>
            <w:tcW w:w="813" w:type="pct"/>
            <w:vAlign w:val="center"/>
          </w:tcPr>
          <w:p w14:paraId="489CF2AA">
            <w:pPr>
              <w:pStyle w:val="44"/>
              <w:spacing w:before="80" w:after="80"/>
              <w:ind w:left="647"/>
              <w:rPr>
                <w:sz w:val="20"/>
                <w:szCs w:val="20"/>
              </w:rPr>
            </w:pPr>
            <w:r>
              <w:rPr>
                <w:sz w:val="20"/>
                <w:szCs w:val="20"/>
              </w:rPr>
              <w:t>19.25</w:t>
            </w:r>
          </w:p>
          <w:p w14:paraId="48164B89">
            <w:pPr>
              <w:pStyle w:val="44"/>
              <w:spacing w:before="80" w:after="80"/>
              <w:ind w:left="647"/>
              <w:rPr>
                <w:sz w:val="20"/>
                <w:szCs w:val="20"/>
              </w:rPr>
            </w:pPr>
            <w:r>
              <w:rPr>
                <w:sz w:val="20"/>
                <w:szCs w:val="20"/>
              </w:rPr>
              <w:t>(26.02)</w:t>
            </w:r>
          </w:p>
        </w:tc>
        <w:tc>
          <w:tcPr>
            <w:tcW w:w="506" w:type="pct"/>
            <w:vAlign w:val="center"/>
          </w:tcPr>
          <w:p w14:paraId="1A5C9034">
            <w:pPr>
              <w:pStyle w:val="44"/>
              <w:spacing w:before="80" w:after="80"/>
              <w:ind w:left="145" w:right="140"/>
              <w:jc w:val="center"/>
              <w:rPr>
                <w:sz w:val="20"/>
                <w:szCs w:val="20"/>
              </w:rPr>
            </w:pPr>
            <w:r>
              <w:rPr>
                <w:sz w:val="20"/>
                <w:szCs w:val="20"/>
              </w:rPr>
              <w:t>89.19</w:t>
            </w:r>
          </w:p>
          <w:p w14:paraId="6C14CEAA">
            <w:pPr>
              <w:pStyle w:val="44"/>
              <w:spacing w:before="80" w:after="80"/>
              <w:ind w:left="145" w:right="144"/>
              <w:jc w:val="center"/>
              <w:rPr>
                <w:sz w:val="20"/>
                <w:szCs w:val="20"/>
              </w:rPr>
            </w:pPr>
            <w:r>
              <w:rPr>
                <w:sz w:val="20"/>
                <w:szCs w:val="20"/>
              </w:rPr>
              <w:t>(70.80)</w:t>
            </w:r>
            <w:r>
              <w:rPr>
                <w:sz w:val="20"/>
                <w:szCs w:val="20"/>
                <w:vertAlign w:val="superscript"/>
              </w:rPr>
              <w:t>d</w:t>
            </w:r>
          </w:p>
        </w:tc>
        <w:tc>
          <w:tcPr>
            <w:tcW w:w="477" w:type="pct"/>
            <w:vAlign w:val="center"/>
          </w:tcPr>
          <w:p w14:paraId="75493D4D">
            <w:pPr>
              <w:pStyle w:val="44"/>
              <w:spacing w:before="80" w:after="80"/>
              <w:ind w:left="94" w:right="93"/>
              <w:jc w:val="center"/>
              <w:rPr>
                <w:sz w:val="20"/>
                <w:szCs w:val="20"/>
              </w:rPr>
            </w:pPr>
            <w:r>
              <w:rPr>
                <w:sz w:val="20"/>
                <w:szCs w:val="20"/>
              </w:rPr>
              <w:t>91.32</w:t>
            </w:r>
          </w:p>
          <w:p w14:paraId="15C1A265">
            <w:pPr>
              <w:pStyle w:val="44"/>
              <w:spacing w:before="80" w:after="80"/>
              <w:ind w:left="93" w:right="94"/>
              <w:jc w:val="center"/>
              <w:rPr>
                <w:sz w:val="20"/>
                <w:szCs w:val="20"/>
              </w:rPr>
            </w:pPr>
            <w:r>
              <w:rPr>
                <w:sz w:val="20"/>
                <w:szCs w:val="20"/>
              </w:rPr>
              <w:t>(72.86)</w:t>
            </w:r>
            <w:r>
              <w:rPr>
                <w:sz w:val="20"/>
                <w:szCs w:val="20"/>
                <w:vertAlign w:val="superscript"/>
              </w:rPr>
              <w:t>c</w:t>
            </w:r>
          </w:p>
        </w:tc>
        <w:tc>
          <w:tcPr>
            <w:tcW w:w="479" w:type="pct"/>
            <w:vAlign w:val="center"/>
          </w:tcPr>
          <w:p w14:paraId="407FB410">
            <w:pPr>
              <w:pStyle w:val="44"/>
              <w:spacing w:before="80" w:after="80"/>
              <w:ind w:left="94" w:right="94"/>
              <w:jc w:val="center"/>
              <w:rPr>
                <w:sz w:val="20"/>
                <w:szCs w:val="20"/>
              </w:rPr>
            </w:pPr>
            <w:r>
              <w:rPr>
                <w:sz w:val="20"/>
                <w:szCs w:val="20"/>
              </w:rPr>
              <w:t>92.11</w:t>
            </w:r>
          </w:p>
          <w:p w14:paraId="7E2BAC91">
            <w:pPr>
              <w:pStyle w:val="44"/>
              <w:spacing w:before="80" w:after="80"/>
              <w:ind w:left="94" w:right="94"/>
              <w:jc w:val="center"/>
              <w:rPr>
                <w:sz w:val="20"/>
                <w:szCs w:val="20"/>
              </w:rPr>
            </w:pPr>
            <w:r>
              <w:rPr>
                <w:sz w:val="20"/>
                <w:szCs w:val="20"/>
              </w:rPr>
              <w:t>(73.68)</w:t>
            </w:r>
            <w:r>
              <w:rPr>
                <w:sz w:val="20"/>
                <w:szCs w:val="20"/>
                <w:vertAlign w:val="superscript"/>
              </w:rPr>
              <w:t>c</w:t>
            </w:r>
          </w:p>
        </w:tc>
        <w:tc>
          <w:tcPr>
            <w:tcW w:w="585" w:type="pct"/>
            <w:vAlign w:val="center"/>
          </w:tcPr>
          <w:p w14:paraId="6C881FF3">
            <w:pPr>
              <w:pStyle w:val="44"/>
              <w:spacing w:before="80" w:after="80"/>
              <w:ind w:left="246"/>
              <w:jc w:val="center"/>
              <w:rPr>
                <w:b/>
                <w:sz w:val="20"/>
                <w:szCs w:val="20"/>
              </w:rPr>
            </w:pPr>
            <w:r>
              <w:rPr>
                <w:b/>
                <w:sz w:val="20"/>
                <w:szCs w:val="20"/>
              </w:rPr>
              <w:t>90.87</w:t>
            </w:r>
          </w:p>
          <w:p w14:paraId="3D3E8F0F">
            <w:pPr>
              <w:pStyle w:val="44"/>
              <w:spacing w:before="80" w:after="80"/>
              <w:ind w:left="210"/>
              <w:jc w:val="center"/>
              <w:rPr>
                <w:b/>
                <w:sz w:val="20"/>
                <w:szCs w:val="20"/>
              </w:rPr>
            </w:pPr>
            <w:r>
              <w:rPr>
                <w:b/>
                <w:sz w:val="20"/>
                <w:szCs w:val="20"/>
              </w:rPr>
              <w:t>(72.41)</w:t>
            </w:r>
          </w:p>
        </w:tc>
      </w:tr>
      <w:tr w14:paraId="59A07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582" w:type="pct"/>
            <w:vAlign w:val="center"/>
          </w:tcPr>
          <w:p w14:paraId="243A81B6">
            <w:pPr>
              <w:pStyle w:val="44"/>
              <w:spacing w:before="80" w:after="80"/>
              <w:ind w:right="510"/>
              <w:jc w:val="center"/>
              <w:rPr>
                <w:b/>
                <w:bCs/>
                <w:sz w:val="20"/>
                <w:szCs w:val="20"/>
              </w:rPr>
            </w:pPr>
            <w:r>
              <w:rPr>
                <w:b/>
                <w:bCs/>
                <w:sz w:val="20"/>
                <w:szCs w:val="20"/>
              </w:rPr>
              <w:t>T</w:t>
            </w:r>
            <w:r>
              <w:rPr>
                <w:b/>
                <w:bCs/>
                <w:sz w:val="20"/>
                <w:szCs w:val="20"/>
                <w:vertAlign w:val="subscript"/>
              </w:rPr>
              <w:t>4</w:t>
            </w:r>
          </w:p>
        </w:tc>
        <w:tc>
          <w:tcPr>
            <w:tcW w:w="1038" w:type="pct"/>
            <w:vAlign w:val="center"/>
          </w:tcPr>
          <w:p w14:paraId="738EEE91">
            <w:pPr>
              <w:pStyle w:val="44"/>
              <w:spacing w:before="80" w:after="80"/>
              <w:ind w:firstLine="189"/>
              <w:jc w:val="both"/>
              <w:rPr>
                <w:sz w:val="20"/>
                <w:szCs w:val="20"/>
              </w:rPr>
            </w:pPr>
            <w:r>
              <w:rPr>
                <w:sz w:val="20"/>
                <w:szCs w:val="20"/>
              </w:rPr>
              <w:t>Spinosad</w:t>
            </w:r>
          </w:p>
          <w:p w14:paraId="4D632D81">
            <w:pPr>
              <w:pStyle w:val="44"/>
              <w:spacing w:before="80" w:after="80"/>
              <w:ind w:firstLine="189"/>
              <w:jc w:val="both"/>
              <w:rPr>
                <w:sz w:val="20"/>
                <w:szCs w:val="20"/>
              </w:rPr>
            </w:pPr>
            <w:r>
              <w:rPr>
                <w:sz w:val="20"/>
                <w:szCs w:val="20"/>
              </w:rPr>
              <w:t>(45% SC)</w:t>
            </w:r>
          </w:p>
        </w:tc>
        <w:tc>
          <w:tcPr>
            <w:tcW w:w="519" w:type="pct"/>
            <w:vAlign w:val="center"/>
          </w:tcPr>
          <w:p w14:paraId="70D59F61">
            <w:pPr>
              <w:pStyle w:val="44"/>
              <w:spacing w:before="80" w:after="80"/>
              <w:ind w:left="116" w:right="110"/>
              <w:jc w:val="center"/>
              <w:rPr>
                <w:sz w:val="20"/>
                <w:szCs w:val="20"/>
              </w:rPr>
            </w:pPr>
            <w:r>
              <w:rPr>
                <w:sz w:val="20"/>
                <w:szCs w:val="20"/>
              </w:rPr>
              <w:t>0.25</w:t>
            </w:r>
          </w:p>
        </w:tc>
        <w:tc>
          <w:tcPr>
            <w:tcW w:w="813" w:type="pct"/>
            <w:vAlign w:val="center"/>
          </w:tcPr>
          <w:p w14:paraId="4E502D32">
            <w:pPr>
              <w:pStyle w:val="44"/>
              <w:spacing w:before="80" w:after="80"/>
              <w:ind w:left="647"/>
              <w:rPr>
                <w:sz w:val="20"/>
                <w:szCs w:val="20"/>
              </w:rPr>
            </w:pPr>
            <w:r>
              <w:rPr>
                <w:sz w:val="20"/>
                <w:szCs w:val="20"/>
              </w:rPr>
              <w:t>16.50</w:t>
            </w:r>
          </w:p>
          <w:p w14:paraId="74E2B2CC">
            <w:pPr>
              <w:pStyle w:val="44"/>
              <w:spacing w:before="80" w:after="80"/>
              <w:ind w:left="647"/>
              <w:rPr>
                <w:sz w:val="20"/>
                <w:szCs w:val="20"/>
              </w:rPr>
            </w:pPr>
            <w:r>
              <w:rPr>
                <w:sz w:val="20"/>
                <w:szCs w:val="20"/>
              </w:rPr>
              <w:t>(23.96)</w:t>
            </w:r>
          </w:p>
        </w:tc>
        <w:tc>
          <w:tcPr>
            <w:tcW w:w="506" w:type="pct"/>
            <w:vAlign w:val="center"/>
          </w:tcPr>
          <w:p w14:paraId="37F241EF">
            <w:pPr>
              <w:pStyle w:val="44"/>
              <w:spacing w:before="80" w:after="80"/>
              <w:ind w:left="94" w:right="93"/>
              <w:jc w:val="center"/>
              <w:rPr>
                <w:sz w:val="20"/>
                <w:szCs w:val="20"/>
              </w:rPr>
            </w:pPr>
            <w:r>
              <w:rPr>
                <w:sz w:val="20"/>
                <w:szCs w:val="20"/>
              </w:rPr>
              <w:t>79.52</w:t>
            </w:r>
          </w:p>
          <w:p w14:paraId="63D8312F">
            <w:pPr>
              <w:pStyle w:val="44"/>
              <w:spacing w:before="80" w:after="80"/>
              <w:ind w:left="145" w:right="138"/>
              <w:jc w:val="center"/>
              <w:rPr>
                <w:sz w:val="20"/>
                <w:szCs w:val="20"/>
              </w:rPr>
            </w:pPr>
            <w:r>
              <w:rPr>
                <w:sz w:val="20"/>
                <w:szCs w:val="20"/>
              </w:rPr>
              <w:t>(63.09)</w:t>
            </w:r>
            <w:r>
              <w:rPr>
                <w:sz w:val="20"/>
                <w:szCs w:val="20"/>
                <w:vertAlign w:val="superscript"/>
              </w:rPr>
              <w:t>b</w:t>
            </w:r>
          </w:p>
        </w:tc>
        <w:tc>
          <w:tcPr>
            <w:tcW w:w="477" w:type="pct"/>
            <w:vAlign w:val="center"/>
          </w:tcPr>
          <w:p w14:paraId="77E3BD39">
            <w:pPr>
              <w:pStyle w:val="44"/>
              <w:spacing w:before="80" w:after="80"/>
              <w:ind w:left="94" w:right="93"/>
              <w:jc w:val="center"/>
              <w:rPr>
                <w:sz w:val="20"/>
                <w:szCs w:val="20"/>
              </w:rPr>
            </w:pPr>
            <w:r>
              <w:rPr>
                <w:sz w:val="20"/>
                <w:szCs w:val="20"/>
              </w:rPr>
              <w:t>83.12</w:t>
            </w:r>
          </w:p>
          <w:p w14:paraId="76DF3C26">
            <w:pPr>
              <w:pStyle w:val="44"/>
              <w:spacing w:before="80" w:after="80"/>
              <w:ind w:left="93" w:right="94"/>
              <w:jc w:val="center"/>
              <w:rPr>
                <w:sz w:val="20"/>
                <w:szCs w:val="20"/>
              </w:rPr>
            </w:pPr>
            <w:r>
              <w:rPr>
                <w:sz w:val="20"/>
                <w:szCs w:val="20"/>
              </w:rPr>
              <w:t>(65.74)</w:t>
            </w:r>
            <w:r>
              <w:rPr>
                <w:sz w:val="20"/>
                <w:szCs w:val="20"/>
                <w:vertAlign w:val="superscript"/>
              </w:rPr>
              <w:t>b</w:t>
            </w:r>
          </w:p>
        </w:tc>
        <w:tc>
          <w:tcPr>
            <w:tcW w:w="479" w:type="pct"/>
            <w:vAlign w:val="center"/>
          </w:tcPr>
          <w:p w14:paraId="6D13752A">
            <w:pPr>
              <w:pStyle w:val="44"/>
              <w:spacing w:before="80" w:after="80"/>
              <w:ind w:left="145" w:right="140"/>
              <w:jc w:val="center"/>
              <w:rPr>
                <w:sz w:val="20"/>
                <w:szCs w:val="20"/>
              </w:rPr>
            </w:pPr>
            <w:r>
              <w:rPr>
                <w:sz w:val="20"/>
                <w:szCs w:val="20"/>
              </w:rPr>
              <w:t>84.65</w:t>
            </w:r>
          </w:p>
          <w:p w14:paraId="1E82B3BC">
            <w:pPr>
              <w:pStyle w:val="44"/>
              <w:spacing w:before="80" w:after="80"/>
              <w:ind w:left="94" w:right="94"/>
              <w:jc w:val="center"/>
              <w:rPr>
                <w:sz w:val="20"/>
                <w:szCs w:val="20"/>
              </w:rPr>
            </w:pPr>
            <w:r>
              <w:rPr>
                <w:sz w:val="20"/>
                <w:szCs w:val="20"/>
              </w:rPr>
              <w:t>(66.93)</w:t>
            </w:r>
            <w:r>
              <w:rPr>
                <w:sz w:val="20"/>
                <w:szCs w:val="20"/>
                <w:vertAlign w:val="superscript"/>
              </w:rPr>
              <w:t>b</w:t>
            </w:r>
          </w:p>
        </w:tc>
        <w:tc>
          <w:tcPr>
            <w:tcW w:w="585" w:type="pct"/>
            <w:vAlign w:val="center"/>
          </w:tcPr>
          <w:p w14:paraId="1736074B">
            <w:pPr>
              <w:pStyle w:val="44"/>
              <w:spacing w:before="80" w:after="80"/>
              <w:ind w:left="253"/>
              <w:jc w:val="center"/>
              <w:rPr>
                <w:b/>
                <w:sz w:val="20"/>
                <w:szCs w:val="20"/>
              </w:rPr>
            </w:pPr>
            <w:r>
              <w:rPr>
                <w:b/>
                <w:sz w:val="20"/>
                <w:szCs w:val="20"/>
              </w:rPr>
              <w:t>82.43</w:t>
            </w:r>
          </w:p>
          <w:p w14:paraId="0EC2937A">
            <w:pPr>
              <w:pStyle w:val="44"/>
              <w:spacing w:before="80" w:after="80"/>
              <w:ind w:left="210"/>
              <w:jc w:val="center"/>
              <w:rPr>
                <w:b/>
                <w:sz w:val="20"/>
                <w:szCs w:val="20"/>
              </w:rPr>
            </w:pPr>
            <w:r>
              <w:rPr>
                <w:b/>
                <w:sz w:val="20"/>
                <w:szCs w:val="20"/>
              </w:rPr>
              <w:t>(65.25)</w:t>
            </w:r>
          </w:p>
        </w:tc>
      </w:tr>
      <w:tr w14:paraId="6C8D6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582" w:type="pct"/>
            <w:vAlign w:val="center"/>
          </w:tcPr>
          <w:p w14:paraId="7B176577">
            <w:pPr>
              <w:pStyle w:val="44"/>
              <w:spacing w:before="80" w:after="80"/>
              <w:ind w:right="510"/>
              <w:jc w:val="center"/>
              <w:rPr>
                <w:b/>
                <w:bCs/>
                <w:sz w:val="20"/>
                <w:szCs w:val="20"/>
              </w:rPr>
            </w:pPr>
            <w:r>
              <w:rPr>
                <w:b/>
                <w:bCs/>
                <w:sz w:val="20"/>
                <w:szCs w:val="20"/>
              </w:rPr>
              <w:t>T</w:t>
            </w:r>
            <w:r>
              <w:rPr>
                <w:b/>
                <w:bCs/>
                <w:sz w:val="20"/>
                <w:szCs w:val="20"/>
                <w:vertAlign w:val="subscript"/>
              </w:rPr>
              <w:t>5</w:t>
            </w:r>
          </w:p>
        </w:tc>
        <w:tc>
          <w:tcPr>
            <w:tcW w:w="1038" w:type="pct"/>
            <w:vAlign w:val="center"/>
          </w:tcPr>
          <w:p w14:paraId="4B9C7E7D">
            <w:pPr>
              <w:pStyle w:val="44"/>
              <w:spacing w:before="80" w:after="80"/>
              <w:ind w:firstLine="189"/>
              <w:jc w:val="both"/>
              <w:rPr>
                <w:sz w:val="20"/>
                <w:szCs w:val="20"/>
              </w:rPr>
            </w:pPr>
            <w:r>
              <w:rPr>
                <w:sz w:val="20"/>
                <w:szCs w:val="20"/>
              </w:rPr>
              <w:t>Dimethoate</w:t>
            </w:r>
          </w:p>
          <w:p w14:paraId="4DAD6FC7">
            <w:pPr>
              <w:pStyle w:val="44"/>
              <w:spacing w:before="80" w:after="80"/>
              <w:ind w:firstLine="189"/>
              <w:jc w:val="both"/>
              <w:rPr>
                <w:sz w:val="20"/>
                <w:szCs w:val="20"/>
              </w:rPr>
            </w:pPr>
            <w:r>
              <w:rPr>
                <w:sz w:val="20"/>
                <w:szCs w:val="20"/>
              </w:rPr>
              <w:t>(30% EC)</w:t>
            </w:r>
          </w:p>
        </w:tc>
        <w:tc>
          <w:tcPr>
            <w:tcW w:w="519" w:type="pct"/>
            <w:vAlign w:val="center"/>
          </w:tcPr>
          <w:p w14:paraId="11A6147D">
            <w:pPr>
              <w:pStyle w:val="44"/>
              <w:spacing w:before="80" w:after="80"/>
              <w:ind w:right="110"/>
              <w:jc w:val="center"/>
              <w:rPr>
                <w:sz w:val="20"/>
                <w:szCs w:val="20"/>
              </w:rPr>
            </w:pPr>
            <w:r>
              <w:rPr>
                <w:sz w:val="20"/>
                <w:szCs w:val="20"/>
              </w:rPr>
              <w:t>1.0</w:t>
            </w:r>
          </w:p>
          <w:p w14:paraId="2B6CC82B">
            <w:pPr>
              <w:pStyle w:val="44"/>
              <w:spacing w:before="80" w:after="80"/>
              <w:jc w:val="center"/>
              <w:rPr>
                <w:sz w:val="20"/>
                <w:szCs w:val="20"/>
              </w:rPr>
            </w:pPr>
          </w:p>
        </w:tc>
        <w:tc>
          <w:tcPr>
            <w:tcW w:w="813" w:type="pct"/>
            <w:vAlign w:val="center"/>
          </w:tcPr>
          <w:p w14:paraId="0747DB69">
            <w:pPr>
              <w:pStyle w:val="44"/>
              <w:spacing w:before="80" w:after="80"/>
              <w:ind w:left="647"/>
              <w:rPr>
                <w:sz w:val="20"/>
                <w:szCs w:val="20"/>
              </w:rPr>
            </w:pPr>
            <w:r>
              <w:rPr>
                <w:sz w:val="20"/>
                <w:szCs w:val="20"/>
              </w:rPr>
              <w:t>18.75</w:t>
            </w:r>
          </w:p>
          <w:p w14:paraId="6AB9110D">
            <w:pPr>
              <w:pStyle w:val="44"/>
              <w:spacing w:before="80" w:after="80"/>
              <w:ind w:left="647"/>
              <w:rPr>
                <w:sz w:val="20"/>
                <w:szCs w:val="20"/>
              </w:rPr>
            </w:pPr>
            <w:r>
              <w:rPr>
                <w:sz w:val="20"/>
                <w:szCs w:val="20"/>
              </w:rPr>
              <w:t>(25.65)</w:t>
            </w:r>
          </w:p>
        </w:tc>
        <w:tc>
          <w:tcPr>
            <w:tcW w:w="506" w:type="pct"/>
            <w:vAlign w:val="center"/>
          </w:tcPr>
          <w:p w14:paraId="58D00B9E">
            <w:pPr>
              <w:pStyle w:val="44"/>
              <w:spacing w:before="80" w:after="80"/>
              <w:ind w:left="145" w:right="140"/>
              <w:jc w:val="center"/>
              <w:rPr>
                <w:sz w:val="20"/>
                <w:szCs w:val="20"/>
              </w:rPr>
            </w:pPr>
            <w:r>
              <w:rPr>
                <w:sz w:val="20"/>
                <w:szCs w:val="20"/>
              </w:rPr>
              <w:t>86.13</w:t>
            </w:r>
          </w:p>
          <w:p w14:paraId="405A9BD1">
            <w:pPr>
              <w:pStyle w:val="44"/>
              <w:spacing w:before="80" w:after="80"/>
              <w:ind w:left="145" w:right="138"/>
              <w:jc w:val="center"/>
              <w:rPr>
                <w:sz w:val="20"/>
                <w:szCs w:val="20"/>
              </w:rPr>
            </w:pPr>
            <w:r>
              <w:rPr>
                <w:sz w:val="20"/>
                <w:szCs w:val="20"/>
              </w:rPr>
              <w:t>(68.13)</w:t>
            </w:r>
            <w:r>
              <w:rPr>
                <w:sz w:val="20"/>
                <w:szCs w:val="20"/>
                <w:vertAlign w:val="superscript"/>
              </w:rPr>
              <w:t>c</w:t>
            </w:r>
          </w:p>
        </w:tc>
        <w:tc>
          <w:tcPr>
            <w:tcW w:w="477" w:type="pct"/>
            <w:vAlign w:val="center"/>
          </w:tcPr>
          <w:p w14:paraId="6F187E95">
            <w:pPr>
              <w:pStyle w:val="44"/>
              <w:spacing w:before="80" w:after="80"/>
              <w:ind w:left="94" w:right="93"/>
              <w:jc w:val="center"/>
              <w:rPr>
                <w:sz w:val="20"/>
                <w:szCs w:val="20"/>
              </w:rPr>
            </w:pPr>
            <w:r>
              <w:rPr>
                <w:sz w:val="20"/>
                <w:szCs w:val="20"/>
              </w:rPr>
              <w:t>91.09</w:t>
            </w:r>
          </w:p>
          <w:p w14:paraId="19BD1C48">
            <w:pPr>
              <w:pStyle w:val="44"/>
              <w:spacing w:before="80" w:after="80"/>
              <w:ind w:left="93" w:right="94"/>
              <w:jc w:val="center"/>
              <w:rPr>
                <w:sz w:val="20"/>
                <w:szCs w:val="20"/>
              </w:rPr>
            </w:pPr>
            <w:r>
              <w:rPr>
                <w:sz w:val="20"/>
                <w:szCs w:val="20"/>
              </w:rPr>
              <w:t>(72.63)</w:t>
            </w:r>
            <w:r>
              <w:rPr>
                <w:sz w:val="20"/>
                <w:szCs w:val="20"/>
                <w:vertAlign w:val="superscript"/>
              </w:rPr>
              <w:t>c</w:t>
            </w:r>
          </w:p>
        </w:tc>
        <w:tc>
          <w:tcPr>
            <w:tcW w:w="479" w:type="pct"/>
            <w:vAlign w:val="center"/>
          </w:tcPr>
          <w:p w14:paraId="06F2BD44">
            <w:pPr>
              <w:pStyle w:val="44"/>
              <w:spacing w:before="80" w:after="80"/>
              <w:ind w:left="94" w:right="93"/>
              <w:jc w:val="center"/>
              <w:rPr>
                <w:sz w:val="20"/>
                <w:szCs w:val="20"/>
              </w:rPr>
            </w:pPr>
            <w:r>
              <w:rPr>
                <w:sz w:val="20"/>
                <w:szCs w:val="20"/>
              </w:rPr>
              <w:t>91.90</w:t>
            </w:r>
          </w:p>
          <w:p w14:paraId="29539BA4">
            <w:pPr>
              <w:pStyle w:val="44"/>
              <w:spacing w:before="80" w:after="80"/>
              <w:ind w:left="94" w:right="94"/>
              <w:jc w:val="center"/>
              <w:rPr>
                <w:sz w:val="20"/>
                <w:szCs w:val="20"/>
              </w:rPr>
            </w:pPr>
            <w:r>
              <w:rPr>
                <w:sz w:val="20"/>
                <w:szCs w:val="20"/>
              </w:rPr>
              <w:t>(73.46)</w:t>
            </w:r>
            <w:r>
              <w:rPr>
                <w:sz w:val="20"/>
                <w:szCs w:val="20"/>
                <w:vertAlign w:val="superscript"/>
              </w:rPr>
              <w:t>c</w:t>
            </w:r>
          </w:p>
        </w:tc>
        <w:tc>
          <w:tcPr>
            <w:tcW w:w="585" w:type="pct"/>
            <w:vAlign w:val="center"/>
          </w:tcPr>
          <w:p w14:paraId="0786B66D">
            <w:pPr>
              <w:pStyle w:val="44"/>
              <w:spacing w:before="80" w:after="80"/>
              <w:ind w:left="251"/>
              <w:jc w:val="center"/>
              <w:rPr>
                <w:b/>
                <w:sz w:val="20"/>
                <w:szCs w:val="20"/>
              </w:rPr>
            </w:pPr>
            <w:r>
              <w:rPr>
                <w:b/>
                <w:sz w:val="20"/>
                <w:szCs w:val="20"/>
              </w:rPr>
              <w:t>89.70</w:t>
            </w:r>
          </w:p>
          <w:p w14:paraId="561130E3">
            <w:pPr>
              <w:pStyle w:val="44"/>
              <w:spacing w:before="80" w:after="80"/>
              <w:ind w:left="210"/>
              <w:jc w:val="center"/>
              <w:rPr>
                <w:b/>
                <w:sz w:val="20"/>
                <w:szCs w:val="20"/>
              </w:rPr>
            </w:pPr>
            <w:r>
              <w:rPr>
                <w:b/>
                <w:sz w:val="20"/>
                <w:szCs w:val="20"/>
              </w:rPr>
              <w:t>(71.28)</w:t>
            </w:r>
          </w:p>
        </w:tc>
      </w:tr>
      <w:tr w14:paraId="63BB5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82" w:type="pct"/>
            <w:vAlign w:val="center"/>
          </w:tcPr>
          <w:p w14:paraId="075A7179">
            <w:pPr>
              <w:pStyle w:val="44"/>
              <w:spacing w:before="80" w:after="80"/>
              <w:ind w:right="510"/>
              <w:jc w:val="center"/>
              <w:rPr>
                <w:b/>
                <w:bCs/>
                <w:sz w:val="20"/>
                <w:szCs w:val="20"/>
              </w:rPr>
            </w:pPr>
            <w:r>
              <w:rPr>
                <w:b/>
                <w:bCs/>
                <w:sz w:val="20"/>
                <w:szCs w:val="20"/>
              </w:rPr>
              <w:t>T</w:t>
            </w:r>
            <w:r>
              <w:rPr>
                <w:b/>
                <w:bCs/>
                <w:sz w:val="20"/>
                <w:szCs w:val="20"/>
                <w:vertAlign w:val="subscript"/>
              </w:rPr>
              <w:t>6</w:t>
            </w:r>
          </w:p>
        </w:tc>
        <w:tc>
          <w:tcPr>
            <w:tcW w:w="1038" w:type="pct"/>
            <w:vAlign w:val="center"/>
          </w:tcPr>
          <w:p w14:paraId="33BFE189">
            <w:pPr>
              <w:pStyle w:val="44"/>
              <w:spacing w:before="80" w:after="80"/>
              <w:ind w:left="9" w:firstLine="189"/>
              <w:jc w:val="both"/>
              <w:rPr>
                <w:sz w:val="20"/>
                <w:szCs w:val="20"/>
              </w:rPr>
            </w:pPr>
            <w:r>
              <w:rPr>
                <w:sz w:val="20"/>
                <w:szCs w:val="20"/>
              </w:rPr>
              <w:t>Control</w:t>
            </w:r>
            <w:r>
              <w:rPr>
                <w:spacing w:val="-4"/>
                <w:sz w:val="20"/>
                <w:szCs w:val="20"/>
              </w:rPr>
              <w:t xml:space="preserve"> </w:t>
            </w:r>
            <w:r>
              <w:rPr>
                <w:sz w:val="20"/>
                <w:szCs w:val="20"/>
              </w:rPr>
              <w:t>(water)</w:t>
            </w:r>
          </w:p>
        </w:tc>
        <w:tc>
          <w:tcPr>
            <w:tcW w:w="519" w:type="pct"/>
            <w:vAlign w:val="center"/>
          </w:tcPr>
          <w:p w14:paraId="633C0F8C">
            <w:pPr>
              <w:pStyle w:val="44"/>
              <w:spacing w:before="80" w:after="80"/>
              <w:ind w:left="7"/>
              <w:jc w:val="center"/>
              <w:rPr>
                <w:sz w:val="20"/>
                <w:szCs w:val="20"/>
              </w:rPr>
            </w:pPr>
            <w:r>
              <w:rPr>
                <w:b/>
                <w:bCs/>
                <w:sz w:val="20"/>
                <w:szCs w:val="20"/>
              </w:rPr>
              <w:t>-</w:t>
            </w:r>
          </w:p>
        </w:tc>
        <w:tc>
          <w:tcPr>
            <w:tcW w:w="813" w:type="pct"/>
            <w:vAlign w:val="center"/>
          </w:tcPr>
          <w:p w14:paraId="122D5257">
            <w:pPr>
              <w:pStyle w:val="44"/>
              <w:spacing w:before="80" w:after="80"/>
              <w:ind w:left="647"/>
              <w:rPr>
                <w:sz w:val="20"/>
                <w:szCs w:val="20"/>
              </w:rPr>
            </w:pPr>
            <w:r>
              <w:rPr>
                <w:sz w:val="20"/>
                <w:szCs w:val="20"/>
              </w:rPr>
              <w:t>19.50</w:t>
            </w:r>
          </w:p>
          <w:p w14:paraId="6FBC9D55">
            <w:pPr>
              <w:pStyle w:val="44"/>
              <w:spacing w:before="80" w:after="80"/>
              <w:ind w:left="647"/>
              <w:rPr>
                <w:sz w:val="20"/>
                <w:szCs w:val="20"/>
              </w:rPr>
            </w:pPr>
            <w:r>
              <w:rPr>
                <w:sz w:val="20"/>
                <w:szCs w:val="20"/>
              </w:rPr>
              <w:t>(26.20)</w:t>
            </w:r>
          </w:p>
        </w:tc>
        <w:tc>
          <w:tcPr>
            <w:tcW w:w="506" w:type="pct"/>
            <w:vAlign w:val="center"/>
          </w:tcPr>
          <w:p w14:paraId="31ECBBE4">
            <w:pPr>
              <w:pStyle w:val="44"/>
              <w:spacing w:before="80" w:after="80"/>
              <w:ind w:left="5"/>
              <w:jc w:val="center"/>
              <w:rPr>
                <w:sz w:val="20"/>
                <w:szCs w:val="20"/>
              </w:rPr>
            </w:pPr>
            <w:r>
              <w:rPr>
                <w:sz w:val="20"/>
                <w:szCs w:val="20"/>
              </w:rPr>
              <w:t>18.75</w:t>
            </w:r>
          </w:p>
          <w:p w14:paraId="61F0F6F6">
            <w:pPr>
              <w:pStyle w:val="44"/>
              <w:spacing w:before="80" w:after="80"/>
              <w:ind w:left="5"/>
              <w:jc w:val="center"/>
              <w:rPr>
                <w:sz w:val="20"/>
                <w:szCs w:val="20"/>
              </w:rPr>
            </w:pPr>
            <w:r>
              <w:rPr>
                <w:sz w:val="20"/>
                <w:szCs w:val="20"/>
              </w:rPr>
              <w:t>(25.65)</w:t>
            </w:r>
          </w:p>
        </w:tc>
        <w:tc>
          <w:tcPr>
            <w:tcW w:w="477" w:type="pct"/>
            <w:vAlign w:val="center"/>
          </w:tcPr>
          <w:p w14:paraId="743F331A">
            <w:pPr>
              <w:pStyle w:val="44"/>
              <w:spacing w:before="80" w:after="80"/>
              <w:ind w:left="3"/>
              <w:jc w:val="center"/>
              <w:rPr>
                <w:sz w:val="20"/>
                <w:szCs w:val="20"/>
              </w:rPr>
            </w:pPr>
            <w:r>
              <w:rPr>
                <w:sz w:val="20"/>
                <w:szCs w:val="20"/>
              </w:rPr>
              <w:t>17.50</w:t>
            </w:r>
          </w:p>
          <w:p w14:paraId="37985053">
            <w:pPr>
              <w:pStyle w:val="44"/>
              <w:spacing w:before="80" w:after="80"/>
              <w:ind w:left="3"/>
              <w:jc w:val="center"/>
              <w:rPr>
                <w:sz w:val="20"/>
                <w:szCs w:val="20"/>
              </w:rPr>
            </w:pPr>
            <w:r>
              <w:rPr>
                <w:sz w:val="20"/>
                <w:szCs w:val="20"/>
              </w:rPr>
              <w:t>(24.72)</w:t>
            </w:r>
          </w:p>
        </w:tc>
        <w:tc>
          <w:tcPr>
            <w:tcW w:w="479" w:type="pct"/>
            <w:vAlign w:val="center"/>
          </w:tcPr>
          <w:p w14:paraId="694E5EEF">
            <w:pPr>
              <w:pStyle w:val="44"/>
              <w:spacing w:before="80" w:after="80"/>
              <w:rPr>
                <w:sz w:val="20"/>
                <w:szCs w:val="20"/>
              </w:rPr>
            </w:pPr>
            <w:r>
              <w:rPr>
                <w:sz w:val="20"/>
                <w:szCs w:val="20"/>
              </w:rPr>
              <w:t xml:space="preserve"> 19.25</w:t>
            </w:r>
          </w:p>
          <w:p w14:paraId="7E9CEE68">
            <w:pPr>
              <w:pStyle w:val="44"/>
              <w:spacing w:before="80" w:after="80"/>
              <w:rPr>
                <w:sz w:val="20"/>
                <w:szCs w:val="20"/>
              </w:rPr>
            </w:pPr>
            <w:r>
              <w:rPr>
                <w:sz w:val="20"/>
                <w:szCs w:val="20"/>
              </w:rPr>
              <w:t xml:space="preserve"> (26.02)</w:t>
            </w:r>
          </w:p>
        </w:tc>
        <w:tc>
          <w:tcPr>
            <w:tcW w:w="585" w:type="pct"/>
            <w:vAlign w:val="center"/>
          </w:tcPr>
          <w:p w14:paraId="65730816">
            <w:pPr>
              <w:pStyle w:val="44"/>
              <w:spacing w:before="80" w:after="80"/>
              <w:ind w:left="1"/>
              <w:jc w:val="center"/>
              <w:rPr>
                <w:sz w:val="20"/>
                <w:szCs w:val="20"/>
              </w:rPr>
            </w:pPr>
            <w:r>
              <w:rPr>
                <w:sz w:val="20"/>
                <w:szCs w:val="20"/>
              </w:rPr>
              <w:t>18.50</w:t>
            </w:r>
          </w:p>
          <w:p w14:paraId="090A1B06">
            <w:pPr>
              <w:pStyle w:val="44"/>
              <w:spacing w:before="80" w:after="80"/>
              <w:ind w:left="1"/>
              <w:jc w:val="center"/>
              <w:rPr>
                <w:sz w:val="20"/>
                <w:szCs w:val="20"/>
              </w:rPr>
            </w:pPr>
            <w:r>
              <w:rPr>
                <w:sz w:val="20"/>
                <w:szCs w:val="20"/>
              </w:rPr>
              <w:t>(25.47)</w:t>
            </w:r>
          </w:p>
        </w:tc>
      </w:tr>
      <w:tr w14:paraId="1C412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1620" w:type="pct"/>
            <w:gridSpan w:val="2"/>
            <w:vAlign w:val="center"/>
          </w:tcPr>
          <w:p w14:paraId="264376DF">
            <w:pPr>
              <w:pStyle w:val="44"/>
              <w:spacing w:before="80" w:after="80"/>
              <w:ind w:left="1159" w:right="1154"/>
              <w:jc w:val="center"/>
              <w:rPr>
                <w:b/>
                <w:bCs/>
                <w:sz w:val="20"/>
                <w:szCs w:val="20"/>
              </w:rPr>
            </w:pPr>
            <w:r>
              <w:rPr>
                <w:b/>
                <w:bCs/>
                <w:sz w:val="20"/>
                <w:szCs w:val="20"/>
              </w:rPr>
              <w:t>CD(p</w:t>
            </w:r>
            <w:r>
              <w:rPr>
                <w:b/>
                <w:bCs/>
                <w:sz w:val="20"/>
                <w:szCs w:val="20"/>
                <w:u w:val="single"/>
              </w:rPr>
              <w:t>&lt;</w:t>
            </w:r>
            <w:r>
              <w:rPr>
                <w:b/>
                <w:bCs/>
                <w:sz w:val="20"/>
                <w:szCs w:val="20"/>
              </w:rPr>
              <w:t>0.05)</w:t>
            </w:r>
          </w:p>
        </w:tc>
        <w:tc>
          <w:tcPr>
            <w:tcW w:w="519" w:type="pct"/>
            <w:vAlign w:val="center"/>
          </w:tcPr>
          <w:p w14:paraId="05340C73">
            <w:pPr>
              <w:pStyle w:val="44"/>
              <w:spacing w:before="80" w:after="80"/>
              <w:jc w:val="center"/>
              <w:rPr>
                <w:b/>
                <w:bCs/>
                <w:sz w:val="20"/>
                <w:szCs w:val="20"/>
              </w:rPr>
            </w:pPr>
          </w:p>
        </w:tc>
        <w:tc>
          <w:tcPr>
            <w:tcW w:w="813" w:type="pct"/>
            <w:vAlign w:val="center"/>
          </w:tcPr>
          <w:p w14:paraId="38CE5D89">
            <w:pPr>
              <w:pStyle w:val="44"/>
              <w:spacing w:before="80" w:after="80"/>
              <w:jc w:val="center"/>
              <w:rPr>
                <w:b/>
                <w:bCs/>
                <w:sz w:val="20"/>
                <w:szCs w:val="20"/>
              </w:rPr>
            </w:pPr>
          </w:p>
        </w:tc>
        <w:tc>
          <w:tcPr>
            <w:tcW w:w="506" w:type="pct"/>
            <w:vAlign w:val="center"/>
          </w:tcPr>
          <w:p w14:paraId="5FE72EBA">
            <w:pPr>
              <w:pStyle w:val="44"/>
              <w:spacing w:before="80" w:after="80"/>
              <w:ind w:left="145" w:right="139"/>
              <w:jc w:val="center"/>
              <w:rPr>
                <w:b/>
                <w:bCs/>
                <w:sz w:val="20"/>
                <w:szCs w:val="20"/>
              </w:rPr>
            </w:pPr>
            <w:r>
              <w:rPr>
                <w:b/>
                <w:bCs/>
                <w:sz w:val="20"/>
                <w:szCs w:val="20"/>
              </w:rPr>
              <w:t>0.75</w:t>
            </w:r>
          </w:p>
        </w:tc>
        <w:tc>
          <w:tcPr>
            <w:tcW w:w="477" w:type="pct"/>
            <w:vAlign w:val="center"/>
          </w:tcPr>
          <w:p w14:paraId="42F88D3B">
            <w:pPr>
              <w:pStyle w:val="44"/>
              <w:spacing w:before="80" w:after="80"/>
              <w:ind w:left="94" w:right="92"/>
              <w:jc w:val="center"/>
              <w:rPr>
                <w:b/>
                <w:bCs/>
                <w:sz w:val="20"/>
                <w:szCs w:val="20"/>
              </w:rPr>
            </w:pPr>
            <w:r>
              <w:rPr>
                <w:b/>
                <w:bCs/>
                <w:sz w:val="20"/>
                <w:szCs w:val="20"/>
              </w:rPr>
              <w:t>0.92</w:t>
            </w:r>
          </w:p>
        </w:tc>
        <w:tc>
          <w:tcPr>
            <w:tcW w:w="479" w:type="pct"/>
            <w:vAlign w:val="center"/>
          </w:tcPr>
          <w:p w14:paraId="544EED58">
            <w:pPr>
              <w:pStyle w:val="44"/>
              <w:spacing w:before="80" w:after="80"/>
              <w:ind w:left="94" w:right="93"/>
              <w:jc w:val="center"/>
              <w:rPr>
                <w:b/>
                <w:bCs/>
                <w:sz w:val="20"/>
                <w:szCs w:val="20"/>
              </w:rPr>
            </w:pPr>
            <w:r>
              <w:rPr>
                <w:b/>
                <w:bCs/>
                <w:sz w:val="20"/>
                <w:szCs w:val="20"/>
              </w:rPr>
              <w:t>0.94</w:t>
            </w:r>
          </w:p>
        </w:tc>
        <w:tc>
          <w:tcPr>
            <w:tcW w:w="585" w:type="pct"/>
            <w:vAlign w:val="center"/>
          </w:tcPr>
          <w:p w14:paraId="72F42BCC">
            <w:pPr>
              <w:pStyle w:val="44"/>
              <w:spacing w:before="80" w:after="80"/>
              <w:ind w:left="349"/>
              <w:jc w:val="center"/>
              <w:rPr>
                <w:sz w:val="20"/>
                <w:szCs w:val="20"/>
              </w:rPr>
            </w:pPr>
          </w:p>
        </w:tc>
      </w:tr>
    </w:tbl>
    <w:p w14:paraId="09A9576F">
      <w:pPr>
        <w:pStyle w:val="45"/>
        <w:rPr>
          <w:rFonts w:ascii="Times New Roman" w:hAnsi="Times New Roman" w:cs="Times New Roman"/>
          <w:bCs/>
          <w:spacing w:val="1"/>
          <w:sz w:val="16"/>
          <w:szCs w:val="24"/>
        </w:rPr>
      </w:pPr>
      <w:r>
        <w:rPr>
          <w:rFonts w:ascii="Times New Roman" w:hAnsi="Times New Roman" w:cs="Times New Roman"/>
          <w:bCs/>
          <w:sz w:val="16"/>
          <w:szCs w:val="24"/>
        </w:rPr>
        <w:t>Each figure is a mean of four replications and each replicant is a mean of four observations.</w:t>
      </w:r>
    </w:p>
    <w:p w14:paraId="408BF9B7">
      <w:pPr>
        <w:pStyle w:val="45"/>
        <w:rPr>
          <w:rFonts w:ascii="Times New Roman" w:hAnsi="Times New Roman" w:cs="Times New Roman"/>
          <w:bCs/>
          <w:sz w:val="16"/>
          <w:szCs w:val="24"/>
        </w:rPr>
      </w:pPr>
      <w:r>
        <w:rPr>
          <w:rFonts w:ascii="Times New Roman" w:hAnsi="Times New Roman" w:cs="Times New Roman"/>
          <w:bCs/>
          <w:sz w:val="16"/>
          <w:szCs w:val="24"/>
        </w:rPr>
        <w:t>*Figures</w:t>
      </w:r>
      <w:r>
        <w:rPr>
          <w:rFonts w:ascii="Times New Roman" w:hAnsi="Times New Roman" w:cs="Times New Roman"/>
          <w:bCs/>
          <w:spacing w:val="1"/>
          <w:sz w:val="16"/>
          <w:szCs w:val="24"/>
        </w:rPr>
        <w:t xml:space="preserve"> </w:t>
      </w:r>
      <w:r>
        <w:rPr>
          <w:rFonts w:ascii="Times New Roman" w:hAnsi="Times New Roman" w:cs="Times New Roman"/>
          <w:bCs/>
          <w:sz w:val="16"/>
          <w:szCs w:val="24"/>
        </w:rPr>
        <w:t>within parenthesis</w:t>
      </w:r>
      <w:r>
        <w:rPr>
          <w:rFonts w:ascii="Times New Roman" w:hAnsi="Times New Roman" w:cs="Times New Roman"/>
          <w:bCs/>
          <w:spacing w:val="-1"/>
          <w:sz w:val="16"/>
          <w:szCs w:val="24"/>
        </w:rPr>
        <w:t xml:space="preserve"> </w:t>
      </w:r>
      <w:r>
        <w:rPr>
          <w:rFonts w:ascii="Times New Roman" w:hAnsi="Times New Roman" w:cs="Times New Roman"/>
          <w:bCs/>
          <w:sz w:val="16"/>
          <w:szCs w:val="24"/>
        </w:rPr>
        <w:t>are ARC</w:t>
      </w:r>
      <w:r>
        <w:rPr>
          <w:rFonts w:ascii="Times New Roman" w:hAnsi="Times New Roman" w:cs="Times New Roman"/>
          <w:bCs/>
          <w:spacing w:val="-1"/>
          <w:sz w:val="16"/>
          <w:szCs w:val="24"/>
        </w:rPr>
        <w:t xml:space="preserve"> </w:t>
      </w:r>
      <w:r>
        <w:rPr>
          <w:rFonts w:ascii="Times New Roman" w:hAnsi="Times New Roman" w:cs="Times New Roman"/>
          <w:bCs/>
          <w:sz w:val="16"/>
          <w:szCs w:val="24"/>
        </w:rPr>
        <w:t>sine transformed</w:t>
      </w:r>
      <w:r>
        <w:rPr>
          <w:rFonts w:ascii="Times New Roman" w:hAnsi="Times New Roman" w:cs="Times New Roman"/>
          <w:bCs/>
          <w:spacing w:val="1"/>
          <w:sz w:val="16"/>
          <w:szCs w:val="24"/>
        </w:rPr>
        <w:t xml:space="preserve"> </w:t>
      </w:r>
      <w:r>
        <w:rPr>
          <w:rFonts w:ascii="Times New Roman" w:hAnsi="Times New Roman" w:cs="Times New Roman"/>
          <w:bCs/>
          <w:sz w:val="16"/>
          <w:szCs w:val="24"/>
        </w:rPr>
        <w:t>values of percent mortality</w:t>
      </w:r>
    </w:p>
    <w:p w14:paraId="54F7CAC1">
      <w:pPr>
        <w:pStyle w:val="45"/>
        <w:rPr>
          <w:rFonts w:ascii="Times New Roman" w:hAnsi="Times New Roman" w:cs="Times New Roman"/>
          <w:bCs/>
          <w:sz w:val="16"/>
          <w:szCs w:val="24"/>
        </w:rPr>
      </w:pPr>
      <w:r>
        <w:rPr>
          <w:rFonts w:ascii="Times New Roman" w:hAnsi="Times New Roman" w:cs="Times New Roman"/>
          <w:bCs/>
          <w:sz w:val="16"/>
          <w:szCs w:val="24"/>
        </w:rPr>
        <w:t xml:space="preserve"> Pre/post count was taken on a 5cm twig</w:t>
      </w:r>
    </w:p>
    <w:bookmarkEnd w:id="0"/>
    <w:p w14:paraId="03B6D4B1">
      <w:pPr>
        <w:pStyle w:val="45"/>
        <w:rPr>
          <w:rFonts w:ascii="Times New Roman" w:hAnsi="Times New Roman" w:cs="Times New Roman"/>
          <w:b/>
          <w:bCs/>
          <w:sz w:val="16"/>
          <w:szCs w:val="16"/>
        </w:rPr>
      </w:pPr>
    </w:p>
    <w:p w14:paraId="5C91C5B9">
      <w:pPr>
        <w:pStyle w:val="45"/>
        <w:rPr>
          <w:rFonts w:ascii="Times New Roman" w:hAnsi="Times New Roman" w:cs="Times New Roman"/>
          <w:b/>
          <w:bCs/>
          <w:sz w:val="16"/>
          <w:szCs w:val="16"/>
        </w:rPr>
      </w:pPr>
    </w:p>
    <w:p w14:paraId="465A73D7">
      <w:pPr>
        <w:pStyle w:val="45"/>
        <w:rPr>
          <w:rFonts w:ascii="Times New Roman" w:hAnsi="Times New Roman" w:cs="Times New Roman"/>
          <w:b/>
          <w:bCs/>
          <w:sz w:val="16"/>
          <w:szCs w:val="16"/>
        </w:rPr>
      </w:pPr>
    </w:p>
    <w:p w14:paraId="7ED5ECFE">
      <w:pPr>
        <w:pStyle w:val="45"/>
        <w:rPr>
          <w:rFonts w:ascii="Times New Roman" w:hAnsi="Times New Roman" w:cs="Times New Roman"/>
          <w:b/>
          <w:bCs/>
          <w:sz w:val="16"/>
          <w:szCs w:val="16"/>
        </w:rPr>
      </w:pPr>
    </w:p>
    <w:p w14:paraId="29C57B80">
      <w:pPr>
        <w:pStyle w:val="45"/>
        <w:rPr>
          <w:rFonts w:ascii="Times New Roman" w:hAnsi="Times New Roman" w:cs="Times New Roman"/>
          <w:b/>
          <w:bCs/>
          <w:sz w:val="16"/>
          <w:szCs w:val="16"/>
        </w:rPr>
      </w:pPr>
    </w:p>
    <w:p w14:paraId="11F7AB3B">
      <w:pPr>
        <w:pStyle w:val="45"/>
        <w:rPr>
          <w:rFonts w:ascii="Times New Roman" w:hAnsi="Times New Roman" w:cs="Times New Roman"/>
          <w:b/>
          <w:bCs/>
          <w:sz w:val="16"/>
          <w:szCs w:val="16"/>
        </w:rPr>
      </w:pPr>
    </w:p>
    <w:p w14:paraId="30720774">
      <w:pPr>
        <w:pStyle w:val="45"/>
        <w:rPr>
          <w:rFonts w:ascii="Times New Roman" w:hAnsi="Times New Roman" w:cs="Times New Roman"/>
          <w:b/>
          <w:bCs/>
          <w:sz w:val="16"/>
          <w:szCs w:val="16"/>
        </w:rPr>
      </w:pPr>
    </w:p>
    <w:p w14:paraId="60C83DB4">
      <w:pPr>
        <w:pStyle w:val="45"/>
        <w:rPr>
          <w:rFonts w:ascii="Times New Roman" w:hAnsi="Times New Roman" w:cs="Times New Roman"/>
          <w:b/>
          <w:bCs/>
          <w:sz w:val="16"/>
          <w:szCs w:val="16"/>
        </w:rPr>
      </w:pPr>
    </w:p>
    <w:p w14:paraId="38B2A300">
      <w:pPr>
        <w:pStyle w:val="45"/>
        <w:rPr>
          <w:rFonts w:ascii="Times New Roman" w:hAnsi="Times New Roman" w:cs="Times New Roman"/>
          <w:b/>
          <w:bCs/>
          <w:sz w:val="16"/>
          <w:szCs w:val="16"/>
        </w:rPr>
      </w:pPr>
    </w:p>
    <w:p w14:paraId="5A61DCE1">
      <w:pPr>
        <w:pStyle w:val="45"/>
        <w:rPr>
          <w:rFonts w:ascii="Times New Roman" w:hAnsi="Times New Roman" w:cs="Times New Roman"/>
          <w:b/>
          <w:bCs/>
          <w:sz w:val="16"/>
          <w:szCs w:val="16"/>
        </w:rPr>
      </w:pPr>
    </w:p>
    <w:p w14:paraId="421702EF">
      <w:pPr>
        <w:pStyle w:val="45"/>
        <w:rPr>
          <w:rFonts w:ascii="Times New Roman" w:hAnsi="Times New Roman" w:cs="Times New Roman"/>
          <w:b/>
          <w:bCs/>
          <w:sz w:val="16"/>
          <w:szCs w:val="16"/>
        </w:rPr>
      </w:pPr>
    </w:p>
    <w:p w14:paraId="12A92A4C">
      <w:pPr>
        <w:pStyle w:val="45"/>
        <w:rPr>
          <w:rFonts w:ascii="Times New Roman" w:hAnsi="Times New Roman" w:cs="Times New Roman"/>
          <w:b/>
          <w:bCs/>
          <w:sz w:val="16"/>
          <w:szCs w:val="16"/>
        </w:rPr>
      </w:pPr>
    </w:p>
    <w:p w14:paraId="671FB1E3">
      <w:pPr>
        <w:pStyle w:val="45"/>
        <w:rPr>
          <w:rFonts w:ascii="Times New Roman" w:hAnsi="Times New Roman" w:cs="Times New Roman"/>
          <w:b/>
          <w:bCs/>
          <w:sz w:val="16"/>
          <w:szCs w:val="16"/>
        </w:rPr>
      </w:pPr>
    </w:p>
    <w:p w14:paraId="5E9C0A3F">
      <w:pPr>
        <w:pStyle w:val="45"/>
        <w:rPr>
          <w:rFonts w:ascii="Times New Roman" w:hAnsi="Times New Roman" w:cs="Times New Roman"/>
          <w:b/>
          <w:bCs/>
          <w:sz w:val="16"/>
          <w:szCs w:val="16"/>
        </w:rPr>
      </w:pPr>
    </w:p>
    <w:p w14:paraId="339C27D0">
      <w:pPr>
        <w:pStyle w:val="45"/>
        <w:rPr>
          <w:rFonts w:ascii="Times New Roman" w:hAnsi="Times New Roman" w:cs="Times New Roman"/>
          <w:b/>
          <w:bCs/>
          <w:sz w:val="16"/>
          <w:szCs w:val="16"/>
        </w:rPr>
      </w:pPr>
    </w:p>
    <w:p w14:paraId="0127D44A">
      <w:pPr>
        <w:pStyle w:val="35"/>
        <w:spacing w:line="240" w:lineRule="auto"/>
        <w:rPr>
          <w:rFonts w:cs="Times New Roman"/>
          <w:sz w:val="20"/>
          <w:szCs w:val="20"/>
          <w:lang w:eastAsia="en-IN"/>
        </w:rPr>
        <w:sectPr>
          <w:headerReference r:id="rId17" w:type="first"/>
          <w:headerReference r:id="rId15" w:type="default"/>
          <w:footerReference r:id="rId18" w:type="default"/>
          <w:headerReference r:id="rId16" w:type="even"/>
          <w:type w:val="continuous"/>
          <w:pgSz w:w="11906" w:h="16838"/>
          <w:pgMar w:top="1440" w:right="1440" w:bottom="1440" w:left="1440" w:header="708" w:footer="708" w:gutter="0"/>
          <w:cols w:space="708" w:num="1"/>
          <w:docGrid w:linePitch="360" w:charSpace="0"/>
        </w:sectPr>
      </w:pPr>
    </w:p>
    <w:p w14:paraId="274ACBB5">
      <w:pPr>
        <w:tabs>
          <w:tab w:val="left" w:pos="709"/>
        </w:tabs>
        <w:spacing w:before="120" w:after="120" w:line="240" w:lineRule="auto"/>
        <w:jc w:val="both"/>
        <w:rPr>
          <w:rFonts w:ascii="Times New Roman" w:hAnsi="Times New Roman" w:cs="Times New Roman"/>
          <w:b/>
          <w:bCs/>
          <w:sz w:val="20"/>
          <w:szCs w:val="20"/>
        </w:rPr>
      </w:pPr>
    </w:p>
    <w:p w14:paraId="6DDB7507">
      <w:pPr>
        <w:tabs>
          <w:tab w:val="left" w:pos="709"/>
        </w:tabs>
        <w:spacing w:before="120" w:after="120" w:line="240" w:lineRule="auto"/>
        <w:jc w:val="both"/>
        <w:rPr>
          <w:rFonts w:ascii="Times New Roman" w:hAnsi="Times New Roman" w:cs="Times New Roman"/>
          <w:b/>
          <w:bCs/>
          <w:sz w:val="20"/>
          <w:szCs w:val="20"/>
        </w:rPr>
      </w:pPr>
    </w:p>
    <w:p w14:paraId="13744FE6">
      <w:pPr>
        <w:tabs>
          <w:tab w:val="left" w:pos="709"/>
        </w:tabs>
        <w:spacing w:before="120" w:after="120" w:line="240" w:lineRule="auto"/>
        <w:jc w:val="both"/>
        <w:rPr>
          <w:rFonts w:ascii="Times New Roman" w:hAnsi="Times New Roman" w:cs="Times New Roman"/>
          <w:b/>
          <w:bCs/>
          <w:sz w:val="20"/>
          <w:szCs w:val="20"/>
        </w:rPr>
      </w:pPr>
    </w:p>
    <w:p w14:paraId="144E2704">
      <w:pPr>
        <w:tabs>
          <w:tab w:val="left" w:pos="709"/>
        </w:tabs>
        <w:spacing w:before="120" w:after="120" w:line="240" w:lineRule="auto"/>
        <w:jc w:val="both"/>
        <w:rPr>
          <w:rFonts w:ascii="Times New Roman" w:hAnsi="Times New Roman" w:cs="Times New Roman"/>
          <w:b/>
          <w:bCs/>
          <w:sz w:val="20"/>
          <w:szCs w:val="20"/>
        </w:rPr>
      </w:pPr>
    </w:p>
    <w:p w14:paraId="2809D964">
      <w:pPr>
        <w:tabs>
          <w:tab w:val="left" w:pos="709"/>
        </w:tabs>
        <w:spacing w:before="120" w:after="120" w:line="240" w:lineRule="auto"/>
        <w:jc w:val="both"/>
        <w:rPr>
          <w:rFonts w:ascii="Times New Roman" w:hAnsi="Times New Roman" w:cs="Times New Roman"/>
          <w:b/>
          <w:bCs/>
          <w:sz w:val="20"/>
          <w:szCs w:val="20"/>
        </w:rPr>
      </w:pPr>
    </w:p>
    <w:p w14:paraId="2DC291E3">
      <w:pPr>
        <w:tabs>
          <w:tab w:val="left" w:pos="709"/>
        </w:tabs>
        <w:spacing w:before="120" w:after="120" w:line="240" w:lineRule="auto"/>
        <w:jc w:val="both"/>
        <w:rPr>
          <w:rFonts w:ascii="Times New Roman" w:hAnsi="Times New Roman" w:cs="Times New Roman"/>
          <w:b/>
          <w:bCs/>
          <w:sz w:val="20"/>
          <w:szCs w:val="20"/>
        </w:rPr>
      </w:pPr>
    </w:p>
    <w:p w14:paraId="2F20E0D3">
      <w:pPr>
        <w:tabs>
          <w:tab w:val="left" w:pos="709"/>
        </w:tabs>
        <w:spacing w:before="120" w:after="120" w:line="240" w:lineRule="auto"/>
        <w:jc w:val="both"/>
        <w:rPr>
          <w:rFonts w:ascii="Times New Roman" w:hAnsi="Times New Roman" w:cs="Times New Roman"/>
          <w:b/>
          <w:bCs/>
          <w:sz w:val="20"/>
          <w:szCs w:val="20"/>
        </w:rPr>
      </w:pPr>
    </w:p>
    <w:p w14:paraId="76E8D23D">
      <w:pPr>
        <w:tabs>
          <w:tab w:val="left" w:pos="709"/>
        </w:tabs>
        <w:spacing w:before="120" w:after="120" w:line="240" w:lineRule="auto"/>
        <w:jc w:val="both"/>
        <w:rPr>
          <w:rFonts w:ascii="Times New Roman" w:hAnsi="Times New Roman" w:cs="Times New Roman"/>
          <w:b/>
          <w:bCs/>
          <w:sz w:val="20"/>
          <w:szCs w:val="20"/>
        </w:rPr>
      </w:pPr>
    </w:p>
    <w:p w14:paraId="244F4906">
      <w:pPr>
        <w:tabs>
          <w:tab w:val="left" w:pos="709"/>
        </w:tabs>
        <w:spacing w:before="120" w:after="120" w:line="240" w:lineRule="auto"/>
        <w:jc w:val="both"/>
        <w:rPr>
          <w:rFonts w:ascii="Times New Roman" w:hAnsi="Times New Roman" w:cs="Times New Roman"/>
          <w:b/>
          <w:bCs/>
          <w:sz w:val="20"/>
          <w:szCs w:val="20"/>
        </w:rPr>
      </w:pPr>
      <w:r>
        <w:rPr>
          <w:sz w:val="20"/>
        </w:rPr>
        <mc:AlternateContent>
          <mc:Choice Requires="wps">
            <w:drawing>
              <wp:anchor distT="0" distB="0" distL="114300" distR="114300" simplePos="0" relativeHeight="251681792" behindDoc="0" locked="0" layoutInCell="1" allowOverlap="1">
                <wp:simplePos x="0" y="0"/>
                <wp:positionH relativeFrom="column">
                  <wp:posOffset>-679450</wp:posOffset>
                </wp:positionH>
                <wp:positionV relativeFrom="paragraph">
                  <wp:posOffset>45085</wp:posOffset>
                </wp:positionV>
                <wp:extent cx="952500" cy="2158365"/>
                <wp:effectExtent l="4445" t="4445" r="8255" b="8890"/>
                <wp:wrapNone/>
                <wp:docPr id="15" name="Text Box 15"/>
                <wp:cNvGraphicFramePr/>
                <a:graphic xmlns:a="http://schemas.openxmlformats.org/drawingml/2006/main">
                  <a:graphicData uri="http://schemas.microsoft.com/office/word/2010/wordprocessingShape">
                    <wps:wsp>
                      <wps:cNvSpPr txBox="1"/>
                      <wps:spPr>
                        <a:xfrm>
                          <a:off x="735965" y="3568700"/>
                          <a:ext cx="952500" cy="21583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0B34052">
                            <w:pPr>
                              <w:rPr>
                                <w:rFonts w:hint="default"/>
                                <w:color w:val="FF0000"/>
                                <w:sz w:val="20"/>
                                <w:szCs w:val="22"/>
                                <w:lang w:val="en-IN"/>
                              </w:rPr>
                            </w:pPr>
                            <w:r>
                              <w:rPr>
                                <w:rFonts w:hint="default"/>
                                <w:color w:val="FF0000"/>
                                <w:sz w:val="20"/>
                                <w:szCs w:val="22"/>
                                <w:lang w:val="en-IN"/>
                              </w:rPr>
                              <w:t>Remove the highlighted contents. Discuss only result along supporting author. It may be added in materials and methods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5pt;margin-top:3.55pt;height:169.95pt;width:75pt;z-index:251681792;mso-width-relative:page;mso-height-relative:page;" fillcolor="#FFFFFF [3201]" filled="t" stroked="t" coordsize="21600,21600" o:gfxdata="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LAGe/WAAAACQEAAA8A&#10;AAAAAAAAAQAgAAAAIgAAAGRycy9kb3ducmV2LnhtbFBLAQIUABQAAAAIAIdO4kAdqYEnUgIAAMME&#10;AAAOAAAAAAAAAAEAIAAAACUBAABkcnMvZTJvRG9jLnhtbFBLBQYAAAAABgAGAFkBAADpBQAAAAA=&#10;">
                <v:fill on="t" focussize="0,0"/>
                <v:stroke weight="0.5pt" color="#000000 [3204]" joinstyle="round"/>
                <v:imagedata o:title=""/>
                <o:lock v:ext="edit" aspectratio="f"/>
                <v:textbox>
                  <w:txbxContent>
                    <w:p w14:paraId="70B34052">
                      <w:pPr>
                        <w:rPr>
                          <w:rFonts w:hint="default"/>
                          <w:color w:val="FF0000"/>
                          <w:sz w:val="20"/>
                          <w:szCs w:val="22"/>
                          <w:lang w:val="en-IN"/>
                        </w:rPr>
                      </w:pPr>
                      <w:r>
                        <w:rPr>
                          <w:rFonts w:hint="default"/>
                          <w:color w:val="FF0000"/>
                          <w:sz w:val="20"/>
                          <w:szCs w:val="22"/>
                          <w:lang w:val="en-IN"/>
                        </w:rPr>
                        <w:t>Remove the highlighted contents. Discuss only result along supporting author. It may be added in materials and methods</w:t>
                      </w:r>
                    </w:p>
                  </w:txbxContent>
                </v:textbox>
              </v:shape>
            </w:pict>
          </mc:Fallback>
        </mc:AlternateContent>
      </w:r>
    </w:p>
    <w:p w14:paraId="3B54F5FA">
      <w:pPr>
        <w:pStyle w:val="15"/>
        <w:numPr>
          <w:ilvl w:val="0"/>
          <w:numId w:val="2"/>
        </w:numPr>
        <w:tabs>
          <w:tab w:val="left" w:pos="709"/>
        </w:tabs>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DISCUSSION</w:t>
      </w:r>
    </w:p>
    <w:p w14:paraId="69BFD4FD">
      <w:pPr>
        <w:pStyle w:val="15"/>
        <w:tabs>
          <w:tab w:val="left" w:pos="709"/>
        </w:tabs>
        <w:spacing w:before="120" w:after="120" w:line="240" w:lineRule="auto"/>
        <w:jc w:val="both"/>
        <w:rPr>
          <w:rFonts w:ascii="Times New Roman" w:hAnsi="Times New Roman" w:cs="Times New Roman"/>
          <w:color w:val="000000"/>
          <w:sz w:val="20"/>
          <w:szCs w:val="20"/>
          <w:lang w:eastAsia="en-IN"/>
        </w:rPr>
      </w:pPr>
      <w:r>
        <w:rPr>
          <w:rFonts w:ascii="Times New Roman" w:hAnsi="Times New Roman" w:cs="Times New Roman"/>
          <w:color w:val="000000"/>
          <w:sz w:val="20"/>
          <w:szCs w:val="20"/>
          <w:highlight w:val="yellow"/>
          <w:lang w:eastAsia="en-IN"/>
        </w:rPr>
        <w:t xml:space="preserve">In 2023, a survey was conducted in the two districts of UT of Jammu and Kashmir (Srinagar and Baramulla) regarding the infestation of pear psylla. From each district two locations were selected, Palhallan and Nihalpora from district Baramulla; and Harwan and Shalimar from district Srinagar. District Baramulla recorded the highest seasonal incidence of pear psylla, followed by Srinagar. This can be explained by the altitudinal variations between these two districts </w:t>
      </w:r>
      <w:r>
        <w:rPr>
          <w:rFonts w:ascii="Times New Roman" w:hAnsi="Times New Roman" w:cs="Times New Roman"/>
          <w:i/>
          <w:iCs/>
          <w:color w:val="000000"/>
          <w:sz w:val="20"/>
          <w:szCs w:val="20"/>
          <w:highlight w:val="yellow"/>
          <w:lang w:eastAsia="en-IN"/>
        </w:rPr>
        <w:t>viz</w:t>
      </w:r>
      <w:r>
        <w:rPr>
          <w:rFonts w:ascii="Times New Roman" w:hAnsi="Times New Roman" w:cs="Times New Roman"/>
          <w:color w:val="000000"/>
          <w:sz w:val="20"/>
          <w:szCs w:val="20"/>
          <w:highlight w:val="yellow"/>
          <w:lang w:eastAsia="en-IN"/>
        </w:rPr>
        <w:t xml:space="preserve">., Baramulla (1593 m a.s1) and Srinagar (1589 m a.s1).According to Catling (1969), the population of </w:t>
      </w:r>
      <w:r>
        <w:rPr>
          <w:rFonts w:ascii="Times New Roman" w:hAnsi="Times New Roman" w:cs="Times New Roman"/>
          <w:i/>
          <w:iCs/>
          <w:color w:val="000000"/>
          <w:sz w:val="20"/>
          <w:szCs w:val="20"/>
          <w:highlight w:val="yellow"/>
          <w:lang w:eastAsia="en-IN"/>
        </w:rPr>
        <w:t>Trioza erytreae</w:t>
      </w:r>
      <w:r>
        <w:rPr>
          <w:rFonts w:ascii="Times New Roman" w:hAnsi="Times New Roman" w:cs="Times New Roman"/>
          <w:color w:val="000000"/>
          <w:sz w:val="20"/>
          <w:szCs w:val="20"/>
          <w:highlight w:val="yellow"/>
          <w:lang w:eastAsia="en-IN"/>
        </w:rPr>
        <w:t xml:space="preserve"> is likewise restricted by high temperatures and tends to grow with altitude.</w:t>
      </w:r>
      <w:r>
        <w:rPr>
          <w:rFonts w:ascii="Times New Roman" w:hAnsi="Times New Roman" w:cs="Times New Roman"/>
          <w:color w:val="000000"/>
          <w:sz w:val="20"/>
          <w:szCs w:val="20"/>
          <w:lang w:eastAsia="en-IN"/>
        </w:rPr>
        <w:t xml:space="preserve"> The infestation of pear psylla began in May (20th SMW) at all the experimental locations and a peak was recorded in June and July. These results corroborate with those obtained by Radjabi and Behechti (1975). Nonetheless, the </w:t>
      </w:r>
      <w:r>
        <w:rPr>
          <w:rFonts w:ascii="Times New Roman" w:hAnsi="Times New Roman" w:cs="Times New Roman"/>
          <w:i/>
          <w:iCs/>
          <w:color w:val="000000"/>
          <w:sz w:val="20"/>
          <w:szCs w:val="20"/>
          <w:lang w:eastAsia="en-IN"/>
        </w:rPr>
        <w:t xml:space="preserve">Cacopsylla pyri </w:t>
      </w:r>
      <w:r>
        <w:rPr>
          <w:rFonts w:ascii="Times New Roman" w:hAnsi="Times New Roman" w:cs="Times New Roman"/>
          <w:color w:val="000000"/>
          <w:sz w:val="20"/>
          <w:szCs w:val="20"/>
          <w:lang w:eastAsia="en-IN"/>
        </w:rPr>
        <w:t xml:space="preserve">peak population was noted by Stratopoulou and Kapatos (1992) in May and June. According to Akbar </w:t>
      </w:r>
      <w:r>
        <w:rPr>
          <w:rFonts w:ascii="Times New Roman" w:hAnsi="Times New Roman" w:cs="Times New Roman"/>
          <w:i/>
          <w:iCs/>
          <w:color w:val="000000"/>
          <w:sz w:val="20"/>
          <w:szCs w:val="20"/>
          <w:lang w:eastAsia="en-IN"/>
        </w:rPr>
        <w:t>et al</w:t>
      </w:r>
      <w:r>
        <w:rPr>
          <w:rFonts w:ascii="Times New Roman" w:hAnsi="Times New Roman" w:cs="Times New Roman"/>
          <w:color w:val="000000"/>
          <w:sz w:val="20"/>
          <w:szCs w:val="20"/>
          <w:lang w:eastAsia="en-IN"/>
        </w:rPr>
        <w:t xml:space="preserve">. (2017), June was the month when the first and second nymphal instars of </w:t>
      </w:r>
      <w:r>
        <w:rPr>
          <w:rFonts w:ascii="Times New Roman" w:hAnsi="Times New Roman" w:cs="Times New Roman"/>
          <w:i/>
          <w:iCs/>
          <w:color w:val="000000"/>
          <w:sz w:val="20"/>
          <w:szCs w:val="20"/>
          <w:lang w:eastAsia="en-IN"/>
        </w:rPr>
        <w:t>Cacopsylla bidens</w:t>
      </w:r>
      <w:r>
        <w:rPr>
          <w:rFonts w:ascii="Times New Roman" w:hAnsi="Times New Roman" w:cs="Times New Roman"/>
          <w:color w:val="000000"/>
          <w:sz w:val="20"/>
          <w:szCs w:val="20"/>
          <w:lang w:eastAsia="en-IN"/>
        </w:rPr>
        <w:t xml:space="preserve"> reached their peak population. According to Meinaz </w:t>
      </w:r>
      <w:r>
        <w:rPr>
          <w:rFonts w:ascii="Times New Roman" w:hAnsi="Times New Roman" w:cs="Times New Roman"/>
          <w:i/>
          <w:iCs/>
          <w:color w:val="000000"/>
          <w:sz w:val="20"/>
          <w:szCs w:val="20"/>
          <w:lang w:eastAsia="en-IN"/>
        </w:rPr>
        <w:t>et al</w:t>
      </w:r>
      <w:r>
        <w:rPr>
          <w:rFonts w:ascii="Times New Roman" w:hAnsi="Times New Roman" w:cs="Times New Roman"/>
          <w:color w:val="000000"/>
          <w:sz w:val="20"/>
          <w:szCs w:val="20"/>
          <w:lang w:eastAsia="en-IN"/>
        </w:rPr>
        <w:t xml:space="preserve">. (2017), the first week of July showed the peak incidence of adult psylla. </w:t>
      </w:r>
    </w:p>
    <w:p w14:paraId="530C2AEB">
      <w:pPr>
        <w:pStyle w:val="15"/>
        <w:tabs>
          <w:tab w:val="left" w:pos="709"/>
        </w:tabs>
        <w:spacing w:before="120" w:after="120" w:line="240" w:lineRule="auto"/>
        <w:jc w:val="both"/>
        <w:rPr>
          <w:rFonts w:ascii="Times New Roman" w:hAnsi="Times New Roman" w:cs="Times New Roman"/>
          <w:color w:val="000000"/>
          <w:sz w:val="20"/>
          <w:szCs w:val="20"/>
          <w:lang w:eastAsia="en-IN"/>
        </w:rPr>
      </w:pPr>
      <w:r>
        <w:rPr>
          <w:sz w:val="20"/>
        </w:rPr>
        <mc:AlternateContent>
          <mc:Choice Requires="wps">
            <w:drawing>
              <wp:anchor distT="0" distB="0" distL="114300" distR="114300" simplePos="0" relativeHeight="251682816" behindDoc="0" locked="0" layoutInCell="1" allowOverlap="1">
                <wp:simplePos x="0" y="0"/>
                <wp:positionH relativeFrom="column">
                  <wp:posOffset>5806440</wp:posOffset>
                </wp:positionH>
                <wp:positionV relativeFrom="paragraph">
                  <wp:posOffset>19685</wp:posOffset>
                </wp:positionV>
                <wp:extent cx="770255" cy="1530350"/>
                <wp:effectExtent l="4445" t="4445" r="12700" b="14605"/>
                <wp:wrapNone/>
                <wp:docPr id="16" name="Text Box 16"/>
                <wp:cNvGraphicFramePr/>
                <a:graphic xmlns:a="http://schemas.openxmlformats.org/drawingml/2006/main">
                  <a:graphicData uri="http://schemas.microsoft.com/office/word/2010/wordprocessingShape">
                    <wps:wsp>
                      <wps:cNvSpPr txBox="1"/>
                      <wps:spPr>
                        <a:xfrm>
                          <a:off x="6851015" y="5273675"/>
                          <a:ext cx="770255" cy="1530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F324E93">
                            <w:pPr>
                              <w:rPr>
                                <w:rFonts w:hint="default"/>
                                <w:color w:val="FF0000"/>
                                <w:sz w:val="16"/>
                                <w:szCs w:val="20"/>
                                <w:lang w:val="en-IN"/>
                              </w:rPr>
                            </w:pPr>
                            <w:r>
                              <w:rPr>
                                <w:rFonts w:hint="default"/>
                                <w:color w:val="FF0000"/>
                                <w:sz w:val="16"/>
                                <w:szCs w:val="20"/>
                                <w:lang w:val="en-IN"/>
                              </w:rPr>
                              <w:t>Remove yellow highlighted content and replace with green highlighted content. Follow the same throughout the manuscript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7.2pt;margin-top:1.55pt;height:120.5pt;width:60.65pt;z-index:251682816;mso-width-relative:page;mso-height-relative:page;" fillcolor="#FFFFFF [3201]" filled="t" stroked="t" coordsize="21600,21600" o:gfxdata="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wWnI0NYAAAAKAQAA&#10;DwAAAAAAAAABACAAAAAiAAAAZHJzL2Rvd25yZXYueG1sUEsBAhQAFAAAAAgAh07iQFeszdNUAgAA&#10;xAQAAA4AAAAAAAAAAQAgAAAAJQEAAGRycy9lMm9Eb2MueG1sUEsFBgAAAAAGAAYAWQEAAOsFAAAA&#10;AA==&#10;">
                <v:fill on="t" focussize="0,0"/>
                <v:stroke weight="0.5pt" color="#000000 [3204]" joinstyle="round"/>
                <v:imagedata o:title=""/>
                <o:lock v:ext="edit" aspectratio="f"/>
                <v:textbox>
                  <w:txbxContent>
                    <w:p w14:paraId="1F324E93">
                      <w:pPr>
                        <w:rPr>
                          <w:rFonts w:hint="default"/>
                          <w:color w:val="FF0000"/>
                          <w:sz w:val="16"/>
                          <w:szCs w:val="20"/>
                          <w:lang w:val="en-IN"/>
                        </w:rPr>
                      </w:pPr>
                      <w:r>
                        <w:rPr>
                          <w:rFonts w:hint="default"/>
                          <w:color w:val="FF0000"/>
                          <w:sz w:val="16"/>
                          <w:szCs w:val="20"/>
                          <w:lang w:val="en-IN"/>
                        </w:rPr>
                        <w:t>Remove yellow highlighted content and replace with green highlighted content. Follow the same throughout the manuscript</w:t>
                      </w:r>
                    </w:p>
                  </w:txbxContent>
                </v:textbox>
              </v:shape>
            </w:pict>
          </mc:Fallback>
        </mc:AlternateContent>
      </w:r>
      <w:r>
        <w:rPr>
          <w:rFonts w:ascii="Times New Roman" w:hAnsi="Times New Roman" w:cs="Times New Roman"/>
          <w:color w:val="000000"/>
          <w:sz w:val="20"/>
          <w:szCs w:val="20"/>
          <w:highlight w:val="yellow"/>
          <w:lang w:eastAsia="en-IN"/>
        </w:rPr>
        <w:t>The results obtained on the correlation between the pear psylla population and abiotic variables, such as rainfall, and maximum and minimum temperature revealed that the pest population had a positive significant correlation with both the maximum and minimum temperatures but negative and weakly correlated with rainfall.</w:t>
      </w:r>
      <w:r>
        <w:rPr>
          <w:rFonts w:ascii="Times New Roman" w:hAnsi="Times New Roman" w:cs="Times New Roman"/>
          <w:color w:val="000000"/>
          <w:sz w:val="20"/>
          <w:szCs w:val="20"/>
          <w:lang w:eastAsia="en-IN"/>
        </w:rPr>
        <w:t xml:space="preserve"> </w:t>
      </w:r>
      <w:r>
        <w:rPr>
          <w:rFonts w:ascii="Times New Roman" w:hAnsi="Times New Roman" w:cs="Times New Roman"/>
          <w:color w:val="000000"/>
          <w:sz w:val="20"/>
          <w:szCs w:val="20"/>
          <w:highlight w:val="yellow"/>
          <w:lang w:eastAsia="en-IN"/>
        </w:rPr>
        <w:t>Similarly maximum relative humidity had a negative but significant correlation with the pest population while minimum relative humidity had a positive significant correlation with the pest population as well as a week negative correlation with the pest population.</w:t>
      </w:r>
      <w:r>
        <w:rPr>
          <w:rFonts w:ascii="Times New Roman" w:hAnsi="Times New Roman" w:cs="Times New Roman"/>
          <w:color w:val="000000"/>
          <w:sz w:val="20"/>
          <w:szCs w:val="20"/>
          <w:lang w:eastAsia="en-IN"/>
        </w:rPr>
        <w:t xml:space="preserve"> </w:t>
      </w:r>
      <w:r>
        <w:rPr>
          <w:rFonts w:hint="default" w:ascii="Times New Roman" w:hAnsi="Times New Roman" w:cs="Times New Roman"/>
          <w:color w:val="000000"/>
          <w:sz w:val="20"/>
          <w:szCs w:val="20"/>
          <w:lang w:val="en-US" w:eastAsia="en-IN"/>
        </w:rPr>
        <w:t xml:space="preserve"> </w:t>
      </w:r>
      <w:r>
        <w:rPr>
          <w:rFonts w:hint="default" w:ascii="Times New Roman" w:hAnsi="Times New Roman" w:cs="Times New Roman"/>
          <w:color w:val="000000"/>
          <w:sz w:val="20"/>
          <w:szCs w:val="20"/>
          <w:highlight w:val="green"/>
          <w:lang w:val="en-US" w:eastAsia="en-IN"/>
        </w:rPr>
        <w:t>(The results of the experiment revealed that pear psylla population positively correlated with maximum and minimum temperature, minimum relative humidity and negatively correlated with Rainfall and maximum relative humidity).</w:t>
      </w:r>
      <w:r>
        <w:rPr>
          <w:rFonts w:ascii="Times New Roman" w:hAnsi="Times New Roman" w:cs="Times New Roman"/>
          <w:color w:val="000000"/>
          <w:sz w:val="20"/>
          <w:szCs w:val="20"/>
          <w:lang w:eastAsia="en-IN"/>
        </w:rPr>
        <w:t xml:space="preserve">The current studies have revealed that temperature is the primary factor influencing the fluctuations in the pear psylla population. The observations of Lakra </w:t>
      </w:r>
      <w:r>
        <w:rPr>
          <w:rFonts w:ascii="Times New Roman" w:hAnsi="Times New Roman" w:cs="Times New Roman"/>
          <w:i/>
          <w:iCs/>
          <w:color w:val="000000"/>
          <w:sz w:val="20"/>
          <w:szCs w:val="20"/>
          <w:lang w:eastAsia="en-IN"/>
        </w:rPr>
        <w:t>et al.</w:t>
      </w:r>
      <w:r>
        <w:rPr>
          <w:rFonts w:ascii="Times New Roman" w:hAnsi="Times New Roman" w:cs="Times New Roman"/>
          <w:color w:val="000000"/>
          <w:sz w:val="20"/>
          <w:szCs w:val="20"/>
          <w:lang w:eastAsia="en-IN"/>
        </w:rPr>
        <w:t xml:space="preserve"> (1983) and Khan </w:t>
      </w:r>
      <w:r>
        <w:rPr>
          <w:rFonts w:ascii="Times New Roman" w:hAnsi="Times New Roman" w:cs="Times New Roman"/>
          <w:i/>
          <w:iCs/>
          <w:color w:val="000000"/>
          <w:sz w:val="20"/>
          <w:szCs w:val="20"/>
          <w:lang w:eastAsia="en-IN"/>
        </w:rPr>
        <w:t>et al.</w:t>
      </w:r>
      <w:r>
        <w:rPr>
          <w:rFonts w:ascii="Times New Roman" w:hAnsi="Times New Roman" w:cs="Times New Roman"/>
          <w:color w:val="000000"/>
          <w:sz w:val="20"/>
          <w:szCs w:val="20"/>
          <w:lang w:eastAsia="en-IN"/>
        </w:rPr>
        <w:t xml:space="preserve"> (1984) support this observation for citrus psylla (</w:t>
      </w:r>
      <w:r>
        <w:rPr>
          <w:rFonts w:ascii="Times New Roman" w:hAnsi="Times New Roman" w:cs="Times New Roman"/>
          <w:i/>
          <w:iCs/>
          <w:color w:val="000000"/>
          <w:sz w:val="20"/>
          <w:szCs w:val="20"/>
          <w:lang w:eastAsia="en-IN"/>
        </w:rPr>
        <w:t>Diaphorina citri).</w:t>
      </w:r>
      <w:r>
        <w:rPr>
          <w:rFonts w:ascii="Times New Roman" w:hAnsi="Times New Roman" w:cs="Times New Roman"/>
          <w:color w:val="000000"/>
          <w:sz w:val="20"/>
          <w:szCs w:val="20"/>
          <w:lang w:eastAsia="en-IN"/>
        </w:rPr>
        <w:t xml:space="preserve"> Our findings are supported by studies of Khan </w:t>
      </w:r>
      <w:r>
        <w:rPr>
          <w:rFonts w:ascii="Times New Roman" w:hAnsi="Times New Roman" w:cs="Times New Roman"/>
          <w:i/>
          <w:iCs/>
          <w:color w:val="000000"/>
          <w:sz w:val="20"/>
          <w:szCs w:val="20"/>
          <w:lang w:eastAsia="en-IN"/>
        </w:rPr>
        <w:t>et al</w:t>
      </w:r>
      <w:r>
        <w:rPr>
          <w:rFonts w:ascii="Times New Roman" w:hAnsi="Times New Roman" w:cs="Times New Roman"/>
          <w:color w:val="000000"/>
          <w:sz w:val="20"/>
          <w:szCs w:val="20"/>
          <w:lang w:eastAsia="en-IN"/>
        </w:rPr>
        <w:t xml:space="preserve">. (1984) on Citrus psylla, who found a high activity period in June and July along with an increase in temperature and a decline in population along with an increase in relative humidity and rainfall. In Meghalaya, Rao and Pathak (2001) also noted the highest number of adult </w:t>
      </w:r>
      <w:r>
        <w:rPr>
          <w:rFonts w:ascii="Times New Roman" w:hAnsi="Times New Roman" w:cs="Times New Roman"/>
          <w:i/>
          <w:iCs/>
          <w:color w:val="000000"/>
          <w:sz w:val="20"/>
          <w:szCs w:val="20"/>
          <w:lang w:eastAsia="en-IN"/>
        </w:rPr>
        <w:t>Diaphorina citri</w:t>
      </w:r>
      <w:r>
        <w:rPr>
          <w:rFonts w:ascii="Times New Roman" w:hAnsi="Times New Roman" w:cs="Times New Roman"/>
          <w:color w:val="000000"/>
          <w:sz w:val="20"/>
          <w:szCs w:val="20"/>
          <w:lang w:eastAsia="en-IN"/>
        </w:rPr>
        <w:t xml:space="preserve"> in June and discovered a positive correlation with the lowest temperature, which was also noted in this investigation.</w:t>
      </w:r>
      <w:r>
        <w:rPr>
          <w:rFonts w:ascii="Times New Roman" w:hAnsi="Times New Roman" w:cs="Times New Roman"/>
          <w:color w:val="000000"/>
          <w:sz w:val="20"/>
          <w:szCs w:val="20"/>
        </w:rPr>
        <w:t xml:space="preserve"> </w:t>
      </w:r>
      <w:r>
        <w:rPr>
          <w:rFonts w:ascii="Times New Roman" w:hAnsi="Times New Roman" w:cs="Times New Roman"/>
          <w:sz w:val="20"/>
          <w:szCs w:val="20"/>
          <w:lang w:eastAsia="en-IN"/>
        </w:rPr>
        <w:t>Our results are consistent with the findings of Ahmed</w:t>
      </w:r>
      <w:r>
        <w:rPr>
          <w:rFonts w:ascii="Times New Roman" w:hAnsi="Times New Roman" w:cs="Times New Roman"/>
          <w:color w:val="000000"/>
          <w:sz w:val="20"/>
          <w:szCs w:val="20"/>
          <w:lang w:eastAsia="en-IN"/>
        </w:rPr>
        <w:t xml:space="preserve"> </w:t>
      </w:r>
      <w:r>
        <w:rPr>
          <w:rFonts w:ascii="Times New Roman" w:hAnsi="Times New Roman" w:cs="Times New Roman"/>
          <w:i/>
          <w:iCs/>
          <w:color w:val="000000"/>
          <w:sz w:val="20"/>
          <w:szCs w:val="20"/>
          <w:lang w:eastAsia="en-IN"/>
        </w:rPr>
        <w:t>et al.</w:t>
      </w:r>
      <w:r>
        <w:rPr>
          <w:rFonts w:ascii="Times New Roman" w:hAnsi="Times New Roman" w:cs="Times New Roman"/>
          <w:color w:val="000000"/>
          <w:sz w:val="20"/>
          <w:szCs w:val="20"/>
          <w:lang w:eastAsia="en-IN"/>
        </w:rPr>
        <w:t xml:space="preserve"> (2014) who discovered strong positive correlations in the case of the leucana psyllid </w:t>
      </w:r>
      <w:r>
        <w:rPr>
          <w:rFonts w:ascii="Times New Roman" w:hAnsi="Times New Roman" w:cs="Times New Roman"/>
          <w:i/>
          <w:iCs/>
          <w:color w:val="000000"/>
          <w:sz w:val="20"/>
          <w:szCs w:val="20"/>
          <w:lang w:eastAsia="en-IN"/>
        </w:rPr>
        <w:t>(Heteropsylla cubana</w:t>
      </w:r>
      <w:r>
        <w:rPr>
          <w:rFonts w:ascii="Times New Roman" w:hAnsi="Times New Roman" w:cs="Times New Roman"/>
          <w:color w:val="000000"/>
          <w:sz w:val="20"/>
          <w:szCs w:val="20"/>
          <w:lang w:eastAsia="en-IN"/>
        </w:rPr>
        <w:t xml:space="preserve">) between psyllid damage and mean minimum temperature, mean maximum temperature, and mean daily temperature. A decrease in the number of psyllids in the eucalyptus psyllid, </w:t>
      </w:r>
      <w:r>
        <w:rPr>
          <w:rFonts w:ascii="Times New Roman" w:hAnsi="Times New Roman" w:cs="Times New Roman"/>
          <w:i/>
          <w:iCs/>
          <w:color w:val="000000"/>
          <w:sz w:val="20"/>
          <w:szCs w:val="20"/>
          <w:lang w:eastAsia="en-IN"/>
        </w:rPr>
        <w:t>Blastopsylla occidentalis</w:t>
      </w:r>
      <w:r>
        <w:rPr>
          <w:rFonts w:ascii="Times New Roman" w:hAnsi="Times New Roman" w:cs="Times New Roman"/>
          <w:color w:val="000000"/>
          <w:sz w:val="20"/>
          <w:szCs w:val="20"/>
          <w:lang w:eastAsia="en-IN"/>
        </w:rPr>
        <w:t>, was observed by Soufo and Tamesse (2015), in response to an increase in relative humidity and rainfall.</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eastAsia="en-IN"/>
        </w:rPr>
        <w:t xml:space="preserve">Rainfall and psyllid populations were found to have a weakly positive correlation by Virender </w:t>
      </w:r>
      <w:r>
        <w:rPr>
          <w:rFonts w:ascii="Times New Roman" w:hAnsi="Times New Roman" w:cs="Times New Roman"/>
          <w:i/>
          <w:iCs/>
          <w:color w:val="000000"/>
          <w:sz w:val="20"/>
          <w:szCs w:val="20"/>
          <w:lang w:eastAsia="en-IN"/>
        </w:rPr>
        <w:t>et al.</w:t>
      </w:r>
      <w:r>
        <w:rPr>
          <w:rFonts w:ascii="Times New Roman" w:hAnsi="Times New Roman" w:cs="Times New Roman"/>
          <w:color w:val="000000"/>
          <w:sz w:val="20"/>
          <w:szCs w:val="20"/>
          <w:lang w:eastAsia="en-IN"/>
        </w:rPr>
        <w:t xml:space="preserve"> (2007) in their studies on olive psylla </w:t>
      </w:r>
      <w:r>
        <w:rPr>
          <w:rFonts w:ascii="Times New Roman" w:hAnsi="Times New Roman" w:cs="Times New Roman"/>
          <w:i/>
          <w:iCs/>
          <w:color w:val="000000"/>
          <w:sz w:val="20"/>
          <w:szCs w:val="20"/>
          <w:lang w:eastAsia="en-IN"/>
        </w:rPr>
        <w:t>(Euphyllura pakistanica</w:t>
      </w:r>
      <w:r>
        <w:rPr>
          <w:rFonts w:ascii="Times New Roman" w:hAnsi="Times New Roman" w:cs="Times New Roman"/>
          <w:color w:val="000000"/>
          <w:sz w:val="20"/>
          <w:szCs w:val="20"/>
          <w:lang w:eastAsia="en-IN"/>
        </w:rPr>
        <w:t xml:space="preserve">).  </w:t>
      </w:r>
    </w:p>
    <w:p w14:paraId="581E5088">
      <w:pPr>
        <w:pStyle w:val="15"/>
        <w:tabs>
          <w:tab w:val="left" w:pos="709"/>
        </w:tabs>
        <w:spacing w:before="120"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Cyantraniliprole has proven to be highly effective against pear psylla due to its unique mode of action as a diamide insecticide, targeting ryanodine receptors in insect muscle cells, leading to paralysis and death (Cordova </w:t>
      </w:r>
      <w:r>
        <w:rPr>
          <w:rFonts w:ascii="Times New Roman" w:hAnsi="Times New Roman" w:cs="Times New Roman"/>
          <w:i/>
          <w:iCs/>
          <w:color w:val="000000"/>
          <w:sz w:val="20"/>
          <w:szCs w:val="20"/>
        </w:rPr>
        <w:t>et al</w:t>
      </w:r>
      <w:r>
        <w:rPr>
          <w:rFonts w:ascii="Times New Roman" w:hAnsi="Times New Roman" w:cs="Times New Roman"/>
          <w:color w:val="000000"/>
          <w:sz w:val="20"/>
          <w:szCs w:val="20"/>
        </w:rPr>
        <w:t xml:space="preserve">., 2006). Its systemic and translaminar properties allow it to protect all parts of the plant, ensuring comprehensive pest control. The insecticide offers long-lasting residual activity, reducing the need for frequent reapplications (Lahm </w:t>
      </w:r>
      <w:r>
        <w:rPr>
          <w:rFonts w:ascii="Times New Roman" w:hAnsi="Times New Roman" w:cs="Times New Roman"/>
          <w:i/>
          <w:iCs/>
          <w:color w:val="000000"/>
          <w:sz w:val="20"/>
          <w:szCs w:val="20"/>
        </w:rPr>
        <w:t>et al.,</w:t>
      </w:r>
      <w:r>
        <w:rPr>
          <w:rFonts w:ascii="Times New Roman" w:hAnsi="Times New Roman" w:cs="Times New Roman"/>
          <w:color w:val="000000"/>
          <w:sz w:val="20"/>
          <w:szCs w:val="20"/>
        </w:rPr>
        <w:t xml:space="preserve"> 2007). Additionally, it is effective against pear psylla at all life stages, ensuring broad-spectrum control and life cycle disruption (Dinter </w:t>
      </w:r>
      <w:r>
        <w:rPr>
          <w:rFonts w:ascii="Times New Roman" w:hAnsi="Times New Roman" w:cs="Times New Roman"/>
          <w:i/>
          <w:iCs/>
          <w:color w:val="000000"/>
          <w:sz w:val="20"/>
          <w:szCs w:val="20"/>
        </w:rPr>
        <w:t>et al.,</w:t>
      </w:r>
      <w:r>
        <w:rPr>
          <w:rFonts w:ascii="Times New Roman" w:hAnsi="Times New Roman" w:cs="Times New Roman"/>
          <w:color w:val="000000"/>
          <w:sz w:val="20"/>
          <w:szCs w:val="20"/>
        </w:rPr>
        <w:t xml:space="preserve"> 2014).</w:t>
      </w:r>
    </w:p>
    <w:p w14:paraId="132C73B0">
      <w:pPr>
        <w:pStyle w:val="15"/>
        <w:tabs>
          <w:tab w:val="left" w:pos="709"/>
        </w:tabs>
        <w:spacing w:before="120" w:after="120" w:line="240" w:lineRule="auto"/>
        <w:jc w:val="both"/>
        <w:rPr>
          <w:rFonts w:ascii="Times New Roman" w:hAnsi="Times New Roman" w:cs="Times New Roman"/>
          <w:color w:val="000000"/>
          <w:sz w:val="20"/>
          <w:szCs w:val="20"/>
          <w:lang w:eastAsia="en-IN"/>
        </w:rPr>
      </w:pPr>
      <w:r>
        <w:rPr>
          <w:rFonts w:ascii="Times New Roman" w:hAnsi="Times New Roman" w:cs="Times New Roman"/>
          <w:color w:val="000000"/>
          <w:sz w:val="20"/>
          <w:szCs w:val="20"/>
          <w:lang w:eastAsia="en-IN"/>
        </w:rPr>
        <w:t xml:space="preserve">Acetamiprid was the second most effective treatment, with a reduction rate of 89.19–92.11%, similar to Youssef and Seham’s (2015) findings. Dimethoate showed 89.70% effectiveness, consistent with earlier studies (Pielou &amp; Downing, 1960; Rajagopal </w:t>
      </w:r>
      <w:r>
        <w:rPr>
          <w:rFonts w:ascii="Times New Roman" w:hAnsi="Times New Roman" w:cs="Times New Roman"/>
          <w:i/>
          <w:iCs/>
          <w:color w:val="000000"/>
          <w:sz w:val="20"/>
          <w:szCs w:val="20"/>
          <w:lang w:eastAsia="en-IN"/>
        </w:rPr>
        <w:t>et al.,</w:t>
      </w:r>
      <w:r>
        <w:rPr>
          <w:rFonts w:ascii="Times New Roman" w:hAnsi="Times New Roman" w:cs="Times New Roman"/>
          <w:color w:val="000000"/>
          <w:sz w:val="20"/>
          <w:szCs w:val="20"/>
          <w:lang w:eastAsia="en-IN"/>
        </w:rPr>
        <w:t xml:space="preserve"> 1990). Spinosad, with 82.43% efficacy, has notable knockdown effects but loses potency after 5-8 days (Bangels </w:t>
      </w:r>
      <w:r>
        <w:rPr>
          <w:rFonts w:ascii="Times New Roman" w:hAnsi="Times New Roman" w:cs="Times New Roman"/>
          <w:i/>
          <w:iCs/>
          <w:color w:val="000000"/>
          <w:sz w:val="20"/>
          <w:szCs w:val="20"/>
          <w:lang w:eastAsia="en-IN"/>
        </w:rPr>
        <w:t>et al.,</w:t>
      </w:r>
      <w:r>
        <w:rPr>
          <w:rFonts w:ascii="Times New Roman" w:hAnsi="Times New Roman" w:cs="Times New Roman"/>
          <w:color w:val="000000"/>
          <w:sz w:val="20"/>
          <w:szCs w:val="20"/>
          <w:lang w:eastAsia="en-IN"/>
        </w:rPr>
        <w:t xml:space="preserve"> 2010). Flubendiamide, primarily targeting lepidopterans, was less effective against pear psylla due to its hemipteran nature.</w:t>
      </w:r>
    </w:p>
    <w:p w14:paraId="2BB62BAF">
      <w:pPr>
        <w:pStyle w:val="29"/>
        <w:numPr>
          <w:ilvl w:val="0"/>
          <w:numId w:val="2"/>
        </w:numPr>
        <w:spacing w:line="240" w:lineRule="auto"/>
        <w:rPr>
          <w:rFonts w:cs="Times New Roman"/>
          <w:sz w:val="20"/>
          <w:szCs w:val="20"/>
          <w:lang w:eastAsia="en-IN"/>
        </w:rPr>
      </w:pPr>
      <w:r>
        <w:rPr>
          <w:rFonts w:cs="Times New Roman"/>
          <w:sz w:val="20"/>
          <w:szCs w:val="20"/>
          <w:lang w:eastAsia="en-IN"/>
        </w:rPr>
        <w:t>CONCLUSION</w:t>
      </w:r>
    </w:p>
    <w:p w14:paraId="06B6AA8D">
      <w:pPr>
        <w:pStyle w:val="29"/>
        <w:spacing w:line="240" w:lineRule="auto"/>
        <w:ind w:left="360"/>
        <w:jc w:val="both"/>
        <w:rPr>
          <w:rFonts w:hint="default" w:cs="Times New Roman"/>
          <w:b w:val="0"/>
          <w:bCs/>
          <w:sz w:val="20"/>
          <w:szCs w:val="20"/>
          <w:highlight w:val="yellow"/>
          <w:lang w:val="en-US" w:eastAsia="en-IN"/>
        </w:rPr>
      </w:pPr>
      <w:r>
        <w:rPr>
          <w:sz w:val="20"/>
        </w:rPr>
        <mc:AlternateContent>
          <mc:Choice Requires="wps">
            <w:drawing>
              <wp:anchor distT="0" distB="0" distL="114300" distR="114300" simplePos="0" relativeHeight="251683840" behindDoc="0" locked="0" layoutInCell="1" allowOverlap="1">
                <wp:simplePos x="0" y="0"/>
                <wp:positionH relativeFrom="column">
                  <wp:posOffset>5813425</wp:posOffset>
                </wp:positionH>
                <wp:positionV relativeFrom="paragraph">
                  <wp:posOffset>36195</wp:posOffset>
                </wp:positionV>
                <wp:extent cx="685165" cy="1143000"/>
                <wp:effectExtent l="4445" t="4445" r="8890" b="8255"/>
                <wp:wrapNone/>
                <wp:docPr id="7" name="Text Box 7"/>
                <wp:cNvGraphicFramePr/>
                <a:graphic xmlns:a="http://schemas.openxmlformats.org/drawingml/2006/main">
                  <a:graphicData uri="http://schemas.microsoft.com/office/word/2010/wordprocessingShape">
                    <wps:wsp>
                      <wps:cNvSpPr txBox="1"/>
                      <wps:spPr>
                        <a:xfrm>
                          <a:off x="6918325" y="2306955"/>
                          <a:ext cx="685165" cy="1143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2E5724">
                            <w:pPr>
                              <w:rPr>
                                <w:rFonts w:hint="default"/>
                                <w:color w:val="FF0000"/>
                                <w:sz w:val="16"/>
                                <w:szCs w:val="20"/>
                                <w:lang w:val="en-IN"/>
                              </w:rPr>
                            </w:pPr>
                            <w:r>
                              <w:rPr>
                                <w:rFonts w:hint="default"/>
                                <w:color w:val="FF0000"/>
                                <w:sz w:val="16"/>
                                <w:szCs w:val="20"/>
                                <w:lang w:val="en-IN"/>
                              </w:rPr>
                              <w:t>Remove yellow highlighted content and add green highlighted content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7.75pt;margin-top:2.85pt;height:90pt;width:53.95pt;z-index:251683840;mso-width-relative:page;mso-height-relative:page;" fillcolor="#FFFFFF [3201]" filled="t" stroked="t" coordsize="21600,21600" o:gfxdata="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JQRey1wAAAAoB&#10;AAAPAAAAAAAAAAEAIAAAACIAAABkcnMvZG93bnJldi54bWxQSwECFAAUAAAACACHTuJAI6jUMlUC&#10;AADCBAAADgAAAAAAAAABACAAAAAmAQAAZHJzL2Uyb0RvYy54bWxQSwUGAAAAAAYABgBZAQAA7QUA&#10;AAAA&#10;">
                <v:fill on="t" focussize="0,0"/>
                <v:stroke weight="0.5pt" color="#000000 [3204]" joinstyle="round"/>
                <v:imagedata o:title=""/>
                <o:lock v:ext="edit" aspectratio="f"/>
                <v:textbox>
                  <w:txbxContent>
                    <w:p w14:paraId="2D2E5724">
                      <w:pPr>
                        <w:rPr>
                          <w:rFonts w:hint="default"/>
                          <w:color w:val="FF0000"/>
                          <w:sz w:val="16"/>
                          <w:szCs w:val="20"/>
                          <w:lang w:val="en-IN"/>
                        </w:rPr>
                      </w:pPr>
                      <w:r>
                        <w:rPr>
                          <w:rFonts w:hint="default"/>
                          <w:color w:val="FF0000"/>
                          <w:sz w:val="16"/>
                          <w:szCs w:val="20"/>
                          <w:lang w:val="en-IN"/>
                        </w:rPr>
                        <w:t>Remove yellow highlighted content and add green highlighted content</w:t>
                      </w:r>
                    </w:p>
                  </w:txbxContent>
                </v:textbox>
              </v:shape>
            </w:pict>
          </mc:Fallback>
        </mc:AlternateContent>
      </w:r>
      <w:r>
        <w:rPr>
          <w:rFonts w:cs="Times New Roman"/>
          <w:sz w:val="20"/>
          <w:szCs w:val="20"/>
          <w:lang w:eastAsia="en-IN"/>
        </w:rPr>
        <w:t xml:space="preserve">       </w:t>
      </w:r>
      <w:r>
        <w:rPr>
          <w:rFonts w:cs="Times New Roman"/>
          <w:sz w:val="20"/>
          <w:szCs w:val="20"/>
          <w:highlight w:val="yellow"/>
          <w:lang w:eastAsia="en-IN"/>
        </w:rPr>
        <w:t xml:space="preserve">  </w:t>
      </w:r>
      <w:r>
        <w:rPr>
          <w:rFonts w:cs="Times New Roman"/>
          <w:b w:val="0"/>
          <w:bCs/>
          <w:sz w:val="20"/>
          <w:szCs w:val="20"/>
          <w:highlight w:val="yellow"/>
          <w:lang w:eastAsia="en-IN"/>
        </w:rPr>
        <w:t>Pest population during maximum and minimum temperatures showed a significant positive correlation, while rainfall and pest population at all locations showed a negative correlation</w:t>
      </w:r>
      <w:r>
        <w:rPr>
          <w:rFonts w:hint="default" w:cs="Times New Roman"/>
          <w:b w:val="0"/>
          <w:bCs/>
          <w:sz w:val="20"/>
          <w:szCs w:val="20"/>
          <w:highlight w:val="yellow"/>
          <w:lang w:val="en-US" w:eastAsia="en-IN"/>
        </w:rPr>
        <w:t xml:space="preserve"> at all location</w:t>
      </w:r>
      <w:r>
        <w:rPr>
          <w:rFonts w:cs="Times New Roman"/>
          <w:b w:val="0"/>
          <w:bCs/>
          <w:sz w:val="20"/>
          <w:szCs w:val="20"/>
          <w:highlight w:val="yellow"/>
          <w:lang w:eastAsia="en-IN"/>
        </w:rPr>
        <w:t>. Maximum relative humidity showed a negative</w:t>
      </w:r>
      <w:r>
        <w:rPr>
          <w:rFonts w:hint="default" w:cs="Times New Roman"/>
          <w:b w:val="0"/>
          <w:bCs/>
          <w:sz w:val="20"/>
          <w:szCs w:val="20"/>
          <w:highlight w:val="yellow"/>
          <w:lang w:val="en-US" w:eastAsia="en-IN"/>
        </w:rPr>
        <w:t xml:space="preserve"> relation</w:t>
      </w:r>
      <w:r>
        <w:rPr>
          <w:rFonts w:cs="Times New Roman"/>
          <w:b w:val="0"/>
          <w:bCs/>
          <w:sz w:val="20"/>
          <w:szCs w:val="20"/>
          <w:highlight w:val="yellow"/>
          <w:lang w:eastAsia="en-IN"/>
        </w:rPr>
        <w:t xml:space="preserve"> but statistically significant correlation and minimum relative humidity showed positive as well as negative relation with pest population. After rainfall and the minimum temperature, the maximum temperature was the main cause of the population fluctuations. There were more psyllids when the temperature was between, as this was the ideal range for psylla development. </w:t>
      </w:r>
      <w:r>
        <w:rPr>
          <w:rFonts w:hint="default"/>
          <w:b w:val="0"/>
          <w:bCs/>
          <w:color w:val="000000"/>
          <w:sz w:val="20"/>
          <w:szCs w:val="20"/>
          <w:lang w:val="en-US" w:eastAsia="en-IN"/>
        </w:rPr>
        <w:t xml:space="preserve"> </w:t>
      </w:r>
      <w:r>
        <w:rPr>
          <w:rFonts w:hint="default"/>
          <w:b w:val="0"/>
          <w:bCs/>
          <w:color w:val="000000"/>
          <w:sz w:val="20"/>
          <w:szCs w:val="20"/>
          <w:highlight w:val="green"/>
          <w:lang w:val="en-US" w:eastAsia="en-IN"/>
        </w:rPr>
        <w:t>(Maximum and minimum temperature showed a significant and positive correlation with maximum and minimum temperature and minimum relative humidity in all location, whereas rainfall and maximum temperature showed significant and negative correlation. Rainfall, maximum and minimum temperature were main cause for fluctuation of Psyllid population. Moreover, 27-29</w:t>
      </w:r>
      <w:r>
        <w:rPr>
          <w:rFonts w:hint="eastAsia" w:ascii="SimSun" w:hAnsi="SimSun" w:eastAsia="SimSun" w:cs="SimSun"/>
          <w:b w:val="0"/>
          <w:bCs/>
          <w:color w:val="000000"/>
          <w:sz w:val="20"/>
          <w:szCs w:val="20"/>
          <w:highlight w:val="green"/>
          <w:lang w:val="en-US" w:eastAsia="en-IN"/>
        </w:rPr>
        <w:t>℃</w:t>
      </w:r>
      <w:r>
        <w:rPr>
          <w:rFonts w:hint="default"/>
          <w:b w:val="0"/>
          <w:bCs/>
          <w:color w:val="000000"/>
          <w:sz w:val="20"/>
          <w:szCs w:val="20"/>
          <w:highlight w:val="green"/>
          <w:lang w:val="en-US" w:eastAsia="en-IN"/>
        </w:rPr>
        <w:t xml:space="preserve"> was ideal temperature pest population buildup. </w:t>
      </w:r>
      <w:r>
        <w:rPr>
          <w:b w:val="0"/>
          <w:bCs/>
          <w:color w:val="000000"/>
          <w:sz w:val="20"/>
          <w:szCs w:val="20"/>
          <w:lang w:eastAsia="en-IN"/>
        </w:rPr>
        <w:t>The results of the evaluation of different insecticides revealed that cyantraniliprole 10.26% OD with an efficacy of 92.74%, proved to be the most effective followed by Acetamiprid 20% SP (90.87%).</w:t>
      </w:r>
    </w:p>
    <w:p w14:paraId="2114564E">
      <w:pPr>
        <w:tabs>
          <w:tab w:val="left" w:pos="709"/>
        </w:tabs>
        <w:spacing w:before="120" w:after="12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Conflict of interest</w:t>
      </w:r>
    </w:p>
    <w:p w14:paraId="0908F3DF">
      <w:pPr>
        <w:pStyle w:val="15"/>
        <w:numPr>
          <w:ilvl w:val="0"/>
          <w:numId w:val="3"/>
        </w:numPr>
        <w:tabs>
          <w:tab w:val="left" w:pos="709"/>
        </w:tabs>
        <w:spacing w:before="120" w:after="12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There is no conflict of interest regarding this manuscript </w:t>
      </w:r>
    </w:p>
    <w:p w14:paraId="66101727">
      <w:pPr>
        <w:pStyle w:val="15"/>
        <w:tabs>
          <w:tab w:val="left" w:pos="709"/>
        </w:tabs>
        <w:spacing w:before="120" w:after="120" w:line="240" w:lineRule="auto"/>
        <w:ind w:left="1080"/>
        <w:jc w:val="both"/>
        <w:rPr>
          <w:rFonts w:ascii="Times New Roman" w:hAnsi="Times New Roman" w:cs="Times New Roman"/>
          <w:b/>
          <w:bCs/>
          <w:color w:val="000000"/>
          <w:sz w:val="20"/>
          <w:szCs w:val="20"/>
        </w:rPr>
      </w:pPr>
    </w:p>
    <w:p w14:paraId="3F503007">
      <w:pPr>
        <w:tabs>
          <w:tab w:val="left" w:pos="709"/>
        </w:tabs>
        <w:spacing w:before="120" w:after="120" w:line="240" w:lineRule="auto"/>
        <w:jc w:val="both"/>
        <w:rPr>
          <w:rFonts w:ascii="Times New Roman" w:hAnsi="Times New Roman" w:cs="Times New Roman"/>
          <w:b/>
          <w:bCs/>
          <w:color w:val="000000"/>
          <w:sz w:val="20"/>
          <w:szCs w:val="20"/>
        </w:rPr>
      </w:pPr>
    </w:p>
    <w:p w14:paraId="6D4815E9">
      <w:pPr>
        <w:pStyle w:val="15"/>
        <w:tabs>
          <w:tab w:val="left" w:pos="709"/>
        </w:tabs>
        <w:spacing w:before="120" w:after="120" w:line="240" w:lineRule="auto"/>
        <w:jc w:val="both"/>
        <w:rPr>
          <w:rFonts w:ascii="Times New Roman" w:hAnsi="Times New Roman" w:cs="Times New Roman"/>
          <w:b/>
          <w:bCs/>
          <w:color w:val="000000"/>
          <w:sz w:val="20"/>
          <w:szCs w:val="20"/>
        </w:rPr>
        <w:sectPr>
          <w:headerReference r:id="rId21" w:type="first"/>
          <w:footerReference r:id="rId24" w:type="first"/>
          <w:headerReference r:id="rId19" w:type="default"/>
          <w:footerReference r:id="rId22" w:type="default"/>
          <w:headerReference r:id="rId20" w:type="even"/>
          <w:footerReference r:id="rId23" w:type="even"/>
          <w:pgSz w:w="11906" w:h="16838"/>
          <w:pgMar w:top="1440" w:right="1440" w:bottom="1440" w:left="1440" w:header="708" w:footer="708" w:gutter="0"/>
          <w:cols w:space="708" w:num="1"/>
          <w:docGrid w:linePitch="360" w:charSpace="0"/>
        </w:sectPr>
      </w:pPr>
      <w:r>
        <w:rPr>
          <w:rFonts w:ascii="Times New Roman" w:hAnsi="Times New Roman" w:cs="Times New Roman"/>
          <w:b/>
          <w:bCs/>
          <w:color w:val="000000"/>
          <w:sz w:val="20"/>
          <w:szCs w:val="20"/>
        </w:rPr>
        <w:t xml:space="preserve">I have worked on this  pear psylla I have not taken this data from any resources its my own data </w:t>
      </w:r>
    </w:p>
    <w:p w14:paraId="693534D4">
      <w:pPr>
        <w:pStyle w:val="38"/>
        <w:spacing w:line="240" w:lineRule="auto"/>
        <w:rPr>
          <w:rFonts w:cs="Times New Roman"/>
          <w:sz w:val="20"/>
          <w:szCs w:val="20"/>
        </w:rPr>
        <w:sectPr>
          <w:type w:val="continuous"/>
          <w:pgSz w:w="11906" w:h="16838"/>
          <w:pgMar w:top="1440" w:right="1440" w:bottom="1440" w:left="1440" w:header="708" w:footer="708" w:gutter="0"/>
          <w:cols w:space="708" w:num="1"/>
          <w:docGrid w:linePitch="360" w:charSpace="0"/>
        </w:sectPr>
      </w:pPr>
    </w:p>
    <w:p w14:paraId="36400559">
      <w:pPr>
        <w:pStyle w:val="38"/>
        <w:spacing w:line="240" w:lineRule="auto"/>
        <w:ind w:left="1512"/>
        <w:rPr>
          <w:rFonts w:cs="Times New Roman"/>
          <w:b/>
          <w:bCs/>
          <w:sz w:val="24"/>
          <w:szCs w:val="24"/>
        </w:rPr>
      </w:pPr>
      <w:r>
        <w:rPr>
          <w:rFonts w:cs="Times New Roman"/>
          <w:b/>
          <w:bCs/>
          <w:sz w:val="24"/>
          <w:szCs w:val="24"/>
        </w:rPr>
        <w:t xml:space="preserve">References </w:t>
      </w:r>
    </w:p>
    <w:p w14:paraId="67AF1128">
      <w:pPr>
        <w:pStyle w:val="38"/>
        <w:spacing w:line="240" w:lineRule="auto"/>
        <w:ind w:left="1512"/>
        <w:rPr>
          <w:rFonts w:cs="Times New Roman"/>
          <w:sz w:val="20"/>
          <w:szCs w:val="20"/>
        </w:rPr>
      </w:pPr>
    </w:p>
    <w:p w14:paraId="3484642A">
      <w:pPr>
        <w:pStyle w:val="38"/>
        <w:spacing w:line="240" w:lineRule="auto"/>
        <w:ind w:left="2160" w:hanging="648"/>
        <w:rPr>
          <w:rFonts w:cs="Times New Roman"/>
          <w:sz w:val="20"/>
          <w:szCs w:val="20"/>
        </w:rPr>
      </w:pPr>
      <w:r>
        <w:rPr>
          <w:rFonts w:cs="Times New Roman"/>
          <w:sz w:val="20"/>
          <w:szCs w:val="20"/>
        </w:rPr>
        <w:t xml:space="preserve">Ahmad, M. J., Mohiudin, S., Pathania, S. and Mukhtar, M. (2020). Feeding potential of </w:t>
      </w:r>
      <w:r>
        <w:rPr>
          <w:rFonts w:cs="Times New Roman"/>
          <w:sz w:val="20"/>
          <w:szCs w:val="20"/>
          <w:highlight w:val="yellow"/>
        </w:rPr>
        <w:t>anthocorid</w:t>
      </w:r>
      <w:r>
        <w:rPr>
          <w:rFonts w:cs="Times New Roman"/>
          <w:sz w:val="20"/>
          <w:szCs w:val="20"/>
        </w:rPr>
        <w:t xml:space="preserve"> bug, </w:t>
      </w:r>
      <w:r>
        <w:rPr>
          <w:rFonts w:cs="Times New Roman"/>
          <w:i/>
          <w:iCs/>
          <w:sz w:val="20"/>
          <w:szCs w:val="20"/>
        </w:rPr>
        <w:t>Blaptostethus pallescens</w:t>
      </w:r>
      <w:r>
        <w:rPr>
          <w:rFonts w:cs="Times New Roman"/>
          <w:sz w:val="20"/>
          <w:szCs w:val="20"/>
        </w:rPr>
        <w:t xml:space="preserve"> (Poppius) (Hemiptera: Anthocoridae) against eggs of pear psylla, </w:t>
      </w:r>
      <w:r>
        <w:rPr>
          <w:rFonts w:cs="Times New Roman"/>
          <w:i/>
          <w:iCs/>
          <w:sz w:val="20"/>
          <w:szCs w:val="20"/>
        </w:rPr>
        <w:t>Cacopsylla pyricola</w:t>
      </w:r>
      <w:r>
        <w:rPr>
          <w:rFonts w:cs="Times New Roman"/>
          <w:sz w:val="20"/>
          <w:szCs w:val="20"/>
        </w:rPr>
        <w:t xml:space="preserve"> (Foerster) (Homoptera: Psyllidae) on pear in Kashmir. </w:t>
      </w:r>
      <w:r>
        <w:rPr>
          <w:rFonts w:cs="Times New Roman"/>
          <w:i/>
          <w:iCs/>
          <w:sz w:val="20"/>
          <w:szCs w:val="20"/>
        </w:rPr>
        <w:t>Journal of Entomology and</w:t>
      </w:r>
      <w:r>
        <w:rPr>
          <w:rFonts w:cs="Times New Roman"/>
          <w:sz w:val="20"/>
          <w:szCs w:val="20"/>
        </w:rPr>
        <w:t xml:space="preserve"> </w:t>
      </w:r>
      <w:r>
        <w:rPr>
          <w:rFonts w:cs="Times New Roman"/>
          <w:i/>
          <w:iCs/>
          <w:sz w:val="20"/>
          <w:szCs w:val="20"/>
        </w:rPr>
        <w:t>zoology studies,</w:t>
      </w:r>
      <w:r>
        <w:rPr>
          <w:rFonts w:cs="Times New Roman"/>
          <w:sz w:val="20"/>
          <w:szCs w:val="20"/>
        </w:rPr>
        <w:t xml:space="preserve"> </w:t>
      </w:r>
      <w:r>
        <w:rPr>
          <w:rFonts w:cs="Times New Roman"/>
          <w:b/>
          <w:i/>
          <w:iCs/>
          <w:sz w:val="20"/>
          <w:szCs w:val="20"/>
        </w:rPr>
        <w:t>8</w:t>
      </w:r>
      <w:r>
        <w:rPr>
          <w:rFonts w:cs="Times New Roman"/>
          <w:i/>
          <w:iCs/>
          <w:sz w:val="20"/>
          <w:szCs w:val="20"/>
        </w:rPr>
        <w:t>(</w:t>
      </w:r>
      <w:r>
        <w:rPr>
          <w:rFonts w:cs="Times New Roman"/>
          <w:sz w:val="20"/>
          <w:szCs w:val="20"/>
        </w:rPr>
        <w:t xml:space="preserve">5), 685-689. </w:t>
      </w:r>
    </w:p>
    <w:p w14:paraId="1DA29F54">
      <w:pPr>
        <w:pStyle w:val="15"/>
        <w:tabs>
          <w:tab w:val="left" w:pos="709"/>
        </w:tabs>
        <w:spacing w:before="120" w:after="120" w:line="240" w:lineRule="auto"/>
        <w:ind w:left="2160" w:hanging="648"/>
        <w:jc w:val="both"/>
        <w:rPr>
          <w:rFonts w:ascii="Times New Roman" w:hAnsi="Times New Roman" w:eastAsia="Microsoft YaHei Light" w:cs="Times New Roman"/>
          <w:color w:val="000000"/>
          <w:sz w:val="20"/>
          <w:szCs w:val="20"/>
        </w:rPr>
      </w:pPr>
      <w:r>
        <w:rPr>
          <w:rFonts w:ascii="Times New Roman" w:hAnsi="Times New Roman" w:eastAsia="Microsoft YaHei Light" w:cs="Times New Roman"/>
          <w:color w:val="000000"/>
          <w:sz w:val="20"/>
          <w:szCs w:val="20"/>
        </w:rPr>
        <w:t xml:space="preserve">Ahmed, A. M. M., Ramirezy Aviles, L., Solorio-Sanchez, F. J., Al-Zyoud, F. A. and Barros-Rodriguez, M. (2014). An overview of some biotic and abiotic factors affecting the population dynamics of Leucaena psyllid, </w:t>
      </w:r>
      <w:r>
        <w:rPr>
          <w:rFonts w:ascii="Times New Roman" w:hAnsi="Times New Roman" w:eastAsia="Microsoft YaHei Light" w:cs="Times New Roman"/>
          <w:i/>
          <w:iCs/>
          <w:color w:val="000000"/>
          <w:sz w:val="20"/>
          <w:szCs w:val="20"/>
        </w:rPr>
        <w:t>Heteropsylla</w:t>
      </w:r>
      <w:r>
        <w:rPr>
          <w:rFonts w:ascii="Times New Roman" w:hAnsi="Times New Roman" w:eastAsia="Microsoft YaHei Light" w:cs="Times New Roman"/>
          <w:color w:val="000000"/>
          <w:sz w:val="20"/>
          <w:szCs w:val="20"/>
        </w:rPr>
        <w:t xml:space="preserve"> </w:t>
      </w:r>
      <w:r>
        <w:rPr>
          <w:rFonts w:ascii="Times New Roman" w:hAnsi="Times New Roman" w:eastAsia="Microsoft YaHei Light" w:cs="Times New Roman"/>
          <w:i/>
          <w:iCs/>
          <w:color w:val="000000"/>
          <w:sz w:val="20"/>
          <w:szCs w:val="20"/>
        </w:rPr>
        <w:t xml:space="preserve">cubana </w:t>
      </w:r>
      <w:r>
        <w:rPr>
          <w:rFonts w:ascii="Times New Roman" w:hAnsi="Times New Roman" w:eastAsia="Microsoft YaHei Light" w:cs="Times New Roman"/>
          <w:color w:val="000000"/>
          <w:sz w:val="20"/>
          <w:szCs w:val="20"/>
        </w:rPr>
        <w:t xml:space="preserve">Crawford (Homoptera: Psyllidae): contributory factors for pest management. </w:t>
      </w:r>
      <w:r>
        <w:rPr>
          <w:rFonts w:ascii="Times New Roman" w:hAnsi="Times New Roman" w:eastAsia="Microsoft YaHei Light" w:cs="Times New Roman"/>
          <w:i/>
          <w:iCs/>
          <w:color w:val="000000"/>
          <w:sz w:val="20"/>
          <w:szCs w:val="20"/>
        </w:rPr>
        <w:t>Tropical and Subtropical Agroecosystems</w:t>
      </w:r>
      <w:r>
        <w:rPr>
          <w:rFonts w:ascii="Times New Roman" w:hAnsi="Times New Roman" w:eastAsia="Microsoft YaHei Light" w:cs="Times New Roman"/>
          <w:color w:val="000000"/>
          <w:sz w:val="20"/>
          <w:szCs w:val="20"/>
        </w:rPr>
        <w:t xml:space="preserve">, </w:t>
      </w:r>
      <w:r>
        <w:rPr>
          <w:rFonts w:ascii="Times New Roman" w:hAnsi="Times New Roman" w:eastAsia="Microsoft YaHei Light" w:cs="Times New Roman"/>
          <w:b/>
          <w:i/>
          <w:iCs/>
          <w:color w:val="000000"/>
          <w:sz w:val="20"/>
          <w:szCs w:val="20"/>
        </w:rPr>
        <w:t>17</w:t>
      </w:r>
      <w:r>
        <w:rPr>
          <w:rFonts w:ascii="Times New Roman" w:hAnsi="Times New Roman" w:eastAsia="Microsoft YaHei Light" w:cs="Times New Roman"/>
          <w:i/>
          <w:iCs/>
          <w:color w:val="000000"/>
          <w:sz w:val="20"/>
          <w:szCs w:val="20"/>
        </w:rPr>
        <w:t>(</w:t>
      </w:r>
      <w:r>
        <w:rPr>
          <w:rFonts w:ascii="Times New Roman" w:hAnsi="Times New Roman" w:eastAsia="Microsoft YaHei Light" w:cs="Times New Roman"/>
          <w:color w:val="000000"/>
          <w:sz w:val="20"/>
          <w:szCs w:val="20"/>
        </w:rPr>
        <w:t xml:space="preserve">3), 115-118. </w:t>
      </w:r>
    </w:p>
    <w:p w14:paraId="75B52AA7">
      <w:pPr>
        <w:pStyle w:val="15"/>
        <w:tabs>
          <w:tab w:val="left" w:pos="709"/>
        </w:tabs>
        <w:spacing w:before="120" w:after="120" w:line="240" w:lineRule="auto"/>
        <w:ind w:left="2160" w:hanging="648"/>
        <w:jc w:val="both"/>
        <w:rPr>
          <w:rFonts w:ascii="Times New Roman" w:hAnsi="Times New Roman" w:cs="Times New Roman"/>
          <w:color w:val="000000"/>
          <w:sz w:val="20"/>
          <w:szCs w:val="20"/>
        </w:rPr>
      </w:pPr>
      <w:r>
        <w:rPr>
          <w:rFonts w:ascii="Times New Roman" w:hAnsi="Times New Roman" w:cs="Times New Roman"/>
          <w:color w:val="000000"/>
          <w:sz w:val="20"/>
          <w:szCs w:val="20"/>
        </w:rPr>
        <w:t>Akbar, S. A., Dar, M. A., Mahendiran, G. and Wachkoo, A. A. (2017). The first record of pear psylla</w:t>
      </w:r>
      <w:r>
        <w:rPr>
          <w:rFonts w:hint="default" w:ascii="Times New Roman" w:hAnsi="Times New Roman" w:cs="Times New Roman"/>
          <w:color w:val="000000"/>
          <w:sz w:val="20"/>
          <w:szCs w:val="20"/>
          <w:highlight w:val="yellow"/>
          <w:lang w:val="en-IN"/>
        </w:rPr>
        <w:t>,</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Cacopsylla bidens</w:t>
      </w:r>
      <w:r>
        <w:rPr>
          <w:rFonts w:ascii="Times New Roman" w:hAnsi="Times New Roman" w:cs="Times New Roman"/>
          <w:color w:val="000000"/>
          <w:sz w:val="20"/>
          <w:szCs w:val="20"/>
        </w:rPr>
        <w:t xml:space="preserve"> (Hemiptera: Psyllidae) from India along with notes on seasonal occurrence and some elements of its biology. </w:t>
      </w:r>
      <w:r>
        <w:rPr>
          <w:rFonts w:ascii="Times New Roman" w:hAnsi="Times New Roman" w:cs="Times New Roman"/>
          <w:i/>
          <w:iCs/>
          <w:color w:val="000000"/>
          <w:sz w:val="20"/>
          <w:szCs w:val="20"/>
        </w:rPr>
        <w:t>Oriental Insects,</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52</w:t>
      </w:r>
      <w:r>
        <w:rPr>
          <w:rFonts w:ascii="Times New Roman" w:hAnsi="Times New Roman" w:cs="Times New Roman"/>
          <w:color w:val="000000"/>
          <w:sz w:val="20"/>
          <w:szCs w:val="20"/>
        </w:rPr>
        <w:t xml:space="preserve">(1), 101-111. </w:t>
      </w:r>
      <w:bookmarkStart w:id="1" w:name="_GoBack"/>
      <w:bookmarkEnd w:id="1"/>
    </w:p>
    <w:p w14:paraId="3524993E">
      <w:pPr>
        <w:pStyle w:val="15"/>
        <w:tabs>
          <w:tab w:val="left" w:pos="709"/>
        </w:tabs>
        <w:spacing w:before="120" w:after="120" w:line="240" w:lineRule="auto"/>
        <w:ind w:left="2160" w:hanging="648"/>
        <w:jc w:val="both"/>
        <w:rPr>
          <w:rFonts w:ascii="Times New Roman" w:hAnsi="Times New Roman" w:eastAsia="Microsoft YaHei Light" w:cs="Times New Roman"/>
          <w:color w:val="000000"/>
          <w:sz w:val="20"/>
          <w:szCs w:val="20"/>
        </w:rPr>
      </w:pPr>
      <w:r>
        <w:rPr>
          <w:rFonts w:ascii="Times New Roman" w:hAnsi="Times New Roman" w:eastAsia="Microsoft YaHei Light" w:cs="Times New Roman"/>
          <w:color w:val="000000"/>
          <w:sz w:val="20"/>
          <w:szCs w:val="20"/>
        </w:rPr>
        <w:t xml:space="preserve">Anonymous, (2021). Statement Showing Area, Production, and Productivity of Fruits in J&amp;K State. Directorate of Horticulture, Government of Jammu and Kashmir, Srinagar. </w:t>
      </w:r>
    </w:p>
    <w:p w14:paraId="28E88258">
      <w:pPr>
        <w:pStyle w:val="15"/>
        <w:tabs>
          <w:tab w:val="left" w:pos="709"/>
        </w:tabs>
        <w:spacing w:before="120" w:after="120" w:line="240" w:lineRule="auto"/>
        <w:ind w:left="2160" w:hanging="64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Bangels, E., Peusens, G. and Beliën, T. (2010). Integrated management of phytoplasma diseases in pome fruit: an overview of efficacy results of IPM insecticides against pear Psylla (</w:t>
      </w:r>
      <w:r>
        <w:rPr>
          <w:rFonts w:ascii="Times New Roman" w:hAnsi="Times New Roman" w:cs="Times New Roman"/>
          <w:i/>
          <w:iCs/>
          <w:color w:val="000000"/>
          <w:sz w:val="20"/>
          <w:szCs w:val="20"/>
          <w:shd w:val="clear" w:color="auto" w:fill="FFFFFF"/>
        </w:rPr>
        <w:t>Cacopsylla pyri</w:t>
      </w:r>
      <w:r>
        <w:rPr>
          <w:rFonts w:ascii="Times New Roman" w:hAnsi="Times New Roman" w:cs="Times New Roman"/>
          <w:color w:val="000000"/>
          <w:sz w:val="20"/>
          <w:szCs w:val="20"/>
          <w:shd w:val="clear" w:color="auto" w:fill="FFFFFF"/>
        </w:rPr>
        <w:t xml:space="preserve">). </w:t>
      </w:r>
      <w:r>
        <w:rPr>
          <w:rFonts w:ascii="Times New Roman" w:hAnsi="Times New Roman" w:cs="Times New Roman"/>
          <w:i/>
          <w:iCs/>
          <w:color w:val="000000"/>
          <w:sz w:val="20"/>
          <w:szCs w:val="20"/>
          <w:shd w:val="clear" w:color="auto" w:fill="FFFFFF"/>
        </w:rPr>
        <w:t>Communications Agricultural and Applied Biological Sci</w:t>
      </w:r>
      <w:r>
        <w:rPr>
          <w:rFonts w:ascii="Times New Roman" w:hAnsi="Times New Roman" w:cs="Times New Roman"/>
          <w:color w:val="000000"/>
          <w:sz w:val="20"/>
          <w:szCs w:val="20"/>
          <w:shd w:val="clear" w:color="auto" w:fill="FFFFFF"/>
        </w:rPr>
        <w:t>ences, </w:t>
      </w:r>
      <w:r>
        <w:rPr>
          <w:rFonts w:ascii="Times New Roman" w:hAnsi="Times New Roman" w:cs="Times New Roman"/>
          <w:b/>
          <w:bCs/>
          <w:i/>
          <w:iCs/>
          <w:color w:val="000000"/>
          <w:sz w:val="20"/>
          <w:szCs w:val="20"/>
          <w:shd w:val="clear" w:color="auto" w:fill="FFFFFF"/>
        </w:rPr>
        <w:t>75</w:t>
      </w:r>
      <w:r>
        <w:rPr>
          <w:rFonts w:ascii="Times New Roman" w:hAnsi="Times New Roman" w:cs="Times New Roman"/>
          <w:color w:val="000000"/>
          <w:sz w:val="20"/>
          <w:szCs w:val="20"/>
          <w:shd w:val="clear" w:color="auto" w:fill="FFFFFF"/>
        </w:rPr>
        <w:t xml:space="preserve">, 255-263. </w:t>
      </w:r>
    </w:p>
    <w:p w14:paraId="211B0944">
      <w:pPr>
        <w:pStyle w:val="15"/>
        <w:tabs>
          <w:tab w:val="left" w:pos="709"/>
        </w:tabs>
        <w:spacing w:before="120" w:after="120" w:line="240" w:lineRule="auto"/>
        <w:ind w:left="2160" w:hanging="648"/>
        <w:jc w:val="both"/>
        <w:rPr>
          <w:rFonts w:ascii="Times New Roman" w:hAnsi="Times New Roman" w:eastAsia="Microsoft YaHei Light" w:cs="Times New Roman"/>
          <w:color w:val="000000"/>
          <w:sz w:val="20"/>
          <w:szCs w:val="20"/>
        </w:rPr>
      </w:pPr>
      <w:r>
        <w:rPr>
          <w:rFonts w:ascii="Times New Roman" w:hAnsi="Times New Roman" w:cs="Times New Roman"/>
          <w:color w:val="000000"/>
          <w:sz w:val="20"/>
          <w:szCs w:val="20"/>
        </w:rPr>
        <w:t>Beers, E. H. Brunner, J. F. Willet, M. J. and Warner, G. M. (1993). Orchard Pest</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 xml:space="preserve">Management. </w:t>
      </w:r>
      <w:r>
        <w:rPr>
          <w:rFonts w:ascii="Times New Roman" w:hAnsi="Times New Roman" w:cs="Times New Roman"/>
          <w:b/>
          <w:color w:val="000000"/>
          <w:sz w:val="20"/>
          <w:szCs w:val="20"/>
        </w:rPr>
        <w:t>In</w:t>
      </w:r>
      <w:r>
        <w:rPr>
          <w:rFonts w:ascii="Times New Roman" w:hAnsi="Times New Roman" w:cs="Times New Roman"/>
          <w:color w:val="000000"/>
          <w:sz w:val="20"/>
          <w:szCs w:val="20"/>
        </w:rPr>
        <w:t xml:space="preserve">: </w:t>
      </w:r>
      <w:r>
        <w:rPr>
          <w:rFonts w:ascii="Times New Roman" w:hAnsi="Times New Roman" w:cs="Times New Roman"/>
          <w:i/>
          <w:color w:val="000000"/>
          <w:sz w:val="20"/>
          <w:szCs w:val="20"/>
        </w:rPr>
        <w:t>A Resource Book for The Pacific Northwest</w:t>
      </w:r>
      <w:r>
        <w:rPr>
          <w:rFonts w:ascii="Times New Roman" w:hAnsi="Times New Roman" w:cs="Times New Roman"/>
          <w:color w:val="000000"/>
          <w:sz w:val="20"/>
          <w:szCs w:val="20"/>
        </w:rPr>
        <w:t>, Yakima, WA: A</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 xml:space="preserve">Good Fruit Grower. 111 pp. </w:t>
      </w:r>
    </w:p>
    <w:p w14:paraId="253F4AF9">
      <w:pPr>
        <w:pStyle w:val="15"/>
        <w:tabs>
          <w:tab w:val="left" w:pos="709"/>
        </w:tabs>
        <w:spacing w:before="120" w:after="120" w:line="240" w:lineRule="auto"/>
        <w:ind w:left="2160" w:hanging="648"/>
        <w:jc w:val="both"/>
        <w:rPr>
          <w:rFonts w:ascii="Times New Roman" w:hAnsi="Times New Roman" w:cs="Times New Roman"/>
          <w:color w:val="000000"/>
          <w:sz w:val="20"/>
          <w:szCs w:val="20"/>
        </w:rPr>
      </w:pPr>
      <w:r>
        <w:rPr>
          <w:rFonts w:ascii="Times New Roman" w:hAnsi="Times New Roman" w:cs="Times New Roman"/>
          <w:color w:val="000000"/>
          <w:sz w:val="20"/>
          <w:szCs w:val="20"/>
        </w:rPr>
        <w:t>Brunner, J. F. 1982. Assessing</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psylla</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populations</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by</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sampling</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is</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essential</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to</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efficient</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 xml:space="preserve">pest control. </w:t>
      </w:r>
      <w:r>
        <w:rPr>
          <w:rFonts w:ascii="Times New Roman" w:hAnsi="Times New Roman" w:cs="Times New Roman"/>
          <w:i/>
          <w:color w:val="000000"/>
          <w:sz w:val="20"/>
          <w:szCs w:val="20"/>
        </w:rPr>
        <w:t>Good Fruit Grower,</w:t>
      </w:r>
      <w:r>
        <w:rPr>
          <w:rFonts w:ascii="Times New Roman" w:hAnsi="Times New Roman" w:cs="Times New Roman"/>
          <w:i/>
          <w:color w:val="000000"/>
          <w:spacing w:val="-1"/>
          <w:sz w:val="20"/>
          <w:szCs w:val="20"/>
        </w:rPr>
        <w:t xml:space="preserve"> </w:t>
      </w:r>
      <w:r>
        <w:rPr>
          <w:rFonts w:ascii="Times New Roman" w:hAnsi="Times New Roman" w:cs="Times New Roman"/>
          <w:b/>
          <w:i/>
          <w:iCs/>
          <w:color w:val="000000"/>
          <w:sz w:val="20"/>
          <w:szCs w:val="20"/>
        </w:rPr>
        <w:t>33</w:t>
      </w:r>
      <w:r>
        <w:rPr>
          <w:rFonts w:ascii="Times New Roman" w:hAnsi="Times New Roman" w:cs="Times New Roman"/>
          <w:color w:val="000000"/>
          <w:sz w:val="20"/>
          <w:szCs w:val="20"/>
        </w:rPr>
        <w:t xml:space="preserve">(5), 26-33. </w:t>
      </w:r>
    </w:p>
    <w:p w14:paraId="082C010F">
      <w:pPr>
        <w:pStyle w:val="15"/>
        <w:tabs>
          <w:tab w:val="left" w:pos="709"/>
        </w:tabs>
        <w:spacing w:before="120" w:after="120" w:line="240" w:lineRule="auto"/>
        <w:ind w:left="2160" w:hanging="648"/>
        <w:jc w:val="both"/>
        <w:rPr>
          <w:rFonts w:ascii="Times New Roman" w:hAnsi="Times New Roman" w:eastAsia="Microsoft YaHei Light" w:cs="Times New Roman"/>
          <w:color w:val="000000"/>
          <w:sz w:val="20"/>
          <w:szCs w:val="20"/>
        </w:rPr>
      </w:pPr>
      <w:r>
        <w:rPr>
          <w:rFonts w:ascii="Times New Roman" w:hAnsi="Times New Roman" w:eastAsia="Microsoft YaHei Light" w:cs="Times New Roman"/>
          <w:color w:val="000000"/>
          <w:sz w:val="20"/>
          <w:szCs w:val="20"/>
        </w:rPr>
        <w:t xml:space="preserve">Buckhardt, D. (1994). Psylloid pests of temperate and subtropical crops and ornamental plants (Hemiptera: Psylloidea): </w:t>
      </w:r>
      <w:r>
        <w:rPr>
          <w:rFonts w:ascii="Times New Roman" w:hAnsi="Times New Roman" w:eastAsia="Microsoft YaHei Light" w:cs="Times New Roman"/>
          <w:i/>
          <w:iCs/>
          <w:color w:val="000000"/>
          <w:sz w:val="20"/>
          <w:szCs w:val="20"/>
        </w:rPr>
        <w:t>A Review of Entomology</w:t>
      </w:r>
      <w:r>
        <w:rPr>
          <w:rFonts w:ascii="Times New Roman" w:hAnsi="Times New Roman" w:eastAsia="Microsoft YaHei Light" w:cs="Times New Roman"/>
          <w:color w:val="000000"/>
          <w:sz w:val="20"/>
          <w:szCs w:val="20"/>
        </w:rPr>
        <w:t xml:space="preserve">. </w:t>
      </w:r>
      <w:r>
        <w:rPr>
          <w:rFonts w:ascii="Times New Roman" w:hAnsi="Times New Roman" w:eastAsia="Microsoft YaHei Light" w:cs="Times New Roman"/>
          <w:i/>
          <w:iCs/>
          <w:color w:val="000000"/>
          <w:sz w:val="20"/>
          <w:szCs w:val="20"/>
        </w:rPr>
        <w:t>Trends</w:t>
      </w:r>
      <w:r>
        <w:rPr>
          <w:rFonts w:ascii="Times New Roman" w:hAnsi="Times New Roman" w:eastAsia="Microsoft YaHei Light" w:cs="Times New Roman"/>
          <w:color w:val="000000"/>
          <w:sz w:val="20"/>
          <w:szCs w:val="20"/>
        </w:rPr>
        <w:t xml:space="preserve"> </w:t>
      </w:r>
      <w:r>
        <w:rPr>
          <w:rFonts w:ascii="Times New Roman" w:hAnsi="Times New Roman" w:eastAsia="Microsoft YaHei Light" w:cs="Times New Roman"/>
          <w:i/>
          <w:iCs/>
          <w:color w:val="000000"/>
          <w:sz w:val="20"/>
          <w:szCs w:val="20"/>
        </w:rPr>
        <w:t>in</w:t>
      </w:r>
      <w:r>
        <w:rPr>
          <w:rFonts w:ascii="Times New Roman" w:hAnsi="Times New Roman" w:eastAsia="Microsoft YaHei Light" w:cs="Times New Roman"/>
          <w:color w:val="000000"/>
          <w:sz w:val="20"/>
          <w:szCs w:val="20"/>
        </w:rPr>
        <w:t xml:space="preserve"> </w:t>
      </w:r>
      <w:r>
        <w:rPr>
          <w:rFonts w:ascii="Times New Roman" w:hAnsi="Times New Roman" w:eastAsia="Microsoft YaHei Light" w:cs="Times New Roman"/>
          <w:i/>
          <w:iCs/>
          <w:color w:val="000000"/>
          <w:sz w:val="20"/>
          <w:szCs w:val="20"/>
        </w:rPr>
        <w:t>Agricultural Science,</w:t>
      </w:r>
      <w:r>
        <w:rPr>
          <w:rFonts w:ascii="Times New Roman" w:hAnsi="Times New Roman" w:eastAsia="Microsoft YaHei Light" w:cs="Times New Roman"/>
          <w:color w:val="000000"/>
          <w:sz w:val="20"/>
          <w:szCs w:val="20"/>
        </w:rPr>
        <w:t xml:space="preserve"> </w:t>
      </w:r>
      <w:r>
        <w:rPr>
          <w:rFonts w:ascii="Times New Roman" w:hAnsi="Times New Roman" w:eastAsia="Microsoft YaHei Light" w:cs="Times New Roman"/>
          <w:b/>
          <w:i/>
          <w:iCs/>
          <w:color w:val="000000"/>
          <w:sz w:val="20"/>
          <w:szCs w:val="20"/>
        </w:rPr>
        <w:t>2</w:t>
      </w:r>
      <w:r>
        <w:rPr>
          <w:rFonts w:ascii="Times New Roman" w:hAnsi="Times New Roman" w:eastAsia="Microsoft YaHei Light" w:cs="Times New Roman"/>
          <w:color w:val="000000"/>
          <w:sz w:val="20"/>
          <w:szCs w:val="20"/>
        </w:rPr>
        <w:t xml:space="preserve">, 173-186. </w:t>
      </w:r>
    </w:p>
    <w:p w14:paraId="1B3164AF">
      <w:pPr>
        <w:pStyle w:val="15"/>
        <w:tabs>
          <w:tab w:val="left" w:pos="709"/>
        </w:tabs>
        <w:spacing w:before="120" w:after="120" w:line="240" w:lineRule="auto"/>
        <w:ind w:left="2160" w:hanging="648"/>
        <w:jc w:val="both"/>
        <w:rPr>
          <w:rFonts w:ascii="Times New Roman" w:hAnsi="Times New Roman" w:eastAsia="Microsoft YaHei Light" w:cs="Times New Roman"/>
          <w:color w:val="000000"/>
          <w:sz w:val="20"/>
          <w:szCs w:val="20"/>
        </w:rPr>
      </w:pPr>
      <w:r>
        <w:rPr>
          <w:rFonts w:ascii="Times New Roman" w:hAnsi="Times New Roman" w:eastAsia="Microsoft YaHei Light" w:cs="Times New Roman"/>
          <w:color w:val="000000"/>
          <w:sz w:val="20"/>
          <w:szCs w:val="20"/>
        </w:rPr>
        <w:t xml:space="preserve">Burts, E. C. (1970). The pear psylla in central Washington. </w:t>
      </w:r>
      <w:r>
        <w:rPr>
          <w:rFonts w:ascii="Times New Roman" w:hAnsi="Times New Roman" w:eastAsia="Microsoft YaHei Light" w:cs="Times New Roman"/>
          <w:i/>
          <w:iCs/>
          <w:color w:val="000000"/>
          <w:sz w:val="20"/>
          <w:szCs w:val="20"/>
        </w:rPr>
        <w:t>Washington Agricultural Experiment Station</w:t>
      </w:r>
      <w:r>
        <w:rPr>
          <w:rFonts w:ascii="Times New Roman" w:hAnsi="Times New Roman" w:eastAsia="Microsoft YaHei Light" w:cs="Times New Roman"/>
          <w:color w:val="000000"/>
          <w:sz w:val="20"/>
          <w:szCs w:val="20"/>
        </w:rPr>
        <w:t xml:space="preserve">. Circular 516. </w:t>
      </w:r>
    </w:p>
    <w:p w14:paraId="7B0FDC54">
      <w:pPr>
        <w:tabs>
          <w:tab w:val="left" w:pos="709"/>
        </w:tabs>
        <w:spacing w:before="120" w:after="120" w:line="240" w:lineRule="auto"/>
        <w:ind w:left="709" w:hanging="709"/>
        <w:jc w:val="both"/>
        <w:rPr>
          <w:rFonts w:ascii="Times New Roman" w:hAnsi="Times New Roman" w:cs="Times New Roman"/>
          <w:i/>
          <w:color w:val="000000"/>
          <w:sz w:val="20"/>
          <w:szCs w:val="20"/>
        </w:rPr>
      </w:pPr>
      <w:r>
        <w:rPr>
          <w:rFonts w:ascii="Times New Roman" w:hAnsi="Times New Roman" w:cs="Times New Roman"/>
          <w:color w:val="000000"/>
          <w:sz w:val="20"/>
          <w:szCs w:val="20"/>
        </w:rPr>
        <w:t xml:space="preserve">                           Catling</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H. D. (1969). The</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bionomics</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of</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the</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South</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African</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citrus</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psylla</w:t>
      </w:r>
      <w:r>
        <w:rPr>
          <w:rFonts w:ascii="Times New Roman" w:hAnsi="Times New Roman" w:cs="Times New Roman"/>
          <w:color w:val="000000"/>
          <w:spacing w:val="1"/>
          <w:sz w:val="20"/>
          <w:szCs w:val="20"/>
        </w:rPr>
        <w:t xml:space="preserve"> </w:t>
      </w:r>
      <w:r>
        <w:rPr>
          <w:rFonts w:ascii="Times New Roman" w:hAnsi="Times New Roman" w:cs="Times New Roman"/>
          <w:i/>
          <w:color w:val="000000"/>
          <w:sz w:val="20"/>
          <w:szCs w:val="20"/>
        </w:rPr>
        <w:t>Trioza</w:t>
      </w:r>
      <w:r>
        <w:rPr>
          <w:rFonts w:ascii="Times New Roman" w:hAnsi="Times New Roman" w:cs="Times New Roman"/>
          <w:i/>
          <w:color w:val="000000"/>
          <w:spacing w:val="-57"/>
          <w:sz w:val="20"/>
          <w:szCs w:val="20"/>
        </w:rPr>
        <w:t xml:space="preserve"> </w:t>
      </w:r>
      <w:r>
        <w:rPr>
          <w:rFonts w:ascii="Times New Roman" w:hAnsi="Times New Roman" w:cs="Times New Roman"/>
          <w:i/>
          <w:color w:val="000000"/>
          <w:sz w:val="20"/>
          <w:szCs w:val="20"/>
        </w:rPr>
        <w:t xml:space="preserve">erytreae   </w:t>
      </w:r>
    </w:p>
    <w:p w14:paraId="199AF2B5">
      <w:pPr>
        <w:tabs>
          <w:tab w:val="left" w:pos="709"/>
        </w:tabs>
        <w:spacing w:before="120" w:after="120" w:line="240" w:lineRule="auto"/>
        <w:ind w:left="709" w:hanging="709"/>
        <w:jc w:val="both"/>
        <w:rPr>
          <w:rFonts w:ascii="Times New Roman" w:hAnsi="Times New Roman" w:cs="Times New Roman"/>
          <w:i/>
          <w:color w:val="000000"/>
          <w:spacing w:val="-1"/>
          <w:sz w:val="20"/>
          <w:szCs w:val="20"/>
        </w:rPr>
      </w:pPr>
      <w:r>
        <w:rPr>
          <w:rFonts w:ascii="Times New Roman" w:hAnsi="Times New Roman" w:cs="Times New Roman"/>
          <w:i/>
          <w:color w:val="000000"/>
          <w:sz w:val="20"/>
          <w:szCs w:val="20"/>
        </w:rPr>
        <w:t xml:space="preserve">                                           </w:t>
      </w:r>
      <w:r>
        <w:rPr>
          <w:rFonts w:ascii="Times New Roman" w:hAnsi="Times New Roman" w:cs="Times New Roman"/>
          <w:color w:val="000000"/>
          <w:sz w:val="20"/>
          <w:szCs w:val="20"/>
        </w:rPr>
        <w:t>(Homoptera: Psyllidae): the influence of extremes of weather on</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 xml:space="preserve">survival. </w:t>
      </w:r>
      <w:r>
        <w:rPr>
          <w:rFonts w:ascii="Times New Roman" w:hAnsi="Times New Roman" w:cs="Times New Roman"/>
          <w:i/>
          <w:color w:val="000000"/>
          <w:sz w:val="20"/>
          <w:szCs w:val="20"/>
        </w:rPr>
        <w:t>Journal</w:t>
      </w:r>
      <w:r>
        <w:rPr>
          <w:rFonts w:ascii="Times New Roman" w:hAnsi="Times New Roman" w:cs="Times New Roman"/>
          <w:i/>
          <w:color w:val="000000"/>
          <w:spacing w:val="-2"/>
          <w:sz w:val="20"/>
          <w:szCs w:val="20"/>
        </w:rPr>
        <w:t xml:space="preserve"> </w:t>
      </w:r>
      <w:r>
        <w:rPr>
          <w:rFonts w:ascii="Times New Roman" w:hAnsi="Times New Roman" w:cs="Times New Roman"/>
          <w:i/>
          <w:color w:val="000000"/>
          <w:sz w:val="20"/>
          <w:szCs w:val="20"/>
        </w:rPr>
        <w:t>of</w:t>
      </w:r>
      <w:r>
        <w:rPr>
          <w:rFonts w:ascii="Times New Roman" w:hAnsi="Times New Roman" w:cs="Times New Roman"/>
          <w:i/>
          <w:color w:val="000000"/>
          <w:spacing w:val="-1"/>
          <w:sz w:val="20"/>
          <w:szCs w:val="20"/>
        </w:rPr>
        <w:t xml:space="preserve">  </w:t>
      </w:r>
    </w:p>
    <w:p w14:paraId="2AF7E988">
      <w:pPr>
        <w:tabs>
          <w:tab w:val="left" w:pos="709"/>
        </w:tabs>
        <w:spacing w:before="120" w:after="120" w:line="240" w:lineRule="auto"/>
        <w:ind w:left="709" w:hanging="709"/>
        <w:jc w:val="both"/>
        <w:rPr>
          <w:rFonts w:ascii="Times New Roman" w:hAnsi="Times New Roman" w:cs="Times New Roman"/>
          <w:color w:val="000000"/>
          <w:sz w:val="20"/>
          <w:szCs w:val="20"/>
        </w:rPr>
      </w:pPr>
      <w:r>
        <w:rPr>
          <w:rFonts w:ascii="Times New Roman" w:hAnsi="Times New Roman" w:cs="Times New Roman"/>
          <w:i/>
          <w:color w:val="000000"/>
          <w:spacing w:val="-1"/>
          <w:sz w:val="20"/>
          <w:szCs w:val="20"/>
        </w:rPr>
        <w:t xml:space="preserve">                                               </w:t>
      </w:r>
      <w:r>
        <w:rPr>
          <w:rFonts w:ascii="Times New Roman" w:hAnsi="Times New Roman" w:cs="Times New Roman"/>
          <w:i/>
          <w:color w:val="000000"/>
          <w:sz w:val="20"/>
          <w:szCs w:val="20"/>
        </w:rPr>
        <w:t>Entomological</w:t>
      </w:r>
      <w:r>
        <w:rPr>
          <w:rFonts w:ascii="Times New Roman" w:hAnsi="Times New Roman" w:cs="Times New Roman"/>
          <w:i/>
          <w:color w:val="000000"/>
          <w:spacing w:val="-1"/>
          <w:sz w:val="20"/>
          <w:szCs w:val="20"/>
        </w:rPr>
        <w:t xml:space="preserve"> </w:t>
      </w:r>
      <w:r>
        <w:rPr>
          <w:rFonts w:ascii="Times New Roman" w:hAnsi="Times New Roman" w:cs="Times New Roman"/>
          <w:i/>
          <w:color w:val="000000"/>
          <w:sz w:val="20"/>
          <w:szCs w:val="20"/>
        </w:rPr>
        <w:t>Society</w:t>
      </w:r>
      <w:r>
        <w:rPr>
          <w:rFonts w:ascii="Times New Roman" w:hAnsi="Times New Roman" w:cs="Times New Roman"/>
          <w:i/>
          <w:color w:val="000000"/>
          <w:spacing w:val="-2"/>
          <w:sz w:val="20"/>
          <w:szCs w:val="20"/>
        </w:rPr>
        <w:t xml:space="preserve"> </w:t>
      </w:r>
      <w:r>
        <w:rPr>
          <w:rFonts w:ascii="Times New Roman" w:hAnsi="Times New Roman" w:cs="Times New Roman"/>
          <w:i/>
          <w:color w:val="000000"/>
          <w:sz w:val="20"/>
          <w:szCs w:val="20"/>
        </w:rPr>
        <w:t>of</w:t>
      </w:r>
      <w:r>
        <w:rPr>
          <w:rFonts w:ascii="Times New Roman" w:hAnsi="Times New Roman" w:cs="Times New Roman"/>
          <w:i/>
          <w:color w:val="000000"/>
          <w:spacing w:val="-1"/>
          <w:sz w:val="20"/>
          <w:szCs w:val="20"/>
        </w:rPr>
        <w:t xml:space="preserve"> </w:t>
      </w:r>
      <w:r>
        <w:rPr>
          <w:rFonts w:ascii="Times New Roman" w:hAnsi="Times New Roman" w:cs="Times New Roman"/>
          <w:i/>
          <w:color w:val="000000"/>
          <w:sz w:val="20"/>
          <w:szCs w:val="20"/>
        </w:rPr>
        <w:t>South</w:t>
      </w:r>
      <w:r>
        <w:rPr>
          <w:rFonts w:ascii="Times New Roman" w:hAnsi="Times New Roman" w:cs="Times New Roman"/>
          <w:i/>
          <w:color w:val="000000"/>
          <w:spacing w:val="-1"/>
          <w:sz w:val="20"/>
          <w:szCs w:val="20"/>
        </w:rPr>
        <w:t xml:space="preserve"> </w:t>
      </w:r>
      <w:r>
        <w:rPr>
          <w:rFonts w:ascii="Times New Roman" w:hAnsi="Times New Roman" w:cs="Times New Roman"/>
          <w:i/>
          <w:color w:val="000000"/>
          <w:sz w:val="20"/>
          <w:szCs w:val="20"/>
        </w:rPr>
        <w:t>Africa</w:t>
      </w:r>
      <w:r>
        <w:rPr>
          <w:rFonts w:ascii="Times New Roman" w:hAnsi="Times New Roman" w:cs="Times New Roman"/>
          <w:i/>
          <w:color w:val="000000"/>
          <w:spacing w:val="-1"/>
          <w:sz w:val="20"/>
          <w:szCs w:val="20"/>
        </w:rPr>
        <w:t xml:space="preserve"> </w:t>
      </w:r>
      <w:r>
        <w:rPr>
          <w:rFonts w:ascii="Times New Roman" w:hAnsi="Times New Roman" w:cs="Times New Roman"/>
          <w:b/>
          <w:color w:val="000000"/>
          <w:sz w:val="20"/>
          <w:szCs w:val="20"/>
        </w:rPr>
        <w:t>32</w:t>
      </w:r>
      <w:r>
        <w:rPr>
          <w:rFonts w:ascii="Times New Roman" w:hAnsi="Times New Roman" w:cs="Times New Roman"/>
          <w:color w:val="000000"/>
          <w:sz w:val="20"/>
          <w:szCs w:val="20"/>
        </w:rPr>
        <w:t xml:space="preserve">: 273-290. </w:t>
      </w:r>
    </w:p>
    <w:p w14:paraId="50F044F2">
      <w:pPr>
        <w:pStyle w:val="15"/>
        <w:tabs>
          <w:tab w:val="left" w:pos="709"/>
        </w:tabs>
        <w:spacing w:before="120" w:after="120" w:line="240" w:lineRule="auto"/>
        <w:ind w:left="2160" w:hanging="648"/>
        <w:jc w:val="both"/>
        <w:rPr>
          <w:rFonts w:ascii="Times New Roman" w:hAnsi="Times New Roman" w:eastAsia="Microsoft YaHei Light" w:cs="Times New Roman"/>
          <w:color w:val="000000"/>
          <w:sz w:val="20"/>
          <w:szCs w:val="20"/>
        </w:rPr>
      </w:pPr>
      <w:r>
        <w:rPr>
          <w:rFonts w:ascii="Times New Roman" w:hAnsi="Times New Roman" w:eastAsia="Microsoft YaHei Light" w:cs="Times New Roman"/>
          <w:color w:val="000000"/>
          <w:sz w:val="20"/>
          <w:szCs w:val="20"/>
        </w:rPr>
        <w:t xml:space="preserve">Chandi, R. S., Kumar, V., Bhullar, H. S. and Dhawan, A. K. (2016). Field efficacy of flonicamid 50 WG against sucking insect pests and predatory complex on Bt cotton. </w:t>
      </w:r>
      <w:r>
        <w:rPr>
          <w:rFonts w:ascii="Times New Roman" w:hAnsi="Times New Roman" w:eastAsia="Microsoft YaHei Light" w:cs="Times New Roman"/>
          <w:i/>
          <w:iCs/>
          <w:color w:val="000000"/>
          <w:sz w:val="20"/>
          <w:szCs w:val="20"/>
        </w:rPr>
        <w:t>Indian Journal of Plant Protection,</w:t>
      </w:r>
      <w:r>
        <w:rPr>
          <w:rFonts w:ascii="Times New Roman" w:hAnsi="Times New Roman" w:eastAsia="Microsoft YaHei Light" w:cs="Times New Roman"/>
          <w:color w:val="000000"/>
          <w:sz w:val="20"/>
          <w:szCs w:val="20"/>
        </w:rPr>
        <w:t xml:space="preserve"> </w:t>
      </w:r>
      <w:r>
        <w:rPr>
          <w:rFonts w:ascii="Times New Roman" w:hAnsi="Times New Roman" w:eastAsia="Microsoft YaHei Light" w:cs="Times New Roman"/>
          <w:b/>
          <w:i/>
          <w:iCs/>
          <w:color w:val="000000"/>
          <w:sz w:val="20"/>
          <w:szCs w:val="20"/>
        </w:rPr>
        <w:t>44</w:t>
      </w:r>
      <w:r>
        <w:rPr>
          <w:rFonts w:ascii="Times New Roman" w:hAnsi="Times New Roman" w:eastAsia="Microsoft YaHei Light" w:cs="Times New Roman"/>
          <w:color w:val="000000"/>
          <w:sz w:val="20"/>
          <w:szCs w:val="20"/>
        </w:rPr>
        <w:t xml:space="preserve">, 1-8. </w:t>
      </w:r>
    </w:p>
    <w:p w14:paraId="2C91DAAC">
      <w:pPr>
        <w:pStyle w:val="15"/>
        <w:tabs>
          <w:tab w:val="left" w:pos="709"/>
        </w:tabs>
        <w:spacing w:before="120" w:after="120" w:line="240" w:lineRule="auto"/>
        <w:ind w:left="2160" w:hanging="648"/>
        <w:jc w:val="both"/>
        <w:rPr>
          <w:rFonts w:ascii="Times New Roman" w:hAnsi="Times New Roman" w:eastAsia="Microsoft YaHei Light" w:cs="Times New Roman"/>
          <w:color w:val="000000"/>
          <w:sz w:val="20"/>
          <w:szCs w:val="20"/>
        </w:rPr>
      </w:pPr>
      <w:r>
        <w:rPr>
          <w:rFonts w:ascii="Times New Roman" w:hAnsi="Times New Roman" w:eastAsia="Microsoft YaHei Light" w:cs="Times New Roman"/>
          <w:color w:val="000000"/>
          <w:sz w:val="20"/>
          <w:szCs w:val="20"/>
        </w:rPr>
        <w:t>Chinery M. (1993). Insect of Britain and Northern Europe</w:t>
      </w:r>
      <w:r>
        <w:rPr>
          <w:rFonts w:ascii="Times New Roman" w:hAnsi="Times New Roman" w:eastAsia="Microsoft YaHei Light" w:cs="Times New Roman"/>
          <w:i/>
          <w:iCs/>
          <w:color w:val="000000"/>
          <w:sz w:val="20"/>
          <w:szCs w:val="20"/>
        </w:rPr>
        <w:t>. In: Harper, editor. Collins field guide. London: Collins Publishers</w:t>
      </w:r>
      <w:r>
        <w:rPr>
          <w:rFonts w:ascii="Times New Roman" w:hAnsi="Times New Roman" w:eastAsia="Microsoft YaHei Light" w:cs="Times New Roman"/>
          <w:color w:val="000000"/>
          <w:sz w:val="20"/>
          <w:szCs w:val="20"/>
        </w:rPr>
        <w:t xml:space="preserve">, p. 320. </w:t>
      </w:r>
    </w:p>
    <w:p w14:paraId="727EBB65">
      <w:pPr>
        <w:pStyle w:val="38"/>
        <w:spacing w:line="240" w:lineRule="auto"/>
        <w:ind w:left="2160" w:hanging="648"/>
        <w:rPr>
          <w:rFonts w:eastAsia="Microsoft YaHei Light" w:cs="Times New Roman"/>
          <w:sz w:val="20"/>
          <w:szCs w:val="20"/>
        </w:rPr>
      </w:pPr>
      <w:r>
        <w:rPr>
          <w:rFonts w:eastAsia="Microsoft YaHei Light" w:cs="Times New Roman"/>
          <w:sz w:val="20"/>
          <w:szCs w:val="20"/>
        </w:rPr>
        <w:t xml:space="preserve">Civolani, S. (2012). The past and present of pear protection against the pear psylla, </w:t>
      </w:r>
      <w:r>
        <w:rPr>
          <w:rFonts w:eastAsia="Microsoft YaHei Light" w:cs="Times New Roman"/>
          <w:i/>
          <w:iCs/>
          <w:sz w:val="20"/>
          <w:szCs w:val="20"/>
        </w:rPr>
        <w:t>Cacopsylla</w:t>
      </w:r>
      <w:r>
        <w:rPr>
          <w:rFonts w:eastAsia="Microsoft YaHei Light" w:cs="Times New Roman"/>
          <w:sz w:val="20"/>
          <w:szCs w:val="20"/>
        </w:rPr>
        <w:t xml:space="preserve"> </w:t>
      </w:r>
      <w:r>
        <w:rPr>
          <w:rFonts w:eastAsia="Microsoft YaHei Light" w:cs="Times New Roman"/>
          <w:i/>
          <w:iCs/>
          <w:sz w:val="20"/>
          <w:szCs w:val="20"/>
        </w:rPr>
        <w:t>pyri</w:t>
      </w:r>
      <w:r>
        <w:rPr>
          <w:rFonts w:eastAsia="Microsoft YaHei Light" w:cs="Times New Roman"/>
          <w:sz w:val="20"/>
          <w:szCs w:val="20"/>
        </w:rPr>
        <w:t xml:space="preserve"> L. </w:t>
      </w:r>
      <w:r>
        <w:rPr>
          <w:rFonts w:eastAsia="Microsoft YaHei Light" w:cs="Times New Roman"/>
          <w:i/>
          <w:iCs/>
          <w:sz w:val="20"/>
          <w:szCs w:val="20"/>
        </w:rPr>
        <w:t>Insecticides Pest Engineering,</w:t>
      </w:r>
      <w:r>
        <w:rPr>
          <w:rFonts w:eastAsia="Microsoft YaHei Light" w:cs="Times New Roman"/>
          <w:sz w:val="20"/>
          <w:szCs w:val="20"/>
        </w:rPr>
        <w:t xml:space="preserve"> </w:t>
      </w:r>
      <w:r>
        <w:rPr>
          <w:rFonts w:eastAsia="Microsoft YaHei Light" w:cs="Times New Roman"/>
          <w:b/>
          <w:bCs/>
          <w:i/>
          <w:iCs/>
          <w:sz w:val="20"/>
          <w:szCs w:val="20"/>
        </w:rPr>
        <w:t>65</w:t>
      </w:r>
      <w:r>
        <w:rPr>
          <w:rFonts w:eastAsia="Microsoft YaHei Light" w:cs="Times New Roman"/>
          <w:sz w:val="20"/>
          <w:szCs w:val="20"/>
        </w:rPr>
        <w:t xml:space="preserve">, 385-408. </w:t>
      </w:r>
    </w:p>
    <w:p w14:paraId="02E7F367">
      <w:pPr>
        <w:pStyle w:val="15"/>
        <w:tabs>
          <w:tab w:val="left" w:pos="709"/>
        </w:tabs>
        <w:spacing w:before="120" w:after="120" w:line="240" w:lineRule="auto"/>
        <w:ind w:left="2160" w:hanging="64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Cordova, D., Benner, E. A., Sacher, M. D., Rauh, J. J., Sopa, J. S., Lahm, G. P. and Tao, Y. (2006). Anthranilic diamides: A new class of insecticides with a novel mode of action, ryanodine receptor activation. </w:t>
      </w:r>
      <w:r>
        <w:rPr>
          <w:rStyle w:val="7"/>
          <w:rFonts w:ascii="Times New Roman" w:hAnsi="Times New Roman" w:cs="Times New Roman"/>
          <w:color w:val="000000"/>
          <w:sz w:val="20"/>
          <w:szCs w:val="20"/>
        </w:rPr>
        <w:t xml:space="preserve">Pest Management Science, </w:t>
      </w:r>
      <w:r>
        <w:rPr>
          <w:rStyle w:val="7"/>
          <w:rFonts w:ascii="Times New Roman" w:hAnsi="Times New Roman" w:cs="Times New Roman"/>
          <w:b/>
          <w:bCs/>
          <w:color w:val="000000"/>
          <w:sz w:val="20"/>
          <w:szCs w:val="20"/>
        </w:rPr>
        <w:t>62</w:t>
      </w:r>
      <w:r>
        <w:rPr>
          <w:rFonts w:ascii="Times New Roman" w:hAnsi="Times New Roman" w:cs="Times New Roman"/>
          <w:color w:val="000000"/>
          <w:sz w:val="20"/>
          <w:szCs w:val="20"/>
        </w:rPr>
        <w:t xml:space="preserve">(8), 690-698. </w:t>
      </w:r>
    </w:p>
    <w:p w14:paraId="17716480">
      <w:pPr>
        <w:pStyle w:val="15"/>
        <w:tabs>
          <w:tab w:val="left" w:pos="709"/>
        </w:tabs>
        <w:spacing w:before="120" w:after="120" w:line="240" w:lineRule="auto"/>
        <w:ind w:left="2160" w:hanging="64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Dinter, A., Brugger, K. E., Frost, N. M. and Woodward, M. D. (2013). Chlorantraniliprole (DPX-E2Y45, Rynaxypyr®): A novel anthranilic diamide insecticide demonstrating low toxicity and low risk for humans and the environment. </w:t>
      </w:r>
      <w:r>
        <w:rPr>
          <w:rStyle w:val="7"/>
          <w:rFonts w:ascii="Times New Roman" w:hAnsi="Times New Roman" w:cs="Times New Roman"/>
          <w:color w:val="000000"/>
          <w:sz w:val="20"/>
          <w:szCs w:val="20"/>
        </w:rPr>
        <w:t>Pflanzenschutz-Nachrichten Bayer,</w:t>
      </w:r>
      <w:r>
        <w:rPr>
          <w:rStyle w:val="7"/>
          <w:rFonts w:ascii="Times New Roman" w:hAnsi="Times New Roman" w:cs="Times New Roman"/>
          <w:b/>
          <w:bCs/>
          <w:i w:val="0"/>
          <w:iCs w:val="0"/>
          <w:color w:val="000000"/>
          <w:sz w:val="20"/>
          <w:szCs w:val="20"/>
        </w:rPr>
        <w:t xml:space="preserve"> </w:t>
      </w:r>
      <w:r>
        <w:rPr>
          <w:rStyle w:val="7"/>
          <w:rFonts w:ascii="Times New Roman" w:hAnsi="Times New Roman" w:cs="Times New Roman"/>
          <w:b/>
          <w:bCs/>
          <w:color w:val="000000"/>
          <w:sz w:val="20"/>
          <w:szCs w:val="20"/>
        </w:rPr>
        <w:t>66</w:t>
      </w:r>
      <w:r>
        <w:rPr>
          <w:rFonts w:ascii="Times New Roman" w:hAnsi="Times New Roman" w:cs="Times New Roman"/>
          <w:color w:val="000000"/>
          <w:sz w:val="20"/>
          <w:szCs w:val="20"/>
        </w:rPr>
        <w:t xml:space="preserve">(1), 103-120. </w:t>
      </w:r>
    </w:p>
    <w:p w14:paraId="7429512D">
      <w:pPr>
        <w:pStyle w:val="15"/>
        <w:tabs>
          <w:tab w:val="left" w:pos="709"/>
        </w:tabs>
        <w:spacing w:before="120" w:after="120" w:line="240" w:lineRule="auto"/>
        <w:ind w:left="2160" w:hanging="648"/>
        <w:jc w:val="both"/>
        <w:rPr>
          <w:rFonts w:ascii="Times New Roman" w:hAnsi="Times New Roman" w:eastAsia="Microsoft YaHei Light" w:cs="Times New Roman"/>
          <w:color w:val="000000"/>
          <w:sz w:val="20"/>
          <w:szCs w:val="20"/>
        </w:rPr>
      </w:pPr>
      <w:r>
        <w:rPr>
          <w:rFonts w:ascii="Times New Roman" w:hAnsi="Times New Roman" w:eastAsia="Microsoft YaHei Light" w:cs="Times New Roman"/>
          <w:color w:val="000000"/>
          <w:sz w:val="20"/>
          <w:szCs w:val="20"/>
        </w:rPr>
        <w:t xml:space="preserve">Henderson, C. F. and Tilton, E. W. (1955). Tests with Acaricides against the Brown Wheat Mite. </w:t>
      </w:r>
      <w:r>
        <w:rPr>
          <w:rFonts w:ascii="Times New Roman" w:hAnsi="Times New Roman" w:eastAsia="Microsoft YaHei Light" w:cs="Times New Roman"/>
          <w:i/>
          <w:iCs/>
          <w:color w:val="000000"/>
          <w:sz w:val="20"/>
          <w:szCs w:val="20"/>
        </w:rPr>
        <w:t>Journal of Economic Entomology,</w:t>
      </w:r>
      <w:r>
        <w:rPr>
          <w:rFonts w:ascii="Times New Roman" w:hAnsi="Times New Roman" w:eastAsia="Microsoft YaHei Light" w:cs="Times New Roman"/>
          <w:color w:val="000000"/>
          <w:sz w:val="20"/>
          <w:szCs w:val="20"/>
        </w:rPr>
        <w:t xml:space="preserve"> </w:t>
      </w:r>
      <w:r>
        <w:rPr>
          <w:rFonts w:ascii="Times New Roman" w:hAnsi="Times New Roman" w:eastAsia="Microsoft YaHei Light" w:cs="Times New Roman"/>
          <w:b/>
          <w:bCs/>
          <w:i/>
          <w:iCs/>
          <w:color w:val="000000"/>
          <w:sz w:val="20"/>
          <w:szCs w:val="20"/>
        </w:rPr>
        <w:t>48</w:t>
      </w:r>
      <w:r>
        <w:rPr>
          <w:rFonts w:ascii="Times New Roman" w:hAnsi="Times New Roman" w:eastAsia="Microsoft YaHei Light" w:cs="Times New Roman"/>
          <w:color w:val="000000"/>
          <w:sz w:val="20"/>
          <w:szCs w:val="20"/>
        </w:rPr>
        <w:t xml:space="preserve">, 157–161. </w:t>
      </w:r>
    </w:p>
    <w:p w14:paraId="701C118C">
      <w:pPr>
        <w:pStyle w:val="15"/>
        <w:tabs>
          <w:tab w:val="left" w:pos="709"/>
        </w:tabs>
        <w:spacing w:before="120" w:after="120" w:line="240" w:lineRule="auto"/>
        <w:ind w:left="2160" w:hanging="648"/>
        <w:jc w:val="both"/>
        <w:rPr>
          <w:rFonts w:ascii="Times New Roman" w:hAnsi="Times New Roman" w:cs="Times New Roman"/>
          <w:color w:val="000000"/>
          <w:sz w:val="20"/>
          <w:szCs w:val="20"/>
        </w:rPr>
      </w:pPr>
      <w:r>
        <w:rPr>
          <w:rFonts w:ascii="Times New Roman" w:hAnsi="Times New Roman" w:cs="Times New Roman"/>
          <w:color w:val="000000"/>
          <w:sz w:val="20"/>
          <w:szCs w:val="20"/>
        </w:rPr>
        <w:t>Hibino, H. and Schneider, H. (1970). Mycoplasma-like bodies in sieve tubes of pear</w:t>
      </w:r>
      <w:r>
        <w:rPr>
          <w:rFonts w:ascii="Times New Roman" w:hAnsi="Times New Roman" w:cs="Times New Roman"/>
          <w:color w:val="000000"/>
          <w:spacing w:val="-57"/>
          <w:sz w:val="20"/>
          <w:szCs w:val="20"/>
        </w:rPr>
        <w:t xml:space="preserve"> </w:t>
      </w:r>
      <w:r>
        <w:rPr>
          <w:rFonts w:ascii="Times New Roman" w:hAnsi="Times New Roman" w:cs="Times New Roman"/>
          <w:color w:val="000000"/>
          <w:sz w:val="20"/>
          <w:szCs w:val="20"/>
        </w:rPr>
        <w:t>trees</w:t>
      </w:r>
      <w:r>
        <w:rPr>
          <w:rFonts w:ascii="Times New Roman" w:hAnsi="Times New Roman" w:cs="Times New Roman"/>
          <w:color w:val="000000"/>
          <w:spacing w:val="-1"/>
          <w:sz w:val="20"/>
          <w:szCs w:val="20"/>
        </w:rPr>
        <w:t xml:space="preserve"> are </w:t>
      </w:r>
      <w:r>
        <w:rPr>
          <w:rFonts w:ascii="Times New Roman" w:hAnsi="Times New Roman" w:cs="Times New Roman"/>
          <w:color w:val="000000"/>
          <w:sz w:val="20"/>
          <w:szCs w:val="20"/>
        </w:rPr>
        <w:t>affected by</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pear</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 xml:space="preserve">decline. </w:t>
      </w:r>
      <w:r>
        <w:rPr>
          <w:rFonts w:ascii="Times New Roman" w:hAnsi="Times New Roman" w:cs="Times New Roman"/>
          <w:i/>
          <w:color w:val="000000"/>
          <w:sz w:val="20"/>
          <w:szCs w:val="20"/>
        </w:rPr>
        <w:t>Phytopathology,</w:t>
      </w:r>
      <w:r>
        <w:rPr>
          <w:rFonts w:ascii="Times New Roman" w:hAnsi="Times New Roman" w:cs="Times New Roman"/>
          <w:i/>
          <w:color w:val="000000"/>
          <w:spacing w:val="-2"/>
          <w:sz w:val="20"/>
          <w:szCs w:val="20"/>
        </w:rPr>
        <w:t xml:space="preserve"> </w:t>
      </w:r>
      <w:r>
        <w:rPr>
          <w:rFonts w:ascii="Times New Roman" w:hAnsi="Times New Roman" w:cs="Times New Roman"/>
          <w:b/>
          <w:i/>
          <w:iCs/>
          <w:color w:val="000000"/>
          <w:sz w:val="20"/>
          <w:szCs w:val="20"/>
        </w:rPr>
        <w:t>60</w:t>
      </w:r>
      <w:r>
        <w:rPr>
          <w:rFonts w:ascii="Times New Roman" w:hAnsi="Times New Roman" w:cs="Times New Roman"/>
          <w:color w:val="000000"/>
          <w:sz w:val="20"/>
          <w:szCs w:val="20"/>
        </w:rPr>
        <w:t>, 499-501</w:t>
      </w:r>
    </w:p>
    <w:p w14:paraId="7FDA1EC4">
      <w:pPr>
        <w:pStyle w:val="15"/>
        <w:tabs>
          <w:tab w:val="left" w:pos="709"/>
        </w:tabs>
        <w:spacing w:before="120" w:after="120" w:line="240" w:lineRule="auto"/>
        <w:ind w:left="2160" w:hanging="648"/>
        <w:jc w:val="both"/>
        <w:rPr>
          <w:rFonts w:ascii="Times New Roman" w:hAnsi="Times New Roman" w:eastAsia="Microsoft YaHei Light" w:cs="Times New Roman"/>
          <w:color w:val="000000"/>
          <w:sz w:val="20"/>
          <w:szCs w:val="20"/>
        </w:rPr>
      </w:pPr>
      <w:r>
        <w:rPr>
          <w:rFonts w:ascii="Times New Roman" w:hAnsi="Times New Roman" w:cs="Times New Roman"/>
          <w:color w:val="000000"/>
          <w:sz w:val="20"/>
          <w:szCs w:val="20"/>
        </w:rPr>
        <w:t>Jensen, D. D., Griggs, W. H., Gonzales, C. Q. and Schneider, H. (1964). Pear psylla</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proven</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carrier</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of</w:t>
      </w:r>
      <w:r>
        <w:rPr>
          <w:rFonts w:ascii="Times New Roman" w:hAnsi="Times New Roman" w:cs="Times New Roman"/>
          <w:color w:val="000000"/>
          <w:spacing w:val="-2"/>
          <w:sz w:val="20"/>
          <w:szCs w:val="20"/>
        </w:rPr>
        <w:t xml:space="preserve"> the </w:t>
      </w:r>
      <w:r>
        <w:rPr>
          <w:rFonts w:ascii="Times New Roman" w:hAnsi="Times New Roman" w:cs="Times New Roman"/>
          <w:color w:val="000000"/>
          <w:sz w:val="20"/>
          <w:szCs w:val="20"/>
        </w:rPr>
        <w:t>pear</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decline</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 xml:space="preserve">virus. </w:t>
      </w:r>
      <w:r>
        <w:rPr>
          <w:rFonts w:ascii="Times New Roman" w:hAnsi="Times New Roman" w:cs="Times New Roman"/>
          <w:i/>
          <w:color w:val="000000"/>
          <w:sz w:val="20"/>
          <w:szCs w:val="20"/>
        </w:rPr>
        <w:t>California</w:t>
      </w:r>
      <w:r>
        <w:rPr>
          <w:rFonts w:ascii="Times New Roman" w:hAnsi="Times New Roman" w:cs="Times New Roman"/>
          <w:i/>
          <w:color w:val="000000"/>
          <w:spacing w:val="-1"/>
          <w:sz w:val="20"/>
          <w:szCs w:val="20"/>
        </w:rPr>
        <w:t xml:space="preserve"> </w:t>
      </w:r>
      <w:r>
        <w:rPr>
          <w:rFonts w:ascii="Times New Roman" w:hAnsi="Times New Roman" w:cs="Times New Roman"/>
          <w:i/>
          <w:color w:val="000000"/>
          <w:sz w:val="20"/>
          <w:szCs w:val="20"/>
        </w:rPr>
        <w:t>Agriculture,</w:t>
      </w:r>
      <w:r>
        <w:rPr>
          <w:rFonts w:ascii="Times New Roman" w:hAnsi="Times New Roman" w:cs="Times New Roman"/>
          <w:i/>
          <w:color w:val="000000"/>
          <w:spacing w:val="-2"/>
          <w:sz w:val="20"/>
          <w:szCs w:val="20"/>
        </w:rPr>
        <w:t xml:space="preserve"> </w:t>
      </w:r>
      <w:r>
        <w:rPr>
          <w:rFonts w:ascii="Times New Roman" w:hAnsi="Times New Roman" w:cs="Times New Roman"/>
          <w:b/>
          <w:i/>
          <w:iCs/>
          <w:color w:val="000000"/>
          <w:sz w:val="20"/>
          <w:szCs w:val="20"/>
        </w:rPr>
        <w:t>18</w:t>
      </w:r>
      <w:r>
        <w:rPr>
          <w:rFonts w:ascii="Times New Roman" w:hAnsi="Times New Roman" w:cs="Times New Roman"/>
          <w:color w:val="000000"/>
          <w:sz w:val="20"/>
          <w:szCs w:val="20"/>
        </w:rPr>
        <w:t xml:space="preserve">(3), 2-3. </w:t>
      </w:r>
    </w:p>
    <w:p w14:paraId="6DDB4F98">
      <w:pPr>
        <w:pStyle w:val="15"/>
        <w:tabs>
          <w:tab w:val="left" w:pos="709"/>
        </w:tabs>
        <w:spacing w:before="120" w:after="120" w:line="240" w:lineRule="auto"/>
        <w:ind w:left="2160" w:hanging="648"/>
        <w:jc w:val="both"/>
        <w:rPr>
          <w:rFonts w:ascii="Times New Roman" w:hAnsi="Times New Roman" w:eastAsia="Microsoft YaHei Light" w:cs="Times New Roman"/>
          <w:color w:val="000000"/>
          <w:sz w:val="20"/>
          <w:szCs w:val="20"/>
        </w:rPr>
      </w:pPr>
      <w:r>
        <w:rPr>
          <w:rFonts w:ascii="Times New Roman" w:hAnsi="Times New Roman" w:eastAsia="Microsoft YaHei Light" w:cs="Times New Roman"/>
          <w:color w:val="000000"/>
          <w:sz w:val="20"/>
          <w:szCs w:val="20"/>
        </w:rPr>
        <w:t xml:space="preserve">Khan, K. M., Radke, S. G. and Borle, M. N. (1984). Seasonal activity of Citrus psylla, </w:t>
      </w:r>
      <w:r>
        <w:rPr>
          <w:rFonts w:ascii="Times New Roman" w:hAnsi="Times New Roman" w:eastAsia="Microsoft YaHei Light" w:cs="Times New Roman"/>
          <w:i/>
          <w:iCs/>
          <w:color w:val="000000"/>
          <w:sz w:val="20"/>
          <w:szCs w:val="20"/>
        </w:rPr>
        <w:t>Diaphorina</w:t>
      </w:r>
      <w:r>
        <w:rPr>
          <w:rFonts w:ascii="Times New Roman" w:hAnsi="Times New Roman" w:eastAsia="Microsoft YaHei Light" w:cs="Times New Roman"/>
          <w:color w:val="000000"/>
          <w:sz w:val="20"/>
          <w:szCs w:val="20"/>
        </w:rPr>
        <w:t xml:space="preserve"> </w:t>
      </w:r>
      <w:r>
        <w:rPr>
          <w:rFonts w:ascii="Times New Roman" w:hAnsi="Times New Roman" w:eastAsia="Microsoft YaHei Light" w:cs="Times New Roman"/>
          <w:i/>
          <w:iCs/>
          <w:color w:val="000000"/>
          <w:sz w:val="20"/>
          <w:szCs w:val="20"/>
        </w:rPr>
        <w:t>citri</w:t>
      </w:r>
      <w:r>
        <w:rPr>
          <w:rFonts w:ascii="Times New Roman" w:hAnsi="Times New Roman" w:eastAsia="Microsoft YaHei Light" w:cs="Times New Roman"/>
          <w:color w:val="000000"/>
          <w:sz w:val="20"/>
          <w:szCs w:val="20"/>
        </w:rPr>
        <w:t xml:space="preserve"> Kuwayama in the Vidharbha region of Maharashtra. </w:t>
      </w:r>
      <w:r>
        <w:rPr>
          <w:rFonts w:ascii="Times New Roman" w:hAnsi="Times New Roman" w:eastAsia="Microsoft YaHei Light" w:cs="Times New Roman"/>
          <w:i/>
          <w:iCs/>
          <w:color w:val="000000"/>
          <w:sz w:val="20"/>
          <w:szCs w:val="20"/>
        </w:rPr>
        <w:t>Bulletin of Entomology,</w:t>
      </w:r>
      <w:r>
        <w:rPr>
          <w:rFonts w:ascii="Times New Roman" w:hAnsi="Times New Roman" w:eastAsia="Microsoft YaHei Light" w:cs="Times New Roman"/>
          <w:color w:val="000000"/>
          <w:sz w:val="20"/>
          <w:szCs w:val="20"/>
        </w:rPr>
        <w:t xml:space="preserve"> </w:t>
      </w:r>
      <w:r>
        <w:rPr>
          <w:rFonts w:ascii="Times New Roman" w:hAnsi="Times New Roman" w:eastAsia="Microsoft YaHei Light" w:cs="Times New Roman"/>
          <w:b/>
          <w:i/>
          <w:iCs/>
          <w:color w:val="000000"/>
          <w:sz w:val="20"/>
          <w:szCs w:val="20"/>
        </w:rPr>
        <w:t>25</w:t>
      </w:r>
      <w:r>
        <w:rPr>
          <w:rFonts w:ascii="Times New Roman" w:hAnsi="Times New Roman" w:eastAsia="Microsoft YaHei Light" w:cs="Times New Roman"/>
          <w:color w:val="000000"/>
          <w:sz w:val="20"/>
          <w:szCs w:val="20"/>
        </w:rPr>
        <w:t xml:space="preserve">(2), 143-146. </w:t>
      </w:r>
    </w:p>
    <w:p w14:paraId="118966F1">
      <w:pPr>
        <w:pStyle w:val="15"/>
        <w:tabs>
          <w:tab w:val="left" w:pos="709"/>
        </w:tabs>
        <w:spacing w:before="120" w:after="120" w:line="240" w:lineRule="auto"/>
        <w:ind w:left="2160" w:hanging="648"/>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Lahm, G. P., Selby, T. P., Freudenberger, J. H., Stevenson, T. M., Myers, B. J., Seburyamo, G. and Cordova, D. (2005). Insecticidal anthranilic diamides: A new class of potent ryanodine receptor activators. </w:t>
      </w:r>
      <w:r>
        <w:rPr>
          <w:rStyle w:val="7"/>
          <w:rFonts w:ascii="Times New Roman" w:hAnsi="Times New Roman" w:cs="Times New Roman"/>
          <w:color w:val="000000"/>
          <w:sz w:val="20"/>
          <w:szCs w:val="20"/>
        </w:rPr>
        <w:t xml:space="preserve">Bioorganic &amp; Medicinal Chemistry Letters, </w:t>
      </w:r>
      <w:r>
        <w:rPr>
          <w:rStyle w:val="7"/>
          <w:rFonts w:ascii="Times New Roman" w:hAnsi="Times New Roman" w:cs="Times New Roman"/>
          <w:b/>
          <w:bCs/>
          <w:color w:val="000000"/>
          <w:sz w:val="20"/>
          <w:szCs w:val="20"/>
        </w:rPr>
        <w:t>15</w:t>
      </w:r>
      <w:r>
        <w:rPr>
          <w:rFonts w:ascii="Times New Roman" w:hAnsi="Times New Roman" w:cs="Times New Roman"/>
          <w:color w:val="000000"/>
          <w:sz w:val="20"/>
          <w:szCs w:val="20"/>
        </w:rPr>
        <w:t xml:space="preserve">(22), 4898-4906. </w:t>
      </w:r>
    </w:p>
    <w:p w14:paraId="5F3EF49B">
      <w:pPr>
        <w:pStyle w:val="15"/>
        <w:tabs>
          <w:tab w:val="left" w:pos="709"/>
        </w:tabs>
        <w:spacing w:before="120" w:after="120" w:line="240" w:lineRule="auto"/>
        <w:ind w:left="2160" w:hanging="648"/>
        <w:jc w:val="both"/>
        <w:rPr>
          <w:rFonts w:ascii="Times New Roman" w:hAnsi="Times New Roman" w:eastAsia="Microsoft YaHei Light" w:cs="Times New Roman"/>
          <w:color w:val="000000"/>
          <w:sz w:val="20"/>
          <w:szCs w:val="20"/>
        </w:rPr>
      </w:pPr>
      <w:r>
        <w:rPr>
          <w:rFonts w:ascii="Times New Roman" w:hAnsi="Times New Roman" w:eastAsia="Microsoft YaHei Light" w:cs="Times New Roman"/>
          <w:color w:val="000000"/>
          <w:sz w:val="20"/>
          <w:szCs w:val="20"/>
        </w:rPr>
        <w:t xml:space="preserve">Lakra, R. K., Singh, Z. and Kharub, W. S. (1983). Population dynamics of citrus psylla, </w:t>
      </w:r>
      <w:r>
        <w:rPr>
          <w:rFonts w:ascii="Times New Roman" w:hAnsi="Times New Roman" w:eastAsia="Microsoft YaHei Light" w:cs="Times New Roman"/>
          <w:i/>
          <w:iCs/>
          <w:color w:val="000000"/>
          <w:sz w:val="20"/>
          <w:szCs w:val="20"/>
        </w:rPr>
        <w:t>Diaphorina</w:t>
      </w:r>
      <w:r>
        <w:rPr>
          <w:rFonts w:ascii="Times New Roman" w:hAnsi="Times New Roman" w:eastAsia="Microsoft YaHei Light" w:cs="Times New Roman"/>
          <w:color w:val="000000"/>
          <w:sz w:val="20"/>
          <w:szCs w:val="20"/>
        </w:rPr>
        <w:t xml:space="preserve"> </w:t>
      </w:r>
      <w:r>
        <w:rPr>
          <w:rFonts w:ascii="Times New Roman" w:hAnsi="Times New Roman" w:eastAsia="Microsoft YaHei Light" w:cs="Times New Roman"/>
          <w:i/>
          <w:iCs/>
          <w:color w:val="000000"/>
          <w:sz w:val="20"/>
          <w:szCs w:val="20"/>
        </w:rPr>
        <w:t>citri</w:t>
      </w:r>
      <w:r>
        <w:rPr>
          <w:rFonts w:ascii="Times New Roman" w:hAnsi="Times New Roman" w:eastAsia="Microsoft YaHei Light" w:cs="Times New Roman"/>
          <w:color w:val="000000"/>
          <w:sz w:val="20"/>
          <w:szCs w:val="20"/>
        </w:rPr>
        <w:t xml:space="preserve"> Kuwayama in Haryana. </w:t>
      </w:r>
      <w:r>
        <w:rPr>
          <w:rFonts w:ascii="Times New Roman" w:hAnsi="Times New Roman" w:eastAsia="Microsoft YaHei Light" w:cs="Times New Roman"/>
          <w:i/>
          <w:iCs/>
          <w:color w:val="000000"/>
          <w:sz w:val="20"/>
          <w:szCs w:val="20"/>
        </w:rPr>
        <w:t>Indian Journal of Entomology,</w:t>
      </w:r>
      <w:r>
        <w:rPr>
          <w:rFonts w:ascii="Times New Roman" w:hAnsi="Times New Roman" w:eastAsia="Microsoft YaHei Light" w:cs="Times New Roman"/>
          <w:color w:val="000000"/>
          <w:sz w:val="20"/>
          <w:szCs w:val="20"/>
        </w:rPr>
        <w:t xml:space="preserve"> </w:t>
      </w:r>
      <w:r>
        <w:rPr>
          <w:rFonts w:ascii="Times New Roman" w:hAnsi="Times New Roman" w:eastAsia="Microsoft YaHei Light" w:cs="Times New Roman"/>
          <w:b/>
          <w:i/>
          <w:iCs/>
          <w:color w:val="000000"/>
          <w:sz w:val="20"/>
          <w:szCs w:val="20"/>
        </w:rPr>
        <w:t>45</w:t>
      </w:r>
      <w:r>
        <w:rPr>
          <w:rFonts w:ascii="Times New Roman" w:hAnsi="Times New Roman" w:eastAsia="Microsoft YaHei Light" w:cs="Times New Roman"/>
          <w:color w:val="000000"/>
          <w:sz w:val="20"/>
          <w:szCs w:val="20"/>
        </w:rPr>
        <w:t xml:space="preserve">, 301-310. </w:t>
      </w:r>
    </w:p>
    <w:p w14:paraId="0D3ABBF9">
      <w:pPr>
        <w:pStyle w:val="15"/>
        <w:tabs>
          <w:tab w:val="left" w:pos="709"/>
        </w:tabs>
        <w:spacing w:before="120" w:after="120" w:line="240" w:lineRule="auto"/>
        <w:ind w:left="2160" w:hanging="648"/>
        <w:jc w:val="both"/>
        <w:rPr>
          <w:rFonts w:ascii="Times New Roman" w:hAnsi="Times New Roman" w:eastAsia="Microsoft YaHei Light" w:cs="Times New Roman"/>
          <w:color w:val="000000"/>
          <w:sz w:val="20"/>
          <w:szCs w:val="20"/>
        </w:rPr>
      </w:pPr>
      <w:r>
        <w:rPr>
          <w:rFonts w:ascii="Times New Roman" w:hAnsi="Times New Roman" w:cs="Times New Roman"/>
          <w:color w:val="000000"/>
          <w:sz w:val="20"/>
          <w:szCs w:val="20"/>
        </w:rPr>
        <w:t>Lindner, R. C., Burts, E. C. and Benson, N. R. (1961). A decline condition in pears</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induced</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by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pear</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psylla</w:t>
      </w:r>
      <w:r>
        <w:rPr>
          <w:rFonts w:ascii="Times New Roman" w:hAnsi="Times New Roman" w:cs="Times New Roman"/>
          <w:i/>
          <w:color w:val="000000"/>
          <w:sz w:val="20"/>
          <w:szCs w:val="20"/>
        </w:rPr>
        <w:t>. Plant Disease</w:t>
      </w:r>
      <w:r>
        <w:rPr>
          <w:rFonts w:ascii="Times New Roman" w:hAnsi="Times New Roman" w:cs="Times New Roman"/>
          <w:i/>
          <w:color w:val="000000"/>
          <w:spacing w:val="-1"/>
          <w:sz w:val="20"/>
          <w:szCs w:val="20"/>
        </w:rPr>
        <w:t xml:space="preserve"> </w:t>
      </w:r>
      <w:r>
        <w:rPr>
          <w:rFonts w:ascii="Times New Roman" w:hAnsi="Times New Roman" w:cs="Times New Roman"/>
          <w:i/>
          <w:color w:val="000000"/>
          <w:sz w:val="20"/>
          <w:szCs w:val="20"/>
        </w:rPr>
        <w:t xml:space="preserve">Rptr, </w:t>
      </w:r>
      <w:r>
        <w:rPr>
          <w:rFonts w:ascii="Times New Roman" w:hAnsi="Times New Roman" w:cs="Times New Roman"/>
          <w:b/>
          <w:i/>
          <w:iCs/>
          <w:color w:val="000000"/>
          <w:sz w:val="20"/>
          <w:szCs w:val="20"/>
        </w:rPr>
        <w:t>46</w:t>
      </w:r>
      <w:r>
        <w:rPr>
          <w:rFonts w:ascii="Times New Roman" w:hAnsi="Times New Roman" w:cs="Times New Roman"/>
          <w:color w:val="000000"/>
          <w:sz w:val="20"/>
          <w:szCs w:val="20"/>
        </w:rPr>
        <w:t xml:space="preserve">, 50-60. </w:t>
      </w:r>
    </w:p>
    <w:p w14:paraId="2149F4E2">
      <w:pPr>
        <w:pStyle w:val="15"/>
        <w:tabs>
          <w:tab w:val="left" w:pos="709"/>
        </w:tabs>
        <w:spacing w:before="120" w:after="120" w:line="240" w:lineRule="auto"/>
        <w:ind w:left="2160" w:hanging="648"/>
        <w:jc w:val="both"/>
        <w:rPr>
          <w:rFonts w:ascii="Times New Roman" w:hAnsi="Times New Roman" w:cs="Times New Roman"/>
          <w:color w:val="000000"/>
          <w:sz w:val="20"/>
          <w:szCs w:val="20"/>
        </w:rPr>
      </w:pPr>
      <w:r>
        <w:rPr>
          <w:rFonts w:ascii="Times New Roman" w:hAnsi="Times New Roman" w:cs="Times New Roman"/>
          <w:color w:val="000000"/>
          <w:sz w:val="20"/>
          <w:szCs w:val="20"/>
        </w:rPr>
        <w:t>Meinaz, N., Sushil, K., Irham, R., Showkat, D., Lone, G. M. and Rafiya, M. (2017). Efficacy of various insecticides against pear psylla (</w:t>
      </w:r>
      <w:r>
        <w:rPr>
          <w:rFonts w:ascii="Times New Roman" w:hAnsi="Times New Roman" w:cs="Times New Roman"/>
          <w:i/>
          <w:iCs/>
          <w:color w:val="000000"/>
          <w:sz w:val="20"/>
          <w:szCs w:val="20"/>
        </w:rPr>
        <w:t>Psylla pyricola</w:t>
      </w:r>
      <w:r>
        <w:rPr>
          <w:rFonts w:ascii="Times New Roman" w:hAnsi="Times New Roman" w:cs="Times New Roman"/>
          <w:color w:val="000000"/>
          <w:sz w:val="20"/>
          <w:szCs w:val="20"/>
        </w:rPr>
        <w:t xml:space="preserve"> foerster) on pear in Kashmir. </w:t>
      </w:r>
      <w:r>
        <w:rPr>
          <w:rFonts w:ascii="Times New Roman" w:hAnsi="Times New Roman" w:cs="Times New Roman"/>
          <w:i/>
          <w:iCs/>
          <w:color w:val="000000"/>
          <w:sz w:val="20"/>
          <w:szCs w:val="20"/>
        </w:rPr>
        <w:t>Vegetos</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30</w:t>
      </w:r>
      <w:r>
        <w:rPr>
          <w:rFonts w:ascii="Times New Roman" w:hAnsi="Times New Roman" w:cs="Times New Roman"/>
          <w:color w:val="000000"/>
          <w:sz w:val="20"/>
          <w:szCs w:val="20"/>
        </w:rPr>
        <w:t xml:space="preserve">(1), 162-164. </w:t>
      </w:r>
    </w:p>
    <w:p w14:paraId="2D444923">
      <w:pPr>
        <w:pStyle w:val="15"/>
        <w:tabs>
          <w:tab w:val="left" w:pos="709"/>
        </w:tabs>
        <w:spacing w:before="120" w:after="120" w:line="240" w:lineRule="auto"/>
        <w:ind w:left="2160" w:hanging="648"/>
        <w:jc w:val="both"/>
        <w:rPr>
          <w:rFonts w:ascii="Times New Roman" w:hAnsi="Times New Roman" w:eastAsia="Microsoft YaHei Light" w:cs="Times New Roman"/>
          <w:color w:val="000000"/>
          <w:sz w:val="20"/>
          <w:szCs w:val="20"/>
        </w:rPr>
      </w:pPr>
      <w:r>
        <w:rPr>
          <w:rFonts w:ascii="Times New Roman" w:hAnsi="Times New Roman" w:eastAsia="Microsoft YaHei Light" w:cs="Times New Roman"/>
          <w:color w:val="000000"/>
          <w:sz w:val="20"/>
          <w:szCs w:val="20"/>
        </w:rPr>
        <w:t xml:space="preserve">Pettit, R. H. and Hutchson, R. (1931). Pests of apple and pear in Michigan. Michigan State Agricultural Experiment Station. Circular. 137. </w:t>
      </w:r>
    </w:p>
    <w:p w14:paraId="2FB67EAF">
      <w:pPr>
        <w:pStyle w:val="15"/>
        <w:tabs>
          <w:tab w:val="left" w:pos="709"/>
        </w:tabs>
        <w:spacing w:before="120" w:after="120" w:line="240" w:lineRule="auto"/>
        <w:ind w:left="2160" w:hanging="648"/>
        <w:jc w:val="both"/>
        <w:rPr>
          <w:rFonts w:ascii="Times New Roman" w:hAnsi="Times New Roman" w:cs="Times New Roman"/>
          <w:color w:val="000000"/>
          <w:sz w:val="20"/>
          <w:szCs w:val="20"/>
        </w:rPr>
      </w:pPr>
      <w:r>
        <w:rPr>
          <w:rFonts w:ascii="Times New Roman" w:hAnsi="Times New Roman" w:cs="Times New Roman"/>
          <w:color w:val="000000"/>
          <w:sz w:val="20"/>
          <w:szCs w:val="20"/>
        </w:rPr>
        <w:t>Pielou, D. P. and</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Downing, R. S. (1960). Dimethoate is a systemic of low mammalian</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toxicity as</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an</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orchard</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insecticide</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in</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British</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 xml:space="preserve">Columbia. </w:t>
      </w:r>
      <w:r>
        <w:rPr>
          <w:rFonts w:ascii="Times New Roman" w:hAnsi="Times New Roman" w:cs="Times New Roman"/>
          <w:i/>
          <w:color w:val="000000"/>
          <w:sz w:val="20"/>
          <w:szCs w:val="20"/>
        </w:rPr>
        <w:t>Proceedings</w:t>
      </w:r>
      <w:r>
        <w:rPr>
          <w:rFonts w:ascii="Times New Roman" w:hAnsi="Times New Roman" w:cs="Times New Roman"/>
          <w:i/>
          <w:color w:val="000000"/>
          <w:spacing w:val="1"/>
          <w:sz w:val="20"/>
          <w:szCs w:val="20"/>
        </w:rPr>
        <w:t xml:space="preserve"> </w:t>
      </w:r>
      <w:r>
        <w:rPr>
          <w:rFonts w:ascii="Times New Roman" w:hAnsi="Times New Roman" w:cs="Times New Roman"/>
          <w:i/>
          <w:color w:val="000000"/>
          <w:sz w:val="20"/>
          <w:szCs w:val="20"/>
        </w:rPr>
        <w:t>of</w:t>
      </w:r>
      <w:r>
        <w:rPr>
          <w:rFonts w:ascii="Times New Roman" w:hAnsi="Times New Roman" w:cs="Times New Roman"/>
          <w:i/>
          <w:color w:val="000000"/>
          <w:spacing w:val="1"/>
          <w:sz w:val="20"/>
          <w:szCs w:val="20"/>
        </w:rPr>
        <w:t xml:space="preserve"> </w:t>
      </w:r>
      <w:r>
        <w:rPr>
          <w:rFonts w:ascii="Times New Roman" w:hAnsi="Times New Roman" w:cs="Times New Roman"/>
          <w:i/>
          <w:color w:val="000000"/>
          <w:sz w:val="20"/>
          <w:szCs w:val="20"/>
        </w:rPr>
        <w:t>Entomological</w:t>
      </w:r>
      <w:r>
        <w:rPr>
          <w:rFonts w:ascii="Times New Roman" w:hAnsi="Times New Roman" w:cs="Times New Roman"/>
          <w:i/>
          <w:color w:val="000000"/>
          <w:spacing w:val="-1"/>
          <w:sz w:val="20"/>
          <w:szCs w:val="20"/>
        </w:rPr>
        <w:t xml:space="preserve"> </w:t>
      </w:r>
      <w:r>
        <w:rPr>
          <w:rFonts w:ascii="Times New Roman" w:hAnsi="Times New Roman" w:cs="Times New Roman"/>
          <w:i/>
          <w:color w:val="000000"/>
          <w:sz w:val="20"/>
          <w:szCs w:val="20"/>
        </w:rPr>
        <w:t>Society</w:t>
      </w:r>
      <w:r>
        <w:rPr>
          <w:rFonts w:ascii="Times New Roman" w:hAnsi="Times New Roman" w:cs="Times New Roman"/>
          <w:i/>
          <w:color w:val="000000"/>
          <w:spacing w:val="-1"/>
          <w:sz w:val="20"/>
          <w:szCs w:val="20"/>
        </w:rPr>
        <w:t xml:space="preserve"> </w:t>
      </w:r>
      <w:r>
        <w:rPr>
          <w:rFonts w:ascii="Times New Roman" w:hAnsi="Times New Roman" w:cs="Times New Roman"/>
          <w:i/>
          <w:color w:val="000000"/>
          <w:sz w:val="20"/>
          <w:szCs w:val="20"/>
        </w:rPr>
        <w:t>of</w:t>
      </w:r>
      <w:r>
        <w:rPr>
          <w:rFonts w:ascii="Times New Roman" w:hAnsi="Times New Roman" w:cs="Times New Roman"/>
          <w:i/>
          <w:color w:val="000000"/>
          <w:spacing w:val="-1"/>
          <w:sz w:val="20"/>
          <w:szCs w:val="20"/>
        </w:rPr>
        <w:t xml:space="preserve"> </w:t>
      </w:r>
      <w:r>
        <w:rPr>
          <w:rFonts w:ascii="Times New Roman" w:hAnsi="Times New Roman" w:cs="Times New Roman"/>
          <w:i/>
          <w:color w:val="000000"/>
          <w:sz w:val="20"/>
          <w:szCs w:val="20"/>
        </w:rPr>
        <w:t xml:space="preserve">British Columbia, </w:t>
      </w:r>
      <w:r>
        <w:rPr>
          <w:rFonts w:ascii="Times New Roman" w:hAnsi="Times New Roman" w:cs="Times New Roman"/>
          <w:b/>
          <w:i/>
          <w:iCs/>
          <w:color w:val="000000"/>
          <w:sz w:val="20"/>
          <w:szCs w:val="20"/>
        </w:rPr>
        <w:t>57</w:t>
      </w:r>
      <w:r>
        <w:rPr>
          <w:rFonts w:ascii="Times New Roman" w:hAnsi="Times New Roman" w:cs="Times New Roman"/>
          <w:color w:val="000000"/>
          <w:sz w:val="20"/>
          <w:szCs w:val="20"/>
        </w:rPr>
        <w:t xml:space="preserve">, 52-70. </w:t>
      </w:r>
    </w:p>
    <w:p w14:paraId="0726D78B">
      <w:pPr>
        <w:pStyle w:val="15"/>
        <w:tabs>
          <w:tab w:val="left" w:pos="709"/>
        </w:tabs>
        <w:spacing w:before="120" w:after="120" w:line="240" w:lineRule="auto"/>
        <w:ind w:left="2160" w:hanging="648"/>
        <w:jc w:val="both"/>
        <w:rPr>
          <w:rFonts w:ascii="Times New Roman" w:hAnsi="Times New Roman" w:eastAsia="Microsoft YaHei Light" w:cs="Times New Roman"/>
          <w:color w:val="000000"/>
          <w:sz w:val="20"/>
          <w:szCs w:val="20"/>
        </w:rPr>
      </w:pPr>
      <w:r>
        <w:rPr>
          <w:rFonts w:ascii="Times New Roman" w:hAnsi="Times New Roman" w:eastAsia="Microsoft YaHei Light" w:cs="Times New Roman"/>
          <w:color w:val="000000"/>
          <w:sz w:val="20"/>
          <w:szCs w:val="20"/>
        </w:rPr>
        <w:t xml:space="preserve">Radjabi, G. and Behechti, N. D. (1975). Bio-ecological studies and control of </w:t>
      </w:r>
      <w:r>
        <w:rPr>
          <w:rFonts w:ascii="Times New Roman" w:hAnsi="Times New Roman" w:eastAsia="Microsoft YaHei Light" w:cs="Times New Roman"/>
          <w:i/>
          <w:iCs/>
          <w:color w:val="000000"/>
          <w:sz w:val="20"/>
          <w:szCs w:val="20"/>
        </w:rPr>
        <w:t>Psylla</w:t>
      </w:r>
      <w:r>
        <w:rPr>
          <w:rFonts w:ascii="Times New Roman" w:hAnsi="Times New Roman" w:eastAsia="Microsoft YaHei Light" w:cs="Times New Roman"/>
          <w:color w:val="000000"/>
          <w:sz w:val="20"/>
          <w:szCs w:val="20"/>
        </w:rPr>
        <w:t xml:space="preserve"> </w:t>
      </w:r>
      <w:r>
        <w:rPr>
          <w:rFonts w:ascii="Times New Roman" w:hAnsi="Times New Roman" w:eastAsia="Microsoft YaHei Light" w:cs="Times New Roman"/>
          <w:i/>
          <w:iCs/>
          <w:color w:val="000000"/>
          <w:sz w:val="20"/>
          <w:szCs w:val="20"/>
        </w:rPr>
        <w:t>pyricola</w:t>
      </w:r>
      <w:r>
        <w:rPr>
          <w:rFonts w:ascii="Times New Roman" w:hAnsi="Times New Roman" w:eastAsia="Microsoft YaHei Light" w:cs="Times New Roman"/>
          <w:color w:val="000000"/>
          <w:sz w:val="20"/>
          <w:szCs w:val="20"/>
        </w:rPr>
        <w:t xml:space="preserve"> F. (Homoptera: Psyllidae) in Esfahan. </w:t>
      </w:r>
      <w:r>
        <w:rPr>
          <w:rFonts w:ascii="Times New Roman" w:hAnsi="Times New Roman" w:eastAsia="Microsoft YaHei Light" w:cs="Times New Roman"/>
          <w:i/>
          <w:iCs/>
          <w:color w:val="000000"/>
          <w:sz w:val="20"/>
          <w:szCs w:val="20"/>
        </w:rPr>
        <w:t>Entomologie et Phytopathologie Appliquees,</w:t>
      </w:r>
      <w:r>
        <w:rPr>
          <w:rFonts w:ascii="Times New Roman" w:hAnsi="Times New Roman" w:eastAsia="Microsoft YaHei Light" w:cs="Times New Roman"/>
          <w:color w:val="000000"/>
          <w:sz w:val="20"/>
          <w:szCs w:val="20"/>
        </w:rPr>
        <w:t xml:space="preserve"> </w:t>
      </w:r>
      <w:r>
        <w:rPr>
          <w:rFonts w:ascii="Times New Roman" w:hAnsi="Times New Roman" w:eastAsia="Microsoft YaHei Light" w:cs="Times New Roman"/>
          <w:b/>
          <w:i/>
          <w:iCs/>
          <w:color w:val="000000"/>
          <w:sz w:val="20"/>
          <w:szCs w:val="20"/>
        </w:rPr>
        <w:t>39</w:t>
      </w:r>
      <w:r>
        <w:rPr>
          <w:rFonts w:ascii="Times New Roman" w:hAnsi="Times New Roman" w:eastAsia="Microsoft YaHei Light" w:cs="Times New Roman"/>
          <w:color w:val="000000"/>
          <w:sz w:val="20"/>
          <w:szCs w:val="20"/>
        </w:rPr>
        <w:t xml:space="preserve">(4), 39-53. </w:t>
      </w:r>
    </w:p>
    <w:p w14:paraId="7827AC69">
      <w:pPr>
        <w:pStyle w:val="15"/>
        <w:tabs>
          <w:tab w:val="left" w:pos="709"/>
        </w:tabs>
        <w:spacing w:before="120" w:after="120" w:line="240" w:lineRule="auto"/>
        <w:ind w:left="2160" w:hanging="648"/>
        <w:jc w:val="both"/>
        <w:rPr>
          <w:rFonts w:ascii="Times New Roman" w:hAnsi="Times New Roman" w:cs="Times New Roman"/>
          <w:color w:val="000000"/>
          <w:sz w:val="20"/>
          <w:szCs w:val="20"/>
        </w:rPr>
      </w:pPr>
      <w:r>
        <w:rPr>
          <w:rFonts w:ascii="Times New Roman" w:hAnsi="Times New Roman" w:cs="Times New Roman"/>
          <w:color w:val="000000"/>
          <w:sz w:val="20"/>
          <w:szCs w:val="20"/>
        </w:rPr>
        <w:t>Rajagopal, D., Naik, S. and</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Gowda, M. K. M. (1990). Subabul</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psyllid</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and</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its</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outbreak</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in</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 xml:space="preserve">Karnataka. </w:t>
      </w:r>
      <w:r>
        <w:rPr>
          <w:rFonts w:ascii="Times New Roman" w:hAnsi="Times New Roman" w:cs="Times New Roman"/>
          <w:i/>
          <w:color w:val="000000"/>
          <w:sz w:val="20"/>
          <w:szCs w:val="20"/>
        </w:rPr>
        <w:t>Current</w:t>
      </w:r>
      <w:r>
        <w:rPr>
          <w:rFonts w:ascii="Times New Roman" w:hAnsi="Times New Roman" w:cs="Times New Roman"/>
          <w:i/>
          <w:color w:val="000000"/>
          <w:spacing w:val="1"/>
          <w:sz w:val="20"/>
          <w:szCs w:val="20"/>
        </w:rPr>
        <w:t xml:space="preserve"> </w:t>
      </w:r>
      <w:r>
        <w:rPr>
          <w:rFonts w:ascii="Times New Roman" w:hAnsi="Times New Roman" w:cs="Times New Roman"/>
          <w:i/>
          <w:color w:val="000000"/>
          <w:sz w:val="20"/>
          <w:szCs w:val="20"/>
        </w:rPr>
        <w:t>Research</w:t>
      </w:r>
      <w:r>
        <w:rPr>
          <w:rFonts w:ascii="Times New Roman" w:hAnsi="Times New Roman" w:cs="Times New Roman"/>
          <w:i/>
          <w:color w:val="000000"/>
          <w:spacing w:val="1"/>
          <w:sz w:val="20"/>
          <w:szCs w:val="20"/>
        </w:rPr>
        <w:t xml:space="preserve"> </w:t>
      </w:r>
      <w:r>
        <w:rPr>
          <w:rFonts w:ascii="Times New Roman" w:hAnsi="Times New Roman" w:cs="Times New Roman"/>
          <w:i/>
          <w:color w:val="000000"/>
          <w:sz w:val="20"/>
          <w:szCs w:val="20"/>
        </w:rPr>
        <w:t>University</w:t>
      </w:r>
      <w:r>
        <w:rPr>
          <w:rFonts w:ascii="Times New Roman" w:hAnsi="Times New Roman" w:cs="Times New Roman"/>
          <w:i/>
          <w:color w:val="000000"/>
          <w:spacing w:val="1"/>
          <w:sz w:val="20"/>
          <w:szCs w:val="20"/>
        </w:rPr>
        <w:t xml:space="preserve"> </w:t>
      </w:r>
      <w:r>
        <w:rPr>
          <w:rFonts w:ascii="Times New Roman" w:hAnsi="Times New Roman" w:cs="Times New Roman"/>
          <w:i/>
          <w:color w:val="000000"/>
          <w:sz w:val="20"/>
          <w:szCs w:val="20"/>
        </w:rPr>
        <w:t>of</w:t>
      </w:r>
      <w:r>
        <w:rPr>
          <w:rFonts w:ascii="Times New Roman" w:hAnsi="Times New Roman" w:cs="Times New Roman"/>
          <w:i/>
          <w:color w:val="000000"/>
          <w:spacing w:val="1"/>
          <w:sz w:val="20"/>
          <w:szCs w:val="20"/>
        </w:rPr>
        <w:t xml:space="preserve"> </w:t>
      </w:r>
      <w:r>
        <w:rPr>
          <w:rFonts w:ascii="Times New Roman" w:hAnsi="Times New Roman" w:cs="Times New Roman"/>
          <w:i/>
          <w:color w:val="000000"/>
          <w:sz w:val="20"/>
          <w:szCs w:val="20"/>
        </w:rPr>
        <w:t>Agricultural</w:t>
      </w:r>
      <w:r>
        <w:rPr>
          <w:rFonts w:ascii="Times New Roman" w:hAnsi="Times New Roman" w:cs="Times New Roman"/>
          <w:i/>
          <w:color w:val="000000"/>
          <w:spacing w:val="1"/>
          <w:sz w:val="20"/>
          <w:szCs w:val="20"/>
        </w:rPr>
        <w:t xml:space="preserve"> </w:t>
      </w:r>
      <w:r>
        <w:rPr>
          <w:rFonts w:ascii="Times New Roman" w:hAnsi="Times New Roman" w:cs="Times New Roman"/>
          <w:i/>
          <w:color w:val="000000"/>
          <w:sz w:val="20"/>
          <w:szCs w:val="20"/>
        </w:rPr>
        <w:t>Sciences</w:t>
      </w:r>
      <w:r>
        <w:rPr>
          <w:rFonts w:ascii="Times New Roman" w:hAnsi="Times New Roman" w:cs="Times New Roman"/>
          <w:i/>
          <w:color w:val="000000"/>
          <w:spacing w:val="1"/>
          <w:sz w:val="20"/>
          <w:szCs w:val="20"/>
        </w:rPr>
        <w:t xml:space="preserve"> </w:t>
      </w:r>
      <w:r>
        <w:rPr>
          <w:rFonts w:ascii="Times New Roman" w:hAnsi="Times New Roman" w:cs="Times New Roman"/>
          <w:i/>
          <w:color w:val="000000"/>
          <w:sz w:val="20"/>
          <w:szCs w:val="20"/>
        </w:rPr>
        <w:t>(Bangalore),</w:t>
      </w:r>
      <w:r>
        <w:rPr>
          <w:rFonts w:ascii="Times New Roman" w:hAnsi="Times New Roman" w:cs="Times New Roman"/>
          <w:i/>
          <w:color w:val="000000"/>
          <w:spacing w:val="-3"/>
          <w:sz w:val="20"/>
          <w:szCs w:val="20"/>
        </w:rPr>
        <w:t xml:space="preserve"> </w:t>
      </w:r>
      <w:r>
        <w:rPr>
          <w:rFonts w:ascii="Times New Roman" w:hAnsi="Times New Roman" w:cs="Times New Roman"/>
          <w:b/>
          <w:i/>
          <w:iCs/>
          <w:color w:val="000000"/>
          <w:sz w:val="20"/>
          <w:szCs w:val="20"/>
        </w:rPr>
        <w:t>19</w:t>
      </w:r>
      <w:r>
        <w:rPr>
          <w:rFonts w:ascii="Times New Roman" w:hAnsi="Times New Roman" w:cs="Times New Roman"/>
          <w:color w:val="000000"/>
          <w:sz w:val="20"/>
          <w:szCs w:val="20"/>
        </w:rPr>
        <w:t xml:space="preserve">(1), 9-12. </w:t>
      </w:r>
    </w:p>
    <w:p w14:paraId="250E2BD6">
      <w:pPr>
        <w:pStyle w:val="15"/>
        <w:tabs>
          <w:tab w:val="left" w:pos="709"/>
        </w:tabs>
        <w:spacing w:before="120" w:after="120" w:line="240" w:lineRule="auto"/>
        <w:ind w:left="2160" w:hanging="648"/>
        <w:jc w:val="both"/>
        <w:rPr>
          <w:rFonts w:ascii="Times New Roman" w:hAnsi="Times New Roman" w:eastAsia="Microsoft YaHei Light" w:cs="Times New Roman"/>
          <w:color w:val="000000"/>
          <w:sz w:val="20"/>
          <w:szCs w:val="20"/>
        </w:rPr>
      </w:pPr>
      <w:r>
        <w:rPr>
          <w:rFonts w:ascii="Times New Roman" w:hAnsi="Times New Roman" w:eastAsia="Microsoft YaHei Light" w:cs="Times New Roman"/>
          <w:color w:val="000000"/>
          <w:sz w:val="20"/>
          <w:szCs w:val="20"/>
        </w:rPr>
        <w:t xml:space="preserve">Rao, K. R. and Pathak, K. A. 2001. Field evaluation of indigenous germplasm of citrus against insect pests. </w:t>
      </w:r>
      <w:r>
        <w:rPr>
          <w:rFonts w:ascii="Times New Roman" w:hAnsi="Times New Roman" w:eastAsia="Microsoft YaHei Light" w:cs="Times New Roman"/>
          <w:i/>
          <w:iCs/>
          <w:color w:val="000000"/>
          <w:sz w:val="20"/>
          <w:szCs w:val="20"/>
        </w:rPr>
        <w:t>Indian Journal of Hill Farming,</w:t>
      </w:r>
      <w:r>
        <w:rPr>
          <w:rFonts w:ascii="Times New Roman" w:hAnsi="Times New Roman" w:eastAsia="Microsoft YaHei Light" w:cs="Times New Roman"/>
          <w:color w:val="000000"/>
          <w:sz w:val="20"/>
          <w:szCs w:val="20"/>
        </w:rPr>
        <w:t xml:space="preserve"> </w:t>
      </w:r>
      <w:r>
        <w:rPr>
          <w:rFonts w:ascii="Times New Roman" w:hAnsi="Times New Roman" w:eastAsia="Microsoft YaHei Light" w:cs="Times New Roman"/>
          <w:b/>
          <w:i/>
          <w:iCs/>
          <w:color w:val="000000"/>
          <w:sz w:val="20"/>
          <w:szCs w:val="20"/>
        </w:rPr>
        <w:t>14</w:t>
      </w:r>
      <w:r>
        <w:rPr>
          <w:rFonts w:ascii="Times New Roman" w:hAnsi="Times New Roman" w:eastAsia="Microsoft YaHei Light" w:cs="Times New Roman"/>
          <w:color w:val="000000"/>
          <w:sz w:val="20"/>
          <w:szCs w:val="20"/>
        </w:rPr>
        <w:t>, 117-119</w:t>
      </w:r>
    </w:p>
    <w:p w14:paraId="2BB4759A">
      <w:pPr>
        <w:pStyle w:val="15"/>
        <w:tabs>
          <w:tab w:val="left" w:pos="709"/>
        </w:tabs>
        <w:spacing w:before="120" w:after="120" w:line="240" w:lineRule="auto"/>
        <w:ind w:left="2160" w:hanging="648"/>
        <w:jc w:val="both"/>
        <w:rPr>
          <w:rFonts w:ascii="Times New Roman" w:hAnsi="Times New Roman" w:eastAsia="Microsoft YaHei Light" w:cs="Times New Roman"/>
          <w:color w:val="000000"/>
          <w:sz w:val="20"/>
          <w:szCs w:val="20"/>
        </w:rPr>
      </w:pPr>
      <w:r>
        <w:rPr>
          <w:rFonts w:ascii="Times New Roman" w:hAnsi="Times New Roman" w:eastAsia="Microsoft YaHei Light" w:cs="Times New Roman"/>
          <w:color w:val="000000"/>
          <w:sz w:val="20"/>
          <w:szCs w:val="20"/>
        </w:rPr>
        <w:t xml:space="preserve">Saha, D. and Mukhopadhyay, A. (2013). Insecticide resistance mechanisms in three sucking insect pests of tea with reference to North-East India: an appraisal. </w:t>
      </w:r>
      <w:r>
        <w:rPr>
          <w:rFonts w:ascii="Times New Roman" w:hAnsi="Times New Roman" w:eastAsia="Microsoft YaHei Light" w:cs="Times New Roman"/>
          <w:i/>
          <w:iCs/>
          <w:color w:val="000000"/>
          <w:sz w:val="20"/>
          <w:szCs w:val="20"/>
        </w:rPr>
        <w:t xml:space="preserve">International Journal of Tropical Insect Science, </w:t>
      </w:r>
      <w:r>
        <w:rPr>
          <w:rFonts w:ascii="Times New Roman" w:hAnsi="Times New Roman" w:eastAsia="Microsoft YaHei Light" w:cs="Times New Roman"/>
          <w:b/>
          <w:i/>
          <w:iCs/>
          <w:color w:val="000000"/>
          <w:sz w:val="20"/>
          <w:szCs w:val="20"/>
        </w:rPr>
        <w:t>33</w:t>
      </w:r>
      <w:r>
        <w:rPr>
          <w:rFonts w:ascii="Times New Roman" w:hAnsi="Times New Roman" w:eastAsia="Microsoft YaHei Light" w:cs="Times New Roman"/>
          <w:color w:val="000000"/>
          <w:sz w:val="20"/>
          <w:szCs w:val="20"/>
        </w:rPr>
        <w:t xml:space="preserve">(1), 46-70. </w:t>
      </w:r>
    </w:p>
    <w:p w14:paraId="45106C03">
      <w:pPr>
        <w:pStyle w:val="15"/>
        <w:tabs>
          <w:tab w:val="left" w:pos="709"/>
        </w:tabs>
        <w:spacing w:before="120" w:after="120" w:line="240" w:lineRule="auto"/>
        <w:ind w:left="2160" w:hanging="648"/>
        <w:jc w:val="both"/>
        <w:rPr>
          <w:rFonts w:ascii="Times New Roman" w:hAnsi="Times New Roman" w:eastAsia="Microsoft YaHei Light" w:cs="Times New Roman"/>
          <w:color w:val="000000"/>
          <w:sz w:val="20"/>
          <w:szCs w:val="20"/>
        </w:rPr>
      </w:pPr>
      <w:r>
        <w:rPr>
          <w:rFonts w:ascii="Times New Roman" w:hAnsi="Times New Roman" w:eastAsia="Microsoft YaHei Light" w:cs="Times New Roman"/>
          <w:color w:val="000000"/>
          <w:sz w:val="20"/>
          <w:szCs w:val="20"/>
        </w:rPr>
        <w:t>SAS Institute (1998). SAS user's guide. Statistics SAS Institute, cary, N.C.</w:t>
      </w:r>
    </w:p>
    <w:p w14:paraId="220C8B7B">
      <w:pPr>
        <w:pStyle w:val="15"/>
        <w:tabs>
          <w:tab w:val="left" w:pos="709"/>
        </w:tabs>
        <w:spacing w:before="120" w:after="120" w:line="240" w:lineRule="auto"/>
        <w:ind w:left="2160" w:hanging="648"/>
        <w:jc w:val="both"/>
        <w:rPr>
          <w:rFonts w:ascii="Times New Roman" w:hAnsi="Times New Roman" w:eastAsia="Microsoft YaHei Light" w:cs="Times New Roman"/>
          <w:color w:val="000000"/>
          <w:sz w:val="20"/>
          <w:szCs w:val="20"/>
        </w:rPr>
      </w:pPr>
      <w:r>
        <w:rPr>
          <w:rFonts w:ascii="Times New Roman" w:hAnsi="Times New Roman" w:eastAsia="Microsoft YaHei Light" w:cs="Times New Roman"/>
          <w:color w:val="000000"/>
          <w:sz w:val="20"/>
          <w:szCs w:val="20"/>
        </w:rPr>
        <w:t xml:space="preserve">Soufo, L. and Tamesse, J. L. (2015). Population Dynamic of </w:t>
      </w:r>
      <w:r>
        <w:rPr>
          <w:rFonts w:ascii="Times New Roman" w:hAnsi="Times New Roman" w:eastAsia="Microsoft YaHei Light" w:cs="Times New Roman"/>
          <w:i/>
          <w:iCs/>
          <w:color w:val="000000"/>
          <w:sz w:val="20"/>
          <w:szCs w:val="20"/>
        </w:rPr>
        <w:t>Blastopsylla</w:t>
      </w:r>
      <w:r>
        <w:rPr>
          <w:rFonts w:ascii="Times New Roman" w:hAnsi="Times New Roman" w:eastAsia="Microsoft YaHei Light" w:cs="Times New Roman"/>
          <w:color w:val="000000"/>
          <w:sz w:val="20"/>
          <w:szCs w:val="20"/>
        </w:rPr>
        <w:t xml:space="preserve"> </w:t>
      </w:r>
      <w:r>
        <w:rPr>
          <w:rFonts w:ascii="Times New Roman" w:hAnsi="Times New Roman" w:eastAsia="Microsoft YaHei Light" w:cs="Times New Roman"/>
          <w:i/>
          <w:iCs/>
          <w:color w:val="000000"/>
          <w:sz w:val="20"/>
          <w:szCs w:val="20"/>
        </w:rPr>
        <w:t>occidentalis</w:t>
      </w:r>
      <w:r>
        <w:rPr>
          <w:rFonts w:ascii="Times New Roman" w:hAnsi="Times New Roman" w:eastAsia="Microsoft YaHei Light" w:cs="Times New Roman"/>
          <w:color w:val="000000"/>
          <w:sz w:val="20"/>
          <w:szCs w:val="20"/>
        </w:rPr>
        <w:t xml:space="preserve"> Taylor (Hemiptera: Psyllidae), a Psyllid Pest of Eucalyptus. </w:t>
      </w:r>
      <w:r>
        <w:rPr>
          <w:rFonts w:ascii="Times New Roman" w:hAnsi="Times New Roman" w:eastAsia="Microsoft YaHei Light" w:cs="Times New Roman"/>
          <w:i/>
          <w:iCs/>
          <w:color w:val="000000"/>
          <w:sz w:val="20"/>
          <w:szCs w:val="20"/>
        </w:rPr>
        <w:t>Neotropical Entomology</w:t>
      </w:r>
      <w:r>
        <w:rPr>
          <w:rFonts w:ascii="Times New Roman" w:hAnsi="Times New Roman" w:eastAsia="Microsoft YaHei Light" w:cs="Times New Roman"/>
          <w:color w:val="000000"/>
          <w:sz w:val="20"/>
          <w:szCs w:val="20"/>
        </w:rPr>
        <w:t xml:space="preserve">, pp. 1-9. </w:t>
      </w:r>
    </w:p>
    <w:p w14:paraId="564F9FBC">
      <w:pPr>
        <w:pStyle w:val="38"/>
        <w:spacing w:line="240" w:lineRule="auto"/>
        <w:ind w:left="2160" w:hanging="648"/>
        <w:rPr>
          <w:rFonts w:eastAsia="Microsoft YaHei Light" w:cs="Times New Roman"/>
          <w:sz w:val="20"/>
          <w:szCs w:val="20"/>
        </w:rPr>
      </w:pPr>
      <w:r>
        <w:rPr>
          <w:rFonts w:eastAsia="Microsoft YaHei Light" w:cs="Times New Roman"/>
          <w:color w:val="000000"/>
          <w:sz w:val="20"/>
          <w:szCs w:val="20"/>
        </w:rPr>
        <w:t xml:space="preserve">Stratopoulou, E. T. and Kapatos, E. T. (1992). Distribution of population o immature stages of pear psyllid, </w:t>
      </w:r>
      <w:r>
        <w:rPr>
          <w:rFonts w:eastAsia="Microsoft YaHei Light" w:cs="Times New Roman"/>
          <w:i/>
          <w:iCs/>
          <w:color w:val="000000"/>
          <w:sz w:val="20"/>
          <w:szCs w:val="20"/>
        </w:rPr>
        <w:t>Cacopsylla pyr</w:t>
      </w:r>
      <w:r>
        <w:rPr>
          <w:rFonts w:eastAsia="Microsoft YaHei Light" w:cs="Times New Roman"/>
          <w:color w:val="000000"/>
          <w:sz w:val="20"/>
          <w:szCs w:val="20"/>
        </w:rPr>
        <w:t>i, within the tree and development of sampling strategy</w:t>
      </w:r>
      <w:r>
        <w:rPr>
          <w:rFonts w:eastAsia="Microsoft YaHei Light" w:cs="Times New Roman"/>
          <w:i/>
          <w:iCs/>
          <w:color w:val="000000"/>
          <w:sz w:val="20"/>
          <w:szCs w:val="20"/>
        </w:rPr>
        <w:t>. Entomol Hellenica,</w:t>
      </w:r>
      <w:r>
        <w:rPr>
          <w:rFonts w:eastAsia="Microsoft YaHei Light" w:cs="Times New Roman"/>
          <w:color w:val="000000"/>
          <w:sz w:val="20"/>
          <w:szCs w:val="20"/>
        </w:rPr>
        <w:t xml:space="preserve"> </w:t>
      </w:r>
      <w:r>
        <w:rPr>
          <w:rFonts w:eastAsia="Microsoft YaHei Light" w:cs="Times New Roman"/>
          <w:b/>
          <w:bCs/>
          <w:i/>
          <w:iCs/>
          <w:color w:val="000000"/>
          <w:sz w:val="20"/>
          <w:szCs w:val="20"/>
        </w:rPr>
        <w:t>10</w:t>
      </w:r>
      <w:r>
        <w:rPr>
          <w:rFonts w:eastAsia="Microsoft YaHei Light" w:cs="Times New Roman"/>
          <w:color w:val="000000"/>
          <w:sz w:val="20"/>
          <w:szCs w:val="20"/>
        </w:rPr>
        <w:t>, 5-10.</w:t>
      </w:r>
    </w:p>
    <w:p w14:paraId="47AFD606">
      <w:pPr>
        <w:pStyle w:val="15"/>
        <w:tabs>
          <w:tab w:val="left" w:pos="709"/>
        </w:tabs>
        <w:spacing w:before="120" w:after="120" w:line="240" w:lineRule="auto"/>
        <w:ind w:left="2160" w:hanging="648"/>
        <w:jc w:val="both"/>
        <w:rPr>
          <w:rFonts w:ascii="Times New Roman" w:hAnsi="Times New Roman" w:eastAsia="Microsoft YaHei Light" w:cs="Times New Roman"/>
          <w:color w:val="000000"/>
          <w:sz w:val="20"/>
          <w:szCs w:val="20"/>
        </w:rPr>
      </w:pPr>
      <w:r>
        <w:rPr>
          <w:rFonts w:ascii="Times New Roman" w:hAnsi="Times New Roman" w:eastAsia="Microsoft YaHei Light" w:cs="Times New Roman"/>
          <w:color w:val="000000"/>
          <w:sz w:val="20"/>
          <w:szCs w:val="20"/>
        </w:rPr>
        <w:t xml:space="preserve">Virender, K., Malik, G. H., Uma, S. and Monobrullah, M. D. (2007). Incidence and management of Olive psylla, </w:t>
      </w:r>
      <w:r>
        <w:rPr>
          <w:rFonts w:ascii="Times New Roman" w:hAnsi="Times New Roman" w:eastAsia="Microsoft YaHei Light" w:cs="Times New Roman"/>
          <w:i/>
          <w:iCs/>
          <w:color w:val="000000"/>
          <w:sz w:val="20"/>
          <w:szCs w:val="20"/>
        </w:rPr>
        <w:t>Euphyllura</w:t>
      </w:r>
      <w:r>
        <w:rPr>
          <w:rFonts w:ascii="Times New Roman" w:hAnsi="Times New Roman" w:eastAsia="Microsoft YaHei Light" w:cs="Times New Roman"/>
          <w:color w:val="000000"/>
          <w:sz w:val="20"/>
          <w:szCs w:val="20"/>
        </w:rPr>
        <w:t xml:space="preserve"> </w:t>
      </w:r>
      <w:r>
        <w:rPr>
          <w:rFonts w:ascii="Times New Roman" w:hAnsi="Times New Roman" w:eastAsia="Microsoft YaHei Light" w:cs="Times New Roman"/>
          <w:i/>
          <w:iCs/>
          <w:color w:val="000000"/>
          <w:sz w:val="20"/>
          <w:szCs w:val="20"/>
        </w:rPr>
        <w:t>pakistanica</w:t>
      </w:r>
      <w:r>
        <w:rPr>
          <w:rFonts w:ascii="Times New Roman" w:hAnsi="Times New Roman" w:eastAsia="Microsoft YaHei Light" w:cs="Times New Roman"/>
          <w:color w:val="000000"/>
          <w:sz w:val="20"/>
          <w:szCs w:val="20"/>
        </w:rPr>
        <w:t xml:space="preserve">. </w:t>
      </w:r>
      <w:r>
        <w:rPr>
          <w:rFonts w:ascii="Times New Roman" w:hAnsi="Times New Roman" w:eastAsia="Microsoft YaHei Light" w:cs="Times New Roman"/>
          <w:i/>
          <w:iCs/>
          <w:color w:val="000000"/>
          <w:sz w:val="20"/>
          <w:szCs w:val="20"/>
        </w:rPr>
        <w:t>Indian Journal of Entomology,</w:t>
      </w:r>
      <w:r>
        <w:rPr>
          <w:rFonts w:ascii="Times New Roman" w:hAnsi="Times New Roman" w:eastAsia="Microsoft YaHei Light" w:cs="Times New Roman"/>
          <w:color w:val="000000"/>
          <w:sz w:val="20"/>
          <w:szCs w:val="20"/>
        </w:rPr>
        <w:t xml:space="preserve"> </w:t>
      </w:r>
      <w:r>
        <w:rPr>
          <w:rFonts w:ascii="Times New Roman" w:hAnsi="Times New Roman" w:eastAsia="Microsoft YaHei Light" w:cs="Times New Roman"/>
          <w:b/>
          <w:i/>
          <w:iCs/>
          <w:color w:val="000000"/>
          <w:sz w:val="20"/>
          <w:szCs w:val="20"/>
        </w:rPr>
        <w:t>69</w:t>
      </w:r>
      <w:r>
        <w:rPr>
          <w:rFonts w:ascii="Times New Roman" w:hAnsi="Times New Roman" w:eastAsia="Microsoft YaHei Light" w:cs="Times New Roman"/>
          <w:color w:val="000000"/>
          <w:sz w:val="20"/>
          <w:szCs w:val="20"/>
        </w:rPr>
        <w:t xml:space="preserve">(4), 331-340. </w:t>
      </w:r>
    </w:p>
    <w:p w14:paraId="3FB27F25">
      <w:pPr>
        <w:pStyle w:val="15"/>
        <w:tabs>
          <w:tab w:val="left" w:pos="709"/>
        </w:tabs>
        <w:spacing w:before="120" w:after="120" w:line="240" w:lineRule="auto"/>
        <w:ind w:left="2160" w:hanging="648"/>
        <w:jc w:val="both"/>
        <w:rPr>
          <w:rFonts w:ascii="Times New Roman" w:hAnsi="Times New Roman" w:eastAsia="Microsoft YaHei Light" w:cs="Times New Roman"/>
          <w:color w:val="000000"/>
          <w:sz w:val="20"/>
          <w:szCs w:val="20"/>
        </w:rPr>
      </w:pPr>
      <w:r>
        <w:rPr>
          <w:rFonts w:ascii="Times New Roman" w:hAnsi="Times New Roman" w:eastAsia="Microsoft YaHei Light" w:cs="Times New Roman"/>
          <w:color w:val="000000"/>
          <w:sz w:val="20"/>
          <w:szCs w:val="20"/>
        </w:rPr>
        <w:t xml:space="preserve">Westigard P H, Zwick R W. (1972). The pear psylla in Oregon. Oregon State University, Agricultural Experiment Station Technical Bulletin, </w:t>
      </w:r>
      <w:r>
        <w:rPr>
          <w:rFonts w:ascii="Times New Roman" w:hAnsi="Times New Roman" w:eastAsia="Microsoft YaHei Light" w:cs="Times New Roman"/>
          <w:i/>
          <w:iCs/>
          <w:color w:val="000000"/>
          <w:sz w:val="20"/>
          <w:szCs w:val="20"/>
        </w:rPr>
        <w:t>122</w:t>
      </w:r>
      <w:r>
        <w:rPr>
          <w:rFonts w:ascii="Times New Roman" w:hAnsi="Times New Roman" w:eastAsia="Microsoft YaHei Light" w:cs="Times New Roman"/>
          <w:color w:val="000000"/>
          <w:sz w:val="20"/>
          <w:szCs w:val="20"/>
        </w:rPr>
        <w:t>, 22 pp.</w:t>
      </w:r>
    </w:p>
    <w:p w14:paraId="3DC4758C">
      <w:pPr>
        <w:pStyle w:val="38"/>
        <w:spacing w:line="240" w:lineRule="auto"/>
        <w:ind w:left="2160" w:hanging="648"/>
        <w:rPr>
          <w:rFonts w:eastAsia="Microsoft YaHei Light" w:cs="Times New Roman"/>
          <w:sz w:val="20"/>
          <w:szCs w:val="20"/>
        </w:rPr>
      </w:pPr>
      <w:r>
        <w:rPr>
          <w:rFonts w:eastAsia="Microsoft YaHei Light" w:cs="Times New Roman"/>
          <w:sz w:val="20"/>
          <w:szCs w:val="20"/>
        </w:rPr>
        <w:t xml:space="preserve">Wu, Y., Ma, Q., Hostettler, J., Zhang, Z. and Schroder, J. (2019). Historical and cultural significance of pear cultivation in China and Europe. </w:t>
      </w:r>
      <w:r>
        <w:rPr>
          <w:rFonts w:eastAsia="Microsoft YaHei Light" w:cs="Times New Roman"/>
          <w:i/>
          <w:iCs/>
          <w:sz w:val="20"/>
          <w:szCs w:val="20"/>
        </w:rPr>
        <w:t>Journal of Agricultural History,</w:t>
      </w:r>
      <w:r>
        <w:rPr>
          <w:rFonts w:eastAsia="Microsoft YaHei Light" w:cs="Times New Roman"/>
          <w:sz w:val="20"/>
          <w:szCs w:val="20"/>
        </w:rPr>
        <w:t xml:space="preserve"> </w:t>
      </w:r>
      <w:r>
        <w:rPr>
          <w:rFonts w:eastAsia="Microsoft YaHei Light" w:cs="Times New Roman"/>
          <w:b/>
          <w:i/>
          <w:iCs/>
          <w:sz w:val="20"/>
          <w:szCs w:val="20"/>
        </w:rPr>
        <w:t>43</w:t>
      </w:r>
      <w:r>
        <w:rPr>
          <w:rFonts w:eastAsia="Microsoft YaHei Light" w:cs="Times New Roman"/>
          <w:sz w:val="20"/>
          <w:szCs w:val="20"/>
        </w:rPr>
        <w:t>(2), 215-230.</w:t>
      </w:r>
    </w:p>
    <w:p w14:paraId="34DE6429">
      <w:pPr>
        <w:pStyle w:val="15"/>
        <w:tabs>
          <w:tab w:val="left" w:pos="709"/>
        </w:tabs>
        <w:spacing w:before="120" w:after="120" w:line="240" w:lineRule="auto"/>
        <w:ind w:left="2160" w:hanging="648"/>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Youssef, A. S. and El-mahdy, S. M. (2015). Field evaluation of some insecticides against pear psyllid, </w:t>
      </w:r>
      <w:r>
        <w:rPr>
          <w:rFonts w:ascii="Times New Roman" w:hAnsi="Times New Roman" w:cs="Times New Roman"/>
          <w:i/>
          <w:iCs/>
          <w:color w:val="000000"/>
          <w:sz w:val="20"/>
          <w:szCs w:val="20"/>
          <w:shd w:val="clear" w:color="auto" w:fill="FFFFFF"/>
        </w:rPr>
        <w:t>cacopsylla pyricola</w:t>
      </w:r>
      <w:r>
        <w:rPr>
          <w:rFonts w:ascii="Times New Roman" w:hAnsi="Times New Roman" w:cs="Times New Roman"/>
          <w:color w:val="000000"/>
          <w:sz w:val="20"/>
          <w:szCs w:val="20"/>
          <w:shd w:val="clear" w:color="auto" w:fill="FFFFFF"/>
        </w:rPr>
        <w:t xml:space="preserve"> (foerster)(hemiptera: psylloidea, psyllidae) on pear trees in ismailiya governorate, egypt. </w:t>
      </w:r>
      <w:r>
        <w:rPr>
          <w:rFonts w:ascii="Times New Roman" w:hAnsi="Times New Roman" w:cs="Times New Roman"/>
          <w:i/>
          <w:iCs/>
          <w:color w:val="000000"/>
          <w:sz w:val="20"/>
          <w:szCs w:val="20"/>
          <w:shd w:val="clear" w:color="auto" w:fill="FFFFFF"/>
        </w:rPr>
        <w:t>Egyptian Journal of Agricultural Research</w:t>
      </w:r>
      <w:r>
        <w:rPr>
          <w:rFonts w:ascii="Times New Roman" w:hAnsi="Times New Roman" w:cs="Times New Roman"/>
          <w:color w:val="000000"/>
          <w:sz w:val="20"/>
          <w:szCs w:val="20"/>
          <w:shd w:val="clear" w:color="auto" w:fill="FFFFFF"/>
        </w:rPr>
        <w:t> ,</w:t>
      </w:r>
      <w:r>
        <w:rPr>
          <w:rFonts w:ascii="Times New Roman" w:hAnsi="Times New Roman" w:cs="Times New Roman"/>
          <w:b/>
          <w:bCs/>
          <w:i/>
          <w:iCs/>
          <w:color w:val="000000"/>
          <w:sz w:val="20"/>
          <w:szCs w:val="20"/>
          <w:shd w:val="clear" w:color="auto" w:fill="FFFFFF"/>
        </w:rPr>
        <w:t>93,</w:t>
      </w:r>
      <w:r>
        <w:rPr>
          <w:rFonts w:ascii="Times New Roman" w:hAnsi="Times New Roman" w:cs="Times New Roman"/>
          <w:color w:val="000000"/>
          <w:sz w:val="20"/>
          <w:szCs w:val="20"/>
          <w:shd w:val="clear" w:color="auto" w:fill="FFFFFF"/>
        </w:rPr>
        <w:t xml:space="preserve"> (4), 1139-1145. </w:t>
      </w:r>
    </w:p>
    <w:p w14:paraId="26833558">
      <w:pPr>
        <w:pStyle w:val="38"/>
        <w:spacing w:line="240" w:lineRule="auto"/>
        <w:ind w:left="1152"/>
        <w:rPr>
          <w:rFonts w:eastAsia="Microsoft YaHei Light" w:cs="Times New Roman"/>
          <w:sz w:val="20"/>
          <w:szCs w:val="20"/>
        </w:rPr>
      </w:pPr>
    </w:p>
    <w:p w14:paraId="226E0E5A">
      <w:pPr>
        <w:pStyle w:val="38"/>
        <w:spacing w:line="240" w:lineRule="auto"/>
        <w:ind w:left="1152"/>
        <w:rPr>
          <w:rFonts w:eastAsia="Microsoft YaHei Light" w:cs="Times New Roman"/>
          <w:sz w:val="20"/>
          <w:szCs w:val="20"/>
        </w:rPr>
      </w:pPr>
    </w:p>
    <w:p w14:paraId="084BAE57">
      <w:pPr>
        <w:pStyle w:val="38"/>
        <w:spacing w:line="240" w:lineRule="auto"/>
        <w:rPr>
          <w:rFonts w:eastAsia="Microsoft YaHei Light" w:cs="Times New Roman"/>
          <w:sz w:val="20"/>
          <w:szCs w:val="20"/>
        </w:rPr>
      </w:pPr>
    </w:p>
    <w:p w14:paraId="4F7FD00E">
      <w:pPr>
        <w:pStyle w:val="38"/>
        <w:spacing w:line="240" w:lineRule="auto"/>
        <w:rPr>
          <w:rFonts w:eastAsia="Microsoft YaHei Light" w:cs="Times New Roman"/>
          <w:sz w:val="20"/>
          <w:szCs w:val="20"/>
        </w:rPr>
        <w:sectPr>
          <w:type w:val="continuous"/>
          <w:pgSz w:w="11906" w:h="16838"/>
          <w:pgMar w:top="1440" w:right="1440" w:bottom="1440" w:left="1440" w:header="708" w:footer="708" w:gutter="0"/>
          <w:cols w:space="708" w:num="1"/>
          <w:docGrid w:linePitch="360" w:charSpace="0"/>
        </w:sectPr>
      </w:pPr>
      <w:r>
        <w:rPr>
          <w:rFonts w:eastAsia="Microsoft YaHei Light" w:cs="Times New Roman"/>
          <w:sz w:val="20"/>
          <w:szCs w:val="20"/>
        </w:rPr>
        <w:t xml:space="preserve">  </w:t>
      </w:r>
    </w:p>
    <w:p w14:paraId="12769CB2">
      <w:pPr>
        <w:pStyle w:val="38"/>
        <w:spacing w:line="240" w:lineRule="auto"/>
        <w:ind w:left="1152"/>
        <w:rPr>
          <w:rFonts w:eastAsia="Microsoft YaHei Light" w:cs="Times New Roman"/>
          <w:sz w:val="20"/>
          <w:szCs w:val="20"/>
        </w:rPr>
      </w:pPr>
    </w:p>
    <w:p w14:paraId="4FF1AD87">
      <w:pPr>
        <w:spacing w:line="240" w:lineRule="auto"/>
        <w:jc w:val="both"/>
        <w:rPr>
          <w:rFonts w:ascii="Times New Roman" w:hAnsi="Times New Roman" w:cs="Times New Roman"/>
          <w:sz w:val="20"/>
          <w:szCs w:val="20"/>
          <w:lang w:val="en-US"/>
        </w:rPr>
      </w:pPr>
      <w:r>
        <w:rPr>
          <w:rFonts w:ascii="Times New Roman" w:hAnsi="Times New Roman" w:cs="Times New Roman"/>
          <w:b/>
          <w:bCs/>
          <w:sz w:val="20"/>
          <w:szCs w:val="20"/>
        </w:rPr>
        <mc:AlternateContent>
          <mc:Choice Requires="wps">
            <w:drawing>
              <wp:anchor distT="0" distB="0" distL="114300" distR="114300" simplePos="0" relativeHeight="251659264" behindDoc="0" locked="0" layoutInCell="1" allowOverlap="1">
                <wp:simplePos x="0" y="0"/>
                <wp:positionH relativeFrom="margin">
                  <wp:posOffset>1858645</wp:posOffset>
                </wp:positionH>
                <wp:positionV relativeFrom="paragraph">
                  <wp:posOffset>3810</wp:posOffset>
                </wp:positionV>
                <wp:extent cx="2376170" cy="500380"/>
                <wp:effectExtent l="0" t="0" r="0" b="0"/>
                <wp:wrapNone/>
                <wp:docPr id="2092300764" name="Text Box 19"/>
                <wp:cNvGraphicFramePr/>
                <a:graphic xmlns:a="http://schemas.openxmlformats.org/drawingml/2006/main">
                  <a:graphicData uri="http://schemas.microsoft.com/office/word/2010/wordprocessingShape">
                    <wps:wsp>
                      <wps:cNvSpPr txBox="1"/>
                      <wps:spPr>
                        <a:xfrm>
                          <a:off x="0" y="0"/>
                          <a:ext cx="2376170" cy="500380"/>
                        </a:xfrm>
                        <a:prstGeom prst="rect">
                          <a:avLst/>
                        </a:prstGeom>
                        <a:noFill/>
                      </wps:spPr>
                      <wps:txbx>
                        <w:txbxContent>
                          <w:p w14:paraId="0BC966A1">
                            <w:pPr>
                              <w:rPr>
                                <w:b/>
                                <w:bCs/>
                                <w:color w:val="000000"/>
                                <w:kern w:val="24"/>
                                <w:sz w:val="56"/>
                                <w:szCs w:val="56"/>
                              </w:rPr>
                            </w:pPr>
                            <w:r>
                              <w:rPr>
                                <w:b/>
                                <w:bCs/>
                                <w:color w:val="000000"/>
                                <w:kern w:val="24"/>
                                <w:sz w:val="56"/>
                                <w:szCs w:val="56"/>
                              </w:rPr>
                              <w:t xml:space="preserve">    </w:t>
                            </w:r>
                          </w:p>
                        </w:txbxContent>
                      </wps:txbx>
                      <wps:bodyPr wrap="square" rtlCol="0">
                        <a:spAutoFit/>
                      </wps:bodyPr>
                    </wps:wsp>
                  </a:graphicData>
                </a:graphic>
              </wp:anchor>
            </w:drawing>
          </mc:Choice>
          <mc:Fallback>
            <w:pict>
              <v:shape id="Text Box 19" o:spid="_x0000_s1026" o:spt="202" type="#_x0000_t202" style="position:absolute;left:0pt;margin-left:146.35pt;margin-top:0.3pt;height:39.4pt;width:187.1pt;mso-position-horizontal-relative:margin;z-index:251659264;mso-width-relative:page;mso-height-relative:page;" filled="f" stroked="f" coordsize="21600,21600" o:gfxdata="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Jh&#10;zN/VAAAABwEAAA8AAAAAAAAAAQAgAAAAIgAAAGRycy9kb3ducmV2LnhtbFBLAQIUABQAAAAIAIdO&#10;4kBt8KjDtAEAAGYDAAAOAAAAAAAAAAEAIAAAACQBAABkcnMvZTJvRG9jLnhtbFBLBQYAAAAABgAG&#10;AFkBAABKBQAAAAA=&#10;">
                <v:fill on="f" focussize="0,0"/>
                <v:stroke on="f"/>
                <v:imagedata o:title=""/>
                <o:lock v:ext="edit" aspectratio="f"/>
                <v:textbox style="mso-fit-shape-to-text:t;">
                  <w:txbxContent>
                    <w:p w14:paraId="0BC966A1">
                      <w:pPr>
                        <w:rPr>
                          <w:b/>
                          <w:bCs/>
                          <w:color w:val="000000"/>
                          <w:kern w:val="24"/>
                          <w:sz w:val="56"/>
                          <w:szCs w:val="56"/>
                        </w:rPr>
                      </w:pPr>
                      <w:r>
                        <w:rPr>
                          <w:b/>
                          <w:bCs/>
                          <w:color w:val="000000"/>
                          <w:kern w:val="24"/>
                          <w:sz w:val="56"/>
                          <w:szCs w:val="56"/>
                        </w:rPr>
                        <w:t xml:space="preserve">    </w:t>
                      </w:r>
                    </w:p>
                  </w:txbxContent>
                </v:textbox>
              </v:shape>
            </w:pict>
          </mc:Fallback>
        </mc:AlternateContent>
      </w:r>
    </w:p>
    <w:sectPr>
      <w:type w:val="continuous"/>
      <w:pgSz w:w="11906" w:h="16838"/>
      <w:pgMar w:top="1440" w:right="1440" w:bottom="1440" w:left="1440" w:header="708" w:footer="708"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ordia New">
    <w:altName w:val="Microsoft Sans Serif"/>
    <w:panose1 w:val="020B0304020202020204"/>
    <w:charset w:val="DE"/>
    <w:family w:val="swiss"/>
    <w:pitch w:val="default"/>
    <w:sig w:usb0="00000000" w:usb1="00000000" w:usb2="00000000" w:usb3="00000000" w:csb0="00010001" w:csb1="00000000"/>
  </w:font>
  <w:font w:name="Cordia New">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YaHei Light">
    <w:panose1 w:val="020B0502040204020203"/>
    <w:charset w:val="86"/>
    <w:family w:val="swiss"/>
    <w:pitch w:val="default"/>
    <w:sig w:usb0="80000287" w:usb1="2ACF001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Microsoft YaHei">
    <w:panose1 w:val="020B0503020204020204"/>
    <w:charset w:val="86"/>
    <w:family w:val="auto"/>
    <w:pitch w:val="default"/>
    <w:sig w:usb0="80000287" w:usb1="2ACF3C50" w:usb2="00000016" w:usb3="00000000" w:csb0="0004001F" w:csb1="0000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8AEF5">
    <w:pPr>
      <w:pStyle w:val="27"/>
      <w:spacing w:line="240" w:lineRule="auto"/>
      <w:rPr>
        <w:i/>
        <w:iCs/>
      </w:rPr>
    </w:pPr>
  </w:p>
  <w:p w14:paraId="2C009F3E">
    <w:pPr>
      <w:pStyle w:val="27"/>
      <w:spacing w:line="240" w:lineRule="auto"/>
      <w:rPr>
        <w:i/>
        <w:i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B6848">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7E953">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DC7E">
    <w:pPr>
      <w:pStyle w:val="27"/>
      <w:spacing w:line="240" w:lineRule="auto"/>
      <w:rPr>
        <w:i/>
        <w:iCs/>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90866">
    <w:pPr>
      <w:pStyle w:val="27"/>
      <w:spacing w:line="240" w:lineRule="auto"/>
      <w:rPr>
        <w:i/>
        <w:iCs/>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AFBA">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66AA5">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DDC15">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EA3BF">
    <w:pPr>
      <w:pStyle w:val="9"/>
    </w:pPr>
    <w:r>
      <w:pict>
        <v:shape id="PowerPlusWaterMarkObject710912595" o:spid="_x0000_s2051" o:spt="136" type="#_x0000_t136" style="position:absolute;left:0pt;height:100.45pt;width:535.8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4AFF">
    <w:pPr>
      <w:pStyle w:val="9"/>
    </w:pPr>
    <w:r>
      <w:pict>
        <v:shape id="PowerPlusWaterMarkObject710912604" o:spid="_x0000_s2060" o:spt="136" type="#_x0000_t136" style="position:absolute;left:0pt;height:100.45pt;width:535.8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DD84D">
    <w:pPr>
      <w:pStyle w:val="9"/>
    </w:pPr>
    <w:r>
      <w:pict>
        <v:shape id="PowerPlusWaterMarkObject710912603" o:spid="_x0000_s2059" o:spt="136" type="#_x0000_t136" style="position:absolute;left:0pt;height:100.45pt;width:535.8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5419D">
    <w:pPr>
      <w:pStyle w:val="9"/>
    </w:pPr>
    <w:r>
      <w:pict>
        <v:shape id="PowerPlusWaterMarkObject710912602" o:spid="_x0000_s2058" o:spt="136" type="#_x0000_t136" style="position:absolute;left:0pt;height:100.45pt;width:535.8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44C8">
    <w:pPr>
      <w:pStyle w:val="9"/>
    </w:pPr>
    <w:r>
      <w:pict>
        <v:shape id="PowerPlusWaterMarkObject710912594" o:spid="_x0000_s2050"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E48DE">
    <w:pPr>
      <w:pStyle w:val="9"/>
    </w:pPr>
    <w:r>
      <w:pict>
        <v:shape id="PowerPlusWaterMarkObject710912593" o:spid="_x0000_s2049"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CED8A">
    <w:pPr>
      <w:pStyle w:val="9"/>
    </w:pPr>
    <w:r>
      <w:pict>
        <v:shape id="PowerPlusWaterMarkObject710912598" o:spid="_x0000_s2054" o:spt="136" type="#_x0000_t136" style="position:absolute;left:0pt;height:100.45pt;width:535.8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2CC82">
    <w:pPr>
      <w:pStyle w:val="9"/>
    </w:pPr>
    <w:r>
      <w:pict>
        <v:shape id="PowerPlusWaterMarkObject710912597" o:spid="_x0000_s2053" o:spt="136" type="#_x0000_t136" style="position:absolute;left:0pt;height:100.45pt;width:535.8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24D0E">
    <w:pPr>
      <w:pStyle w:val="9"/>
    </w:pPr>
    <w:r>
      <w:pict>
        <v:shape id="PowerPlusWaterMarkObject710912596" o:spid="_x0000_s2052" o:spt="136" type="#_x0000_t136" style="position:absolute;left:0pt;height:100.45pt;width:535.8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7DC98">
    <w:pPr>
      <w:pStyle w:val="9"/>
    </w:pPr>
    <w:r>
      <w:pict>
        <v:shape id="PowerPlusWaterMarkObject710912601" o:spid="_x0000_s2057" o:spt="136" type="#_x0000_t136" style="position:absolute;left:0pt;height:100.45pt;width:535.8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17607">
    <w:pPr>
      <w:pStyle w:val="9"/>
    </w:pPr>
    <w:r>
      <w:pict>
        <v:shape id="PowerPlusWaterMarkObject710912600" o:spid="_x0000_s2056" o:spt="136" type="#_x0000_t136" style="position:absolute;left:0pt;height:100.45pt;width:535.8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A9F9B">
    <w:pPr>
      <w:pStyle w:val="9"/>
    </w:pPr>
    <w:r>
      <w:pict>
        <v:shape id="PowerPlusWaterMarkObject710912599" o:spid="_x0000_s2055" o:spt="136" type="#_x0000_t136" style="position:absolute;left:0pt;height:100.45pt;width:535.8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A41EF"/>
    <w:multiLevelType w:val="multilevel"/>
    <w:tmpl w:val="030A41EF"/>
    <w:lvl w:ilvl="0" w:tentative="0">
      <w:start w:val="3"/>
      <w:numFmt w:val="decimal"/>
      <w:lvlText w:val="%1"/>
      <w:lvlJc w:val="left"/>
      <w:pPr>
        <w:ind w:left="720" w:hanging="360"/>
      </w:pPr>
      <w:rPr>
        <w:rFonts w:hint="default"/>
      </w:rPr>
    </w:lvl>
    <w:lvl w:ilvl="1" w:tentative="0">
      <w:start w:val="1"/>
      <w:numFmt w:val="decimal"/>
      <w:isLgl/>
      <w:lvlText w:val="%1.%2"/>
      <w:lvlJc w:val="left"/>
      <w:pPr>
        <w:ind w:left="1080" w:hanging="36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520" w:hanging="72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600" w:hanging="108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4680" w:hanging="1440"/>
      </w:pPr>
      <w:rPr>
        <w:rFonts w:hint="default"/>
      </w:rPr>
    </w:lvl>
  </w:abstractNum>
  <w:abstractNum w:abstractNumId="1">
    <w:nsid w:val="05996FFA"/>
    <w:multiLevelType w:val="multilevel"/>
    <w:tmpl w:val="05996FFA"/>
    <w:lvl w:ilvl="0" w:tentative="0">
      <w:start w:val="1"/>
      <w:numFmt w:val="decimal"/>
      <w:lvlText w:val="%1"/>
      <w:lvlJc w:val="left"/>
      <w:pPr>
        <w:ind w:left="792" w:hanging="432"/>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1200F78"/>
    <w:multiLevelType w:val="multilevel"/>
    <w:tmpl w:val="51200F78"/>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23"/>
    <w:rsid w:val="00005525"/>
    <w:rsid w:val="0001076B"/>
    <w:rsid w:val="0001254D"/>
    <w:rsid w:val="000271F4"/>
    <w:rsid w:val="00031D00"/>
    <w:rsid w:val="00037048"/>
    <w:rsid w:val="00042903"/>
    <w:rsid w:val="00052017"/>
    <w:rsid w:val="00056363"/>
    <w:rsid w:val="0006401D"/>
    <w:rsid w:val="00065A7E"/>
    <w:rsid w:val="00066466"/>
    <w:rsid w:val="000775F6"/>
    <w:rsid w:val="000830B0"/>
    <w:rsid w:val="000A680A"/>
    <w:rsid w:val="000B7A2A"/>
    <w:rsid w:val="000E345D"/>
    <w:rsid w:val="000E70B6"/>
    <w:rsid w:val="00110AC8"/>
    <w:rsid w:val="00112C44"/>
    <w:rsid w:val="00120FFB"/>
    <w:rsid w:val="00121044"/>
    <w:rsid w:val="00134975"/>
    <w:rsid w:val="00137B5E"/>
    <w:rsid w:val="00162F39"/>
    <w:rsid w:val="00167418"/>
    <w:rsid w:val="00180DC6"/>
    <w:rsid w:val="00184258"/>
    <w:rsid w:val="00193B5F"/>
    <w:rsid w:val="001C5341"/>
    <w:rsid w:val="001C5B45"/>
    <w:rsid w:val="001C7076"/>
    <w:rsid w:val="001D2DA7"/>
    <w:rsid w:val="001E2239"/>
    <w:rsid w:val="00202CDE"/>
    <w:rsid w:val="002030FB"/>
    <w:rsid w:val="00203D85"/>
    <w:rsid w:val="00206282"/>
    <w:rsid w:val="0021385A"/>
    <w:rsid w:val="002323CF"/>
    <w:rsid w:val="00246EDD"/>
    <w:rsid w:val="00253127"/>
    <w:rsid w:val="00261BFB"/>
    <w:rsid w:val="002629FB"/>
    <w:rsid w:val="002737F1"/>
    <w:rsid w:val="0028238F"/>
    <w:rsid w:val="00283955"/>
    <w:rsid w:val="00287888"/>
    <w:rsid w:val="00297BEE"/>
    <w:rsid w:val="002B616E"/>
    <w:rsid w:val="002B7CBE"/>
    <w:rsid w:val="002C1803"/>
    <w:rsid w:val="002C5418"/>
    <w:rsid w:val="002D1D7C"/>
    <w:rsid w:val="002D2F36"/>
    <w:rsid w:val="002D30F2"/>
    <w:rsid w:val="002E0732"/>
    <w:rsid w:val="002E29EB"/>
    <w:rsid w:val="002F4244"/>
    <w:rsid w:val="00301D8F"/>
    <w:rsid w:val="00325EF5"/>
    <w:rsid w:val="00340937"/>
    <w:rsid w:val="00351E66"/>
    <w:rsid w:val="00355005"/>
    <w:rsid w:val="0037626D"/>
    <w:rsid w:val="003825E8"/>
    <w:rsid w:val="003904C2"/>
    <w:rsid w:val="003A11E9"/>
    <w:rsid w:val="003A7C70"/>
    <w:rsid w:val="003B4769"/>
    <w:rsid w:val="003B4EB6"/>
    <w:rsid w:val="003F0AB2"/>
    <w:rsid w:val="003F19F2"/>
    <w:rsid w:val="003F5BE7"/>
    <w:rsid w:val="00405B2A"/>
    <w:rsid w:val="004100EC"/>
    <w:rsid w:val="00414C7B"/>
    <w:rsid w:val="004205C0"/>
    <w:rsid w:val="00433582"/>
    <w:rsid w:val="004338C9"/>
    <w:rsid w:val="0043391B"/>
    <w:rsid w:val="00436B6B"/>
    <w:rsid w:val="00442C36"/>
    <w:rsid w:val="00444BA7"/>
    <w:rsid w:val="004558FA"/>
    <w:rsid w:val="00455CE7"/>
    <w:rsid w:val="0047084D"/>
    <w:rsid w:val="00475DF4"/>
    <w:rsid w:val="004B1D0E"/>
    <w:rsid w:val="004B3877"/>
    <w:rsid w:val="004C02E1"/>
    <w:rsid w:val="004E78D5"/>
    <w:rsid w:val="004F1A9D"/>
    <w:rsid w:val="004F21EC"/>
    <w:rsid w:val="00502A99"/>
    <w:rsid w:val="00526ECE"/>
    <w:rsid w:val="00531080"/>
    <w:rsid w:val="00533C1A"/>
    <w:rsid w:val="00567AD1"/>
    <w:rsid w:val="005816A4"/>
    <w:rsid w:val="00581D31"/>
    <w:rsid w:val="005A3259"/>
    <w:rsid w:val="005A4CCC"/>
    <w:rsid w:val="005C5EB0"/>
    <w:rsid w:val="005F2A06"/>
    <w:rsid w:val="00636A70"/>
    <w:rsid w:val="0064296C"/>
    <w:rsid w:val="00643F27"/>
    <w:rsid w:val="00646724"/>
    <w:rsid w:val="006513B3"/>
    <w:rsid w:val="00652C7E"/>
    <w:rsid w:val="006550B2"/>
    <w:rsid w:val="00671679"/>
    <w:rsid w:val="00674F6C"/>
    <w:rsid w:val="00682B98"/>
    <w:rsid w:val="006862A6"/>
    <w:rsid w:val="00691171"/>
    <w:rsid w:val="00691F91"/>
    <w:rsid w:val="0069796C"/>
    <w:rsid w:val="006A1607"/>
    <w:rsid w:val="006A49A6"/>
    <w:rsid w:val="006A4C8B"/>
    <w:rsid w:val="006A513D"/>
    <w:rsid w:val="006B2552"/>
    <w:rsid w:val="006B4358"/>
    <w:rsid w:val="006C38C1"/>
    <w:rsid w:val="006D6FA8"/>
    <w:rsid w:val="006E1BB2"/>
    <w:rsid w:val="006E2F9D"/>
    <w:rsid w:val="006F3BB4"/>
    <w:rsid w:val="007055A9"/>
    <w:rsid w:val="00706BC3"/>
    <w:rsid w:val="00711D8B"/>
    <w:rsid w:val="007165DB"/>
    <w:rsid w:val="00720FC3"/>
    <w:rsid w:val="00724B5B"/>
    <w:rsid w:val="007306E7"/>
    <w:rsid w:val="00734852"/>
    <w:rsid w:val="00755317"/>
    <w:rsid w:val="00760021"/>
    <w:rsid w:val="00767C13"/>
    <w:rsid w:val="00772CEA"/>
    <w:rsid w:val="00781D85"/>
    <w:rsid w:val="0078205E"/>
    <w:rsid w:val="00792375"/>
    <w:rsid w:val="00792BA4"/>
    <w:rsid w:val="00792F02"/>
    <w:rsid w:val="007962DA"/>
    <w:rsid w:val="007A2688"/>
    <w:rsid w:val="007A2A45"/>
    <w:rsid w:val="007A668E"/>
    <w:rsid w:val="007B37F3"/>
    <w:rsid w:val="007B7B83"/>
    <w:rsid w:val="007C00D1"/>
    <w:rsid w:val="007C1466"/>
    <w:rsid w:val="007C57A6"/>
    <w:rsid w:val="007D6430"/>
    <w:rsid w:val="007E7F03"/>
    <w:rsid w:val="007F1310"/>
    <w:rsid w:val="00814338"/>
    <w:rsid w:val="008243D5"/>
    <w:rsid w:val="00845DFE"/>
    <w:rsid w:val="00851D61"/>
    <w:rsid w:val="00853F18"/>
    <w:rsid w:val="00865845"/>
    <w:rsid w:val="0088343C"/>
    <w:rsid w:val="008C18AB"/>
    <w:rsid w:val="008C24BD"/>
    <w:rsid w:val="008C25CE"/>
    <w:rsid w:val="008D4BA2"/>
    <w:rsid w:val="008E03D3"/>
    <w:rsid w:val="008E0925"/>
    <w:rsid w:val="008E1656"/>
    <w:rsid w:val="008F6934"/>
    <w:rsid w:val="008F6F74"/>
    <w:rsid w:val="00904BA9"/>
    <w:rsid w:val="00905515"/>
    <w:rsid w:val="009071EA"/>
    <w:rsid w:val="009418BC"/>
    <w:rsid w:val="009616D8"/>
    <w:rsid w:val="009622DC"/>
    <w:rsid w:val="009817C6"/>
    <w:rsid w:val="009830CB"/>
    <w:rsid w:val="00987BE1"/>
    <w:rsid w:val="009A0873"/>
    <w:rsid w:val="009A6747"/>
    <w:rsid w:val="009B21F6"/>
    <w:rsid w:val="009B3C96"/>
    <w:rsid w:val="009C372C"/>
    <w:rsid w:val="009D3A9E"/>
    <w:rsid w:val="009D3B78"/>
    <w:rsid w:val="009D6577"/>
    <w:rsid w:val="009E1F2E"/>
    <w:rsid w:val="009E2C7A"/>
    <w:rsid w:val="00A34565"/>
    <w:rsid w:val="00A350D6"/>
    <w:rsid w:val="00A45023"/>
    <w:rsid w:val="00A47F94"/>
    <w:rsid w:val="00A5069F"/>
    <w:rsid w:val="00A526E7"/>
    <w:rsid w:val="00A53A04"/>
    <w:rsid w:val="00A575FD"/>
    <w:rsid w:val="00A63A17"/>
    <w:rsid w:val="00A8162E"/>
    <w:rsid w:val="00A84C46"/>
    <w:rsid w:val="00A9551D"/>
    <w:rsid w:val="00AA3A4A"/>
    <w:rsid w:val="00AC0C53"/>
    <w:rsid w:val="00AC61C2"/>
    <w:rsid w:val="00AC6A66"/>
    <w:rsid w:val="00AD0B7C"/>
    <w:rsid w:val="00AD6B4F"/>
    <w:rsid w:val="00AD7600"/>
    <w:rsid w:val="00B04A8B"/>
    <w:rsid w:val="00B07C4F"/>
    <w:rsid w:val="00B1308F"/>
    <w:rsid w:val="00B13BF9"/>
    <w:rsid w:val="00B176E5"/>
    <w:rsid w:val="00B245BB"/>
    <w:rsid w:val="00B24D81"/>
    <w:rsid w:val="00B36A32"/>
    <w:rsid w:val="00B37530"/>
    <w:rsid w:val="00B43469"/>
    <w:rsid w:val="00B52E4B"/>
    <w:rsid w:val="00B555F1"/>
    <w:rsid w:val="00B566FE"/>
    <w:rsid w:val="00B56946"/>
    <w:rsid w:val="00B70DEC"/>
    <w:rsid w:val="00B70E21"/>
    <w:rsid w:val="00B7337E"/>
    <w:rsid w:val="00B738B0"/>
    <w:rsid w:val="00B758E8"/>
    <w:rsid w:val="00B864EC"/>
    <w:rsid w:val="00B86556"/>
    <w:rsid w:val="00B97DC7"/>
    <w:rsid w:val="00BA3554"/>
    <w:rsid w:val="00BA3A67"/>
    <w:rsid w:val="00BA48F3"/>
    <w:rsid w:val="00BA7BAB"/>
    <w:rsid w:val="00BC05AA"/>
    <w:rsid w:val="00BC2774"/>
    <w:rsid w:val="00BC2DE9"/>
    <w:rsid w:val="00BC71DE"/>
    <w:rsid w:val="00BE090C"/>
    <w:rsid w:val="00BF0894"/>
    <w:rsid w:val="00C0091F"/>
    <w:rsid w:val="00C026B2"/>
    <w:rsid w:val="00C25403"/>
    <w:rsid w:val="00C260E7"/>
    <w:rsid w:val="00C402F5"/>
    <w:rsid w:val="00C40598"/>
    <w:rsid w:val="00C4792A"/>
    <w:rsid w:val="00C64260"/>
    <w:rsid w:val="00C64DD2"/>
    <w:rsid w:val="00C71BEA"/>
    <w:rsid w:val="00C778D6"/>
    <w:rsid w:val="00C85AE3"/>
    <w:rsid w:val="00C85B5F"/>
    <w:rsid w:val="00C90BA1"/>
    <w:rsid w:val="00C913B0"/>
    <w:rsid w:val="00C93A08"/>
    <w:rsid w:val="00C96C7F"/>
    <w:rsid w:val="00C97AC6"/>
    <w:rsid w:val="00CA0EAC"/>
    <w:rsid w:val="00CB5A45"/>
    <w:rsid w:val="00CD5EEB"/>
    <w:rsid w:val="00CE3A24"/>
    <w:rsid w:val="00CF76B7"/>
    <w:rsid w:val="00D03B2F"/>
    <w:rsid w:val="00D347D0"/>
    <w:rsid w:val="00D35985"/>
    <w:rsid w:val="00D47C90"/>
    <w:rsid w:val="00D72ABC"/>
    <w:rsid w:val="00DB1AD7"/>
    <w:rsid w:val="00DC418F"/>
    <w:rsid w:val="00DD1E87"/>
    <w:rsid w:val="00DD3F9C"/>
    <w:rsid w:val="00DD4C74"/>
    <w:rsid w:val="00DE27BE"/>
    <w:rsid w:val="00E16AF2"/>
    <w:rsid w:val="00E27F1F"/>
    <w:rsid w:val="00E37610"/>
    <w:rsid w:val="00E47EE9"/>
    <w:rsid w:val="00E726A0"/>
    <w:rsid w:val="00E9465F"/>
    <w:rsid w:val="00E95870"/>
    <w:rsid w:val="00E96837"/>
    <w:rsid w:val="00EA075A"/>
    <w:rsid w:val="00EA0CF7"/>
    <w:rsid w:val="00EA636A"/>
    <w:rsid w:val="00EB7F80"/>
    <w:rsid w:val="00EC0D4A"/>
    <w:rsid w:val="00ED2AA2"/>
    <w:rsid w:val="00EF75A2"/>
    <w:rsid w:val="00F319BF"/>
    <w:rsid w:val="00F32023"/>
    <w:rsid w:val="00F41848"/>
    <w:rsid w:val="00F81247"/>
    <w:rsid w:val="00F86323"/>
    <w:rsid w:val="00FA73C1"/>
    <w:rsid w:val="00FB1B85"/>
    <w:rsid w:val="00FB37DC"/>
    <w:rsid w:val="00FC1EFB"/>
    <w:rsid w:val="00FD1FF5"/>
    <w:rsid w:val="00FE3273"/>
    <w:rsid w:val="00FF4DEA"/>
    <w:rsid w:val="00FF76D0"/>
    <w:rsid w:val="0D292513"/>
    <w:rsid w:val="1F0F49C4"/>
    <w:rsid w:val="2BE47349"/>
    <w:rsid w:val="342B571A"/>
    <w:rsid w:val="5B2E301D"/>
    <w:rsid w:val="607E2838"/>
    <w:rsid w:val="6DCF434B"/>
    <w:rsid w:val="79E1572D"/>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8"/>
      <w:lang w:val="en-IN" w:eastAsia="en-US" w:bidi="th-TH"/>
      <w14:ligatures w14:val="standardContextual"/>
    </w:rPr>
  </w:style>
  <w:style w:type="paragraph" w:styleId="2">
    <w:name w:val="heading 2"/>
    <w:basedOn w:val="1"/>
    <w:next w:val="1"/>
    <w:link w:val="46"/>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33"/>
    </w:rPr>
  </w:style>
  <w:style w:type="paragraph" w:styleId="3">
    <w:name w:val="heading 3"/>
    <w:basedOn w:val="1"/>
    <w:link w:val="43"/>
    <w:unhideWhenUsed/>
    <w:qFormat/>
    <w:uiPriority w:val="0"/>
    <w:pPr>
      <w:widowControl w:val="0"/>
      <w:autoSpaceDE w:val="0"/>
      <w:autoSpaceDN w:val="0"/>
      <w:spacing w:after="0" w:line="240" w:lineRule="auto"/>
      <w:outlineLvl w:val="2"/>
    </w:pPr>
    <w:rPr>
      <w:rFonts w:ascii="Times New Roman" w:hAnsi="Times New Roman" w:eastAsia="Times New Roman" w:cs="Times New Roman"/>
      <w:b/>
      <w:bCs/>
      <w:kern w:val="0"/>
      <w:sz w:val="24"/>
      <w:szCs w:val="24"/>
      <w:lang w:val="en-US" w:bidi="ar-SA"/>
      <w14:ligatures w14:val="none"/>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37"/>
    <w:qFormat/>
    <w:uiPriority w:val="0"/>
    <w:pPr>
      <w:widowControl w:val="0"/>
      <w:autoSpaceDE w:val="0"/>
      <w:autoSpaceDN w:val="0"/>
      <w:spacing w:after="0" w:line="240" w:lineRule="auto"/>
    </w:pPr>
    <w:rPr>
      <w:rFonts w:ascii="Times New Roman" w:hAnsi="Times New Roman" w:eastAsia="Times New Roman" w:cs="Times New Roman"/>
      <w:kern w:val="0"/>
      <w:sz w:val="24"/>
      <w:szCs w:val="24"/>
      <w:lang w:val="en-US" w:bidi="ar-SA"/>
      <w14:ligatures w14:val="none"/>
    </w:rPr>
  </w:style>
  <w:style w:type="character" w:styleId="7">
    <w:name w:val="Emphasis"/>
    <w:qFormat/>
    <w:uiPriority w:val="20"/>
    <w:rPr>
      <w:i/>
      <w:iCs/>
    </w:rPr>
  </w:style>
  <w:style w:type="paragraph" w:styleId="8">
    <w:name w:val="footer"/>
    <w:basedOn w:val="1"/>
    <w:link w:val="26"/>
    <w:unhideWhenUsed/>
    <w:qFormat/>
    <w:uiPriority w:val="99"/>
    <w:pPr>
      <w:tabs>
        <w:tab w:val="center" w:pos="4513"/>
        <w:tab w:val="right" w:pos="9026"/>
      </w:tabs>
      <w:spacing w:after="0" w:line="240" w:lineRule="auto"/>
    </w:pPr>
  </w:style>
  <w:style w:type="paragraph" w:styleId="9">
    <w:name w:val="header"/>
    <w:basedOn w:val="1"/>
    <w:link w:val="25"/>
    <w:unhideWhenUsed/>
    <w:qFormat/>
    <w:uiPriority w:val="99"/>
    <w:pPr>
      <w:tabs>
        <w:tab w:val="center" w:pos="4513"/>
        <w:tab w:val="right" w:pos="9026"/>
      </w:tabs>
      <w:spacing w:after="0" w:line="240" w:lineRule="auto"/>
    </w:pPr>
  </w:style>
  <w:style w:type="character" w:styleId="10">
    <w:name w:val="Hyperlink"/>
    <w:basedOn w:val="4"/>
    <w:unhideWhenUsed/>
    <w:qFormat/>
    <w:uiPriority w:val="99"/>
    <w:rPr>
      <w:color w:val="0563C1" w:themeColor="hyperlink"/>
      <w:u w:val="single"/>
      <w14:textFill>
        <w14:solidFill>
          <w14:schemeClr w14:val="hlink"/>
        </w14:solidFill>
      </w14:textFill>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en-IN" w:bidi="ar-SA"/>
      <w14:ligatures w14:val="none"/>
    </w:rPr>
  </w:style>
  <w:style w:type="table" w:styleId="12">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Paper.Tiltle"/>
    <w:basedOn w:val="1"/>
    <w:link w:val="14"/>
    <w:qFormat/>
    <w:uiPriority w:val="0"/>
    <w:pPr>
      <w:spacing w:after="360"/>
    </w:pPr>
    <w:rPr>
      <w:rFonts w:ascii="Times New Roman" w:hAnsi="Times New Roman"/>
      <w:b/>
      <w:sz w:val="32"/>
    </w:rPr>
  </w:style>
  <w:style w:type="character" w:customStyle="1" w:styleId="14">
    <w:name w:val="Paper.Tiltle Char"/>
    <w:basedOn w:val="4"/>
    <w:link w:val="13"/>
    <w:qFormat/>
    <w:uiPriority w:val="0"/>
    <w:rPr>
      <w:rFonts w:ascii="Times New Roman" w:hAnsi="Times New Roman"/>
      <w:b/>
      <w:sz w:val="32"/>
    </w:rPr>
  </w:style>
  <w:style w:type="paragraph" w:styleId="15">
    <w:name w:val="List Paragraph"/>
    <w:basedOn w:val="1"/>
    <w:link w:val="17"/>
    <w:qFormat/>
    <w:uiPriority w:val="34"/>
    <w:pPr>
      <w:ind w:left="720"/>
      <w:contextualSpacing/>
    </w:pPr>
  </w:style>
  <w:style w:type="paragraph" w:customStyle="1" w:styleId="16">
    <w:name w:val="Author"/>
    <w:basedOn w:val="15"/>
    <w:link w:val="18"/>
    <w:qFormat/>
    <w:uiPriority w:val="0"/>
    <w:pPr>
      <w:spacing w:after="180"/>
      <w:ind w:left="0"/>
    </w:pPr>
    <w:rPr>
      <w:rFonts w:ascii="Times New Roman" w:hAnsi="Times New Roman"/>
      <w:i/>
      <w:sz w:val="24"/>
    </w:rPr>
  </w:style>
  <w:style w:type="character" w:customStyle="1" w:styleId="17">
    <w:name w:val="List Paragraph Char"/>
    <w:basedOn w:val="4"/>
    <w:link w:val="15"/>
    <w:qFormat/>
    <w:uiPriority w:val="1"/>
  </w:style>
  <w:style w:type="character" w:customStyle="1" w:styleId="18">
    <w:name w:val="Author Char"/>
    <w:basedOn w:val="17"/>
    <w:link w:val="16"/>
    <w:qFormat/>
    <w:uiPriority w:val="0"/>
    <w:rPr>
      <w:rFonts w:ascii="Times New Roman" w:hAnsi="Times New Roman"/>
      <w:i/>
      <w:sz w:val="24"/>
    </w:rPr>
  </w:style>
  <w:style w:type="paragraph" w:customStyle="1" w:styleId="19">
    <w:name w:val="Style1 AFFILATION"/>
    <w:basedOn w:val="16"/>
    <w:link w:val="20"/>
    <w:qFormat/>
    <w:uiPriority w:val="0"/>
    <w:pPr>
      <w:spacing w:after="0"/>
    </w:pPr>
    <w:rPr>
      <w:sz w:val="16"/>
      <w:vertAlign w:val="superscript"/>
    </w:rPr>
  </w:style>
  <w:style w:type="character" w:customStyle="1" w:styleId="20">
    <w:name w:val="Style1 AFFILATION Char"/>
    <w:basedOn w:val="18"/>
    <w:link w:val="19"/>
    <w:qFormat/>
    <w:uiPriority w:val="0"/>
    <w:rPr>
      <w:rFonts w:ascii="Times New Roman" w:hAnsi="Times New Roman"/>
      <w:sz w:val="16"/>
      <w:vertAlign w:val="superscript"/>
    </w:rPr>
  </w:style>
  <w:style w:type="paragraph" w:customStyle="1" w:styleId="21">
    <w:name w:val="ABSTRACT"/>
    <w:basedOn w:val="16"/>
    <w:link w:val="22"/>
    <w:qFormat/>
    <w:uiPriority w:val="0"/>
    <w:pPr>
      <w:spacing w:after="240" w:line="240" w:lineRule="auto"/>
    </w:pPr>
    <w:rPr>
      <w:i w:val="0"/>
      <w:spacing w:val="40"/>
      <w:sz w:val="18"/>
      <w:vertAlign w:val="superscript"/>
    </w:rPr>
  </w:style>
  <w:style w:type="character" w:customStyle="1" w:styleId="22">
    <w:name w:val="ABSTRACT Char"/>
    <w:basedOn w:val="18"/>
    <w:link w:val="21"/>
    <w:qFormat/>
    <w:uiPriority w:val="0"/>
    <w:rPr>
      <w:rFonts w:ascii="Times New Roman" w:hAnsi="Times New Roman"/>
      <w:i w:val="0"/>
      <w:spacing w:val="40"/>
      <w:sz w:val="18"/>
      <w:vertAlign w:val="superscript"/>
    </w:rPr>
  </w:style>
  <w:style w:type="paragraph" w:customStyle="1" w:styleId="23">
    <w:name w:val="Style1 abstract body"/>
    <w:basedOn w:val="21"/>
    <w:link w:val="24"/>
    <w:qFormat/>
    <w:uiPriority w:val="0"/>
    <w:pPr>
      <w:spacing w:line="220" w:lineRule="exact"/>
      <w:jc w:val="both"/>
    </w:pPr>
    <w:rPr>
      <w:sz w:val="15"/>
    </w:rPr>
  </w:style>
  <w:style w:type="character" w:customStyle="1" w:styleId="24">
    <w:name w:val="Style1 abstract body Char"/>
    <w:basedOn w:val="22"/>
    <w:link w:val="23"/>
    <w:qFormat/>
    <w:uiPriority w:val="0"/>
    <w:rPr>
      <w:rFonts w:ascii="Times New Roman" w:hAnsi="Times New Roman"/>
      <w:spacing w:val="40"/>
      <w:sz w:val="15"/>
      <w:vertAlign w:val="superscript"/>
    </w:rPr>
  </w:style>
  <w:style w:type="character" w:customStyle="1" w:styleId="25">
    <w:name w:val="Header Char"/>
    <w:basedOn w:val="4"/>
    <w:link w:val="9"/>
    <w:qFormat/>
    <w:uiPriority w:val="99"/>
  </w:style>
  <w:style w:type="character" w:customStyle="1" w:styleId="26">
    <w:name w:val="Footer Char"/>
    <w:basedOn w:val="4"/>
    <w:link w:val="8"/>
    <w:qFormat/>
    <w:uiPriority w:val="99"/>
  </w:style>
  <w:style w:type="paragraph" w:customStyle="1" w:styleId="27">
    <w:name w:val="footer 1"/>
    <w:basedOn w:val="1"/>
    <w:link w:val="28"/>
    <w:qFormat/>
    <w:uiPriority w:val="0"/>
    <w:rPr>
      <w:rFonts w:ascii="Times New Roman" w:hAnsi="Times New Roman"/>
      <w:sz w:val="15"/>
    </w:rPr>
  </w:style>
  <w:style w:type="character" w:customStyle="1" w:styleId="28">
    <w:name w:val="footer 1 Char"/>
    <w:basedOn w:val="4"/>
    <w:link w:val="27"/>
    <w:qFormat/>
    <w:uiPriority w:val="0"/>
    <w:rPr>
      <w:rFonts w:ascii="Times New Roman" w:hAnsi="Times New Roman"/>
      <w:sz w:val="15"/>
    </w:rPr>
  </w:style>
  <w:style w:type="paragraph" w:customStyle="1" w:styleId="29">
    <w:name w:val="Style1 introduction"/>
    <w:basedOn w:val="1"/>
    <w:link w:val="30"/>
    <w:qFormat/>
    <w:uiPriority w:val="0"/>
    <w:pPr>
      <w:spacing w:before="240" w:after="240"/>
    </w:pPr>
    <w:rPr>
      <w:rFonts w:ascii="Times New Roman" w:hAnsi="Times New Roman"/>
      <w:b/>
      <w:sz w:val="19"/>
    </w:rPr>
  </w:style>
  <w:style w:type="character" w:customStyle="1" w:styleId="30">
    <w:name w:val="Style1 introduction Char"/>
    <w:basedOn w:val="4"/>
    <w:link w:val="29"/>
    <w:qFormat/>
    <w:uiPriority w:val="0"/>
    <w:rPr>
      <w:rFonts w:ascii="Times New Roman" w:hAnsi="Times New Roman"/>
      <w:b/>
      <w:sz w:val="19"/>
    </w:rPr>
  </w:style>
  <w:style w:type="paragraph" w:customStyle="1" w:styleId="31">
    <w:name w:val="Style1 paper body"/>
    <w:basedOn w:val="29"/>
    <w:link w:val="32"/>
    <w:qFormat/>
    <w:uiPriority w:val="0"/>
    <w:pPr>
      <w:pBdr>
        <w:top w:val="single" w:color="auto" w:sz="18" w:space="1"/>
      </w:pBdr>
      <w:spacing w:line="220" w:lineRule="exact"/>
      <w:ind w:left="357"/>
      <w:jc w:val="both"/>
    </w:pPr>
    <w:rPr>
      <w:b w:val="0"/>
      <w:color w:val="000000" w:themeColor="text1"/>
      <w:sz w:val="16"/>
      <w14:textFill>
        <w14:solidFill>
          <w14:schemeClr w14:val="tx1"/>
        </w14:solidFill>
      </w14:textFill>
    </w:rPr>
  </w:style>
  <w:style w:type="character" w:customStyle="1" w:styleId="32">
    <w:name w:val="Style1 paper body Char"/>
    <w:basedOn w:val="30"/>
    <w:link w:val="31"/>
    <w:qFormat/>
    <w:uiPriority w:val="0"/>
    <w:rPr>
      <w:rFonts w:ascii="Times New Roman" w:hAnsi="Times New Roman"/>
      <w:b w:val="0"/>
      <w:color w:val="000000" w:themeColor="text1"/>
      <w:sz w:val="16"/>
      <w14:textFill>
        <w14:solidFill>
          <w14:schemeClr w14:val="tx1"/>
        </w14:solidFill>
      </w14:textFill>
    </w:rPr>
  </w:style>
  <w:style w:type="paragraph" w:customStyle="1" w:styleId="33">
    <w:name w:val="Style1 paper body jmb"/>
    <w:basedOn w:val="29"/>
    <w:link w:val="34"/>
    <w:qFormat/>
    <w:uiPriority w:val="0"/>
    <w:pPr>
      <w:pBdr>
        <w:top w:val="single" w:color="auto" w:sz="18" w:space="1"/>
      </w:pBdr>
      <w:ind w:left="360"/>
    </w:pPr>
  </w:style>
  <w:style w:type="character" w:customStyle="1" w:styleId="34">
    <w:name w:val="Style1 paper body jmb Char"/>
    <w:basedOn w:val="30"/>
    <w:link w:val="33"/>
    <w:qFormat/>
    <w:uiPriority w:val="0"/>
    <w:rPr>
      <w:rFonts w:ascii="Times New Roman" w:hAnsi="Times New Roman"/>
      <w:sz w:val="19"/>
    </w:rPr>
  </w:style>
  <w:style w:type="paragraph" w:customStyle="1" w:styleId="35">
    <w:name w:val="Pb"/>
    <w:basedOn w:val="29"/>
    <w:link w:val="36"/>
    <w:qFormat/>
    <w:uiPriority w:val="0"/>
    <w:pPr>
      <w:spacing w:before="0" w:after="160" w:line="220" w:lineRule="exact"/>
      <w:jc w:val="both"/>
    </w:pPr>
    <w:rPr>
      <w:b w:val="0"/>
      <w:color w:val="000000" w:themeColor="text1"/>
      <w:sz w:val="16"/>
      <w14:textFill>
        <w14:solidFill>
          <w14:schemeClr w14:val="tx1"/>
        </w14:solidFill>
      </w14:textFill>
    </w:rPr>
  </w:style>
  <w:style w:type="character" w:customStyle="1" w:styleId="36">
    <w:name w:val="Pb Char"/>
    <w:basedOn w:val="30"/>
    <w:link w:val="35"/>
    <w:qFormat/>
    <w:uiPriority w:val="0"/>
    <w:rPr>
      <w:rFonts w:ascii="Times New Roman" w:hAnsi="Times New Roman"/>
      <w:b w:val="0"/>
      <w:color w:val="000000" w:themeColor="text1"/>
      <w:sz w:val="16"/>
      <w14:textFill>
        <w14:solidFill>
          <w14:schemeClr w14:val="tx1"/>
        </w14:solidFill>
      </w14:textFill>
    </w:rPr>
  </w:style>
  <w:style w:type="character" w:customStyle="1" w:styleId="37">
    <w:name w:val="Body Text Char"/>
    <w:basedOn w:val="4"/>
    <w:link w:val="6"/>
    <w:qFormat/>
    <w:uiPriority w:val="0"/>
    <w:rPr>
      <w:rFonts w:ascii="Times New Roman" w:hAnsi="Times New Roman" w:eastAsia="Times New Roman" w:cs="Times New Roman"/>
      <w:kern w:val="0"/>
      <w:sz w:val="24"/>
      <w:szCs w:val="24"/>
      <w:lang w:val="en-US" w:bidi="ar-SA"/>
      <w14:ligatures w14:val="none"/>
    </w:rPr>
  </w:style>
  <w:style w:type="paragraph" w:customStyle="1" w:styleId="38">
    <w:name w:val="Style1 references"/>
    <w:basedOn w:val="1"/>
    <w:link w:val="39"/>
    <w:qFormat/>
    <w:uiPriority w:val="0"/>
    <w:pPr>
      <w:tabs>
        <w:tab w:val="left" w:pos="142"/>
      </w:tabs>
      <w:autoSpaceDE w:val="0"/>
      <w:autoSpaceDN w:val="0"/>
      <w:spacing w:after="0" w:line="220" w:lineRule="exact"/>
      <w:jc w:val="both"/>
    </w:pPr>
    <w:rPr>
      <w:rFonts w:ascii="Times New Roman" w:hAnsi="Times New Roman"/>
      <w:sz w:val="16"/>
    </w:rPr>
  </w:style>
  <w:style w:type="character" w:customStyle="1" w:styleId="39">
    <w:name w:val="Style1 references Char"/>
    <w:basedOn w:val="4"/>
    <w:link w:val="38"/>
    <w:qFormat/>
    <w:uiPriority w:val="0"/>
    <w:rPr>
      <w:rFonts w:ascii="Times New Roman" w:hAnsi="Times New Roman"/>
      <w:sz w:val="16"/>
    </w:rPr>
  </w:style>
  <w:style w:type="paragraph" w:customStyle="1" w:styleId="40">
    <w:name w:val="Style1 referennces"/>
    <w:basedOn w:val="1"/>
    <w:link w:val="41"/>
    <w:qFormat/>
    <w:uiPriority w:val="0"/>
    <w:pPr>
      <w:tabs>
        <w:tab w:val="left" w:pos="709"/>
      </w:tabs>
      <w:spacing w:before="120" w:after="120" w:line="480" w:lineRule="auto"/>
      <w:ind w:left="709" w:hanging="709"/>
      <w:jc w:val="both"/>
    </w:pPr>
    <w:rPr>
      <w:rFonts w:ascii="Times New Roman" w:hAnsi="Times New Roman" w:cs="Times New Roman"/>
      <w:bCs/>
      <w:color w:val="000000"/>
      <w:sz w:val="24"/>
      <w:szCs w:val="24"/>
    </w:rPr>
  </w:style>
  <w:style w:type="character" w:customStyle="1" w:styleId="41">
    <w:name w:val="Style1 referennces Char"/>
    <w:basedOn w:val="4"/>
    <w:link w:val="40"/>
    <w:qFormat/>
    <w:uiPriority w:val="0"/>
    <w:rPr>
      <w:rFonts w:ascii="Times New Roman" w:hAnsi="Times New Roman" w:cs="Times New Roman"/>
      <w:bCs/>
      <w:color w:val="000000"/>
      <w:sz w:val="24"/>
      <w:szCs w:val="24"/>
    </w:rPr>
  </w:style>
  <w:style w:type="character" w:customStyle="1" w:styleId="42">
    <w:name w:val="katex-mathml"/>
    <w:basedOn w:val="4"/>
    <w:qFormat/>
    <w:uiPriority w:val="0"/>
  </w:style>
  <w:style w:type="character" w:customStyle="1" w:styleId="43">
    <w:name w:val="Heading 3 Char"/>
    <w:basedOn w:val="4"/>
    <w:link w:val="3"/>
    <w:qFormat/>
    <w:uiPriority w:val="0"/>
    <w:rPr>
      <w:rFonts w:ascii="Times New Roman" w:hAnsi="Times New Roman" w:eastAsia="Times New Roman" w:cs="Times New Roman"/>
      <w:b/>
      <w:bCs/>
      <w:kern w:val="0"/>
      <w:sz w:val="24"/>
      <w:szCs w:val="24"/>
      <w:lang w:val="en-US" w:bidi="ar-SA"/>
      <w14:ligatures w14:val="none"/>
    </w:rPr>
  </w:style>
  <w:style w:type="paragraph" w:customStyle="1" w:styleId="44">
    <w:name w:val="Table Paragraph"/>
    <w:basedOn w:val="1"/>
    <w:qFormat/>
    <w:uiPriority w:val="1"/>
    <w:pPr>
      <w:widowControl w:val="0"/>
      <w:autoSpaceDE w:val="0"/>
      <w:autoSpaceDN w:val="0"/>
      <w:spacing w:after="0" w:line="240" w:lineRule="auto"/>
    </w:pPr>
    <w:rPr>
      <w:rFonts w:ascii="Times New Roman" w:hAnsi="Times New Roman" w:eastAsia="Times New Roman" w:cs="Times New Roman"/>
      <w:kern w:val="0"/>
      <w:szCs w:val="22"/>
      <w:lang w:val="en-US" w:bidi="ar-SA"/>
      <w14:ligatures w14:val="none"/>
    </w:rPr>
  </w:style>
  <w:style w:type="paragraph" w:styleId="45">
    <w:name w:val="No Spacing"/>
    <w:qFormat/>
    <w:uiPriority w:val="1"/>
    <w:pPr>
      <w:spacing w:after="0" w:line="240" w:lineRule="auto"/>
    </w:pPr>
    <w:rPr>
      <w:rFonts w:ascii="Calibri" w:hAnsi="Calibri" w:eastAsia="Calibri" w:cs="Cordia New"/>
      <w:kern w:val="2"/>
      <w:sz w:val="22"/>
      <w:szCs w:val="28"/>
      <w:lang w:val="en-IN" w:eastAsia="en-US" w:bidi="th-TH"/>
      <w14:ligatures w14:val="none"/>
    </w:rPr>
  </w:style>
  <w:style w:type="character" w:customStyle="1" w:styleId="46">
    <w:name w:val="Heading 2 Char"/>
    <w:basedOn w:val="4"/>
    <w:link w:val="2"/>
    <w:qFormat/>
    <w:uiPriority w:val="9"/>
    <w:rPr>
      <w:rFonts w:asciiTheme="majorHAnsi" w:hAnsiTheme="majorHAnsi" w:eastAsiaTheme="majorEastAsia" w:cstheme="majorBidi"/>
      <w:color w:val="2F5597" w:themeColor="accent1" w:themeShade="BF"/>
      <w:sz w:val="26"/>
      <w:szCs w:val="33"/>
    </w:rPr>
  </w:style>
  <w:style w:type="character" w:customStyle="1" w:styleId="47">
    <w:name w:val="anchor-text"/>
    <w:qFormat/>
    <w:uiPriority w:val="0"/>
  </w:style>
  <w:style w:type="character" w:customStyle="1" w:styleId="48">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chart" Target="charts/chart2.xml"/><Relationship Id="rId26" Type="http://schemas.openxmlformats.org/officeDocument/2006/relationships/chart" Target="charts/chart1.xml"/><Relationship Id="rId25" Type="http://schemas.openxmlformats.org/officeDocument/2006/relationships/theme" Target="theme/theme1.xml"/><Relationship Id="rId24" Type="http://schemas.openxmlformats.org/officeDocument/2006/relationships/footer" Target="footer8.xml"/><Relationship Id="rId23" Type="http://schemas.openxmlformats.org/officeDocument/2006/relationships/footer" Target="footer7.xml"/><Relationship Id="rId22" Type="http://schemas.openxmlformats.org/officeDocument/2006/relationships/footer" Target="footer6.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5.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ttps://d.docs.live.net/054f616561b69d1e/Desktop/skuast/BARAMULLA-AMFU.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ttps://d.docs.live.net/054f616561b69d1e/Desktop/skuast/data_Bil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elete val="1"/>
          </c:dLbls>
          <c:cat>
            <c:strRef>
              <c:f>Sheet6!$B$2:$T$2</c:f>
              <c:strCache>
                <c:ptCount val="18"/>
                <c:pt idx="0">
                  <c:v>Palhallan nymph</c:v>
                </c:pt>
                <c:pt idx="2">
                  <c:v>Palhallan adult</c:v>
                </c:pt>
                <c:pt idx="4">
                  <c:v>Nihalpora nymph</c:v>
                </c:pt>
                <c:pt idx="6">
                  <c:v>Nihalpora adult</c:v>
                </c:pt>
                <c:pt idx="8">
                  <c:v>Max. Temperature</c:v>
                </c:pt>
                <c:pt idx="10">
                  <c:v>Min. Temperature</c:v>
                </c:pt>
                <c:pt idx="12">
                  <c:v>Rainfall</c:v>
                </c:pt>
                <c:pt idx="14">
                  <c:v>Max. Relative Humidity</c:v>
                </c:pt>
                <c:pt idx="17">
                  <c:v>Min. Relative Humidity</c:v>
                </c:pt>
              </c:strCache>
            </c:strRef>
          </c:cat>
          <c:val>
            <c:numRef>
              <c:f>Sheet6!$B$3:$T$3</c:f>
              <c:numCache>
                <c:formatCode>General</c:formatCode>
                <c:ptCount val="19"/>
                <c:pt idx="0">
                  <c:v>10.2</c:v>
                </c:pt>
                <c:pt idx="2">
                  <c:v>1.9</c:v>
                </c:pt>
                <c:pt idx="4">
                  <c:v>8.1</c:v>
                </c:pt>
                <c:pt idx="6">
                  <c:v>1.5</c:v>
                </c:pt>
                <c:pt idx="8">
                  <c:v>26.2</c:v>
                </c:pt>
                <c:pt idx="10">
                  <c:v>9</c:v>
                </c:pt>
                <c:pt idx="12">
                  <c:v>0</c:v>
                </c:pt>
                <c:pt idx="14">
                  <c:v>96</c:v>
                </c:pt>
                <c:pt idx="17">
                  <c:v>41</c:v>
                </c:pt>
              </c:numCache>
            </c:numRef>
          </c:val>
        </c:ser>
        <c:ser>
          <c:idx val="1"/>
          <c:order val="1"/>
          <c:spPr>
            <a:solidFill>
              <a:schemeClr val="accent2"/>
            </a:solidFill>
            <a:ln>
              <a:noFill/>
            </a:ln>
            <a:effectLst/>
          </c:spPr>
          <c:invertIfNegative val="0"/>
          <c:dLbls>
            <c:delete val="1"/>
          </c:dLbls>
          <c:cat>
            <c:strRef>
              <c:f>Sheet6!$B$2:$T$2</c:f>
              <c:strCache>
                <c:ptCount val="18"/>
                <c:pt idx="0">
                  <c:v>Palhallan nymph</c:v>
                </c:pt>
                <c:pt idx="2">
                  <c:v>Palhallan adult</c:v>
                </c:pt>
                <c:pt idx="4">
                  <c:v>Nihalpora nymph</c:v>
                </c:pt>
                <c:pt idx="6">
                  <c:v>Nihalpora adult</c:v>
                </c:pt>
                <c:pt idx="8">
                  <c:v>Max. Temperature</c:v>
                </c:pt>
                <c:pt idx="10">
                  <c:v>Min. Temperature</c:v>
                </c:pt>
                <c:pt idx="12">
                  <c:v>Rainfall</c:v>
                </c:pt>
                <c:pt idx="14">
                  <c:v>Max. Relative Humidity</c:v>
                </c:pt>
                <c:pt idx="17">
                  <c:v>Min. Relative Humidity</c:v>
                </c:pt>
              </c:strCache>
            </c:strRef>
          </c:cat>
          <c:val>
            <c:numRef>
              <c:f>Sheet6!$B$4:$T$4</c:f>
              <c:numCache>
                <c:formatCode>General</c:formatCode>
                <c:ptCount val="19"/>
                <c:pt idx="0">
                  <c:v>18.6</c:v>
                </c:pt>
                <c:pt idx="2">
                  <c:v>4.1</c:v>
                </c:pt>
                <c:pt idx="4">
                  <c:v>14.6</c:v>
                </c:pt>
                <c:pt idx="6">
                  <c:v>2.9</c:v>
                </c:pt>
                <c:pt idx="8">
                  <c:v>25.5</c:v>
                </c:pt>
                <c:pt idx="10">
                  <c:v>11.1</c:v>
                </c:pt>
                <c:pt idx="12">
                  <c:v>2</c:v>
                </c:pt>
                <c:pt idx="14">
                  <c:v>95</c:v>
                </c:pt>
                <c:pt idx="17">
                  <c:v>49</c:v>
                </c:pt>
              </c:numCache>
            </c:numRef>
          </c:val>
        </c:ser>
        <c:ser>
          <c:idx val="2"/>
          <c:order val="2"/>
          <c:spPr>
            <a:solidFill>
              <a:schemeClr val="accent3"/>
            </a:solidFill>
            <a:ln>
              <a:noFill/>
            </a:ln>
            <a:effectLst/>
          </c:spPr>
          <c:invertIfNegative val="0"/>
          <c:dLbls>
            <c:delete val="1"/>
          </c:dLbls>
          <c:cat>
            <c:strRef>
              <c:f>Sheet6!$B$2:$T$2</c:f>
              <c:strCache>
                <c:ptCount val="18"/>
                <c:pt idx="0">
                  <c:v>Palhallan nymph</c:v>
                </c:pt>
                <c:pt idx="2">
                  <c:v>Palhallan adult</c:v>
                </c:pt>
                <c:pt idx="4">
                  <c:v>Nihalpora nymph</c:v>
                </c:pt>
                <c:pt idx="6">
                  <c:v>Nihalpora adult</c:v>
                </c:pt>
                <c:pt idx="8">
                  <c:v>Max. Temperature</c:v>
                </c:pt>
                <c:pt idx="10">
                  <c:v>Min. Temperature</c:v>
                </c:pt>
                <c:pt idx="12">
                  <c:v>Rainfall</c:v>
                </c:pt>
                <c:pt idx="14">
                  <c:v>Max. Relative Humidity</c:v>
                </c:pt>
                <c:pt idx="17">
                  <c:v>Min. Relative Humidity</c:v>
                </c:pt>
              </c:strCache>
            </c:strRef>
          </c:cat>
          <c:val>
            <c:numRef>
              <c:f>Sheet6!$B$5:$T$5</c:f>
              <c:numCache>
                <c:formatCode>General</c:formatCode>
                <c:ptCount val="19"/>
                <c:pt idx="0">
                  <c:v>39.2</c:v>
                </c:pt>
                <c:pt idx="2">
                  <c:v>7.3</c:v>
                </c:pt>
                <c:pt idx="4">
                  <c:v>35.9</c:v>
                </c:pt>
                <c:pt idx="6">
                  <c:v>6.2</c:v>
                </c:pt>
                <c:pt idx="8">
                  <c:v>30.1</c:v>
                </c:pt>
                <c:pt idx="10">
                  <c:v>15</c:v>
                </c:pt>
                <c:pt idx="12">
                  <c:v>0</c:v>
                </c:pt>
                <c:pt idx="14">
                  <c:v>93</c:v>
                </c:pt>
                <c:pt idx="17">
                  <c:v>47</c:v>
                </c:pt>
              </c:numCache>
            </c:numRef>
          </c:val>
        </c:ser>
        <c:ser>
          <c:idx val="3"/>
          <c:order val="3"/>
          <c:spPr>
            <a:solidFill>
              <a:schemeClr val="accent4"/>
            </a:solidFill>
            <a:ln>
              <a:noFill/>
            </a:ln>
            <a:effectLst/>
          </c:spPr>
          <c:invertIfNegative val="0"/>
          <c:dLbls>
            <c:delete val="1"/>
          </c:dLbls>
          <c:cat>
            <c:strRef>
              <c:f>Sheet6!$B$2:$T$2</c:f>
              <c:strCache>
                <c:ptCount val="18"/>
                <c:pt idx="0">
                  <c:v>Palhallan nymph</c:v>
                </c:pt>
                <c:pt idx="2">
                  <c:v>Palhallan adult</c:v>
                </c:pt>
                <c:pt idx="4">
                  <c:v>Nihalpora nymph</c:v>
                </c:pt>
                <c:pt idx="6">
                  <c:v>Nihalpora adult</c:v>
                </c:pt>
                <c:pt idx="8">
                  <c:v>Max. Temperature</c:v>
                </c:pt>
                <c:pt idx="10">
                  <c:v>Min. Temperature</c:v>
                </c:pt>
                <c:pt idx="12">
                  <c:v>Rainfall</c:v>
                </c:pt>
                <c:pt idx="14">
                  <c:v>Max. Relative Humidity</c:v>
                </c:pt>
                <c:pt idx="17">
                  <c:v>Min. Relative Humidity</c:v>
                </c:pt>
              </c:strCache>
            </c:strRef>
          </c:cat>
          <c:val>
            <c:numRef>
              <c:f>Sheet6!$B$6:$T$6</c:f>
              <c:numCache>
                <c:formatCode>General</c:formatCode>
                <c:ptCount val="19"/>
                <c:pt idx="0">
                  <c:v>32.8</c:v>
                </c:pt>
                <c:pt idx="2">
                  <c:v>6.6</c:v>
                </c:pt>
                <c:pt idx="4">
                  <c:v>28</c:v>
                </c:pt>
                <c:pt idx="6">
                  <c:v>5.2</c:v>
                </c:pt>
                <c:pt idx="8">
                  <c:v>28.6</c:v>
                </c:pt>
                <c:pt idx="10">
                  <c:v>20.7</c:v>
                </c:pt>
                <c:pt idx="12">
                  <c:v>0</c:v>
                </c:pt>
                <c:pt idx="14">
                  <c:v>93</c:v>
                </c:pt>
                <c:pt idx="17">
                  <c:v>52</c:v>
                </c:pt>
              </c:numCache>
            </c:numRef>
          </c:val>
        </c:ser>
        <c:ser>
          <c:idx val="4"/>
          <c:order val="4"/>
          <c:spPr>
            <a:solidFill>
              <a:schemeClr val="accent5"/>
            </a:solidFill>
            <a:ln>
              <a:noFill/>
            </a:ln>
            <a:effectLst/>
          </c:spPr>
          <c:invertIfNegative val="0"/>
          <c:dLbls>
            <c:delete val="1"/>
          </c:dLbls>
          <c:cat>
            <c:strRef>
              <c:f>Sheet6!$B$2:$T$2</c:f>
              <c:strCache>
                <c:ptCount val="18"/>
                <c:pt idx="0">
                  <c:v>Palhallan nymph</c:v>
                </c:pt>
                <c:pt idx="2">
                  <c:v>Palhallan adult</c:v>
                </c:pt>
                <c:pt idx="4">
                  <c:v>Nihalpora nymph</c:v>
                </c:pt>
                <c:pt idx="6">
                  <c:v>Nihalpora adult</c:v>
                </c:pt>
                <c:pt idx="8">
                  <c:v>Max. Temperature</c:v>
                </c:pt>
                <c:pt idx="10">
                  <c:v>Min. Temperature</c:v>
                </c:pt>
                <c:pt idx="12">
                  <c:v>Rainfall</c:v>
                </c:pt>
                <c:pt idx="14">
                  <c:v>Max. Relative Humidity</c:v>
                </c:pt>
                <c:pt idx="17">
                  <c:v>Min. Relative Humidity</c:v>
                </c:pt>
              </c:strCache>
            </c:strRef>
          </c:cat>
          <c:val>
            <c:numRef>
              <c:f>Sheet6!$B$7:$T$7</c:f>
              <c:numCache>
                <c:formatCode>General</c:formatCode>
                <c:ptCount val="19"/>
                <c:pt idx="0">
                  <c:v>36.9</c:v>
                </c:pt>
                <c:pt idx="2">
                  <c:v>8.9</c:v>
                </c:pt>
                <c:pt idx="4">
                  <c:v>32.1</c:v>
                </c:pt>
                <c:pt idx="6">
                  <c:v>6.6</c:v>
                </c:pt>
                <c:pt idx="8">
                  <c:v>32.8</c:v>
                </c:pt>
                <c:pt idx="10">
                  <c:v>17.4</c:v>
                </c:pt>
                <c:pt idx="12">
                  <c:v>0</c:v>
                </c:pt>
                <c:pt idx="14">
                  <c:v>95</c:v>
                </c:pt>
                <c:pt idx="17">
                  <c:v>52</c:v>
                </c:pt>
              </c:numCache>
            </c:numRef>
          </c:val>
        </c:ser>
        <c:ser>
          <c:idx val="5"/>
          <c:order val="5"/>
          <c:spPr>
            <a:solidFill>
              <a:schemeClr val="accent6"/>
            </a:solidFill>
            <a:ln>
              <a:noFill/>
            </a:ln>
            <a:effectLst/>
          </c:spPr>
          <c:invertIfNegative val="0"/>
          <c:dLbls>
            <c:delete val="1"/>
          </c:dLbls>
          <c:cat>
            <c:strRef>
              <c:f>Sheet6!$B$2:$T$2</c:f>
              <c:strCache>
                <c:ptCount val="18"/>
                <c:pt idx="0">
                  <c:v>Palhallan nymph</c:v>
                </c:pt>
                <c:pt idx="2">
                  <c:v>Palhallan adult</c:v>
                </c:pt>
                <c:pt idx="4">
                  <c:v>Nihalpora nymph</c:v>
                </c:pt>
                <c:pt idx="6">
                  <c:v>Nihalpora adult</c:v>
                </c:pt>
                <c:pt idx="8">
                  <c:v>Max. Temperature</c:v>
                </c:pt>
                <c:pt idx="10">
                  <c:v>Min. Temperature</c:v>
                </c:pt>
                <c:pt idx="12">
                  <c:v>Rainfall</c:v>
                </c:pt>
                <c:pt idx="14">
                  <c:v>Max. Relative Humidity</c:v>
                </c:pt>
                <c:pt idx="17">
                  <c:v>Min. Relative Humidity</c:v>
                </c:pt>
              </c:strCache>
            </c:strRef>
          </c:cat>
          <c:val>
            <c:numRef>
              <c:f>Sheet6!$B$8:$T$8</c:f>
              <c:numCache>
                <c:formatCode>General</c:formatCode>
                <c:ptCount val="19"/>
                <c:pt idx="0">
                  <c:v>30.6</c:v>
                </c:pt>
                <c:pt idx="2">
                  <c:v>7</c:v>
                </c:pt>
                <c:pt idx="4">
                  <c:v>28.3</c:v>
                </c:pt>
                <c:pt idx="6">
                  <c:v>4.7</c:v>
                </c:pt>
                <c:pt idx="8">
                  <c:v>31.7</c:v>
                </c:pt>
                <c:pt idx="10">
                  <c:v>18.8</c:v>
                </c:pt>
                <c:pt idx="12">
                  <c:v>0</c:v>
                </c:pt>
                <c:pt idx="14">
                  <c:v>96</c:v>
                </c:pt>
                <c:pt idx="17">
                  <c:v>53</c:v>
                </c:pt>
              </c:numCache>
            </c:numRef>
          </c:val>
        </c:ser>
        <c:ser>
          <c:idx val="6"/>
          <c:order val="6"/>
          <c:spPr>
            <a:solidFill>
              <a:schemeClr val="accent1">
                <a:lumMod val="60000"/>
              </a:schemeClr>
            </a:solidFill>
            <a:ln>
              <a:noFill/>
            </a:ln>
            <a:effectLst/>
          </c:spPr>
          <c:invertIfNegative val="0"/>
          <c:dLbls>
            <c:delete val="1"/>
          </c:dLbls>
          <c:cat>
            <c:strRef>
              <c:f>Sheet6!$B$2:$T$2</c:f>
              <c:strCache>
                <c:ptCount val="18"/>
                <c:pt idx="0">
                  <c:v>Palhallan nymph</c:v>
                </c:pt>
                <c:pt idx="2">
                  <c:v>Palhallan adult</c:v>
                </c:pt>
                <c:pt idx="4">
                  <c:v>Nihalpora nymph</c:v>
                </c:pt>
                <c:pt idx="6">
                  <c:v>Nihalpora adult</c:v>
                </c:pt>
                <c:pt idx="8">
                  <c:v>Max. Temperature</c:v>
                </c:pt>
                <c:pt idx="10">
                  <c:v>Min. Temperature</c:v>
                </c:pt>
                <c:pt idx="12">
                  <c:v>Rainfall</c:v>
                </c:pt>
                <c:pt idx="14">
                  <c:v>Max. Relative Humidity</c:v>
                </c:pt>
                <c:pt idx="17">
                  <c:v>Min. Relative Humidity</c:v>
                </c:pt>
              </c:strCache>
            </c:strRef>
          </c:cat>
          <c:val>
            <c:numRef>
              <c:f>Sheet6!$B$9:$T$9</c:f>
              <c:numCache>
                <c:formatCode>General</c:formatCode>
                <c:ptCount val="19"/>
                <c:pt idx="0">
                  <c:v>27.8</c:v>
                </c:pt>
                <c:pt idx="2">
                  <c:v>5.1</c:v>
                </c:pt>
                <c:pt idx="4">
                  <c:v>25.9</c:v>
                </c:pt>
                <c:pt idx="6">
                  <c:v>3.2</c:v>
                </c:pt>
                <c:pt idx="8">
                  <c:v>30</c:v>
                </c:pt>
                <c:pt idx="10">
                  <c:v>20.8</c:v>
                </c:pt>
                <c:pt idx="12">
                  <c:v>0</c:v>
                </c:pt>
                <c:pt idx="14">
                  <c:v>95</c:v>
                </c:pt>
                <c:pt idx="17">
                  <c:v>54</c:v>
                </c:pt>
              </c:numCache>
            </c:numRef>
          </c:val>
        </c:ser>
        <c:ser>
          <c:idx val="7"/>
          <c:order val="7"/>
          <c:spPr>
            <a:solidFill>
              <a:schemeClr val="accent2">
                <a:lumMod val="60000"/>
              </a:schemeClr>
            </a:solidFill>
            <a:ln>
              <a:noFill/>
            </a:ln>
            <a:effectLst/>
          </c:spPr>
          <c:invertIfNegative val="0"/>
          <c:dLbls>
            <c:delete val="1"/>
          </c:dLbls>
          <c:cat>
            <c:strRef>
              <c:f>Sheet6!$B$2:$T$2</c:f>
              <c:strCache>
                <c:ptCount val="18"/>
                <c:pt idx="0">
                  <c:v>Palhallan nymph</c:v>
                </c:pt>
                <c:pt idx="2">
                  <c:v>Palhallan adult</c:v>
                </c:pt>
                <c:pt idx="4">
                  <c:v>Nihalpora nymph</c:v>
                </c:pt>
                <c:pt idx="6">
                  <c:v>Nihalpora adult</c:v>
                </c:pt>
                <c:pt idx="8">
                  <c:v>Max. Temperature</c:v>
                </c:pt>
                <c:pt idx="10">
                  <c:v>Min. Temperature</c:v>
                </c:pt>
                <c:pt idx="12">
                  <c:v>Rainfall</c:v>
                </c:pt>
                <c:pt idx="14">
                  <c:v>Max. Relative Humidity</c:v>
                </c:pt>
                <c:pt idx="17">
                  <c:v>Min. Relative Humidity</c:v>
                </c:pt>
              </c:strCache>
            </c:strRef>
          </c:cat>
          <c:val>
            <c:numRef>
              <c:f>Sheet6!$B$10:$T$10</c:f>
              <c:numCache>
                <c:formatCode>General</c:formatCode>
                <c:ptCount val="19"/>
                <c:pt idx="0">
                  <c:v>24.1</c:v>
                </c:pt>
                <c:pt idx="2">
                  <c:v>3.9</c:v>
                </c:pt>
                <c:pt idx="4">
                  <c:v>21.8</c:v>
                </c:pt>
                <c:pt idx="6">
                  <c:v>2.2</c:v>
                </c:pt>
                <c:pt idx="8">
                  <c:v>31</c:v>
                </c:pt>
                <c:pt idx="10">
                  <c:v>18.2</c:v>
                </c:pt>
                <c:pt idx="12">
                  <c:v>0</c:v>
                </c:pt>
                <c:pt idx="14">
                  <c:v>92</c:v>
                </c:pt>
                <c:pt idx="17">
                  <c:v>50</c:v>
                </c:pt>
              </c:numCache>
            </c:numRef>
          </c:val>
        </c:ser>
        <c:dLbls>
          <c:showLegendKey val="0"/>
          <c:showVal val="0"/>
          <c:showCatName val="0"/>
          <c:showSerName val="0"/>
          <c:showPercent val="0"/>
          <c:showBubbleSize val="0"/>
        </c:dLbls>
        <c:gapWidth val="182"/>
        <c:axId val="201489328"/>
        <c:axId val="201484528"/>
      </c:barChart>
      <c:catAx>
        <c:axId val="201489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01484528"/>
        <c:crosses val="autoZero"/>
        <c:auto val="1"/>
        <c:lblAlgn val="ctr"/>
        <c:lblOffset val="100"/>
        <c:noMultiLvlLbl val="0"/>
      </c:catAx>
      <c:valAx>
        <c:axId val="201484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01489328"/>
        <c:crosses val="autoZero"/>
        <c:crossBetween val="between"/>
      </c:valAx>
      <c:spPr>
        <a:noFill/>
        <a:ln w="25400">
          <a:noFill/>
        </a:ln>
        <a:effectLst/>
      </c:spPr>
    </c:plotArea>
    <c:plotVisOnly val="1"/>
    <c:dispBlanksAs val="gap"/>
    <c:showDLblsOverMax val="0"/>
    <c:extLst>
      <c:ext uri="{0b15fc19-7d7d-44ad-8c2d-2c3a37ce22c3}">
        <chartProps xmlns="https://web.wps.cn/et/2018/main" chartId="{a3212cc6-2981-4974-a93d-dd8086717731}"/>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1"/>
          <c:spPr>
            <a:solidFill>
              <a:schemeClr val="accent2"/>
            </a:solidFill>
            <a:ln>
              <a:noFill/>
            </a:ln>
            <a:effectLst/>
          </c:spPr>
          <c:invertIfNegative val="0"/>
          <c:dLbls>
            <c:delete val="1"/>
          </c:dLbls>
          <c:cat>
            <c:strRef>
              <c:f>Sheet3!$B$1:$V$1</c:f>
              <c:strCache>
                <c:ptCount val="19"/>
                <c:pt idx="0">
                  <c:v>Harwan nymph</c:v>
                </c:pt>
                <c:pt idx="2">
                  <c:v>Harwan adult</c:v>
                </c:pt>
                <c:pt idx="4">
                  <c:v>shalimar nymph</c:v>
                </c:pt>
                <c:pt idx="6">
                  <c:v>Shalimar adult</c:v>
                </c:pt>
                <c:pt idx="8">
                  <c:v>Max. Temperature</c:v>
                </c:pt>
                <c:pt idx="10">
                  <c:v>Min. Temperature</c:v>
                </c:pt>
                <c:pt idx="13">
                  <c:v>Rainfall</c:v>
                </c:pt>
                <c:pt idx="15">
                  <c:v>Max. Relative Humidity</c:v>
                </c:pt>
                <c:pt idx="18">
                  <c:v>Min. Relative Humidity</c:v>
                </c:pt>
              </c:strCache>
            </c:strRef>
          </c:cat>
          <c:val>
            <c:numRef>
              <c:f>Sheet3!$B$3:$V$3</c:f>
              <c:numCache>
                <c:formatCode>General</c:formatCode>
                <c:ptCount val="21"/>
                <c:pt idx="0">
                  <c:v>6.3</c:v>
                </c:pt>
                <c:pt idx="2">
                  <c:v>1.5</c:v>
                </c:pt>
                <c:pt idx="4">
                  <c:v>4.2</c:v>
                </c:pt>
                <c:pt idx="6">
                  <c:v>1.1</c:v>
                </c:pt>
                <c:pt idx="8">
                  <c:v>24.5</c:v>
                </c:pt>
                <c:pt idx="10">
                  <c:v>7</c:v>
                </c:pt>
                <c:pt idx="13">
                  <c:v>0</c:v>
                </c:pt>
                <c:pt idx="15">
                  <c:v>89</c:v>
                </c:pt>
                <c:pt idx="18">
                  <c:v>41</c:v>
                </c:pt>
              </c:numCache>
            </c:numRef>
          </c:val>
        </c:ser>
        <c:ser>
          <c:idx val="2"/>
          <c:order val="2"/>
          <c:spPr>
            <a:solidFill>
              <a:schemeClr val="accent3"/>
            </a:solidFill>
            <a:ln>
              <a:noFill/>
            </a:ln>
            <a:effectLst/>
          </c:spPr>
          <c:invertIfNegative val="0"/>
          <c:dLbls>
            <c:delete val="1"/>
          </c:dLbls>
          <c:cat>
            <c:strRef>
              <c:f>Sheet3!$B$1:$V$1</c:f>
              <c:strCache>
                <c:ptCount val="19"/>
                <c:pt idx="0">
                  <c:v>Harwan nymph</c:v>
                </c:pt>
                <c:pt idx="2">
                  <c:v>Harwan adult</c:v>
                </c:pt>
                <c:pt idx="4">
                  <c:v>shalimar nymph</c:v>
                </c:pt>
                <c:pt idx="6">
                  <c:v>Shalimar adult</c:v>
                </c:pt>
                <c:pt idx="8">
                  <c:v>Max. Temperature</c:v>
                </c:pt>
                <c:pt idx="10">
                  <c:v>Min. Temperature</c:v>
                </c:pt>
                <c:pt idx="13">
                  <c:v>Rainfall</c:v>
                </c:pt>
                <c:pt idx="15">
                  <c:v>Max. Relative Humidity</c:v>
                </c:pt>
                <c:pt idx="18">
                  <c:v>Min. Relative Humidity</c:v>
                </c:pt>
              </c:strCache>
            </c:strRef>
          </c:cat>
          <c:val>
            <c:numRef>
              <c:f>Sheet3!$B$4:$V$4</c:f>
              <c:numCache>
                <c:formatCode>General</c:formatCode>
                <c:ptCount val="21"/>
                <c:pt idx="0">
                  <c:v>12.8</c:v>
                </c:pt>
                <c:pt idx="2">
                  <c:v>2.2</c:v>
                </c:pt>
                <c:pt idx="4">
                  <c:v>8.1</c:v>
                </c:pt>
                <c:pt idx="6">
                  <c:v>1.8</c:v>
                </c:pt>
                <c:pt idx="8">
                  <c:v>24</c:v>
                </c:pt>
                <c:pt idx="10">
                  <c:v>9.5</c:v>
                </c:pt>
                <c:pt idx="13">
                  <c:v>0</c:v>
                </c:pt>
                <c:pt idx="15">
                  <c:v>89</c:v>
                </c:pt>
                <c:pt idx="18">
                  <c:v>75</c:v>
                </c:pt>
              </c:numCache>
            </c:numRef>
          </c:val>
        </c:ser>
        <c:ser>
          <c:idx val="3"/>
          <c:order val="3"/>
          <c:spPr>
            <a:solidFill>
              <a:schemeClr val="accent4"/>
            </a:solidFill>
            <a:ln>
              <a:noFill/>
            </a:ln>
            <a:effectLst/>
          </c:spPr>
          <c:invertIfNegative val="0"/>
          <c:dLbls>
            <c:delete val="1"/>
          </c:dLbls>
          <c:cat>
            <c:strRef>
              <c:f>Sheet3!$B$1:$V$1</c:f>
              <c:strCache>
                <c:ptCount val="19"/>
                <c:pt idx="0">
                  <c:v>Harwan nymph</c:v>
                </c:pt>
                <c:pt idx="2">
                  <c:v>Harwan adult</c:v>
                </c:pt>
                <c:pt idx="4">
                  <c:v>shalimar nymph</c:v>
                </c:pt>
                <c:pt idx="6">
                  <c:v>Shalimar adult</c:v>
                </c:pt>
                <c:pt idx="8">
                  <c:v>Max. Temperature</c:v>
                </c:pt>
                <c:pt idx="10">
                  <c:v>Min. Temperature</c:v>
                </c:pt>
                <c:pt idx="13">
                  <c:v>Rainfall</c:v>
                </c:pt>
                <c:pt idx="15">
                  <c:v>Max. Relative Humidity</c:v>
                </c:pt>
                <c:pt idx="18">
                  <c:v>Min. Relative Humidity</c:v>
                </c:pt>
              </c:strCache>
            </c:strRef>
          </c:cat>
          <c:val>
            <c:numRef>
              <c:f>Sheet3!$B$5:$V$5</c:f>
              <c:numCache>
                <c:formatCode>General</c:formatCode>
                <c:ptCount val="21"/>
                <c:pt idx="0">
                  <c:v>30.6</c:v>
                </c:pt>
                <c:pt idx="2">
                  <c:v>5</c:v>
                </c:pt>
                <c:pt idx="4">
                  <c:v>28.8</c:v>
                </c:pt>
                <c:pt idx="6">
                  <c:v>4.2</c:v>
                </c:pt>
                <c:pt idx="8">
                  <c:v>29.5</c:v>
                </c:pt>
                <c:pt idx="10">
                  <c:v>12</c:v>
                </c:pt>
                <c:pt idx="13">
                  <c:v>0</c:v>
                </c:pt>
                <c:pt idx="15">
                  <c:v>75</c:v>
                </c:pt>
                <c:pt idx="18">
                  <c:v>46</c:v>
                </c:pt>
              </c:numCache>
            </c:numRef>
          </c:val>
        </c:ser>
        <c:ser>
          <c:idx val="4"/>
          <c:order val="4"/>
          <c:spPr>
            <a:solidFill>
              <a:schemeClr val="accent5"/>
            </a:solidFill>
            <a:ln>
              <a:noFill/>
            </a:ln>
            <a:effectLst/>
          </c:spPr>
          <c:invertIfNegative val="0"/>
          <c:dLbls>
            <c:delete val="1"/>
          </c:dLbls>
          <c:cat>
            <c:strRef>
              <c:f>Sheet3!$B$1:$V$1</c:f>
              <c:strCache>
                <c:ptCount val="19"/>
                <c:pt idx="0">
                  <c:v>Harwan nymph</c:v>
                </c:pt>
                <c:pt idx="2">
                  <c:v>Harwan adult</c:v>
                </c:pt>
                <c:pt idx="4">
                  <c:v>shalimar nymph</c:v>
                </c:pt>
                <c:pt idx="6">
                  <c:v>Shalimar adult</c:v>
                </c:pt>
                <c:pt idx="8">
                  <c:v>Max. Temperature</c:v>
                </c:pt>
                <c:pt idx="10">
                  <c:v>Min. Temperature</c:v>
                </c:pt>
                <c:pt idx="13">
                  <c:v>Rainfall</c:v>
                </c:pt>
                <c:pt idx="15">
                  <c:v>Max. Relative Humidity</c:v>
                </c:pt>
                <c:pt idx="18">
                  <c:v>Min. Relative Humidity</c:v>
                </c:pt>
              </c:strCache>
            </c:strRef>
          </c:cat>
          <c:val>
            <c:numRef>
              <c:f>Sheet3!$B$6:$V$6</c:f>
              <c:numCache>
                <c:formatCode>General</c:formatCode>
                <c:ptCount val="21"/>
                <c:pt idx="0">
                  <c:v>26.3</c:v>
                </c:pt>
                <c:pt idx="2">
                  <c:v>4</c:v>
                </c:pt>
                <c:pt idx="4">
                  <c:v>24.3</c:v>
                </c:pt>
                <c:pt idx="6">
                  <c:v>3.5</c:v>
                </c:pt>
                <c:pt idx="8">
                  <c:v>26</c:v>
                </c:pt>
                <c:pt idx="10">
                  <c:v>16.5</c:v>
                </c:pt>
                <c:pt idx="13">
                  <c:v>35</c:v>
                </c:pt>
                <c:pt idx="15">
                  <c:v>83</c:v>
                </c:pt>
                <c:pt idx="18">
                  <c:v>53</c:v>
                </c:pt>
              </c:numCache>
            </c:numRef>
          </c:val>
        </c:ser>
        <c:ser>
          <c:idx val="5"/>
          <c:order val="5"/>
          <c:spPr>
            <a:solidFill>
              <a:schemeClr val="accent6"/>
            </a:solidFill>
            <a:ln>
              <a:noFill/>
            </a:ln>
            <a:effectLst/>
          </c:spPr>
          <c:invertIfNegative val="0"/>
          <c:dLbls>
            <c:delete val="1"/>
          </c:dLbls>
          <c:cat>
            <c:strRef>
              <c:f>Sheet3!$B$1:$V$1</c:f>
              <c:strCache>
                <c:ptCount val="19"/>
                <c:pt idx="0">
                  <c:v>Harwan nymph</c:v>
                </c:pt>
                <c:pt idx="2">
                  <c:v>Harwan adult</c:v>
                </c:pt>
                <c:pt idx="4">
                  <c:v>shalimar nymph</c:v>
                </c:pt>
                <c:pt idx="6">
                  <c:v>Shalimar adult</c:v>
                </c:pt>
                <c:pt idx="8">
                  <c:v>Max. Temperature</c:v>
                </c:pt>
                <c:pt idx="10">
                  <c:v>Min. Temperature</c:v>
                </c:pt>
                <c:pt idx="13">
                  <c:v>Rainfall</c:v>
                </c:pt>
                <c:pt idx="15">
                  <c:v>Max. Relative Humidity</c:v>
                </c:pt>
                <c:pt idx="18">
                  <c:v>Min. Relative Humidity</c:v>
                </c:pt>
              </c:strCache>
            </c:strRef>
          </c:cat>
          <c:val>
            <c:numRef>
              <c:f>Sheet3!$B$7:$V$7</c:f>
              <c:numCache>
                <c:formatCode>General</c:formatCode>
                <c:ptCount val="21"/>
                <c:pt idx="0">
                  <c:v>29.5</c:v>
                </c:pt>
                <c:pt idx="2">
                  <c:v>6.4</c:v>
                </c:pt>
                <c:pt idx="4">
                  <c:v>25.5</c:v>
                </c:pt>
                <c:pt idx="6">
                  <c:v>5.6</c:v>
                </c:pt>
                <c:pt idx="8">
                  <c:v>29.5</c:v>
                </c:pt>
                <c:pt idx="10">
                  <c:v>15</c:v>
                </c:pt>
                <c:pt idx="13">
                  <c:v>0</c:v>
                </c:pt>
                <c:pt idx="15">
                  <c:v>86</c:v>
                </c:pt>
                <c:pt idx="18">
                  <c:v>52</c:v>
                </c:pt>
              </c:numCache>
            </c:numRef>
          </c:val>
        </c:ser>
        <c:ser>
          <c:idx val="6"/>
          <c:order val="6"/>
          <c:spPr>
            <a:solidFill>
              <a:schemeClr val="accent1">
                <a:lumMod val="60000"/>
              </a:schemeClr>
            </a:solidFill>
            <a:ln>
              <a:noFill/>
            </a:ln>
            <a:effectLst/>
          </c:spPr>
          <c:invertIfNegative val="0"/>
          <c:dLbls>
            <c:delete val="1"/>
          </c:dLbls>
          <c:cat>
            <c:strRef>
              <c:f>Sheet3!$B$1:$V$1</c:f>
              <c:strCache>
                <c:ptCount val="19"/>
                <c:pt idx="0">
                  <c:v>Harwan nymph</c:v>
                </c:pt>
                <c:pt idx="2">
                  <c:v>Harwan adult</c:v>
                </c:pt>
                <c:pt idx="4">
                  <c:v>shalimar nymph</c:v>
                </c:pt>
                <c:pt idx="6">
                  <c:v>Shalimar adult</c:v>
                </c:pt>
                <c:pt idx="8">
                  <c:v>Max. Temperature</c:v>
                </c:pt>
                <c:pt idx="10">
                  <c:v>Min. Temperature</c:v>
                </c:pt>
                <c:pt idx="13">
                  <c:v>Rainfall</c:v>
                </c:pt>
                <c:pt idx="15">
                  <c:v>Max. Relative Humidity</c:v>
                </c:pt>
                <c:pt idx="18">
                  <c:v>Min. Relative Humidity</c:v>
                </c:pt>
              </c:strCache>
            </c:strRef>
          </c:cat>
          <c:val>
            <c:numRef>
              <c:f>Sheet3!$B$8:$V$8</c:f>
              <c:numCache>
                <c:formatCode>General</c:formatCode>
                <c:ptCount val="21"/>
                <c:pt idx="0">
                  <c:v>27.7</c:v>
                </c:pt>
                <c:pt idx="2">
                  <c:v>5.5</c:v>
                </c:pt>
                <c:pt idx="4">
                  <c:v>23.3</c:v>
                </c:pt>
                <c:pt idx="6">
                  <c:v>3.2</c:v>
                </c:pt>
                <c:pt idx="8">
                  <c:v>30</c:v>
                </c:pt>
                <c:pt idx="10">
                  <c:v>17</c:v>
                </c:pt>
                <c:pt idx="13">
                  <c:v>4</c:v>
                </c:pt>
                <c:pt idx="15">
                  <c:v>86</c:v>
                </c:pt>
                <c:pt idx="18">
                  <c:v>49</c:v>
                </c:pt>
              </c:numCache>
            </c:numRef>
          </c:val>
        </c:ser>
        <c:ser>
          <c:idx val="7"/>
          <c:order val="7"/>
          <c:spPr>
            <a:solidFill>
              <a:schemeClr val="accent2">
                <a:lumMod val="60000"/>
              </a:schemeClr>
            </a:solidFill>
            <a:ln>
              <a:noFill/>
            </a:ln>
            <a:effectLst/>
          </c:spPr>
          <c:invertIfNegative val="0"/>
          <c:dLbls>
            <c:delete val="1"/>
          </c:dLbls>
          <c:cat>
            <c:strRef>
              <c:f>Sheet3!$B$1:$V$1</c:f>
              <c:strCache>
                <c:ptCount val="19"/>
                <c:pt idx="0">
                  <c:v>Harwan nymph</c:v>
                </c:pt>
                <c:pt idx="2">
                  <c:v>Harwan adult</c:v>
                </c:pt>
                <c:pt idx="4">
                  <c:v>shalimar nymph</c:v>
                </c:pt>
                <c:pt idx="6">
                  <c:v>Shalimar adult</c:v>
                </c:pt>
                <c:pt idx="8">
                  <c:v>Max. Temperature</c:v>
                </c:pt>
                <c:pt idx="10">
                  <c:v>Min. Temperature</c:v>
                </c:pt>
                <c:pt idx="13">
                  <c:v>Rainfall</c:v>
                </c:pt>
                <c:pt idx="15">
                  <c:v>Max. Relative Humidity</c:v>
                </c:pt>
                <c:pt idx="18">
                  <c:v>Min. Relative Humidity</c:v>
                </c:pt>
              </c:strCache>
            </c:strRef>
          </c:cat>
          <c:val>
            <c:numRef>
              <c:f>Sheet3!$B$9:$V$9</c:f>
              <c:numCache>
                <c:formatCode>General</c:formatCode>
                <c:ptCount val="21"/>
                <c:pt idx="0">
                  <c:v>22.1</c:v>
                </c:pt>
                <c:pt idx="2">
                  <c:v>3.3</c:v>
                </c:pt>
                <c:pt idx="4">
                  <c:v>18.1</c:v>
                </c:pt>
                <c:pt idx="6">
                  <c:v>2.2</c:v>
                </c:pt>
                <c:pt idx="8">
                  <c:v>29.5</c:v>
                </c:pt>
                <c:pt idx="10">
                  <c:v>18.5</c:v>
                </c:pt>
                <c:pt idx="13">
                  <c:v>0</c:v>
                </c:pt>
                <c:pt idx="15">
                  <c:v>91</c:v>
                </c:pt>
                <c:pt idx="18">
                  <c:v>53</c:v>
                </c:pt>
              </c:numCache>
            </c:numRef>
          </c:val>
        </c:ser>
        <c:ser>
          <c:idx val="8"/>
          <c:order val="8"/>
          <c:spPr>
            <a:solidFill>
              <a:schemeClr val="accent3">
                <a:lumMod val="60000"/>
              </a:schemeClr>
            </a:solidFill>
            <a:ln>
              <a:noFill/>
            </a:ln>
            <a:effectLst/>
          </c:spPr>
          <c:invertIfNegative val="0"/>
          <c:dLbls>
            <c:delete val="1"/>
          </c:dLbls>
          <c:cat>
            <c:strRef>
              <c:f>Sheet3!$B$1:$V$1</c:f>
              <c:strCache>
                <c:ptCount val="19"/>
                <c:pt idx="0">
                  <c:v>Harwan nymph</c:v>
                </c:pt>
                <c:pt idx="2">
                  <c:v>Harwan adult</c:v>
                </c:pt>
                <c:pt idx="4">
                  <c:v>shalimar nymph</c:v>
                </c:pt>
                <c:pt idx="6">
                  <c:v>Shalimar adult</c:v>
                </c:pt>
                <c:pt idx="8">
                  <c:v>Max. Temperature</c:v>
                </c:pt>
                <c:pt idx="10">
                  <c:v>Min. Temperature</c:v>
                </c:pt>
                <c:pt idx="13">
                  <c:v>Rainfall</c:v>
                </c:pt>
                <c:pt idx="15">
                  <c:v>Max. Relative Humidity</c:v>
                </c:pt>
                <c:pt idx="18">
                  <c:v>Min. Relative Humidity</c:v>
                </c:pt>
              </c:strCache>
            </c:strRef>
          </c:cat>
          <c:val>
            <c:numRef>
              <c:f>Sheet3!$B$10:$V$10</c:f>
              <c:numCache>
                <c:formatCode>General</c:formatCode>
                <c:ptCount val="21"/>
                <c:pt idx="0">
                  <c:v>15.3</c:v>
                </c:pt>
                <c:pt idx="2">
                  <c:v>2.1</c:v>
                </c:pt>
                <c:pt idx="4">
                  <c:v>10.3</c:v>
                </c:pt>
                <c:pt idx="6">
                  <c:v>1.2</c:v>
                </c:pt>
                <c:pt idx="8">
                  <c:v>31</c:v>
                </c:pt>
                <c:pt idx="10">
                  <c:v>17</c:v>
                </c:pt>
                <c:pt idx="13">
                  <c:v>0</c:v>
                </c:pt>
                <c:pt idx="15">
                  <c:v>91</c:v>
                </c:pt>
                <c:pt idx="18">
                  <c:v>41</c:v>
                </c:pt>
              </c:numCache>
            </c:numRef>
          </c:val>
        </c:ser>
        <c:dLbls>
          <c:showLegendKey val="0"/>
          <c:showVal val="0"/>
          <c:showCatName val="0"/>
          <c:showSerName val="0"/>
          <c:showPercent val="0"/>
          <c:showBubbleSize val="0"/>
        </c:dLbls>
        <c:gapWidth val="182"/>
        <c:axId val="1967686000"/>
        <c:axId val="1967691280"/>
        <c:extLst>
          <c:ext xmlns:c15="http://schemas.microsoft.com/office/drawing/2012/chart" uri="{02D57815-91ED-43cb-92C2-25804820EDAC}">
            <c15:filteredBarSeries>
              <c15:ser>
                <c:idx val="0"/>
                <c:order val="0"/>
                <c:spPr>
                  <a:solidFill>
                    <a:schemeClr val="accent1"/>
                  </a:solidFill>
                  <a:ln>
                    <a:noFill/>
                  </a:ln>
                  <a:effectLst/>
                </c:spPr>
                <c:invertIfNegative val="0"/>
                <c:dLbls>
                  <c:delete val="1"/>
                </c:dLbls>
                <c:cat>
                  <c:strRef>
                    <c:extLst>
                      <c:ext uri="{02D57815-91ED-43cb-92C2-25804820EDAC}">
                        <c15:fullRef>
                          <c15:sqref/>
                        </c15:fullRef>
                        <c15:formulaRef>
                          <c15:sqref>Sheet3!$B$1:$V$1</c15:sqref>
                        </c15:formulaRef>
                      </c:ext>
                    </c:extLst>
                    <c:strCache>
                      <c:ptCount val="19"/>
                      <c:pt idx="0">
                        <c:v>Harwan nymph</c:v>
                      </c:pt>
                      <c:pt idx="2">
                        <c:v>Harwan adult</c:v>
                      </c:pt>
                      <c:pt idx="4">
                        <c:v>shalimar nymph</c:v>
                      </c:pt>
                      <c:pt idx="6">
                        <c:v>Shalimar adult</c:v>
                      </c:pt>
                      <c:pt idx="8">
                        <c:v>Max. Temperature</c:v>
                      </c:pt>
                      <c:pt idx="10">
                        <c:v>Min. Temperature</c:v>
                      </c:pt>
                      <c:pt idx="13">
                        <c:v>Rainfall</c:v>
                      </c:pt>
                      <c:pt idx="15">
                        <c:v>Max. Relative Humidity</c:v>
                      </c:pt>
                      <c:pt idx="18">
                        <c:v>Min. Relative Humidity</c:v>
                      </c:pt>
                    </c:strCache>
                  </c:strRef>
                </c:cat>
                <c:val>
                  <c:numRef>
                    <c:extLst>
                      <c:ext uri="{02D57815-91ED-43cb-92C2-25804820EDAC}">
                        <c15:formulaRef>
                          <c15:sqref>Sheet3!$B$2:$V$2</c15:sqref>
                        </c15:formulaRef>
                      </c:ext>
                    </c:extLst>
                    <c:numCache>
                      <c:formatCode>General</c:formatCode>
                      <c:ptCount val="21"/>
                    </c:numCache>
                  </c:numRef>
                </c:val>
              </c15:ser>
            </c15:filteredBarSeries>
          </c:ext>
        </c:extLst>
      </c:barChart>
      <c:catAx>
        <c:axId val="1967686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967691280"/>
        <c:crosses val="autoZero"/>
        <c:auto val="1"/>
        <c:lblAlgn val="ctr"/>
        <c:lblOffset val="100"/>
        <c:noMultiLvlLbl val="0"/>
      </c:catAx>
      <c:valAx>
        <c:axId val="1967691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967686000"/>
        <c:crosses val="autoZero"/>
        <c:crossBetween val="between"/>
      </c:valAx>
      <c:spPr>
        <a:noFill/>
        <a:ln>
          <a:noFill/>
        </a:ln>
        <a:effectLst/>
      </c:spPr>
    </c:plotArea>
    <c:plotVisOnly val="1"/>
    <c:dispBlanksAs val="gap"/>
    <c:showDLblsOverMax val="0"/>
    <c:extLst>
      <c:ext uri="{0b15fc19-7d7d-44ad-8c2d-2c3a37ce22c3}">
        <chartProps xmlns="https://web.wps.cn/et/2018/main" chartId="{c6ecf86a-e282-4263-bda2-e595dd1d95dd}"/>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2057"/>
    <customShpInfo spid="_x0000_s2056"/>
    <customShpInfo spid="_x0000_s2055"/>
    <customShpInfo spid="_x0000_s2060"/>
    <customShpInfo spid="_x0000_s2059"/>
    <customShpInfo spid="_x0000_s2058"/>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31D740-7BCE-4D91-AE74-C0AFCF7D49E3}">
  <ds:schemaRefs/>
</ds:datastoreItem>
</file>

<file path=docProps/app.xml><?xml version="1.0" encoding="utf-8"?>
<Properties xmlns="http://schemas.openxmlformats.org/officeDocument/2006/extended-properties" xmlns:vt="http://schemas.openxmlformats.org/officeDocument/2006/docPropsVTypes">
  <Template>Normal</Template>
  <Pages>12</Pages>
  <Words>4727</Words>
  <Characters>26945</Characters>
  <Lines>224</Lines>
  <Paragraphs>63</Paragraphs>
  <TotalTime>5</TotalTime>
  <ScaleCrop>false</ScaleCrop>
  <LinksUpToDate>false</LinksUpToDate>
  <CharactersWithSpaces>31609</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2024-09-23T05:17:00Z</dcterms:created>
  <dc:creator>kusum gautam</dc:creator>
  <cp:lastModifiedBy>SELVARAJ CHINNASAMY</cp:lastModifiedBy>
  <dcterms:modified xsi:type="dcterms:W3CDTF">2025-04-05T07:37:29Z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73bbbf3e-b560-4445-8a00-77046c94d2a7</vt:lpwstr>
  </property>
  <property fmtid="{D5CDD505-2E9C-101B-9397-08002B2CF9AE}" pid="3" name="KSOProductBuildVer">
    <vt:lpwstr>1033-12.2.0.20782</vt:lpwstr>
  </property>
  <property fmtid="{D5CDD505-2E9C-101B-9397-08002B2CF9AE}" pid="4" name="ICV">
    <vt:lpwstr>3C52BB6E23624A12A91FBC7B78B44F4B_12</vt:lpwstr>
  </property>
</Properties>
</file>