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D86BC">
      <w:pPr>
        <w:spacing w:line="360" w:lineRule="auto"/>
        <w:rPr>
          <w:b/>
          <w:bCs/>
          <w:szCs w:val="24"/>
        </w:rPr>
      </w:pPr>
      <w:r>
        <w:rPr>
          <w:b/>
          <w:bCs/>
          <w:szCs w:val="24"/>
        </w:rPr>
        <w:t>Antibiotic Resistance Profile Of Haemolytic and Biofilm-Forming Bacteria Isolated from Domestic Water Sources Around Choba, River State, Nigeria: A Public Health Concern.</w:t>
      </w:r>
    </w:p>
    <w:p w14:paraId="1530AE6E">
      <w:pPr>
        <w:spacing w:line="360" w:lineRule="auto"/>
        <w:rPr>
          <w:b/>
          <w:bCs/>
          <w:szCs w:val="24"/>
        </w:rPr>
      </w:pPr>
    </w:p>
    <w:p w14:paraId="65A16A10">
      <w:pPr>
        <w:spacing w:line="360" w:lineRule="auto"/>
        <w:rPr>
          <w:b/>
          <w:bCs/>
          <w:szCs w:val="24"/>
        </w:rPr>
      </w:pPr>
      <w:r>
        <w:rPr>
          <w:b/>
          <w:bCs/>
          <w:szCs w:val="24"/>
        </w:rPr>
        <w:t>Abstract</w:t>
      </w:r>
    </w:p>
    <w:p w14:paraId="7975704C">
      <w:pPr>
        <w:spacing w:line="240" w:lineRule="auto"/>
      </w:pPr>
      <w:r>
        <w:t xml:space="preserve">This study investigated the antibiogram profiles, biofilm formation capabilities, and hemolytic activities of bacteria isolated from domestic water sources in off-campus student hostels around the University of Port Harcourt, Nigeria. Water samples were collected from six hostels in Choba, Aluu, Alakahia, and Rumuosi and analyzed for total heterotrophic bacteria count (THBC), as well as specific counts for Staphylococcus, Pseudomonas, Vibrio, and Salmonella species. Morphological and biochemical characterization revealed the predominance of eight bacterial genera: Salmonella, Pseudomonas, Proteus, Staphylococcus, Corynebacterium, Bacillus, Yersinia, Vibrio, and Micrococcus. Antibiotic susceptibility testing was performed using the Kirby-Bauer disk diffusion method. Among gram-positive isolates, LAN4 exhibited the highest resistance, being resistant to eight antibiotics, while CAM7 and CHI1 were susceptible to all tested antibiotics. </w:t>
      </w:r>
      <w:commentRangeStart w:id="0"/>
      <w:r>
        <w:t>TRO7</w:t>
      </w:r>
      <w:commentRangeEnd w:id="0"/>
      <w:r>
        <w:commentReference w:id="0"/>
      </w:r>
      <w:r>
        <w:t xml:space="preserve"> showed resistance to seven antibiotics for gram-negative isolates, whereas CHI2 was susceptible to all antibiotics tested. Biofilm formation assays identified six isolates capable of producing biofilms. Hemolysis testing revealed diverse patterns, with eleven isolates each demonstrating alpha and beta hemolysis, while fourteen exhibited gamma hemolysis. The THBC varied significantly among hostels, with </w:t>
      </w:r>
      <w:commentRangeStart w:id="1"/>
      <w:r>
        <w:t>FESTAC and CAM</w:t>
      </w:r>
      <w:commentRangeEnd w:id="1"/>
      <w:r>
        <w:commentReference w:id="1"/>
      </w:r>
      <w:r>
        <w:t xml:space="preserve"> hostels showing the highest counts (1.77x10^4 and 1.86x10^4 CFU/ml, respectively). The study highlights the presence of potentially pathogenic bacteria with varying antibiotic resistance profiles in off-campus water sources. The coexistence of biofilm-forming abilities and hemolytic activities in some isolates raises concerns about their virulence potential. These findings underscore the importance of regularly monitoring and treating domestic water sources to ensure water safety and minimize public health risks associated with antibiotic-resistant and virulent bacteria. Furthermore, the study emphasizes the need for targeted interventions to address biofilm formation and prevent the spread of resistant bacterial strains in domestic water supply systems.</w:t>
      </w:r>
    </w:p>
    <w:p w14:paraId="615FD3A3">
      <w:r>
        <w:rPr>
          <w:b/>
          <w:bCs/>
        </w:rPr>
        <w:t>Keywords:</w:t>
      </w:r>
      <w:r>
        <w:t xml:space="preserve"> Biofilm formation, Antibiogram, Haemolytic bacteria, Antibiotic resistance, Domestic water sources, </w:t>
      </w:r>
      <w:commentRangeStart w:id="2"/>
      <w:r>
        <w:t>Total heterotrophic bacteria count (THBC), Waterborne pathogens, Water safety,</w:t>
      </w:r>
      <w:commentRangeEnd w:id="2"/>
      <w:r>
        <w:commentReference w:id="2"/>
      </w:r>
      <w:r>
        <w:t xml:space="preserve"> Public health</w:t>
      </w:r>
    </w:p>
    <w:p w14:paraId="24BE8F72">
      <w:pPr>
        <w:spacing w:line="240" w:lineRule="auto"/>
        <w:rPr>
          <w:b/>
          <w:bCs/>
          <w:szCs w:val="24"/>
        </w:rPr>
      </w:pPr>
    </w:p>
    <w:p w14:paraId="5B0D8EDC">
      <w:pPr>
        <w:spacing w:line="240" w:lineRule="auto"/>
        <w:rPr>
          <w:b/>
          <w:bCs/>
          <w:szCs w:val="24"/>
        </w:rPr>
      </w:pPr>
      <w:commentRangeStart w:id="3"/>
      <w:r>
        <w:rPr>
          <w:b/>
          <w:bCs/>
          <w:szCs w:val="24"/>
        </w:rPr>
        <w:t>Introduction</w:t>
      </w:r>
      <w:commentRangeEnd w:id="3"/>
      <w:r>
        <w:commentReference w:id="3"/>
      </w:r>
    </w:p>
    <w:p w14:paraId="532E9BB4">
      <w:r>
        <w:t>Water is an essential resource for human survival and plays a crucial role in maintaining public health. However, the quality of water, particularly in domestic settings, remains a significant concern worldwide. In developing countries, where water treatment infrastructure may be inadequate or inconsistent, the risk of waterborne diseases is particularly high (WHO, 2019). This issue is further compounded in off-campus student housing, where water sources may not be subject to the same rigorous monitoring and treatment processes as those on university campuses (Oluseyi et al., 2020). Recent studies have underscored the need for vigilant monitoring of water quality, particularly in areas where domestic water sources are subject to potential contamination by pathogenic microorganisms (World Health Organization, 2017).</w:t>
      </w:r>
    </w:p>
    <w:p w14:paraId="1F5E1F39">
      <w:r>
        <w:t>Accessibility to potable water supply has been a top priority of most developing societies in Sub-Saharan Africa like Nigeria. In Nigeria, the inability of the Government to provide pipe-borne water has led to the exploitation of groundwater for water supply by citizens. Groundwater is generally regarded as one of the pristine sources of water. However, recent studies have shown that the quality of groundwater in most urban areas in Nigeria is deteriorating fast (Ocheri et al., 2014). Mokuolu et al. (2017) reported that municipal water from treatment plants serves as the most secure drinking water source in many urban areas in Nigeria, however, the quality of pipe-borne water has been compromised due to the unsustainable demographic growth and breaches in the integrity of distribution pipe network (Eniola et al., 2015), which results from poor surveillance and maintenance practices by the government.</w:t>
      </w:r>
    </w:p>
    <w:p w14:paraId="69025EBA">
      <w:r>
        <w:t>The presence of pathogenic bacteria in domestic water sources poses a substantial threat to human health. These microorganisms can cause a wide range of illnesses, from mild gastrointestinal disturbances to severe systemic infections. Among the most concerning are those capable of forming biofilms and producing hemolysins, as these traits can enhance their survival in water systems and increase their virulence potential (Flemming et al., 2016). Biofilms, in particular, provide a protective environment for bacteria, allowing them to persist in water distribution systems and resist disinfection efforts (Percival et al., 2015).</w:t>
      </w:r>
    </w:p>
    <w:p w14:paraId="1AF8F31E">
      <w:r>
        <w:t>The ability of bacteria to form biofilms is a significant factor in their persistence within water distribution systems. Biofilms are complex communities of microorganisms that adhere to surfaces and are encased in a self-produced extracellular polymeric substance (EPS) matrix. This matrix provides protection against environmental stressors, including disinfectants and antibiotics, making biofilm-associated bacteria particularly challenging to eradicate (Hall-Stoodley et al., 2004). In the context of domestic water sources, biofilms can form on the inner surfaces of pipes, storage tanks, and other water infrastructure, creating reservoirs of potentially pathogenic bacteria that can periodically detach and contaminate the water supply (Wingender and Flemming, 2011).</w:t>
      </w:r>
    </w:p>
    <w:p w14:paraId="5B938ECD">
      <w:r>
        <w:t>Hemolytic bacteria, capable of lysing red blood cells, represent another category of concern in water quality assessments. The production of hemolysins is often associated with increased virulence, as these enzymes can damage host tissues and facilitate the spread of infection (Alonzo and Torres, 2014). In water systems, the presence of hemolytic bacteria not only indicates potential pathogenicity but also suggests the possibility of more severe health outcomes if these organisms are ingested or come into contact with broken skin (Ramírez-Castillo et al., 2015).</w:t>
      </w:r>
    </w:p>
    <w:p w14:paraId="46DA448F">
      <w:r>
        <w:t>The rise of antibiotic resistance among waterborne bacteria has further complicated the landscape of water safety and public health. The overuse and misuse of antibiotics in human medicine and agriculture have led to the emergence and spread of antibiotic-resistant strains, which can find their way into water sources through various routes, including human and animal waste (Pruden et al., 2013). When these resistant bacteria persist in domestic water supplies, they pose a dual threat: not only are they potentially pathogenic, but they also carry the risk of transferring resistance genes to other bacteria, including those that are typically commensal or opportunistic pathogens (Martinez, 2009).</w:t>
      </w:r>
    </w:p>
    <w:p w14:paraId="3E8505FB">
      <w:r>
        <w:t>The study of antibiotic resistance patterns, or antibiograms, of bacteria isolated from water sources provides valuable insights into the potential risks associated with these microorganisms. Antibiograms not only inform treatment strategies for infections caused by waterborne pathogens but also serve as indicators of the overall prevalence of antibiotic resistance in the environment (Jorgensen and Ferraro, 2009). In the context of off-campus student housing, where large numbers of young adults live in close proximity and often share water sources, the spread of antibiotic-resistant bacteria could have significant public health implications (Collignon et al., 2018).</w:t>
      </w:r>
    </w:p>
    <w:p w14:paraId="10433478">
      <w:r>
        <w:t>The intersection of biofilm formation, hemolytic activity, and antibiotic resistance in bacteria isolated from domestic water sources presents a complex challenge for water quality management and public health. Biofilms can act as reservoirs for antibiotic resistance genes, facilitating their transfer between bacterial species and potentially leading to the emergence of multi-drug resistant strains (Balcázar et al., 2015). Moreover, the protective environment of biofilms can enhance the survival of hemolytic bacteria, allowing them to persist in water systems and potentially cause infections in susceptible individuals (Kostakioti et al., 2013).</w:t>
      </w:r>
    </w:p>
    <w:p w14:paraId="7D40A19A">
      <w:r>
        <w:t>In developing countries, where water treatment and distribution infrastructure may be less robust, the risks associated with biofilm-forming, hemolytic, and antibiotic-resistant bacteria in domestic water sources are particularly pronounced. Limited access to clean water and inadequate sanitation facilities can exacerbate the spread of waterborne pathogens, leading to a higher incidence of waterborne diseases (Ashbolt, 2015). In such settings, off-campus student housing may be especially vulnerable, as it often falls outside the purview of university-managed water quality control measures (Onyango et al., 2018).</w:t>
      </w:r>
    </w:p>
    <w:p w14:paraId="3384921F">
      <w:r>
        <w:t>The assessment of water quality in off-campus student housing is crucial for several reasons. First, students represent a significant portion of the young adult population, and their health and well-being have broader societal implications. Second, the communal nature of student housing can facilitate the rapid spread of waterborne pathogens if present in the water supply. Third, students may come from diverse geographical backgrounds, potentially introducing or being exposed to novel bacterial strains (Saxena et al., 2015). Therefore, understanding the microbiological profile of water sources in these settings is essential for implementing targeted interventions and preventing outbreaks of waterborne diseases.</w:t>
      </w:r>
    </w:p>
    <w:p w14:paraId="7FE68ECB">
      <w:r>
        <w:t>The use of multiple analytical approaches, including culture-based methods, biochemical characterization, and molecular techniques, provides a comprehensive understanding of the bacterial communities present in water sources. Culture-based methods allow for the isolation and enumeration of viable bacteria, while biochemical tests help in the identification of specific genera and species (Rompré et al., 2002). Molecular techniques, such as PCR and sequencing, can provide further insights into the genetic basis of virulence factors and antibiotic resistance (Ramírez-Castillo et al., 2015).</w:t>
      </w:r>
    </w:p>
    <w:p w14:paraId="4B00F24A">
      <w:r>
        <w:t>The investigation of total heterotrophic bacteria count (THBC) serves as an important indicator of overall water quality and the effectiveness of treatment processes. While not all heterotrophic bacteria are pathogenic, high THBC can indicate conditions favorable for bacterial growth and may suggest the presence of nutrients that could support the proliferation of pathogenic organisms (Allen et al., 2004). In the context of off-campus student housing, where water storage and distribution systems may vary in quality and maintenance, monitoring THBC is crucial for identifying potential hotspots of bacterial contamination.</w:t>
      </w:r>
    </w:p>
    <w:p w14:paraId="7E5BD420">
      <w:r>
        <w:t xml:space="preserve">The specific focus on genera such as </w:t>
      </w:r>
      <w:commentRangeStart w:id="4"/>
      <w:r>
        <w:t>Staphylococcus, Pseudomonas, Vibrio, and Salmonella</w:t>
      </w:r>
      <w:commentRangeEnd w:id="4"/>
      <w:r>
        <w:commentReference w:id="4"/>
      </w:r>
      <w:r>
        <w:t xml:space="preserve"> in water quality assessments is warranted by their potential to cause a range of infections and their ability to persist in water environments. Staphylococcus species, particularly S. aureus, are known for their ability to form biofilms and produce hemolysins, making them formidable pathogens in both clinical and environmental settings (Archer et al., 2011). Pseudomonas, especially P. aeruginosa, is notorious for its intrinsic antibiotic resistance and its capacity to form robust biofilms in water systems (Drenkard and Ausubel, 2002). Vibrio species, including V. cholerae, pose a significant threat to water sources due to their ability to cause severe gastrointestinal infections (Lutz et al., 2013). Salmonella, a leading cause of foodborne illness worldwide, can also persist in water environments and poses a risk of waterborne transmission (Winfield and Groisman, 2003).</w:t>
      </w:r>
    </w:p>
    <w:p w14:paraId="23E5C843">
      <w:r>
        <w:t>The study of antibiotic resistance patterns in these bacterial isolates is particularly relevant in the context of off-campus student housing. Students may come from diverse backgrounds with varying exposure to antibiotics, and the communal living environment can facilitate the exchange of resistant bacteria or resistance genes. Moreover, the potential for students to seek medical care independently and possibly receive antibiotic treatments without proper oversight could contribute to the selection and spread of resistant strains (Collignon et al., 2018).</w:t>
      </w:r>
    </w:p>
    <w:p w14:paraId="414076E6">
      <w:r>
        <w:t xml:space="preserve">In conclusion, the investigation of hemolytic and biofilm-forming bacteria isolated from domestic water sources in off-campus settings, coupled with the analysis of their antibiotic resistance profiles, addresses a critical gap in our understanding of water quality and its implications for public health. This comprehensive approach not only provides insights into the current state of water safety in these environments but also informs strategies for monitoring, treatment, and prevention of waterborne diseases. By elucidating the complex interplay between bacterial virulence factors, persistence mechanisms, and antibiotic resistance, this study aims to contribute to the development of more effective water management practices and, ultimately, to the protection of student health in off-campus housing environments. </w:t>
      </w:r>
    </w:p>
    <w:p w14:paraId="2D255720">
      <w:pPr>
        <w:spacing w:line="360" w:lineRule="auto"/>
        <w:rPr>
          <w:b/>
          <w:bCs/>
          <w:szCs w:val="24"/>
        </w:rPr>
      </w:pPr>
      <w:r>
        <w:rPr>
          <w:b/>
          <w:bCs/>
          <w:szCs w:val="24"/>
        </w:rPr>
        <w:t>2. Materials and Methods</w:t>
      </w:r>
    </w:p>
    <w:p w14:paraId="0C8C4137">
      <w:pPr>
        <w:spacing w:line="360" w:lineRule="auto"/>
        <w:rPr>
          <w:b/>
          <w:bCs/>
          <w:szCs w:val="24"/>
        </w:rPr>
      </w:pPr>
      <w:r>
        <w:rPr>
          <w:b/>
          <w:bCs/>
          <w:szCs w:val="24"/>
        </w:rPr>
        <w:t>2.1 Study Location</w:t>
      </w:r>
    </w:p>
    <w:p w14:paraId="068269AE">
      <w:r>
        <w:t>The water samples used in this study were sourced from different student hostels off campus. Locations around the University of Port Harcourt including Choba, Aluu, Alakahia, and Rumuosi were all part of areas where borehole samples were collected.</w:t>
      </w:r>
    </w:p>
    <w:p w14:paraId="5BAA67C3">
      <w:pPr>
        <w:spacing w:line="360" w:lineRule="auto"/>
        <w:rPr>
          <w:b/>
          <w:bCs/>
          <w:szCs w:val="24"/>
        </w:rPr>
      </w:pPr>
      <w:r>
        <w:rPr>
          <w:b/>
          <w:bCs/>
          <w:szCs w:val="24"/>
        </w:rPr>
        <w:t>2.2 Collection of Samples</w:t>
      </w:r>
    </w:p>
    <w:p w14:paraId="76196F52">
      <w:r>
        <w:t>To obtain borehole samples, the nozzle of each of the taps was sterilized with cotton wool soaked in ethanol and the taps were left to run for two minutes to avoid water left on the pipe from being used as samples. Samples were collected using sterile containers from all the sampling points. The samples were transported to the laboratory for analysis.</w:t>
      </w:r>
    </w:p>
    <w:p w14:paraId="6E16CBB5">
      <w:pPr>
        <w:spacing w:line="360" w:lineRule="auto"/>
        <w:rPr>
          <w:b/>
          <w:bCs/>
          <w:szCs w:val="24"/>
        </w:rPr>
      </w:pPr>
      <w:r>
        <w:rPr>
          <w:b/>
          <w:bCs/>
          <w:szCs w:val="24"/>
        </w:rPr>
        <w:t>2.3 Media Preparation</w:t>
      </w:r>
    </w:p>
    <w:p w14:paraId="000C2DED">
      <w:pPr>
        <w:rPr>
          <w:b/>
          <w:bCs/>
        </w:rPr>
      </w:pPr>
      <w:r>
        <w:rPr>
          <w:b/>
          <w:bCs/>
        </w:rPr>
        <w:t>Nutrient Agar</w:t>
      </w:r>
    </w:p>
    <w:p w14:paraId="6E4A7D2A">
      <w:r>
        <w:t>Nutrient agar is a general-purpose media that is used in the laboratory to culture a variety of bacteria and can be used to obtain the total heterotrophic count of bacteria in a sample. The nutrient agar was prepared according to the manufacturer’s specifications by dissolving 28 g of nutrient agar powder in 1 L of distilled water, mixing properly, and autoclaved at 121</w:t>
      </w:r>
      <w:commentRangeStart w:id="5"/>
      <w:r>
        <w:t>oC</w:t>
      </w:r>
      <w:commentRangeEnd w:id="5"/>
      <w:r>
        <w:commentReference w:id="5"/>
      </w:r>
      <w:r>
        <w:t xml:space="preserve"> for 15 min at 15 psi, allowed to cool a little before dispensing into sterile Petri dishes and allowed to solidify.</w:t>
      </w:r>
    </w:p>
    <w:p w14:paraId="3AB0AA92">
      <w:pPr>
        <w:rPr>
          <w:b/>
          <w:bCs/>
        </w:rPr>
      </w:pPr>
      <w:r>
        <w:rPr>
          <w:b/>
          <w:bCs/>
        </w:rPr>
        <w:t>Salmonella Shigella Agar</w:t>
      </w:r>
    </w:p>
    <w:p w14:paraId="268C8353">
      <w:r>
        <w:t>The Salmonella Shigella Agar media was used to culture the growth salmonella species. 63 g of SS agar powder was dissolved into 1000 ml of distilled water according to the manufacturer’s specifications. The agar was boiled by heating for a few minutes and allowed to cool at 42-45oC before dispensing into Petri plates.</w:t>
      </w:r>
    </w:p>
    <w:p w14:paraId="7796CA49">
      <w:pPr>
        <w:rPr>
          <w:b/>
          <w:bCs/>
        </w:rPr>
      </w:pPr>
      <w:r>
        <w:rPr>
          <w:b/>
          <w:bCs/>
        </w:rPr>
        <w:t>Mannitol Salt Agar</w:t>
      </w:r>
    </w:p>
    <w:p w14:paraId="6EDB4921">
      <w:r>
        <w:t>The mannitol salt agar is a medium used for the isolation of Staphylococcus sp and was prepared according to the manufacturer’s specifications. 111 g of the agar was suspended in 1000 ml of distilled water, swirled, and boiled by heating to dissolve completely. After which it was sterilized by autoclaving at 121oC for 15 min and at 15 psi.</w:t>
      </w:r>
    </w:p>
    <w:p w14:paraId="6D916581">
      <w:pPr>
        <w:rPr>
          <w:b/>
          <w:bCs/>
        </w:rPr>
      </w:pPr>
      <w:r>
        <w:rPr>
          <w:b/>
          <w:bCs/>
        </w:rPr>
        <w:t xml:space="preserve">Preparation of </w:t>
      </w:r>
      <w:commentRangeStart w:id="6"/>
      <w:r>
        <w:rPr>
          <w:b/>
          <w:bCs/>
        </w:rPr>
        <w:t>Eiosin</w:t>
      </w:r>
      <w:commentRangeEnd w:id="6"/>
      <w:r>
        <w:commentReference w:id="6"/>
      </w:r>
      <w:r>
        <w:rPr>
          <w:b/>
          <w:bCs/>
        </w:rPr>
        <w:t xml:space="preserve"> Methylene Blue Agar</w:t>
      </w:r>
    </w:p>
    <w:p w14:paraId="7DF00311">
      <w:r>
        <w:t xml:space="preserve">The EMB agar media was used to culture the growth of Escherichia coli. 36 g of EMB agar powder was dissolved into 1000 ml of distilled water in accordance to the manufacturer’s specifications. The agar was subjected to heating for a few minutes and was sterilized in an autoclave at 121 </w:t>
      </w:r>
      <w:r>
        <w:rPr>
          <w:rFonts w:cs="Times New Roman"/>
        </w:rPr>
        <w:t>˚</w:t>
      </w:r>
      <w:r>
        <w:t>C for 15 min at 15 psi. The medium was allowed to cool before dispensing into Petri plates.</w:t>
      </w:r>
    </w:p>
    <w:p w14:paraId="7BB29118">
      <w:pPr>
        <w:rPr>
          <w:b/>
          <w:bCs/>
        </w:rPr>
      </w:pPr>
      <w:r>
        <w:rPr>
          <w:b/>
          <w:bCs/>
        </w:rPr>
        <w:t>Preparation of Thiosulphate Citrate Bile Salt Agar</w:t>
      </w:r>
    </w:p>
    <w:p w14:paraId="03F56F3F">
      <w:r>
        <w:t xml:space="preserve">The TCBS agar media was used to culture the growth Vibrio species and was prepared following the manufacturer’s specifications. 89 g of TCBS agar powder was dissolved into 1000 ml of distilled water. The agar was boiled by heating for a few minutes and allowed to cool at 42-45 </w:t>
      </w:r>
      <w:r>
        <w:rPr>
          <w:rFonts w:cs="Times New Roman"/>
        </w:rPr>
        <w:t>˚</w:t>
      </w:r>
      <w:r>
        <w:t>C before dispensing onto Petri plates</w:t>
      </w:r>
    </w:p>
    <w:p w14:paraId="72A12E55">
      <w:pPr>
        <w:rPr>
          <w:b/>
          <w:bCs/>
        </w:rPr>
      </w:pPr>
      <w:r>
        <w:rPr>
          <w:b/>
          <w:bCs/>
        </w:rPr>
        <w:t xml:space="preserve">2.4 Isolation, Cultivation, and Counting of Bacteria </w:t>
      </w:r>
    </w:p>
    <w:p w14:paraId="6EFA22C8">
      <w:r>
        <w:t>Ten-fold serial dilution was performed on the samples. 10ml of the water Sample was suspended in 90ml sterile normal saline (0.85% w/v, Nacl) to make a stock solution. 1ml of the aliquot was pipetted into a test tube containing 9ml sterile normal saline to make 10-1,10-2 and 10-3. Using a sterile 1ml pipette (syringe), 0.1ml of each of the dilutions was inoculated into nutrient agar plates by the spread plate technique (Standard Method for the evaluation of water and wastewater,1985). The inocula was spread evenly using a sterile glass rod. Incubation of the petri dishes was carried out in an inverted position at 37</w:t>
      </w:r>
      <w:commentRangeStart w:id="7"/>
      <w:r>
        <w:t>0</w:t>
      </w:r>
      <w:commentRangeEnd w:id="7"/>
      <w:r>
        <w:commentReference w:id="7"/>
      </w:r>
      <w:r>
        <w:t xml:space="preserve">C for 24 hours. The number of colonies was enumerated after incubation of the plates that yielded between 30 to 300 colonies The inoculation was done in duplicates to minimize error and the average was taken afterwards. </w:t>
      </w:r>
      <w:commentRangeStart w:id="8"/>
      <w:r>
        <w:t>The number of colonies formed was calculated by multiplying the number of colonies by the dilution factor and the inverse of the volume plated.</w:t>
      </w:r>
      <w:commentRangeEnd w:id="8"/>
      <w:r>
        <w:commentReference w:id="8"/>
      </w:r>
      <w:r>
        <w:t xml:space="preserve"> Colonies were sub-cultured to obtain pure colonies which were stored in bottles for further tests.</w:t>
      </w:r>
    </w:p>
    <w:p w14:paraId="15AD4D61">
      <w:pPr>
        <w:rPr>
          <w:b/>
          <w:bCs/>
        </w:rPr>
      </w:pPr>
      <w:r>
        <w:rPr>
          <w:b/>
          <w:bCs/>
        </w:rPr>
        <w:t>2.5 Colonial Characterization and Identification of Isolates</w:t>
      </w:r>
    </w:p>
    <w:p w14:paraId="1B8CF9D7">
      <w:r>
        <w:t>Isolates were identified based on their morphological (cultural characteristics) on growth media and biochemical tests. Identification protocol according to Cheesebrough, (2000) was used to identify discrete colonies from the bacteriological media of sub-cultured isolates. Morphological Characterization of bacterial isolates was based on cell morphology which includes shape, size, opacity, colour, edge, elevation, Gram stain, and biochemical tests while the biochemical identification includes the citrate, catalase, motility, etc. tests carried out.</w:t>
      </w:r>
    </w:p>
    <w:p w14:paraId="05A84908">
      <w:pPr>
        <w:rPr>
          <w:b/>
          <w:bCs/>
        </w:rPr>
      </w:pPr>
      <w:r>
        <w:rPr>
          <w:b/>
          <w:bCs/>
        </w:rPr>
        <w:t>2.6 Gram Staining</w:t>
      </w:r>
    </w:p>
    <w:p w14:paraId="66355460">
      <w:r>
        <w:t>This test was employed to differentiate the bacterial isolates into two groups of Gram-positive and Gram-negative organisms. Gram staining differentiates bacteria by the chemical and physical properties of their cell wall by detecting peptidoglycan which is present in a thick layer in Gram-positive bacteria. (Beveridge., 2001). The test was performed as described by Holts et al, (1994). A smear of the test bacterial culture was prepared and heat-fixed in a grease-free slide. The slide was flooded with crystal violet for one minute gently washed off with tap water and then dried off. The slide was exposed to gram's iodine for one minute and then washed with 75% alcohol for 30 seconds. The slide was washed with tap water and air dried then 0.25% safranin was used to counter-stain the slide for 30 seconds. The slide was washed, drained dried, and examined under an oil-immersion microscope (x100). A purple colouration indicated a gram-positive organism as a result of retention of the primary stain (crystal violet). In contrast, pink colouration, arising from the colour of the counterstain (safranin) as a result of the inability to retain the primary stain indicated a gram-negative organism (Rohde et al., 2019).</w:t>
      </w:r>
    </w:p>
    <w:p w14:paraId="0A5923BC">
      <w:pPr>
        <w:rPr>
          <w:b/>
          <w:bCs/>
        </w:rPr>
      </w:pPr>
      <w:r>
        <w:rPr>
          <w:b/>
          <w:bCs/>
        </w:rPr>
        <w:t>2.7 Biochemical Test to Identify Bacterial Isolates</w:t>
      </w:r>
    </w:p>
    <w:p w14:paraId="18BC90DB">
      <w:pPr>
        <w:rPr>
          <w:b/>
          <w:bCs/>
        </w:rPr>
      </w:pPr>
      <w:r>
        <w:rPr>
          <w:b/>
          <w:bCs/>
        </w:rPr>
        <w:t>Oxidase Test</w:t>
      </w:r>
    </w:p>
    <w:p w14:paraId="150DE5D2">
      <w:r>
        <w:t xml:space="preserve">This test was carried out to determine the ability of the isolates to produce oxidase enzymes. The dry filter paper method as described by McFadden (2000) was employed. A piece of filter paper was soaked with the reagent solution, allowed to dry and further smeared with a Colony of the isolates and observed for the formation of purple colour. The purple colour within 2 minutes indicated a positive result while isolates with no purple colour within 2 minutes were adjudged negative (Yehia et al., 2015). </w:t>
      </w:r>
    </w:p>
    <w:p w14:paraId="51366EF9">
      <w:pPr>
        <w:rPr>
          <w:b/>
          <w:bCs/>
        </w:rPr>
      </w:pPr>
      <w:r>
        <w:rPr>
          <w:b/>
          <w:bCs/>
        </w:rPr>
        <w:t>Catalase test</w:t>
      </w:r>
    </w:p>
    <w:p w14:paraId="304C1D73">
      <w:r>
        <w:t>This test was carried out to identify catalase-producing bacteria and non-productive bacteria as described by Macfidden (2000). The slide test method was carried out. A drop of hydrogen peroxide solution was placed on a sterile glass slide using a sterile wire loop after which a Colony of each of the isolates was collected and placed in another sterile glass slide which served as a cover slip. This was inverted and placed on the hydrogen peroxide solution and observed for 10 seconds. The formation of bubbles showed a catalase-positive result whereas the non-production of bubbles showed a negative result (Nakashima et al., 2015)</w:t>
      </w:r>
    </w:p>
    <w:p w14:paraId="73129A31">
      <w:pPr>
        <w:rPr>
          <w:b/>
          <w:bCs/>
        </w:rPr>
      </w:pPr>
      <w:r>
        <w:rPr>
          <w:b/>
          <w:bCs/>
        </w:rPr>
        <w:t>Methyl Red Test</w:t>
      </w:r>
    </w:p>
    <w:p w14:paraId="72355574">
      <w:r>
        <w:t>During mixed acid fermentation, a variety of end products would be elicited. These include ethanol, succinate, lactate, acetate, molecular hydrogen, and carbon dioxide. The products vary depending on the bacterial species. In a situation where mixed acid fermentation is the primary fermentation pathway for bacteria species, acidic products will accumulate a sufficient amount. This will drastically reduce the pH of the spent broth.MR-VP medium measuring 15g was dissolved in one liter of distilled water and 10 ml was dispensed into each tube and autoclaved. The isolates will then be inoculated into the cooled medium and incubated at 370C for 48 hours, after which three drops of 0.02% methyl red reagent were added to 5ml of the culture and observed. A red colour reaction signified a positive result and a yellow colour indicates a negative result (Omemu et al., 2018)</w:t>
      </w:r>
    </w:p>
    <w:p w14:paraId="031C2899">
      <w:pPr>
        <w:rPr>
          <w:b/>
          <w:bCs/>
        </w:rPr>
      </w:pPr>
      <w:r>
        <w:rPr>
          <w:b/>
          <w:bCs/>
        </w:rPr>
        <w:t>Voges Proskaeur Test</w:t>
      </w:r>
    </w:p>
    <w:p w14:paraId="6A4E26F5">
      <w:r>
        <w:t>This test was carried out to determine the ability of some isolates to ferment carbohydrates and produce acetyl methyl carbinol or reduced product 2, 3 butylenes glycol (CH3 CHOH.CH3). Also, 5 ml culture from methyl red test would be used and 3 drops of 40% KOH and 6 drops of alpha naphthol added. The colour was observed to change from amber to pink or red indicating a positive reaction (Sah et al., 2010)</w:t>
      </w:r>
    </w:p>
    <w:p w14:paraId="533979BE">
      <w:pPr>
        <w:rPr>
          <w:b/>
          <w:bCs/>
        </w:rPr>
      </w:pPr>
      <w:r>
        <w:rPr>
          <w:b/>
          <w:bCs/>
        </w:rPr>
        <w:t>Indole Test</w:t>
      </w:r>
      <w:r>
        <w:rPr>
          <w:b/>
          <w:bCs/>
        </w:rPr>
        <w:tab/>
      </w:r>
    </w:p>
    <w:p w14:paraId="5F005EB7">
      <w:r>
        <w:t>This test was carried out to test the ability of the isolates to break down tryptophan for nutritional needs using the enzyme tryptophase and producing indolent using Kovac's reagent. The test was carried out as described by (Harley, 2005). The isolate was incubated in a test tube containing peptone water for 48 hours at 37°C. After incubation, 0.5ml (about 5 drops) of Kovac's reagent was poured into the test tube and observed after agitation for a minute, a positive indole test was indicated by the formation of a pink to red color, ('cherry-red ring ') in the reagent's layer on top of the medium within seconds of adding the reagent. In contrast, the formation of yellow or slightly cloudy colour indicated a negative result (McFaddin, 2006).</w:t>
      </w:r>
    </w:p>
    <w:p w14:paraId="2C3E7384">
      <w:pPr>
        <w:rPr>
          <w:b/>
          <w:bCs/>
        </w:rPr>
      </w:pPr>
      <w:r>
        <w:rPr>
          <w:b/>
          <w:bCs/>
        </w:rPr>
        <w:t>Citrate Test</w:t>
      </w:r>
    </w:p>
    <w:p w14:paraId="72E24B0B">
      <w:r>
        <w:t>This is based on the ability of the organism to use citrate as its sole source of carbon and energy, and ammonium salt as a sole source of nitrogen. The medium used was Simmon’s citrate agar. The medium was boiled by heating and dispensed into test tubes which are then autoclaved for 15 minutes at 1210C to achieve sterilization. After sterilization, the medium would be allowed to set in a slanting position before inoculating the organism. The culture was incubated at 370C for 24-48 hours. Positive results show a colour change from green to blue while for a negative result, there is no colour change (Hemalatha et al., 2011).</w:t>
      </w:r>
    </w:p>
    <w:p w14:paraId="6E65D8C2">
      <w:pPr>
        <w:rPr>
          <w:b/>
          <w:bCs/>
        </w:rPr>
      </w:pPr>
      <w:r>
        <w:rPr>
          <w:b/>
          <w:bCs/>
        </w:rPr>
        <w:t>Sugar Fermentation Test</w:t>
      </w:r>
    </w:p>
    <w:p w14:paraId="163BB7BC">
      <w:r>
        <w:t>This test was carried out to determine the utilization of some sugars by the isolates. The sugars tested are glucose, lactose, maltose, and sucrose. Exactly 1g of peptone water powder was weighed and transferred into a conical flask. One gram of each sugar was weighed and added to the flask, and 1 mL of Bromo-thymol blue indicator was added to the flask and was dispensed in 100 mL of water. The broth was mixed and dispensed into bijou bottles or test tubes containing inverted Durham tubes. The peptone water broth in the bijou bottles or test tubes was sterilized in the autoclave at 1150C for 15 minutes. The procedure was repeated for other sugars; the peptone water broth was allowed to cool before inoculating the culture and was then incubated at room temperature for 24 hours. The ability of the isolates to utilize sugar will show a colour change to light blue and in some cases, the production of gas in the Durham tubes (Bhardwaj et al., 2012)</w:t>
      </w:r>
    </w:p>
    <w:p w14:paraId="3C735F03">
      <w:pPr>
        <w:rPr>
          <w:b/>
          <w:bCs/>
        </w:rPr>
      </w:pPr>
      <w:r>
        <w:rPr>
          <w:b/>
          <w:bCs/>
        </w:rPr>
        <w:t>2.8 Determination of Biofilm Formation</w:t>
      </w:r>
    </w:p>
    <w:p w14:paraId="677496B3">
      <w:r>
        <w:t xml:space="preserve">Brain heart infusion was prepared, glucose was added and supplemented with 0.8% </w:t>
      </w:r>
      <w:commentRangeStart w:id="9"/>
      <w:r>
        <w:t>Congo red</w:t>
      </w:r>
      <w:commentRangeEnd w:id="9"/>
      <w:r>
        <w:commentReference w:id="9"/>
      </w:r>
      <w:r>
        <w:t xml:space="preserve"> indicator and autoclaved at 121oC for 15 minutes at 15psi. A pure culture of bacteria isolates was then streaked Congo red agar plates incubated for 24 hours and inspected for black pigmentation (Azzawi et al.,2015)</w:t>
      </w:r>
    </w:p>
    <w:p w14:paraId="6DE3052C">
      <w:pPr>
        <w:rPr>
          <w:b/>
          <w:bCs/>
        </w:rPr>
      </w:pPr>
      <w:r>
        <w:rPr>
          <w:b/>
          <w:bCs/>
        </w:rPr>
        <w:t xml:space="preserve">2.9 Antibiotics Susceptibility Testing </w:t>
      </w:r>
    </w:p>
    <w:p w14:paraId="394A5E53">
      <w:r>
        <w:t>Antibiotic sensitivity patterns of all the confirmed E. coli isolates were performed by standard disk diffusion method according to Kirby-Bauer on Mueller-Hinton agar (Titan, Biotech Ltd, Indian) following the procedures recommended by CLSI (2012). Twelve commonly used antibiotics (µg/disc) viz. Gentamycin (GN) 10ug; Ofloxacin (OFX) 5ug; Imipenem (IMP) 10ug; (LEV) Levefotaxim (CTX) 25ug; Ampiclox (ACX) 10ug; Cefuroxim (CXM), 30ug; Levofloxacin (LEV) 5ug; Nalixidic acid (NA) 30ug; Cefixime (ZEM) 5ug; Augmentine (AUG); 30ug; Ceftriaxone sulbactam (CRO) 45ug; and Nitrofurantoin (NIT) 300ug. Abtek, (UK) was tested. From an overnight culture E. coli, (0.5 MacFarland turbidity standards) bacterial culture was prepared in sterile saline, from which 0.1mL was inoculated onto Mueller Hinton agar, after which antibiotic discs were carefully and aseptically placed on the surface of the agar. The plates were incubated at 37oC for 24h. The zone of inhibition was measured in millimeters (Naqid et al., 2020)</w:t>
      </w:r>
    </w:p>
    <w:p w14:paraId="75115B02">
      <w:pPr>
        <w:rPr>
          <w:b/>
          <w:bCs/>
        </w:rPr>
      </w:pPr>
      <w:r>
        <w:rPr>
          <w:b/>
          <w:bCs/>
        </w:rPr>
        <w:t xml:space="preserve">Haemaglutination testing </w:t>
      </w:r>
    </w:p>
    <w:p w14:paraId="4F360055">
      <w:r>
        <w:t>Tripticase soy agar was prepared according to the manufacturer’s instructions and autoclaved at 121oC for 15 minutes at 15psi. The media was allowed to cool up to 37oC and then supplemented with sheep blood immediately before pouring the plates. Pure culture of bacterial isolates was then streaked on blood agar plates and incubated for 24 hours for haemolysis to be visualized (Puglia et al., 2000)</w:t>
      </w:r>
    </w:p>
    <w:p w14:paraId="59061517"/>
    <w:p w14:paraId="1F66E4BF">
      <w:pPr>
        <w:spacing w:line="360" w:lineRule="auto"/>
        <w:rPr>
          <w:b/>
          <w:bCs/>
          <w:szCs w:val="24"/>
        </w:rPr>
      </w:pPr>
      <w:r>
        <w:rPr>
          <w:b/>
          <w:bCs/>
          <w:szCs w:val="24"/>
        </w:rPr>
        <w:t xml:space="preserve">3. RESULT </w:t>
      </w:r>
    </w:p>
    <w:p w14:paraId="4B0BC64A">
      <w:pPr>
        <w:rPr>
          <w:b/>
          <w:bCs/>
        </w:rPr>
      </w:pPr>
      <w:bookmarkStart w:id="0" w:name="_Toc15228"/>
      <w:r>
        <w:rPr>
          <w:b/>
          <w:bCs/>
        </w:rPr>
        <w:t>3.1 Total Heterotrophic Bacteria Count of Borehole Water Obtained from Off-Campus Hostels</w:t>
      </w:r>
      <w:bookmarkEnd w:id="0"/>
    </w:p>
    <w:p w14:paraId="1DC2E9AA">
      <w:pPr>
        <w:spacing w:line="276" w:lineRule="auto"/>
        <w:rPr>
          <w:rFonts w:cs="Times New Roman"/>
          <w:szCs w:val="24"/>
        </w:rPr>
      </w:pPr>
      <w:r>
        <w:rPr>
          <w:rFonts w:cs="Times New Roman"/>
          <w:szCs w:val="24"/>
        </w:rPr>
        <w:t>The total heterotrophic bacteria count (THBC) obtained from the different water samples studied showed that FESTAC hostel had the highest THBC of 1.77x10</w:t>
      </w:r>
      <w:r>
        <w:rPr>
          <w:rFonts w:cs="Times New Roman"/>
          <w:szCs w:val="24"/>
          <w:vertAlign w:val="superscript"/>
        </w:rPr>
        <w:t>4</w:t>
      </w:r>
      <w:r>
        <w:rPr>
          <w:rFonts w:cs="Times New Roman"/>
          <w:szCs w:val="24"/>
        </w:rPr>
        <w:t xml:space="preserve"> CFU/ml followed by CAM hostel with 1.86x10</w:t>
      </w:r>
      <w:commentRangeStart w:id="10"/>
      <w:r>
        <w:rPr>
          <w:rFonts w:cs="Times New Roman"/>
          <w:szCs w:val="24"/>
        </w:rPr>
        <w:t>4</w:t>
      </w:r>
      <w:r>
        <w:rPr>
          <w:rFonts w:cs="Times New Roman"/>
          <w:szCs w:val="24"/>
          <w:vertAlign w:val="superscript"/>
        </w:rPr>
        <w:t xml:space="preserve"> </w:t>
      </w:r>
      <w:commentRangeEnd w:id="10"/>
      <w:r>
        <w:commentReference w:id="10"/>
      </w:r>
      <w:r>
        <w:rPr>
          <w:rFonts w:cs="Times New Roman"/>
          <w:szCs w:val="24"/>
        </w:rPr>
        <w:t>CFU/ml. LAN, CHI, ONU, and TROY hostels had THB counts of 1.87x10</w:t>
      </w:r>
      <w:r>
        <w:rPr>
          <w:rFonts w:cs="Times New Roman"/>
          <w:szCs w:val="24"/>
          <w:vertAlign w:val="superscript"/>
        </w:rPr>
        <w:t>3</w:t>
      </w:r>
      <w:r>
        <w:rPr>
          <w:rFonts w:cs="Times New Roman"/>
          <w:szCs w:val="24"/>
        </w:rPr>
        <w:t>, 1.64x10</w:t>
      </w:r>
      <w:r>
        <w:rPr>
          <w:rFonts w:cs="Times New Roman"/>
          <w:szCs w:val="24"/>
          <w:vertAlign w:val="superscript"/>
        </w:rPr>
        <w:t>3</w:t>
      </w:r>
      <w:r>
        <w:rPr>
          <w:rFonts w:cs="Times New Roman"/>
          <w:szCs w:val="24"/>
        </w:rPr>
        <w:t>, 4.75x10</w:t>
      </w:r>
      <w:r>
        <w:rPr>
          <w:rFonts w:cs="Times New Roman"/>
          <w:szCs w:val="24"/>
          <w:vertAlign w:val="superscript"/>
        </w:rPr>
        <w:t>3</w:t>
      </w:r>
      <w:r>
        <w:rPr>
          <w:rFonts w:cs="Times New Roman"/>
          <w:szCs w:val="24"/>
        </w:rPr>
        <w:t>, and 2.0x10</w:t>
      </w:r>
      <w:r>
        <w:rPr>
          <w:rFonts w:cs="Times New Roman"/>
          <w:szCs w:val="24"/>
          <w:vertAlign w:val="superscript"/>
        </w:rPr>
        <w:t>3</w:t>
      </w:r>
      <w:r>
        <w:rPr>
          <w:rFonts w:cs="Times New Roman"/>
          <w:szCs w:val="24"/>
        </w:rPr>
        <w:t xml:space="preserve"> CFU/ml respectively. See Table 1 below. </w:t>
      </w:r>
    </w:p>
    <w:p w14:paraId="598ADDFF">
      <w:pPr>
        <w:rPr>
          <w:b/>
          <w:bCs/>
        </w:rPr>
      </w:pPr>
      <w:bookmarkStart w:id="1" w:name="_Toc8898"/>
      <w:r>
        <w:rPr>
          <w:b/>
          <w:bCs/>
        </w:rPr>
        <w:t>3.2 Staphylococcus Counts of Borehole Water Obtained from Off-Campus Hostels</w:t>
      </w:r>
      <w:bookmarkEnd w:id="1"/>
    </w:p>
    <w:p w14:paraId="3F73652A">
      <w:pPr>
        <w:spacing w:line="276" w:lineRule="auto"/>
        <w:rPr>
          <w:rFonts w:cs="Times New Roman"/>
          <w:szCs w:val="24"/>
        </w:rPr>
      </w:pPr>
      <w:r>
        <w:rPr>
          <w:rFonts w:cs="Times New Roman"/>
          <w:szCs w:val="24"/>
        </w:rPr>
        <w:t>The Staphylococcus count obtained from the different water samples studied showed that CAM, hostel has the highest Staphylococcus count of 1.45x10</w:t>
      </w:r>
      <w:r>
        <w:rPr>
          <w:rFonts w:cs="Times New Roman"/>
          <w:szCs w:val="24"/>
          <w:vertAlign w:val="superscript"/>
        </w:rPr>
        <w:t>2 CFU</w:t>
      </w:r>
      <w:r>
        <w:rPr>
          <w:rFonts w:cs="Times New Roman"/>
          <w:szCs w:val="24"/>
        </w:rPr>
        <w:t>/ml followed by TROY hostel with 1.15x10</w:t>
      </w:r>
      <w:r>
        <w:rPr>
          <w:rFonts w:cs="Times New Roman"/>
          <w:szCs w:val="24"/>
          <w:vertAlign w:val="superscript"/>
        </w:rPr>
        <w:t xml:space="preserve">2   </w:t>
      </w:r>
      <w:r>
        <w:rPr>
          <w:rFonts w:cs="Times New Roman"/>
          <w:szCs w:val="24"/>
        </w:rPr>
        <w:t>CFU/ml.  ONU and FESTAC hostels had the same Staphylococcus counts of 2.5x10</w:t>
      </w:r>
      <w:r>
        <w:rPr>
          <w:rFonts w:cs="Times New Roman"/>
          <w:szCs w:val="24"/>
          <w:vertAlign w:val="superscript"/>
        </w:rPr>
        <w:t>1</w:t>
      </w:r>
      <w:r>
        <w:rPr>
          <w:rFonts w:cs="Times New Roman"/>
          <w:szCs w:val="24"/>
        </w:rPr>
        <w:t>, while LAN and CHI hostels had no staphylococcus count at all. See table 2 below.</w:t>
      </w:r>
    </w:p>
    <w:p w14:paraId="48FCDAD1">
      <w:pPr>
        <w:rPr>
          <w:b/>
          <w:bCs/>
        </w:rPr>
      </w:pPr>
      <w:bookmarkStart w:id="2" w:name="_Toc19166"/>
      <w:r>
        <w:rPr>
          <w:b/>
          <w:bCs/>
        </w:rPr>
        <w:t>3.3 Pseudomonas Counts of Borehole Water Obtained from Off-Campus Hostels</w:t>
      </w:r>
      <w:bookmarkEnd w:id="2"/>
    </w:p>
    <w:p w14:paraId="2763669C">
      <w:pPr>
        <w:spacing w:line="276" w:lineRule="auto"/>
        <w:rPr>
          <w:rFonts w:cs="Times New Roman"/>
          <w:szCs w:val="24"/>
        </w:rPr>
      </w:pPr>
      <w:r>
        <w:rPr>
          <w:rFonts w:cs="Times New Roman"/>
          <w:szCs w:val="24"/>
        </w:rPr>
        <w:t>The Pseudomonas count obtained from the different water samples studied showed that CAM, hostel has a Staphylococcus count of 2.2x10</w:t>
      </w:r>
      <w:r>
        <w:rPr>
          <w:rFonts w:cs="Times New Roman"/>
          <w:szCs w:val="24"/>
          <w:vertAlign w:val="superscript"/>
        </w:rPr>
        <w:t>2 CFU</w:t>
      </w:r>
      <w:r>
        <w:rPr>
          <w:rFonts w:cs="Times New Roman"/>
          <w:szCs w:val="24"/>
        </w:rPr>
        <w:t>/ml, and there was no Staphylococcus count for samples from LAN, CHI, ONU, TROY, and FESTAC hostels. See table 3 below.</w:t>
      </w:r>
    </w:p>
    <w:p w14:paraId="2B642A9E">
      <w:pPr>
        <w:rPr>
          <w:b/>
          <w:bCs/>
        </w:rPr>
      </w:pPr>
      <w:bookmarkStart w:id="3" w:name="_Toc21490"/>
      <w:r>
        <w:rPr>
          <w:b/>
          <w:bCs/>
        </w:rPr>
        <w:t>3.4 Vibrio Counts of Borehole Water Obtained from Off-Campus Hostels</w:t>
      </w:r>
      <w:bookmarkEnd w:id="3"/>
    </w:p>
    <w:p w14:paraId="3CC3AEDD">
      <w:pPr>
        <w:spacing w:line="276" w:lineRule="auto"/>
        <w:rPr>
          <w:rFonts w:cs="Times New Roman"/>
          <w:szCs w:val="24"/>
        </w:rPr>
      </w:pPr>
      <w:r>
        <w:rPr>
          <w:rFonts w:cs="Times New Roman"/>
          <w:szCs w:val="24"/>
        </w:rPr>
        <w:t>The Vibrio count obtained from the different water samples studied showed that TROY hostel has the highest Vibrio count of 2.15x10</w:t>
      </w:r>
      <w:r>
        <w:rPr>
          <w:rFonts w:cs="Times New Roman"/>
          <w:szCs w:val="24"/>
          <w:vertAlign w:val="superscript"/>
        </w:rPr>
        <w:t xml:space="preserve">2 </w:t>
      </w:r>
      <w:r>
        <w:rPr>
          <w:rFonts w:cs="Times New Roman"/>
          <w:szCs w:val="24"/>
        </w:rPr>
        <w:t>CFU/ml and ONU hostel has 1.7x10</w:t>
      </w:r>
      <w:r>
        <w:rPr>
          <w:rFonts w:cs="Times New Roman"/>
          <w:szCs w:val="24"/>
          <w:vertAlign w:val="superscript"/>
        </w:rPr>
        <w:t xml:space="preserve">2   </w:t>
      </w:r>
      <w:r>
        <w:rPr>
          <w:rFonts w:cs="Times New Roman"/>
          <w:szCs w:val="24"/>
        </w:rPr>
        <w:t>CFU/ml. CHI, FESTAC, LAN, and CAM hostels had no Vibrio count at all. See table 4 below.</w:t>
      </w:r>
    </w:p>
    <w:p w14:paraId="3A18285B">
      <w:pPr>
        <w:rPr>
          <w:b/>
          <w:bCs/>
        </w:rPr>
      </w:pPr>
      <w:bookmarkStart w:id="4" w:name="_Toc8939"/>
      <w:r>
        <w:rPr>
          <w:b/>
          <w:bCs/>
        </w:rPr>
        <w:t>3.5 Salmonella Counts of Borehole Water Obtained from Off-Campus Hostels</w:t>
      </w:r>
      <w:bookmarkEnd w:id="4"/>
    </w:p>
    <w:p w14:paraId="51963990">
      <w:pPr>
        <w:spacing w:line="276" w:lineRule="auto"/>
        <w:rPr>
          <w:rFonts w:cs="Times New Roman"/>
          <w:szCs w:val="24"/>
        </w:rPr>
      </w:pPr>
      <w:r>
        <w:rPr>
          <w:rFonts w:cs="Times New Roman"/>
          <w:szCs w:val="24"/>
        </w:rPr>
        <w:t>The Salmonella count obtained from the different water samples studied showed that CAM hostel has the highest Salmonella count of 2.1x10</w:t>
      </w:r>
      <w:r>
        <w:rPr>
          <w:rFonts w:cs="Times New Roman"/>
          <w:szCs w:val="24"/>
          <w:vertAlign w:val="superscript"/>
        </w:rPr>
        <w:t>2 CFU</w:t>
      </w:r>
      <w:r>
        <w:rPr>
          <w:rFonts w:cs="Times New Roman"/>
          <w:szCs w:val="24"/>
        </w:rPr>
        <w:t>/ml and LAN hostel has 1.3x10</w:t>
      </w:r>
      <w:r>
        <w:rPr>
          <w:rFonts w:cs="Times New Roman"/>
          <w:szCs w:val="24"/>
          <w:vertAlign w:val="superscript"/>
        </w:rPr>
        <w:t xml:space="preserve">2   </w:t>
      </w:r>
      <w:r>
        <w:rPr>
          <w:rFonts w:cs="Times New Roman"/>
          <w:szCs w:val="24"/>
        </w:rPr>
        <w:t>CFU/ml. CHI, FESTAC, ONU, and CAM hostels had no Salmonella count at all. See table 5 below.</w:t>
      </w:r>
    </w:p>
    <w:p w14:paraId="24493132">
      <w:pPr>
        <w:spacing w:line="276" w:lineRule="auto"/>
        <w:rPr>
          <w:rFonts w:cs="Times New Roman"/>
          <w:szCs w:val="24"/>
        </w:rPr>
      </w:pPr>
    </w:p>
    <w:p w14:paraId="0B2B3A88">
      <w:pPr>
        <w:spacing w:line="360" w:lineRule="auto"/>
        <w:rPr>
          <w:rFonts w:eastAsia="Times New Roman" w:cs="Times New Roman"/>
          <w:b/>
          <w:bCs/>
          <w:szCs w:val="24"/>
        </w:rPr>
      </w:pPr>
      <w:bookmarkStart w:id="5" w:name="_Hlk171544465"/>
      <w:commentRangeStart w:id="11"/>
      <w:r>
        <w:rPr>
          <w:rFonts w:eastAsia="Times New Roman" w:cs="Times New Roman"/>
          <w:b/>
          <w:bCs/>
          <w:szCs w:val="24"/>
        </w:rPr>
        <w:t>Table 1: Total Count of Colonies on Various Media Plates</w:t>
      </w:r>
      <w:commentRangeEnd w:id="11"/>
      <w:r>
        <w:commentReference w:id="11"/>
      </w:r>
    </w:p>
    <w:bookmarkEnd w:id="5"/>
    <w:p w14:paraId="1471387E">
      <w:pPr>
        <w:spacing w:line="360" w:lineRule="auto"/>
        <w:rPr>
          <w:rFonts w:eastAsia="Times New Roman" w:cs="Times New Roman"/>
          <w:b/>
          <w:bCs/>
          <w:szCs w:val="24"/>
        </w:rPr>
      </w:pPr>
      <w:r>
        <w:rPr>
          <w:rFonts w:eastAsia="Times New Roman" w:cs="Times New Roman"/>
          <w:b/>
          <w:bCs/>
          <w:szCs w:val="24"/>
        </w:rPr>
        <w:t>LogCFU/ml</w:t>
      </w:r>
    </w:p>
    <w:tbl>
      <w:tblPr>
        <w:tblStyle w:val="7"/>
        <w:tblW w:w="9226" w:type="dxa"/>
        <w:tblInd w:w="0" w:type="dxa"/>
        <w:tblLayout w:type="autofit"/>
        <w:tblCellMar>
          <w:top w:w="0" w:type="dxa"/>
          <w:left w:w="108" w:type="dxa"/>
          <w:bottom w:w="0" w:type="dxa"/>
          <w:right w:w="108" w:type="dxa"/>
        </w:tblCellMar>
      </w:tblPr>
      <w:tblGrid>
        <w:gridCol w:w="1701"/>
        <w:gridCol w:w="1188"/>
        <w:gridCol w:w="1188"/>
        <w:gridCol w:w="535"/>
        <w:gridCol w:w="535"/>
        <w:gridCol w:w="1501"/>
        <w:gridCol w:w="1545"/>
        <w:gridCol w:w="1197"/>
      </w:tblGrid>
      <w:tr w14:paraId="01DBDB0D">
        <w:tblPrEx>
          <w:tblCellMar>
            <w:top w:w="0" w:type="dxa"/>
            <w:left w:w="108" w:type="dxa"/>
            <w:bottom w:w="0" w:type="dxa"/>
            <w:right w:w="108" w:type="dxa"/>
          </w:tblCellMar>
        </w:tblPrEx>
        <w:trPr>
          <w:cantSplit/>
          <w:trHeight w:val="1954" w:hRule="atLeast"/>
        </w:trPr>
        <w:tc>
          <w:tcPr>
            <w:tcW w:w="1701" w:type="dxa"/>
            <w:tcBorders>
              <w:top w:val="nil"/>
              <w:left w:val="nil"/>
              <w:bottom w:val="nil"/>
              <w:right w:val="nil"/>
            </w:tcBorders>
            <w:shd w:val="clear" w:color="auto" w:fill="auto"/>
            <w:noWrap/>
            <w:vAlign w:val="bottom"/>
          </w:tcPr>
          <w:p w14:paraId="5690FF61">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Sample location</w:t>
            </w:r>
          </w:p>
        </w:tc>
        <w:tc>
          <w:tcPr>
            <w:tcW w:w="1106" w:type="dxa"/>
            <w:tcBorders>
              <w:top w:val="nil"/>
              <w:left w:val="nil"/>
              <w:bottom w:val="nil"/>
              <w:right w:val="nil"/>
            </w:tcBorders>
            <w:shd w:val="clear" w:color="auto" w:fill="auto"/>
            <w:noWrap/>
            <w:textDirection w:val="btLr"/>
            <w:vAlign w:val="center"/>
          </w:tcPr>
          <w:p w14:paraId="13A222A1">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THBC</w:t>
            </w:r>
          </w:p>
        </w:tc>
        <w:tc>
          <w:tcPr>
            <w:tcW w:w="1106" w:type="dxa"/>
            <w:tcBorders>
              <w:top w:val="nil"/>
              <w:left w:val="nil"/>
              <w:bottom w:val="nil"/>
              <w:right w:val="nil"/>
            </w:tcBorders>
            <w:shd w:val="clear" w:color="auto" w:fill="auto"/>
            <w:textDirection w:val="btLr"/>
            <w:vAlign w:val="center"/>
          </w:tcPr>
          <w:p w14:paraId="4E172DAA">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Vibriod count</w:t>
            </w:r>
          </w:p>
        </w:tc>
        <w:tc>
          <w:tcPr>
            <w:tcW w:w="1070" w:type="dxa"/>
            <w:gridSpan w:val="2"/>
            <w:tcBorders>
              <w:top w:val="nil"/>
              <w:left w:val="nil"/>
              <w:bottom w:val="nil"/>
              <w:right w:val="nil"/>
            </w:tcBorders>
            <w:shd w:val="clear" w:color="auto" w:fill="auto"/>
            <w:noWrap/>
            <w:textDirection w:val="btLr"/>
            <w:vAlign w:val="center"/>
          </w:tcPr>
          <w:p w14:paraId="6A3FAEEB">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Faecal coliform count</w:t>
            </w:r>
          </w:p>
        </w:tc>
        <w:tc>
          <w:tcPr>
            <w:tcW w:w="1501" w:type="dxa"/>
            <w:tcBorders>
              <w:top w:val="nil"/>
              <w:left w:val="nil"/>
              <w:bottom w:val="nil"/>
              <w:right w:val="nil"/>
            </w:tcBorders>
            <w:shd w:val="clear" w:color="auto" w:fill="auto"/>
            <w:textDirection w:val="btLr"/>
            <w:vAlign w:val="center"/>
          </w:tcPr>
          <w:p w14:paraId="2826573F">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Pseudomonad count</w:t>
            </w:r>
          </w:p>
        </w:tc>
        <w:tc>
          <w:tcPr>
            <w:tcW w:w="1545" w:type="dxa"/>
            <w:tcBorders>
              <w:top w:val="nil"/>
              <w:left w:val="nil"/>
              <w:bottom w:val="nil"/>
              <w:right w:val="nil"/>
            </w:tcBorders>
            <w:shd w:val="clear" w:color="auto" w:fill="auto"/>
            <w:textDirection w:val="btLr"/>
            <w:vAlign w:val="center"/>
          </w:tcPr>
          <w:p w14:paraId="61EDD89D">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Staphylococcal count</w:t>
            </w:r>
          </w:p>
        </w:tc>
        <w:tc>
          <w:tcPr>
            <w:tcW w:w="1197" w:type="dxa"/>
            <w:tcBorders>
              <w:top w:val="nil"/>
              <w:left w:val="nil"/>
              <w:bottom w:val="nil"/>
              <w:right w:val="nil"/>
            </w:tcBorders>
            <w:shd w:val="clear" w:color="auto" w:fill="auto"/>
            <w:textDirection w:val="btLr"/>
            <w:vAlign w:val="center"/>
          </w:tcPr>
          <w:p w14:paraId="7C9BD8DF">
            <w:pPr>
              <w:spacing w:after="0" w:line="240" w:lineRule="auto"/>
              <w:ind w:left="113" w:right="113"/>
              <w:rPr>
                <w:rFonts w:eastAsia="Times New Roman" w:cs="Times New Roman"/>
                <w:color w:val="000000"/>
                <w:szCs w:val="24"/>
                <w:lang w:val="en-GB" w:eastAsia="en-GB"/>
              </w:rPr>
            </w:pPr>
            <w:r>
              <w:rPr>
                <w:rFonts w:eastAsia="Times New Roman" w:cs="Times New Roman"/>
                <w:color w:val="000000"/>
                <w:szCs w:val="24"/>
                <w:lang w:val="en-GB" w:eastAsia="en-GB"/>
              </w:rPr>
              <w:t>Salmonella Shigella count</w:t>
            </w:r>
          </w:p>
        </w:tc>
      </w:tr>
      <w:tr w14:paraId="42F36A37">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6A6F34E5">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CAM HOSTEL</w:t>
            </w:r>
          </w:p>
        </w:tc>
        <w:tc>
          <w:tcPr>
            <w:tcW w:w="1106" w:type="dxa"/>
            <w:tcBorders>
              <w:top w:val="nil"/>
              <w:left w:val="nil"/>
              <w:bottom w:val="nil"/>
              <w:right w:val="nil"/>
            </w:tcBorders>
            <w:shd w:val="clear" w:color="auto" w:fill="auto"/>
            <w:noWrap/>
            <w:vAlign w:val="bottom"/>
          </w:tcPr>
          <w:p w14:paraId="474D37B8">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4.27±0.01</w:t>
            </w:r>
          </w:p>
        </w:tc>
        <w:tc>
          <w:tcPr>
            <w:tcW w:w="1106" w:type="dxa"/>
            <w:tcBorders>
              <w:top w:val="nil"/>
              <w:left w:val="nil"/>
              <w:bottom w:val="nil"/>
              <w:right w:val="nil"/>
            </w:tcBorders>
            <w:shd w:val="clear" w:color="auto" w:fill="auto"/>
            <w:noWrap/>
            <w:vAlign w:val="bottom"/>
          </w:tcPr>
          <w:p w14:paraId="785F685B">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tcPr>
          <w:p w14:paraId="7F335514">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6F53E15D">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2.15±0.21</w:t>
            </w:r>
          </w:p>
        </w:tc>
        <w:tc>
          <w:tcPr>
            <w:tcW w:w="1545" w:type="dxa"/>
            <w:tcBorders>
              <w:top w:val="nil"/>
              <w:left w:val="nil"/>
              <w:bottom w:val="nil"/>
              <w:right w:val="nil"/>
            </w:tcBorders>
            <w:shd w:val="clear" w:color="auto" w:fill="auto"/>
            <w:noWrap/>
            <w:vAlign w:val="bottom"/>
          </w:tcPr>
          <w:p w14:paraId="7FF9ABC9">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2</w:t>
            </w:r>
          </w:p>
        </w:tc>
        <w:tc>
          <w:tcPr>
            <w:tcW w:w="1197" w:type="dxa"/>
            <w:tcBorders>
              <w:top w:val="nil"/>
              <w:left w:val="nil"/>
              <w:bottom w:val="nil"/>
              <w:right w:val="nil"/>
            </w:tcBorders>
            <w:shd w:val="clear" w:color="auto" w:fill="auto"/>
            <w:noWrap/>
            <w:vAlign w:val="bottom"/>
          </w:tcPr>
          <w:p w14:paraId="284039BA">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r>
      <w:tr w14:paraId="337D67A7">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0F3E8B10">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CHI HOSTEL</w:t>
            </w:r>
          </w:p>
        </w:tc>
        <w:tc>
          <w:tcPr>
            <w:tcW w:w="1106" w:type="dxa"/>
            <w:tcBorders>
              <w:top w:val="nil"/>
              <w:left w:val="nil"/>
              <w:bottom w:val="nil"/>
              <w:right w:val="nil"/>
            </w:tcBorders>
            <w:shd w:val="clear" w:color="auto" w:fill="auto"/>
            <w:noWrap/>
            <w:vAlign w:val="bottom"/>
          </w:tcPr>
          <w:p w14:paraId="6D699870">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2.77±0.1</w:t>
            </w:r>
          </w:p>
        </w:tc>
        <w:tc>
          <w:tcPr>
            <w:tcW w:w="1106" w:type="dxa"/>
            <w:tcBorders>
              <w:top w:val="nil"/>
              <w:left w:val="nil"/>
              <w:bottom w:val="nil"/>
              <w:right w:val="nil"/>
            </w:tcBorders>
            <w:shd w:val="clear" w:color="auto" w:fill="auto"/>
            <w:noWrap/>
            <w:vAlign w:val="bottom"/>
          </w:tcPr>
          <w:p w14:paraId="0709E04D">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tcPr>
          <w:p w14:paraId="20EE94C2">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7BCDA573">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tcPr>
          <w:p w14:paraId="1B5117DA">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tcPr>
          <w:p w14:paraId="110CCF67">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r>
      <w:tr w14:paraId="4D64FC95">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6CFE4536">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FESTAC HOSTEL</w:t>
            </w:r>
          </w:p>
        </w:tc>
        <w:tc>
          <w:tcPr>
            <w:tcW w:w="1106" w:type="dxa"/>
            <w:tcBorders>
              <w:top w:val="nil"/>
              <w:left w:val="nil"/>
              <w:bottom w:val="nil"/>
              <w:right w:val="nil"/>
            </w:tcBorders>
            <w:shd w:val="clear" w:color="auto" w:fill="auto"/>
            <w:noWrap/>
            <w:vAlign w:val="bottom"/>
          </w:tcPr>
          <w:p w14:paraId="71B216C2">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4.25±0.02</w:t>
            </w:r>
          </w:p>
        </w:tc>
        <w:tc>
          <w:tcPr>
            <w:tcW w:w="1106" w:type="dxa"/>
            <w:tcBorders>
              <w:top w:val="nil"/>
              <w:left w:val="nil"/>
              <w:bottom w:val="nil"/>
              <w:right w:val="nil"/>
            </w:tcBorders>
            <w:shd w:val="clear" w:color="auto" w:fill="auto"/>
            <w:noWrap/>
            <w:vAlign w:val="bottom"/>
          </w:tcPr>
          <w:p w14:paraId="58201147">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tcPr>
          <w:p w14:paraId="6143B3EC">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7D5A4A7C">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tcPr>
          <w:p w14:paraId="0BE86A84">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tcPr>
          <w:p w14:paraId="6E4AF9FB">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r>
      <w:tr w14:paraId="11F0A585">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363AB745">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LAN HOSTEL</w:t>
            </w:r>
          </w:p>
        </w:tc>
        <w:tc>
          <w:tcPr>
            <w:tcW w:w="1106" w:type="dxa"/>
            <w:tcBorders>
              <w:top w:val="nil"/>
              <w:left w:val="nil"/>
              <w:bottom w:val="nil"/>
              <w:right w:val="nil"/>
            </w:tcBorders>
            <w:shd w:val="clear" w:color="auto" w:fill="auto"/>
            <w:noWrap/>
            <w:vAlign w:val="bottom"/>
          </w:tcPr>
          <w:p w14:paraId="0595B56D">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4.27±0.02</w:t>
            </w:r>
          </w:p>
        </w:tc>
        <w:tc>
          <w:tcPr>
            <w:tcW w:w="1106" w:type="dxa"/>
            <w:tcBorders>
              <w:top w:val="nil"/>
              <w:left w:val="nil"/>
              <w:bottom w:val="nil"/>
              <w:right w:val="nil"/>
            </w:tcBorders>
            <w:shd w:val="clear" w:color="auto" w:fill="auto"/>
            <w:noWrap/>
            <w:vAlign w:val="bottom"/>
          </w:tcPr>
          <w:p w14:paraId="5B5DC487">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tcPr>
          <w:p w14:paraId="37495625">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137AA0E3">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tcPr>
          <w:p w14:paraId="627AD6F7">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tcPr>
          <w:p w14:paraId="1D95ABE8">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3.11±0.05</w:t>
            </w:r>
          </w:p>
        </w:tc>
      </w:tr>
      <w:tr w14:paraId="5C7C1A9A">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580AA8AC">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ONU HOSTEL</w:t>
            </w:r>
          </w:p>
        </w:tc>
        <w:tc>
          <w:tcPr>
            <w:tcW w:w="1106" w:type="dxa"/>
            <w:tcBorders>
              <w:top w:val="nil"/>
              <w:left w:val="nil"/>
              <w:bottom w:val="nil"/>
              <w:right w:val="nil"/>
            </w:tcBorders>
            <w:shd w:val="clear" w:color="auto" w:fill="auto"/>
            <w:noWrap/>
            <w:vAlign w:val="bottom"/>
          </w:tcPr>
          <w:p w14:paraId="2BF5A1A8">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4.7±0.01</w:t>
            </w:r>
          </w:p>
        </w:tc>
        <w:tc>
          <w:tcPr>
            <w:tcW w:w="1106" w:type="dxa"/>
            <w:tcBorders>
              <w:top w:val="nil"/>
              <w:left w:val="nil"/>
              <w:bottom w:val="nil"/>
              <w:right w:val="nil"/>
            </w:tcBorders>
            <w:shd w:val="clear" w:color="auto" w:fill="auto"/>
            <w:noWrap/>
            <w:vAlign w:val="bottom"/>
          </w:tcPr>
          <w:p w14:paraId="09477556">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3.23±0.07</w:t>
            </w:r>
          </w:p>
        </w:tc>
        <w:tc>
          <w:tcPr>
            <w:tcW w:w="1070" w:type="dxa"/>
            <w:gridSpan w:val="2"/>
            <w:tcBorders>
              <w:top w:val="nil"/>
              <w:left w:val="nil"/>
              <w:bottom w:val="nil"/>
              <w:right w:val="nil"/>
            </w:tcBorders>
            <w:shd w:val="clear" w:color="auto" w:fill="auto"/>
            <w:noWrap/>
            <w:vAlign w:val="bottom"/>
          </w:tcPr>
          <w:p w14:paraId="156D2CC7">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185B7B2E">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tcPr>
          <w:p w14:paraId="08913F9F">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2.39±0.12</w:t>
            </w:r>
          </w:p>
        </w:tc>
        <w:tc>
          <w:tcPr>
            <w:tcW w:w="1197" w:type="dxa"/>
            <w:tcBorders>
              <w:top w:val="nil"/>
              <w:left w:val="nil"/>
              <w:bottom w:val="nil"/>
              <w:right w:val="nil"/>
            </w:tcBorders>
            <w:shd w:val="clear" w:color="auto" w:fill="auto"/>
            <w:noWrap/>
            <w:vAlign w:val="bottom"/>
          </w:tcPr>
          <w:p w14:paraId="47427B2C">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r>
      <w:tr w14:paraId="6DF71779">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20157B0F">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TROY HOSTEL</w:t>
            </w:r>
          </w:p>
        </w:tc>
        <w:tc>
          <w:tcPr>
            <w:tcW w:w="1106" w:type="dxa"/>
            <w:tcBorders>
              <w:top w:val="nil"/>
              <w:left w:val="nil"/>
              <w:bottom w:val="nil"/>
              <w:right w:val="nil"/>
            </w:tcBorders>
            <w:shd w:val="clear" w:color="auto" w:fill="auto"/>
            <w:noWrap/>
            <w:vAlign w:val="bottom"/>
          </w:tcPr>
          <w:p w14:paraId="731EC49D">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4.3±0.03</w:t>
            </w:r>
          </w:p>
        </w:tc>
        <w:tc>
          <w:tcPr>
            <w:tcW w:w="1106" w:type="dxa"/>
            <w:tcBorders>
              <w:top w:val="nil"/>
              <w:left w:val="nil"/>
              <w:bottom w:val="nil"/>
              <w:right w:val="nil"/>
            </w:tcBorders>
            <w:shd w:val="clear" w:color="auto" w:fill="auto"/>
            <w:noWrap/>
            <w:vAlign w:val="bottom"/>
          </w:tcPr>
          <w:p w14:paraId="7E69B6E3">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3.33±0.1</w:t>
            </w:r>
          </w:p>
        </w:tc>
        <w:tc>
          <w:tcPr>
            <w:tcW w:w="1070" w:type="dxa"/>
            <w:gridSpan w:val="2"/>
            <w:tcBorders>
              <w:top w:val="nil"/>
              <w:left w:val="nil"/>
              <w:bottom w:val="nil"/>
              <w:right w:val="nil"/>
            </w:tcBorders>
            <w:shd w:val="clear" w:color="auto" w:fill="auto"/>
            <w:noWrap/>
            <w:vAlign w:val="bottom"/>
          </w:tcPr>
          <w:p w14:paraId="389A2C69">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tcPr>
          <w:p w14:paraId="0DA67B0F">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tcPr>
          <w:p w14:paraId="46CBA9CB">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3.04±0.19</w:t>
            </w:r>
          </w:p>
        </w:tc>
        <w:tc>
          <w:tcPr>
            <w:tcW w:w="1197" w:type="dxa"/>
            <w:tcBorders>
              <w:top w:val="nil"/>
              <w:left w:val="nil"/>
              <w:bottom w:val="nil"/>
              <w:right w:val="nil"/>
            </w:tcBorders>
            <w:shd w:val="clear" w:color="auto" w:fill="auto"/>
            <w:noWrap/>
            <w:vAlign w:val="bottom"/>
          </w:tcPr>
          <w:p w14:paraId="0E3DA532">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0</w:t>
            </w:r>
          </w:p>
        </w:tc>
      </w:tr>
      <w:tr w14:paraId="0B21E940">
        <w:tblPrEx>
          <w:tblCellMar>
            <w:top w:w="0" w:type="dxa"/>
            <w:left w:w="108" w:type="dxa"/>
            <w:bottom w:w="0" w:type="dxa"/>
            <w:right w:w="108" w:type="dxa"/>
          </w:tblCellMar>
        </w:tblPrEx>
        <w:trPr>
          <w:trHeight w:val="310" w:hRule="atLeast"/>
        </w:trPr>
        <w:tc>
          <w:tcPr>
            <w:tcW w:w="1701" w:type="dxa"/>
            <w:tcBorders>
              <w:top w:val="nil"/>
              <w:left w:val="nil"/>
              <w:bottom w:val="nil"/>
              <w:right w:val="nil"/>
            </w:tcBorders>
            <w:shd w:val="clear" w:color="auto" w:fill="auto"/>
            <w:noWrap/>
            <w:vAlign w:val="bottom"/>
          </w:tcPr>
          <w:p w14:paraId="3B4C7285">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P value</w:t>
            </w:r>
          </w:p>
        </w:tc>
        <w:tc>
          <w:tcPr>
            <w:tcW w:w="1106" w:type="dxa"/>
            <w:tcBorders>
              <w:top w:val="nil"/>
              <w:left w:val="nil"/>
              <w:bottom w:val="nil"/>
              <w:right w:val="nil"/>
            </w:tcBorders>
            <w:shd w:val="clear" w:color="auto" w:fill="auto"/>
            <w:noWrap/>
            <w:vAlign w:val="bottom"/>
          </w:tcPr>
          <w:p w14:paraId="7ED23201">
            <w:pPr>
              <w:spacing w:after="0" w:line="240" w:lineRule="auto"/>
              <w:rPr>
                <w:rFonts w:eastAsia="Times New Roman" w:cs="Times New Roman"/>
                <w:color w:val="000000"/>
                <w:szCs w:val="24"/>
                <w:lang w:val="en-GB" w:eastAsia="en-GB"/>
              </w:rPr>
            </w:pPr>
            <w:r>
              <w:rPr>
                <w:rFonts w:eastAsia="Times New Roman" w:cs="Times New Roman"/>
                <w:color w:val="000000"/>
                <w:szCs w:val="24"/>
                <w:lang w:val="en-GB" w:eastAsia="en-GB"/>
              </w:rPr>
              <w:t>&lt;0.0001</w:t>
            </w:r>
          </w:p>
        </w:tc>
        <w:tc>
          <w:tcPr>
            <w:tcW w:w="1106" w:type="dxa"/>
            <w:tcBorders>
              <w:top w:val="nil"/>
              <w:left w:val="nil"/>
              <w:bottom w:val="nil"/>
              <w:right w:val="nil"/>
            </w:tcBorders>
            <w:shd w:val="clear" w:color="auto" w:fill="auto"/>
            <w:noWrap/>
            <w:vAlign w:val="bottom"/>
          </w:tcPr>
          <w:p w14:paraId="60D53A76">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6F30A27F">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37D6D5FA">
            <w:pPr>
              <w:spacing w:after="0" w:line="240" w:lineRule="auto"/>
              <w:rPr>
                <w:rFonts w:eastAsia="Times New Roman" w:cs="Times New Roman"/>
                <w:color w:val="000000"/>
                <w:szCs w:val="24"/>
                <w:lang w:val="en-GB" w:eastAsia="en-GB"/>
              </w:rPr>
            </w:pPr>
          </w:p>
        </w:tc>
        <w:tc>
          <w:tcPr>
            <w:tcW w:w="1501" w:type="dxa"/>
            <w:tcBorders>
              <w:top w:val="nil"/>
              <w:left w:val="nil"/>
              <w:bottom w:val="nil"/>
              <w:right w:val="nil"/>
            </w:tcBorders>
            <w:shd w:val="clear" w:color="auto" w:fill="auto"/>
            <w:noWrap/>
            <w:vAlign w:val="bottom"/>
          </w:tcPr>
          <w:p w14:paraId="47DBAAC4">
            <w:pPr>
              <w:spacing w:after="0" w:line="240" w:lineRule="auto"/>
              <w:rPr>
                <w:rFonts w:eastAsia="Times New Roman" w:cs="Times New Roman"/>
                <w:color w:val="000000"/>
                <w:szCs w:val="24"/>
                <w:lang w:val="en-GB" w:eastAsia="en-GB"/>
              </w:rPr>
            </w:pPr>
          </w:p>
        </w:tc>
        <w:tc>
          <w:tcPr>
            <w:tcW w:w="1545" w:type="dxa"/>
            <w:tcBorders>
              <w:top w:val="nil"/>
              <w:left w:val="nil"/>
              <w:bottom w:val="nil"/>
              <w:right w:val="nil"/>
            </w:tcBorders>
            <w:shd w:val="clear" w:color="auto" w:fill="auto"/>
            <w:noWrap/>
            <w:vAlign w:val="bottom"/>
          </w:tcPr>
          <w:p w14:paraId="5132FDF7">
            <w:pPr>
              <w:spacing w:after="0" w:line="240" w:lineRule="auto"/>
              <w:rPr>
                <w:rFonts w:eastAsia="Times New Roman" w:cs="Times New Roman"/>
                <w:color w:val="000000"/>
                <w:szCs w:val="24"/>
                <w:lang w:val="en-GB" w:eastAsia="en-GB"/>
              </w:rPr>
            </w:pPr>
          </w:p>
        </w:tc>
        <w:tc>
          <w:tcPr>
            <w:tcW w:w="1197" w:type="dxa"/>
            <w:tcBorders>
              <w:top w:val="nil"/>
              <w:left w:val="nil"/>
              <w:bottom w:val="nil"/>
              <w:right w:val="nil"/>
            </w:tcBorders>
            <w:shd w:val="clear" w:color="auto" w:fill="auto"/>
            <w:noWrap/>
            <w:vAlign w:val="bottom"/>
          </w:tcPr>
          <w:p w14:paraId="2C45C1A0">
            <w:pPr>
              <w:spacing w:after="0" w:line="240" w:lineRule="auto"/>
              <w:rPr>
                <w:rFonts w:eastAsia="Times New Roman" w:cs="Times New Roman"/>
                <w:color w:val="000000"/>
                <w:szCs w:val="24"/>
                <w:lang w:val="en-GB" w:eastAsia="en-GB"/>
              </w:rPr>
            </w:pPr>
          </w:p>
        </w:tc>
      </w:tr>
    </w:tbl>
    <w:p w14:paraId="54E5F088">
      <w:pPr>
        <w:spacing w:line="480" w:lineRule="auto"/>
        <w:rPr>
          <w:rFonts w:cs="Times New Roman"/>
          <w:szCs w:val="24"/>
        </w:rPr>
      </w:pPr>
    </w:p>
    <w:p w14:paraId="14497789">
      <w:pPr>
        <w:rPr>
          <w:b/>
          <w:bCs/>
        </w:rPr>
      </w:pPr>
      <w:bookmarkStart w:id="6" w:name="_Toc27665"/>
      <w:r>
        <w:rPr>
          <w:b/>
          <w:bCs/>
        </w:rPr>
        <w:t>Table 2: Total Heterotrophic Bacteria Counts of Borehole water Obtained from Off Campus Hostels</w:t>
      </w:r>
      <w:bookmarkEnd w:id="6"/>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4"/>
      </w:tblGrid>
      <w:tr w14:paraId="1327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24" w:type="dxa"/>
          </w:tcPr>
          <w:p w14:paraId="617B8C59">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Hostel ID</w:t>
            </w:r>
          </w:p>
        </w:tc>
        <w:tc>
          <w:tcPr>
            <w:tcW w:w="2024" w:type="dxa"/>
          </w:tcPr>
          <w:p w14:paraId="5BC41A68">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Dilution Plated</w:t>
            </w:r>
          </w:p>
        </w:tc>
        <w:tc>
          <w:tcPr>
            <w:tcW w:w="2024" w:type="dxa"/>
          </w:tcPr>
          <w:p w14:paraId="0D35ED1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Av. Count</w:t>
            </w:r>
          </w:p>
        </w:tc>
        <w:tc>
          <w:tcPr>
            <w:tcW w:w="2024" w:type="dxa"/>
          </w:tcPr>
          <w:p w14:paraId="68D52EA5">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CFU/ml</w:t>
            </w:r>
          </w:p>
        </w:tc>
        <w:tc>
          <w:tcPr>
            <w:tcW w:w="2024" w:type="dxa"/>
          </w:tcPr>
          <w:p w14:paraId="556B5EFC">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Log CFU/ml</w:t>
            </w:r>
          </w:p>
        </w:tc>
      </w:tr>
      <w:tr w14:paraId="6122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789931F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CAM</w:t>
            </w:r>
          </w:p>
        </w:tc>
        <w:tc>
          <w:tcPr>
            <w:tcW w:w="2024" w:type="dxa"/>
          </w:tcPr>
          <w:p w14:paraId="281E95E4">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-1</w:t>
            </w:r>
          </w:p>
        </w:tc>
        <w:tc>
          <w:tcPr>
            <w:tcW w:w="2024" w:type="dxa"/>
          </w:tcPr>
          <w:p w14:paraId="3869187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186</w:t>
            </w:r>
          </w:p>
        </w:tc>
        <w:tc>
          <w:tcPr>
            <w:tcW w:w="2024" w:type="dxa"/>
          </w:tcPr>
          <w:p w14:paraId="32DCF98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1.86x10</w:t>
            </w:r>
            <w:r>
              <w:rPr>
                <w:rFonts w:eastAsia="SimSun" w:cs="Times New Roman"/>
                <w:kern w:val="0"/>
                <w:szCs w:val="24"/>
                <w:vertAlign w:val="superscript"/>
                <w14:ligatures w14:val="none"/>
              </w:rPr>
              <w:t>4</w:t>
            </w:r>
          </w:p>
        </w:tc>
        <w:tc>
          <w:tcPr>
            <w:tcW w:w="2024" w:type="dxa"/>
          </w:tcPr>
          <w:p w14:paraId="625E926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4.270</w:t>
            </w:r>
          </w:p>
        </w:tc>
      </w:tr>
      <w:tr w14:paraId="1186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009FCB5D">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LAN</w:t>
            </w:r>
          </w:p>
        </w:tc>
        <w:tc>
          <w:tcPr>
            <w:tcW w:w="2024" w:type="dxa"/>
          </w:tcPr>
          <w:p w14:paraId="0D4968C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54458AC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187</w:t>
            </w:r>
          </w:p>
        </w:tc>
        <w:tc>
          <w:tcPr>
            <w:tcW w:w="2024" w:type="dxa"/>
          </w:tcPr>
          <w:p w14:paraId="0AE9327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1.87x10</w:t>
            </w:r>
            <w:r>
              <w:rPr>
                <w:rFonts w:eastAsia="SimSun" w:cs="Times New Roman"/>
                <w:kern w:val="0"/>
                <w:szCs w:val="24"/>
                <w:vertAlign w:val="superscript"/>
                <w14:ligatures w14:val="none"/>
              </w:rPr>
              <w:t>3</w:t>
            </w:r>
          </w:p>
        </w:tc>
        <w:tc>
          <w:tcPr>
            <w:tcW w:w="2024" w:type="dxa"/>
          </w:tcPr>
          <w:p w14:paraId="2F41FCA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3.272</w:t>
            </w:r>
          </w:p>
        </w:tc>
      </w:tr>
      <w:tr w14:paraId="40B5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78DEC012">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CHI</w:t>
            </w:r>
          </w:p>
        </w:tc>
        <w:tc>
          <w:tcPr>
            <w:tcW w:w="2024" w:type="dxa"/>
          </w:tcPr>
          <w:p w14:paraId="147B5945">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5B1C60B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164</w:t>
            </w:r>
          </w:p>
        </w:tc>
        <w:tc>
          <w:tcPr>
            <w:tcW w:w="2024" w:type="dxa"/>
          </w:tcPr>
          <w:p w14:paraId="6AB8271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1.64x10</w:t>
            </w:r>
            <w:r>
              <w:rPr>
                <w:rFonts w:eastAsia="SimSun" w:cs="Times New Roman"/>
                <w:kern w:val="0"/>
                <w:szCs w:val="24"/>
                <w:vertAlign w:val="superscript"/>
                <w14:ligatures w14:val="none"/>
              </w:rPr>
              <w:t>3</w:t>
            </w:r>
          </w:p>
        </w:tc>
        <w:tc>
          <w:tcPr>
            <w:tcW w:w="2024" w:type="dxa"/>
          </w:tcPr>
          <w:p w14:paraId="35C0CE4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3.215</w:t>
            </w:r>
          </w:p>
        </w:tc>
      </w:tr>
      <w:tr w14:paraId="77A9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15DCB21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ONU</w:t>
            </w:r>
          </w:p>
        </w:tc>
        <w:tc>
          <w:tcPr>
            <w:tcW w:w="2024" w:type="dxa"/>
          </w:tcPr>
          <w:p w14:paraId="4EA8AB3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-1</w:t>
            </w:r>
          </w:p>
        </w:tc>
        <w:tc>
          <w:tcPr>
            <w:tcW w:w="2024" w:type="dxa"/>
          </w:tcPr>
          <w:p w14:paraId="37BC4F4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47.5</w:t>
            </w:r>
          </w:p>
        </w:tc>
        <w:tc>
          <w:tcPr>
            <w:tcW w:w="2024" w:type="dxa"/>
          </w:tcPr>
          <w:p w14:paraId="4E3AB794">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4.75x10</w:t>
            </w:r>
            <w:r>
              <w:rPr>
                <w:rFonts w:eastAsia="SimSun" w:cs="Times New Roman"/>
                <w:kern w:val="0"/>
                <w:szCs w:val="24"/>
                <w:vertAlign w:val="superscript"/>
                <w14:ligatures w14:val="none"/>
              </w:rPr>
              <w:t>3</w:t>
            </w:r>
          </w:p>
        </w:tc>
        <w:tc>
          <w:tcPr>
            <w:tcW w:w="2024" w:type="dxa"/>
          </w:tcPr>
          <w:p w14:paraId="3DA17F9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3.677</w:t>
            </w:r>
          </w:p>
        </w:tc>
      </w:tr>
      <w:tr w14:paraId="2C2B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4" w:type="dxa"/>
          </w:tcPr>
          <w:p w14:paraId="34B4FBF3">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TROY</w:t>
            </w:r>
          </w:p>
        </w:tc>
        <w:tc>
          <w:tcPr>
            <w:tcW w:w="2024" w:type="dxa"/>
          </w:tcPr>
          <w:p w14:paraId="1E32589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0C7D855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200</w:t>
            </w:r>
          </w:p>
        </w:tc>
        <w:tc>
          <w:tcPr>
            <w:tcW w:w="2024" w:type="dxa"/>
          </w:tcPr>
          <w:p w14:paraId="4671A822">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2.0x10</w:t>
            </w:r>
            <w:r>
              <w:rPr>
                <w:rFonts w:eastAsia="SimSun" w:cs="Times New Roman"/>
                <w:kern w:val="0"/>
                <w:szCs w:val="24"/>
                <w:vertAlign w:val="superscript"/>
                <w14:ligatures w14:val="none"/>
              </w:rPr>
              <w:t>3</w:t>
            </w:r>
          </w:p>
        </w:tc>
        <w:tc>
          <w:tcPr>
            <w:tcW w:w="2024" w:type="dxa"/>
          </w:tcPr>
          <w:p w14:paraId="114C036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3.301</w:t>
            </w:r>
          </w:p>
        </w:tc>
      </w:tr>
      <w:tr w14:paraId="396B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4" w:type="dxa"/>
          </w:tcPr>
          <w:p w14:paraId="1D960AE7">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FESTAC</w:t>
            </w:r>
          </w:p>
        </w:tc>
        <w:tc>
          <w:tcPr>
            <w:tcW w:w="2024" w:type="dxa"/>
          </w:tcPr>
          <w:p w14:paraId="202CEF8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-1</w:t>
            </w:r>
          </w:p>
        </w:tc>
        <w:tc>
          <w:tcPr>
            <w:tcW w:w="2024" w:type="dxa"/>
          </w:tcPr>
          <w:p w14:paraId="76ECC21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177</w:t>
            </w:r>
          </w:p>
        </w:tc>
        <w:tc>
          <w:tcPr>
            <w:tcW w:w="2024" w:type="dxa"/>
          </w:tcPr>
          <w:p w14:paraId="73DEB5D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1.77x10</w:t>
            </w:r>
            <w:r>
              <w:rPr>
                <w:rFonts w:eastAsia="SimSun" w:cs="Times New Roman"/>
                <w:kern w:val="0"/>
                <w:szCs w:val="24"/>
                <w:vertAlign w:val="superscript"/>
                <w14:ligatures w14:val="none"/>
              </w:rPr>
              <w:t>4</w:t>
            </w:r>
          </w:p>
        </w:tc>
        <w:tc>
          <w:tcPr>
            <w:tcW w:w="2024" w:type="dxa"/>
          </w:tcPr>
          <w:p w14:paraId="41F39A1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4.278</w:t>
            </w:r>
          </w:p>
        </w:tc>
      </w:tr>
    </w:tbl>
    <w:p w14:paraId="0F9FA185">
      <w:bookmarkStart w:id="7" w:name="_Toc20575"/>
    </w:p>
    <w:p w14:paraId="7A041220">
      <w:pPr>
        <w:rPr>
          <w:b/>
          <w:bCs/>
        </w:rPr>
      </w:pPr>
      <w:r>
        <w:rPr>
          <w:b/>
          <w:bCs/>
        </w:rPr>
        <w:t>Table 3 Staphylococcus Counts of Borehole water Obtained from Off Campus Hostels</w:t>
      </w:r>
      <w:bookmarkEnd w:id="7"/>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4"/>
      </w:tblGrid>
      <w:tr w14:paraId="78A3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24" w:type="dxa"/>
          </w:tcPr>
          <w:p w14:paraId="09385947">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Hostel ID</w:t>
            </w:r>
          </w:p>
        </w:tc>
        <w:tc>
          <w:tcPr>
            <w:tcW w:w="2024" w:type="dxa"/>
          </w:tcPr>
          <w:p w14:paraId="51C5B1D0">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Dilution Plated</w:t>
            </w:r>
          </w:p>
        </w:tc>
        <w:tc>
          <w:tcPr>
            <w:tcW w:w="2024" w:type="dxa"/>
          </w:tcPr>
          <w:p w14:paraId="28435B2B">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Av. Count</w:t>
            </w:r>
          </w:p>
        </w:tc>
        <w:tc>
          <w:tcPr>
            <w:tcW w:w="2024" w:type="dxa"/>
          </w:tcPr>
          <w:p w14:paraId="3B0D5BF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CFU/ml</w:t>
            </w:r>
          </w:p>
        </w:tc>
        <w:tc>
          <w:tcPr>
            <w:tcW w:w="2024" w:type="dxa"/>
          </w:tcPr>
          <w:p w14:paraId="0A8DAFF5">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Log CFU/ml</w:t>
            </w:r>
          </w:p>
        </w:tc>
      </w:tr>
      <w:tr w14:paraId="7A0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455473F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CAM</w:t>
            </w:r>
          </w:p>
        </w:tc>
        <w:tc>
          <w:tcPr>
            <w:tcW w:w="2024" w:type="dxa"/>
          </w:tcPr>
          <w:p w14:paraId="53F1766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7158965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14.5</w:t>
            </w:r>
          </w:p>
        </w:tc>
        <w:tc>
          <w:tcPr>
            <w:tcW w:w="2024" w:type="dxa"/>
          </w:tcPr>
          <w:p w14:paraId="6E8DC0D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1.45x10</w:t>
            </w:r>
            <w:r>
              <w:rPr>
                <w:rFonts w:eastAsia="SimSun" w:cs="Times New Roman"/>
                <w:kern w:val="0"/>
                <w:szCs w:val="24"/>
                <w:vertAlign w:val="superscript"/>
                <w14:ligatures w14:val="none"/>
              </w:rPr>
              <w:t>2</w:t>
            </w:r>
          </w:p>
        </w:tc>
        <w:tc>
          <w:tcPr>
            <w:tcW w:w="2024" w:type="dxa"/>
          </w:tcPr>
          <w:p w14:paraId="4F2C859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2.161</w:t>
            </w:r>
          </w:p>
        </w:tc>
      </w:tr>
      <w:tr w14:paraId="313C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2E60D390">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LAN</w:t>
            </w:r>
          </w:p>
        </w:tc>
        <w:tc>
          <w:tcPr>
            <w:tcW w:w="2024" w:type="dxa"/>
          </w:tcPr>
          <w:p w14:paraId="53A1157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5C0CA52">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01E9B0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212F5E2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210A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7E2039BB">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CHI</w:t>
            </w:r>
          </w:p>
        </w:tc>
        <w:tc>
          <w:tcPr>
            <w:tcW w:w="2024" w:type="dxa"/>
          </w:tcPr>
          <w:p w14:paraId="3553C9A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A6CA65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537710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AF76C8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312A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323773A0">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ONU</w:t>
            </w:r>
          </w:p>
        </w:tc>
        <w:tc>
          <w:tcPr>
            <w:tcW w:w="2024" w:type="dxa"/>
          </w:tcPr>
          <w:p w14:paraId="145B9F8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1A041F84">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2.5</w:t>
            </w:r>
          </w:p>
        </w:tc>
        <w:tc>
          <w:tcPr>
            <w:tcW w:w="2024" w:type="dxa"/>
          </w:tcPr>
          <w:p w14:paraId="2B39CF24">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2.5x10</w:t>
            </w:r>
            <w:r>
              <w:rPr>
                <w:rFonts w:eastAsia="SimSun" w:cs="Times New Roman"/>
                <w:kern w:val="0"/>
                <w:szCs w:val="24"/>
                <w:vertAlign w:val="superscript"/>
                <w14:ligatures w14:val="none"/>
              </w:rPr>
              <w:t>1</w:t>
            </w:r>
          </w:p>
        </w:tc>
        <w:tc>
          <w:tcPr>
            <w:tcW w:w="2024" w:type="dxa"/>
          </w:tcPr>
          <w:p w14:paraId="63CC56C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1.398</w:t>
            </w:r>
          </w:p>
        </w:tc>
      </w:tr>
      <w:tr w14:paraId="1532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4" w:type="dxa"/>
          </w:tcPr>
          <w:p w14:paraId="4737C0F7">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TROY</w:t>
            </w:r>
          </w:p>
        </w:tc>
        <w:tc>
          <w:tcPr>
            <w:tcW w:w="2024" w:type="dxa"/>
          </w:tcPr>
          <w:p w14:paraId="40F2A3C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378250F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11.5</w:t>
            </w:r>
          </w:p>
        </w:tc>
        <w:tc>
          <w:tcPr>
            <w:tcW w:w="2024" w:type="dxa"/>
          </w:tcPr>
          <w:p w14:paraId="1D69636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1.15x10</w:t>
            </w:r>
            <w:r>
              <w:rPr>
                <w:rFonts w:eastAsia="SimSun" w:cs="Times New Roman"/>
                <w:kern w:val="0"/>
                <w:szCs w:val="24"/>
                <w:vertAlign w:val="superscript"/>
                <w14:ligatures w14:val="none"/>
              </w:rPr>
              <w:t>2</w:t>
            </w:r>
          </w:p>
        </w:tc>
        <w:tc>
          <w:tcPr>
            <w:tcW w:w="2024" w:type="dxa"/>
          </w:tcPr>
          <w:p w14:paraId="6F18604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2.061</w:t>
            </w:r>
          </w:p>
        </w:tc>
      </w:tr>
      <w:tr w14:paraId="7ED9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4" w:type="dxa"/>
          </w:tcPr>
          <w:p w14:paraId="4E12BE8D">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FESTAC</w:t>
            </w:r>
          </w:p>
        </w:tc>
        <w:tc>
          <w:tcPr>
            <w:tcW w:w="2024" w:type="dxa"/>
          </w:tcPr>
          <w:p w14:paraId="4025181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6A190CC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2.5</w:t>
            </w:r>
          </w:p>
        </w:tc>
        <w:tc>
          <w:tcPr>
            <w:tcW w:w="2024" w:type="dxa"/>
          </w:tcPr>
          <w:p w14:paraId="5E0C2ED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2.5x10</w:t>
            </w:r>
            <w:r>
              <w:rPr>
                <w:rFonts w:eastAsia="SimSun" w:cs="Times New Roman"/>
                <w:kern w:val="0"/>
                <w:szCs w:val="24"/>
                <w:vertAlign w:val="superscript"/>
                <w14:ligatures w14:val="none"/>
              </w:rPr>
              <w:t>1</w:t>
            </w:r>
          </w:p>
        </w:tc>
        <w:tc>
          <w:tcPr>
            <w:tcW w:w="2024" w:type="dxa"/>
          </w:tcPr>
          <w:p w14:paraId="146EEF2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1.398</w:t>
            </w:r>
          </w:p>
        </w:tc>
      </w:tr>
    </w:tbl>
    <w:p w14:paraId="4C132CB2">
      <w:pPr>
        <w:spacing w:line="360" w:lineRule="auto"/>
        <w:rPr>
          <w:rFonts w:cs="Times New Roman"/>
          <w:szCs w:val="24"/>
        </w:rPr>
      </w:pPr>
    </w:p>
    <w:p w14:paraId="56A747C6">
      <w:pPr>
        <w:rPr>
          <w:b/>
          <w:bCs/>
        </w:rPr>
      </w:pPr>
      <w:bookmarkStart w:id="8" w:name="_Toc32356"/>
    </w:p>
    <w:p w14:paraId="16A689D9">
      <w:pPr>
        <w:rPr>
          <w:rFonts w:cs="Times New Roman"/>
          <w:b/>
          <w:bCs/>
          <w:szCs w:val="24"/>
        </w:rPr>
      </w:pPr>
      <w:r>
        <w:rPr>
          <w:b/>
          <w:bCs/>
        </w:rPr>
        <w:t>Table 4 Pseudomonas Counts of Borehole water Obtained from Off Campus Hostels</w:t>
      </w:r>
      <w:bookmarkEnd w:id="8"/>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4"/>
      </w:tblGrid>
      <w:tr w14:paraId="6315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24" w:type="dxa"/>
          </w:tcPr>
          <w:p w14:paraId="0E0313DD">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Hostel ID</w:t>
            </w:r>
          </w:p>
        </w:tc>
        <w:tc>
          <w:tcPr>
            <w:tcW w:w="2024" w:type="dxa"/>
          </w:tcPr>
          <w:p w14:paraId="271DCA72">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Dilution Plated</w:t>
            </w:r>
          </w:p>
        </w:tc>
        <w:tc>
          <w:tcPr>
            <w:tcW w:w="2024" w:type="dxa"/>
          </w:tcPr>
          <w:p w14:paraId="3CEC43FE">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Av. Count</w:t>
            </w:r>
          </w:p>
        </w:tc>
        <w:tc>
          <w:tcPr>
            <w:tcW w:w="2024" w:type="dxa"/>
          </w:tcPr>
          <w:p w14:paraId="4EF9332D">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CFU/ml</w:t>
            </w:r>
          </w:p>
        </w:tc>
        <w:tc>
          <w:tcPr>
            <w:tcW w:w="2024" w:type="dxa"/>
          </w:tcPr>
          <w:p w14:paraId="492D1F43">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Log CFU/ml</w:t>
            </w:r>
          </w:p>
        </w:tc>
      </w:tr>
      <w:tr w14:paraId="5A53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3D5EE374">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CAM</w:t>
            </w:r>
          </w:p>
        </w:tc>
        <w:tc>
          <w:tcPr>
            <w:tcW w:w="2024" w:type="dxa"/>
          </w:tcPr>
          <w:p w14:paraId="7C48A7B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0A57EC42">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22</w:t>
            </w:r>
          </w:p>
        </w:tc>
        <w:tc>
          <w:tcPr>
            <w:tcW w:w="2024" w:type="dxa"/>
          </w:tcPr>
          <w:p w14:paraId="6A0F575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2.2x10</w:t>
            </w:r>
            <w:r>
              <w:rPr>
                <w:rFonts w:eastAsia="SimSun" w:cs="Times New Roman"/>
                <w:kern w:val="0"/>
                <w:szCs w:val="24"/>
                <w:vertAlign w:val="superscript"/>
                <w14:ligatures w14:val="none"/>
              </w:rPr>
              <w:t>2</w:t>
            </w:r>
          </w:p>
        </w:tc>
        <w:tc>
          <w:tcPr>
            <w:tcW w:w="2024" w:type="dxa"/>
          </w:tcPr>
          <w:p w14:paraId="6996D41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2.342</w:t>
            </w:r>
          </w:p>
        </w:tc>
      </w:tr>
      <w:tr w14:paraId="124A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45C8C769">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LAN</w:t>
            </w:r>
          </w:p>
        </w:tc>
        <w:tc>
          <w:tcPr>
            <w:tcW w:w="2024" w:type="dxa"/>
          </w:tcPr>
          <w:p w14:paraId="4296DB9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072FE8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69B769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521F1E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1743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5AC87D09">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CHI</w:t>
            </w:r>
          </w:p>
        </w:tc>
        <w:tc>
          <w:tcPr>
            <w:tcW w:w="2024" w:type="dxa"/>
          </w:tcPr>
          <w:p w14:paraId="5871B5B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D55C39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7E3E417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5624D7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03CD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1CD92CAC">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ONU</w:t>
            </w:r>
          </w:p>
        </w:tc>
        <w:tc>
          <w:tcPr>
            <w:tcW w:w="2024" w:type="dxa"/>
          </w:tcPr>
          <w:p w14:paraId="52938F9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01F843D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2C4E3FA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0EBDEC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173B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79C4AC0B">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TROY</w:t>
            </w:r>
          </w:p>
        </w:tc>
        <w:tc>
          <w:tcPr>
            <w:tcW w:w="2024" w:type="dxa"/>
          </w:tcPr>
          <w:p w14:paraId="09091E88">
            <w:pPr>
              <w:widowControl w:val="0"/>
              <w:spacing w:after="0" w:line="360" w:lineRule="auto"/>
              <w:rPr>
                <w:rFonts w:eastAsia="SimSun" w:cs="Times New Roman"/>
                <w:kern w:val="0"/>
                <w:szCs w:val="24"/>
                <w14:ligatures w14:val="none"/>
              </w:rPr>
            </w:pPr>
          </w:p>
        </w:tc>
        <w:tc>
          <w:tcPr>
            <w:tcW w:w="2024" w:type="dxa"/>
          </w:tcPr>
          <w:p w14:paraId="3DE4F6B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3D88905">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750D387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4704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5346F28B">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FESTAC</w:t>
            </w:r>
          </w:p>
        </w:tc>
        <w:tc>
          <w:tcPr>
            <w:tcW w:w="2024" w:type="dxa"/>
          </w:tcPr>
          <w:p w14:paraId="63D38D7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5E71FA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EB6AC4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0FAF7E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bl>
    <w:p w14:paraId="06256F4F"/>
    <w:p w14:paraId="652BDA1A">
      <w:pPr>
        <w:rPr>
          <w:b/>
          <w:bCs/>
        </w:rPr>
      </w:pPr>
      <w:bookmarkStart w:id="9" w:name="_Toc21754"/>
      <w:r>
        <w:rPr>
          <w:b/>
          <w:bCs/>
        </w:rPr>
        <w:t>Table 5 Vibrio Counts of Borehole water Obtained from Off Campus Hostels</w:t>
      </w:r>
      <w:bookmarkEnd w:id="9"/>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4"/>
      </w:tblGrid>
      <w:tr w14:paraId="45BB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24" w:type="dxa"/>
          </w:tcPr>
          <w:p w14:paraId="5E5B09D1">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Hostel ID</w:t>
            </w:r>
          </w:p>
        </w:tc>
        <w:tc>
          <w:tcPr>
            <w:tcW w:w="2024" w:type="dxa"/>
          </w:tcPr>
          <w:p w14:paraId="659486DE">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Dilution Plated</w:t>
            </w:r>
          </w:p>
        </w:tc>
        <w:tc>
          <w:tcPr>
            <w:tcW w:w="2024" w:type="dxa"/>
          </w:tcPr>
          <w:p w14:paraId="0E06DABA">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Av. Count</w:t>
            </w:r>
          </w:p>
        </w:tc>
        <w:tc>
          <w:tcPr>
            <w:tcW w:w="2024" w:type="dxa"/>
          </w:tcPr>
          <w:p w14:paraId="3801D083">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CFU/ml</w:t>
            </w:r>
          </w:p>
        </w:tc>
        <w:tc>
          <w:tcPr>
            <w:tcW w:w="2024" w:type="dxa"/>
          </w:tcPr>
          <w:p w14:paraId="38A8FB3F">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Log CFU/ml</w:t>
            </w:r>
          </w:p>
        </w:tc>
      </w:tr>
      <w:tr w14:paraId="2A1B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41A763DC">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CAM</w:t>
            </w:r>
          </w:p>
        </w:tc>
        <w:tc>
          <w:tcPr>
            <w:tcW w:w="2024" w:type="dxa"/>
          </w:tcPr>
          <w:p w14:paraId="4DAEB8F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2FA2DC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2BBDE0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C4264A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71F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6EDBE045">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LAN</w:t>
            </w:r>
          </w:p>
        </w:tc>
        <w:tc>
          <w:tcPr>
            <w:tcW w:w="2024" w:type="dxa"/>
          </w:tcPr>
          <w:p w14:paraId="0437B2B4">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7CF4BC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69AE77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FAE6F5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1588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12510955">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CHI</w:t>
            </w:r>
          </w:p>
        </w:tc>
        <w:tc>
          <w:tcPr>
            <w:tcW w:w="2024" w:type="dxa"/>
          </w:tcPr>
          <w:p w14:paraId="49DFBA7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2700ACF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FF740E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2B812C2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2735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24A973E4">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ONU</w:t>
            </w:r>
          </w:p>
        </w:tc>
        <w:tc>
          <w:tcPr>
            <w:tcW w:w="2024" w:type="dxa"/>
          </w:tcPr>
          <w:p w14:paraId="13CFB8A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22EB11A5">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17</w:t>
            </w:r>
          </w:p>
        </w:tc>
        <w:tc>
          <w:tcPr>
            <w:tcW w:w="2024" w:type="dxa"/>
          </w:tcPr>
          <w:p w14:paraId="2F10A4E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1.7x10</w:t>
            </w:r>
            <w:r>
              <w:rPr>
                <w:rFonts w:eastAsia="SimSun" w:cs="Times New Roman"/>
                <w:kern w:val="0"/>
                <w:szCs w:val="24"/>
                <w:vertAlign w:val="superscript"/>
                <w14:ligatures w14:val="none"/>
              </w:rPr>
              <w:t>2</w:t>
            </w:r>
          </w:p>
        </w:tc>
        <w:tc>
          <w:tcPr>
            <w:tcW w:w="2024" w:type="dxa"/>
          </w:tcPr>
          <w:p w14:paraId="2C933A7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2.230</w:t>
            </w:r>
          </w:p>
        </w:tc>
      </w:tr>
      <w:tr w14:paraId="00C6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5210B414">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TROY</w:t>
            </w:r>
          </w:p>
        </w:tc>
        <w:tc>
          <w:tcPr>
            <w:tcW w:w="2024" w:type="dxa"/>
          </w:tcPr>
          <w:p w14:paraId="65D934B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58C814F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21.5</w:t>
            </w:r>
          </w:p>
        </w:tc>
        <w:tc>
          <w:tcPr>
            <w:tcW w:w="2024" w:type="dxa"/>
          </w:tcPr>
          <w:p w14:paraId="0ED92252">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2.15x10</w:t>
            </w:r>
            <w:r>
              <w:rPr>
                <w:rFonts w:eastAsia="SimSun" w:cs="Times New Roman"/>
                <w:kern w:val="0"/>
                <w:szCs w:val="24"/>
                <w:vertAlign w:val="superscript"/>
                <w14:ligatures w14:val="none"/>
              </w:rPr>
              <w:t>2</w:t>
            </w:r>
          </w:p>
        </w:tc>
        <w:tc>
          <w:tcPr>
            <w:tcW w:w="2024" w:type="dxa"/>
          </w:tcPr>
          <w:p w14:paraId="3B066E6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2.332</w:t>
            </w:r>
          </w:p>
        </w:tc>
      </w:tr>
      <w:tr w14:paraId="3EEA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4" w:type="dxa"/>
          </w:tcPr>
          <w:p w14:paraId="66F6157A">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FESTAC</w:t>
            </w:r>
          </w:p>
        </w:tc>
        <w:tc>
          <w:tcPr>
            <w:tcW w:w="2024" w:type="dxa"/>
          </w:tcPr>
          <w:p w14:paraId="09A2DE9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841E9B2">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23AF3D4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4CE06E3">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bl>
    <w:p w14:paraId="5423080F">
      <w:pPr>
        <w:tabs>
          <w:tab w:val="left" w:pos="3918"/>
        </w:tabs>
        <w:spacing w:line="360" w:lineRule="auto"/>
        <w:rPr>
          <w:rFonts w:cs="Times New Roman"/>
          <w:szCs w:val="24"/>
        </w:rPr>
      </w:pPr>
    </w:p>
    <w:p w14:paraId="5EF9003D">
      <w:pPr>
        <w:rPr>
          <w:b/>
          <w:bCs/>
        </w:rPr>
      </w:pPr>
      <w:bookmarkStart w:id="10" w:name="_Toc6899"/>
      <w:r>
        <w:rPr>
          <w:b/>
          <w:bCs/>
        </w:rPr>
        <w:t>Table 6 Salmonella Counts of Borehole water Obtained from Off Campus Hostels</w:t>
      </w:r>
      <w:bookmarkEnd w:id="10"/>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4"/>
      </w:tblGrid>
      <w:tr w14:paraId="2B7F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24" w:type="dxa"/>
          </w:tcPr>
          <w:p w14:paraId="118B075E">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Hostel ID</w:t>
            </w:r>
          </w:p>
        </w:tc>
        <w:tc>
          <w:tcPr>
            <w:tcW w:w="2024" w:type="dxa"/>
          </w:tcPr>
          <w:p w14:paraId="1DA66782">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Dilution Plated</w:t>
            </w:r>
          </w:p>
        </w:tc>
        <w:tc>
          <w:tcPr>
            <w:tcW w:w="2024" w:type="dxa"/>
          </w:tcPr>
          <w:p w14:paraId="13DDAF3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Av. Count</w:t>
            </w:r>
          </w:p>
        </w:tc>
        <w:tc>
          <w:tcPr>
            <w:tcW w:w="2024" w:type="dxa"/>
          </w:tcPr>
          <w:p w14:paraId="3A975AF2">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CFU/ml</w:t>
            </w:r>
          </w:p>
        </w:tc>
        <w:tc>
          <w:tcPr>
            <w:tcW w:w="2024" w:type="dxa"/>
          </w:tcPr>
          <w:p w14:paraId="5B88D5D2">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Log CFU/ml</w:t>
            </w:r>
          </w:p>
        </w:tc>
      </w:tr>
      <w:tr w14:paraId="1DBE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5FE7A98D">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CAM</w:t>
            </w:r>
          </w:p>
        </w:tc>
        <w:tc>
          <w:tcPr>
            <w:tcW w:w="2024" w:type="dxa"/>
          </w:tcPr>
          <w:p w14:paraId="556072C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7020B726">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w:t>
            </w:r>
          </w:p>
        </w:tc>
        <w:tc>
          <w:tcPr>
            <w:tcW w:w="2024" w:type="dxa"/>
          </w:tcPr>
          <w:p w14:paraId="321F321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2.1x10</w:t>
            </w:r>
            <w:r>
              <w:rPr>
                <w:rFonts w:eastAsia="SimSun" w:cs="Times New Roman"/>
                <w:kern w:val="0"/>
                <w:szCs w:val="24"/>
                <w:vertAlign w:val="superscript"/>
                <w14:ligatures w14:val="none"/>
              </w:rPr>
              <w:t>2</w:t>
            </w:r>
          </w:p>
        </w:tc>
        <w:tc>
          <w:tcPr>
            <w:tcW w:w="2024" w:type="dxa"/>
          </w:tcPr>
          <w:p w14:paraId="71D1EEA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2.322</w:t>
            </w:r>
          </w:p>
        </w:tc>
      </w:tr>
      <w:tr w14:paraId="79DA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2B246478">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LAN</w:t>
            </w:r>
          </w:p>
        </w:tc>
        <w:tc>
          <w:tcPr>
            <w:tcW w:w="2024" w:type="dxa"/>
          </w:tcPr>
          <w:p w14:paraId="2E2F205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10</w:t>
            </w:r>
            <w:r>
              <w:rPr>
                <w:rFonts w:eastAsia="SimSun" w:cs="Times New Roman"/>
                <w:kern w:val="0"/>
                <w:szCs w:val="24"/>
                <w:vertAlign w:val="superscript"/>
                <w14:ligatures w14:val="none"/>
              </w:rPr>
              <w:t>0</w:t>
            </w:r>
          </w:p>
        </w:tc>
        <w:tc>
          <w:tcPr>
            <w:tcW w:w="2024" w:type="dxa"/>
          </w:tcPr>
          <w:p w14:paraId="60F988A5">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13</w:t>
            </w:r>
          </w:p>
        </w:tc>
        <w:tc>
          <w:tcPr>
            <w:tcW w:w="2024" w:type="dxa"/>
          </w:tcPr>
          <w:p w14:paraId="5FFBFB41">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1.3x10</w:t>
            </w:r>
            <w:r>
              <w:rPr>
                <w:rFonts w:eastAsia="SimSun" w:cs="Times New Roman"/>
                <w:kern w:val="0"/>
                <w:szCs w:val="24"/>
                <w:vertAlign w:val="superscript"/>
                <w14:ligatures w14:val="none"/>
              </w:rPr>
              <w:t>2</w:t>
            </w:r>
          </w:p>
        </w:tc>
        <w:tc>
          <w:tcPr>
            <w:tcW w:w="2024" w:type="dxa"/>
          </w:tcPr>
          <w:p w14:paraId="60E2DA3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2.114</w:t>
            </w:r>
          </w:p>
        </w:tc>
      </w:tr>
      <w:tr w14:paraId="0493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618F3516">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CHI</w:t>
            </w:r>
          </w:p>
        </w:tc>
        <w:tc>
          <w:tcPr>
            <w:tcW w:w="2024" w:type="dxa"/>
          </w:tcPr>
          <w:p w14:paraId="4DF4717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5B1F8B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079E479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E2D228D">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6371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26A2B0EA">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ONU</w:t>
            </w:r>
          </w:p>
        </w:tc>
        <w:tc>
          <w:tcPr>
            <w:tcW w:w="2024" w:type="dxa"/>
          </w:tcPr>
          <w:p w14:paraId="4A69B8F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54EA42F5">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A179FAC">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37556E30">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7469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0202CA31">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TROY</w:t>
            </w:r>
          </w:p>
        </w:tc>
        <w:tc>
          <w:tcPr>
            <w:tcW w:w="2024" w:type="dxa"/>
          </w:tcPr>
          <w:p w14:paraId="4013719F">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4FAC6F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3AFD948">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6C2F7A0B">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r w14:paraId="582A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4" w:type="dxa"/>
          </w:tcPr>
          <w:p w14:paraId="1C899A8F">
            <w:pPr>
              <w:widowControl w:val="0"/>
              <w:spacing w:after="0" w:line="360" w:lineRule="auto"/>
              <w:rPr>
                <w:rFonts w:eastAsia="SimSun" w:cs="Times New Roman"/>
                <w:b/>
                <w:bCs/>
                <w:kern w:val="0"/>
                <w:szCs w:val="24"/>
                <w14:ligatures w14:val="none"/>
              </w:rPr>
            </w:pPr>
            <w:r>
              <w:rPr>
                <w:rFonts w:eastAsia="SimSun" w:cs="Times New Roman"/>
                <w:b/>
                <w:bCs/>
                <w:kern w:val="0"/>
                <w:szCs w:val="24"/>
                <w14:ligatures w14:val="none"/>
              </w:rPr>
              <w:t>FESTAC</w:t>
            </w:r>
          </w:p>
        </w:tc>
        <w:tc>
          <w:tcPr>
            <w:tcW w:w="2024" w:type="dxa"/>
          </w:tcPr>
          <w:p w14:paraId="65FB337E">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70F356EA">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425A4FA9">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c>
          <w:tcPr>
            <w:tcW w:w="2024" w:type="dxa"/>
          </w:tcPr>
          <w:p w14:paraId="1DAEDB97">
            <w:pPr>
              <w:widowControl w:val="0"/>
              <w:spacing w:after="0" w:line="360" w:lineRule="auto"/>
              <w:rPr>
                <w:rFonts w:eastAsia="SimSun" w:cs="Times New Roman"/>
                <w:kern w:val="0"/>
                <w:szCs w:val="24"/>
                <w14:ligatures w14:val="none"/>
              </w:rPr>
            </w:pPr>
            <w:r>
              <w:rPr>
                <w:rFonts w:eastAsia="SimSun" w:cs="Times New Roman"/>
                <w:kern w:val="0"/>
                <w:szCs w:val="24"/>
                <w14:ligatures w14:val="none"/>
              </w:rPr>
              <w:t>-</w:t>
            </w:r>
          </w:p>
        </w:tc>
      </w:tr>
    </w:tbl>
    <w:p w14:paraId="0B0ACD2C">
      <w:pPr>
        <w:tabs>
          <w:tab w:val="left" w:pos="3918"/>
        </w:tabs>
        <w:spacing w:line="360" w:lineRule="auto"/>
        <w:rPr>
          <w:rFonts w:cs="Times New Roman"/>
          <w:szCs w:val="24"/>
        </w:rPr>
        <w:sectPr>
          <w:headerReference r:id="rId9" w:type="first"/>
          <w:footerReference r:id="rId12" w:type="first"/>
          <w:headerReference r:id="rId7" w:type="default"/>
          <w:footerReference r:id="rId10" w:type="default"/>
          <w:headerReference r:id="rId8" w:type="even"/>
          <w:footerReference r:id="rId11" w:type="even"/>
          <w:pgSz w:w="12240" w:h="15840"/>
          <w:pgMar w:top="1440" w:right="1080" w:bottom="1440" w:left="1080" w:header="708" w:footer="2880" w:gutter="0"/>
          <w:pgNumType w:start="1"/>
          <w:cols w:space="708" w:num="1"/>
          <w:docGrid w:linePitch="360" w:charSpace="0"/>
        </w:sectPr>
      </w:pPr>
    </w:p>
    <w:p w14:paraId="10649C2B">
      <w:pPr>
        <w:rPr>
          <w:b/>
          <w:bCs/>
        </w:rPr>
      </w:pPr>
      <w:r>
        <w:rPr>
          <w:b/>
          <w:bCs/>
        </w:rPr>
        <w:t>3.7 Morphological/Biochemical Characterization of Isolates from Water Samples Studied</w:t>
      </w:r>
    </w:p>
    <w:p w14:paraId="38DAE7A3">
      <w:r>
        <w:t>The morphological and biochemical characteristics revealed the predominance of eight bacterial genera including Salmonella, Pseudomonas, Proteus, Staphylococcus, Corynebacterium, Bacillus, Yersinia, VIbrio, Micrococcus species. (Table 7)</w:t>
      </w:r>
    </w:p>
    <w:p w14:paraId="2135A09D">
      <w:pPr>
        <w:rPr>
          <w:b/>
          <w:bCs/>
        </w:rPr>
      </w:pPr>
      <w:r>
        <w:rPr>
          <w:b/>
          <w:bCs/>
        </w:rPr>
        <w:t xml:space="preserve">3.8 Antibiotic Susceptibility Profile of Gram-Positive Isolates That Tested Positive to Biofilm, Alpha or Beta Hemolysis </w:t>
      </w:r>
    </w:p>
    <w:p w14:paraId="215F64B4">
      <w:r>
        <w:t>The antibiotic susceptibility profile of gram-positive isolates showed that LAN4 was more resistant to antibiotics than other gram-positive isolates (It was resistant to eight antibiotics; Cefalexin, Erythromycin, Ampicillin, Sulfamethoxazole, streptomycin, Rifampicin, Azithromycin, Ampiclox) while CAM 7 and CHI1 was susceptible to all antibiotics (Cefalexin, Erythromycin, Ampicillin, Sulfamethoxazole, streptomycin, Rifampicin, Azithromycin, Pefloxacin, Ciprofloxacin, Ampiclox - (Table 8)</w:t>
      </w:r>
    </w:p>
    <w:p w14:paraId="63A713AC">
      <w:pPr>
        <w:rPr>
          <w:b/>
          <w:bCs/>
        </w:rPr>
      </w:pPr>
      <w:r>
        <w:rPr>
          <w:b/>
          <w:bCs/>
        </w:rPr>
        <w:t xml:space="preserve">3.9 Antibiotic Susceptibility Profile of Gram-Negative Isolates That Tested Positive to Biofilm, Alpha or Beta Hemolysis  </w:t>
      </w:r>
    </w:p>
    <w:p w14:paraId="1BAA95DD">
      <w:r>
        <w:t>The antibiotic susceptibility profile of gram-negative isolates showed that TRO7 was more resistant to antibiotics than other gram-negative isolates (it was resistant to 7 antibiotics on the antibiotics sensitivity disc; Pefloxacin, Ofloxacin, Azithromycin, Levofloxacin, Cefalotin, Ampicillin and Aureomycin) while CHI2 was susceptible to all antibiotics (Cefalexin, Spectinomycin, Ciprofloxacin, Pefloxacin, Ofloxacin, Azithromycin, Levofloxacin, Cefalotin, Ampicillin and Aureomycin (Table 9)</w:t>
      </w:r>
    </w:p>
    <w:p w14:paraId="1BEA52D5">
      <w:pPr>
        <w:rPr>
          <w:b/>
          <w:bCs/>
        </w:rPr>
      </w:pPr>
      <w:r>
        <w:rPr>
          <w:b/>
          <w:bCs/>
        </w:rPr>
        <w:t>3.10 Biofilm Formation and Haemolytic Characteristics of Bacteria Isolates from Water Samples Studied</w:t>
      </w:r>
    </w:p>
    <w:p w14:paraId="2FCADD62">
      <w:r>
        <w:t xml:space="preserve">The study showed that six isolates tested positive for biofilm formation, eleven tested positive for alpha haemolysis, eleven also tested positive for beta haemolysis and fourteen tested positive for gamma haemolysis. (Table 10 to </w:t>
      </w:r>
      <w:commentRangeStart w:id="12"/>
      <w:r>
        <w:t>12)</w:t>
      </w:r>
      <w:commentRangeEnd w:id="12"/>
      <w:r>
        <w:commentReference w:id="12"/>
      </w:r>
    </w:p>
    <w:p w14:paraId="3531BCE2"/>
    <w:p w14:paraId="2629D465"/>
    <w:p w14:paraId="1C40BEEC"/>
    <w:p w14:paraId="5D7F4984"/>
    <w:p w14:paraId="59EDE662">
      <w:pPr>
        <w:rPr>
          <w:b/>
        </w:rPr>
      </w:pPr>
      <w:r>
        <w:rPr>
          <w:b/>
        </w:rPr>
        <w:t>Table 7 Cultural Morphology of Bacterial Isolates from Water Samples studied.</w:t>
      </w:r>
    </w:p>
    <w:tbl>
      <w:tblPr>
        <w:tblStyle w:val="15"/>
        <w:tblpPr w:vertAnchor="text" w:horzAnchor="margin" w:tblpXSpec="center" w:tblpY="487"/>
        <w:tblW w:w="10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044"/>
        <w:gridCol w:w="1062"/>
        <w:gridCol w:w="847"/>
        <w:gridCol w:w="968"/>
        <w:gridCol w:w="1125"/>
        <w:gridCol w:w="1350"/>
        <w:gridCol w:w="1411"/>
        <w:gridCol w:w="1127"/>
        <w:gridCol w:w="1118"/>
      </w:tblGrid>
      <w:tr w14:paraId="1ADB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0" w:type="dxa"/>
          </w:tcPr>
          <w:p w14:paraId="16AC1C17">
            <w:pPr>
              <w:widowControl w:val="0"/>
              <w:spacing w:after="0" w:line="240" w:lineRule="auto"/>
              <w:rPr>
                <w:rFonts w:eastAsia="SimSun" w:cs="Times New Roman"/>
                <w:b/>
                <w:kern w:val="0"/>
                <w:sz w:val="18"/>
                <w:szCs w:val="18"/>
                <w14:ligatures w14:val="none"/>
              </w:rPr>
            </w:pPr>
            <w:bookmarkStart w:id="11" w:name="_Toc23780"/>
            <w:r>
              <w:rPr>
                <w:rFonts w:eastAsia="SimSun" w:cs="Times New Roman"/>
                <w:b/>
                <w:kern w:val="0"/>
                <w:sz w:val="18"/>
                <w:szCs w:val="18"/>
                <w14:ligatures w14:val="none"/>
              </w:rPr>
              <w:t>SN</w:t>
            </w:r>
          </w:p>
        </w:tc>
        <w:tc>
          <w:tcPr>
            <w:tcW w:w="1044" w:type="dxa"/>
          </w:tcPr>
          <w:p w14:paraId="63BE53B4">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ISOLATE</w:t>
            </w:r>
          </w:p>
          <w:p w14:paraId="179E06D2">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CODE</w:t>
            </w:r>
          </w:p>
        </w:tc>
        <w:tc>
          <w:tcPr>
            <w:tcW w:w="1062" w:type="dxa"/>
          </w:tcPr>
          <w:p w14:paraId="24786561">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SHAPE</w:t>
            </w:r>
          </w:p>
        </w:tc>
        <w:tc>
          <w:tcPr>
            <w:tcW w:w="847" w:type="dxa"/>
          </w:tcPr>
          <w:p w14:paraId="39D611D5">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SIZE</w:t>
            </w:r>
          </w:p>
        </w:tc>
        <w:tc>
          <w:tcPr>
            <w:tcW w:w="968" w:type="dxa"/>
          </w:tcPr>
          <w:p w14:paraId="6476D8D1">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COLOR</w:t>
            </w:r>
          </w:p>
        </w:tc>
        <w:tc>
          <w:tcPr>
            <w:tcW w:w="1125" w:type="dxa"/>
          </w:tcPr>
          <w:p w14:paraId="3E68ABDC">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MARGIN</w:t>
            </w:r>
          </w:p>
        </w:tc>
        <w:tc>
          <w:tcPr>
            <w:tcW w:w="1350" w:type="dxa"/>
          </w:tcPr>
          <w:p w14:paraId="5095D9E8">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ELEVATION</w:t>
            </w:r>
          </w:p>
        </w:tc>
        <w:tc>
          <w:tcPr>
            <w:tcW w:w="1411" w:type="dxa"/>
          </w:tcPr>
          <w:p w14:paraId="1FD581F5">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OPACITY</w:t>
            </w:r>
          </w:p>
        </w:tc>
        <w:tc>
          <w:tcPr>
            <w:tcW w:w="1127" w:type="dxa"/>
          </w:tcPr>
          <w:p w14:paraId="5CE76453">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SURFACE</w:t>
            </w:r>
          </w:p>
        </w:tc>
        <w:tc>
          <w:tcPr>
            <w:tcW w:w="1118" w:type="dxa"/>
          </w:tcPr>
          <w:p w14:paraId="3400B991">
            <w:pPr>
              <w:widowControl w:val="0"/>
              <w:spacing w:after="0" w:line="240" w:lineRule="auto"/>
              <w:rPr>
                <w:rFonts w:eastAsia="SimSun" w:cs="Times New Roman"/>
                <w:b/>
                <w:kern w:val="0"/>
                <w:sz w:val="18"/>
                <w:szCs w:val="18"/>
                <w14:ligatures w14:val="none"/>
              </w:rPr>
            </w:pPr>
            <w:r>
              <w:rPr>
                <w:rFonts w:eastAsia="SimSun" w:cs="Times New Roman"/>
                <w:b/>
                <w:kern w:val="0"/>
                <w:sz w:val="18"/>
                <w:szCs w:val="18"/>
                <w14:ligatures w14:val="none"/>
              </w:rPr>
              <w:t>TEXTURE</w:t>
            </w:r>
          </w:p>
        </w:tc>
      </w:tr>
      <w:tr w14:paraId="1ACF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AAF571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w:t>
            </w:r>
          </w:p>
        </w:tc>
        <w:tc>
          <w:tcPr>
            <w:tcW w:w="1044" w:type="dxa"/>
          </w:tcPr>
          <w:p w14:paraId="33AC0C2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CAM1</w:t>
            </w:r>
          </w:p>
        </w:tc>
        <w:tc>
          <w:tcPr>
            <w:tcW w:w="1062" w:type="dxa"/>
          </w:tcPr>
          <w:p w14:paraId="6A5C14DA">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998EEB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2B0B0EE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Pink</w:t>
            </w:r>
          </w:p>
        </w:tc>
        <w:tc>
          <w:tcPr>
            <w:tcW w:w="1125" w:type="dxa"/>
          </w:tcPr>
          <w:p w14:paraId="624718F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5C94C6C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529A38A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017C244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128887D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21A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90" w:type="dxa"/>
          </w:tcPr>
          <w:p w14:paraId="1A695AE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w:t>
            </w:r>
          </w:p>
        </w:tc>
        <w:tc>
          <w:tcPr>
            <w:tcW w:w="1044" w:type="dxa"/>
          </w:tcPr>
          <w:p w14:paraId="56D0D559">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CAM2</w:t>
            </w:r>
          </w:p>
        </w:tc>
        <w:tc>
          <w:tcPr>
            <w:tcW w:w="1062" w:type="dxa"/>
          </w:tcPr>
          <w:p w14:paraId="2495AAD6">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1CC79A5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3078400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103D89F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3E2836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43D7C28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74DE8F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12F0241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056A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09EF51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w:t>
            </w:r>
          </w:p>
        </w:tc>
        <w:tc>
          <w:tcPr>
            <w:tcW w:w="1044" w:type="dxa"/>
          </w:tcPr>
          <w:p w14:paraId="1D2D4840">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CAM3</w:t>
            </w:r>
          </w:p>
        </w:tc>
        <w:tc>
          <w:tcPr>
            <w:tcW w:w="1062" w:type="dxa"/>
          </w:tcPr>
          <w:p w14:paraId="6D399172">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548DA63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592E8A1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69743C5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B3CBBD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3FEEAD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75841BB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6828EF2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2B6B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0D3042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w:t>
            </w:r>
          </w:p>
        </w:tc>
        <w:tc>
          <w:tcPr>
            <w:tcW w:w="1044" w:type="dxa"/>
          </w:tcPr>
          <w:p w14:paraId="6A53476C">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CAM4</w:t>
            </w:r>
          </w:p>
        </w:tc>
        <w:tc>
          <w:tcPr>
            <w:tcW w:w="1062" w:type="dxa"/>
          </w:tcPr>
          <w:p w14:paraId="17E7F2CC">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385A398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785EADF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Pink</w:t>
            </w:r>
          </w:p>
        </w:tc>
        <w:tc>
          <w:tcPr>
            <w:tcW w:w="1125" w:type="dxa"/>
          </w:tcPr>
          <w:p w14:paraId="6344AB1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5C6504A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2A7025F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2B6DC13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2C9A02D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6390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651F2AA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w:t>
            </w:r>
          </w:p>
        </w:tc>
        <w:tc>
          <w:tcPr>
            <w:tcW w:w="1044" w:type="dxa"/>
          </w:tcPr>
          <w:p w14:paraId="77B55C74">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CAM5</w:t>
            </w:r>
          </w:p>
        </w:tc>
        <w:tc>
          <w:tcPr>
            <w:tcW w:w="1062" w:type="dxa"/>
          </w:tcPr>
          <w:p w14:paraId="03A8C907">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D34C0D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6BD629B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120BC51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6894312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182EC1C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54CC6E2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41AB4C0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0E7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671631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6</w:t>
            </w:r>
          </w:p>
        </w:tc>
        <w:tc>
          <w:tcPr>
            <w:tcW w:w="1044" w:type="dxa"/>
          </w:tcPr>
          <w:p w14:paraId="36F3DF7F">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CAM6</w:t>
            </w:r>
          </w:p>
        </w:tc>
        <w:tc>
          <w:tcPr>
            <w:tcW w:w="1062" w:type="dxa"/>
          </w:tcPr>
          <w:p w14:paraId="44D1D910">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4181110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0F78228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Yellow</w:t>
            </w:r>
          </w:p>
        </w:tc>
        <w:tc>
          <w:tcPr>
            <w:tcW w:w="1125" w:type="dxa"/>
          </w:tcPr>
          <w:p w14:paraId="0ED2343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312B112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5C3CFA5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2A5C2C1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2D14B52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43E8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90" w:type="dxa"/>
          </w:tcPr>
          <w:p w14:paraId="5F49932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7</w:t>
            </w:r>
          </w:p>
        </w:tc>
        <w:tc>
          <w:tcPr>
            <w:tcW w:w="1044" w:type="dxa"/>
          </w:tcPr>
          <w:p w14:paraId="249F3B67">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CAM7</w:t>
            </w:r>
          </w:p>
        </w:tc>
        <w:tc>
          <w:tcPr>
            <w:tcW w:w="1062" w:type="dxa"/>
          </w:tcPr>
          <w:p w14:paraId="0BB6980B">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6F3854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774C15B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3CE9ADC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6BBC69D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635EA1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D629E8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5B681B3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1C84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40F5ABF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8</w:t>
            </w:r>
          </w:p>
        </w:tc>
        <w:tc>
          <w:tcPr>
            <w:tcW w:w="1044" w:type="dxa"/>
          </w:tcPr>
          <w:p w14:paraId="2BD21F1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CHI1</w:t>
            </w:r>
          </w:p>
        </w:tc>
        <w:tc>
          <w:tcPr>
            <w:tcW w:w="1062" w:type="dxa"/>
          </w:tcPr>
          <w:p w14:paraId="36FF3D00">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8D3F0B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6mm</w:t>
            </w:r>
          </w:p>
        </w:tc>
        <w:tc>
          <w:tcPr>
            <w:tcW w:w="968" w:type="dxa"/>
          </w:tcPr>
          <w:p w14:paraId="75C6231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4D3C692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Lobate</w:t>
            </w:r>
          </w:p>
        </w:tc>
        <w:tc>
          <w:tcPr>
            <w:tcW w:w="1350" w:type="dxa"/>
          </w:tcPr>
          <w:p w14:paraId="219A70C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CE669C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E75A49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3237AA1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1097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419FD7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9</w:t>
            </w:r>
          </w:p>
        </w:tc>
        <w:tc>
          <w:tcPr>
            <w:tcW w:w="1044" w:type="dxa"/>
          </w:tcPr>
          <w:p w14:paraId="441DD4C3">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CHI2</w:t>
            </w:r>
          </w:p>
        </w:tc>
        <w:tc>
          <w:tcPr>
            <w:tcW w:w="1062" w:type="dxa"/>
          </w:tcPr>
          <w:p w14:paraId="47781375">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48F487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3mm</w:t>
            </w:r>
          </w:p>
        </w:tc>
        <w:tc>
          <w:tcPr>
            <w:tcW w:w="968" w:type="dxa"/>
          </w:tcPr>
          <w:p w14:paraId="67DB083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Yellow</w:t>
            </w:r>
          </w:p>
        </w:tc>
        <w:tc>
          <w:tcPr>
            <w:tcW w:w="1125" w:type="dxa"/>
          </w:tcPr>
          <w:p w14:paraId="58D6244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A3AA7E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27477F1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7CE4589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5F27AFF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25D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54A3F1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10</w:t>
            </w:r>
          </w:p>
        </w:tc>
        <w:tc>
          <w:tcPr>
            <w:tcW w:w="1044" w:type="dxa"/>
          </w:tcPr>
          <w:p w14:paraId="5C6238D4">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CHI3</w:t>
            </w:r>
          </w:p>
        </w:tc>
        <w:tc>
          <w:tcPr>
            <w:tcW w:w="1062" w:type="dxa"/>
          </w:tcPr>
          <w:p w14:paraId="3F2B0C0F">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17A7CA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030C1CE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Orange</w:t>
            </w:r>
          </w:p>
        </w:tc>
        <w:tc>
          <w:tcPr>
            <w:tcW w:w="1125" w:type="dxa"/>
          </w:tcPr>
          <w:p w14:paraId="02BCCF4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06809E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2515F4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16C0C9A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7D04377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622A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928DA0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11</w:t>
            </w:r>
          </w:p>
        </w:tc>
        <w:tc>
          <w:tcPr>
            <w:tcW w:w="1044" w:type="dxa"/>
          </w:tcPr>
          <w:p w14:paraId="6F405FFB">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CHI4</w:t>
            </w:r>
          </w:p>
        </w:tc>
        <w:tc>
          <w:tcPr>
            <w:tcW w:w="1062" w:type="dxa"/>
          </w:tcPr>
          <w:p w14:paraId="13AF178C">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3F2716F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59A9226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4898A77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35E9F2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000DA51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2682529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70A76DC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066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90" w:type="dxa"/>
          </w:tcPr>
          <w:p w14:paraId="1274BB2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12</w:t>
            </w:r>
          </w:p>
        </w:tc>
        <w:tc>
          <w:tcPr>
            <w:tcW w:w="1044" w:type="dxa"/>
          </w:tcPr>
          <w:p w14:paraId="233D9A4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LAN1</w:t>
            </w:r>
          </w:p>
        </w:tc>
        <w:tc>
          <w:tcPr>
            <w:tcW w:w="1062" w:type="dxa"/>
          </w:tcPr>
          <w:p w14:paraId="0D550D22">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12E59BA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0D92433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3F2A83F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5D16019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047A35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75153B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1606301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625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58D7F61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13</w:t>
            </w:r>
          </w:p>
        </w:tc>
        <w:tc>
          <w:tcPr>
            <w:tcW w:w="1044" w:type="dxa"/>
          </w:tcPr>
          <w:p w14:paraId="7008AD30">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LAN2</w:t>
            </w:r>
          </w:p>
        </w:tc>
        <w:tc>
          <w:tcPr>
            <w:tcW w:w="1062" w:type="dxa"/>
          </w:tcPr>
          <w:p w14:paraId="17E90CAA">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297A3E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6E77E66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08CFDA1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8ED520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370DBE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0BB1862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3473B64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1498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6E94861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14</w:t>
            </w:r>
          </w:p>
        </w:tc>
        <w:tc>
          <w:tcPr>
            <w:tcW w:w="1044" w:type="dxa"/>
          </w:tcPr>
          <w:p w14:paraId="52E9105F">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LAN3</w:t>
            </w:r>
          </w:p>
        </w:tc>
        <w:tc>
          <w:tcPr>
            <w:tcW w:w="1062" w:type="dxa"/>
          </w:tcPr>
          <w:p w14:paraId="5225FBA1">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163337A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3mm</w:t>
            </w:r>
          </w:p>
        </w:tc>
        <w:tc>
          <w:tcPr>
            <w:tcW w:w="968" w:type="dxa"/>
          </w:tcPr>
          <w:p w14:paraId="45EA547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Yellow</w:t>
            </w:r>
          </w:p>
        </w:tc>
        <w:tc>
          <w:tcPr>
            <w:tcW w:w="1125" w:type="dxa"/>
          </w:tcPr>
          <w:p w14:paraId="49B804F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33A280F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7C3A87C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C76D2E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2585AF0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9DA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4E35F6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15</w:t>
            </w:r>
          </w:p>
        </w:tc>
        <w:tc>
          <w:tcPr>
            <w:tcW w:w="1044" w:type="dxa"/>
          </w:tcPr>
          <w:p w14:paraId="11CFAB97">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LAN4</w:t>
            </w:r>
          </w:p>
        </w:tc>
        <w:tc>
          <w:tcPr>
            <w:tcW w:w="1062" w:type="dxa"/>
          </w:tcPr>
          <w:p w14:paraId="66F68A08">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1B1A4E5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5B3D307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5579D1B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3D6E92E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606575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C51CA5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78CC8A1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1165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B7D216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16</w:t>
            </w:r>
          </w:p>
        </w:tc>
        <w:tc>
          <w:tcPr>
            <w:tcW w:w="1044" w:type="dxa"/>
          </w:tcPr>
          <w:p w14:paraId="2A76604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LAN5</w:t>
            </w:r>
          </w:p>
        </w:tc>
        <w:tc>
          <w:tcPr>
            <w:tcW w:w="1062" w:type="dxa"/>
          </w:tcPr>
          <w:p w14:paraId="1A59508D">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F73FE3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7mm</w:t>
            </w:r>
          </w:p>
        </w:tc>
        <w:tc>
          <w:tcPr>
            <w:tcW w:w="968" w:type="dxa"/>
          </w:tcPr>
          <w:p w14:paraId="4FEDAC9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6C03513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Wavy</w:t>
            </w:r>
          </w:p>
        </w:tc>
        <w:tc>
          <w:tcPr>
            <w:tcW w:w="1350" w:type="dxa"/>
          </w:tcPr>
          <w:p w14:paraId="564F401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95B54B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7FCD51C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02C66D8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19C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A3708D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17</w:t>
            </w:r>
          </w:p>
        </w:tc>
        <w:tc>
          <w:tcPr>
            <w:tcW w:w="1044" w:type="dxa"/>
          </w:tcPr>
          <w:p w14:paraId="2C5A59D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LAN6</w:t>
            </w:r>
          </w:p>
        </w:tc>
        <w:tc>
          <w:tcPr>
            <w:tcW w:w="1062" w:type="dxa"/>
          </w:tcPr>
          <w:p w14:paraId="2134BF1B">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F94454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76327FC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Creamy</w:t>
            </w:r>
          </w:p>
        </w:tc>
        <w:tc>
          <w:tcPr>
            <w:tcW w:w="1125" w:type="dxa"/>
          </w:tcPr>
          <w:p w14:paraId="0A5D883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413F1DA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2D61D66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1D6A15F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09DA611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351F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E7522F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18</w:t>
            </w:r>
          </w:p>
        </w:tc>
        <w:tc>
          <w:tcPr>
            <w:tcW w:w="1044" w:type="dxa"/>
          </w:tcPr>
          <w:p w14:paraId="0ECBD96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LAN7</w:t>
            </w:r>
          </w:p>
        </w:tc>
        <w:tc>
          <w:tcPr>
            <w:tcW w:w="1062" w:type="dxa"/>
          </w:tcPr>
          <w:p w14:paraId="3D60965E">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3D756C5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5CCA176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4FF197E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025E251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70C1632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604D44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4250E9A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410C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E630F5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19</w:t>
            </w:r>
          </w:p>
        </w:tc>
        <w:tc>
          <w:tcPr>
            <w:tcW w:w="1044" w:type="dxa"/>
          </w:tcPr>
          <w:p w14:paraId="594F2D3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TRO1</w:t>
            </w:r>
          </w:p>
        </w:tc>
        <w:tc>
          <w:tcPr>
            <w:tcW w:w="1062" w:type="dxa"/>
          </w:tcPr>
          <w:p w14:paraId="4D86061F">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29A5B21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3mm</w:t>
            </w:r>
          </w:p>
        </w:tc>
        <w:tc>
          <w:tcPr>
            <w:tcW w:w="968" w:type="dxa"/>
          </w:tcPr>
          <w:p w14:paraId="54AF277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Peach</w:t>
            </w:r>
          </w:p>
        </w:tc>
        <w:tc>
          <w:tcPr>
            <w:tcW w:w="1125" w:type="dxa"/>
          </w:tcPr>
          <w:p w14:paraId="5E895EF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570CEAB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259474A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B4BD0C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36965A2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0BD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DA4B63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20</w:t>
            </w:r>
          </w:p>
        </w:tc>
        <w:tc>
          <w:tcPr>
            <w:tcW w:w="1044" w:type="dxa"/>
          </w:tcPr>
          <w:p w14:paraId="52EFCE3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TRO2</w:t>
            </w:r>
          </w:p>
        </w:tc>
        <w:tc>
          <w:tcPr>
            <w:tcW w:w="1062" w:type="dxa"/>
          </w:tcPr>
          <w:p w14:paraId="54C743E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Irregular</w:t>
            </w:r>
          </w:p>
        </w:tc>
        <w:tc>
          <w:tcPr>
            <w:tcW w:w="847" w:type="dxa"/>
          </w:tcPr>
          <w:p w14:paraId="7B852E5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3F50952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1175E9D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Lobate</w:t>
            </w:r>
          </w:p>
        </w:tc>
        <w:tc>
          <w:tcPr>
            <w:tcW w:w="1350" w:type="dxa"/>
          </w:tcPr>
          <w:p w14:paraId="739857D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66F77B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D4FF3B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2F452CE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1AC1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2F5B2F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21</w:t>
            </w:r>
          </w:p>
        </w:tc>
        <w:tc>
          <w:tcPr>
            <w:tcW w:w="1044" w:type="dxa"/>
          </w:tcPr>
          <w:p w14:paraId="56DFD93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TRO3</w:t>
            </w:r>
          </w:p>
        </w:tc>
        <w:tc>
          <w:tcPr>
            <w:tcW w:w="1062" w:type="dxa"/>
          </w:tcPr>
          <w:p w14:paraId="649DF0D2">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1A2C853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2mm</w:t>
            </w:r>
          </w:p>
        </w:tc>
        <w:tc>
          <w:tcPr>
            <w:tcW w:w="968" w:type="dxa"/>
          </w:tcPr>
          <w:p w14:paraId="38FED85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23BF0B4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Undulate</w:t>
            </w:r>
          </w:p>
        </w:tc>
        <w:tc>
          <w:tcPr>
            <w:tcW w:w="1350" w:type="dxa"/>
          </w:tcPr>
          <w:p w14:paraId="7321668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636850C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33EF60B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015E53C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18A7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52E40E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22</w:t>
            </w:r>
          </w:p>
        </w:tc>
        <w:tc>
          <w:tcPr>
            <w:tcW w:w="1044" w:type="dxa"/>
          </w:tcPr>
          <w:p w14:paraId="2A7C41C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TRO4</w:t>
            </w:r>
          </w:p>
        </w:tc>
        <w:tc>
          <w:tcPr>
            <w:tcW w:w="1062" w:type="dxa"/>
          </w:tcPr>
          <w:p w14:paraId="7BF47AC5">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D16C95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1E371B4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431D177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4E1A8A1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6B31A93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B34A62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5DD6E8A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7090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6454DA6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23</w:t>
            </w:r>
          </w:p>
        </w:tc>
        <w:tc>
          <w:tcPr>
            <w:tcW w:w="1044" w:type="dxa"/>
          </w:tcPr>
          <w:p w14:paraId="264C764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TRO5</w:t>
            </w:r>
          </w:p>
        </w:tc>
        <w:tc>
          <w:tcPr>
            <w:tcW w:w="1062" w:type="dxa"/>
          </w:tcPr>
          <w:p w14:paraId="5E61F36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Spindle</w:t>
            </w:r>
          </w:p>
        </w:tc>
        <w:tc>
          <w:tcPr>
            <w:tcW w:w="847" w:type="dxa"/>
          </w:tcPr>
          <w:p w14:paraId="6EC3BB6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65F9BB2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388DCBD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32D2D16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CB90AE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1E4249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685DC66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69F0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04E0B9C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24</w:t>
            </w:r>
          </w:p>
        </w:tc>
        <w:tc>
          <w:tcPr>
            <w:tcW w:w="1044" w:type="dxa"/>
          </w:tcPr>
          <w:p w14:paraId="3C4460A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TRO6</w:t>
            </w:r>
          </w:p>
        </w:tc>
        <w:tc>
          <w:tcPr>
            <w:tcW w:w="1062" w:type="dxa"/>
          </w:tcPr>
          <w:p w14:paraId="263D0AEA">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0ED86C7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3mm</w:t>
            </w:r>
          </w:p>
        </w:tc>
        <w:tc>
          <w:tcPr>
            <w:tcW w:w="968" w:type="dxa"/>
          </w:tcPr>
          <w:p w14:paraId="1FC66A6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Yellow</w:t>
            </w:r>
          </w:p>
        </w:tc>
        <w:tc>
          <w:tcPr>
            <w:tcW w:w="1125" w:type="dxa"/>
          </w:tcPr>
          <w:p w14:paraId="19EBA77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00852C3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0FFF2B7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4B32CE5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7721E23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92C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BF9966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25</w:t>
            </w:r>
          </w:p>
        </w:tc>
        <w:tc>
          <w:tcPr>
            <w:tcW w:w="1044" w:type="dxa"/>
          </w:tcPr>
          <w:p w14:paraId="710B315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TRO7</w:t>
            </w:r>
          </w:p>
        </w:tc>
        <w:tc>
          <w:tcPr>
            <w:tcW w:w="1062" w:type="dxa"/>
          </w:tcPr>
          <w:p w14:paraId="5570236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Round</w:t>
            </w:r>
          </w:p>
        </w:tc>
        <w:tc>
          <w:tcPr>
            <w:tcW w:w="847" w:type="dxa"/>
          </w:tcPr>
          <w:p w14:paraId="4A0C0A8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4mm</w:t>
            </w:r>
          </w:p>
        </w:tc>
        <w:tc>
          <w:tcPr>
            <w:tcW w:w="968" w:type="dxa"/>
          </w:tcPr>
          <w:p w14:paraId="4AFDAA0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00708A1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786F3D8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E97FFF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08448F3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4936DF9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E5B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5026AD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26</w:t>
            </w:r>
          </w:p>
        </w:tc>
        <w:tc>
          <w:tcPr>
            <w:tcW w:w="1044" w:type="dxa"/>
          </w:tcPr>
          <w:p w14:paraId="18C9BCB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TRO8</w:t>
            </w:r>
          </w:p>
        </w:tc>
        <w:tc>
          <w:tcPr>
            <w:tcW w:w="1062" w:type="dxa"/>
          </w:tcPr>
          <w:p w14:paraId="0E59363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Rhizoid</w:t>
            </w:r>
          </w:p>
        </w:tc>
        <w:tc>
          <w:tcPr>
            <w:tcW w:w="847" w:type="dxa"/>
          </w:tcPr>
          <w:p w14:paraId="0F82646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10mm</w:t>
            </w:r>
          </w:p>
        </w:tc>
        <w:tc>
          <w:tcPr>
            <w:tcW w:w="968" w:type="dxa"/>
          </w:tcPr>
          <w:p w14:paraId="18529DA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34761E0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3269D12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20896EE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5370746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1C2F51A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70C6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018CD27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27</w:t>
            </w:r>
          </w:p>
        </w:tc>
        <w:tc>
          <w:tcPr>
            <w:tcW w:w="1044" w:type="dxa"/>
          </w:tcPr>
          <w:p w14:paraId="1271D7E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TRO9</w:t>
            </w:r>
          </w:p>
        </w:tc>
        <w:tc>
          <w:tcPr>
            <w:tcW w:w="1062" w:type="dxa"/>
          </w:tcPr>
          <w:p w14:paraId="34754C4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Round</w:t>
            </w:r>
          </w:p>
        </w:tc>
        <w:tc>
          <w:tcPr>
            <w:tcW w:w="847" w:type="dxa"/>
          </w:tcPr>
          <w:p w14:paraId="12FC397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7134669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Yellow</w:t>
            </w:r>
          </w:p>
        </w:tc>
        <w:tc>
          <w:tcPr>
            <w:tcW w:w="1125" w:type="dxa"/>
          </w:tcPr>
          <w:p w14:paraId="0251DDA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19B149E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416BFA0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663E5B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21706B0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B10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1A4BF03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28</w:t>
            </w:r>
          </w:p>
        </w:tc>
        <w:tc>
          <w:tcPr>
            <w:tcW w:w="1044" w:type="dxa"/>
          </w:tcPr>
          <w:p w14:paraId="6E4A3F0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TRO10</w:t>
            </w:r>
          </w:p>
        </w:tc>
        <w:tc>
          <w:tcPr>
            <w:tcW w:w="1062" w:type="dxa"/>
          </w:tcPr>
          <w:p w14:paraId="31609E00">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629A312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505C862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Creamy</w:t>
            </w:r>
          </w:p>
        </w:tc>
        <w:tc>
          <w:tcPr>
            <w:tcW w:w="1125" w:type="dxa"/>
          </w:tcPr>
          <w:p w14:paraId="0892551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70D80B0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2B2D09E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79E1B97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6394B5D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3704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2DDB723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29</w:t>
            </w:r>
          </w:p>
        </w:tc>
        <w:tc>
          <w:tcPr>
            <w:tcW w:w="1044" w:type="dxa"/>
          </w:tcPr>
          <w:p w14:paraId="56B946A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TRO11</w:t>
            </w:r>
          </w:p>
        </w:tc>
        <w:tc>
          <w:tcPr>
            <w:tcW w:w="1062" w:type="dxa"/>
          </w:tcPr>
          <w:p w14:paraId="1CD74D21">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Irregular</w:t>
            </w:r>
          </w:p>
        </w:tc>
        <w:tc>
          <w:tcPr>
            <w:tcW w:w="847" w:type="dxa"/>
          </w:tcPr>
          <w:p w14:paraId="0AB6BF2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1FCF548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6FEA2BA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Lobate</w:t>
            </w:r>
          </w:p>
        </w:tc>
        <w:tc>
          <w:tcPr>
            <w:tcW w:w="1350" w:type="dxa"/>
          </w:tcPr>
          <w:p w14:paraId="0598E45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57C5BB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1ED8006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5F93753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76D5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F2F351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30</w:t>
            </w:r>
          </w:p>
        </w:tc>
        <w:tc>
          <w:tcPr>
            <w:tcW w:w="1044" w:type="dxa"/>
          </w:tcPr>
          <w:p w14:paraId="11159C1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ONU1</w:t>
            </w:r>
          </w:p>
        </w:tc>
        <w:tc>
          <w:tcPr>
            <w:tcW w:w="1062" w:type="dxa"/>
          </w:tcPr>
          <w:p w14:paraId="0510D554">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71D49DE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04B99A9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5F6BF18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4B1D0EF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34D34A6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28D95DB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35ED976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5DF7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CF247B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31</w:t>
            </w:r>
          </w:p>
        </w:tc>
        <w:tc>
          <w:tcPr>
            <w:tcW w:w="1044" w:type="dxa"/>
          </w:tcPr>
          <w:p w14:paraId="75B5887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ONU2</w:t>
            </w:r>
          </w:p>
        </w:tc>
        <w:tc>
          <w:tcPr>
            <w:tcW w:w="1062" w:type="dxa"/>
          </w:tcPr>
          <w:p w14:paraId="504274A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Irregular</w:t>
            </w:r>
          </w:p>
        </w:tc>
        <w:tc>
          <w:tcPr>
            <w:tcW w:w="847" w:type="dxa"/>
          </w:tcPr>
          <w:p w14:paraId="208343D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6mm</w:t>
            </w:r>
          </w:p>
        </w:tc>
        <w:tc>
          <w:tcPr>
            <w:tcW w:w="968" w:type="dxa"/>
          </w:tcPr>
          <w:p w14:paraId="66CED9B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Creamy</w:t>
            </w:r>
          </w:p>
        </w:tc>
        <w:tc>
          <w:tcPr>
            <w:tcW w:w="1125" w:type="dxa"/>
          </w:tcPr>
          <w:p w14:paraId="2882FAF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43E2225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554BD97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59E37C9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07302B3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3366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D69108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32</w:t>
            </w:r>
          </w:p>
        </w:tc>
        <w:tc>
          <w:tcPr>
            <w:tcW w:w="1044" w:type="dxa"/>
          </w:tcPr>
          <w:p w14:paraId="42ABEA5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ONU3</w:t>
            </w:r>
          </w:p>
        </w:tc>
        <w:tc>
          <w:tcPr>
            <w:tcW w:w="1062" w:type="dxa"/>
          </w:tcPr>
          <w:p w14:paraId="584A5A5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Round</w:t>
            </w:r>
          </w:p>
        </w:tc>
        <w:tc>
          <w:tcPr>
            <w:tcW w:w="847" w:type="dxa"/>
          </w:tcPr>
          <w:p w14:paraId="37784E5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1D6222D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Milky</w:t>
            </w:r>
          </w:p>
        </w:tc>
        <w:tc>
          <w:tcPr>
            <w:tcW w:w="1125" w:type="dxa"/>
          </w:tcPr>
          <w:p w14:paraId="58DE832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6B59E66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72E8CD9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6824017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4859AD9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tr w14:paraId="34D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761A1D4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33</w:t>
            </w:r>
          </w:p>
        </w:tc>
        <w:tc>
          <w:tcPr>
            <w:tcW w:w="1044" w:type="dxa"/>
          </w:tcPr>
          <w:p w14:paraId="62E1FD1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FES1</w:t>
            </w:r>
          </w:p>
        </w:tc>
        <w:tc>
          <w:tcPr>
            <w:tcW w:w="1062" w:type="dxa"/>
          </w:tcPr>
          <w:p w14:paraId="12B836F3">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Irregular</w:t>
            </w:r>
          </w:p>
        </w:tc>
        <w:tc>
          <w:tcPr>
            <w:tcW w:w="847" w:type="dxa"/>
          </w:tcPr>
          <w:p w14:paraId="4020D3F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46702303">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56FC0F18">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Lobate</w:t>
            </w:r>
          </w:p>
        </w:tc>
        <w:tc>
          <w:tcPr>
            <w:tcW w:w="1350" w:type="dxa"/>
          </w:tcPr>
          <w:p w14:paraId="1EDBDFD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7427FA7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3CBFED7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2A05A00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35D5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1A10B6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34</w:t>
            </w:r>
          </w:p>
        </w:tc>
        <w:tc>
          <w:tcPr>
            <w:tcW w:w="1044" w:type="dxa"/>
          </w:tcPr>
          <w:p w14:paraId="0A3EE7A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FES2</w:t>
            </w:r>
          </w:p>
        </w:tc>
        <w:tc>
          <w:tcPr>
            <w:tcW w:w="1062" w:type="dxa"/>
          </w:tcPr>
          <w:p w14:paraId="2A4AA45A">
            <w:pPr>
              <w:widowControl w:val="0"/>
              <w:spacing w:after="0" w:line="240" w:lineRule="auto"/>
              <w:rPr>
                <w:rFonts w:eastAsia="SimSun" w:cs="Times New Roman"/>
                <w:b/>
                <w:kern w:val="0"/>
                <w:sz w:val="18"/>
                <w:szCs w:val="18"/>
                <w14:ligatures w14:val="none"/>
              </w:rPr>
            </w:pPr>
            <w:r>
              <w:rPr>
                <w:rFonts w:eastAsia="SimSun" w:cs="Times New Roman"/>
                <w:kern w:val="0"/>
                <w:sz w:val="18"/>
                <w:szCs w:val="18"/>
                <w14:ligatures w14:val="none"/>
              </w:rPr>
              <w:t>Round</w:t>
            </w:r>
          </w:p>
        </w:tc>
        <w:tc>
          <w:tcPr>
            <w:tcW w:w="847" w:type="dxa"/>
          </w:tcPr>
          <w:p w14:paraId="0C8FD5A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05035F87">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Creamy</w:t>
            </w:r>
          </w:p>
        </w:tc>
        <w:tc>
          <w:tcPr>
            <w:tcW w:w="1125" w:type="dxa"/>
          </w:tcPr>
          <w:p w14:paraId="6D746FF1">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26F76FB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Convex</w:t>
            </w:r>
          </w:p>
        </w:tc>
        <w:tc>
          <w:tcPr>
            <w:tcW w:w="1411" w:type="dxa"/>
          </w:tcPr>
          <w:p w14:paraId="7D852FA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Transparent</w:t>
            </w:r>
          </w:p>
        </w:tc>
        <w:tc>
          <w:tcPr>
            <w:tcW w:w="1127" w:type="dxa"/>
          </w:tcPr>
          <w:p w14:paraId="7982A6C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Shiny</w:t>
            </w:r>
          </w:p>
        </w:tc>
        <w:tc>
          <w:tcPr>
            <w:tcW w:w="1118" w:type="dxa"/>
          </w:tcPr>
          <w:p w14:paraId="24463E6C">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4CB4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5C77223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35</w:t>
            </w:r>
          </w:p>
        </w:tc>
        <w:tc>
          <w:tcPr>
            <w:tcW w:w="1044" w:type="dxa"/>
          </w:tcPr>
          <w:p w14:paraId="616905B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FES3</w:t>
            </w:r>
          </w:p>
        </w:tc>
        <w:tc>
          <w:tcPr>
            <w:tcW w:w="1062" w:type="dxa"/>
          </w:tcPr>
          <w:p w14:paraId="150D97A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Irregular</w:t>
            </w:r>
          </w:p>
        </w:tc>
        <w:tc>
          <w:tcPr>
            <w:tcW w:w="847" w:type="dxa"/>
          </w:tcPr>
          <w:p w14:paraId="458078E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5mm</w:t>
            </w:r>
          </w:p>
        </w:tc>
        <w:tc>
          <w:tcPr>
            <w:tcW w:w="968" w:type="dxa"/>
          </w:tcPr>
          <w:p w14:paraId="6CABF4F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1BE16B8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Lobate</w:t>
            </w:r>
          </w:p>
        </w:tc>
        <w:tc>
          <w:tcPr>
            <w:tcW w:w="1350" w:type="dxa"/>
          </w:tcPr>
          <w:p w14:paraId="31E775C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Flat</w:t>
            </w:r>
          </w:p>
        </w:tc>
        <w:tc>
          <w:tcPr>
            <w:tcW w:w="1411" w:type="dxa"/>
          </w:tcPr>
          <w:p w14:paraId="179F568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56C721BA">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3065CE9D">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Moist</w:t>
            </w:r>
          </w:p>
        </w:tc>
      </w:tr>
      <w:tr w14:paraId="47ED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0" w:type="dxa"/>
          </w:tcPr>
          <w:p w14:paraId="358AE500">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36</w:t>
            </w:r>
          </w:p>
        </w:tc>
        <w:tc>
          <w:tcPr>
            <w:tcW w:w="1044" w:type="dxa"/>
          </w:tcPr>
          <w:p w14:paraId="2C800525">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FES4</w:t>
            </w:r>
          </w:p>
        </w:tc>
        <w:tc>
          <w:tcPr>
            <w:tcW w:w="1062" w:type="dxa"/>
          </w:tcPr>
          <w:p w14:paraId="4652359B">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Round</w:t>
            </w:r>
          </w:p>
        </w:tc>
        <w:tc>
          <w:tcPr>
            <w:tcW w:w="847" w:type="dxa"/>
          </w:tcPr>
          <w:p w14:paraId="5ADF5AF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1mm</w:t>
            </w:r>
          </w:p>
        </w:tc>
        <w:tc>
          <w:tcPr>
            <w:tcW w:w="968" w:type="dxa"/>
          </w:tcPr>
          <w:p w14:paraId="45B29A64">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White</w:t>
            </w:r>
          </w:p>
        </w:tc>
        <w:tc>
          <w:tcPr>
            <w:tcW w:w="1125" w:type="dxa"/>
          </w:tcPr>
          <w:p w14:paraId="6FD9B92E">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Entire</w:t>
            </w:r>
          </w:p>
        </w:tc>
        <w:tc>
          <w:tcPr>
            <w:tcW w:w="1350" w:type="dxa"/>
          </w:tcPr>
          <w:p w14:paraId="0EA20529">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Umbonate</w:t>
            </w:r>
          </w:p>
        </w:tc>
        <w:tc>
          <w:tcPr>
            <w:tcW w:w="1411" w:type="dxa"/>
          </w:tcPr>
          <w:p w14:paraId="78ACBBA6">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Opaque</w:t>
            </w:r>
          </w:p>
        </w:tc>
        <w:tc>
          <w:tcPr>
            <w:tcW w:w="1127" w:type="dxa"/>
          </w:tcPr>
          <w:p w14:paraId="15A7D3A2">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Dull</w:t>
            </w:r>
          </w:p>
        </w:tc>
        <w:tc>
          <w:tcPr>
            <w:tcW w:w="1118" w:type="dxa"/>
          </w:tcPr>
          <w:p w14:paraId="626E98EF">
            <w:pPr>
              <w:widowControl w:val="0"/>
              <w:spacing w:after="0" w:line="240" w:lineRule="auto"/>
              <w:rPr>
                <w:rFonts w:eastAsia="SimSun" w:cs="Times New Roman"/>
                <w:kern w:val="0"/>
                <w:sz w:val="18"/>
                <w:szCs w:val="18"/>
                <w14:ligatures w14:val="none"/>
              </w:rPr>
            </w:pPr>
            <w:r>
              <w:rPr>
                <w:rFonts w:eastAsia="SimSun" w:cs="Times New Roman"/>
                <w:kern w:val="0"/>
                <w:sz w:val="18"/>
                <w:szCs w:val="18"/>
                <w14:ligatures w14:val="none"/>
              </w:rPr>
              <w:t>Dry</w:t>
            </w:r>
          </w:p>
        </w:tc>
      </w:tr>
      <w:bookmarkEnd w:id="11"/>
    </w:tbl>
    <w:p w14:paraId="2738EB88">
      <w:pPr>
        <w:tabs>
          <w:tab w:val="left" w:pos="3918"/>
        </w:tabs>
        <w:spacing w:line="360" w:lineRule="auto"/>
        <w:rPr>
          <w:rFonts w:cs="Times New Roman"/>
          <w:szCs w:val="24"/>
        </w:rPr>
      </w:pPr>
    </w:p>
    <w:p w14:paraId="0C0E2352">
      <w:pPr>
        <w:tabs>
          <w:tab w:val="left" w:pos="3918"/>
        </w:tabs>
        <w:spacing w:line="360" w:lineRule="auto"/>
        <w:rPr>
          <w:rFonts w:cs="Times New Roman"/>
          <w:szCs w:val="24"/>
        </w:rPr>
        <w:sectPr>
          <w:pgSz w:w="12240" w:h="15840"/>
          <w:pgMar w:top="1440" w:right="1440" w:bottom="1440" w:left="1440" w:header="708" w:footer="2880" w:gutter="0"/>
          <w:cols w:space="708" w:num="1"/>
          <w:docGrid w:linePitch="360" w:charSpace="0"/>
        </w:sectPr>
      </w:pPr>
    </w:p>
    <w:tbl>
      <w:tblPr>
        <w:tblStyle w:val="15"/>
        <w:tblpPr w:leftFromText="180" w:rightFromText="180" w:vertAnchor="page" w:horzAnchor="margin" w:tblpXSpec="center" w:tblpY="2384"/>
        <w:tblW w:w="1427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641"/>
        <w:gridCol w:w="641"/>
        <w:gridCol w:w="691"/>
        <w:gridCol w:w="691"/>
        <w:gridCol w:w="702"/>
        <w:gridCol w:w="665"/>
        <w:gridCol w:w="608"/>
        <w:gridCol w:w="516"/>
        <w:gridCol w:w="628"/>
        <w:gridCol w:w="616"/>
        <w:gridCol w:w="677"/>
        <w:gridCol w:w="641"/>
        <w:gridCol w:w="790"/>
        <w:gridCol w:w="323"/>
        <w:gridCol w:w="639"/>
        <w:gridCol w:w="683"/>
        <w:gridCol w:w="1141"/>
        <w:gridCol w:w="2052"/>
      </w:tblGrid>
      <w:tr w14:paraId="741DAC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27" w:type="dxa"/>
            <w:tcBorders>
              <w:top w:val="single" w:color="auto" w:sz="4" w:space="0"/>
              <w:bottom w:val="single" w:color="auto" w:sz="4" w:space="0"/>
            </w:tcBorders>
          </w:tcPr>
          <w:p w14:paraId="0A9BBA41">
            <w:pPr>
              <w:widowControl w:val="0"/>
              <w:spacing w:after="0" w:line="276" w:lineRule="auto"/>
              <w:rPr>
                <w:rFonts w:eastAsia="SimSun" w:cs="Times New Roman"/>
                <w:b/>
                <w:bCs/>
                <w:kern w:val="0"/>
                <w:szCs w:val="20"/>
                <w14:ligatures w14:val="none"/>
              </w:rPr>
            </w:pPr>
            <w:bookmarkStart w:id="12" w:name="_Toc8996"/>
            <w:r>
              <w:rPr>
                <w:rFonts w:eastAsia="SimSun" w:cs="Times New Roman"/>
                <w:b/>
                <w:bCs/>
                <w:kern w:val="0"/>
                <w:szCs w:val="20"/>
                <w14:ligatures w14:val="none"/>
              </w:rPr>
              <w:t>ISO</w:t>
            </w:r>
          </w:p>
        </w:tc>
        <w:tc>
          <w:tcPr>
            <w:tcW w:w="641" w:type="dxa"/>
            <w:tcBorders>
              <w:top w:val="single" w:color="auto" w:sz="4" w:space="0"/>
              <w:bottom w:val="single" w:color="auto" w:sz="4" w:space="0"/>
            </w:tcBorders>
          </w:tcPr>
          <w:p w14:paraId="1344F82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MO</w:t>
            </w:r>
          </w:p>
        </w:tc>
        <w:tc>
          <w:tcPr>
            <w:tcW w:w="641" w:type="dxa"/>
            <w:tcBorders>
              <w:top w:val="single" w:color="auto" w:sz="4" w:space="0"/>
              <w:bottom w:val="single" w:color="auto" w:sz="4" w:space="0"/>
            </w:tcBorders>
          </w:tcPr>
          <w:p w14:paraId="57F0ADE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OXI</w:t>
            </w:r>
          </w:p>
        </w:tc>
        <w:tc>
          <w:tcPr>
            <w:tcW w:w="691" w:type="dxa"/>
            <w:tcBorders>
              <w:top w:val="single" w:color="auto" w:sz="4" w:space="0"/>
              <w:bottom w:val="single" w:color="auto" w:sz="4" w:space="0"/>
            </w:tcBorders>
          </w:tcPr>
          <w:p w14:paraId="474C90E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CAT</w:t>
            </w:r>
          </w:p>
        </w:tc>
        <w:tc>
          <w:tcPr>
            <w:tcW w:w="691" w:type="dxa"/>
            <w:tcBorders>
              <w:top w:val="single" w:color="auto" w:sz="4" w:space="0"/>
              <w:bottom w:val="single" w:color="auto" w:sz="4" w:space="0"/>
            </w:tcBorders>
          </w:tcPr>
          <w:p w14:paraId="5F5F857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LAC</w:t>
            </w:r>
          </w:p>
        </w:tc>
        <w:tc>
          <w:tcPr>
            <w:tcW w:w="702" w:type="dxa"/>
            <w:tcBorders>
              <w:top w:val="single" w:color="auto" w:sz="4" w:space="0"/>
              <w:bottom w:val="single" w:color="auto" w:sz="4" w:space="0"/>
            </w:tcBorders>
          </w:tcPr>
          <w:p w14:paraId="6E8F419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GLU</w:t>
            </w:r>
          </w:p>
        </w:tc>
        <w:tc>
          <w:tcPr>
            <w:tcW w:w="665" w:type="dxa"/>
            <w:tcBorders>
              <w:top w:val="single" w:color="auto" w:sz="4" w:space="0"/>
              <w:bottom w:val="single" w:color="auto" w:sz="4" w:space="0"/>
            </w:tcBorders>
          </w:tcPr>
          <w:p w14:paraId="08D48CF6">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SUC</w:t>
            </w:r>
          </w:p>
        </w:tc>
        <w:tc>
          <w:tcPr>
            <w:tcW w:w="608" w:type="dxa"/>
            <w:tcBorders>
              <w:top w:val="single" w:color="auto" w:sz="4" w:space="0"/>
              <w:bottom w:val="single" w:color="auto" w:sz="4" w:space="0"/>
            </w:tcBorders>
          </w:tcPr>
          <w:p w14:paraId="5D306EF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MR</w:t>
            </w:r>
          </w:p>
        </w:tc>
        <w:tc>
          <w:tcPr>
            <w:tcW w:w="516" w:type="dxa"/>
            <w:tcBorders>
              <w:top w:val="single" w:color="auto" w:sz="4" w:space="0"/>
              <w:bottom w:val="single" w:color="auto" w:sz="4" w:space="0"/>
            </w:tcBorders>
          </w:tcPr>
          <w:p w14:paraId="261CE88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VP</w:t>
            </w:r>
          </w:p>
        </w:tc>
        <w:tc>
          <w:tcPr>
            <w:tcW w:w="628" w:type="dxa"/>
            <w:tcBorders>
              <w:top w:val="single" w:color="auto" w:sz="4" w:space="0"/>
              <w:bottom w:val="single" w:color="auto" w:sz="4" w:space="0"/>
            </w:tcBorders>
          </w:tcPr>
          <w:p w14:paraId="3E110F6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IND</w:t>
            </w:r>
          </w:p>
        </w:tc>
        <w:tc>
          <w:tcPr>
            <w:tcW w:w="616" w:type="dxa"/>
            <w:tcBorders>
              <w:top w:val="single" w:color="auto" w:sz="4" w:space="0"/>
              <w:bottom w:val="single" w:color="auto" w:sz="4" w:space="0"/>
            </w:tcBorders>
          </w:tcPr>
          <w:p w14:paraId="2F88E17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CIT</w:t>
            </w:r>
          </w:p>
        </w:tc>
        <w:tc>
          <w:tcPr>
            <w:tcW w:w="677" w:type="dxa"/>
            <w:tcBorders>
              <w:top w:val="single" w:color="auto" w:sz="4" w:space="0"/>
              <w:bottom w:val="single" w:color="auto" w:sz="4" w:space="0"/>
            </w:tcBorders>
          </w:tcPr>
          <w:p w14:paraId="313FA16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BUT</w:t>
            </w:r>
          </w:p>
        </w:tc>
        <w:tc>
          <w:tcPr>
            <w:tcW w:w="641" w:type="dxa"/>
            <w:tcBorders>
              <w:top w:val="single" w:color="auto" w:sz="4" w:space="0"/>
              <w:bottom w:val="single" w:color="auto" w:sz="4" w:space="0"/>
            </w:tcBorders>
          </w:tcPr>
          <w:p w14:paraId="711EAA5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SLT</w:t>
            </w:r>
          </w:p>
        </w:tc>
        <w:tc>
          <w:tcPr>
            <w:tcW w:w="790" w:type="dxa"/>
            <w:tcBorders>
              <w:top w:val="single" w:color="auto" w:sz="4" w:space="0"/>
              <w:bottom w:val="single" w:color="auto" w:sz="4" w:space="0"/>
            </w:tcBorders>
          </w:tcPr>
          <w:p w14:paraId="407A2DA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GAS</w:t>
            </w:r>
          </w:p>
        </w:tc>
        <w:tc>
          <w:tcPr>
            <w:tcW w:w="323" w:type="dxa"/>
            <w:tcBorders>
              <w:top w:val="single" w:color="auto" w:sz="4" w:space="0"/>
              <w:bottom w:val="single" w:color="auto" w:sz="4" w:space="0"/>
            </w:tcBorders>
          </w:tcPr>
          <w:p w14:paraId="2A36AD0C">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S</w:t>
            </w:r>
          </w:p>
        </w:tc>
        <w:tc>
          <w:tcPr>
            <w:tcW w:w="639" w:type="dxa"/>
            <w:tcBorders>
              <w:top w:val="single" w:color="auto" w:sz="4" w:space="0"/>
              <w:bottom w:val="single" w:color="auto" w:sz="4" w:space="0"/>
            </w:tcBorders>
          </w:tcPr>
          <w:p w14:paraId="0E997A7B">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H</w:t>
            </w:r>
            <w:r>
              <w:rPr>
                <w:rFonts w:eastAsia="SimSun" w:cs="Times New Roman"/>
                <w:b/>
                <w:bCs/>
                <w:kern w:val="0"/>
                <w:szCs w:val="20"/>
                <w:vertAlign w:val="subscript"/>
                <w14:ligatures w14:val="none"/>
              </w:rPr>
              <w:t>2</w:t>
            </w:r>
            <w:r>
              <w:rPr>
                <w:rFonts w:eastAsia="SimSun" w:cs="Times New Roman"/>
                <w:b/>
                <w:bCs/>
                <w:kern w:val="0"/>
                <w:szCs w:val="20"/>
                <w14:ligatures w14:val="none"/>
              </w:rPr>
              <w:t>S</w:t>
            </w:r>
          </w:p>
        </w:tc>
        <w:tc>
          <w:tcPr>
            <w:tcW w:w="683" w:type="dxa"/>
            <w:tcBorders>
              <w:top w:val="single" w:color="auto" w:sz="4" w:space="0"/>
              <w:bottom w:val="single" w:color="auto" w:sz="4" w:space="0"/>
            </w:tcBorders>
          </w:tcPr>
          <w:p w14:paraId="30FC815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GRS              </w:t>
            </w:r>
          </w:p>
        </w:tc>
        <w:tc>
          <w:tcPr>
            <w:tcW w:w="1141" w:type="dxa"/>
            <w:tcBorders>
              <w:top w:val="single" w:color="auto" w:sz="4" w:space="0"/>
              <w:bottom w:val="single" w:color="auto" w:sz="4" w:space="0"/>
            </w:tcBorders>
          </w:tcPr>
          <w:p w14:paraId="61FB03C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SHAPE</w:t>
            </w:r>
          </w:p>
        </w:tc>
        <w:tc>
          <w:tcPr>
            <w:tcW w:w="2052" w:type="dxa"/>
            <w:tcBorders>
              <w:top w:val="single" w:color="auto" w:sz="4" w:space="0"/>
              <w:bottom w:val="single" w:color="auto" w:sz="4" w:space="0"/>
            </w:tcBorders>
          </w:tcPr>
          <w:p w14:paraId="75CDD2D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NAME</w:t>
            </w:r>
          </w:p>
        </w:tc>
      </w:tr>
      <w:tr w14:paraId="236BA61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27" w:type="dxa"/>
            <w:tcBorders>
              <w:top w:val="single" w:color="auto" w:sz="4" w:space="0"/>
            </w:tcBorders>
          </w:tcPr>
          <w:p w14:paraId="315FB41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CAM3</w:t>
            </w:r>
          </w:p>
        </w:tc>
        <w:tc>
          <w:tcPr>
            <w:tcW w:w="641" w:type="dxa"/>
            <w:tcBorders>
              <w:top w:val="single" w:color="auto" w:sz="4" w:space="0"/>
            </w:tcBorders>
          </w:tcPr>
          <w:p w14:paraId="3F8D9A9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41" w:type="dxa"/>
            <w:tcBorders>
              <w:top w:val="single" w:color="auto" w:sz="4" w:space="0"/>
            </w:tcBorders>
          </w:tcPr>
          <w:p w14:paraId="366FAB4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91" w:type="dxa"/>
            <w:tcBorders>
              <w:top w:val="single" w:color="auto" w:sz="4" w:space="0"/>
            </w:tcBorders>
          </w:tcPr>
          <w:p w14:paraId="750BA820">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91" w:type="dxa"/>
            <w:tcBorders>
              <w:top w:val="single" w:color="auto" w:sz="4" w:space="0"/>
            </w:tcBorders>
          </w:tcPr>
          <w:p w14:paraId="5B3DB6D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702" w:type="dxa"/>
            <w:tcBorders>
              <w:top w:val="single" w:color="auto" w:sz="4" w:space="0"/>
            </w:tcBorders>
          </w:tcPr>
          <w:p w14:paraId="699BCFBC">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65" w:type="dxa"/>
            <w:tcBorders>
              <w:top w:val="single" w:color="auto" w:sz="4" w:space="0"/>
            </w:tcBorders>
          </w:tcPr>
          <w:p w14:paraId="197D4EA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08" w:type="dxa"/>
            <w:tcBorders>
              <w:top w:val="single" w:color="auto" w:sz="4" w:space="0"/>
            </w:tcBorders>
          </w:tcPr>
          <w:p w14:paraId="773EC04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516" w:type="dxa"/>
            <w:tcBorders>
              <w:top w:val="single" w:color="auto" w:sz="4" w:space="0"/>
            </w:tcBorders>
          </w:tcPr>
          <w:p w14:paraId="3D62F6F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28" w:type="dxa"/>
            <w:tcBorders>
              <w:top w:val="single" w:color="auto" w:sz="4" w:space="0"/>
            </w:tcBorders>
          </w:tcPr>
          <w:p w14:paraId="18A99B7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16" w:type="dxa"/>
            <w:tcBorders>
              <w:top w:val="single" w:color="auto" w:sz="4" w:space="0"/>
            </w:tcBorders>
          </w:tcPr>
          <w:p w14:paraId="3DBE7C2D">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77" w:type="dxa"/>
            <w:tcBorders>
              <w:top w:val="single" w:color="auto" w:sz="4" w:space="0"/>
            </w:tcBorders>
          </w:tcPr>
          <w:p w14:paraId="4FAE908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tc>
        <w:tc>
          <w:tcPr>
            <w:tcW w:w="641" w:type="dxa"/>
            <w:tcBorders>
              <w:top w:val="single" w:color="auto" w:sz="4" w:space="0"/>
            </w:tcBorders>
          </w:tcPr>
          <w:p w14:paraId="76EC78F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tc>
        <w:tc>
          <w:tcPr>
            <w:tcW w:w="790" w:type="dxa"/>
            <w:tcBorders>
              <w:top w:val="single" w:color="auto" w:sz="4" w:space="0"/>
            </w:tcBorders>
          </w:tcPr>
          <w:p w14:paraId="68EA873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323" w:type="dxa"/>
            <w:tcBorders>
              <w:top w:val="single" w:color="auto" w:sz="4" w:space="0"/>
            </w:tcBorders>
          </w:tcPr>
          <w:p w14:paraId="0851DB7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39" w:type="dxa"/>
            <w:tcBorders>
              <w:top w:val="single" w:color="auto" w:sz="4" w:space="0"/>
            </w:tcBorders>
          </w:tcPr>
          <w:p w14:paraId="475E1F1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83" w:type="dxa"/>
            <w:tcBorders>
              <w:top w:val="single" w:color="auto" w:sz="4" w:space="0"/>
            </w:tcBorders>
          </w:tcPr>
          <w:p w14:paraId="00DB25D9">
            <w:pPr>
              <w:widowControl w:val="0"/>
              <w:spacing w:after="0" w:line="276" w:lineRule="auto"/>
              <w:rPr>
                <w:rFonts w:eastAsia="SimSun" w:cs="Times New Roman"/>
                <w:bCs/>
                <w:kern w:val="0"/>
                <w:szCs w:val="20"/>
                <w14:ligatures w14:val="none"/>
              </w:rPr>
            </w:pPr>
            <w:r>
              <w:rPr>
                <w:rFonts w:eastAsia="SimSun" w:cs="Times New Roman"/>
                <w:b/>
                <w:bCs/>
                <w:kern w:val="0"/>
                <w:szCs w:val="20"/>
                <w14:ligatures w14:val="none"/>
              </w:rPr>
              <w:t>-</w:t>
            </w:r>
            <w:r>
              <w:rPr>
                <w:rFonts w:eastAsia="SimSun" w:cs="Times New Roman"/>
                <w:bCs/>
                <w:kern w:val="0"/>
                <w:szCs w:val="20"/>
                <w14:ligatures w14:val="none"/>
              </w:rPr>
              <w:t>ve</w:t>
            </w:r>
          </w:p>
        </w:tc>
        <w:tc>
          <w:tcPr>
            <w:tcW w:w="1141" w:type="dxa"/>
            <w:tcBorders>
              <w:top w:val="single" w:color="auto" w:sz="4" w:space="0"/>
            </w:tcBorders>
          </w:tcPr>
          <w:p w14:paraId="7247B8AA">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tc>
        <w:tc>
          <w:tcPr>
            <w:tcW w:w="2052" w:type="dxa"/>
            <w:tcBorders>
              <w:top w:val="single" w:color="auto" w:sz="4" w:space="0"/>
            </w:tcBorders>
          </w:tcPr>
          <w:p w14:paraId="448452DC">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Pseudomonas</w:t>
            </w:r>
            <w:r>
              <w:rPr>
                <w:rFonts w:eastAsia="SimSun" w:cs="Times New Roman"/>
                <w:bCs/>
                <w:kern w:val="0"/>
                <w:szCs w:val="20"/>
                <w14:ligatures w14:val="none"/>
              </w:rPr>
              <w:t xml:space="preserve"> sp </w:t>
            </w:r>
          </w:p>
        </w:tc>
      </w:tr>
      <w:tr w14:paraId="1345169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27" w:type="dxa"/>
          </w:tcPr>
          <w:p w14:paraId="73D007A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LAN4</w:t>
            </w:r>
          </w:p>
        </w:tc>
        <w:tc>
          <w:tcPr>
            <w:tcW w:w="641" w:type="dxa"/>
          </w:tcPr>
          <w:p w14:paraId="0EC2E4E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41" w:type="dxa"/>
          </w:tcPr>
          <w:p w14:paraId="65D3DA7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91" w:type="dxa"/>
          </w:tcPr>
          <w:p w14:paraId="0B70E6B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91" w:type="dxa"/>
          </w:tcPr>
          <w:p w14:paraId="054ED78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702" w:type="dxa"/>
          </w:tcPr>
          <w:p w14:paraId="3CAE93C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tc>
        <w:tc>
          <w:tcPr>
            <w:tcW w:w="665" w:type="dxa"/>
          </w:tcPr>
          <w:p w14:paraId="1069302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08" w:type="dxa"/>
          </w:tcPr>
          <w:p w14:paraId="2E69651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516" w:type="dxa"/>
          </w:tcPr>
          <w:p w14:paraId="1C5724A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28" w:type="dxa"/>
          </w:tcPr>
          <w:p w14:paraId="5625EE9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16" w:type="dxa"/>
          </w:tcPr>
          <w:p w14:paraId="083EDB1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77" w:type="dxa"/>
          </w:tcPr>
          <w:p w14:paraId="6E68D39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A</w:t>
            </w:r>
          </w:p>
        </w:tc>
        <w:tc>
          <w:tcPr>
            <w:tcW w:w="641" w:type="dxa"/>
          </w:tcPr>
          <w:p w14:paraId="4689D21F">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B</w:t>
            </w:r>
          </w:p>
        </w:tc>
        <w:tc>
          <w:tcPr>
            <w:tcW w:w="790" w:type="dxa"/>
          </w:tcPr>
          <w:p w14:paraId="304EC4C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323" w:type="dxa"/>
          </w:tcPr>
          <w:p w14:paraId="58DF039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39" w:type="dxa"/>
          </w:tcPr>
          <w:p w14:paraId="7E9AA6A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83" w:type="dxa"/>
          </w:tcPr>
          <w:p w14:paraId="0DF74D5A">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 xml:space="preserve">+ve </w:t>
            </w:r>
          </w:p>
        </w:tc>
        <w:tc>
          <w:tcPr>
            <w:tcW w:w="1141" w:type="dxa"/>
          </w:tcPr>
          <w:p w14:paraId="635F27A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Rod</w:t>
            </w:r>
          </w:p>
        </w:tc>
        <w:tc>
          <w:tcPr>
            <w:tcW w:w="2052" w:type="dxa"/>
          </w:tcPr>
          <w:p w14:paraId="5481D13E">
            <w:pPr>
              <w:widowControl w:val="0"/>
              <w:spacing w:after="0" w:line="276" w:lineRule="auto"/>
              <w:rPr>
                <w:rFonts w:eastAsia="SimSun" w:cs="Times New Roman"/>
                <w:kern w:val="0"/>
                <w:szCs w:val="20"/>
                <w14:ligatures w14:val="none"/>
              </w:rPr>
            </w:pPr>
            <w:r>
              <w:rPr>
                <w:rFonts w:eastAsia="SimSun" w:cs="Times New Roman"/>
                <w:i/>
                <w:kern w:val="0"/>
                <w:szCs w:val="20"/>
                <w14:ligatures w14:val="none"/>
              </w:rPr>
              <w:t>Bacillus</w:t>
            </w:r>
            <w:r>
              <w:rPr>
                <w:rFonts w:eastAsia="SimSun" w:cs="Times New Roman"/>
                <w:kern w:val="0"/>
                <w:szCs w:val="20"/>
                <w14:ligatures w14:val="none"/>
              </w:rPr>
              <w:t xml:space="preserve"> sp</w:t>
            </w:r>
          </w:p>
        </w:tc>
      </w:tr>
      <w:tr w14:paraId="4704988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27" w:type="dxa"/>
          </w:tcPr>
          <w:p w14:paraId="5C81256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ONU1</w:t>
            </w:r>
          </w:p>
        </w:tc>
        <w:tc>
          <w:tcPr>
            <w:tcW w:w="641" w:type="dxa"/>
          </w:tcPr>
          <w:p w14:paraId="6184CC3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41" w:type="dxa"/>
          </w:tcPr>
          <w:p w14:paraId="3E9C289C">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91" w:type="dxa"/>
          </w:tcPr>
          <w:p w14:paraId="07CECA75">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91" w:type="dxa"/>
          </w:tcPr>
          <w:p w14:paraId="23399F8E">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702" w:type="dxa"/>
          </w:tcPr>
          <w:p w14:paraId="74AAD523">
            <w:pPr>
              <w:widowControl w:val="0"/>
              <w:spacing w:after="0" w:line="276" w:lineRule="auto"/>
              <w:rPr>
                <w:rFonts w:eastAsia="SimSun" w:cs="Times New Roman"/>
                <w:bCs/>
                <w:kern w:val="0"/>
                <w:szCs w:val="20"/>
                <w14:ligatures w14:val="none"/>
              </w:rPr>
            </w:pPr>
            <w:r>
              <w:rPr>
                <w:rFonts w:eastAsia="SimSun" w:cs="Times New Roman"/>
                <w:b/>
                <w:bCs/>
                <w:kern w:val="0"/>
                <w:szCs w:val="20"/>
                <w14:ligatures w14:val="none"/>
              </w:rPr>
              <w:t>+</w:t>
            </w:r>
          </w:p>
        </w:tc>
        <w:tc>
          <w:tcPr>
            <w:tcW w:w="665" w:type="dxa"/>
          </w:tcPr>
          <w:p w14:paraId="58BF95A7">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08" w:type="dxa"/>
          </w:tcPr>
          <w:p w14:paraId="48DCFDE9">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516" w:type="dxa"/>
          </w:tcPr>
          <w:p w14:paraId="6105B01B">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28" w:type="dxa"/>
          </w:tcPr>
          <w:p w14:paraId="3241DB3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16" w:type="dxa"/>
          </w:tcPr>
          <w:p w14:paraId="2382C969">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77" w:type="dxa"/>
          </w:tcPr>
          <w:p w14:paraId="6B75761E">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B</w:t>
            </w:r>
          </w:p>
        </w:tc>
        <w:tc>
          <w:tcPr>
            <w:tcW w:w="641" w:type="dxa"/>
          </w:tcPr>
          <w:p w14:paraId="144146DA">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B</w:t>
            </w:r>
          </w:p>
        </w:tc>
        <w:tc>
          <w:tcPr>
            <w:tcW w:w="790" w:type="dxa"/>
          </w:tcPr>
          <w:p w14:paraId="2747C6AE">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323" w:type="dxa"/>
          </w:tcPr>
          <w:p w14:paraId="079DBE8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39" w:type="dxa"/>
          </w:tcPr>
          <w:p w14:paraId="49A224AB">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83" w:type="dxa"/>
          </w:tcPr>
          <w:p w14:paraId="6C658ABC">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tc>
        <w:tc>
          <w:tcPr>
            <w:tcW w:w="1141" w:type="dxa"/>
          </w:tcPr>
          <w:p w14:paraId="0E884D9A">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tc>
        <w:tc>
          <w:tcPr>
            <w:tcW w:w="2052" w:type="dxa"/>
          </w:tcPr>
          <w:p w14:paraId="1E15D7CD">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Yersinia</w:t>
            </w:r>
            <w:r>
              <w:rPr>
                <w:rFonts w:eastAsia="SimSun" w:cs="Times New Roman"/>
                <w:bCs/>
                <w:kern w:val="0"/>
                <w:szCs w:val="20"/>
                <w14:ligatures w14:val="none"/>
              </w:rPr>
              <w:t xml:space="preserve"> sp</w:t>
            </w:r>
          </w:p>
        </w:tc>
      </w:tr>
      <w:tr w14:paraId="2B647E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27" w:type="dxa"/>
          </w:tcPr>
          <w:p w14:paraId="165D6B8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ONU2</w:t>
            </w:r>
          </w:p>
        </w:tc>
        <w:tc>
          <w:tcPr>
            <w:tcW w:w="641" w:type="dxa"/>
          </w:tcPr>
          <w:p w14:paraId="18F41CF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41" w:type="dxa"/>
          </w:tcPr>
          <w:p w14:paraId="680855FF">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91" w:type="dxa"/>
          </w:tcPr>
          <w:p w14:paraId="22D7F3CD">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91" w:type="dxa"/>
          </w:tcPr>
          <w:p w14:paraId="51B0C2FB">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702" w:type="dxa"/>
          </w:tcPr>
          <w:p w14:paraId="05350A4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65" w:type="dxa"/>
          </w:tcPr>
          <w:p w14:paraId="5ED7F944">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08" w:type="dxa"/>
          </w:tcPr>
          <w:p w14:paraId="1E829DBE">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516" w:type="dxa"/>
          </w:tcPr>
          <w:p w14:paraId="13EA350D">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28" w:type="dxa"/>
          </w:tcPr>
          <w:p w14:paraId="1B0201F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16" w:type="dxa"/>
          </w:tcPr>
          <w:p w14:paraId="37119308">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77" w:type="dxa"/>
          </w:tcPr>
          <w:p w14:paraId="384265E2">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A</w:t>
            </w:r>
          </w:p>
        </w:tc>
        <w:tc>
          <w:tcPr>
            <w:tcW w:w="641" w:type="dxa"/>
          </w:tcPr>
          <w:p w14:paraId="664B6FFB">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A</w:t>
            </w:r>
          </w:p>
        </w:tc>
        <w:tc>
          <w:tcPr>
            <w:tcW w:w="790" w:type="dxa"/>
          </w:tcPr>
          <w:p w14:paraId="7713EB1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323" w:type="dxa"/>
          </w:tcPr>
          <w:p w14:paraId="522DC0D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39" w:type="dxa"/>
          </w:tcPr>
          <w:p w14:paraId="404B037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83" w:type="dxa"/>
          </w:tcPr>
          <w:p w14:paraId="18CFE703">
            <w:pPr>
              <w:widowControl w:val="0"/>
              <w:spacing w:after="0" w:line="276" w:lineRule="auto"/>
              <w:rPr>
                <w:rFonts w:eastAsia="SimSun" w:cs="Times New Roman"/>
                <w:bCs/>
                <w:kern w:val="0"/>
                <w:szCs w:val="20"/>
                <w14:ligatures w14:val="none"/>
              </w:rPr>
            </w:pPr>
            <w:r>
              <w:rPr>
                <w:rFonts w:eastAsia="SimSun" w:cs="Times New Roman"/>
                <w:b/>
                <w:bCs/>
                <w:kern w:val="0"/>
                <w:szCs w:val="20"/>
                <w14:ligatures w14:val="none"/>
              </w:rPr>
              <w:t>-</w:t>
            </w:r>
            <w:r>
              <w:rPr>
                <w:rFonts w:eastAsia="SimSun" w:cs="Times New Roman"/>
                <w:bCs/>
                <w:kern w:val="0"/>
                <w:szCs w:val="20"/>
                <w14:ligatures w14:val="none"/>
              </w:rPr>
              <w:t xml:space="preserve">ve </w:t>
            </w:r>
          </w:p>
        </w:tc>
        <w:tc>
          <w:tcPr>
            <w:tcW w:w="1141" w:type="dxa"/>
          </w:tcPr>
          <w:p w14:paraId="7ADE1336">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tc>
        <w:tc>
          <w:tcPr>
            <w:tcW w:w="2052" w:type="dxa"/>
          </w:tcPr>
          <w:p w14:paraId="3493F681">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Vibrio</w:t>
            </w:r>
            <w:r>
              <w:rPr>
                <w:rFonts w:eastAsia="SimSun" w:cs="Times New Roman"/>
                <w:bCs/>
                <w:kern w:val="0"/>
                <w:szCs w:val="20"/>
                <w14:ligatures w14:val="none"/>
              </w:rPr>
              <w:t xml:space="preserve"> sp</w:t>
            </w:r>
          </w:p>
        </w:tc>
      </w:tr>
      <w:tr w14:paraId="215C26D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927" w:type="dxa"/>
          </w:tcPr>
          <w:p w14:paraId="494EBFE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ONU3</w:t>
            </w:r>
          </w:p>
          <w:p w14:paraId="6D247F3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TRO1</w:t>
            </w:r>
          </w:p>
          <w:p w14:paraId="2C307430">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TRO2</w:t>
            </w:r>
          </w:p>
          <w:p w14:paraId="59E612C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TRO3</w:t>
            </w:r>
          </w:p>
          <w:p w14:paraId="6A6C399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TRO4</w:t>
            </w:r>
          </w:p>
          <w:p w14:paraId="54EAE82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TRO5</w:t>
            </w:r>
          </w:p>
          <w:p w14:paraId="52D992E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TRO6</w:t>
            </w:r>
          </w:p>
          <w:p w14:paraId="7FE6C87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TRO8</w:t>
            </w:r>
          </w:p>
          <w:p w14:paraId="53A48D4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TRO10</w:t>
            </w:r>
          </w:p>
          <w:p w14:paraId="6ACD1BA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TRO11</w:t>
            </w:r>
          </w:p>
          <w:p w14:paraId="59AA083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FES1</w:t>
            </w:r>
          </w:p>
          <w:p w14:paraId="6B0920D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FES4</w:t>
            </w:r>
          </w:p>
        </w:tc>
        <w:tc>
          <w:tcPr>
            <w:tcW w:w="641" w:type="dxa"/>
          </w:tcPr>
          <w:p w14:paraId="583D6DD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7AB784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832AF0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B70D0C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206D94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BC986D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D46424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B69F17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A61413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010A74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9EE8B7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F6915F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tc>
        <w:tc>
          <w:tcPr>
            <w:tcW w:w="641" w:type="dxa"/>
          </w:tcPr>
          <w:p w14:paraId="6D7BA3D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B49D23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A1250B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BB0247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F7315B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D13C67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AB1D903">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3DF25C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p w14:paraId="32B8128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AABFF2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1368CF9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6F0ABD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91" w:type="dxa"/>
          </w:tcPr>
          <w:p w14:paraId="49FC7A9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5F7005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FD5DB0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A3FB2D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8BDD20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52E44A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B0CC82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46697C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0EDA1F9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0FB8DD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D7D801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2A6FBE5">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 xml:space="preserve">    +</w:t>
            </w:r>
          </w:p>
        </w:tc>
        <w:tc>
          <w:tcPr>
            <w:tcW w:w="691" w:type="dxa"/>
          </w:tcPr>
          <w:p w14:paraId="1B1A535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BFCE21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F7A54E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3175BB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226276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CC1EBB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67D854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86EE9E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02103F7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45EF44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9CDDE9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9E08046">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702" w:type="dxa"/>
          </w:tcPr>
          <w:p w14:paraId="74A5D33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8A50AB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E992CF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55E6D00">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288631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54ECEF0">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B6595A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32AA73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465DE5B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B4347C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F252EAC">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A</w:t>
            </w:r>
          </w:p>
          <w:p w14:paraId="507C821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65" w:type="dxa"/>
          </w:tcPr>
          <w:p w14:paraId="5397345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AC10B0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AD2238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AA9CD2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F304C9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1AF6837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E1E1A7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63E9FD7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p w14:paraId="22AE1EA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CDA53F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ED320A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A</w:t>
            </w:r>
          </w:p>
          <w:p w14:paraId="7497F01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08" w:type="dxa"/>
          </w:tcPr>
          <w:p w14:paraId="03E3A61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F6859B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146774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75AC8A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0D114E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01C828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0C8DC0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4AE921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6828A05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99B941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08D7E4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F31C1DC">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 xml:space="preserve">  +</w:t>
            </w:r>
          </w:p>
        </w:tc>
        <w:tc>
          <w:tcPr>
            <w:tcW w:w="516" w:type="dxa"/>
          </w:tcPr>
          <w:p w14:paraId="22E6CF8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BB3D67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D367E94">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EA298D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ECEE00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17537B3">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8E6889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F14174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p w14:paraId="30CCC3C6">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A7F4E6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0EEDC12">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67D698B">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tc>
        <w:tc>
          <w:tcPr>
            <w:tcW w:w="628" w:type="dxa"/>
          </w:tcPr>
          <w:p w14:paraId="3446CC8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B20C7A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399555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C6C09D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7C1E35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43AFB2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5C13D9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41649575">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4AC68DE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E3EE66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E19F78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53AB8E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tc>
        <w:tc>
          <w:tcPr>
            <w:tcW w:w="616" w:type="dxa"/>
          </w:tcPr>
          <w:p w14:paraId="08D4909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DBB074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B13319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5A6359C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3078305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0DE3358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608A21A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2E3B310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w:t>
            </w:r>
          </w:p>
          <w:p w14:paraId="2FD3EBE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00EA089">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7C31A5DF">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w:t>
            </w:r>
          </w:p>
          <w:p w14:paraId="17B550D4">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w:t>
            </w:r>
          </w:p>
        </w:tc>
        <w:tc>
          <w:tcPr>
            <w:tcW w:w="677" w:type="dxa"/>
          </w:tcPr>
          <w:p w14:paraId="21EA8F6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3E8B8F8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0B0ECBC0">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51AB28B7">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2E45D584">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481CE50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178BCAC3">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68EE66AA">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A</w:t>
            </w:r>
          </w:p>
          <w:p w14:paraId="1CE58112">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2B9545F0">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18A8DD1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B</w:t>
            </w:r>
          </w:p>
          <w:p w14:paraId="213640C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A</w:t>
            </w:r>
          </w:p>
        </w:tc>
        <w:tc>
          <w:tcPr>
            <w:tcW w:w="641" w:type="dxa"/>
          </w:tcPr>
          <w:p w14:paraId="395EE296">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0827705C">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6C0E210E">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751719A8">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124040B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A</w:t>
            </w:r>
          </w:p>
          <w:p w14:paraId="46004C2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1475740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78F18C9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 xml:space="preserve">   A</w:t>
            </w:r>
          </w:p>
          <w:p w14:paraId="65AC0281">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12E8F3CB">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0DDD7FED">
            <w:pPr>
              <w:widowControl w:val="0"/>
              <w:spacing w:after="0" w:line="276" w:lineRule="auto"/>
              <w:rPr>
                <w:rFonts w:eastAsia="SimSun" w:cs="Times New Roman"/>
                <w:kern w:val="0"/>
                <w:szCs w:val="20"/>
                <w14:ligatures w14:val="none"/>
              </w:rPr>
            </w:pPr>
            <w:r>
              <w:rPr>
                <w:rFonts w:eastAsia="SimSun" w:cs="Times New Roman"/>
                <w:kern w:val="0"/>
                <w:szCs w:val="20"/>
                <w14:ligatures w14:val="none"/>
              </w:rPr>
              <w:t>B</w:t>
            </w:r>
          </w:p>
          <w:p w14:paraId="05815E06">
            <w:pPr>
              <w:widowControl w:val="0"/>
              <w:spacing w:after="0" w:line="276" w:lineRule="auto"/>
              <w:rPr>
                <w:rFonts w:eastAsia="SimSun" w:cs="Times New Roman"/>
                <w:b/>
                <w:bCs/>
                <w:kern w:val="0"/>
                <w:szCs w:val="20"/>
                <w14:ligatures w14:val="none"/>
              </w:rPr>
            </w:pPr>
            <w:r>
              <w:rPr>
                <w:rFonts w:eastAsia="SimSun" w:cs="Times New Roman"/>
                <w:kern w:val="0"/>
                <w:szCs w:val="20"/>
                <w14:ligatures w14:val="none"/>
              </w:rPr>
              <w:t>B</w:t>
            </w:r>
          </w:p>
        </w:tc>
        <w:tc>
          <w:tcPr>
            <w:tcW w:w="790" w:type="dxa"/>
          </w:tcPr>
          <w:p w14:paraId="4F00C52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6B973843">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35641CD">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3F2718D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9F0888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BB2AB7C">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1069AB56">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0DEBC5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p w14:paraId="3BEB1A23">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55678B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1621A0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B8DBA63">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323" w:type="dxa"/>
          </w:tcPr>
          <w:p w14:paraId="1734501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CF254CE">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7AC4EBD">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8554B5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B38995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56013F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11EBF2A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3C9DD45">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123A74A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679A540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69597A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3E8EEF0">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tc>
        <w:tc>
          <w:tcPr>
            <w:tcW w:w="639" w:type="dxa"/>
          </w:tcPr>
          <w:p w14:paraId="2A234947">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6BEE556">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470E51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7A117CD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BEE597C">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1EBB1C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5A0F0C6F">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E5CD791">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p w14:paraId="1AC695F8">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4F73F8B9">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2F19C2CD">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w:t>
            </w:r>
          </w:p>
          <w:p w14:paraId="0A52F40A">
            <w:pPr>
              <w:widowControl w:val="0"/>
              <w:spacing w:after="0" w:line="276" w:lineRule="auto"/>
              <w:rPr>
                <w:rFonts w:eastAsia="SimSun" w:cs="Times New Roman"/>
                <w:b/>
                <w:bCs/>
                <w:kern w:val="0"/>
                <w:szCs w:val="20"/>
                <w14:ligatures w14:val="none"/>
              </w:rPr>
            </w:pPr>
            <w:r>
              <w:rPr>
                <w:rFonts w:eastAsia="SimSun" w:cs="Times New Roman"/>
                <w:b/>
                <w:bCs/>
                <w:kern w:val="0"/>
                <w:szCs w:val="20"/>
                <w14:ligatures w14:val="none"/>
              </w:rPr>
              <w:t xml:space="preserve">   -</w:t>
            </w:r>
          </w:p>
        </w:tc>
        <w:tc>
          <w:tcPr>
            <w:tcW w:w="683" w:type="dxa"/>
          </w:tcPr>
          <w:p w14:paraId="2B68D4A3">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6FB2431C">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24C57778">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4684F875">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763C6D61">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073D0A05">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4BB604F5">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20E90C1D">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+ve</w:t>
            </w:r>
          </w:p>
          <w:p w14:paraId="27827799">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5332F1DC">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6475777C">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p w14:paraId="0975C5D6">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+ve</w:t>
            </w:r>
          </w:p>
        </w:tc>
        <w:tc>
          <w:tcPr>
            <w:tcW w:w="1141" w:type="dxa"/>
          </w:tcPr>
          <w:p w14:paraId="06336AE7">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p w14:paraId="7D98D051">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Cocci</w:t>
            </w:r>
          </w:p>
          <w:p w14:paraId="6A7CC0AA">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Cocci</w:t>
            </w:r>
          </w:p>
          <w:p w14:paraId="4EF822BB">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p w14:paraId="20594C22">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Cocci</w:t>
            </w:r>
          </w:p>
          <w:p w14:paraId="1CCA72EB">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Rod</w:t>
            </w:r>
          </w:p>
          <w:p w14:paraId="1DA76E8D">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Cocci</w:t>
            </w:r>
          </w:p>
          <w:p w14:paraId="3B48CE25">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 xml:space="preserve"> Cocci</w:t>
            </w:r>
          </w:p>
          <w:p w14:paraId="731940BF">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Rod</w:t>
            </w:r>
          </w:p>
          <w:p w14:paraId="2AD5E164">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Rod</w:t>
            </w:r>
          </w:p>
          <w:p w14:paraId="6A34727F">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Rod</w:t>
            </w:r>
          </w:p>
          <w:p w14:paraId="791962AD">
            <w:pPr>
              <w:widowControl w:val="0"/>
              <w:spacing w:after="0" w:line="276" w:lineRule="auto"/>
              <w:rPr>
                <w:rFonts w:eastAsia="SimSun" w:cs="Times New Roman"/>
                <w:bCs/>
                <w:kern w:val="0"/>
                <w:szCs w:val="20"/>
                <w14:ligatures w14:val="none"/>
              </w:rPr>
            </w:pPr>
            <w:r>
              <w:rPr>
                <w:rFonts w:eastAsia="SimSun" w:cs="Times New Roman"/>
                <w:bCs/>
                <w:kern w:val="0"/>
                <w:szCs w:val="20"/>
                <w14:ligatures w14:val="none"/>
              </w:rPr>
              <w:t>Rod</w:t>
            </w:r>
          </w:p>
        </w:tc>
        <w:tc>
          <w:tcPr>
            <w:tcW w:w="2052" w:type="dxa"/>
          </w:tcPr>
          <w:p w14:paraId="5DEB804E">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 xml:space="preserve">Proteus </w:t>
            </w:r>
            <w:r>
              <w:rPr>
                <w:rFonts w:eastAsia="SimSun" w:cs="Times New Roman"/>
                <w:bCs/>
                <w:kern w:val="0"/>
                <w:szCs w:val="20"/>
                <w14:ligatures w14:val="none"/>
              </w:rPr>
              <w:t>sp</w:t>
            </w:r>
          </w:p>
          <w:p w14:paraId="2EA61B1C">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 xml:space="preserve">Staphyloccocus </w:t>
            </w:r>
            <w:r>
              <w:rPr>
                <w:rFonts w:eastAsia="SimSun" w:cs="Times New Roman"/>
                <w:bCs/>
                <w:kern w:val="0"/>
                <w:szCs w:val="20"/>
                <w14:ligatures w14:val="none"/>
              </w:rPr>
              <w:t>sp</w:t>
            </w:r>
          </w:p>
          <w:p w14:paraId="356AD4CB">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Micrococcus</w:t>
            </w:r>
            <w:r>
              <w:rPr>
                <w:rFonts w:eastAsia="SimSun" w:cs="Times New Roman"/>
                <w:bCs/>
                <w:kern w:val="0"/>
                <w:szCs w:val="20"/>
                <w14:ligatures w14:val="none"/>
              </w:rPr>
              <w:t xml:space="preserve"> sp</w:t>
            </w:r>
          </w:p>
          <w:p w14:paraId="5E723E7F">
            <w:pPr>
              <w:widowControl w:val="0"/>
              <w:spacing w:after="0" w:line="276" w:lineRule="auto"/>
              <w:rPr>
                <w:rFonts w:eastAsia="SimSun" w:cs="Times New Roman"/>
                <w:kern w:val="0"/>
                <w:szCs w:val="20"/>
                <w14:ligatures w14:val="none"/>
              </w:rPr>
            </w:pPr>
            <w:r>
              <w:rPr>
                <w:rFonts w:eastAsia="SimSun" w:cs="Times New Roman"/>
                <w:i/>
                <w:kern w:val="0"/>
                <w:szCs w:val="20"/>
                <w14:ligatures w14:val="none"/>
              </w:rPr>
              <w:t xml:space="preserve">Bacillus </w:t>
            </w:r>
            <w:r>
              <w:rPr>
                <w:rFonts w:eastAsia="SimSun" w:cs="Times New Roman"/>
                <w:kern w:val="0"/>
                <w:szCs w:val="20"/>
                <w14:ligatures w14:val="none"/>
              </w:rPr>
              <w:t>sp</w:t>
            </w:r>
          </w:p>
          <w:p w14:paraId="5FD4644D">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Micrococcus</w:t>
            </w:r>
            <w:r>
              <w:rPr>
                <w:rFonts w:eastAsia="SimSun" w:cs="Times New Roman"/>
                <w:bCs/>
                <w:kern w:val="0"/>
                <w:szCs w:val="20"/>
                <w14:ligatures w14:val="none"/>
              </w:rPr>
              <w:t xml:space="preserve"> sp</w:t>
            </w:r>
          </w:p>
          <w:p w14:paraId="7218D9D4">
            <w:pPr>
              <w:widowControl w:val="0"/>
              <w:spacing w:after="0" w:line="276" w:lineRule="auto"/>
              <w:rPr>
                <w:rFonts w:eastAsia="SimSun" w:cs="Times New Roman"/>
                <w:kern w:val="0"/>
                <w:szCs w:val="20"/>
                <w14:ligatures w14:val="none"/>
              </w:rPr>
            </w:pPr>
            <w:r>
              <w:rPr>
                <w:rFonts w:eastAsia="SimSun" w:cs="Times New Roman"/>
                <w:i/>
                <w:kern w:val="0"/>
                <w:szCs w:val="20"/>
                <w14:ligatures w14:val="none"/>
              </w:rPr>
              <w:t>Bacillus</w:t>
            </w:r>
            <w:r>
              <w:rPr>
                <w:rFonts w:eastAsia="SimSun" w:cs="Times New Roman"/>
                <w:kern w:val="0"/>
                <w:szCs w:val="20"/>
                <w14:ligatures w14:val="none"/>
              </w:rPr>
              <w:t xml:space="preserve"> sp</w:t>
            </w:r>
          </w:p>
          <w:p w14:paraId="3E697D85">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Microccocus</w:t>
            </w:r>
            <w:r>
              <w:rPr>
                <w:rFonts w:eastAsia="SimSun" w:cs="Times New Roman"/>
                <w:bCs/>
                <w:kern w:val="0"/>
                <w:szCs w:val="20"/>
                <w14:ligatures w14:val="none"/>
              </w:rPr>
              <w:t xml:space="preserve"> sp</w:t>
            </w:r>
          </w:p>
          <w:p w14:paraId="7001398B">
            <w:pPr>
              <w:widowControl w:val="0"/>
              <w:spacing w:after="0" w:line="276" w:lineRule="auto"/>
              <w:rPr>
                <w:rFonts w:eastAsia="SimSun" w:cs="Times New Roman"/>
                <w:bCs/>
                <w:kern w:val="0"/>
                <w:szCs w:val="20"/>
                <w14:ligatures w14:val="none"/>
              </w:rPr>
            </w:pPr>
            <w:r>
              <w:rPr>
                <w:rFonts w:eastAsia="SimSun" w:cs="Times New Roman"/>
                <w:bCs/>
                <w:i/>
                <w:kern w:val="0"/>
                <w:szCs w:val="20"/>
                <w14:ligatures w14:val="none"/>
              </w:rPr>
              <w:t xml:space="preserve">Staphyloccocus </w:t>
            </w:r>
            <w:r>
              <w:rPr>
                <w:rFonts w:eastAsia="SimSun" w:cs="Times New Roman"/>
                <w:bCs/>
                <w:kern w:val="0"/>
                <w:szCs w:val="20"/>
                <w14:ligatures w14:val="none"/>
              </w:rPr>
              <w:t>sp</w:t>
            </w:r>
          </w:p>
          <w:p w14:paraId="7A098EB7">
            <w:pPr>
              <w:widowControl w:val="0"/>
              <w:spacing w:after="0" w:line="276" w:lineRule="auto"/>
              <w:rPr>
                <w:rFonts w:eastAsia="SimSun" w:cs="Times New Roman"/>
                <w:bCs/>
                <w:i/>
                <w:kern w:val="0"/>
                <w:szCs w:val="20"/>
                <w14:ligatures w14:val="none"/>
              </w:rPr>
            </w:pPr>
            <w:r>
              <w:rPr>
                <w:rFonts w:eastAsia="SimSun" w:cs="Times New Roman"/>
                <w:bCs/>
                <w:i/>
                <w:kern w:val="0"/>
                <w:szCs w:val="20"/>
                <w14:ligatures w14:val="none"/>
              </w:rPr>
              <w:t xml:space="preserve">Corynebacterium </w:t>
            </w:r>
          </w:p>
          <w:p w14:paraId="5BB5012F">
            <w:pPr>
              <w:widowControl w:val="0"/>
              <w:spacing w:after="0" w:line="276" w:lineRule="auto"/>
              <w:rPr>
                <w:rFonts w:eastAsia="SimSun" w:cs="Times New Roman"/>
                <w:kern w:val="0"/>
                <w:szCs w:val="20"/>
                <w14:ligatures w14:val="none"/>
              </w:rPr>
            </w:pPr>
            <w:r>
              <w:rPr>
                <w:rFonts w:eastAsia="SimSun" w:cs="Times New Roman"/>
                <w:i/>
                <w:kern w:val="0"/>
                <w:szCs w:val="20"/>
                <w14:ligatures w14:val="none"/>
              </w:rPr>
              <w:t>Vibrio</w:t>
            </w:r>
            <w:r>
              <w:rPr>
                <w:rFonts w:eastAsia="SimSun" w:cs="Times New Roman"/>
                <w:kern w:val="0"/>
                <w:szCs w:val="20"/>
                <w14:ligatures w14:val="none"/>
              </w:rPr>
              <w:t xml:space="preserve"> sp</w:t>
            </w:r>
          </w:p>
          <w:p w14:paraId="49FB47E8">
            <w:pPr>
              <w:widowControl w:val="0"/>
              <w:spacing w:after="0" w:line="276" w:lineRule="auto"/>
              <w:rPr>
                <w:rFonts w:eastAsia="SimSun" w:cs="Times New Roman"/>
                <w:bCs/>
                <w:i/>
                <w:kern w:val="0"/>
                <w:szCs w:val="20"/>
                <w14:ligatures w14:val="none"/>
              </w:rPr>
            </w:pPr>
            <w:r>
              <w:rPr>
                <w:rFonts w:eastAsia="SimSun" w:cs="Times New Roman"/>
                <w:bCs/>
                <w:i/>
                <w:kern w:val="0"/>
                <w:szCs w:val="20"/>
                <w14:ligatures w14:val="none"/>
              </w:rPr>
              <w:t>Corynebacterium</w:t>
            </w:r>
          </w:p>
          <w:p w14:paraId="48027555">
            <w:pPr>
              <w:widowControl w:val="0"/>
              <w:spacing w:after="0" w:line="276" w:lineRule="auto"/>
              <w:rPr>
                <w:rFonts w:eastAsia="SimSun" w:cs="Times New Roman"/>
                <w:kern w:val="0"/>
                <w:szCs w:val="20"/>
                <w14:ligatures w14:val="none"/>
              </w:rPr>
            </w:pPr>
            <w:r>
              <w:rPr>
                <w:rFonts w:eastAsia="SimSun" w:cs="Times New Roman"/>
                <w:i/>
                <w:kern w:val="0"/>
                <w:szCs w:val="20"/>
                <w14:ligatures w14:val="none"/>
              </w:rPr>
              <w:t>Bacillus</w:t>
            </w:r>
            <w:r>
              <w:rPr>
                <w:rFonts w:eastAsia="SimSun" w:cs="Times New Roman"/>
                <w:kern w:val="0"/>
                <w:szCs w:val="20"/>
                <w14:ligatures w14:val="none"/>
              </w:rPr>
              <w:t xml:space="preserve"> sp</w:t>
            </w:r>
          </w:p>
        </w:tc>
      </w:tr>
    </w:tbl>
    <w:p w14:paraId="36FA89C5">
      <w:pPr>
        <w:pStyle w:val="35"/>
        <w:rPr>
          <w:b/>
          <w:bCs/>
        </w:rPr>
        <w:sectPr>
          <w:pgSz w:w="15840" w:h="12240" w:orient="landscape"/>
          <w:pgMar w:top="1440" w:right="1440" w:bottom="1440" w:left="1440" w:header="708" w:footer="708" w:gutter="0"/>
          <w:cols w:space="708" w:num="1"/>
          <w:docGrid w:linePitch="360" w:charSpace="0"/>
        </w:sectPr>
      </w:pPr>
      <w:r>
        <w:rPr>
          <w:b/>
          <w:bCs/>
        </w:rPr>
        <w:t>Table 8 BIOCHEMICALCHARACTERISTICS OF MULTIDRUG RESISTANT ISOLATES FROM WATER SAMPLES STUDIED.</w:t>
      </w:r>
    </w:p>
    <w:bookmarkEnd w:id="12"/>
    <w:p w14:paraId="527D9241">
      <w:pPr>
        <w:rPr>
          <w:b/>
          <w:bCs/>
        </w:rPr>
      </w:pPr>
      <w:bookmarkStart w:id="13" w:name="_Toc10322"/>
      <w:r>
        <w:rPr>
          <w:b/>
          <w:bCs/>
        </w:rPr>
        <w:t>Table 9 ANTIBIOTIC SUSCEPTIBILITY PROFILE (mm) OF GRAM-POSITIVE ISOLATES THAT TESTED POSITIVE TO BIOFILM, ALPHA OR BETA HEMOLYSIS</w:t>
      </w:r>
      <w:bookmarkEnd w:id="13"/>
      <w:r>
        <w:rPr>
          <w:b/>
          <w:bCs/>
        </w:rPr>
        <w:t xml:space="preserve"> </w:t>
      </w:r>
    </w:p>
    <w:tbl>
      <w:tblPr>
        <w:tblStyle w:val="15"/>
        <w:tblpPr w:leftFromText="180" w:rightFromText="180" w:vertAnchor="text" w:horzAnchor="page" w:tblpX="1584" w:tblpY="326"/>
        <w:tblOverlap w:val="never"/>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284"/>
        <w:gridCol w:w="825"/>
        <w:gridCol w:w="813"/>
        <w:gridCol w:w="829"/>
        <w:gridCol w:w="802"/>
        <w:gridCol w:w="819"/>
        <w:gridCol w:w="802"/>
        <w:gridCol w:w="829"/>
        <w:gridCol w:w="802"/>
        <w:gridCol w:w="826"/>
        <w:gridCol w:w="803"/>
      </w:tblGrid>
      <w:tr w14:paraId="4207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8" w:type="dxa"/>
          </w:tcPr>
          <w:p w14:paraId="3660BB27">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SN</w:t>
            </w:r>
          </w:p>
        </w:tc>
        <w:tc>
          <w:tcPr>
            <w:tcW w:w="1039" w:type="dxa"/>
          </w:tcPr>
          <w:p w14:paraId="37F8A474">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ISOLATE</w:t>
            </w:r>
          </w:p>
          <w:p w14:paraId="58C9D573">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CODE</w:t>
            </w:r>
          </w:p>
        </w:tc>
        <w:tc>
          <w:tcPr>
            <w:tcW w:w="843" w:type="dxa"/>
          </w:tcPr>
          <w:p w14:paraId="520E786A">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PEF</w:t>
            </w:r>
          </w:p>
        </w:tc>
        <w:tc>
          <w:tcPr>
            <w:tcW w:w="843" w:type="dxa"/>
          </w:tcPr>
          <w:p w14:paraId="102E59F8">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CN</w:t>
            </w:r>
          </w:p>
        </w:tc>
        <w:tc>
          <w:tcPr>
            <w:tcW w:w="843" w:type="dxa"/>
          </w:tcPr>
          <w:p w14:paraId="5D3E424E">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APX</w:t>
            </w:r>
          </w:p>
        </w:tc>
        <w:tc>
          <w:tcPr>
            <w:tcW w:w="843" w:type="dxa"/>
          </w:tcPr>
          <w:p w14:paraId="3882818E">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Z</w:t>
            </w:r>
          </w:p>
        </w:tc>
        <w:tc>
          <w:tcPr>
            <w:tcW w:w="843" w:type="dxa"/>
          </w:tcPr>
          <w:p w14:paraId="01B0E88D">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AM</w:t>
            </w:r>
          </w:p>
        </w:tc>
        <w:tc>
          <w:tcPr>
            <w:tcW w:w="843" w:type="dxa"/>
          </w:tcPr>
          <w:p w14:paraId="7AD61308">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R</w:t>
            </w:r>
          </w:p>
        </w:tc>
        <w:tc>
          <w:tcPr>
            <w:tcW w:w="843" w:type="dxa"/>
          </w:tcPr>
          <w:p w14:paraId="01A50164">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CPX</w:t>
            </w:r>
          </w:p>
        </w:tc>
        <w:tc>
          <w:tcPr>
            <w:tcW w:w="843" w:type="dxa"/>
          </w:tcPr>
          <w:p w14:paraId="3232F787">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 xml:space="preserve">   S</w:t>
            </w:r>
          </w:p>
        </w:tc>
        <w:tc>
          <w:tcPr>
            <w:tcW w:w="843" w:type="dxa"/>
          </w:tcPr>
          <w:p w14:paraId="684EB13C">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SXT</w:t>
            </w:r>
          </w:p>
        </w:tc>
        <w:tc>
          <w:tcPr>
            <w:tcW w:w="843" w:type="dxa"/>
          </w:tcPr>
          <w:p w14:paraId="2DF2432C">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E</w:t>
            </w:r>
          </w:p>
        </w:tc>
      </w:tr>
      <w:tr w14:paraId="203A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3BB3A6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w:t>
            </w:r>
          </w:p>
        </w:tc>
        <w:tc>
          <w:tcPr>
            <w:tcW w:w="1039" w:type="dxa"/>
          </w:tcPr>
          <w:p w14:paraId="75FD2A5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CAM1</w:t>
            </w:r>
          </w:p>
        </w:tc>
        <w:tc>
          <w:tcPr>
            <w:tcW w:w="843" w:type="dxa"/>
          </w:tcPr>
          <w:p w14:paraId="0C4EC7BE">
            <w:pPr>
              <w:widowControl w:val="0"/>
              <w:spacing w:after="0" w:line="240" w:lineRule="auto"/>
              <w:rPr>
                <w:rFonts w:eastAsia="SimSun" w:cs="Times New Roman"/>
                <w:kern w:val="0"/>
                <w:szCs w:val="20"/>
                <w14:ligatures w14:val="none"/>
              </w:rPr>
            </w:pPr>
            <w:commentRangeStart w:id="13"/>
            <w:r>
              <w:rPr>
                <w:rFonts w:eastAsia="SimSun" w:cs="Times New Roman"/>
                <w:kern w:val="0"/>
                <w:szCs w:val="20"/>
                <w14:ligatures w14:val="none"/>
              </w:rPr>
              <w:t>22</w:t>
            </w:r>
            <w:commentRangeEnd w:id="13"/>
            <w:r>
              <w:commentReference w:id="13"/>
            </w:r>
          </w:p>
        </w:tc>
        <w:tc>
          <w:tcPr>
            <w:tcW w:w="843" w:type="dxa"/>
          </w:tcPr>
          <w:p w14:paraId="4551800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62A9EC6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2BE007E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11</w:t>
            </w:r>
          </w:p>
        </w:tc>
        <w:tc>
          <w:tcPr>
            <w:tcW w:w="843" w:type="dxa"/>
          </w:tcPr>
          <w:p w14:paraId="4C9C483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228B464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541361D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069D455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5A7A7C2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27F940E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r>
      <w:tr w14:paraId="3FD2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88" w:type="dxa"/>
          </w:tcPr>
          <w:p w14:paraId="0859710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w:t>
            </w:r>
          </w:p>
        </w:tc>
        <w:tc>
          <w:tcPr>
            <w:tcW w:w="1039" w:type="dxa"/>
          </w:tcPr>
          <w:p w14:paraId="6A524F0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CAM5</w:t>
            </w:r>
          </w:p>
        </w:tc>
        <w:tc>
          <w:tcPr>
            <w:tcW w:w="843" w:type="dxa"/>
          </w:tcPr>
          <w:p w14:paraId="72AE4A1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21</w:t>
            </w:r>
          </w:p>
        </w:tc>
        <w:tc>
          <w:tcPr>
            <w:tcW w:w="843" w:type="dxa"/>
          </w:tcPr>
          <w:p w14:paraId="235DDF1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6344B47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843" w:type="dxa"/>
          </w:tcPr>
          <w:p w14:paraId="5DCD53F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91BE14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D9F69B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57A77F6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22</w:t>
            </w:r>
          </w:p>
        </w:tc>
        <w:tc>
          <w:tcPr>
            <w:tcW w:w="843" w:type="dxa"/>
          </w:tcPr>
          <w:p w14:paraId="4FCF57C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606834F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c>
          <w:tcPr>
            <w:tcW w:w="843" w:type="dxa"/>
          </w:tcPr>
          <w:p w14:paraId="18C45A8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22</w:t>
            </w:r>
          </w:p>
        </w:tc>
      </w:tr>
      <w:tr w14:paraId="2469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04F492D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3</w:t>
            </w:r>
          </w:p>
        </w:tc>
        <w:tc>
          <w:tcPr>
            <w:tcW w:w="1039" w:type="dxa"/>
          </w:tcPr>
          <w:p w14:paraId="35B24CA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CAM7</w:t>
            </w:r>
          </w:p>
        </w:tc>
        <w:tc>
          <w:tcPr>
            <w:tcW w:w="843" w:type="dxa"/>
          </w:tcPr>
          <w:p w14:paraId="1433508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28</w:t>
            </w:r>
          </w:p>
        </w:tc>
        <w:tc>
          <w:tcPr>
            <w:tcW w:w="843" w:type="dxa"/>
          </w:tcPr>
          <w:p w14:paraId="0FA504D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c>
          <w:tcPr>
            <w:tcW w:w="843" w:type="dxa"/>
          </w:tcPr>
          <w:p w14:paraId="48B67B2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843" w:type="dxa"/>
          </w:tcPr>
          <w:p w14:paraId="1B9E531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843" w:type="dxa"/>
          </w:tcPr>
          <w:p w14:paraId="23E76D3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0056474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08F9364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30</w:t>
            </w:r>
          </w:p>
        </w:tc>
        <w:tc>
          <w:tcPr>
            <w:tcW w:w="843" w:type="dxa"/>
          </w:tcPr>
          <w:p w14:paraId="5BA4003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3DA8E5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22</w:t>
            </w:r>
          </w:p>
        </w:tc>
        <w:tc>
          <w:tcPr>
            <w:tcW w:w="843" w:type="dxa"/>
          </w:tcPr>
          <w:p w14:paraId="136F003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r>
      <w:tr w14:paraId="348A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7331581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4</w:t>
            </w:r>
          </w:p>
        </w:tc>
        <w:tc>
          <w:tcPr>
            <w:tcW w:w="1039" w:type="dxa"/>
          </w:tcPr>
          <w:p w14:paraId="470DA81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CHI1</w:t>
            </w:r>
          </w:p>
        </w:tc>
        <w:tc>
          <w:tcPr>
            <w:tcW w:w="843" w:type="dxa"/>
          </w:tcPr>
          <w:p w14:paraId="71F5B77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26</w:t>
            </w:r>
          </w:p>
        </w:tc>
        <w:tc>
          <w:tcPr>
            <w:tcW w:w="843" w:type="dxa"/>
          </w:tcPr>
          <w:p w14:paraId="7A8B626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c>
          <w:tcPr>
            <w:tcW w:w="843" w:type="dxa"/>
          </w:tcPr>
          <w:p w14:paraId="504A3F0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4B60483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47BEE53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843" w:type="dxa"/>
          </w:tcPr>
          <w:p w14:paraId="016CE95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843" w:type="dxa"/>
          </w:tcPr>
          <w:p w14:paraId="4A3F9CF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0574C59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6BCBD57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 xml:space="preserve">24 </w:t>
            </w:r>
          </w:p>
        </w:tc>
        <w:tc>
          <w:tcPr>
            <w:tcW w:w="843" w:type="dxa"/>
          </w:tcPr>
          <w:p w14:paraId="05CA14C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r>
      <w:tr w14:paraId="5BA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47EC3E5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5</w:t>
            </w:r>
          </w:p>
        </w:tc>
        <w:tc>
          <w:tcPr>
            <w:tcW w:w="1039" w:type="dxa"/>
          </w:tcPr>
          <w:p w14:paraId="4D21612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LAN4</w:t>
            </w:r>
          </w:p>
        </w:tc>
        <w:tc>
          <w:tcPr>
            <w:tcW w:w="843" w:type="dxa"/>
          </w:tcPr>
          <w:p w14:paraId="1499208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5181FBE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2AA192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52948CA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7E5543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3DD8A0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5049DD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c>
          <w:tcPr>
            <w:tcW w:w="843" w:type="dxa"/>
          </w:tcPr>
          <w:p w14:paraId="1D27E12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DF64B4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CB375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r>
      <w:tr w14:paraId="71B8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21C10AC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1039" w:type="dxa"/>
          </w:tcPr>
          <w:p w14:paraId="05C71E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TRO1</w:t>
            </w:r>
          </w:p>
        </w:tc>
        <w:tc>
          <w:tcPr>
            <w:tcW w:w="843" w:type="dxa"/>
          </w:tcPr>
          <w:p w14:paraId="42DD92C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4955458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759D07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BA05A4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51B4FE5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78EE6D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03B852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25</w:t>
            </w:r>
          </w:p>
        </w:tc>
        <w:tc>
          <w:tcPr>
            <w:tcW w:w="843" w:type="dxa"/>
          </w:tcPr>
          <w:p w14:paraId="766FECF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3EE31B6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843" w:type="dxa"/>
          </w:tcPr>
          <w:p w14:paraId="299FC79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r>
      <w:tr w14:paraId="062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57853AD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7</w:t>
            </w:r>
          </w:p>
        </w:tc>
        <w:tc>
          <w:tcPr>
            <w:tcW w:w="1039" w:type="dxa"/>
          </w:tcPr>
          <w:p w14:paraId="2D2F5F7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TRO2</w:t>
            </w:r>
          </w:p>
        </w:tc>
        <w:tc>
          <w:tcPr>
            <w:tcW w:w="843" w:type="dxa"/>
          </w:tcPr>
          <w:p w14:paraId="0D6D25E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843" w:type="dxa"/>
          </w:tcPr>
          <w:p w14:paraId="2F53DD1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F54C05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163004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E0D77C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5B8258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484233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7C474B1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5</w:t>
            </w:r>
          </w:p>
        </w:tc>
        <w:tc>
          <w:tcPr>
            <w:tcW w:w="843" w:type="dxa"/>
          </w:tcPr>
          <w:p w14:paraId="5618C35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F09CDF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r>
      <w:tr w14:paraId="5F00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69E3AB7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1039" w:type="dxa"/>
          </w:tcPr>
          <w:p w14:paraId="5E352FE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TRO3</w:t>
            </w:r>
          </w:p>
        </w:tc>
        <w:tc>
          <w:tcPr>
            <w:tcW w:w="843" w:type="dxa"/>
          </w:tcPr>
          <w:p w14:paraId="397B4B3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15</w:t>
            </w:r>
          </w:p>
        </w:tc>
        <w:tc>
          <w:tcPr>
            <w:tcW w:w="843" w:type="dxa"/>
          </w:tcPr>
          <w:p w14:paraId="4A0173D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34C4F5E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843" w:type="dxa"/>
          </w:tcPr>
          <w:p w14:paraId="031AD57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377B3C2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0DC041F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3AEC93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25</w:t>
            </w:r>
          </w:p>
        </w:tc>
        <w:tc>
          <w:tcPr>
            <w:tcW w:w="843" w:type="dxa"/>
          </w:tcPr>
          <w:p w14:paraId="036A16D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7FA804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019208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r>
      <w:tr w14:paraId="1312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3C8B06A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1039" w:type="dxa"/>
          </w:tcPr>
          <w:p w14:paraId="3C8A008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TRO4</w:t>
            </w:r>
          </w:p>
        </w:tc>
        <w:tc>
          <w:tcPr>
            <w:tcW w:w="843" w:type="dxa"/>
          </w:tcPr>
          <w:p w14:paraId="154394D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5CB296E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A53499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83A4E5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FDC337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DAEA68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0369A1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29C1A47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4CE5F3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C27847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r>
      <w:tr w14:paraId="66B7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4CF0E25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1039" w:type="dxa"/>
          </w:tcPr>
          <w:p w14:paraId="5027F54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TRO5</w:t>
            </w:r>
          </w:p>
        </w:tc>
        <w:tc>
          <w:tcPr>
            <w:tcW w:w="843" w:type="dxa"/>
          </w:tcPr>
          <w:p w14:paraId="27F97E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296A9F4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843" w:type="dxa"/>
          </w:tcPr>
          <w:p w14:paraId="7A6E18B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CB7638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5272D2E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A11575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265138C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14FC8B7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77EB47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12DDEC1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r>
      <w:tr w14:paraId="31FE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2FACB8D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11</w:t>
            </w:r>
          </w:p>
        </w:tc>
        <w:tc>
          <w:tcPr>
            <w:tcW w:w="1039" w:type="dxa"/>
          </w:tcPr>
          <w:p w14:paraId="103CC18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TRO6</w:t>
            </w:r>
          </w:p>
        </w:tc>
        <w:tc>
          <w:tcPr>
            <w:tcW w:w="843" w:type="dxa"/>
          </w:tcPr>
          <w:p w14:paraId="05D8A68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6378ED5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313534B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61330BD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E5B2BD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AAEFD4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843" w:type="dxa"/>
          </w:tcPr>
          <w:p w14:paraId="7636682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22</w:t>
            </w:r>
          </w:p>
        </w:tc>
        <w:tc>
          <w:tcPr>
            <w:tcW w:w="843" w:type="dxa"/>
          </w:tcPr>
          <w:p w14:paraId="20475DB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6CE3078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5CA49BE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r>
      <w:tr w14:paraId="347A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7C2FC2D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1039" w:type="dxa"/>
          </w:tcPr>
          <w:p w14:paraId="4F53240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TRO9</w:t>
            </w:r>
          </w:p>
        </w:tc>
        <w:tc>
          <w:tcPr>
            <w:tcW w:w="843" w:type="dxa"/>
          </w:tcPr>
          <w:p w14:paraId="439ACE2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24E2A5C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5FF6CD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52FF0C8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D909F7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50434F5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843" w:type="dxa"/>
          </w:tcPr>
          <w:p w14:paraId="4147505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67E0DE2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8B6ACB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530CFE0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r>
      <w:tr w14:paraId="0989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5CB5541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13</w:t>
            </w:r>
          </w:p>
        </w:tc>
        <w:tc>
          <w:tcPr>
            <w:tcW w:w="1039" w:type="dxa"/>
          </w:tcPr>
          <w:p w14:paraId="3368C8C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TRO10</w:t>
            </w:r>
          </w:p>
        </w:tc>
        <w:tc>
          <w:tcPr>
            <w:tcW w:w="843" w:type="dxa"/>
          </w:tcPr>
          <w:p w14:paraId="55EC72B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18</w:t>
            </w:r>
          </w:p>
        </w:tc>
        <w:tc>
          <w:tcPr>
            <w:tcW w:w="843" w:type="dxa"/>
          </w:tcPr>
          <w:p w14:paraId="6AFA5F5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228DD5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4C0C80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2C5569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798516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9778EC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1AACF7C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8AB645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6234400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r>
      <w:tr w14:paraId="31D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73634C4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14</w:t>
            </w:r>
          </w:p>
        </w:tc>
        <w:tc>
          <w:tcPr>
            <w:tcW w:w="1039" w:type="dxa"/>
          </w:tcPr>
          <w:p w14:paraId="43724D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ONU2</w:t>
            </w:r>
          </w:p>
        </w:tc>
        <w:tc>
          <w:tcPr>
            <w:tcW w:w="843" w:type="dxa"/>
          </w:tcPr>
          <w:p w14:paraId="1307D4A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2E74BBB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F52412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19A880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0614EF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01FD6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06AC0F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6A78D53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898558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5</w:t>
            </w:r>
          </w:p>
        </w:tc>
        <w:tc>
          <w:tcPr>
            <w:tcW w:w="843" w:type="dxa"/>
          </w:tcPr>
          <w:p w14:paraId="4715FEE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r>
      <w:tr w14:paraId="1903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6B3A183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15</w:t>
            </w:r>
          </w:p>
        </w:tc>
        <w:tc>
          <w:tcPr>
            <w:tcW w:w="1039" w:type="dxa"/>
          </w:tcPr>
          <w:p w14:paraId="2EBF315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FES1</w:t>
            </w:r>
          </w:p>
        </w:tc>
        <w:tc>
          <w:tcPr>
            <w:tcW w:w="843" w:type="dxa"/>
          </w:tcPr>
          <w:p w14:paraId="77D4EE7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3ECDEC0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CE3BDF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7FCE57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BFBA33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0FB1CD3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31AE5C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29EE474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5325BC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67F765A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r>
      <w:tr w14:paraId="5472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dxa"/>
          </w:tcPr>
          <w:p w14:paraId="25069F5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16</w:t>
            </w:r>
          </w:p>
        </w:tc>
        <w:tc>
          <w:tcPr>
            <w:tcW w:w="1039" w:type="dxa"/>
          </w:tcPr>
          <w:p w14:paraId="0A1AFBE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FES3</w:t>
            </w:r>
          </w:p>
        </w:tc>
        <w:tc>
          <w:tcPr>
            <w:tcW w:w="843" w:type="dxa"/>
          </w:tcPr>
          <w:p w14:paraId="483EDB6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15</w:t>
            </w:r>
          </w:p>
        </w:tc>
        <w:tc>
          <w:tcPr>
            <w:tcW w:w="843" w:type="dxa"/>
          </w:tcPr>
          <w:p w14:paraId="2E74F7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12</w:t>
            </w:r>
          </w:p>
        </w:tc>
        <w:tc>
          <w:tcPr>
            <w:tcW w:w="843" w:type="dxa"/>
          </w:tcPr>
          <w:p w14:paraId="583D7E5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4A244BE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843" w:type="dxa"/>
          </w:tcPr>
          <w:p w14:paraId="6D81ED7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843" w:type="dxa"/>
          </w:tcPr>
          <w:p w14:paraId="2C8089D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5A349DD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20</w:t>
            </w:r>
          </w:p>
        </w:tc>
        <w:tc>
          <w:tcPr>
            <w:tcW w:w="843" w:type="dxa"/>
          </w:tcPr>
          <w:p w14:paraId="2F98762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843" w:type="dxa"/>
          </w:tcPr>
          <w:p w14:paraId="06F8CA3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171C3D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r>
      <w:tr w14:paraId="0359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88" w:type="dxa"/>
          </w:tcPr>
          <w:p w14:paraId="3839845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17</w:t>
            </w:r>
          </w:p>
        </w:tc>
        <w:tc>
          <w:tcPr>
            <w:tcW w:w="1039" w:type="dxa"/>
          </w:tcPr>
          <w:p w14:paraId="1196B0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FES4</w:t>
            </w:r>
          </w:p>
        </w:tc>
        <w:tc>
          <w:tcPr>
            <w:tcW w:w="843" w:type="dxa"/>
          </w:tcPr>
          <w:p w14:paraId="5CF1C5D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424020A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3132569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3303B6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1C642E9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4A5B619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EBBD3C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24</w:t>
            </w:r>
          </w:p>
        </w:tc>
        <w:tc>
          <w:tcPr>
            <w:tcW w:w="843" w:type="dxa"/>
          </w:tcPr>
          <w:p w14:paraId="76B8E8D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2EC94EA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c>
          <w:tcPr>
            <w:tcW w:w="843" w:type="dxa"/>
          </w:tcPr>
          <w:p w14:paraId="7BDA5E1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0</w:t>
            </w:r>
          </w:p>
        </w:tc>
      </w:tr>
    </w:tbl>
    <w:p w14:paraId="16D3BEDD">
      <w:pPr>
        <w:rPr>
          <w:b/>
        </w:rPr>
      </w:pPr>
      <w:r>
        <w:rPr>
          <w:b/>
        </w:rPr>
        <w:t xml:space="preserve">  </w:t>
      </w:r>
    </w:p>
    <w:p w14:paraId="544DD24A">
      <w:pPr>
        <w:rPr>
          <w:b/>
        </w:rPr>
      </w:pPr>
      <w:r>
        <w:rPr>
          <w:b/>
        </w:rPr>
        <w:t xml:space="preserve">Key:  </w:t>
      </w:r>
      <w:r>
        <w:rPr>
          <w:rFonts w:cs="Times New Roman"/>
          <w:szCs w:val="24"/>
        </w:rPr>
        <w:t>Cefalexin (CN) 30µg, Erythromycin (E) 15µg, Ampicillin (AM )10µg, Sulfamethoxazole (SXT) 23.75 µg, streptomycin (S) 10µg, Rifampicin (R) 5µg, Azithromycin (Z) 15µg, Pefloxacin (PEF) 5µg, Ciprofloxacin (CPX) 5µg, Ampiclox (APX) 10µg.</w:t>
      </w:r>
    </w:p>
    <w:p w14:paraId="48894EF4"/>
    <w:p w14:paraId="56A6B9F6">
      <w:pPr>
        <w:spacing w:line="480" w:lineRule="auto"/>
        <w:rPr>
          <w:rFonts w:cs="Times New Roman"/>
          <w:b/>
          <w:bCs/>
        </w:rPr>
      </w:pPr>
    </w:p>
    <w:p w14:paraId="5538EB9B">
      <w:pPr>
        <w:rPr>
          <w:rFonts w:ascii="Calibri" w:hAnsi="Calibri" w:eastAsia="Calibri"/>
          <w:b/>
          <w:bCs/>
        </w:rPr>
      </w:pPr>
      <w:bookmarkStart w:id="14" w:name="_Toc31402"/>
      <w:r>
        <w:rPr>
          <w:rFonts w:cs="Times New Roman"/>
          <w:b/>
          <w:bCs/>
          <w:szCs w:val="24"/>
        </w:rPr>
        <w:t xml:space="preserve">Table 10 </w:t>
      </w:r>
      <w:bookmarkStart w:id="15" w:name="_Hlk171544836"/>
      <w:r>
        <w:rPr>
          <w:b/>
          <w:bCs/>
        </w:rPr>
        <w:t>ANTIBIOTIC SUSCEPTIBILITY PROFILE (mm) OF GRAM-NEGATIVE ISOLATES THAT TESTED POSITIVE TO BIOFILM, ALPHA OR BETA HEMOLYSIS</w:t>
      </w:r>
      <w:bookmarkEnd w:id="14"/>
      <w:r>
        <w:rPr>
          <w:b/>
          <w:bCs/>
        </w:rPr>
        <w:t xml:space="preserve"> </w:t>
      </w:r>
      <w:r>
        <w:rPr>
          <w:rFonts w:ascii="Calibri" w:hAnsi="Calibri" w:eastAsia="Calibri"/>
          <w:b/>
          <w:bCs/>
        </w:rPr>
        <w:t xml:space="preserve"> </w:t>
      </w:r>
      <w:bookmarkEnd w:id="15"/>
    </w:p>
    <w:p w14:paraId="03B37FF7">
      <w:pPr>
        <w:ind w:firstLine="720"/>
        <w:rPr>
          <w:b/>
          <w:bCs/>
        </w:rPr>
      </w:pPr>
    </w:p>
    <w:tbl>
      <w:tblPr>
        <w:tblStyle w:val="7"/>
        <w:tblpPr w:leftFromText="180" w:rightFromText="180" w:vertAnchor="text" w:horzAnchor="page" w:tblpX="1263" w:tblpY="46"/>
        <w:tblOverlap w:val="never"/>
        <w:tblW w:w="9957" w:type="dxa"/>
        <w:tblInd w:w="0" w:type="dxa"/>
        <w:tblLayout w:type="autofit"/>
        <w:tblCellMar>
          <w:top w:w="0" w:type="dxa"/>
          <w:left w:w="108" w:type="dxa"/>
          <w:bottom w:w="0" w:type="dxa"/>
          <w:right w:w="108" w:type="dxa"/>
        </w:tblCellMar>
      </w:tblPr>
      <w:tblGrid>
        <w:gridCol w:w="523"/>
        <w:gridCol w:w="1266"/>
        <w:gridCol w:w="811"/>
        <w:gridCol w:w="821"/>
        <w:gridCol w:w="828"/>
        <w:gridCol w:w="811"/>
        <w:gridCol w:w="826"/>
        <w:gridCol w:w="808"/>
        <w:gridCol w:w="805"/>
        <w:gridCol w:w="826"/>
        <w:gridCol w:w="818"/>
        <w:gridCol w:w="814"/>
      </w:tblGrid>
      <w:tr w14:paraId="4B414284">
        <w:tblPrEx>
          <w:tblCellMar>
            <w:top w:w="0" w:type="dxa"/>
            <w:left w:w="108" w:type="dxa"/>
            <w:bottom w:w="0" w:type="dxa"/>
            <w:right w:w="108" w:type="dxa"/>
          </w:tblCellMar>
        </w:tblPrEx>
        <w:trPr>
          <w:trHeight w:val="1213"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840D45D">
            <w:r>
              <w:rPr>
                <w:b/>
                <w:bCs/>
              </w:rPr>
              <w:t>SN</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1FBF04">
            <w:r>
              <w:rPr>
                <w:b/>
                <w:bCs/>
              </w:rPr>
              <w:t>ISOLATE</w:t>
            </w:r>
          </w:p>
          <w:p w14:paraId="7EEFBE03">
            <w:r>
              <w:rPr>
                <w:b/>
                <w:bCs/>
              </w:rPr>
              <w:t>CODE</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5976D2">
            <w:r>
              <w:t>CN</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302856">
            <w:r>
              <w:t>PEF</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788411D">
            <w:r>
              <w:t>OFX</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36AF28">
            <w:r>
              <w:t>AZ</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EA5F29">
            <w:r>
              <w:t>LEV</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516243">
            <w:r>
              <w:t>CF</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33914A">
            <w:r>
              <w:t>SP</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597B67">
            <w:r>
              <w:rPr>
                <w:b/>
                <w:bCs/>
              </w:rPr>
              <w:t xml:space="preserve">  </w:t>
            </w:r>
            <w:r>
              <w:t>CPX</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E00F1C">
            <w:r>
              <w:t>AM</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B09498">
            <w:r>
              <w:t>AU</w:t>
            </w:r>
          </w:p>
        </w:tc>
      </w:tr>
      <w:tr w14:paraId="749E40BA">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A19DBF">
            <w:r>
              <w:t>1</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2D600F">
            <w:r>
              <w:t>CAM3</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CAF7B6">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8E0045">
            <w:r>
              <w:t>20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AD3A59">
            <w:r>
              <w:t>21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A435A8">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AB5941">
            <w:r>
              <w:t>20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08BE9AF">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909499">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A189FF">
            <w:r>
              <w:t>26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37E25E">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F3E4D3">
            <w:r>
              <w:t>0</w:t>
            </w:r>
          </w:p>
        </w:tc>
      </w:tr>
      <w:tr w14:paraId="14B39A7E">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2603BF">
            <w:r>
              <w:t>2</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6AB10C">
            <w:r>
              <w:t>CAM4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16DA2C">
            <w:r>
              <w:t>21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BCA866">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94FF70">
            <w:r>
              <w:t>9</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182FDF">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F17A17">
            <w:r>
              <w:t>19</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E5BCC5">
            <w:r>
              <w:t>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87812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724F65">
            <w:r>
              <w:t>20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25C9F32">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542245">
            <w:r>
              <w:t>22</w:t>
            </w:r>
          </w:p>
        </w:tc>
      </w:tr>
      <w:tr w14:paraId="2797608A">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93A9D21">
            <w:r>
              <w:t>3</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AACE28">
            <w:r>
              <w:t>CHI2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B3C632">
            <w:r>
              <w:t>28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C75B0F">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FD21B3">
            <w:r>
              <w:t>16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027BEF">
            <w:r>
              <w:t>16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596A9A">
            <w:r>
              <w:t>14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5B4333">
            <w:r>
              <w:t>20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2DF0A3">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7599C0">
            <w:r>
              <w:t>20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980A08">
            <w:r>
              <w:t>16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C59FFC">
            <w:r>
              <w:t>18</w:t>
            </w:r>
          </w:p>
        </w:tc>
      </w:tr>
      <w:tr w14:paraId="4679D72E">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5F4760">
            <w:r>
              <w:t>4</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422562">
            <w:r>
              <w:t>ONU1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A11603">
            <w:r>
              <w:t>12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D66321">
            <w:r>
              <w:t>14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A5D482">
            <w:r>
              <w:t>12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D6723D">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E98765">
            <w:r>
              <w:t>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FC03A2">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2444CE">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7705C7D">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99167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FF4152">
            <w:r>
              <w:t>8</w:t>
            </w:r>
          </w:p>
        </w:tc>
      </w:tr>
      <w:tr w14:paraId="1FD375B4">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40EB3C">
            <w:r>
              <w:t>5</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8D2960">
            <w:r>
              <w:t>ONU2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7913C8">
            <w:r>
              <w:t>12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F89334">
            <w:r>
              <w:t>14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3430E4">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44968A">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4FDB6A">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A13C97">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9E207C">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50EE4A">
            <w:r>
              <w:t>23</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D2846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2DE5BD">
            <w:r>
              <w:t>0</w:t>
            </w:r>
          </w:p>
        </w:tc>
      </w:tr>
      <w:tr w14:paraId="042F527F">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573F8E">
            <w:r>
              <w:t>6</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2DD0CD">
            <w:r>
              <w:t>ONU3</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B01460">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0A80C9">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FB9E0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EA218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14E753">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FB264F">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F95F4B">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C99BBC">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684CD1">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57DFBE">
            <w:r>
              <w:t>10</w:t>
            </w:r>
          </w:p>
        </w:tc>
      </w:tr>
      <w:tr w14:paraId="41E153FD">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7C76C7">
            <w:r>
              <w:t>7</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E58351">
            <w:r>
              <w:t>TRO7</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EB77CA">
            <w:r>
              <w:t>16</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5F7785">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78FBF6">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66F39F">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9CD9C7">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5B77EA">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1436EE">
            <w:r>
              <w:t>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8C2A05">
            <w:r>
              <w:t>23</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34C854">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F5EF12">
            <w:r>
              <w:t>0</w:t>
            </w:r>
          </w:p>
        </w:tc>
      </w:tr>
      <w:tr w14:paraId="360614CF">
        <w:tblPrEx>
          <w:tblCellMar>
            <w:top w:w="0" w:type="dxa"/>
            <w:left w:w="108" w:type="dxa"/>
            <w:bottom w:w="0" w:type="dxa"/>
            <w:right w:w="108" w:type="dxa"/>
          </w:tblCellMar>
        </w:tblPrEx>
        <w:trPr>
          <w:trHeight w:val="618"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5FF190">
            <w:r>
              <w:t>8</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C32DA8">
            <w:r>
              <w:t>TRO8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BB41BF">
            <w:r>
              <w:t>12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D633AC">
            <w:r>
              <w:t>14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3892DEB">
            <w:r>
              <w:t>14</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B36173">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AE1A6B">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386A11">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49E279">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81FCB2">
            <w:r>
              <w:t>21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C8101A">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1EB4AC">
            <w:r>
              <w:t>0</w:t>
            </w:r>
          </w:p>
        </w:tc>
      </w:tr>
      <w:tr w14:paraId="018701A6">
        <w:tblPrEx>
          <w:tblCellMar>
            <w:top w:w="0" w:type="dxa"/>
            <w:left w:w="108" w:type="dxa"/>
            <w:bottom w:w="0" w:type="dxa"/>
            <w:right w:w="108" w:type="dxa"/>
          </w:tblCellMar>
        </w:tblPrEx>
        <w:trPr>
          <w:trHeight w:val="641" w:hRule="atLeast"/>
        </w:trPr>
        <w:tc>
          <w:tcPr>
            <w:tcW w:w="4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591973">
            <w:r>
              <w:t>9</w:t>
            </w:r>
          </w:p>
        </w:tc>
        <w:tc>
          <w:tcPr>
            <w:tcW w:w="1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3218DC">
            <w:r>
              <w:t>TRO11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F07FB8">
            <w:r>
              <w:t>10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60A0D7">
            <w:r>
              <w:t>18</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0740A2">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47493D">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D18074">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39AD12">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B15797">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7A23B4">
            <w:r>
              <w:t>22</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B8A74D">
            <w: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F71900">
            <w:r>
              <w:t>12</w:t>
            </w:r>
          </w:p>
        </w:tc>
      </w:tr>
    </w:tbl>
    <w:p w14:paraId="3356FF78">
      <w:pPr>
        <w:ind w:firstLine="720"/>
        <w:rPr>
          <w:b/>
          <w:bCs/>
        </w:rPr>
      </w:pPr>
    </w:p>
    <w:p w14:paraId="2B9360FC">
      <w:r>
        <w:t xml:space="preserve">Key: </w:t>
      </w:r>
      <w:r>
        <w:rPr>
          <w:rFonts w:cs="Times New Roman"/>
          <w:szCs w:val="24"/>
        </w:rPr>
        <w:t xml:space="preserve"> Cefalexin (CN) 30µg, Spectinomycin (SP) 100µg, Ciprofloxacin (CPX) 5µg, Pefloxacin (PEF) 5µg, Ofloxacin (OFX) 5µg, Azithromycin (AZ) 15µg, Levofloxacin (LEV) 5µg, Cefalotin (CF) 30µg, Ampicillin (AM )10µg, Aureomycin (AU) 30µg</w:t>
      </w:r>
    </w:p>
    <w:p w14:paraId="4FFC5FFA">
      <w:pPr>
        <w:spacing w:line="480" w:lineRule="auto"/>
        <w:rPr>
          <w:rFonts w:cs="Times New Roman"/>
          <w:b/>
          <w:bCs/>
        </w:rPr>
      </w:pPr>
    </w:p>
    <w:p w14:paraId="1FFAD366">
      <w:pPr>
        <w:spacing w:line="480" w:lineRule="auto"/>
        <w:rPr>
          <w:rFonts w:cs="Times New Roman"/>
          <w:b/>
          <w:bCs/>
        </w:rPr>
      </w:pPr>
    </w:p>
    <w:tbl>
      <w:tblPr>
        <w:tblStyle w:val="15"/>
        <w:tblpPr w:leftFromText="180" w:rightFromText="180" w:vertAnchor="text" w:horzAnchor="margin" w:tblpXSpec="center" w:tblpY="865"/>
        <w:tblOverlap w:val="never"/>
        <w:tblW w:w="10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121"/>
        <w:gridCol w:w="1562"/>
        <w:gridCol w:w="1411"/>
        <w:gridCol w:w="2060"/>
        <w:gridCol w:w="2565"/>
      </w:tblGrid>
      <w:tr w14:paraId="5F70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vMerge w:val="restart"/>
          </w:tcPr>
          <w:p w14:paraId="748CBC7B">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SN</w:t>
            </w:r>
          </w:p>
        </w:tc>
        <w:tc>
          <w:tcPr>
            <w:tcW w:w="2121" w:type="dxa"/>
            <w:vMerge w:val="restart"/>
          </w:tcPr>
          <w:p w14:paraId="56279F03">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ISOLATE CODE</w:t>
            </w:r>
          </w:p>
        </w:tc>
        <w:tc>
          <w:tcPr>
            <w:tcW w:w="5033" w:type="dxa"/>
            <w:gridSpan w:val="3"/>
          </w:tcPr>
          <w:p w14:paraId="490C1852">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 xml:space="preserve">                     HAEMOLYSIS</w:t>
            </w:r>
          </w:p>
        </w:tc>
        <w:tc>
          <w:tcPr>
            <w:tcW w:w="2565" w:type="dxa"/>
            <w:vMerge w:val="restart"/>
          </w:tcPr>
          <w:p w14:paraId="700DE0A5">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BIOFILM</w:t>
            </w:r>
          </w:p>
        </w:tc>
      </w:tr>
      <w:tr w14:paraId="4D6F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vMerge w:val="continue"/>
          </w:tcPr>
          <w:p w14:paraId="6A689208">
            <w:pPr>
              <w:widowControl w:val="0"/>
              <w:spacing w:after="0" w:line="240" w:lineRule="auto"/>
              <w:rPr>
                <w:rFonts w:eastAsia="SimSun" w:cs="Times New Roman"/>
                <w:b/>
                <w:kern w:val="0"/>
                <w:sz w:val="20"/>
                <w:szCs w:val="20"/>
                <w14:ligatures w14:val="none"/>
              </w:rPr>
            </w:pPr>
          </w:p>
        </w:tc>
        <w:tc>
          <w:tcPr>
            <w:tcW w:w="2121" w:type="dxa"/>
            <w:vMerge w:val="continue"/>
          </w:tcPr>
          <w:p w14:paraId="48B72B33">
            <w:pPr>
              <w:widowControl w:val="0"/>
              <w:spacing w:after="0" w:line="240" w:lineRule="auto"/>
              <w:rPr>
                <w:rFonts w:eastAsia="SimSun" w:cs="Times New Roman"/>
                <w:b/>
                <w:kern w:val="0"/>
                <w:sz w:val="20"/>
                <w:szCs w:val="20"/>
                <w14:ligatures w14:val="none"/>
              </w:rPr>
            </w:pPr>
          </w:p>
        </w:tc>
        <w:tc>
          <w:tcPr>
            <w:tcW w:w="1562" w:type="dxa"/>
          </w:tcPr>
          <w:p w14:paraId="36012BC1">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ALPHA</w:t>
            </w:r>
          </w:p>
        </w:tc>
        <w:tc>
          <w:tcPr>
            <w:tcW w:w="1411" w:type="dxa"/>
          </w:tcPr>
          <w:p w14:paraId="65F857FD">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BETA</w:t>
            </w:r>
          </w:p>
        </w:tc>
        <w:tc>
          <w:tcPr>
            <w:tcW w:w="2060" w:type="dxa"/>
          </w:tcPr>
          <w:p w14:paraId="03546CB1">
            <w:pPr>
              <w:widowControl w:val="0"/>
              <w:spacing w:after="0" w:line="240" w:lineRule="auto"/>
              <w:rPr>
                <w:rFonts w:eastAsia="SimSun" w:cs="Times New Roman"/>
                <w:b/>
                <w:kern w:val="0"/>
                <w:sz w:val="20"/>
                <w:szCs w:val="20"/>
                <w14:ligatures w14:val="none"/>
              </w:rPr>
            </w:pPr>
            <w:r>
              <w:rPr>
                <w:rFonts w:eastAsia="SimSun" w:cs="Times New Roman"/>
                <w:b/>
                <w:kern w:val="0"/>
                <w:sz w:val="20"/>
                <w:szCs w:val="20"/>
                <w14:ligatures w14:val="none"/>
              </w:rPr>
              <w:t>GAMMA</w:t>
            </w:r>
          </w:p>
        </w:tc>
        <w:tc>
          <w:tcPr>
            <w:tcW w:w="2565" w:type="dxa"/>
            <w:vMerge w:val="continue"/>
          </w:tcPr>
          <w:p w14:paraId="58DA655E">
            <w:pPr>
              <w:widowControl w:val="0"/>
              <w:spacing w:after="0" w:line="240" w:lineRule="auto"/>
              <w:rPr>
                <w:rFonts w:eastAsia="SimSun" w:cs="Times New Roman"/>
                <w:b/>
                <w:kern w:val="0"/>
                <w:sz w:val="20"/>
                <w:szCs w:val="20"/>
                <w14:ligatures w14:val="none"/>
              </w:rPr>
            </w:pPr>
          </w:p>
        </w:tc>
      </w:tr>
      <w:tr w14:paraId="7067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4E8B721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w:t>
            </w:r>
          </w:p>
        </w:tc>
        <w:tc>
          <w:tcPr>
            <w:tcW w:w="2121" w:type="dxa"/>
          </w:tcPr>
          <w:p w14:paraId="56A3DC6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CAM1</w:t>
            </w:r>
          </w:p>
        </w:tc>
        <w:tc>
          <w:tcPr>
            <w:tcW w:w="1562" w:type="dxa"/>
          </w:tcPr>
          <w:p w14:paraId="674A45C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76413FA">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55F1D2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CED8DD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836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5149723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w:t>
            </w:r>
          </w:p>
        </w:tc>
        <w:tc>
          <w:tcPr>
            <w:tcW w:w="2121" w:type="dxa"/>
          </w:tcPr>
          <w:p w14:paraId="09AECDF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CAM2</w:t>
            </w:r>
          </w:p>
        </w:tc>
        <w:tc>
          <w:tcPr>
            <w:tcW w:w="1562" w:type="dxa"/>
          </w:tcPr>
          <w:p w14:paraId="12215D5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506CB2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0ACEE1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5535B38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BFC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1F01E30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w:t>
            </w:r>
          </w:p>
        </w:tc>
        <w:tc>
          <w:tcPr>
            <w:tcW w:w="2121" w:type="dxa"/>
          </w:tcPr>
          <w:p w14:paraId="26707A3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CAM3</w:t>
            </w:r>
          </w:p>
        </w:tc>
        <w:tc>
          <w:tcPr>
            <w:tcW w:w="1562" w:type="dxa"/>
          </w:tcPr>
          <w:p w14:paraId="440C3EB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4CE733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F27713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472FB34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253B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B95D1E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4</w:t>
            </w:r>
          </w:p>
        </w:tc>
        <w:tc>
          <w:tcPr>
            <w:tcW w:w="2121" w:type="dxa"/>
          </w:tcPr>
          <w:p w14:paraId="3DA2952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CAM4</w:t>
            </w:r>
          </w:p>
        </w:tc>
        <w:tc>
          <w:tcPr>
            <w:tcW w:w="1562" w:type="dxa"/>
          </w:tcPr>
          <w:p w14:paraId="214124A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B28F86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DCF904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2EDE67A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373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219A5E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5</w:t>
            </w:r>
          </w:p>
        </w:tc>
        <w:tc>
          <w:tcPr>
            <w:tcW w:w="2121" w:type="dxa"/>
          </w:tcPr>
          <w:p w14:paraId="5CFD6BC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CAM5</w:t>
            </w:r>
          </w:p>
        </w:tc>
        <w:tc>
          <w:tcPr>
            <w:tcW w:w="1562" w:type="dxa"/>
          </w:tcPr>
          <w:p w14:paraId="011D60D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F18782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8C794B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2BA2110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6BCC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96865E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6</w:t>
            </w:r>
          </w:p>
        </w:tc>
        <w:tc>
          <w:tcPr>
            <w:tcW w:w="2121" w:type="dxa"/>
          </w:tcPr>
          <w:p w14:paraId="051AE61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CAM6</w:t>
            </w:r>
          </w:p>
        </w:tc>
        <w:tc>
          <w:tcPr>
            <w:tcW w:w="1562" w:type="dxa"/>
          </w:tcPr>
          <w:p w14:paraId="73FA455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634308E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DB947C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803908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09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231D698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7</w:t>
            </w:r>
          </w:p>
        </w:tc>
        <w:tc>
          <w:tcPr>
            <w:tcW w:w="2121" w:type="dxa"/>
          </w:tcPr>
          <w:p w14:paraId="3A65540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CAM7</w:t>
            </w:r>
          </w:p>
        </w:tc>
        <w:tc>
          <w:tcPr>
            <w:tcW w:w="1562" w:type="dxa"/>
          </w:tcPr>
          <w:p w14:paraId="5C54718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E94D0C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E19BEE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5CBE6E2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271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C91757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8</w:t>
            </w:r>
          </w:p>
        </w:tc>
        <w:tc>
          <w:tcPr>
            <w:tcW w:w="2121" w:type="dxa"/>
          </w:tcPr>
          <w:p w14:paraId="43534AD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CHI1</w:t>
            </w:r>
          </w:p>
        </w:tc>
        <w:tc>
          <w:tcPr>
            <w:tcW w:w="1562" w:type="dxa"/>
          </w:tcPr>
          <w:p w14:paraId="6D6BDFD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E76457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A53DFD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7EBF0D6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5B74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451EA1B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9</w:t>
            </w:r>
          </w:p>
        </w:tc>
        <w:tc>
          <w:tcPr>
            <w:tcW w:w="2121" w:type="dxa"/>
          </w:tcPr>
          <w:p w14:paraId="432FC38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CHI2</w:t>
            </w:r>
          </w:p>
        </w:tc>
        <w:tc>
          <w:tcPr>
            <w:tcW w:w="1562" w:type="dxa"/>
          </w:tcPr>
          <w:p w14:paraId="1A6BEF4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39C822B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DE93DE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07F84B7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D88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2C75479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10</w:t>
            </w:r>
          </w:p>
        </w:tc>
        <w:tc>
          <w:tcPr>
            <w:tcW w:w="2121" w:type="dxa"/>
          </w:tcPr>
          <w:p w14:paraId="2A4968A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CHI3</w:t>
            </w:r>
          </w:p>
        </w:tc>
        <w:tc>
          <w:tcPr>
            <w:tcW w:w="1562" w:type="dxa"/>
          </w:tcPr>
          <w:p w14:paraId="5D40392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3DDD51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0442B6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024288D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CD0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6C0CE2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11</w:t>
            </w:r>
          </w:p>
        </w:tc>
        <w:tc>
          <w:tcPr>
            <w:tcW w:w="2121" w:type="dxa"/>
          </w:tcPr>
          <w:p w14:paraId="5DB0A23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CHI4</w:t>
            </w:r>
          </w:p>
        </w:tc>
        <w:tc>
          <w:tcPr>
            <w:tcW w:w="1562" w:type="dxa"/>
          </w:tcPr>
          <w:p w14:paraId="5C4B730A">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58931C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0B4795C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5448ED9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1E1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401AD6B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12</w:t>
            </w:r>
          </w:p>
        </w:tc>
        <w:tc>
          <w:tcPr>
            <w:tcW w:w="2121" w:type="dxa"/>
          </w:tcPr>
          <w:p w14:paraId="60AC406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LAN1</w:t>
            </w:r>
          </w:p>
        </w:tc>
        <w:tc>
          <w:tcPr>
            <w:tcW w:w="1562" w:type="dxa"/>
          </w:tcPr>
          <w:p w14:paraId="4B2FE7B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7DA379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5992A3D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9A3899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73E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DBE102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13</w:t>
            </w:r>
          </w:p>
        </w:tc>
        <w:tc>
          <w:tcPr>
            <w:tcW w:w="2121" w:type="dxa"/>
          </w:tcPr>
          <w:p w14:paraId="4F7D927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LAN2</w:t>
            </w:r>
          </w:p>
        </w:tc>
        <w:tc>
          <w:tcPr>
            <w:tcW w:w="1562" w:type="dxa"/>
          </w:tcPr>
          <w:p w14:paraId="1F6895D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A49B5F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8D7BD6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789A9A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F83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49B5ACA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14</w:t>
            </w:r>
          </w:p>
        </w:tc>
        <w:tc>
          <w:tcPr>
            <w:tcW w:w="2121" w:type="dxa"/>
          </w:tcPr>
          <w:p w14:paraId="59ACF26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LAN3</w:t>
            </w:r>
          </w:p>
        </w:tc>
        <w:tc>
          <w:tcPr>
            <w:tcW w:w="1562" w:type="dxa"/>
          </w:tcPr>
          <w:p w14:paraId="5ADC700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5C273C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FDFFB0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EADE05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DE0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25ADD66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15</w:t>
            </w:r>
          </w:p>
        </w:tc>
        <w:tc>
          <w:tcPr>
            <w:tcW w:w="2121" w:type="dxa"/>
          </w:tcPr>
          <w:p w14:paraId="190626B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LAN4</w:t>
            </w:r>
          </w:p>
        </w:tc>
        <w:tc>
          <w:tcPr>
            <w:tcW w:w="1562" w:type="dxa"/>
          </w:tcPr>
          <w:p w14:paraId="1C07643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629D4F6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47FB003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034374B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A9F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46C4CEC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16</w:t>
            </w:r>
          </w:p>
        </w:tc>
        <w:tc>
          <w:tcPr>
            <w:tcW w:w="2121" w:type="dxa"/>
          </w:tcPr>
          <w:p w14:paraId="073DD04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LAN5</w:t>
            </w:r>
          </w:p>
        </w:tc>
        <w:tc>
          <w:tcPr>
            <w:tcW w:w="1562" w:type="dxa"/>
          </w:tcPr>
          <w:p w14:paraId="696C3D2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78723F8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51FC19C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4F74B06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BFC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20BA88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17</w:t>
            </w:r>
          </w:p>
        </w:tc>
        <w:tc>
          <w:tcPr>
            <w:tcW w:w="2121" w:type="dxa"/>
          </w:tcPr>
          <w:p w14:paraId="444E2F3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LAN6</w:t>
            </w:r>
          </w:p>
        </w:tc>
        <w:tc>
          <w:tcPr>
            <w:tcW w:w="1562" w:type="dxa"/>
          </w:tcPr>
          <w:p w14:paraId="0675625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6049660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ADC525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714FC31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215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3FFC6FD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18</w:t>
            </w:r>
          </w:p>
        </w:tc>
        <w:tc>
          <w:tcPr>
            <w:tcW w:w="2121" w:type="dxa"/>
          </w:tcPr>
          <w:p w14:paraId="525C194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LAN7</w:t>
            </w:r>
          </w:p>
        </w:tc>
        <w:tc>
          <w:tcPr>
            <w:tcW w:w="1562" w:type="dxa"/>
          </w:tcPr>
          <w:p w14:paraId="3243524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5BB917B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66CF5C6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3C180F71">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341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29937A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19</w:t>
            </w:r>
          </w:p>
        </w:tc>
        <w:tc>
          <w:tcPr>
            <w:tcW w:w="2121" w:type="dxa"/>
          </w:tcPr>
          <w:p w14:paraId="4AF9052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TRO1</w:t>
            </w:r>
          </w:p>
        </w:tc>
        <w:tc>
          <w:tcPr>
            <w:tcW w:w="1562" w:type="dxa"/>
          </w:tcPr>
          <w:p w14:paraId="4E482AF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41A6257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DF751B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3406C86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3EB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10F31D8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20</w:t>
            </w:r>
          </w:p>
        </w:tc>
        <w:tc>
          <w:tcPr>
            <w:tcW w:w="2121" w:type="dxa"/>
          </w:tcPr>
          <w:p w14:paraId="59C0D52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TRO2</w:t>
            </w:r>
          </w:p>
        </w:tc>
        <w:tc>
          <w:tcPr>
            <w:tcW w:w="1562" w:type="dxa"/>
          </w:tcPr>
          <w:p w14:paraId="55BF305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2AE18E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0BFF131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538C2EC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167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32C8419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21</w:t>
            </w:r>
          </w:p>
        </w:tc>
        <w:tc>
          <w:tcPr>
            <w:tcW w:w="2121" w:type="dxa"/>
          </w:tcPr>
          <w:p w14:paraId="4788CF9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TRO3</w:t>
            </w:r>
          </w:p>
        </w:tc>
        <w:tc>
          <w:tcPr>
            <w:tcW w:w="1562" w:type="dxa"/>
          </w:tcPr>
          <w:p w14:paraId="669195B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7A2AA6C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514E5F0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469FF43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67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B83B7D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22</w:t>
            </w:r>
          </w:p>
        </w:tc>
        <w:tc>
          <w:tcPr>
            <w:tcW w:w="2121" w:type="dxa"/>
          </w:tcPr>
          <w:p w14:paraId="572FDD6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TRO4</w:t>
            </w:r>
          </w:p>
        </w:tc>
        <w:tc>
          <w:tcPr>
            <w:tcW w:w="1562" w:type="dxa"/>
          </w:tcPr>
          <w:p w14:paraId="624D0C1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40D5F73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6B7AEF6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63EE8C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6B38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25864BC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23</w:t>
            </w:r>
          </w:p>
        </w:tc>
        <w:tc>
          <w:tcPr>
            <w:tcW w:w="2121" w:type="dxa"/>
          </w:tcPr>
          <w:p w14:paraId="2C171D9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TRO5</w:t>
            </w:r>
          </w:p>
        </w:tc>
        <w:tc>
          <w:tcPr>
            <w:tcW w:w="1562" w:type="dxa"/>
          </w:tcPr>
          <w:p w14:paraId="0DD6F81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AF8096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688CC09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7AC4CEA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1A89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332964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24</w:t>
            </w:r>
          </w:p>
        </w:tc>
        <w:tc>
          <w:tcPr>
            <w:tcW w:w="2121" w:type="dxa"/>
          </w:tcPr>
          <w:p w14:paraId="76BCACC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TRO6</w:t>
            </w:r>
          </w:p>
        </w:tc>
        <w:tc>
          <w:tcPr>
            <w:tcW w:w="1562" w:type="dxa"/>
          </w:tcPr>
          <w:p w14:paraId="3F3C95D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124E6E8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65F39ED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4E22725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5C2D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3671C27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25</w:t>
            </w:r>
          </w:p>
        </w:tc>
        <w:tc>
          <w:tcPr>
            <w:tcW w:w="2121" w:type="dxa"/>
          </w:tcPr>
          <w:p w14:paraId="453EA8F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TRO7</w:t>
            </w:r>
          </w:p>
        </w:tc>
        <w:tc>
          <w:tcPr>
            <w:tcW w:w="1562" w:type="dxa"/>
          </w:tcPr>
          <w:p w14:paraId="0FE52C7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65E7295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02AE31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38562745">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6A7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5200B26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26</w:t>
            </w:r>
          </w:p>
        </w:tc>
        <w:tc>
          <w:tcPr>
            <w:tcW w:w="2121" w:type="dxa"/>
          </w:tcPr>
          <w:p w14:paraId="7FC8F96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TRO8</w:t>
            </w:r>
          </w:p>
        </w:tc>
        <w:tc>
          <w:tcPr>
            <w:tcW w:w="1562" w:type="dxa"/>
          </w:tcPr>
          <w:p w14:paraId="5C14B20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0FF30B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8FD3C8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260771D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C95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520AD63A">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27</w:t>
            </w:r>
          </w:p>
        </w:tc>
        <w:tc>
          <w:tcPr>
            <w:tcW w:w="2121" w:type="dxa"/>
          </w:tcPr>
          <w:p w14:paraId="04C94D6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TRO9</w:t>
            </w:r>
          </w:p>
        </w:tc>
        <w:tc>
          <w:tcPr>
            <w:tcW w:w="1562" w:type="dxa"/>
          </w:tcPr>
          <w:p w14:paraId="39AB5C8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7E0AA24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8FF7C5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7C510E0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4ED4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14A5603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28</w:t>
            </w:r>
          </w:p>
        </w:tc>
        <w:tc>
          <w:tcPr>
            <w:tcW w:w="2121" w:type="dxa"/>
          </w:tcPr>
          <w:p w14:paraId="2768E0A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TRO10</w:t>
            </w:r>
          </w:p>
        </w:tc>
        <w:tc>
          <w:tcPr>
            <w:tcW w:w="1562" w:type="dxa"/>
          </w:tcPr>
          <w:p w14:paraId="7D7FCCE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AE55A8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3BCF540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BD82A2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9D5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567BEC0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29</w:t>
            </w:r>
          </w:p>
        </w:tc>
        <w:tc>
          <w:tcPr>
            <w:tcW w:w="2121" w:type="dxa"/>
          </w:tcPr>
          <w:p w14:paraId="6B1A966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TRO11</w:t>
            </w:r>
          </w:p>
        </w:tc>
        <w:tc>
          <w:tcPr>
            <w:tcW w:w="1562" w:type="dxa"/>
          </w:tcPr>
          <w:p w14:paraId="76086FF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3CBC377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BA896E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2DB1675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5D86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5DDC6A0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30</w:t>
            </w:r>
          </w:p>
        </w:tc>
        <w:tc>
          <w:tcPr>
            <w:tcW w:w="2121" w:type="dxa"/>
          </w:tcPr>
          <w:p w14:paraId="6BDD06E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ONU1</w:t>
            </w:r>
          </w:p>
        </w:tc>
        <w:tc>
          <w:tcPr>
            <w:tcW w:w="1562" w:type="dxa"/>
          </w:tcPr>
          <w:p w14:paraId="195FB79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8141C9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069A825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7085F14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3E9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00D8CF6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31</w:t>
            </w:r>
          </w:p>
        </w:tc>
        <w:tc>
          <w:tcPr>
            <w:tcW w:w="2121" w:type="dxa"/>
          </w:tcPr>
          <w:p w14:paraId="1898D28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ONU2</w:t>
            </w:r>
          </w:p>
        </w:tc>
        <w:tc>
          <w:tcPr>
            <w:tcW w:w="1562" w:type="dxa"/>
          </w:tcPr>
          <w:p w14:paraId="39D2069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4952FFD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102DD9B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4A06DA1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5C56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2B42A7E3">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32</w:t>
            </w:r>
          </w:p>
        </w:tc>
        <w:tc>
          <w:tcPr>
            <w:tcW w:w="2121" w:type="dxa"/>
          </w:tcPr>
          <w:p w14:paraId="372F787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ONU3</w:t>
            </w:r>
          </w:p>
        </w:tc>
        <w:tc>
          <w:tcPr>
            <w:tcW w:w="1562" w:type="dxa"/>
          </w:tcPr>
          <w:p w14:paraId="332C841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4DD4DFB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A975C7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BC47F5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3C18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7F55ADD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33</w:t>
            </w:r>
          </w:p>
        </w:tc>
        <w:tc>
          <w:tcPr>
            <w:tcW w:w="2121" w:type="dxa"/>
          </w:tcPr>
          <w:p w14:paraId="14FB5AE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FES1</w:t>
            </w:r>
          </w:p>
        </w:tc>
        <w:tc>
          <w:tcPr>
            <w:tcW w:w="1562" w:type="dxa"/>
          </w:tcPr>
          <w:p w14:paraId="09DA967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21CA876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1B95B2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6EEAADB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362B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1278035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34</w:t>
            </w:r>
          </w:p>
        </w:tc>
        <w:tc>
          <w:tcPr>
            <w:tcW w:w="2121" w:type="dxa"/>
          </w:tcPr>
          <w:p w14:paraId="2125C02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FES2</w:t>
            </w:r>
          </w:p>
        </w:tc>
        <w:tc>
          <w:tcPr>
            <w:tcW w:w="1562" w:type="dxa"/>
          </w:tcPr>
          <w:p w14:paraId="404A83C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05AEEFD8">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2333F6E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B94CA8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28A3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tcPr>
          <w:p w14:paraId="340EF4F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35</w:t>
            </w:r>
          </w:p>
        </w:tc>
        <w:tc>
          <w:tcPr>
            <w:tcW w:w="2121" w:type="dxa"/>
          </w:tcPr>
          <w:p w14:paraId="3CD97ED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FES3</w:t>
            </w:r>
          </w:p>
        </w:tc>
        <w:tc>
          <w:tcPr>
            <w:tcW w:w="1562" w:type="dxa"/>
          </w:tcPr>
          <w:p w14:paraId="7EE35A9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731728F2">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5A8AC0E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816400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6C72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026" w:type="dxa"/>
          </w:tcPr>
          <w:p w14:paraId="2EA413AA">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36</w:t>
            </w:r>
          </w:p>
        </w:tc>
        <w:tc>
          <w:tcPr>
            <w:tcW w:w="2121" w:type="dxa"/>
          </w:tcPr>
          <w:p w14:paraId="6793240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FES4</w:t>
            </w:r>
          </w:p>
        </w:tc>
        <w:tc>
          <w:tcPr>
            <w:tcW w:w="1562" w:type="dxa"/>
          </w:tcPr>
          <w:p w14:paraId="12DA982F">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1411" w:type="dxa"/>
          </w:tcPr>
          <w:p w14:paraId="670D02E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060" w:type="dxa"/>
          </w:tcPr>
          <w:p w14:paraId="79359B8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c>
          <w:tcPr>
            <w:tcW w:w="2565" w:type="dxa"/>
          </w:tcPr>
          <w:p w14:paraId="189D7A8B">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w:t>
            </w:r>
          </w:p>
        </w:tc>
      </w:tr>
      <w:tr w14:paraId="08B8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026" w:type="dxa"/>
          </w:tcPr>
          <w:p w14:paraId="0EECE271">
            <w:pPr>
              <w:widowControl w:val="0"/>
              <w:spacing w:after="0" w:line="240" w:lineRule="auto"/>
              <w:rPr>
                <w:rFonts w:eastAsia="SimSun" w:cs="Times New Roman"/>
                <w:kern w:val="0"/>
                <w:sz w:val="20"/>
                <w:szCs w:val="20"/>
                <w14:ligatures w14:val="none"/>
              </w:rPr>
            </w:pPr>
          </w:p>
        </w:tc>
        <w:tc>
          <w:tcPr>
            <w:tcW w:w="2121" w:type="dxa"/>
          </w:tcPr>
          <w:p w14:paraId="30B7B509">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 Positive</w:t>
            </w:r>
          </w:p>
        </w:tc>
        <w:tc>
          <w:tcPr>
            <w:tcW w:w="1562" w:type="dxa"/>
          </w:tcPr>
          <w:p w14:paraId="12A8E5A7">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30.5%</w:t>
            </w:r>
          </w:p>
        </w:tc>
        <w:tc>
          <w:tcPr>
            <w:tcW w:w="1411" w:type="dxa"/>
          </w:tcPr>
          <w:p w14:paraId="747EE0CD">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30.5%</w:t>
            </w:r>
          </w:p>
        </w:tc>
        <w:tc>
          <w:tcPr>
            <w:tcW w:w="2060" w:type="dxa"/>
          </w:tcPr>
          <w:p w14:paraId="42830DF6">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38.8%</w:t>
            </w:r>
          </w:p>
        </w:tc>
        <w:tc>
          <w:tcPr>
            <w:tcW w:w="2565" w:type="dxa"/>
          </w:tcPr>
          <w:p w14:paraId="38BB6904">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16.6%</w:t>
            </w:r>
          </w:p>
        </w:tc>
      </w:tr>
      <w:tr w14:paraId="69BC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026" w:type="dxa"/>
          </w:tcPr>
          <w:p w14:paraId="28FA11FC">
            <w:pPr>
              <w:widowControl w:val="0"/>
              <w:spacing w:after="0" w:line="240" w:lineRule="auto"/>
              <w:rPr>
                <w:rFonts w:eastAsia="SimSun" w:cs="Times New Roman"/>
                <w:kern w:val="0"/>
                <w:sz w:val="20"/>
                <w:szCs w:val="20"/>
                <w14:ligatures w14:val="none"/>
              </w:rPr>
            </w:pPr>
          </w:p>
        </w:tc>
        <w:tc>
          <w:tcPr>
            <w:tcW w:w="2121" w:type="dxa"/>
          </w:tcPr>
          <w:p w14:paraId="1C90C12C">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 Negative</w:t>
            </w:r>
          </w:p>
        </w:tc>
        <w:tc>
          <w:tcPr>
            <w:tcW w:w="1562" w:type="dxa"/>
          </w:tcPr>
          <w:p w14:paraId="784F798A">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69.5%</w:t>
            </w:r>
          </w:p>
        </w:tc>
        <w:tc>
          <w:tcPr>
            <w:tcW w:w="1411" w:type="dxa"/>
          </w:tcPr>
          <w:p w14:paraId="1BF6AB0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30.5%</w:t>
            </w:r>
          </w:p>
        </w:tc>
        <w:tc>
          <w:tcPr>
            <w:tcW w:w="2060" w:type="dxa"/>
          </w:tcPr>
          <w:p w14:paraId="610CFEBE">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61.2%</w:t>
            </w:r>
          </w:p>
        </w:tc>
        <w:tc>
          <w:tcPr>
            <w:tcW w:w="2565" w:type="dxa"/>
          </w:tcPr>
          <w:p w14:paraId="4A95A3E0">
            <w:pPr>
              <w:widowControl w:val="0"/>
              <w:spacing w:after="0" w:line="240" w:lineRule="auto"/>
              <w:rPr>
                <w:rFonts w:eastAsia="SimSun" w:cs="Times New Roman"/>
                <w:kern w:val="0"/>
                <w:sz w:val="20"/>
                <w:szCs w:val="20"/>
                <w14:ligatures w14:val="none"/>
              </w:rPr>
            </w:pPr>
            <w:r>
              <w:rPr>
                <w:rFonts w:eastAsia="SimSun" w:cs="Times New Roman"/>
                <w:kern w:val="0"/>
                <w:sz w:val="20"/>
                <w:szCs w:val="20"/>
                <w14:ligatures w14:val="none"/>
              </w:rPr>
              <w:t>83.4%</w:t>
            </w:r>
          </w:p>
        </w:tc>
      </w:tr>
    </w:tbl>
    <w:p w14:paraId="07768953">
      <w:pPr>
        <w:rPr>
          <w:b/>
          <w:bCs/>
        </w:rPr>
      </w:pPr>
      <w:r>
        <w:rPr>
          <w:b/>
          <w:bCs/>
        </w:rPr>
        <w:t xml:space="preserve">Table 11 </w:t>
      </w:r>
      <w:bookmarkStart w:id="16" w:name="_Hlk171544962"/>
      <w:r>
        <w:rPr>
          <w:b/>
          <w:bCs/>
        </w:rPr>
        <w:t>BIOFILM FORMATION AND HAEMOLYTIC CHARACTERISTICS OF BACTRERIA ISOLATES FROM WATER SAMPLES STUDIED</w:t>
      </w:r>
      <w:bookmarkEnd w:id="16"/>
    </w:p>
    <w:p w14:paraId="697EEDB9">
      <w:pPr>
        <w:rPr>
          <w:b/>
          <w:bCs/>
        </w:rPr>
      </w:pPr>
      <w:bookmarkStart w:id="17" w:name="_Toc24807"/>
      <w:r>
        <w:rPr>
          <w:rFonts w:cs="Times New Roman"/>
          <w:b/>
          <w:bCs/>
          <w:szCs w:val="24"/>
        </w:rPr>
        <w:t>Table 12 ISOLATES</w:t>
      </w:r>
      <w:r>
        <w:rPr>
          <w:b/>
          <w:bCs/>
        </w:rPr>
        <w:t xml:space="preserve"> POSITIVE TO ALPHA HAEMOLYSIS AND THEIR BIOFILM TEST RESULTS</w:t>
      </w:r>
      <w:bookmarkEnd w:id="17"/>
    </w:p>
    <w:p w14:paraId="4572B15E">
      <w:pPr>
        <w:ind w:left="720" w:firstLine="720"/>
        <w:rPr>
          <w: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169"/>
        <w:gridCol w:w="2876"/>
        <w:gridCol w:w="2839"/>
      </w:tblGrid>
      <w:tr w14:paraId="6F62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32" w:type="dxa"/>
          </w:tcPr>
          <w:p w14:paraId="5C0B30D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SN</w:t>
            </w:r>
          </w:p>
        </w:tc>
        <w:tc>
          <w:tcPr>
            <w:tcW w:w="2169" w:type="dxa"/>
          </w:tcPr>
          <w:p w14:paraId="345DDC8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ISOLATE CODE</w:t>
            </w:r>
          </w:p>
        </w:tc>
        <w:tc>
          <w:tcPr>
            <w:tcW w:w="2876" w:type="dxa"/>
          </w:tcPr>
          <w:p w14:paraId="0FE236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HAEMOLYSIS</w:t>
            </w:r>
          </w:p>
        </w:tc>
        <w:tc>
          <w:tcPr>
            <w:tcW w:w="2839" w:type="dxa"/>
          </w:tcPr>
          <w:p w14:paraId="744753B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BIOFILM</w:t>
            </w:r>
          </w:p>
        </w:tc>
      </w:tr>
      <w:tr w14:paraId="5646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34CCE07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w:t>
            </w:r>
          </w:p>
        </w:tc>
        <w:tc>
          <w:tcPr>
            <w:tcW w:w="2169" w:type="dxa"/>
          </w:tcPr>
          <w:p w14:paraId="32CBD3E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CAM5</w:t>
            </w:r>
          </w:p>
        </w:tc>
        <w:tc>
          <w:tcPr>
            <w:tcW w:w="2876" w:type="dxa"/>
          </w:tcPr>
          <w:p w14:paraId="508C1D6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2A4FE66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49AC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59E43CE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w:t>
            </w:r>
          </w:p>
        </w:tc>
        <w:tc>
          <w:tcPr>
            <w:tcW w:w="2169" w:type="dxa"/>
          </w:tcPr>
          <w:p w14:paraId="2400A89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LAN4</w:t>
            </w:r>
          </w:p>
        </w:tc>
        <w:tc>
          <w:tcPr>
            <w:tcW w:w="2876" w:type="dxa"/>
          </w:tcPr>
          <w:p w14:paraId="485026F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45F456A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073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71B160E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3</w:t>
            </w:r>
          </w:p>
        </w:tc>
        <w:tc>
          <w:tcPr>
            <w:tcW w:w="2169" w:type="dxa"/>
          </w:tcPr>
          <w:p w14:paraId="3CDEE45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TRO1</w:t>
            </w:r>
          </w:p>
        </w:tc>
        <w:tc>
          <w:tcPr>
            <w:tcW w:w="2876" w:type="dxa"/>
          </w:tcPr>
          <w:p w14:paraId="4DEBC66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69268E7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6537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5BF6BE0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4</w:t>
            </w:r>
          </w:p>
        </w:tc>
        <w:tc>
          <w:tcPr>
            <w:tcW w:w="2169" w:type="dxa"/>
          </w:tcPr>
          <w:p w14:paraId="23E5070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TRO2</w:t>
            </w:r>
          </w:p>
        </w:tc>
        <w:tc>
          <w:tcPr>
            <w:tcW w:w="2876" w:type="dxa"/>
          </w:tcPr>
          <w:p w14:paraId="244C8F3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281FC0E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15BA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2E40381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5</w:t>
            </w:r>
          </w:p>
        </w:tc>
        <w:tc>
          <w:tcPr>
            <w:tcW w:w="2169" w:type="dxa"/>
          </w:tcPr>
          <w:p w14:paraId="70B3CE6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TRO4</w:t>
            </w:r>
          </w:p>
        </w:tc>
        <w:tc>
          <w:tcPr>
            <w:tcW w:w="2876" w:type="dxa"/>
          </w:tcPr>
          <w:p w14:paraId="3D02F4C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3576482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5559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30E4B3A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2169" w:type="dxa"/>
          </w:tcPr>
          <w:p w14:paraId="50CD5B6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TRO5</w:t>
            </w:r>
          </w:p>
        </w:tc>
        <w:tc>
          <w:tcPr>
            <w:tcW w:w="2876" w:type="dxa"/>
          </w:tcPr>
          <w:p w14:paraId="71390FD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352130C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0417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77F815A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7</w:t>
            </w:r>
          </w:p>
        </w:tc>
        <w:tc>
          <w:tcPr>
            <w:tcW w:w="2169" w:type="dxa"/>
          </w:tcPr>
          <w:p w14:paraId="036410A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TRO6</w:t>
            </w:r>
          </w:p>
        </w:tc>
        <w:tc>
          <w:tcPr>
            <w:tcW w:w="2876" w:type="dxa"/>
          </w:tcPr>
          <w:p w14:paraId="30DE72F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60ED20F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5941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063F82D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2169" w:type="dxa"/>
          </w:tcPr>
          <w:p w14:paraId="4D8A590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TRO8</w:t>
            </w:r>
          </w:p>
        </w:tc>
        <w:tc>
          <w:tcPr>
            <w:tcW w:w="2876" w:type="dxa"/>
          </w:tcPr>
          <w:p w14:paraId="4F8637D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6B19D65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74A7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30F43B2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2169" w:type="dxa"/>
          </w:tcPr>
          <w:p w14:paraId="248D6D1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TRO9</w:t>
            </w:r>
          </w:p>
        </w:tc>
        <w:tc>
          <w:tcPr>
            <w:tcW w:w="2876" w:type="dxa"/>
          </w:tcPr>
          <w:p w14:paraId="609F71E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5FE1CDF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1650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2" w:type="dxa"/>
          </w:tcPr>
          <w:p w14:paraId="4E61225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2169" w:type="dxa"/>
          </w:tcPr>
          <w:p w14:paraId="7F7079A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ONU1</w:t>
            </w:r>
          </w:p>
        </w:tc>
        <w:tc>
          <w:tcPr>
            <w:tcW w:w="2876" w:type="dxa"/>
          </w:tcPr>
          <w:p w14:paraId="18F76E5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6750802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2B0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32" w:type="dxa"/>
          </w:tcPr>
          <w:p w14:paraId="230963B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11</w:t>
            </w:r>
          </w:p>
        </w:tc>
        <w:tc>
          <w:tcPr>
            <w:tcW w:w="2169" w:type="dxa"/>
          </w:tcPr>
          <w:p w14:paraId="3A43192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FES3</w:t>
            </w:r>
          </w:p>
        </w:tc>
        <w:tc>
          <w:tcPr>
            <w:tcW w:w="2876" w:type="dxa"/>
          </w:tcPr>
          <w:p w14:paraId="3B27E2E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A</w:t>
            </w:r>
          </w:p>
        </w:tc>
        <w:tc>
          <w:tcPr>
            <w:tcW w:w="2839" w:type="dxa"/>
          </w:tcPr>
          <w:p w14:paraId="0439731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bl>
    <w:p w14:paraId="6FC80FB1">
      <w:pPr>
        <w:tabs>
          <w:tab w:val="left" w:pos="1770"/>
        </w:tabs>
        <w:rPr>
          <w:rFonts w:cs="Times New Roman"/>
          <w:b/>
          <w:bCs/>
        </w:rPr>
        <w:sectPr>
          <w:pgSz w:w="12240" w:h="15840"/>
          <w:pgMar w:top="1440" w:right="1440" w:bottom="1440" w:left="1440" w:header="708" w:footer="2880" w:gutter="0"/>
          <w:cols w:space="708" w:num="1"/>
          <w:docGrid w:linePitch="360" w:charSpace="0"/>
        </w:sectPr>
      </w:pPr>
      <w:r>
        <w:tab/>
      </w:r>
    </w:p>
    <w:p w14:paraId="156FB61C">
      <w:pPr>
        <w:rPr>
          <w:b/>
          <w:bCs/>
        </w:rPr>
      </w:pPr>
      <w:bookmarkStart w:id="18" w:name="_Toc19859"/>
      <w:r>
        <w:rPr>
          <w:rFonts w:cs="Times New Roman"/>
          <w:b/>
          <w:bCs/>
          <w:szCs w:val="24"/>
        </w:rPr>
        <w:t xml:space="preserve">Table 13 </w:t>
      </w:r>
      <w:r>
        <w:rPr>
          <w:b/>
          <w:bCs/>
        </w:rPr>
        <w:t>ISOLATES POSITIVE TO BETA HAEMOLYSIS AND THEIR BIOFILM TEST RESULTS</w:t>
      </w:r>
      <w:bookmarkEnd w:id="18"/>
    </w:p>
    <w:p w14:paraId="79AA1AA6">
      <w:pPr>
        <w:rPr>
          <w: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629"/>
        <w:gridCol w:w="2133"/>
        <w:gridCol w:w="2133"/>
      </w:tblGrid>
      <w:tr w14:paraId="5131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0DCD4147">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SN</w:t>
            </w:r>
          </w:p>
        </w:tc>
        <w:tc>
          <w:tcPr>
            <w:tcW w:w="1629" w:type="dxa"/>
          </w:tcPr>
          <w:p w14:paraId="164DF4B9">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ISOLATE CODE</w:t>
            </w:r>
          </w:p>
        </w:tc>
        <w:tc>
          <w:tcPr>
            <w:tcW w:w="2133" w:type="dxa"/>
          </w:tcPr>
          <w:p w14:paraId="47B20BF6">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 xml:space="preserve">               HAEMOLYSIS</w:t>
            </w:r>
          </w:p>
        </w:tc>
        <w:tc>
          <w:tcPr>
            <w:tcW w:w="2133" w:type="dxa"/>
          </w:tcPr>
          <w:p w14:paraId="1481C366">
            <w:pPr>
              <w:widowControl w:val="0"/>
              <w:spacing w:after="0" w:line="240" w:lineRule="auto"/>
              <w:rPr>
                <w:rFonts w:eastAsia="SimSun" w:cs="Times New Roman"/>
                <w:b/>
                <w:kern w:val="0"/>
                <w:szCs w:val="20"/>
                <w14:ligatures w14:val="none"/>
              </w:rPr>
            </w:pPr>
            <w:r>
              <w:rPr>
                <w:rFonts w:eastAsia="SimSun" w:cs="Times New Roman"/>
                <w:b/>
                <w:kern w:val="0"/>
                <w:szCs w:val="20"/>
                <w14:ligatures w14:val="none"/>
              </w:rPr>
              <w:t xml:space="preserve">                   BIOFILM</w:t>
            </w:r>
          </w:p>
        </w:tc>
      </w:tr>
      <w:tr w14:paraId="1456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7E258A3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w:t>
            </w:r>
          </w:p>
        </w:tc>
        <w:tc>
          <w:tcPr>
            <w:tcW w:w="1629" w:type="dxa"/>
          </w:tcPr>
          <w:p w14:paraId="0135565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CAM3</w:t>
            </w:r>
          </w:p>
        </w:tc>
        <w:tc>
          <w:tcPr>
            <w:tcW w:w="2133" w:type="dxa"/>
          </w:tcPr>
          <w:p w14:paraId="763D73E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2E948F9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300E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43D0094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2</w:t>
            </w:r>
          </w:p>
        </w:tc>
        <w:tc>
          <w:tcPr>
            <w:tcW w:w="1629" w:type="dxa"/>
          </w:tcPr>
          <w:p w14:paraId="1F01C35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CHI1</w:t>
            </w:r>
          </w:p>
        </w:tc>
        <w:tc>
          <w:tcPr>
            <w:tcW w:w="2133" w:type="dxa"/>
          </w:tcPr>
          <w:p w14:paraId="21AF977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6852157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654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4804A12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3</w:t>
            </w:r>
          </w:p>
        </w:tc>
        <w:tc>
          <w:tcPr>
            <w:tcW w:w="1629" w:type="dxa"/>
          </w:tcPr>
          <w:p w14:paraId="74A6827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CHI4</w:t>
            </w:r>
          </w:p>
        </w:tc>
        <w:tc>
          <w:tcPr>
            <w:tcW w:w="2133" w:type="dxa"/>
          </w:tcPr>
          <w:p w14:paraId="32E73B3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6BD8555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29B6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7F506C9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4</w:t>
            </w:r>
          </w:p>
        </w:tc>
        <w:tc>
          <w:tcPr>
            <w:tcW w:w="1629" w:type="dxa"/>
          </w:tcPr>
          <w:p w14:paraId="4B621C4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TRO3</w:t>
            </w:r>
          </w:p>
        </w:tc>
        <w:tc>
          <w:tcPr>
            <w:tcW w:w="2133" w:type="dxa"/>
          </w:tcPr>
          <w:p w14:paraId="0DE34708">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6328A7B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13A7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6C5FD0E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5</w:t>
            </w:r>
          </w:p>
        </w:tc>
        <w:tc>
          <w:tcPr>
            <w:tcW w:w="1629" w:type="dxa"/>
          </w:tcPr>
          <w:p w14:paraId="32DED85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TRO7</w:t>
            </w:r>
          </w:p>
        </w:tc>
        <w:tc>
          <w:tcPr>
            <w:tcW w:w="2133" w:type="dxa"/>
          </w:tcPr>
          <w:p w14:paraId="2A1F072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03634DA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2FFE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1E6A2592">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6</w:t>
            </w:r>
          </w:p>
        </w:tc>
        <w:tc>
          <w:tcPr>
            <w:tcW w:w="1629" w:type="dxa"/>
          </w:tcPr>
          <w:p w14:paraId="69300E8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TR010</w:t>
            </w:r>
          </w:p>
        </w:tc>
        <w:tc>
          <w:tcPr>
            <w:tcW w:w="2133" w:type="dxa"/>
          </w:tcPr>
          <w:p w14:paraId="73A95B1A">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4318F86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34BB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40A8BF9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7</w:t>
            </w:r>
          </w:p>
        </w:tc>
        <w:tc>
          <w:tcPr>
            <w:tcW w:w="1629" w:type="dxa"/>
          </w:tcPr>
          <w:p w14:paraId="24CBC6E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TR011</w:t>
            </w:r>
          </w:p>
        </w:tc>
        <w:tc>
          <w:tcPr>
            <w:tcW w:w="2133" w:type="dxa"/>
          </w:tcPr>
          <w:p w14:paraId="389934E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688E4360">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06D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1B9FFF56">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8</w:t>
            </w:r>
          </w:p>
        </w:tc>
        <w:tc>
          <w:tcPr>
            <w:tcW w:w="1629" w:type="dxa"/>
          </w:tcPr>
          <w:p w14:paraId="64133FA3">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ONU2</w:t>
            </w:r>
          </w:p>
        </w:tc>
        <w:tc>
          <w:tcPr>
            <w:tcW w:w="2133" w:type="dxa"/>
          </w:tcPr>
          <w:p w14:paraId="517D2F4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4A8C63B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62C1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6EE1EC11">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9</w:t>
            </w:r>
          </w:p>
        </w:tc>
        <w:tc>
          <w:tcPr>
            <w:tcW w:w="1629" w:type="dxa"/>
          </w:tcPr>
          <w:p w14:paraId="6C2A29F4">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ONU3</w:t>
            </w:r>
          </w:p>
        </w:tc>
        <w:tc>
          <w:tcPr>
            <w:tcW w:w="2133" w:type="dxa"/>
          </w:tcPr>
          <w:p w14:paraId="2898777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7C2CEE5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2D3D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3" w:type="dxa"/>
          </w:tcPr>
          <w:p w14:paraId="3515972C">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10</w:t>
            </w:r>
          </w:p>
        </w:tc>
        <w:tc>
          <w:tcPr>
            <w:tcW w:w="1629" w:type="dxa"/>
          </w:tcPr>
          <w:p w14:paraId="18553E5D">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FES1</w:t>
            </w:r>
          </w:p>
        </w:tc>
        <w:tc>
          <w:tcPr>
            <w:tcW w:w="2133" w:type="dxa"/>
          </w:tcPr>
          <w:p w14:paraId="19464549">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37DCD0A5">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r w14:paraId="18D3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3" w:type="dxa"/>
          </w:tcPr>
          <w:p w14:paraId="1C7E8DBF">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11</w:t>
            </w:r>
          </w:p>
        </w:tc>
        <w:tc>
          <w:tcPr>
            <w:tcW w:w="1629" w:type="dxa"/>
          </w:tcPr>
          <w:p w14:paraId="3E109767">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FES4</w:t>
            </w:r>
          </w:p>
        </w:tc>
        <w:tc>
          <w:tcPr>
            <w:tcW w:w="2133" w:type="dxa"/>
          </w:tcPr>
          <w:p w14:paraId="1D8D1B0B">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B</w:t>
            </w:r>
          </w:p>
        </w:tc>
        <w:tc>
          <w:tcPr>
            <w:tcW w:w="2133" w:type="dxa"/>
          </w:tcPr>
          <w:p w14:paraId="4953398E">
            <w:pPr>
              <w:widowControl w:val="0"/>
              <w:spacing w:after="0" w:line="240" w:lineRule="auto"/>
              <w:rPr>
                <w:rFonts w:eastAsia="SimSun" w:cs="Times New Roman"/>
                <w:kern w:val="0"/>
                <w:szCs w:val="20"/>
                <w14:ligatures w14:val="none"/>
              </w:rPr>
            </w:pPr>
            <w:r>
              <w:rPr>
                <w:rFonts w:eastAsia="SimSun" w:cs="Times New Roman"/>
                <w:kern w:val="0"/>
                <w:szCs w:val="20"/>
                <w14:ligatures w14:val="none"/>
              </w:rPr>
              <w:t>-</w:t>
            </w:r>
          </w:p>
        </w:tc>
      </w:tr>
    </w:tbl>
    <w:p w14:paraId="18DC15F1">
      <w:pPr>
        <w:spacing w:line="480" w:lineRule="auto"/>
        <w:rPr>
          <w:rFonts w:cs="Times New Roman"/>
          <w:b/>
          <w:bCs/>
        </w:rPr>
        <w:sectPr>
          <w:pgSz w:w="12240" w:h="15840"/>
          <w:pgMar w:top="1440" w:right="1440" w:bottom="1440" w:left="1440" w:header="708" w:footer="2880" w:gutter="0"/>
          <w:cols w:space="708" w:num="1"/>
          <w:docGrid w:linePitch="360" w:charSpace="0"/>
        </w:sectPr>
      </w:pPr>
    </w:p>
    <w:tbl>
      <w:tblPr>
        <w:tblStyle w:val="7"/>
        <w:tblpPr w:leftFromText="180" w:rightFromText="180" w:vertAnchor="page" w:horzAnchor="margin" w:tblpY="2806"/>
        <w:tblW w:w="9240" w:type="dxa"/>
        <w:tblInd w:w="0" w:type="dxa"/>
        <w:tblLayout w:type="fixed"/>
        <w:tblCellMar>
          <w:top w:w="0" w:type="dxa"/>
          <w:left w:w="0" w:type="dxa"/>
          <w:bottom w:w="0" w:type="dxa"/>
          <w:right w:w="0" w:type="dxa"/>
        </w:tblCellMar>
      </w:tblPr>
      <w:tblGrid>
        <w:gridCol w:w="1794"/>
        <w:gridCol w:w="2029"/>
        <w:gridCol w:w="2006"/>
        <w:gridCol w:w="2008"/>
        <w:gridCol w:w="1403"/>
      </w:tblGrid>
      <w:tr w14:paraId="5B146C5F">
        <w:tblPrEx>
          <w:tblCellMar>
            <w:top w:w="0" w:type="dxa"/>
            <w:left w:w="0" w:type="dxa"/>
            <w:bottom w:w="0" w:type="dxa"/>
            <w:right w:w="0" w:type="dxa"/>
          </w:tblCellMar>
        </w:tblPrEx>
        <w:trPr>
          <w:cantSplit/>
          <w:trHeight w:val="1061" w:hRule="atLeast"/>
        </w:trPr>
        <w:tc>
          <w:tcPr>
            <w:tcW w:w="3823" w:type="dxa"/>
            <w:gridSpan w:val="2"/>
            <w:vMerge w:val="restart"/>
            <w:tcBorders>
              <w:top w:val="nil"/>
              <w:left w:val="nil"/>
              <w:bottom w:val="nil"/>
              <w:right w:val="nil"/>
            </w:tcBorders>
            <w:shd w:val="clear" w:color="auto" w:fill="FFFFFF"/>
            <w:vAlign w:val="bottom"/>
          </w:tcPr>
          <w:p w14:paraId="7D60D89C">
            <w:pPr>
              <w:autoSpaceDE w:val="0"/>
              <w:autoSpaceDN w:val="0"/>
              <w:adjustRightInd w:val="0"/>
              <w:spacing w:after="0" w:line="240" w:lineRule="auto"/>
              <w:rPr>
                <w:rFonts w:cs="Times New Roman"/>
                <w:b/>
                <w:bCs/>
                <w:szCs w:val="24"/>
              </w:rPr>
            </w:pPr>
          </w:p>
          <w:p w14:paraId="0762DFB2">
            <w:pPr>
              <w:autoSpaceDE w:val="0"/>
              <w:autoSpaceDN w:val="0"/>
              <w:adjustRightInd w:val="0"/>
              <w:spacing w:after="0" w:line="240" w:lineRule="auto"/>
              <w:rPr>
                <w:rFonts w:cs="Times New Roman"/>
                <w:b/>
                <w:bCs/>
                <w:szCs w:val="24"/>
              </w:rPr>
            </w:pPr>
          </w:p>
          <w:p w14:paraId="772C6F6D">
            <w:pPr>
              <w:autoSpaceDE w:val="0"/>
              <w:autoSpaceDN w:val="0"/>
              <w:adjustRightInd w:val="0"/>
              <w:spacing w:after="0" w:line="240" w:lineRule="auto"/>
              <w:rPr>
                <w:rFonts w:cs="Times New Roman"/>
                <w:b/>
                <w:bCs/>
                <w:szCs w:val="24"/>
                <w:lang w:val="en-GB"/>
              </w:rPr>
            </w:pPr>
          </w:p>
        </w:tc>
        <w:tc>
          <w:tcPr>
            <w:tcW w:w="4014" w:type="dxa"/>
            <w:gridSpan w:val="2"/>
            <w:tcBorders>
              <w:top w:val="nil"/>
              <w:left w:val="nil"/>
              <w:bottom w:val="nil"/>
              <w:right w:val="single" w:color="E0E0E0" w:sz="8" w:space="0"/>
            </w:tcBorders>
            <w:shd w:val="clear" w:color="auto" w:fill="FFFFFF"/>
            <w:vAlign w:val="bottom"/>
          </w:tcPr>
          <w:p w14:paraId="7EBB9889">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Alpha haemolytic bacteria</w:t>
            </w:r>
          </w:p>
        </w:tc>
        <w:tc>
          <w:tcPr>
            <w:tcW w:w="1403" w:type="dxa"/>
            <w:vMerge w:val="restart"/>
            <w:tcBorders>
              <w:top w:val="nil"/>
              <w:left w:val="single" w:color="E0E0E0" w:sz="8" w:space="0"/>
              <w:bottom w:val="nil"/>
              <w:right w:val="nil"/>
            </w:tcBorders>
            <w:shd w:val="clear" w:color="auto" w:fill="FFFFFF"/>
            <w:vAlign w:val="bottom"/>
          </w:tcPr>
          <w:p w14:paraId="7DD7CE5B">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14:paraId="08D34F7F">
        <w:tblPrEx>
          <w:tblCellMar>
            <w:top w:w="0" w:type="dxa"/>
            <w:left w:w="0" w:type="dxa"/>
            <w:bottom w:w="0" w:type="dxa"/>
            <w:right w:w="0" w:type="dxa"/>
          </w:tblCellMar>
        </w:tblPrEx>
        <w:trPr>
          <w:cantSplit/>
          <w:trHeight w:val="530" w:hRule="atLeast"/>
        </w:trPr>
        <w:tc>
          <w:tcPr>
            <w:tcW w:w="3823" w:type="dxa"/>
            <w:gridSpan w:val="2"/>
            <w:vMerge w:val="continue"/>
            <w:tcBorders>
              <w:top w:val="nil"/>
              <w:left w:val="nil"/>
              <w:bottom w:val="nil"/>
              <w:right w:val="nil"/>
            </w:tcBorders>
            <w:shd w:val="clear" w:color="auto" w:fill="FFFFFF"/>
            <w:vAlign w:val="bottom"/>
          </w:tcPr>
          <w:p w14:paraId="398E6755">
            <w:pPr>
              <w:autoSpaceDE w:val="0"/>
              <w:autoSpaceDN w:val="0"/>
              <w:adjustRightInd w:val="0"/>
              <w:spacing w:after="0" w:line="240" w:lineRule="auto"/>
              <w:rPr>
                <w:rFonts w:ascii="Arial" w:hAnsi="Arial" w:cs="Arial"/>
                <w:color w:val="264A60"/>
                <w:sz w:val="18"/>
                <w:szCs w:val="18"/>
                <w:lang w:val="en-GB"/>
              </w:rPr>
            </w:pPr>
          </w:p>
        </w:tc>
        <w:tc>
          <w:tcPr>
            <w:tcW w:w="2006" w:type="dxa"/>
            <w:tcBorders>
              <w:top w:val="nil"/>
              <w:left w:val="nil"/>
              <w:bottom w:val="single" w:color="152935" w:sz="8" w:space="0"/>
              <w:right w:val="single" w:color="E0E0E0" w:sz="8" w:space="0"/>
            </w:tcBorders>
            <w:shd w:val="clear" w:color="auto" w:fill="FFFFFF"/>
            <w:vAlign w:val="bottom"/>
          </w:tcPr>
          <w:p w14:paraId="271EF428">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08" w:type="dxa"/>
            <w:tcBorders>
              <w:top w:val="nil"/>
              <w:left w:val="single" w:color="E0E0E0" w:sz="8" w:space="0"/>
              <w:bottom w:val="single" w:color="152935" w:sz="8" w:space="0"/>
              <w:right w:val="single" w:color="E0E0E0" w:sz="8" w:space="0"/>
            </w:tcBorders>
            <w:shd w:val="clear" w:color="auto" w:fill="FFFFFF"/>
            <w:vAlign w:val="bottom"/>
          </w:tcPr>
          <w:p w14:paraId="698978EC">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03" w:type="dxa"/>
            <w:vMerge w:val="continue"/>
            <w:tcBorders>
              <w:top w:val="nil"/>
              <w:left w:val="single" w:color="E0E0E0" w:sz="8" w:space="0"/>
              <w:bottom w:val="nil"/>
              <w:right w:val="nil"/>
            </w:tcBorders>
            <w:shd w:val="clear" w:color="auto" w:fill="FFFFFF"/>
            <w:vAlign w:val="bottom"/>
          </w:tcPr>
          <w:p w14:paraId="59F0E022">
            <w:pPr>
              <w:autoSpaceDE w:val="0"/>
              <w:autoSpaceDN w:val="0"/>
              <w:adjustRightInd w:val="0"/>
              <w:spacing w:after="0" w:line="240" w:lineRule="auto"/>
              <w:rPr>
                <w:rFonts w:ascii="Arial" w:hAnsi="Arial" w:cs="Arial"/>
                <w:color w:val="264A60"/>
                <w:sz w:val="18"/>
                <w:szCs w:val="18"/>
                <w:lang w:val="en-GB"/>
              </w:rPr>
            </w:pPr>
          </w:p>
        </w:tc>
      </w:tr>
      <w:tr w14:paraId="2BC7D979">
        <w:tblPrEx>
          <w:tblCellMar>
            <w:top w:w="0" w:type="dxa"/>
            <w:left w:w="0" w:type="dxa"/>
            <w:bottom w:w="0" w:type="dxa"/>
            <w:right w:w="0" w:type="dxa"/>
          </w:tblCellMar>
        </w:tblPrEx>
        <w:trPr>
          <w:cantSplit/>
          <w:trHeight w:val="584" w:hRule="atLeast"/>
        </w:trPr>
        <w:tc>
          <w:tcPr>
            <w:tcW w:w="1794" w:type="dxa"/>
            <w:vMerge w:val="restart"/>
            <w:tcBorders>
              <w:top w:val="single" w:color="152935" w:sz="8" w:space="0"/>
              <w:left w:val="nil"/>
              <w:bottom w:val="single" w:color="AEAEAE" w:sz="8" w:space="0"/>
              <w:right w:val="nil"/>
            </w:tcBorders>
            <w:shd w:val="clear" w:color="auto" w:fill="E0E0E0"/>
          </w:tcPr>
          <w:p w14:paraId="2D9D7821">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2029" w:type="dxa"/>
            <w:tcBorders>
              <w:top w:val="single" w:color="152935" w:sz="8" w:space="0"/>
              <w:left w:val="nil"/>
              <w:bottom w:val="single" w:color="AEAEAE" w:sz="8" w:space="0"/>
              <w:right w:val="nil"/>
            </w:tcBorders>
            <w:shd w:val="clear" w:color="auto" w:fill="E0E0E0"/>
          </w:tcPr>
          <w:p w14:paraId="0D165E4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006" w:type="dxa"/>
            <w:tcBorders>
              <w:top w:val="single" w:color="152935" w:sz="8" w:space="0"/>
              <w:left w:val="nil"/>
              <w:bottom w:val="single" w:color="AEAEAE" w:sz="8" w:space="0"/>
              <w:right w:val="single" w:color="E0E0E0" w:sz="8" w:space="0"/>
            </w:tcBorders>
            <w:shd w:val="clear" w:color="auto" w:fill="F9F9FB"/>
          </w:tcPr>
          <w:p w14:paraId="2E2BD74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color="152935" w:sz="8" w:space="0"/>
              <w:left w:val="single" w:color="E0E0E0" w:sz="8" w:space="0"/>
              <w:bottom w:val="single" w:color="AEAEAE" w:sz="8" w:space="0"/>
              <w:right w:val="single" w:color="E0E0E0" w:sz="8" w:space="0"/>
            </w:tcBorders>
            <w:shd w:val="clear" w:color="auto" w:fill="F9F9FB"/>
          </w:tcPr>
          <w:p w14:paraId="62EDD66B">
            <w:pPr>
              <w:autoSpaceDE w:val="0"/>
              <w:autoSpaceDN w:val="0"/>
              <w:adjustRightInd w:val="0"/>
              <w:spacing w:after="0" w:line="320" w:lineRule="atLeast"/>
              <w:ind w:left="60" w:right="60"/>
              <w:rPr>
                <w:rFonts w:cs="Times New Roman"/>
                <w:color w:val="010205"/>
                <w:sz w:val="18"/>
                <w:szCs w:val="18"/>
                <w:lang w:val="en-GB"/>
              </w:rPr>
            </w:pPr>
            <w:r>
              <w:rPr>
                <w:rFonts w:cs="Times New Roman"/>
                <w:color w:val="010205"/>
                <w:sz w:val="18"/>
                <w:szCs w:val="18"/>
                <w:lang w:val="en-GB"/>
              </w:rPr>
              <w:t>1</w:t>
            </w:r>
          </w:p>
        </w:tc>
        <w:tc>
          <w:tcPr>
            <w:tcW w:w="1403" w:type="dxa"/>
            <w:tcBorders>
              <w:top w:val="single" w:color="152935" w:sz="8" w:space="0"/>
              <w:left w:val="single" w:color="E0E0E0" w:sz="8" w:space="0"/>
              <w:bottom w:val="single" w:color="AEAEAE" w:sz="8" w:space="0"/>
              <w:right w:val="nil"/>
            </w:tcBorders>
            <w:shd w:val="clear" w:color="auto" w:fill="F9F9FB"/>
          </w:tcPr>
          <w:p w14:paraId="59479FB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789CC9CC">
        <w:tblPrEx>
          <w:tblCellMar>
            <w:top w:w="0" w:type="dxa"/>
            <w:left w:w="0" w:type="dxa"/>
            <w:bottom w:w="0" w:type="dxa"/>
            <w:right w:w="0" w:type="dxa"/>
          </w:tblCellMar>
        </w:tblPrEx>
        <w:trPr>
          <w:cantSplit/>
          <w:trHeight w:val="584" w:hRule="atLeast"/>
        </w:trPr>
        <w:tc>
          <w:tcPr>
            <w:tcW w:w="1794" w:type="dxa"/>
            <w:vMerge w:val="continue"/>
            <w:tcBorders>
              <w:top w:val="single" w:color="152935" w:sz="8" w:space="0"/>
              <w:left w:val="nil"/>
              <w:bottom w:val="single" w:color="AEAEAE" w:sz="8" w:space="0"/>
              <w:right w:val="nil"/>
            </w:tcBorders>
            <w:shd w:val="clear" w:color="auto" w:fill="E0E0E0"/>
          </w:tcPr>
          <w:p w14:paraId="2CEEB932">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color="AEAEAE" w:sz="8" w:space="0"/>
              <w:left w:val="nil"/>
              <w:bottom w:val="single" w:color="AEAEAE" w:sz="8" w:space="0"/>
              <w:right w:val="nil"/>
            </w:tcBorders>
            <w:shd w:val="clear" w:color="auto" w:fill="E0E0E0"/>
          </w:tcPr>
          <w:p w14:paraId="5D437C84">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006" w:type="dxa"/>
            <w:tcBorders>
              <w:top w:val="single" w:color="AEAEAE" w:sz="8" w:space="0"/>
              <w:left w:val="nil"/>
              <w:bottom w:val="single" w:color="AEAEAE" w:sz="8" w:space="0"/>
              <w:right w:val="single" w:color="E0E0E0" w:sz="8" w:space="0"/>
            </w:tcBorders>
            <w:shd w:val="clear" w:color="auto" w:fill="F9F9FB"/>
          </w:tcPr>
          <w:p w14:paraId="010CCD7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color="AEAEAE" w:sz="8" w:space="0"/>
              <w:left w:val="single" w:color="E0E0E0" w:sz="8" w:space="0"/>
              <w:bottom w:val="single" w:color="AEAEAE" w:sz="8" w:space="0"/>
              <w:right w:val="single" w:color="E0E0E0" w:sz="8" w:space="0"/>
            </w:tcBorders>
            <w:shd w:val="clear" w:color="auto" w:fill="F9F9FB"/>
          </w:tcPr>
          <w:p w14:paraId="6333FFB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03" w:type="dxa"/>
            <w:tcBorders>
              <w:top w:val="single" w:color="AEAEAE" w:sz="8" w:space="0"/>
              <w:left w:val="single" w:color="E0E0E0" w:sz="8" w:space="0"/>
              <w:bottom w:val="single" w:color="AEAEAE" w:sz="8" w:space="0"/>
              <w:right w:val="nil"/>
            </w:tcBorders>
            <w:shd w:val="clear" w:color="auto" w:fill="F9F9FB"/>
          </w:tcPr>
          <w:p w14:paraId="5CE5D80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11B224C5">
        <w:tblPrEx>
          <w:tblCellMar>
            <w:top w:w="0" w:type="dxa"/>
            <w:left w:w="0" w:type="dxa"/>
            <w:bottom w:w="0" w:type="dxa"/>
            <w:right w:w="0" w:type="dxa"/>
          </w:tblCellMar>
        </w:tblPrEx>
        <w:trPr>
          <w:cantSplit/>
          <w:trHeight w:val="584" w:hRule="atLeast"/>
        </w:trPr>
        <w:tc>
          <w:tcPr>
            <w:tcW w:w="1794" w:type="dxa"/>
            <w:vMerge w:val="continue"/>
            <w:tcBorders>
              <w:top w:val="single" w:color="152935" w:sz="8" w:space="0"/>
              <w:left w:val="nil"/>
              <w:bottom w:val="single" w:color="AEAEAE" w:sz="8" w:space="0"/>
              <w:right w:val="nil"/>
            </w:tcBorders>
            <w:shd w:val="clear" w:color="auto" w:fill="E0E0E0"/>
          </w:tcPr>
          <w:p w14:paraId="31F687BA">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color="AEAEAE" w:sz="8" w:space="0"/>
              <w:left w:val="nil"/>
              <w:bottom w:val="single" w:color="AEAEAE" w:sz="8" w:space="0"/>
              <w:right w:val="nil"/>
            </w:tcBorders>
            <w:shd w:val="clear" w:color="auto" w:fill="E0E0E0"/>
          </w:tcPr>
          <w:p w14:paraId="59C1C4B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006" w:type="dxa"/>
            <w:tcBorders>
              <w:top w:val="single" w:color="AEAEAE" w:sz="8" w:space="0"/>
              <w:left w:val="nil"/>
              <w:bottom w:val="single" w:color="AEAEAE" w:sz="8" w:space="0"/>
              <w:right w:val="single" w:color="E0E0E0" w:sz="8" w:space="0"/>
            </w:tcBorders>
            <w:shd w:val="clear" w:color="auto" w:fill="F9F9FB"/>
          </w:tcPr>
          <w:p w14:paraId="79A4414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08" w:type="dxa"/>
            <w:tcBorders>
              <w:top w:val="single" w:color="AEAEAE" w:sz="8" w:space="0"/>
              <w:left w:val="single" w:color="E0E0E0" w:sz="8" w:space="0"/>
              <w:bottom w:val="single" w:color="AEAEAE" w:sz="8" w:space="0"/>
              <w:right w:val="single" w:color="E0E0E0" w:sz="8" w:space="0"/>
            </w:tcBorders>
            <w:shd w:val="clear" w:color="auto" w:fill="F9F9FB"/>
          </w:tcPr>
          <w:p w14:paraId="2D69EFE1">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color="AEAEAE" w:sz="8" w:space="0"/>
              <w:left w:val="single" w:color="E0E0E0" w:sz="8" w:space="0"/>
              <w:bottom w:val="single" w:color="AEAEAE" w:sz="8" w:space="0"/>
              <w:right w:val="nil"/>
            </w:tcBorders>
            <w:shd w:val="clear" w:color="auto" w:fill="F9F9FB"/>
          </w:tcPr>
          <w:p w14:paraId="54245A8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365A3642">
        <w:tblPrEx>
          <w:tblCellMar>
            <w:top w:w="0" w:type="dxa"/>
            <w:left w:w="0" w:type="dxa"/>
            <w:bottom w:w="0" w:type="dxa"/>
            <w:right w:w="0" w:type="dxa"/>
          </w:tblCellMar>
        </w:tblPrEx>
        <w:trPr>
          <w:cantSplit/>
          <w:trHeight w:val="584" w:hRule="atLeast"/>
        </w:trPr>
        <w:tc>
          <w:tcPr>
            <w:tcW w:w="1794" w:type="dxa"/>
            <w:vMerge w:val="continue"/>
            <w:tcBorders>
              <w:top w:val="single" w:color="152935" w:sz="8" w:space="0"/>
              <w:left w:val="nil"/>
              <w:bottom w:val="single" w:color="AEAEAE" w:sz="8" w:space="0"/>
              <w:right w:val="nil"/>
            </w:tcBorders>
            <w:shd w:val="clear" w:color="auto" w:fill="E0E0E0"/>
          </w:tcPr>
          <w:p w14:paraId="7A395BBA">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color="AEAEAE" w:sz="8" w:space="0"/>
              <w:left w:val="nil"/>
              <w:bottom w:val="single" w:color="AEAEAE" w:sz="8" w:space="0"/>
              <w:right w:val="nil"/>
            </w:tcBorders>
            <w:shd w:val="clear" w:color="auto" w:fill="E0E0E0"/>
          </w:tcPr>
          <w:p w14:paraId="0580D753">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006" w:type="dxa"/>
            <w:tcBorders>
              <w:top w:val="single" w:color="AEAEAE" w:sz="8" w:space="0"/>
              <w:left w:val="nil"/>
              <w:bottom w:val="single" w:color="AEAEAE" w:sz="8" w:space="0"/>
              <w:right w:val="single" w:color="E0E0E0" w:sz="8" w:space="0"/>
            </w:tcBorders>
            <w:shd w:val="clear" w:color="auto" w:fill="F9F9FB"/>
          </w:tcPr>
          <w:p w14:paraId="3AD13C3B">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color="AEAEAE" w:sz="8" w:space="0"/>
              <w:left w:val="single" w:color="E0E0E0" w:sz="8" w:space="0"/>
              <w:bottom w:val="single" w:color="AEAEAE" w:sz="8" w:space="0"/>
              <w:right w:val="single" w:color="E0E0E0" w:sz="8" w:space="0"/>
            </w:tcBorders>
            <w:shd w:val="clear" w:color="auto" w:fill="F9F9FB"/>
          </w:tcPr>
          <w:p w14:paraId="08007C4D">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color="AEAEAE" w:sz="8" w:space="0"/>
              <w:left w:val="single" w:color="E0E0E0" w:sz="8" w:space="0"/>
              <w:bottom w:val="single" w:color="AEAEAE" w:sz="8" w:space="0"/>
              <w:right w:val="nil"/>
            </w:tcBorders>
            <w:shd w:val="clear" w:color="auto" w:fill="F9F9FB"/>
          </w:tcPr>
          <w:p w14:paraId="15AD59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2AAAF227">
        <w:tblPrEx>
          <w:tblCellMar>
            <w:top w:w="0" w:type="dxa"/>
            <w:left w:w="0" w:type="dxa"/>
            <w:bottom w:w="0" w:type="dxa"/>
            <w:right w:w="0" w:type="dxa"/>
          </w:tblCellMar>
        </w:tblPrEx>
        <w:trPr>
          <w:cantSplit/>
          <w:trHeight w:val="584" w:hRule="atLeast"/>
        </w:trPr>
        <w:tc>
          <w:tcPr>
            <w:tcW w:w="1794" w:type="dxa"/>
            <w:vMerge w:val="continue"/>
            <w:tcBorders>
              <w:top w:val="single" w:color="152935" w:sz="8" w:space="0"/>
              <w:left w:val="nil"/>
              <w:bottom w:val="single" w:color="AEAEAE" w:sz="8" w:space="0"/>
              <w:right w:val="nil"/>
            </w:tcBorders>
            <w:shd w:val="clear" w:color="auto" w:fill="E0E0E0"/>
          </w:tcPr>
          <w:p w14:paraId="3DE04B5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color="AEAEAE" w:sz="8" w:space="0"/>
              <w:left w:val="nil"/>
              <w:bottom w:val="single" w:color="AEAEAE" w:sz="8" w:space="0"/>
              <w:right w:val="nil"/>
            </w:tcBorders>
            <w:shd w:val="clear" w:color="auto" w:fill="E0E0E0"/>
          </w:tcPr>
          <w:p w14:paraId="60B6CF0C">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006" w:type="dxa"/>
            <w:tcBorders>
              <w:top w:val="single" w:color="AEAEAE" w:sz="8" w:space="0"/>
              <w:left w:val="nil"/>
              <w:bottom w:val="single" w:color="AEAEAE" w:sz="8" w:space="0"/>
              <w:right w:val="single" w:color="E0E0E0" w:sz="8" w:space="0"/>
            </w:tcBorders>
            <w:shd w:val="clear" w:color="auto" w:fill="F9F9FB"/>
          </w:tcPr>
          <w:p w14:paraId="6031F10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08" w:type="dxa"/>
            <w:tcBorders>
              <w:top w:val="single" w:color="AEAEAE" w:sz="8" w:space="0"/>
              <w:left w:val="single" w:color="E0E0E0" w:sz="8" w:space="0"/>
              <w:bottom w:val="single" w:color="AEAEAE" w:sz="8" w:space="0"/>
              <w:right w:val="single" w:color="E0E0E0" w:sz="8" w:space="0"/>
            </w:tcBorders>
            <w:shd w:val="clear" w:color="auto" w:fill="F9F9FB"/>
          </w:tcPr>
          <w:p w14:paraId="76F8621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color="AEAEAE" w:sz="8" w:space="0"/>
              <w:left w:val="single" w:color="E0E0E0" w:sz="8" w:space="0"/>
              <w:bottom w:val="single" w:color="AEAEAE" w:sz="8" w:space="0"/>
              <w:right w:val="nil"/>
            </w:tcBorders>
            <w:shd w:val="clear" w:color="auto" w:fill="F9F9FB"/>
          </w:tcPr>
          <w:p w14:paraId="31D7462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14:paraId="4D8F03E0">
        <w:tblPrEx>
          <w:tblCellMar>
            <w:top w:w="0" w:type="dxa"/>
            <w:left w:w="0" w:type="dxa"/>
            <w:bottom w:w="0" w:type="dxa"/>
            <w:right w:w="0" w:type="dxa"/>
          </w:tblCellMar>
        </w:tblPrEx>
        <w:trPr>
          <w:cantSplit/>
          <w:trHeight w:val="584" w:hRule="atLeast"/>
        </w:trPr>
        <w:tc>
          <w:tcPr>
            <w:tcW w:w="1794" w:type="dxa"/>
            <w:vMerge w:val="continue"/>
            <w:tcBorders>
              <w:top w:val="single" w:color="152935" w:sz="8" w:space="0"/>
              <w:left w:val="nil"/>
              <w:bottom w:val="single" w:color="AEAEAE" w:sz="8" w:space="0"/>
              <w:right w:val="nil"/>
            </w:tcBorders>
            <w:shd w:val="clear" w:color="auto" w:fill="E0E0E0"/>
          </w:tcPr>
          <w:p w14:paraId="7B188D8B">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color="AEAEAE" w:sz="8" w:space="0"/>
              <w:left w:val="nil"/>
              <w:bottom w:val="single" w:color="AEAEAE" w:sz="8" w:space="0"/>
              <w:right w:val="nil"/>
            </w:tcBorders>
            <w:shd w:val="clear" w:color="auto" w:fill="E0E0E0"/>
          </w:tcPr>
          <w:p w14:paraId="77FB035B">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006" w:type="dxa"/>
            <w:tcBorders>
              <w:top w:val="single" w:color="AEAEAE" w:sz="8" w:space="0"/>
              <w:left w:val="nil"/>
              <w:bottom w:val="single" w:color="AEAEAE" w:sz="8" w:space="0"/>
              <w:right w:val="single" w:color="E0E0E0" w:sz="8" w:space="0"/>
            </w:tcBorders>
            <w:shd w:val="clear" w:color="auto" w:fill="F9F9FB"/>
          </w:tcPr>
          <w:p w14:paraId="73BCAF9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color="AEAEAE" w:sz="8" w:space="0"/>
              <w:left w:val="single" w:color="E0E0E0" w:sz="8" w:space="0"/>
              <w:bottom w:val="single" w:color="AEAEAE" w:sz="8" w:space="0"/>
              <w:right w:val="single" w:color="E0E0E0" w:sz="8" w:space="0"/>
            </w:tcBorders>
            <w:shd w:val="clear" w:color="auto" w:fill="F9F9FB"/>
          </w:tcPr>
          <w:p w14:paraId="28AA4074">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403" w:type="dxa"/>
            <w:tcBorders>
              <w:top w:val="single" w:color="AEAEAE" w:sz="8" w:space="0"/>
              <w:left w:val="single" w:color="E0E0E0" w:sz="8" w:space="0"/>
              <w:bottom w:val="single" w:color="AEAEAE" w:sz="8" w:space="0"/>
              <w:right w:val="nil"/>
            </w:tcBorders>
            <w:shd w:val="clear" w:color="auto" w:fill="F9F9FB"/>
          </w:tcPr>
          <w:p w14:paraId="267765F4">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14:paraId="193EDEA6">
        <w:tblPrEx>
          <w:tblCellMar>
            <w:top w:w="0" w:type="dxa"/>
            <w:left w:w="0" w:type="dxa"/>
            <w:bottom w:w="0" w:type="dxa"/>
            <w:right w:w="0" w:type="dxa"/>
          </w:tblCellMar>
        </w:tblPrEx>
        <w:trPr>
          <w:cantSplit/>
          <w:trHeight w:val="639" w:hRule="atLeast"/>
        </w:trPr>
        <w:tc>
          <w:tcPr>
            <w:tcW w:w="3823" w:type="dxa"/>
            <w:gridSpan w:val="2"/>
            <w:tcBorders>
              <w:top w:val="single" w:color="AEAEAE" w:sz="8" w:space="0"/>
              <w:left w:val="nil"/>
              <w:bottom w:val="single" w:color="152935" w:sz="8" w:space="0"/>
              <w:right w:val="nil"/>
            </w:tcBorders>
            <w:shd w:val="clear" w:color="auto" w:fill="E0E0E0"/>
          </w:tcPr>
          <w:p w14:paraId="0294981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006" w:type="dxa"/>
            <w:tcBorders>
              <w:top w:val="single" w:color="AEAEAE" w:sz="8" w:space="0"/>
              <w:left w:val="nil"/>
              <w:bottom w:val="single" w:color="152935" w:sz="8" w:space="0"/>
              <w:right w:val="single" w:color="E0E0E0" w:sz="8" w:space="0"/>
            </w:tcBorders>
            <w:shd w:val="clear" w:color="auto" w:fill="F9F9FB"/>
          </w:tcPr>
          <w:p w14:paraId="199BA3E4">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08" w:type="dxa"/>
            <w:tcBorders>
              <w:top w:val="single" w:color="AEAEAE" w:sz="8" w:space="0"/>
              <w:left w:val="single" w:color="E0E0E0" w:sz="8" w:space="0"/>
              <w:bottom w:val="single" w:color="152935" w:sz="8" w:space="0"/>
              <w:right w:val="single" w:color="E0E0E0" w:sz="8" w:space="0"/>
            </w:tcBorders>
            <w:shd w:val="clear" w:color="auto" w:fill="F9F9FB"/>
          </w:tcPr>
          <w:p w14:paraId="02EB2D2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03" w:type="dxa"/>
            <w:tcBorders>
              <w:top w:val="single" w:color="AEAEAE" w:sz="8" w:space="0"/>
              <w:left w:val="single" w:color="E0E0E0" w:sz="8" w:space="0"/>
              <w:bottom w:val="single" w:color="152935" w:sz="8" w:space="0"/>
              <w:right w:val="nil"/>
            </w:tcBorders>
            <w:shd w:val="clear" w:color="auto" w:fill="F9F9FB"/>
          </w:tcPr>
          <w:p w14:paraId="132F50E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3565DE7E">
      <w:pPr>
        <w:spacing w:line="480" w:lineRule="auto"/>
        <w:rPr>
          <w:rFonts w:cs="Times New Roman"/>
          <w:b/>
          <w:bCs/>
        </w:rPr>
        <w:sectPr>
          <w:pgSz w:w="12240" w:h="15840"/>
          <w:pgMar w:top="1440" w:right="1440" w:bottom="1440" w:left="1440" w:header="708" w:footer="2880" w:gutter="0"/>
          <w:cols w:space="708" w:num="1"/>
          <w:docGrid w:linePitch="360" w:charSpace="0"/>
        </w:sectPr>
      </w:pPr>
      <w:r>
        <w:rPr>
          <w:rFonts w:cs="Times New Roman"/>
          <w:b/>
          <w:bCs/>
        </w:rPr>
        <w:t>Table 14 Prevalence of Alpha Haemolytic Bacteria</w:t>
      </w:r>
    </w:p>
    <w:tbl>
      <w:tblPr>
        <w:tblStyle w:val="7"/>
        <w:tblpPr w:leftFromText="180" w:rightFromText="180" w:horzAnchor="margin" w:tblpY="1197"/>
        <w:tblW w:w="9459" w:type="dxa"/>
        <w:tblInd w:w="0" w:type="dxa"/>
        <w:tblLayout w:type="fixed"/>
        <w:tblCellMar>
          <w:top w:w="0" w:type="dxa"/>
          <w:left w:w="0" w:type="dxa"/>
          <w:bottom w:w="0" w:type="dxa"/>
          <w:right w:w="0" w:type="dxa"/>
        </w:tblCellMar>
      </w:tblPr>
      <w:tblGrid>
        <w:gridCol w:w="1839"/>
        <w:gridCol w:w="1846"/>
        <w:gridCol w:w="2284"/>
        <w:gridCol w:w="2056"/>
        <w:gridCol w:w="1434"/>
      </w:tblGrid>
      <w:tr w14:paraId="6004E5DD">
        <w:tblPrEx>
          <w:tblCellMar>
            <w:top w:w="0" w:type="dxa"/>
            <w:left w:w="0" w:type="dxa"/>
            <w:bottom w:w="0" w:type="dxa"/>
            <w:right w:w="0" w:type="dxa"/>
          </w:tblCellMar>
        </w:tblPrEx>
        <w:trPr>
          <w:cantSplit/>
          <w:trHeight w:val="1520" w:hRule="atLeast"/>
        </w:trPr>
        <w:tc>
          <w:tcPr>
            <w:tcW w:w="3685" w:type="dxa"/>
            <w:gridSpan w:val="2"/>
            <w:vMerge w:val="restart"/>
            <w:tcBorders>
              <w:top w:val="nil"/>
              <w:left w:val="nil"/>
              <w:bottom w:val="nil"/>
              <w:right w:val="nil"/>
            </w:tcBorders>
            <w:shd w:val="clear" w:color="auto" w:fill="FFFFFF"/>
            <w:vAlign w:val="bottom"/>
          </w:tcPr>
          <w:p w14:paraId="5A8A98A8">
            <w:pPr>
              <w:autoSpaceDE w:val="0"/>
              <w:autoSpaceDN w:val="0"/>
              <w:adjustRightInd w:val="0"/>
              <w:spacing w:after="0" w:line="240" w:lineRule="auto"/>
              <w:rPr>
                <w:rFonts w:cs="Times New Roman"/>
                <w:b/>
                <w:bCs/>
                <w:szCs w:val="24"/>
                <w:lang w:val="en-GB"/>
              </w:rPr>
            </w:pPr>
          </w:p>
          <w:p w14:paraId="120F41CC">
            <w:pPr>
              <w:autoSpaceDE w:val="0"/>
              <w:autoSpaceDN w:val="0"/>
              <w:adjustRightInd w:val="0"/>
              <w:spacing w:after="0" w:line="240" w:lineRule="auto"/>
              <w:rPr>
                <w:rFonts w:cs="Times New Roman"/>
                <w:b/>
                <w:bCs/>
                <w:szCs w:val="24"/>
                <w:lang w:val="en-GB"/>
              </w:rPr>
            </w:pPr>
          </w:p>
        </w:tc>
        <w:tc>
          <w:tcPr>
            <w:tcW w:w="4340" w:type="dxa"/>
            <w:gridSpan w:val="2"/>
            <w:tcBorders>
              <w:top w:val="nil"/>
              <w:left w:val="nil"/>
              <w:bottom w:val="nil"/>
              <w:right w:val="single" w:color="E0E0E0" w:sz="8" w:space="0"/>
            </w:tcBorders>
            <w:shd w:val="clear" w:color="auto" w:fill="FFFFFF"/>
            <w:vAlign w:val="bottom"/>
          </w:tcPr>
          <w:p w14:paraId="6E5BDDA3">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Beta haemolytic bacteria</w:t>
            </w:r>
          </w:p>
        </w:tc>
        <w:tc>
          <w:tcPr>
            <w:tcW w:w="1434" w:type="dxa"/>
            <w:vMerge w:val="restart"/>
            <w:tcBorders>
              <w:top w:val="nil"/>
              <w:left w:val="single" w:color="E0E0E0" w:sz="8" w:space="0"/>
              <w:bottom w:val="nil"/>
              <w:right w:val="nil"/>
            </w:tcBorders>
            <w:shd w:val="clear" w:color="auto" w:fill="FFFFFF"/>
            <w:vAlign w:val="bottom"/>
          </w:tcPr>
          <w:p w14:paraId="5552AEB3">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14:paraId="395B78DD">
        <w:tblPrEx>
          <w:tblCellMar>
            <w:top w:w="0" w:type="dxa"/>
            <w:left w:w="0" w:type="dxa"/>
            <w:bottom w:w="0" w:type="dxa"/>
            <w:right w:w="0" w:type="dxa"/>
          </w:tblCellMar>
        </w:tblPrEx>
        <w:trPr>
          <w:cantSplit/>
          <w:trHeight w:val="759" w:hRule="atLeast"/>
        </w:trPr>
        <w:tc>
          <w:tcPr>
            <w:tcW w:w="3685" w:type="dxa"/>
            <w:gridSpan w:val="2"/>
            <w:vMerge w:val="continue"/>
            <w:tcBorders>
              <w:top w:val="nil"/>
              <w:left w:val="nil"/>
              <w:bottom w:val="nil"/>
              <w:right w:val="nil"/>
            </w:tcBorders>
            <w:shd w:val="clear" w:color="auto" w:fill="FFFFFF"/>
            <w:vAlign w:val="bottom"/>
          </w:tcPr>
          <w:p w14:paraId="36F32B26">
            <w:pPr>
              <w:autoSpaceDE w:val="0"/>
              <w:autoSpaceDN w:val="0"/>
              <w:adjustRightInd w:val="0"/>
              <w:spacing w:after="0" w:line="240" w:lineRule="auto"/>
              <w:rPr>
                <w:rFonts w:ascii="Arial" w:hAnsi="Arial" w:cs="Arial"/>
                <w:color w:val="264A60"/>
                <w:sz w:val="18"/>
                <w:szCs w:val="18"/>
                <w:lang w:val="en-GB"/>
              </w:rPr>
            </w:pPr>
          </w:p>
        </w:tc>
        <w:tc>
          <w:tcPr>
            <w:tcW w:w="2284" w:type="dxa"/>
            <w:tcBorders>
              <w:top w:val="nil"/>
              <w:left w:val="nil"/>
              <w:bottom w:val="single" w:color="152935" w:sz="8" w:space="0"/>
              <w:right w:val="single" w:color="E0E0E0" w:sz="8" w:space="0"/>
            </w:tcBorders>
            <w:shd w:val="clear" w:color="auto" w:fill="FFFFFF"/>
            <w:vAlign w:val="bottom"/>
          </w:tcPr>
          <w:p w14:paraId="29CB1ECF">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56" w:type="dxa"/>
            <w:tcBorders>
              <w:top w:val="nil"/>
              <w:left w:val="single" w:color="E0E0E0" w:sz="8" w:space="0"/>
              <w:bottom w:val="single" w:color="152935" w:sz="8" w:space="0"/>
              <w:right w:val="single" w:color="E0E0E0" w:sz="8" w:space="0"/>
            </w:tcBorders>
            <w:shd w:val="clear" w:color="auto" w:fill="FFFFFF"/>
            <w:vAlign w:val="bottom"/>
          </w:tcPr>
          <w:p w14:paraId="7069A20B">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34" w:type="dxa"/>
            <w:vMerge w:val="continue"/>
            <w:tcBorders>
              <w:top w:val="nil"/>
              <w:left w:val="single" w:color="E0E0E0" w:sz="8" w:space="0"/>
              <w:bottom w:val="nil"/>
              <w:right w:val="nil"/>
            </w:tcBorders>
            <w:shd w:val="clear" w:color="auto" w:fill="FFFFFF"/>
            <w:vAlign w:val="bottom"/>
          </w:tcPr>
          <w:p w14:paraId="1F7A7EB4">
            <w:pPr>
              <w:autoSpaceDE w:val="0"/>
              <w:autoSpaceDN w:val="0"/>
              <w:adjustRightInd w:val="0"/>
              <w:spacing w:after="0" w:line="240" w:lineRule="auto"/>
              <w:rPr>
                <w:rFonts w:ascii="Arial" w:hAnsi="Arial" w:cs="Arial"/>
                <w:color w:val="264A60"/>
                <w:sz w:val="18"/>
                <w:szCs w:val="18"/>
                <w:lang w:val="en-GB"/>
              </w:rPr>
            </w:pPr>
          </w:p>
        </w:tc>
      </w:tr>
      <w:tr w14:paraId="1EE7AC6F">
        <w:tblPrEx>
          <w:tblCellMar>
            <w:top w:w="0" w:type="dxa"/>
            <w:left w:w="0" w:type="dxa"/>
            <w:bottom w:w="0" w:type="dxa"/>
            <w:right w:w="0" w:type="dxa"/>
          </w:tblCellMar>
        </w:tblPrEx>
        <w:trPr>
          <w:cantSplit/>
          <w:trHeight w:val="829" w:hRule="atLeast"/>
        </w:trPr>
        <w:tc>
          <w:tcPr>
            <w:tcW w:w="1839" w:type="dxa"/>
            <w:vMerge w:val="restart"/>
            <w:tcBorders>
              <w:top w:val="single" w:color="152935" w:sz="8" w:space="0"/>
              <w:left w:val="nil"/>
              <w:bottom w:val="single" w:color="AEAEAE" w:sz="8" w:space="0"/>
              <w:right w:val="nil"/>
            </w:tcBorders>
            <w:shd w:val="clear" w:color="auto" w:fill="E0E0E0"/>
          </w:tcPr>
          <w:p w14:paraId="053875FA">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846" w:type="dxa"/>
            <w:tcBorders>
              <w:top w:val="single" w:color="152935" w:sz="8" w:space="0"/>
              <w:left w:val="nil"/>
              <w:bottom w:val="single" w:color="AEAEAE" w:sz="8" w:space="0"/>
              <w:right w:val="nil"/>
            </w:tcBorders>
            <w:shd w:val="clear" w:color="auto" w:fill="E0E0E0"/>
          </w:tcPr>
          <w:p w14:paraId="6212BA6E">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84" w:type="dxa"/>
            <w:tcBorders>
              <w:top w:val="single" w:color="152935" w:sz="8" w:space="0"/>
              <w:left w:val="nil"/>
              <w:bottom w:val="single" w:color="AEAEAE" w:sz="8" w:space="0"/>
              <w:right w:val="single" w:color="E0E0E0" w:sz="8" w:space="0"/>
            </w:tcBorders>
            <w:shd w:val="clear" w:color="auto" w:fill="F9F9FB"/>
          </w:tcPr>
          <w:p w14:paraId="0386FA2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56" w:type="dxa"/>
            <w:tcBorders>
              <w:top w:val="single" w:color="152935" w:sz="8" w:space="0"/>
              <w:left w:val="single" w:color="E0E0E0" w:sz="8" w:space="0"/>
              <w:bottom w:val="single" w:color="AEAEAE" w:sz="8" w:space="0"/>
              <w:right w:val="single" w:color="E0E0E0" w:sz="8" w:space="0"/>
            </w:tcBorders>
            <w:shd w:val="clear" w:color="auto" w:fill="F9F9FB"/>
          </w:tcPr>
          <w:p w14:paraId="6C37B57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34" w:type="dxa"/>
            <w:tcBorders>
              <w:top w:val="single" w:color="152935" w:sz="8" w:space="0"/>
              <w:left w:val="single" w:color="E0E0E0" w:sz="8" w:space="0"/>
              <w:bottom w:val="single" w:color="AEAEAE" w:sz="8" w:space="0"/>
              <w:right w:val="nil"/>
            </w:tcBorders>
            <w:shd w:val="clear" w:color="auto" w:fill="F9F9FB"/>
          </w:tcPr>
          <w:p w14:paraId="30393D0B">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3CB26C8F">
        <w:tblPrEx>
          <w:tblCellMar>
            <w:top w:w="0" w:type="dxa"/>
            <w:left w:w="0" w:type="dxa"/>
            <w:bottom w:w="0" w:type="dxa"/>
            <w:right w:w="0" w:type="dxa"/>
          </w:tblCellMar>
        </w:tblPrEx>
        <w:trPr>
          <w:cantSplit/>
          <w:trHeight w:val="829" w:hRule="atLeast"/>
        </w:trPr>
        <w:tc>
          <w:tcPr>
            <w:tcW w:w="1839" w:type="dxa"/>
            <w:vMerge w:val="continue"/>
            <w:tcBorders>
              <w:top w:val="single" w:color="152935" w:sz="8" w:space="0"/>
              <w:left w:val="nil"/>
              <w:bottom w:val="single" w:color="AEAEAE" w:sz="8" w:space="0"/>
              <w:right w:val="nil"/>
            </w:tcBorders>
            <w:shd w:val="clear" w:color="auto" w:fill="E0E0E0"/>
          </w:tcPr>
          <w:p w14:paraId="38CEE53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color="AEAEAE" w:sz="8" w:space="0"/>
              <w:left w:val="nil"/>
              <w:bottom w:val="single" w:color="AEAEAE" w:sz="8" w:space="0"/>
              <w:right w:val="nil"/>
            </w:tcBorders>
            <w:shd w:val="clear" w:color="auto" w:fill="E0E0E0"/>
          </w:tcPr>
          <w:p w14:paraId="743BF5A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84" w:type="dxa"/>
            <w:tcBorders>
              <w:top w:val="single" w:color="AEAEAE" w:sz="8" w:space="0"/>
              <w:left w:val="nil"/>
              <w:bottom w:val="single" w:color="AEAEAE" w:sz="8" w:space="0"/>
              <w:right w:val="single" w:color="E0E0E0" w:sz="8" w:space="0"/>
            </w:tcBorders>
            <w:shd w:val="clear" w:color="auto" w:fill="F9F9FB"/>
          </w:tcPr>
          <w:p w14:paraId="3B4BC18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color="AEAEAE" w:sz="8" w:space="0"/>
              <w:left w:val="single" w:color="E0E0E0" w:sz="8" w:space="0"/>
              <w:bottom w:val="single" w:color="AEAEAE" w:sz="8" w:space="0"/>
              <w:right w:val="single" w:color="E0E0E0" w:sz="8" w:space="0"/>
            </w:tcBorders>
            <w:shd w:val="clear" w:color="auto" w:fill="F9F9FB"/>
          </w:tcPr>
          <w:p w14:paraId="644BA11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color="AEAEAE" w:sz="8" w:space="0"/>
              <w:left w:val="single" w:color="E0E0E0" w:sz="8" w:space="0"/>
              <w:bottom w:val="single" w:color="AEAEAE" w:sz="8" w:space="0"/>
              <w:right w:val="nil"/>
            </w:tcBorders>
            <w:shd w:val="clear" w:color="auto" w:fill="F9F9FB"/>
          </w:tcPr>
          <w:p w14:paraId="4470F6A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27FB0A74">
        <w:tblPrEx>
          <w:tblCellMar>
            <w:top w:w="0" w:type="dxa"/>
            <w:left w:w="0" w:type="dxa"/>
            <w:bottom w:w="0" w:type="dxa"/>
            <w:right w:w="0" w:type="dxa"/>
          </w:tblCellMar>
        </w:tblPrEx>
        <w:trPr>
          <w:cantSplit/>
          <w:trHeight w:val="829" w:hRule="atLeast"/>
        </w:trPr>
        <w:tc>
          <w:tcPr>
            <w:tcW w:w="1839" w:type="dxa"/>
            <w:vMerge w:val="continue"/>
            <w:tcBorders>
              <w:top w:val="single" w:color="152935" w:sz="8" w:space="0"/>
              <w:left w:val="nil"/>
              <w:bottom w:val="single" w:color="AEAEAE" w:sz="8" w:space="0"/>
              <w:right w:val="nil"/>
            </w:tcBorders>
            <w:shd w:val="clear" w:color="auto" w:fill="E0E0E0"/>
          </w:tcPr>
          <w:p w14:paraId="23FB7D46">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color="AEAEAE" w:sz="8" w:space="0"/>
              <w:left w:val="nil"/>
              <w:bottom w:val="single" w:color="AEAEAE" w:sz="8" w:space="0"/>
              <w:right w:val="nil"/>
            </w:tcBorders>
            <w:shd w:val="clear" w:color="auto" w:fill="E0E0E0"/>
          </w:tcPr>
          <w:p w14:paraId="0201994F">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84" w:type="dxa"/>
            <w:tcBorders>
              <w:top w:val="single" w:color="AEAEAE" w:sz="8" w:space="0"/>
              <w:left w:val="nil"/>
              <w:bottom w:val="single" w:color="AEAEAE" w:sz="8" w:space="0"/>
              <w:right w:val="single" w:color="E0E0E0" w:sz="8" w:space="0"/>
            </w:tcBorders>
            <w:shd w:val="clear" w:color="auto" w:fill="F9F9FB"/>
          </w:tcPr>
          <w:p w14:paraId="12632BF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color="AEAEAE" w:sz="8" w:space="0"/>
              <w:left w:val="single" w:color="E0E0E0" w:sz="8" w:space="0"/>
              <w:bottom w:val="single" w:color="AEAEAE" w:sz="8" w:space="0"/>
              <w:right w:val="single" w:color="E0E0E0" w:sz="8" w:space="0"/>
            </w:tcBorders>
            <w:shd w:val="clear" w:color="auto" w:fill="F9F9FB"/>
          </w:tcPr>
          <w:p w14:paraId="019B5CE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color="AEAEAE" w:sz="8" w:space="0"/>
              <w:left w:val="single" w:color="E0E0E0" w:sz="8" w:space="0"/>
              <w:bottom w:val="single" w:color="AEAEAE" w:sz="8" w:space="0"/>
              <w:right w:val="nil"/>
            </w:tcBorders>
            <w:shd w:val="clear" w:color="auto" w:fill="F9F9FB"/>
          </w:tcPr>
          <w:p w14:paraId="4048128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7D723705">
        <w:tblPrEx>
          <w:tblCellMar>
            <w:top w:w="0" w:type="dxa"/>
            <w:left w:w="0" w:type="dxa"/>
            <w:bottom w:w="0" w:type="dxa"/>
            <w:right w:w="0" w:type="dxa"/>
          </w:tblCellMar>
        </w:tblPrEx>
        <w:trPr>
          <w:cantSplit/>
          <w:trHeight w:val="829" w:hRule="atLeast"/>
        </w:trPr>
        <w:tc>
          <w:tcPr>
            <w:tcW w:w="1839" w:type="dxa"/>
            <w:vMerge w:val="continue"/>
            <w:tcBorders>
              <w:top w:val="single" w:color="152935" w:sz="8" w:space="0"/>
              <w:left w:val="nil"/>
              <w:bottom w:val="single" w:color="AEAEAE" w:sz="8" w:space="0"/>
              <w:right w:val="nil"/>
            </w:tcBorders>
            <w:shd w:val="clear" w:color="auto" w:fill="E0E0E0"/>
          </w:tcPr>
          <w:p w14:paraId="64CCC16E">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color="AEAEAE" w:sz="8" w:space="0"/>
              <w:left w:val="nil"/>
              <w:bottom w:val="single" w:color="AEAEAE" w:sz="8" w:space="0"/>
              <w:right w:val="nil"/>
            </w:tcBorders>
            <w:shd w:val="clear" w:color="auto" w:fill="E0E0E0"/>
          </w:tcPr>
          <w:p w14:paraId="1E258922">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84" w:type="dxa"/>
            <w:tcBorders>
              <w:top w:val="single" w:color="AEAEAE" w:sz="8" w:space="0"/>
              <w:left w:val="nil"/>
              <w:bottom w:val="single" w:color="AEAEAE" w:sz="8" w:space="0"/>
              <w:right w:val="single" w:color="E0E0E0" w:sz="8" w:space="0"/>
            </w:tcBorders>
            <w:shd w:val="clear" w:color="auto" w:fill="F9F9FB"/>
          </w:tcPr>
          <w:p w14:paraId="210A8D9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color="AEAEAE" w:sz="8" w:space="0"/>
              <w:left w:val="single" w:color="E0E0E0" w:sz="8" w:space="0"/>
              <w:bottom w:val="single" w:color="AEAEAE" w:sz="8" w:space="0"/>
              <w:right w:val="single" w:color="E0E0E0" w:sz="8" w:space="0"/>
            </w:tcBorders>
            <w:shd w:val="clear" w:color="auto" w:fill="F9F9FB"/>
          </w:tcPr>
          <w:p w14:paraId="2CE74C40">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34" w:type="dxa"/>
            <w:tcBorders>
              <w:top w:val="single" w:color="AEAEAE" w:sz="8" w:space="0"/>
              <w:left w:val="single" w:color="E0E0E0" w:sz="8" w:space="0"/>
              <w:bottom w:val="single" w:color="AEAEAE" w:sz="8" w:space="0"/>
              <w:right w:val="nil"/>
            </w:tcBorders>
            <w:shd w:val="clear" w:color="auto" w:fill="F9F9FB"/>
          </w:tcPr>
          <w:p w14:paraId="4064FE07">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1C78739F">
        <w:tblPrEx>
          <w:tblCellMar>
            <w:top w:w="0" w:type="dxa"/>
            <w:left w:w="0" w:type="dxa"/>
            <w:bottom w:w="0" w:type="dxa"/>
            <w:right w:w="0" w:type="dxa"/>
          </w:tblCellMar>
        </w:tblPrEx>
        <w:trPr>
          <w:cantSplit/>
          <w:trHeight w:val="829" w:hRule="atLeast"/>
        </w:trPr>
        <w:tc>
          <w:tcPr>
            <w:tcW w:w="1839" w:type="dxa"/>
            <w:vMerge w:val="continue"/>
            <w:tcBorders>
              <w:top w:val="single" w:color="152935" w:sz="8" w:space="0"/>
              <w:left w:val="nil"/>
              <w:bottom w:val="single" w:color="AEAEAE" w:sz="8" w:space="0"/>
              <w:right w:val="nil"/>
            </w:tcBorders>
            <w:shd w:val="clear" w:color="auto" w:fill="E0E0E0"/>
          </w:tcPr>
          <w:p w14:paraId="21B5AAE9">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color="AEAEAE" w:sz="8" w:space="0"/>
              <w:left w:val="nil"/>
              <w:bottom w:val="single" w:color="AEAEAE" w:sz="8" w:space="0"/>
              <w:right w:val="nil"/>
            </w:tcBorders>
            <w:shd w:val="clear" w:color="auto" w:fill="E0E0E0"/>
          </w:tcPr>
          <w:p w14:paraId="516A7C4B">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84" w:type="dxa"/>
            <w:tcBorders>
              <w:top w:val="single" w:color="AEAEAE" w:sz="8" w:space="0"/>
              <w:left w:val="nil"/>
              <w:bottom w:val="single" w:color="AEAEAE" w:sz="8" w:space="0"/>
              <w:right w:val="single" w:color="E0E0E0" w:sz="8" w:space="0"/>
            </w:tcBorders>
            <w:shd w:val="clear" w:color="auto" w:fill="F9F9FB"/>
          </w:tcPr>
          <w:p w14:paraId="7D2F264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56" w:type="dxa"/>
            <w:tcBorders>
              <w:top w:val="single" w:color="AEAEAE" w:sz="8" w:space="0"/>
              <w:left w:val="single" w:color="E0E0E0" w:sz="8" w:space="0"/>
              <w:bottom w:val="single" w:color="AEAEAE" w:sz="8" w:space="0"/>
              <w:right w:val="single" w:color="E0E0E0" w:sz="8" w:space="0"/>
            </w:tcBorders>
            <w:shd w:val="clear" w:color="auto" w:fill="F9F9FB"/>
          </w:tcPr>
          <w:p w14:paraId="14DD6F1B">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color="AEAEAE" w:sz="8" w:space="0"/>
              <w:left w:val="single" w:color="E0E0E0" w:sz="8" w:space="0"/>
              <w:bottom w:val="single" w:color="AEAEAE" w:sz="8" w:space="0"/>
              <w:right w:val="nil"/>
            </w:tcBorders>
            <w:shd w:val="clear" w:color="auto" w:fill="F9F9FB"/>
          </w:tcPr>
          <w:p w14:paraId="0DFC208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14:paraId="42AAF5AD">
        <w:tblPrEx>
          <w:tblCellMar>
            <w:top w:w="0" w:type="dxa"/>
            <w:left w:w="0" w:type="dxa"/>
            <w:bottom w:w="0" w:type="dxa"/>
            <w:right w:w="0" w:type="dxa"/>
          </w:tblCellMar>
        </w:tblPrEx>
        <w:trPr>
          <w:cantSplit/>
          <w:trHeight w:val="829" w:hRule="atLeast"/>
        </w:trPr>
        <w:tc>
          <w:tcPr>
            <w:tcW w:w="1839" w:type="dxa"/>
            <w:vMerge w:val="continue"/>
            <w:tcBorders>
              <w:top w:val="single" w:color="152935" w:sz="8" w:space="0"/>
              <w:left w:val="nil"/>
              <w:bottom w:val="single" w:color="AEAEAE" w:sz="8" w:space="0"/>
              <w:right w:val="nil"/>
            </w:tcBorders>
            <w:shd w:val="clear" w:color="auto" w:fill="E0E0E0"/>
          </w:tcPr>
          <w:p w14:paraId="53F8646A">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color="AEAEAE" w:sz="8" w:space="0"/>
              <w:left w:val="nil"/>
              <w:bottom w:val="single" w:color="AEAEAE" w:sz="8" w:space="0"/>
              <w:right w:val="nil"/>
            </w:tcBorders>
            <w:shd w:val="clear" w:color="auto" w:fill="E0E0E0"/>
          </w:tcPr>
          <w:p w14:paraId="7B31258C">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284" w:type="dxa"/>
            <w:tcBorders>
              <w:top w:val="single" w:color="AEAEAE" w:sz="8" w:space="0"/>
              <w:left w:val="nil"/>
              <w:bottom w:val="single" w:color="AEAEAE" w:sz="8" w:space="0"/>
              <w:right w:val="single" w:color="E0E0E0" w:sz="8" w:space="0"/>
            </w:tcBorders>
            <w:shd w:val="clear" w:color="auto" w:fill="F9F9FB"/>
          </w:tcPr>
          <w:p w14:paraId="277A7368">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color="AEAEAE" w:sz="8" w:space="0"/>
              <w:left w:val="single" w:color="E0E0E0" w:sz="8" w:space="0"/>
              <w:bottom w:val="single" w:color="AEAEAE" w:sz="8" w:space="0"/>
              <w:right w:val="single" w:color="E0E0E0" w:sz="8" w:space="0"/>
            </w:tcBorders>
            <w:shd w:val="clear" w:color="auto" w:fill="F9F9FB"/>
          </w:tcPr>
          <w:p w14:paraId="1FAA26E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434" w:type="dxa"/>
            <w:tcBorders>
              <w:top w:val="single" w:color="AEAEAE" w:sz="8" w:space="0"/>
              <w:left w:val="single" w:color="E0E0E0" w:sz="8" w:space="0"/>
              <w:bottom w:val="single" w:color="AEAEAE" w:sz="8" w:space="0"/>
              <w:right w:val="nil"/>
            </w:tcBorders>
            <w:shd w:val="clear" w:color="auto" w:fill="F9F9FB"/>
          </w:tcPr>
          <w:p w14:paraId="5DA29E97">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14:paraId="2D65DF99">
        <w:tblPrEx>
          <w:tblCellMar>
            <w:top w:w="0" w:type="dxa"/>
            <w:left w:w="0" w:type="dxa"/>
            <w:bottom w:w="0" w:type="dxa"/>
            <w:right w:w="0" w:type="dxa"/>
          </w:tblCellMar>
        </w:tblPrEx>
        <w:trPr>
          <w:cantSplit/>
          <w:trHeight w:val="898" w:hRule="atLeast"/>
        </w:trPr>
        <w:tc>
          <w:tcPr>
            <w:tcW w:w="3685" w:type="dxa"/>
            <w:gridSpan w:val="2"/>
            <w:tcBorders>
              <w:top w:val="single" w:color="AEAEAE" w:sz="8" w:space="0"/>
              <w:left w:val="nil"/>
              <w:bottom w:val="single" w:color="152935" w:sz="8" w:space="0"/>
              <w:right w:val="nil"/>
            </w:tcBorders>
            <w:shd w:val="clear" w:color="auto" w:fill="E0E0E0"/>
          </w:tcPr>
          <w:p w14:paraId="339FBA20">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84" w:type="dxa"/>
            <w:tcBorders>
              <w:top w:val="single" w:color="AEAEAE" w:sz="8" w:space="0"/>
              <w:left w:val="nil"/>
              <w:bottom w:val="single" w:color="152935" w:sz="8" w:space="0"/>
              <w:right w:val="single" w:color="E0E0E0" w:sz="8" w:space="0"/>
            </w:tcBorders>
            <w:shd w:val="clear" w:color="auto" w:fill="F9F9FB"/>
          </w:tcPr>
          <w:p w14:paraId="11B4340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56" w:type="dxa"/>
            <w:tcBorders>
              <w:top w:val="single" w:color="AEAEAE" w:sz="8" w:space="0"/>
              <w:left w:val="single" w:color="E0E0E0" w:sz="8" w:space="0"/>
              <w:bottom w:val="single" w:color="152935" w:sz="8" w:space="0"/>
              <w:right w:val="single" w:color="E0E0E0" w:sz="8" w:space="0"/>
            </w:tcBorders>
            <w:shd w:val="clear" w:color="auto" w:fill="F9F9FB"/>
          </w:tcPr>
          <w:p w14:paraId="493C67DA">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34" w:type="dxa"/>
            <w:tcBorders>
              <w:top w:val="single" w:color="AEAEAE" w:sz="8" w:space="0"/>
              <w:left w:val="single" w:color="E0E0E0" w:sz="8" w:space="0"/>
              <w:bottom w:val="single" w:color="152935" w:sz="8" w:space="0"/>
              <w:right w:val="nil"/>
            </w:tcBorders>
            <w:shd w:val="clear" w:color="auto" w:fill="F9F9FB"/>
          </w:tcPr>
          <w:p w14:paraId="2D68ED57">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383FC4E1">
      <w:pPr>
        <w:autoSpaceDE w:val="0"/>
        <w:autoSpaceDN w:val="0"/>
        <w:adjustRightInd w:val="0"/>
        <w:spacing w:after="0" w:line="400" w:lineRule="atLeast"/>
        <w:rPr>
          <w:rFonts w:cs="Times New Roman"/>
          <w:szCs w:val="24"/>
          <w:lang w:val="en-GB"/>
        </w:rPr>
      </w:pPr>
    </w:p>
    <w:p w14:paraId="38B1042E">
      <w:pPr>
        <w:rPr>
          <w:b/>
          <w:bCs/>
        </w:rPr>
      </w:pPr>
      <w:bookmarkStart w:id="19" w:name="_Toc7410"/>
      <w:r>
        <w:rPr>
          <w:b/>
          <w:bCs/>
        </w:rPr>
        <w:t xml:space="preserve">Table 15 </w:t>
      </w:r>
      <w:r>
        <w:rPr>
          <w:b/>
          <w:bCs/>
          <w:lang w:val="en-GB"/>
        </w:rPr>
        <w:t xml:space="preserve">Prevalence of </w:t>
      </w:r>
      <w:r>
        <w:rPr>
          <w:b/>
          <w:bCs/>
        </w:rPr>
        <w:t>Bet</w:t>
      </w:r>
      <w:r>
        <w:rPr>
          <w:b/>
          <w:bCs/>
          <w:lang w:val="en-GB"/>
        </w:rPr>
        <w:t>a Haemolytic Bacteria</w:t>
      </w:r>
      <w:bookmarkEnd w:id="19"/>
    </w:p>
    <w:p w14:paraId="5E6B1761">
      <w:pPr>
        <w:spacing w:line="480" w:lineRule="auto"/>
        <w:rPr>
          <w:rFonts w:cs="Times New Roman"/>
          <w:b/>
          <w:bCs/>
        </w:rPr>
        <w:sectPr>
          <w:pgSz w:w="12240" w:h="15840"/>
          <w:pgMar w:top="1440" w:right="1440" w:bottom="1440" w:left="1440" w:header="708" w:footer="2880" w:gutter="0"/>
          <w:cols w:space="708" w:num="1"/>
          <w:docGrid w:linePitch="360" w:charSpace="0"/>
        </w:sectPr>
      </w:pPr>
    </w:p>
    <w:tbl>
      <w:tblPr>
        <w:tblStyle w:val="7"/>
        <w:tblpPr w:leftFromText="180" w:rightFromText="180" w:horzAnchor="margin" w:tblpY="935"/>
        <w:tblW w:w="9540" w:type="dxa"/>
        <w:tblInd w:w="0" w:type="dxa"/>
        <w:tblLayout w:type="fixed"/>
        <w:tblCellMar>
          <w:top w:w="0" w:type="dxa"/>
          <w:left w:w="0" w:type="dxa"/>
          <w:bottom w:w="0" w:type="dxa"/>
          <w:right w:w="0" w:type="dxa"/>
        </w:tblCellMar>
      </w:tblPr>
      <w:tblGrid>
        <w:gridCol w:w="1854"/>
        <w:gridCol w:w="1772"/>
        <w:gridCol w:w="2394"/>
        <w:gridCol w:w="2073"/>
        <w:gridCol w:w="1447"/>
      </w:tblGrid>
      <w:tr w14:paraId="7FF97D30">
        <w:tblPrEx>
          <w:tblCellMar>
            <w:top w:w="0" w:type="dxa"/>
            <w:left w:w="0" w:type="dxa"/>
            <w:bottom w:w="0" w:type="dxa"/>
            <w:right w:w="0" w:type="dxa"/>
          </w:tblCellMar>
        </w:tblPrEx>
        <w:trPr>
          <w:cantSplit/>
          <w:trHeight w:val="1250" w:hRule="atLeast"/>
        </w:trPr>
        <w:tc>
          <w:tcPr>
            <w:tcW w:w="3626" w:type="dxa"/>
            <w:gridSpan w:val="2"/>
            <w:vMerge w:val="restart"/>
            <w:tcBorders>
              <w:top w:val="nil"/>
              <w:left w:val="nil"/>
              <w:bottom w:val="nil"/>
              <w:right w:val="nil"/>
            </w:tcBorders>
            <w:shd w:val="clear" w:color="auto" w:fill="FFFFFF"/>
            <w:vAlign w:val="bottom"/>
          </w:tcPr>
          <w:p w14:paraId="5A959BC3">
            <w:pPr>
              <w:autoSpaceDE w:val="0"/>
              <w:autoSpaceDN w:val="0"/>
              <w:adjustRightInd w:val="0"/>
              <w:spacing w:after="0" w:line="240" w:lineRule="auto"/>
              <w:rPr>
                <w:rFonts w:cs="Times New Roman"/>
                <w:b/>
                <w:bCs/>
                <w:szCs w:val="24"/>
                <w:lang w:val="en-GB"/>
              </w:rPr>
            </w:pPr>
          </w:p>
          <w:p w14:paraId="388560B5">
            <w:pPr>
              <w:autoSpaceDE w:val="0"/>
              <w:autoSpaceDN w:val="0"/>
              <w:adjustRightInd w:val="0"/>
              <w:spacing w:after="0" w:line="240" w:lineRule="auto"/>
              <w:rPr>
                <w:rFonts w:cs="Times New Roman"/>
                <w:b/>
                <w:bCs/>
                <w:szCs w:val="24"/>
                <w:lang w:val="en-GB"/>
              </w:rPr>
            </w:pPr>
          </w:p>
          <w:p w14:paraId="5EA22020">
            <w:pPr>
              <w:autoSpaceDE w:val="0"/>
              <w:autoSpaceDN w:val="0"/>
              <w:adjustRightInd w:val="0"/>
              <w:spacing w:after="0" w:line="240" w:lineRule="auto"/>
              <w:rPr>
                <w:rFonts w:cs="Times New Roman"/>
                <w:b/>
                <w:bCs/>
                <w:szCs w:val="24"/>
              </w:rPr>
            </w:pPr>
          </w:p>
          <w:p w14:paraId="0CB74AB6">
            <w:pPr>
              <w:autoSpaceDE w:val="0"/>
              <w:autoSpaceDN w:val="0"/>
              <w:adjustRightInd w:val="0"/>
              <w:spacing w:after="0" w:line="240" w:lineRule="auto"/>
              <w:rPr>
                <w:rFonts w:cs="Times New Roman"/>
                <w:b/>
                <w:bCs/>
                <w:szCs w:val="24"/>
              </w:rPr>
            </w:pPr>
          </w:p>
        </w:tc>
        <w:tc>
          <w:tcPr>
            <w:tcW w:w="4467" w:type="dxa"/>
            <w:gridSpan w:val="2"/>
            <w:tcBorders>
              <w:top w:val="nil"/>
              <w:left w:val="nil"/>
              <w:bottom w:val="nil"/>
              <w:right w:val="single" w:color="E0E0E0" w:sz="8" w:space="0"/>
            </w:tcBorders>
            <w:shd w:val="clear" w:color="auto" w:fill="FFFFFF"/>
            <w:vAlign w:val="bottom"/>
          </w:tcPr>
          <w:p w14:paraId="6EB9EED9">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Gamma haemolytic bacteria</w:t>
            </w:r>
          </w:p>
        </w:tc>
        <w:tc>
          <w:tcPr>
            <w:tcW w:w="1447" w:type="dxa"/>
            <w:vMerge w:val="restart"/>
            <w:tcBorders>
              <w:top w:val="nil"/>
              <w:left w:val="single" w:color="E0E0E0" w:sz="8" w:space="0"/>
              <w:bottom w:val="nil"/>
              <w:right w:val="nil"/>
            </w:tcBorders>
            <w:shd w:val="clear" w:color="auto" w:fill="FFFFFF"/>
            <w:vAlign w:val="bottom"/>
          </w:tcPr>
          <w:p w14:paraId="6E0CE6A7">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14:paraId="1B031C98">
        <w:tblPrEx>
          <w:tblCellMar>
            <w:top w:w="0" w:type="dxa"/>
            <w:left w:w="0" w:type="dxa"/>
            <w:bottom w:w="0" w:type="dxa"/>
            <w:right w:w="0" w:type="dxa"/>
          </w:tblCellMar>
        </w:tblPrEx>
        <w:trPr>
          <w:cantSplit/>
          <w:trHeight w:val="625" w:hRule="atLeast"/>
        </w:trPr>
        <w:tc>
          <w:tcPr>
            <w:tcW w:w="3626" w:type="dxa"/>
            <w:gridSpan w:val="2"/>
            <w:vMerge w:val="continue"/>
            <w:tcBorders>
              <w:top w:val="nil"/>
              <w:left w:val="nil"/>
              <w:bottom w:val="nil"/>
              <w:right w:val="nil"/>
            </w:tcBorders>
            <w:shd w:val="clear" w:color="auto" w:fill="FFFFFF"/>
            <w:vAlign w:val="bottom"/>
          </w:tcPr>
          <w:p w14:paraId="2144A9A1">
            <w:pPr>
              <w:autoSpaceDE w:val="0"/>
              <w:autoSpaceDN w:val="0"/>
              <w:adjustRightInd w:val="0"/>
              <w:spacing w:after="0" w:line="240" w:lineRule="auto"/>
              <w:rPr>
                <w:rFonts w:ascii="Arial" w:hAnsi="Arial" w:cs="Arial"/>
                <w:color w:val="264A60"/>
                <w:sz w:val="18"/>
                <w:szCs w:val="18"/>
                <w:lang w:val="en-GB"/>
              </w:rPr>
            </w:pPr>
          </w:p>
        </w:tc>
        <w:tc>
          <w:tcPr>
            <w:tcW w:w="2394" w:type="dxa"/>
            <w:tcBorders>
              <w:top w:val="nil"/>
              <w:left w:val="nil"/>
              <w:bottom w:val="single" w:color="152935" w:sz="8" w:space="0"/>
              <w:right w:val="single" w:color="E0E0E0" w:sz="8" w:space="0"/>
            </w:tcBorders>
            <w:shd w:val="clear" w:color="auto" w:fill="FFFFFF"/>
            <w:vAlign w:val="bottom"/>
          </w:tcPr>
          <w:p w14:paraId="622C3D7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73" w:type="dxa"/>
            <w:tcBorders>
              <w:top w:val="nil"/>
              <w:left w:val="single" w:color="E0E0E0" w:sz="8" w:space="0"/>
              <w:bottom w:val="single" w:color="152935" w:sz="8" w:space="0"/>
              <w:right w:val="single" w:color="E0E0E0" w:sz="8" w:space="0"/>
            </w:tcBorders>
            <w:shd w:val="clear" w:color="auto" w:fill="FFFFFF"/>
            <w:vAlign w:val="bottom"/>
          </w:tcPr>
          <w:p w14:paraId="563EA5A4">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47" w:type="dxa"/>
            <w:vMerge w:val="continue"/>
            <w:tcBorders>
              <w:top w:val="nil"/>
              <w:left w:val="single" w:color="E0E0E0" w:sz="8" w:space="0"/>
              <w:bottom w:val="nil"/>
              <w:right w:val="nil"/>
            </w:tcBorders>
            <w:shd w:val="clear" w:color="auto" w:fill="FFFFFF"/>
            <w:vAlign w:val="bottom"/>
          </w:tcPr>
          <w:p w14:paraId="3C65733F">
            <w:pPr>
              <w:autoSpaceDE w:val="0"/>
              <w:autoSpaceDN w:val="0"/>
              <w:adjustRightInd w:val="0"/>
              <w:spacing w:after="0" w:line="240" w:lineRule="auto"/>
              <w:rPr>
                <w:rFonts w:ascii="Arial" w:hAnsi="Arial" w:cs="Arial"/>
                <w:color w:val="264A60"/>
                <w:sz w:val="18"/>
                <w:szCs w:val="18"/>
                <w:lang w:val="en-GB"/>
              </w:rPr>
            </w:pPr>
          </w:p>
        </w:tc>
      </w:tr>
      <w:tr w14:paraId="71E9B9CE">
        <w:tblPrEx>
          <w:tblCellMar>
            <w:top w:w="0" w:type="dxa"/>
            <w:left w:w="0" w:type="dxa"/>
            <w:bottom w:w="0" w:type="dxa"/>
            <w:right w:w="0" w:type="dxa"/>
          </w:tblCellMar>
        </w:tblPrEx>
        <w:trPr>
          <w:cantSplit/>
          <w:trHeight w:val="664" w:hRule="atLeast"/>
        </w:trPr>
        <w:tc>
          <w:tcPr>
            <w:tcW w:w="1854" w:type="dxa"/>
            <w:vMerge w:val="restart"/>
            <w:tcBorders>
              <w:top w:val="single" w:color="152935" w:sz="8" w:space="0"/>
              <w:left w:val="nil"/>
              <w:bottom w:val="single" w:color="AEAEAE" w:sz="8" w:space="0"/>
              <w:right w:val="nil"/>
            </w:tcBorders>
            <w:shd w:val="clear" w:color="auto" w:fill="E0E0E0"/>
          </w:tcPr>
          <w:p w14:paraId="616CAB7D">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72" w:type="dxa"/>
            <w:tcBorders>
              <w:top w:val="single" w:color="152935" w:sz="8" w:space="0"/>
              <w:left w:val="nil"/>
              <w:bottom w:val="single" w:color="AEAEAE" w:sz="8" w:space="0"/>
              <w:right w:val="nil"/>
            </w:tcBorders>
            <w:shd w:val="clear" w:color="auto" w:fill="E0E0E0"/>
          </w:tcPr>
          <w:p w14:paraId="20FBC410">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394" w:type="dxa"/>
            <w:tcBorders>
              <w:top w:val="single" w:color="152935" w:sz="8" w:space="0"/>
              <w:left w:val="nil"/>
              <w:bottom w:val="single" w:color="AEAEAE" w:sz="8" w:space="0"/>
              <w:right w:val="single" w:color="E0E0E0" w:sz="8" w:space="0"/>
            </w:tcBorders>
            <w:shd w:val="clear" w:color="auto" w:fill="F9F9FB"/>
          </w:tcPr>
          <w:p w14:paraId="759D51A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color="152935" w:sz="8" w:space="0"/>
              <w:left w:val="single" w:color="E0E0E0" w:sz="8" w:space="0"/>
              <w:bottom w:val="single" w:color="AEAEAE" w:sz="8" w:space="0"/>
              <w:right w:val="single" w:color="E0E0E0" w:sz="8" w:space="0"/>
            </w:tcBorders>
            <w:shd w:val="clear" w:color="auto" w:fill="F9F9FB"/>
          </w:tcPr>
          <w:p w14:paraId="2F519A0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5</w:t>
            </w:r>
          </w:p>
        </w:tc>
        <w:tc>
          <w:tcPr>
            <w:tcW w:w="1447" w:type="dxa"/>
            <w:tcBorders>
              <w:top w:val="single" w:color="152935" w:sz="8" w:space="0"/>
              <w:left w:val="single" w:color="E0E0E0" w:sz="8" w:space="0"/>
              <w:bottom w:val="single" w:color="AEAEAE" w:sz="8" w:space="0"/>
              <w:right w:val="nil"/>
            </w:tcBorders>
            <w:shd w:val="clear" w:color="auto" w:fill="F9F9FB"/>
          </w:tcPr>
          <w:p w14:paraId="688FDBA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6BEF0CB2">
        <w:tblPrEx>
          <w:tblCellMar>
            <w:top w:w="0" w:type="dxa"/>
            <w:left w:w="0" w:type="dxa"/>
            <w:bottom w:w="0" w:type="dxa"/>
            <w:right w:w="0" w:type="dxa"/>
          </w:tblCellMar>
        </w:tblPrEx>
        <w:trPr>
          <w:cantSplit/>
          <w:trHeight w:val="664" w:hRule="atLeast"/>
        </w:trPr>
        <w:tc>
          <w:tcPr>
            <w:tcW w:w="1854" w:type="dxa"/>
            <w:vMerge w:val="continue"/>
            <w:tcBorders>
              <w:top w:val="single" w:color="152935" w:sz="8" w:space="0"/>
              <w:left w:val="nil"/>
              <w:bottom w:val="single" w:color="AEAEAE" w:sz="8" w:space="0"/>
              <w:right w:val="nil"/>
            </w:tcBorders>
            <w:shd w:val="clear" w:color="auto" w:fill="E0E0E0"/>
          </w:tcPr>
          <w:p w14:paraId="2E89F984">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color="AEAEAE" w:sz="8" w:space="0"/>
              <w:left w:val="nil"/>
              <w:bottom w:val="single" w:color="AEAEAE" w:sz="8" w:space="0"/>
              <w:right w:val="nil"/>
            </w:tcBorders>
            <w:shd w:val="clear" w:color="auto" w:fill="E0E0E0"/>
          </w:tcPr>
          <w:p w14:paraId="7E360328">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394" w:type="dxa"/>
            <w:tcBorders>
              <w:top w:val="single" w:color="AEAEAE" w:sz="8" w:space="0"/>
              <w:left w:val="nil"/>
              <w:bottom w:val="single" w:color="AEAEAE" w:sz="8" w:space="0"/>
              <w:right w:val="single" w:color="E0E0E0" w:sz="8" w:space="0"/>
            </w:tcBorders>
            <w:shd w:val="clear" w:color="auto" w:fill="F9F9FB"/>
          </w:tcPr>
          <w:p w14:paraId="79241D4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color="AEAEAE" w:sz="8" w:space="0"/>
              <w:left w:val="single" w:color="E0E0E0" w:sz="8" w:space="0"/>
              <w:bottom w:val="single" w:color="AEAEAE" w:sz="8" w:space="0"/>
              <w:right w:val="single" w:color="E0E0E0" w:sz="8" w:space="0"/>
            </w:tcBorders>
            <w:shd w:val="clear" w:color="auto" w:fill="F9F9FB"/>
          </w:tcPr>
          <w:p w14:paraId="7984F1E7">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47" w:type="dxa"/>
            <w:tcBorders>
              <w:top w:val="single" w:color="AEAEAE" w:sz="8" w:space="0"/>
              <w:left w:val="single" w:color="E0E0E0" w:sz="8" w:space="0"/>
              <w:bottom w:val="single" w:color="AEAEAE" w:sz="8" w:space="0"/>
              <w:right w:val="nil"/>
            </w:tcBorders>
            <w:shd w:val="clear" w:color="auto" w:fill="F9F9FB"/>
          </w:tcPr>
          <w:p w14:paraId="7C413083">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149EA4B7">
        <w:tblPrEx>
          <w:tblCellMar>
            <w:top w:w="0" w:type="dxa"/>
            <w:left w:w="0" w:type="dxa"/>
            <w:bottom w:w="0" w:type="dxa"/>
            <w:right w:w="0" w:type="dxa"/>
          </w:tblCellMar>
        </w:tblPrEx>
        <w:trPr>
          <w:cantSplit/>
          <w:trHeight w:val="664" w:hRule="atLeast"/>
        </w:trPr>
        <w:tc>
          <w:tcPr>
            <w:tcW w:w="1854" w:type="dxa"/>
            <w:vMerge w:val="continue"/>
            <w:tcBorders>
              <w:top w:val="single" w:color="152935" w:sz="8" w:space="0"/>
              <w:left w:val="nil"/>
              <w:bottom w:val="single" w:color="AEAEAE" w:sz="8" w:space="0"/>
              <w:right w:val="nil"/>
            </w:tcBorders>
            <w:shd w:val="clear" w:color="auto" w:fill="E0E0E0"/>
          </w:tcPr>
          <w:p w14:paraId="4CC6F349">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color="AEAEAE" w:sz="8" w:space="0"/>
              <w:left w:val="nil"/>
              <w:bottom w:val="single" w:color="AEAEAE" w:sz="8" w:space="0"/>
              <w:right w:val="nil"/>
            </w:tcBorders>
            <w:shd w:val="clear" w:color="auto" w:fill="E0E0E0"/>
          </w:tcPr>
          <w:p w14:paraId="077023A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394" w:type="dxa"/>
            <w:tcBorders>
              <w:top w:val="single" w:color="AEAEAE" w:sz="8" w:space="0"/>
              <w:left w:val="nil"/>
              <w:bottom w:val="single" w:color="AEAEAE" w:sz="8" w:space="0"/>
              <w:right w:val="single" w:color="E0E0E0" w:sz="8" w:space="0"/>
            </w:tcBorders>
            <w:shd w:val="clear" w:color="auto" w:fill="F9F9FB"/>
          </w:tcPr>
          <w:p w14:paraId="7414288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color="AEAEAE" w:sz="8" w:space="0"/>
              <w:left w:val="single" w:color="E0E0E0" w:sz="8" w:space="0"/>
              <w:bottom w:val="single" w:color="AEAEAE" w:sz="8" w:space="0"/>
              <w:right w:val="single" w:color="E0E0E0" w:sz="8" w:space="0"/>
            </w:tcBorders>
            <w:shd w:val="clear" w:color="auto" w:fill="F9F9FB"/>
          </w:tcPr>
          <w:p w14:paraId="4464076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47" w:type="dxa"/>
            <w:tcBorders>
              <w:top w:val="single" w:color="AEAEAE" w:sz="8" w:space="0"/>
              <w:left w:val="single" w:color="E0E0E0" w:sz="8" w:space="0"/>
              <w:bottom w:val="single" w:color="AEAEAE" w:sz="8" w:space="0"/>
              <w:right w:val="nil"/>
            </w:tcBorders>
            <w:shd w:val="clear" w:color="auto" w:fill="F9F9FB"/>
          </w:tcPr>
          <w:p w14:paraId="4C7DE3F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04B53FFF">
        <w:tblPrEx>
          <w:tblCellMar>
            <w:top w:w="0" w:type="dxa"/>
            <w:left w:w="0" w:type="dxa"/>
            <w:bottom w:w="0" w:type="dxa"/>
            <w:right w:w="0" w:type="dxa"/>
          </w:tblCellMar>
        </w:tblPrEx>
        <w:trPr>
          <w:cantSplit/>
          <w:trHeight w:val="664" w:hRule="atLeast"/>
        </w:trPr>
        <w:tc>
          <w:tcPr>
            <w:tcW w:w="1854" w:type="dxa"/>
            <w:vMerge w:val="continue"/>
            <w:tcBorders>
              <w:top w:val="single" w:color="152935" w:sz="8" w:space="0"/>
              <w:left w:val="nil"/>
              <w:bottom w:val="single" w:color="AEAEAE" w:sz="8" w:space="0"/>
              <w:right w:val="nil"/>
            </w:tcBorders>
            <w:shd w:val="clear" w:color="auto" w:fill="E0E0E0"/>
          </w:tcPr>
          <w:p w14:paraId="2521C63E">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color="AEAEAE" w:sz="8" w:space="0"/>
              <w:left w:val="nil"/>
              <w:bottom w:val="single" w:color="AEAEAE" w:sz="8" w:space="0"/>
              <w:right w:val="nil"/>
            </w:tcBorders>
            <w:shd w:val="clear" w:color="auto" w:fill="E0E0E0"/>
          </w:tcPr>
          <w:p w14:paraId="1BBEF01F">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394" w:type="dxa"/>
            <w:tcBorders>
              <w:top w:val="single" w:color="AEAEAE" w:sz="8" w:space="0"/>
              <w:left w:val="nil"/>
              <w:bottom w:val="single" w:color="AEAEAE" w:sz="8" w:space="0"/>
              <w:right w:val="single" w:color="E0E0E0" w:sz="8" w:space="0"/>
            </w:tcBorders>
            <w:shd w:val="clear" w:color="auto" w:fill="F9F9FB"/>
          </w:tcPr>
          <w:p w14:paraId="070EA690">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73" w:type="dxa"/>
            <w:tcBorders>
              <w:top w:val="single" w:color="AEAEAE" w:sz="8" w:space="0"/>
              <w:left w:val="single" w:color="E0E0E0" w:sz="8" w:space="0"/>
              <w:bottom w:val="single" w:color="AEAEAE" w:sz="8" w:space="0"/>
              <w:right w:val="single" w:color="E0E0E0" w:sz="8" w:space="0"/>
            </w:tcBorders>
            <w:shd w:val="clear" w:color="auto" w:fill="F9F9FB"/>
          </w:tcPr>
          <w:p w14:paraId="581898D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447" w:type="dxa"/>
            <w:tcBorders>
              <w:top w:val="single" w:color="AEAEAE" w:sz="8" w:space="0"/>
              <w:left w:val="single" w:color="E0E0E0" w:sz="8" w:space="0"/>
              <w:bottom w:val="single" w:color="AEAEAE" w:sz="8" w:space="0"/>
              <w:right w:val="nil"/>
            </w:tcBorders>
            <w:shd w:val="clear" w:color="auto" w:fill="F9F9FB"/>
          </w:tcPr>
          <w:p w14:paraId="42AD12C1">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03FE362E">
        <w:tblPrEx>
          <w:tblCellMar>
            <w:top w:w="0" w:type="dxa"/>
            <w:left w:w="0" w:type="dxa"/>
            <w:bottom w:w="0" w:type="dxa"/>
            <w:right w:w="0" w:type="dxa"/>
          </w:tblCellMar>
        </w:tblPrEx>
        <w:trPr>
          <w:cantSplit/>
          <w:trHeight w:val="664" w:hRule="atLeast"/>
        </w:trPr>
        <w:tc>
          <w:tcPr>
            <w:tcW w:w="1854" w:type="dxa"/>
            <w:vMerge w:val="continue"/>
            <w:tcBorders>
              <w:top w:val="single" w:color="152935" w:sz="8" w:space="0"/>
              <w:left w:val="nil"/>
              <w:bottom w:val="single" w:color="AEAEAE" w:sz="8" w:space="0"/>
              <w:right w:val="nil"/>
            </w:tcBorders>
            <w:shd w:val="clear" w:color="auto" w:fill="E0E0E0"/>
          </w:tcPr>
          <w:p w14:paraId="3864D0DC">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color="AEAEAE" w:sz="8" w:space="0"/>
              <w:left w:val="nil"/>
              <w:bottom w:val="single" w:color="AEAEAE" w:sz="8" w:space="0"/>
              <w:right w:val="nil"/>
            </w:tcBorders>
            <w:shd w:val="clear" w:color="auto" w:fill="E0E0E0"/>
          </w:tcPr>
          <w:p w14:paraId="0EAD5CBE">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394" w:type="dxa"/>
            <w:tcBorders>
              <w:top w:val="single" w:color="AEAEAE" w:sz="8" w:space="0"/>
              <w:left w:val="nil"/>
              <w:bottom w:val="single" w:color="AEAEAE" w:sz="8" w:space="0"/>
              <w:right w:val="single" w:color="E0E0E0" w:sz="8" w:space="0"/>
            </w:tcBorders>
            <w:shd w:val="clear" w:color="auto" w:fill="F9F9FB"/>
          </w:tcPr>
          <w:p w14:paraId="2BCBB02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color="AEAEAE" w:sz="8" w:space="0"/>
              <w:left w:val="single" w:color="E0E0E0" w:sz="8" w:space="0"/>
              <w:bottom w:val="single" w:color="AEAEAE" w:sz="8" w:space="0"/>
              <w:right w:val="single" w:color="E0E0E0" w:sz="8" w:space="0"/>
            </w:tcBorders>
            <w:shd w:val="clear" w:color="auto" w:fill="F9F9FB"/>
          </w:tcPr>
          <w:p w14:paraId="40328F4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color="AEAEAE" w:sz="8" w:space="0"/>
              <w:left w:val="single" w:color="E0E0E0" w:sz="8" w:space="0"/>
              <w:bottom w:val="single" w:color="AEAEAE" w:sz="8" w:space="0"/>
              <w:right w:val="nil"/>
            </w:tcBorders>
            <w:shd w:val="clear" w:color="auto" w:fill="F9F9FB"/>
          </w:tcPr>
          <w:p w14:paraId="6EB07ED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14:paraId="122A9B4D">
        <w:tblPrEx>
          <w:tblCellMar>
            <w:top w:w="0" w:type="dxa"/>
            <w:left w:w="0" w:type="dxa"/>
            <w:bottom w:w="0" w:type="dxa"/>
            <w:right w:w="0" w:type="dxa"/>
          </w:tblCellMar>
        </w:tblPrEx>
        <w:trPr>
          <w:cantSplit/>
          <w:trHeight w:val="664" w:hRule="atLeast"/>
        </w:trPr>
        <w:tc>
          <w:tcPr>
            <w:tcW w:w="1854" w:type="dxa"/>
            <w:vMerge w:val="continue"/>
            <w:tcBorders>
              <w:top w:val="single" w:color="152935" w:sz="8" w:space="0"/>
              <w:left w:val="nil"/>
              <w:bottom w:val="single" w:color="AEAEAE" w:sz="8" w:space="0"/>
              <w:right w:val="nil"/>
            </w:tcBorders>
            <w:shd w:val="clear" w:color="auto" w:fill="E0E0E0"/>
          </w:tcPr>
          <w:p w14:paraId="4A7127CD">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color="AEAEAE" w:sz="8" w:space="0"/>
              <w:left w:val="nil"/>
              <w:bottom w:val="single" w:color="AEAEAE" w:sz="8" w:space="0"/>
              <w:right w:val="nil"/>
            </w:tcBorders>
            <w:shd w:val="clear" w:color="auto" w:fill="E0E0E0"/>
          </w:tcPr>
          <w:p w14:paraId="7210B9F0">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394" w:type="dxa"/>
            <w:tcBorders>
              <w:top w:val="single" w:color="AEAEAE" w:sz="8" w:space="0"/>
              <w:left w:val="nil"/>
              <w:bottom w:val="single" w:color="AEAEAE" w:sz="8" w:space="0"/>
              <w:right w:val="single" w:color="E0E0E0" w:sz="8" w:space="0"/>
            </w:tcBorders>
            <w:shd w:val="clear" w:color="auto" w:fill="F9F9FB"/>
          </w:tcPr>
          <w:p w14:paraId="06BA1D8F">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2073" w:type="dxa"/>
            <w:tcBorders>
              <w:top w:val="single" w:color="AEAEAE" w:sz="8" w:space="0"/>
              <w:left w:val="single" w:color="E0E0E0" w:sz="8" w:space="0"/>
              <w:bottom w:val="single" w:color="AEAEAE" w:sz="8" w:space="0"/>
              <w:right w:val="single" w:color="E0E0E0" w:sz="8" w:space="0"/>
            </w:tcBorders>
            <w:shd w:val="clear" w:color="auto" w:fill="F9F9FB"/>
          </w:tcPr>
          <w:p w14:paraId="2D0CA3AF">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color="AEAEAE" w:sz="8" w:space="0"/>
              <w:left w:val="single" w:color="E0E0E0" w:sz="8" w:space="0"/>
              <w:bottom w:val="single" w:color="AEAEAE" w:sz="8" w:space="0"/>
              <w:right w:val="nil"/>
            </w:tcBorders>
            <w:shd w:val="clear" w:color="auto" w:fill="F9F9FB"/>
          </w:tcPr>
          <w:p w14:paraId="58F034E8">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14:paraId="3C8F0058">
        <w:tblPrEx>
          <w:tblCellMar>
            <w:top w:w="0" w:type="dxa"/>
            <w:left w:w="0" w:type="dxa"/>
            <w:bottom w:w="0" w:type="dxa"/>
            <w:right w:w="0" w:type="dxa"/>
          </w:tblCellMar>
        </w:tblPrEx>
        <w:trPr>
          <w:cantSplit/>
          <w:trHeight w:val="703" w:hRule="atLeast"/>
        </w:trPr>
        <w:tc>
          <w:tcPr>
            <w:tcW w:w="3626" w:type="dxa"/>
            <w:gridSpan w:val="2"/>
            <w:tcBorders>
              <w:top w:val="single" w:color="AEAEAE" w:sz="8" w:space="0"/>
              <w:left w:val="nil"/>
              <w:bottom w:val="single" w:color="152935" w:sz="8" w:space="0"/>
              <w:right w:val="nil"/>
            </w:tcBorders>
            <w:shd w:val="clear" w:color="auto" w:fill="E0E0E0"/>
          </w:tcPr>
          <w:p w14:paraId="0794857C">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394" w:type="dxa"/>
            <w:tcBorders>
              <w:top w:val="single" w:color="AEAEAE" w:sz="8" w:space="0"/>
              <w:left w:val="nil"/>
              <w:bottom w:val="single" w:color="152935" w:sz="8" w:space="0"/>
              <w:right w:val="single" w:color="E0E0E0" w:sz="8" w:space="0"/>
            </w:tcBorders>
            <w:shd w:val="clear" w:color="auto" w:fill="F9F9FB"/>
          </w:tcPr>
          <w:p w14:paraId="67D1957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22</w:t>
            </w:r>
          </w:p>
        </w:tc>
        <w:tc>
          <w:tcPr>
            <w:tcW w:w="2073" w:type="dxa"/>
            <w:tcBorders>
              <w:top w:val="single" w:color="AEAEAE" w:sz="8" w:space="0"/>
              <w:left w:val="single" w:color="E0E0E0" w:sz="8" w:space="0"/>
              <w:bottom w:val="single" w:color="152935" w:sz="8" w:space="0"/>
              <w:right w:val="single" w:color="E0E0E0" w:sz="8" w:space="0"/>
            </w:tcBorders>
            <w:shd w:val="clear" w:color="auto" w:fill="F9F9FB"/>
          </w:tcPr>
          <w:p w14:paraId="6E60425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14</w:t>
            </w:r>
          </w:p>
        </w:tc>
        <w:tc>
          <w:tcPr>
            <w:tcW w:w="1447" w:type="dxa"/>
            <w:tcBorders>
              <w:top w:val="single" w:color="AEAEAE" w:sz="8" w:space="0"/>
              <w:left w:val="single" w:color="E0E0E0" w:sz="8" w:space="0"/>
              <w:bottom w:val="single" w:color="152935" w:sz="8" w:space="0"/>
              <w:right w:val="nil"/>
            </w:tcBorders>
            <w:shd w:val="clear" w:color="auto" w:fill="F9F9FB"/>
          </w:tcPr>
          <w:p w14:paraId="7DDDAEF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550D011D">
      <w:pPr>
        <w:rPr>
          <w:b/>
          <w:bCs/>
        </w:rPr>
      </w:pPr>
      <w:bookmarkStart w:id="20" w:name="_Toc19425"/>
      <w:r>
        <w:rPr>
          <w:b/>
          <w:bCs/>
        </w:rPr>
        <w:t>Table 16 Prevalence of Gamma Haemolytic Bacteria</w:t>
      </w:r>
      <w:bookmarkEnd w:id="20"/>
    </w:p>
    <w:p w14:paraId="6EF0AADF">
      <w:pPr>
        <w:spacing w:line="480" w:lineRule="auto"/>
        <w:rPr>
          <w:rFonts w:cs="Times New Roman"/>
          <w:b/>
          <w:bCs/>
        </w:rPr>
      </w:pPr>
    </w:p>
    <w:p w14:paraId="5C816BBF">
      <w:pPr>
        <w:spacing w:line="480" w:lineRule="auto"/>
        <w:rPr>
          <w:rFonts w:cs="Times New Roman"/>
          <w:b/>
          <w:bCs/>
        </w:rPr>
      </w:pPr>
    </w:p>
    <w:p w14:paraId="7B385685">
      <w:pPr>
        <w:spacing w:line="480" w:lineRule="auto"/>
        <w:rPr>
          <w:rFonts w:cs="Times New Roman"/>
          <w:b/>
          <w:bCs/>
        </w:rPr>
      </w:pPr>
    </w:p>
    <w:p w14:paraId="5A3BBB07">
      <w:pPr>
        <w:spacing w:line="480" w:lineRule="auto"/>
        <w:rPr>
          <w:rFonts w:cs="Times New Roman"/>
          <w:b/>
          <w:bCs/>
        </w:rPr>
      </w:pPr>
    </w:p>
    <w:p w14:paraId="1A24B561">
      <w:pPr>
        <w:spacing w:line="480" w:lineRule="auto"/>
        <w:rPr>
          <w:rFonts w:cs="Times New Roman"/>
          <w:b/>
          <w:bCs/>
        </w:rPr>
      </w:pPr>
    </w:p>
    <w:p w14:paraId="28ECB51F">
      <w:pPr>
        <w:spacing w:line="480" w:lineRule="auto"/>
        <w:rPr>
          <w:rFonts w:cs="Times New Roman"/>
          <w:b/>
          <w:bCs/>
        </w:rPr>
      </w:pPr>
    </w:p>
    <w:p w14:paraId="4954A78C">
      <w:pPr>
        <w:spacing w:line="480" w:lineRule="auto"/>
        <w:rPr>
          <w:rFonts w:cs="Times New Roman"/>
          <w:b/>
          <w:bCs/>
        </w:rPr>
      </w:pPr>
    </w:p>
    <w:p w14:paraId="2A692825">
      <w:pPr>
        <w:spacing w:line="480" w:lineRule="auto"/>
        <w:rPr>
          <w:rFonts w:cs="Times New Roman"/>
          <w:b/>
          <w:bCs/>
        </w:rPr>
      </w:pPr>
    </w:p>
    <w:p w14:paraId="6735F65B">
      <w:pPr>
        <w:spacing w:line="480" w:lineRule="auto"/>
        <w:rPr>
          <w:rFonts w:cs="Times New Roman"/>
          <w:b/>
          <w:bCs/>
        </w:rPr>
      </w:pPr>
    </w:p>
    <w:p w14:paraId="6C07E5B2">
      <w:pPr>
        <w:spacing w:line="480" w:lineRule="auto"/>
        <w:rPr>
          <w:rFonts w:cs="Times New Roman"/>
          <w:b/>
          <w:bCs/>
        </w:rPr>
      </w:pPr>
    </w:p>
    <w:p w14:paraId="1569B3FB">
      <w:pPr>
        <w:rPr>
          <w:b/>
          <w:bCs/>
        </w:rPr>
      </w:pPr>
      <w:bookmarkStart w:id="21" w:name="_Toc1644"/>
      <w:r>
        <w:rPr>
          <w:b/>
          <w:bCs/>
        </w:rPr>
        <w:t xml:space="preserve">Table 17 </w:t>
      </w:r>
      <w:bookmarkStart w:id="22" w:name="_Hlk171545328"/>
      <w:r>
        <w:rPr>
          <w:b/>
          <w:bCs/>
          <w:lang w:val="en-GB"/>
        </w:rPr>
        <w:t xml:space="preserve">Prevalence of </w:t>
      </w:r>
      <w:r>
        <w:rPr>
          <w:b/>
          <w:bCs/>
        </w:rPr>
        <w:t>Biofilm Forming</w:t>
      </w:r>
      <w:r>
        <w:rPr>
          <w:b/>
          <w:bCs/>
          <w:lang w:val="en-GB"/>
        </w:rPr>
        <w:t xml:space="preserve"> Bacteria</w:t>
      </w:r>
      <w:bookmarkEnd w:id="21"/>
      <w:bookmarkEnd w:id="22"/>
    </w:p>
    <w:tbl>
      <w:tblPr>
        <w:tblStyle w:val="7"/>
        <w:tblW w:w="9120" w:type="dxa"/>
        <w:tblInd w:w="0" w:type="dxa"/>
        <w:tblLayout w:type="fixed"/>
        <w:tblCellMar>
          <w:top w:w="0" w:type="dxa"/>
          <w:left w:w="0" w:type="dxa"/>
          <w:bottom w:w="0" w:type="dxa"/>
          <w:right w:w="0" w:type="dxa"/>
        </w:tblCellMar>
      </w:tblPr>
      <w:tblGrid>
        <w:gridCol w:w="1772"/>
        <w:gridCol w:w="1751"/>
        <w:gridCol w:w="2232"/>
        <w:gridCol w:w="1981"/>
        <w:gridCol w:w="1384"/>
      </w:tblGrid>
      <w:tr w14:paraId="102CCC37">
        <w:tblPrEx>
          <w:tblCellMar>
            <w:top w:w="0" w:type="dxa"/>
            <w:left w:w="0" w:type="dxa"/>
            <w:bottom w:w="0" w:type="dxa"/>
            <w:right w:w="0" w:type="dxa"/>
          </w:tblCellMar>
        </w:tblPrEx>
        <w:trPr>
          <w:cantSplit/>
          <w:trHeight w:val="1154" w:hRule="atLeast"/>
        </w:trPr>
        <w:tc>
          <w:tcPr>
            <w:tcW w:w="3523" w:type="dxa"/>
            <w:gridSpan w:val="2"/>
            <w:vMerge w:val="restart"/>
            <w:tcBorders>
              <w:top w:val="nil"/>
              <w:left w:val="nil"/>
              <w:bottom w:val="nil"/>
              <w:right w:val="nil"/>
            </w:tcBorders>
            <w:shd w:val="clear" w:color="auto" w:fill="FFFFFF"/>
            <w:vAlign w:val="bottom"/>
          </w:tcPr>
          <w:p w14:paraId="23C9B9F8">
            <w:pPr>
              <w:autoSpaceDE w:val="0"/>
              <w:autoSpaceDN w:val="0"/>
              <w:adjustRightInd w:val="0"/>
              <w:spacing w:after="0" w:line="240" w:lineRule="auto"/>
              <w:rPr>
                <w:rFonts w:cs="Times New Roman"/>
                <w:b/>
                <w:bCs/>
                <w:szCs w:val="24"/>
              </w:rPr>
            </w:pPr>
          </w:p>
          <w:p w14:paraId="0CF01FC3">
            <w:pPr>
              <w:autoSpaceDE w:val="0"/>
              <w:autoSpaceDN w:val="0"/>
              <w:adjustRightInd w:val="0"/>
              <w:spacing w:after="0" w:line="240" w:lineRule="auto"/>
              <w:rPr>
                <w:rFonts w:cs="Times New Roman"/>
                <w:b/>
                <w:bCs/>
                <w:szCs w:val="24"/>
              </w:rPr>
            </w:pPr>
          </w:p>
        </w:tc>
        <w:tc>
          <w:tcPr>
            <w:tcW w:w="4213" w:type="dxa"/>
            <w:gridSpan w:val="2"/>
            <w:tcBorders>
              <w:top w:val="nil"/>
              <w:left w:val="nil"/>
              <w:bottom w:val="nil"/>
              <w:right w:val="single" w:color="E0E0E0" w:sz="8" w:space="0"/>
            </w:tcBorders>
            <w:shd w:val="clear" w:color="auto" w:fill="FFFFFF"/>
            <w:vAlign w:val="bottom"/>
          </w:tcPr>
          <w:p w14:paraId="72FF25F2">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Prevalence of Biofilm forming bacteria</w:t>
            </w:r>
          </w:p>
        </w:tc>
        <w:tc>
          <w:tcPr>
            <w:tcW w:w="1384" w:type="dxa"/>
            <w:vMerge w:val="restart"/>
            <w:tcBorders>
              <w:top w:val="nil"/>
              <w:left w:val="single" w:color="E0E0E0" w:sz="8" w:space="0"/>
              <w:bottom w:val="nil"/>
              <w:right w:val="nil"/>
            </w:tcBorders>
            <w:shd w:val="clear" w:color="auto" w:fill="FFFFFF"/>
            <w:vAlign w:val="bottom"/>
          </w:tcPr>
          <w:p w14:paraId="415FB843">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Total</w:t>
            </w:r>
          </w:p>
        </w:tc>
      </w:tr>
      <w:tr w14:paraId="4BB7E192">
        <w:tblPrEx>
          <w:tblCellMar>
            <w:top w:w="0" w:type="dxa"/>
            <w:left w:w="0" w:type="dxa"/>
            <w:bottom w:w="0" w:type="dxa"/>
            <w:right w:w="0" w:type="dxa"/>
          </w:tblCellMar>
        </w:tblPrEx>
        <w:trPr>
          <w:cantSplit/>
          <w:trHeight w:val="576" w:hRule="atLeast"/>
        </w:trPr>
        <w:tc>
          <w:tcPr>
            <w:tcW w:w="3523" w:type="dxa"/>
            <w:gridSpan w:val="2"/>
            <w:vMerge w:val="continue"/>
            <w:tcBorders>
              <w:top w:val="nil"/>
              <w:left w:val="nil"/>
              <w:bottom w:val="nil"/>
              <w:right w:val="nil"/>
            </w:tcBorders>
            <w:shd w:val="clear" w:color="auto" w:fill="FFFFFF"/>
            <w:vAlign w:val="bottom"/>
          </w:tcPr>
          <w:p w14:paraId="21A326B6">
            <w:pPr>
              <w:autoSpaceDE w:val="0"/>
              <w:autoSpaceDN w:val="0"/>
              <w:adjustRightInd w:val="0"/>
              <w:spacing w:after="0" w:line="240" w:lineRule="auto"/>
              <w:rPr>
                <w:rFonts w:ascii="Arial" w:hAnsi="Arial" w:cs="Arial"/>
                <w:color w:val="264A60"/>
                <w:sz w:val="18"/>
                <w:szCs w:val="18"/>
                <w:lang w:val="en-GB"/>
              </w:rPr>
            </w:pPr>
          </w:p>
        </w:tc>
        <w:tc>
          <w:tcPr>
            <w:tcW w:w="2232" w:type="dxa"/>
            <w:tcBorders>
              <w:top w:val="nil"/>
              <w:left w:val="nil"/>
              <w:bottom w:val="single" w:color="152935" w:sz="8" w:space="0"/>
              <w:right w:val="single" w:color="E0E0E0" w:sz="8" w:space="0"/>
            </w:tcBorders>
            <w:shd w:val="clear" w:color="auto" w:fill="FFFFFF"/>
            <w:vAlign w:val="bottom"/>
          </w:tcPr>
          <w:p w14:paraId="0B10C79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1981" w:type="dxa"/>
            <w:tcBorders>
              <w:top w:val="nil"/>
              <w:left w:val="single" w:color="E0E0E0" w:sz="8" w:space="0"/>
              <w:bottom w:val="single" w:color="152935" w:sz="8" w:space="0"/>
              <w:right w:val="single" w:color="E0E0E0" w:sz="8" w:space="0"/>
            </w:tcBorders>
            <w:shd w:val="clear" w:color="auto" w:fill="FFFFFF"/>
            <w:vAlign w:val="bottom"/>
          </w:tcPr>
          <w:p w14:paraId="1DC5E3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384" w:type="dxa"/>
            <w:vMerge w:val="continue"/>
            <w:tcBorders>
              <w:top w:val="nil"/>
              <w:left w:val="single" w:color="E0E0E0" w:sz="8" w:space="0"/>
              <w:bottom w:val="nil"/>
              <w:right w:val="nil"/>
            </w:tcBorders>
            <w:shd w:val="clear" w:color="auto" w:fill="FFFFFF"/>
            <w:vAlign w:val="bottom"/>
          </w:tcPr>
          <w:p w14:paraId="4BC47B38">
            <w:pPr>
              <w:autoSpaceDE w:val="0"/>
              <w:autoSpaceDN w:val="0"/>
              <w:adjustRightInd w:val="0"/>
              <w:spacing w:after="0" w:line="240" w:lineRule="auto"/>
              <w:rPr>
                <w:rFonts w:ascii="Arial" w:hAnsi="Arial" w:cs="Arial"/>
                <w:color w:val="264A60"/>
                <w:sz w:val="18"/>
                <w:szCs w:val="18"/>
                <w:lang w:val="en-GB"/>
              </w:rPr>
            </w:pPr>
          </w:p>
        </w:tc>
      </w:tr>
      <w:tr w14:paraId="295A09E5">
        <w:tblPrEx>
          <w:tblCellMar>
            <w:top w:w="0" w:type="dxa"/>
            <w:left w:w="0" w:type="dxa"/>
            <w:bottom w:w="0" w:type="dxa"/>
            <w:right w:w="0" w:type="dxa"/>
          </w:tblCellMar>
        </w:tblPrEx>
        <w:trPr>
          <w:cantSplit/>
          <w:trHeight w:val="637" w:hRule="atLeast"/>
        </w:trPr>
        <w:tc>
          <w:tcPr>
            <w:tcW w:w="1772" w:type="dxa"/>
            <w:vMerge w:val="restart"/>
            <w:tcBorders>
              <w:top w:val="single" w:color="152935" w:sz="8" w:space="0"/>
              <w:left w:val="nil"/>
              <w:bottom w:val="single" w:color="AEAEAE" w:sz="8" w:space="0"/>
              <w:right w:val="nil"/>
            </w:tcBorders>
            <w:shd w:val="clear" w:color="auto" w:fill="E0E0E0"/>
          </w:tcPr>
          <w:p w14:paraId="685569CA">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51" w:type="dxa"/>
            <w:tcBorders>
              <w:top w:val="single" w:color="152935" w:sz="8" w:space="0"/>
              <w:left w:val="nil"/>
              <w:bottom w:val="single" w:color="AEAEAE" w:sz="8" w:space="0"/>
              <w:right w:val="nil"/>
            </w:tcBorders>
            <w:shd w:val="clear" w:color="auto" w:fill="E0E0E0"/>
          </w:tcPr>
          <w:p w14:paraId="2FC85CBA">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32" w:type="dxa"/>
            <w:tcBorders>
              <w:top w:val="single" w:color="152935" w:sz="8" w:space="0"/>
              <w:left w:val="nil"/>
              <w:bottom w:val="single" w:color="AEAEAE" w:sz="8" w:space="0"/>
              <w:right w:val="single" w:color="E0E0E0" w:sz="8" w:space="0"/>
            </w:tcBorders>
            <w:shd w:val="clear" w:color="auto" w:fill="F9F9FB"/>
          </w:tcPr>
          <w:p w14:paraId="349A0617">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color="152935" w:sz="8" w:space="0"/>
              <w:left w:val="single" w:color="E0E0E0" w:sz="8" w:space="0"/>
              <w:bottom w:val="single" w:color="AEAEAE" w:sz="8" w:space="0"/>
              <w:right w:val="single" w:color="E0E0E0" w:sz="8" w:space="0"/>
            </w:tcBorders>
            <w:shd w:val="clear" w:color="auto" w:fill="F9F9FB"/>
          </w:tcPr>
          <w:p w14:paraId="13E874E1">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384" w:type="dxa"/>
            <w:tcBorders>
              <w:top w:val="single" w:color="152935" w:sz="8" w:space="0"/>
              <w:left w:val="single" w:color="E0E0E0" w:sz="8" w:space="0"/>
              <w:bottom w:val="single" w:color="AEAEAE" w:sz="8" w:space="0"/>
              <w:right w:val="nil"/>
            </w:tcBorders>
            <w:shd w:val="clear" w:color="auto" w:fill="F9F9FB"/>
          </w:tcPr>
          <w:p w14:paraId="57D88B04">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61F81239">
        <w:tblPrEx>
          <w:tblCellMar>
            <w:top w:w="0" w:type="dxa"/>
            <w:left w:w="0" w:type="dxa"/>
            <w:bottom w:w="0" w:type="dxa"/>
            <w:right w:w="0" w:type="dxa"/>
          </w:tblCellMar>
        </w:tblPrEx>
        <w:trPr>
          <w:cantSplit/>
          <w:trHeight w:val="637" w:hRule="atLeast"/>
        </w:trPr>
        <w:tc>
          <w:tcPr>
            <w:tcW w:w="1772" w:type="dxa"/>
            <w:vMerge w:val="continue"/>
            <w:tcBorders>
              <w:top w:val="single" w:color="152935" w:sz="8" w:space="0"/>
              <w:left w:val="nil"/>
              <w:bottom w:val="single" w:color="AEAEAE" w:sz="8" w:space="0"/>
              <w:right w:val="nil"/>
            </w:tcBorders>
            <w:shd w:val="clear" w:color="auto" w:fill="E0E0E0"/>
          </w:tcPr>
          <w:p w14:paraId="7E3A702D">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color="AEAEAE" w:sz="8" w:space="0"/>
              <w:left w:val="nil"/>
              <w:bottom w:val="single" w:color="AEAEAE" w:sz="8" w:space="0"/>
              <w:right w:val="nil"/>
            </w:tcBorders>
            <w:shd w:val="clear" w:color="auto" w:fill="E0E0E0"/>
          </w:tcPr>
          <w:p w14:paraId="22EE7452">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32" w:type="dxa"/>
            <w:tcBorders>
              <w:top w:val="single" w:color="AEAEAE" w:sz="8" w:space="0"/>
              <w:left w:val="nil"/>
              <w:bottom w:val="single" w:color="AEAEAE" w:sz="8" w:space="0"/>
              <w:right w:val="single" w:color="E0E0E0" w:sz="8" w:space="0"/>
            </w:tcBorders>
            <w:shd w:val="clear" w:color="auto" w:fill="F9F9FB"/>
          </w:tcPr>
          <w:p w14:paraId="30F13EF0">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981" w:type="dxa"/>
            <w:tcBorders>
              <w:top w:val="single" w:color="AEAEAE" w:sz="8" w:space="0"/>
              <w:left w:val="single" w:color="E0E0E0" w:sz="8" w:space="0"/>
              <w:bottom w:val="single" w:color="AEAEAE" w:sz="8" w:space="0"/>
              <w:right w:val="single" w:color="E0E0E0" w:sz="8" w:space="0"/>
            </w:tcBorders>
            <w:shd w:val="clear" w:color="auto" w:fill="F9F9FB"/>
          </w:tcPr>
          <w:p w14:paraId="32084C2A">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color="AEAEAE" w:sz="8" w:space="0"/>
              <w:left w:val="single" w:color="E0E0E0" w:sz="8" w:space="0"/>
              <w:bottom w:val="single" w:color="AEAEAE" w:sz="8" w:space="0"/>
              <w:right w:val="nil"/>
            </w:tcBorders>
            <w:shd w:val="clear" w:color="auto" w:fill="F9F9FB"/>
          </w:tcPr>
          <w:p w14:paraId="035EABF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3C883F24">
        <w:tblPrEx>
          <w:tblCellMar>
            <w:top w:w="0" w:type="dxa"/>
            <w:left w:w="0" w:type="dxa"/>
            <w:bottom w:w="0" w:type="dxa"/>
            <w:right w:w="0" w:type="dxa"/>
          </w:tblCellMar>
        </w:tblPrEx>
        <w:trPr>
          <w:cantSplit/>
          <w:trHeight w:val="637" w:hRule="atLeast"/>
        </w:trPr>
        <w:tc>
          <w:tcPr>
            <w:tcW w:w="1772" w:type="dxa"/>
            <w:vMerge w:val="continue"/>
            <w:tcBorders>
              <w:top w:val="single" w:color="152935" w:sz="8" w:space="0"/>
              <w:left w:val="nil"/>
              <w:bottom w:val="single" w:color="AEAEAE" w:sz="8" w:space="0"/>
              <w:right w:val="nil"/>
            </w:tcBorders>
            <w:shd w:val="clear" w:color="auto" w:fill="E0E0E0"/>
          </w:tcPr>
          <w:p w14:paraId="04DFF957">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color="AEAEAE" w:sz="8" w:space="0"/>
              <w:left w:val="nil"/>
              <w:bottom w:val="single" w:color="AEAEAE" w:sz="8" w:space="0"/>
              <w:right w:val="nil"/>
            </w:tcBorders>
            <w:shd w:val="clear" w:color="auto" w:fill="E0E0E0"/>
          </w:tcPr>
          <w:p w14:paraId="1F6D2FE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32" w:type="dxa"/>
            <w:tcBorders>
              <w:top w:val="single" w:color="AEAEAE" w:sz="8" w:space="0"/>
              <w:left w:val="nil"/>
              <w:bottom w:val="single" w:color="AEAEAE" w:sz="8" w:space="0"/>
              <w:right w:val="single" w:color="E0E0E0" w:sz="8" w:space="0"/>
            </w:tcBorders>
            <w:shd w:val="clear" w:color="auto" w:fill="F9F9FB"/>
          </w:tcPr>
          <w:p w14:paraId="3AD3C50D">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color="AEAEAE" w:sz="8" w:space="0"/>
              <w:left w:val="single" w:color="E0E0E0" w:sz="8" w:space="0"/>
              <w:bottom w:val="single" w:color="AEAEAE" w:sz="8" w:space="0"/>
              <w:right w:val="single" w:color="E0E0E0" w:sz="8" w:space="0"/>
            </w:tcBorders>
            <w:shd w:val="clear" w:color="auto" w:fill="F9F9FB"/>
          </w:tcPr>
          <w:p w14:paraId="693B6188">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color="AEAEAE" w:sz="8" w:space="0"/>
              <w:left w:val="single" w:color="E0E0E0" w:sz="8" w:space="0"/>
              <w:bottom w:val="single" w:color="AEAEAE" w:sz="8" w:space="0"/>
              <w:right w:val="nil"/>
            </w:tcBorders>
            <w:shd w:val="clear" w:color="auto" w:fill="F9F9FB"/>
          </w:tcPr>
          <w:p w14:paraId="2619882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14:paraId="359DAF46">
        <w:tblPrEx>
          <w:tblCellMar>
            <w:top w:w="0" w:type="dxa"/>
            <w:left w:w="0" w:type="dxa"/>
            <w:bottom w:w="0" w:type="dxa"/>
            <w:right w:w="0" w:type="dxa"/>
          </w:tblCellMar>
        </w:tblPrEx>
        <w:trPr>
          <w:cantSplit/>
          <w:trHeight w:val="637" w:hRule="atLeast"/>
        </w:trPr>
        <w:tc>
          <w:tcPr>
            <w:tcW w:w="1772" w:type="dxa"/>
            <w:vMerge w:val="continue"/>
            <w:tcBorders>
              <w:top w:val="single" w:color="152935" w:sz="8" w:space="0"/>
              <w:left w:val="nil"/>
              <w:bottom w:val="single" w:color="AEAEAE" w:sz="8" w:space="0"/>
              <w:right w:val="nil"/>
            </w:tcBorders>
            <w:shd w:val="clear" w:color="auto" w:fill="E0E0E0"/>
          </w:tcPr>
          <w:p w14:paraId="51EB2A2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color="AEAEAE" w:sz="8" w:space="0"/>
              <w:left w:val="nil"/>
              <w:bottom w:val="single" w:color="AEAEAE" w:sz="8" w:space="0"/>
              <w:right w:val="nil"/>
            </w:tcBorders>
            <w:shd w:val="clear" w:color="auto" w:fill="E0E0E0"/>
          </w:tcPr>
          <w:p w14:paraId="45BD37D1">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32" w:type="dxa"/>
            <w:tcBorders>
              <w:top w:val="single" w:color="AEAEAE" w:sz="8" w:space="0"/>
              <w:left w:val="nil"/>
              <w:bottom w:val="single" w:color="AEAEAE" w:sz="8" w:space="0"/>
              <w:right w:val="single" w:color="E0E0E0" w:sz="8" w:space="0"/>
            </w:tcBorders>
            <w:shd w:val="clear" w:color="auto" w:fill="F9F9FB"/>
          </w:tcPr>
          <w:p w14:paraId="07132D5D">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981" w:type="dxa"/>
            <w:tcBorders>
              <w:top w:val="single" w:color="AEAEAE" w:sz="8" w:space="0"/>
              <w:left w:val="single" w:color="E0E0E0" w:sz="8" w:space="0"/>
              <w:bottom w:val="single" w:color="AEAEAE" w:sz="8" w:space="0"/>
              <w:right w:val="single" w:color="E0E0E0" w:sz="8" w:space="0"/>
            </w:tcBorders>
            <w:shd w:val="clear" w:color="auto" w:fill="F9F9FB"/>
          </w:tcPr>
          <w:p w14:paraId="05BFF380">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color="AEAEAE" w:sz="8" w:space="0"/>
              <w:left w:val="single" w:color="E0E0E0" w:sz="8" w:space="0"/>
              <w:bottom w:val="single" w:color="AEAEAE" w:sz="8" w:space="0"/>
              <w:right w:val="nil"/>
            </w:tcBorders>
            <w:shd w:val="clear" w:color="auto" w:fill="F9F9FB"/>
          </w:tcPr>
          <w:p w14:paraId="2FED172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14:paraId="2B55F6AA">
        <w:tblPrEx>
          <w:tblCellMar>
            <w:top w:w="0" w:type="dxa"/>
            <w:left w:w="0" w:type="dxa"/>
            <w:bottom w:w="0" w:type="dxa"/>
            <w:right w:w="0" w:type="dxa"/>
          </w:tblCellMar>
        </w:tblPrEx>
        <w:trPr>
          <w:cantSplit/>
          <w:trHeight w:val="637" w:hRule="atLeast"/>
        </w:trPr>
        <w:tc>
          <w:tcPr>
            <w:tcW w:w="1772" w:type="dxa"/>
            <w:vMerge w:val="continue"/>
            <w:tcBorders>
              <w:top w:val="single" w:color="152935" w:sz="8" w:space="0"/>
              <w:left w:val="nil"/>
              <w:bottom w:val="single" w:color="AEAEAE" w:sz="8" w:space="0"/>
              <w:right w:val="nil"/>
            </w:tcBorders>
            <w:shd w:val="clear" w:color="auto" w:fill="E0E0E0"/>
          </w:tcPr>
          <w:p w14:paraId="7D59D92F">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color="AEAEAE" w:sz="8" w:space="0"/>
              <w:left w:val="nil"/>
              <w:bottom w:val="single" w:color="AEAEAE" w:sz="8" w:space="0"/>
              <w:right w:val="nil"/>
            </w:tcBorders>
            <w:shd w:val="clear" w:color="auto" w:fill="E0E0E0"/>
          </w:tcPr>
          <w:p w14:paraId="7AEDC83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32" w:type="dxa"/>
            <w:tcBorders>
              <w:top w:val="single" w:color="AEAEAE" w:sz="8" w:space="0"/>
              <w:left w:val="nil"/>
              <w:bottom w:val="single" w:color="AEAEAE" w:sz="8" w:space="0"/>
              <w:right w:val="single" w:color="E0E0E0" w:sz="8" w:space="0"/>
            </w:tcBorders>
            <w:shd w:val="clear" w:color="auto" w:fill="F9F9FB"/>
          </w:tcPr>
          <w:p w14:paraId="0F271F22">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981" w:type="dxa"/>
            <w:tcBorders>
              <w:top w:val="single" w:color="AEAEAE" w:sz="8" w:space="0"/>
              <w:left w:val="single" w:color="E0E0E0" w:sz="8" w:space="0"/>
              <w:bottom w:val="single" w:color="AEAEAE" w:sz="8" w:space="0"/>
              <w:right w:val="single" w:color="E0E0E0" w:sz="8" w:space="0"/>
            </w:tcBorders>
            <w:shd w:val="clear" w:color="auto" w:fill="F9F9FB"/>
          </w:tcPr>
          <w:p w14:paraId="6AE20888">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color="AEAEAE" w:sz="8" w:space="0"/>
              <w:left w:val="single" w:color="E0E0E0" w:sz="8" w:space="0"/>
              <w:bottom w:val="single" w:color="AEAEAE" w:sz="8" w:space="0"/>
              <w:right w:val="nil"/>
            </w:tcBorders>
            <w:shd w:val="clear" w:color="auto" w:fill="F9F9FB"/>
          </w:tcPr>
          <w:p w14:paraId="7C6E378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14:paraId="768153F2">
        <w:tblPrEx>
          <w:tblCellMar>
            <w:top w:w="0" w:type="dxa"/>
            <w:left w:w="0" w:type="dxa"/>
            <w:bottom w:w="0" w:type="dxa"/>
            <w:right w:w="0" w:type="dxa"/>
          </w:tblCellMar>
        </w:tblPrEx>
        <w:trPr>
          <w:cantSplit/>
          <w:trHeight w:val="637" w:hRule="atLeast"/>
        </w:trPr>
        <w:tc>
          <w:tcPr>
            <w:tcW w:w="1772" w:type="dxa"/>
            <w:vMerge w:val="continue"/>
            <w:tcBorders>
              <w:top w:val="single" w:color="152935" w:sz="8" w:space="0"/>
              <w:left w:val="nil"/>
              <w:bottom w:val="single" w:color="AEAEAE" w:sz="8" w:space="0"/>
              <w:right w:val="nil"/>
            </w:tcBorders>
            <w:shd w:val="clear" w:color="auto" w:fill="E0E0E0"/>
          </w:tcPr>
          <w:p w14:paraId="1BE49487">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color="AEAEAE" w:sz="8" w:space="0"/>
              <w:left w:val="nil"/>
              <w:bottom w:val="single" w:color="AEAEAE" w:sz="8" w:space="0"/>
              <w:right w:val="nil"/>
            </w:tcBorders>
            <w:shd w:val="clear" w:color="auto" w:fill="E0E0E0"/>
          </w:tcPr>
          <w:p w14:paraId="2B22BE6F">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lang w:val="en-GB"/>
              </w:rPr>
              <w:t>TROY HOSTE</w:t>
            </w:r>
            <w:r>
              <w:rPr>
                <w:rFonts w:ascii="Arial" w:hAnsi="Arial" w:cs="Arial"/>
                <w:color w:val="264A60"/>
                <w:sz w:val="18"/>
                <w:szCs w:val="18"/>
              </w:rPr>
              <w:t>L</w:t>
            </w:r>
          </w:p>
        </w:tc>
        <w:tc>
          <w:tcPr>
            <w:tcW w:w="2232" w:type="dxa"/>
            <w:tcBorders>
              <w:top w:val="single" w:color="AEAEAE" w:sz="8" w:space="0"/>
              <w:left w:val="nil"/>
              <w:bottom w:val="single" w:color="AEAEAE" w:sz="8" w:space="0"/>
              <w:right w:val="single" w:color="E0E0E0" w:sz="8" w:space="0"/>
            </w:tcBorders>
            <w:shd w:val="clear" w:color="auto" w:fill="F9F9FB"/>
          </w:tcPr>
          <w:p w14:paraId="6EF0756C">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10</w:t>
            </w:r>
          </w:p>
        </w:tc>
        <w:tc>
          <w:tcPr>
            <w:tcW w:w="1981" w:type="dxa"/>
            <w:tcBorders>
              <w:top w:val="single" w:color="AEAEAE" w:sz="8" w:space="0"/>
              <w:left w:val="single" w:color="E0E0E0" w:sz="8" w:space="0"/>
              <w:bottom w:val="single" w:color="AEAEAE" w:sz="8" w:space="0"/>
              <w:right w:val="single" w:color="E0E0E0" w:sz="8" w:space="0"/>
            </w:tcBorders>
            <w:shd w:val="clear" w:color="auto" w:fill="F9F9FB"/>
          </w:tcPr>
          <w:p w14:paraId="19D5ACEB">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color="AEAEAE" w:sz="8" w:space="0"/>
              <w:left w:val="single" w:color="E0E0E0" w:sz="8" w:space="0"/>
              <w:bottom w:val="single" w:color="AEAEAE" w:sz="8" w:space="0"/>
              <w:right w:val="nil"/>
            </w:tcBorders>
            <w:shd w:val="clear" w:color="auto" w:fill="F9F9FB"/>
          </w:tcPr>
          <w:p w14:paraId="35577070">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14:paraId="4D55C769">
        <w:tblPrEx>
          <w:tblCellMar>
            <w:top w:w="0" w:type="dxa"/>
            <w:left w:w="0" w:type="dxa"/>
            <w:bottom w:w="0" w:type="dxa"/>
            <w:right w:w="0" w:type="dxa"/>
          </w:tblCellMar>
        </w:tblPrEx>
        <w:trPr>
          <w:cantSplit/>
          <w:trHeight w:val="698" w:hRule="atLeast"/>
        </w:trPr>
        <w:tc>
          <w:tcPr>
            <w:tcW w:w="3523" w:type="dxa"/>
            <w:gridSpan w:val="2"/>
            <w:tcBorders>
              <w:top w:val="single" w:color="AEAEAE" w:sz="8" w:space="0"/>
              <w:left w:val="nil"/>
              <w:bottom w:val="single" w:color="152935" w:sz="8" w:space="0"/>
              <w:right w:val="nil"/>
            </w:tcBorders>
            <w:shd w:val="clear" w:color="auto" w:fill="E0E0E0"/>
          </w:tcPr>
          <w:p w14:paraId="5A7E7442">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32" w:type="dxa"/>
            <w:tcBorders>
              <w:top w:val="single" w:color="AEAEAE" w:sz="8" w:space="0"/>
              <w:left w:val="nil"/>
              <w:bottom w:val="single" w:color="152935" w:sz="8" w:space="0"/>
              <w:right w:val="single" w:color="E0E0E0" w:sz="8" w:space="0"/>
            </w:tcBorders>
            <w:shd w:val="clear" w:color="auto" w:fill="F9F9FB"/>
          </w:tcPr>
          <w:p w14:paraId="403EDFDE">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30</w:t>
            </w:r>
          </w:p>
        </w:tc>
        <w:tc>
          <w:tcPr>
            <w:tcW w:w="1981" w:type="dxa"/>
            <w:tcBorders>
              <w:top w:val="single" w:color="AEAEAE" w:sz="8" w:space="0"/>
              <w:left w:val="single" w:color="E0E0E0" w:sz="8" w:space="0"/>
              <w:bottom w:val="single" w:color="152935" w:sz="8" w:space="0"/>
              <w:right w:val="single" w:color="E0E0E0" w:sz="8" w:space="0"/>
            </w:tcBorders>
            <w:shd w:val="clear" w:color="auto" w:fill="F9F9FB"/>
          </w:tcPr>
          <w:p w14:paraId="471F23F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384" w:type="dxa"/>
            <w:tcBorders>
              <w:top w:val="single" w:color="AEAEAE" w:sz="8" w:space="0"/>
              <w:left w:val="single" w:color="E0E0E0" w:sz="8" w:space="0"/>
              <w:bottom w:val="single" w:color="152935" w:sz="8" w:space="0"/>
              <w:right w:val="nil"/>
            </w:tcBorders>
            <w:shd w:val="clear" w:color="auto" w:fill="F9F9FB"/>
          </w:tcPr>
          <w:p w14:paraId="10B365D1">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ECFE1BB">
      <w:pPr>
        <w:autoSpaceDE w:val="0"/>
        <w:autoSpaceDN w:val="0"/>
        <w:adjustRightInd w:val="0"/>
        <w:spacing w:after="0" w:line="400" w:lineRule="atLeast"/>
        <w:rPr>
          <w:rFonts w:cs="Times New Roman"/>
          <w:szCs w:val="24"/>
          <w:lang w:val="en-GB"/>
        </w:rPr>
      </w:pPr>
    </w:p>
    <w:p w14:paraId="3813B3ED">
      <w:pPr>
        <w:spacing w:line="480" w:lineRule="auto"/>
        <w:rPr>
          <w:rFonts w:cs="Times New Roman"/>
          <w:b/>
          <w:bCs/>
        </w:rPr>
      </w:pPr>
    </w:p>
    <w:p w14:paraId="66EA61A3">
      <w:pPr>
        <w:spacing w:line="480" w:lineRule="auto"/>
        <w:rPr>
          <w:rFonts w:cs="Times New Roman"/>
          <w:b/>
          <w:bCs/>
        </w:rPr>
      </w:pPr>
    </w:p>
    <w:p w14:paraId="48B0A28D">
      <w:pPr>
        <w:spacing w:line="480" w:lineRule="auto"/>
        <w:rPr>
          <w:rFonts w:cs="Times New Roman"/>
          <w:b/>
          <w:bCs/>
        </w:rPr>
      </w:pPr>
    </w:p>
    <w:p w14:paraId="3B58CA1F">
      <w:pPr>
        <w:spacing w:line="480" w:lineRule="auto"/>
        <w:rPr>
          <w:rFonts w:cs="Times New Roman"/>
          <w:b/>
          <w:bCs/>
        </w:rPr>
      </w:pPr>
    </w:p>
    <w:p w14:paraId="2D3AE0CF">
      <w:pPr>
        <w:spacing w:line="480" w:lineRule="auto"/>
        <w:rPr>
          <w:rFonts w:cs="Times New Roman"/>
          <w:b/>
          <w:bCs/>
        </w:rPr>
      </w:pPr>
    </w:p>
    <w:p w14:paraId="6ED6EE10">
      <w:pPr>
        <w:spacing w:line="480" w:lineRule="auto"/>
        <w:rPr>
          <w:rFonts w:cs="Times New Roman"/>
          <w:b/>
          <w:bCs/>
        </w:rPr>
      </w:pPr>
    </w:p>
    <w:p w14:paraId="41EC7B36">
      <w:pPr>
        <w:spacing w:line="480" w:lineRule="auto"/>
        <w:rPr>
          <w:rFonts w:cs="Times New Roman"/>
          <w:b/>
          <w:bCs/>
        </w:rPr>
      </w:pPr>
    </w:p>
    <w:p w14:paraId="7EC4BCAF">
      <w:pPr>
        <w:spacing w:line="480" w:lineRule="auto"/>
        <w:rPr>
          <w:rFonts w:cs="Times New Roman"/>
          <w:b/>
          <w:bCs/>
        </w:rPr>
      </w:pPr>
    </w:p>
    <w:p w14:paraId="584EEB5D">
      <w:pPr>
        <w:spacing w:line="480" w:lineRule="auto"/>
        <w:rPr>
          <w:rFonts w:cs="Times New Roman"/>
          <w:b/>
          <w:bCs/>
        </w:rPr>
      </w:pPr>
    </w:p>
    <w:p w14:paraId="66A84266">
      <w:pPr>
        <w:rPr>
          <w:b/>
          <w:bCs/>
        </w:rPr>
      </w:pPr>
      <w:bookmarkStart w:id="23" w:name="_Toc24115"/>
      <w:r>
        <w:rPr>
          <w:b/>
          <w:bCs/>
        </w:rPr>
        <w:t>4. DISCUSSION</w:t>
      </w:r>
      <w:bookmarkEnd w:id="23"/>
    </w:p>
    <w:p w14:paraId="16D26AF2">
      <w:r>
        <w:t>The antibiogram profiles, biofilm formation capabilities, and hemolytic activities of bacteria isolated from domestic water sources in off-campus student hostels reveal significant microbial diversity and potential health risks. The total heterotrophic bacteria count (THBC) varied substantially among hostels, with FESTAC and CAM hostels exhibiting the highest counts (1.77x10^4 and 1.86x10^4 CFU/ml, respectively). These values exceed the World Health Organization's (WHO) recommended limit of 1.0x10^2 CFU/ml for drinking water (WHO, 2017). Similar findings were reported by Eze et al. (2020) in a study of borehole water quality in Enugu, Nigeria, where THBC ranged from 1.0x10^3 to 2.5x10^5 CFU/ml, indicating a widespread issue in water quality management in the region.</w:t>
      </w:r>
    </w:p>
    <w:p w14:paraId="215D817C">
      <w:r>
        <w:t>The predominance of eight bacterial genera (Salmonella, Pseudomonas, Proteus, Staphylococcus, Corynebacterium, Bacillus, Yersinia, Vibrio, and Micrococcus) aligns with previous studies on water quality in developing countries. Bain et al. (2014) conducted a systematic review of microbial drinking water quality in low and middle-income countries, identifying these genera as common contaminants. The presence of these potentially pathogenic bacteria in off-campus water sources raises concerns about the adequacy of water treatment and distribution systems serving student populations.</w:t>
      </w:r>
    </w:p>
    <w:p w14:paraId="1B3D3509">
      <w:r>
        <w:t>Antibiotic resistance patterns among the isolates varied significantly. The gram-positive isolate LAN4 exhibited resistance to eight antibiotics, including Cefalexin, Erythromycin, and Ampicillin. This multidrug resistance profile mirrors findings by Osunla and Okoh (2017) in their study of antibiotic-resistant bacteria in selected rivers in Osun State, Nigeria. They reported that 75% of Staphylococcus aureus isolates showed resistance to at least three antibiotics. The emergence of such resistant strains in water sources frequented by students could complicate treatment options for waterborne infections.</w:t>
      </w:r>
    </w:p>
    <w:p w14:paraId="16285C95">
      <w:r>
        <w:t>Conversely, the susceptibility of isolates CAM7 and CHI1 to all tested antibiotics suggests heterogeneity in resistance profiles within the bacterial population. This variability emphasizes the need for continuous monitoring and targeted interventions. A similar pattern of varying susceptibility was observed by Adesoji et al. (2015) in their analysis of antibiotic resistance in drinking water sources in Southwestern Nigeria, where they found both highly resistant and susceptible strains coexisting in the same water sources.</w:t>
      </w:r>
    </w:p>
    <w:p w14:paraId="25749074">
      <w:r>
        <w:t>Among gram-negative isolates, TRO7 demonstrated resistance to seven antibiotics, including Pefloxacin, Ofloxacin, and Azithromycin. This extensive resistance profile aligns with global trends in antibiotic resistance among waterborne pathogens. In a study of urban water systems in Karachi, Pakistan, Imran et al. (2019) found that 68% of gram-negative isolates were resistant to multiple antibiotics, with particular concern for fluoroquinolone resistance. The presence of such resistant strains in off-campus water sources could contribute to the spread of antibiotic-resistant genes within student populations.</w:t>
      </w:r>
    </w:p>
    <w:p w14:paraId="03D68132">
      <w:r>
        <w:t>The identification of six isolates capable of biofilm formation underscores the potential for persistent contamination in water distribution systems. Biofilms serve as reservoirs for pathogens and facilitate the horizontal transfer of antibiotic resistance genes. Wingender and Flemming (2011) highlighted the role of biofilms in drinking water systems as reservoirs for opportunistic pathogens, emphasizing the challenges they pose to water safety. The co-occurrence of biofilm formation and antibiotic resistance observed in our study aligns with findings by Schwartz et al. (2003), who demonstrated the increased prevalence of antibiotic resistance genes in drinking water biofilms compared to planktonic bacteria.</w:t>
      </w:r>
    </w:p>
    <w:p w14:paraId="5727007A">
      <w:r>
        <w:t>Hemolysis patterns among the isolates (eleven each for alpha and beta hemolysis, fourteen for gamma hemolysis) provide insights into the potential virulence of the bacterial strains. Alpha and beta-hemolytic activities, in particular, are associated with increased pathogenicity. Ramteke et al. (2015) investigated hemolytic bacteria in drinking water sources in North India, finding that 42% of isolates exhibited hemolytic activity. They correlated this with increased virulence potential and the ability to cause extraintestinal infections. The presence of hemolytic bacteria in off-campus water sources thus represents a significant health risk for student populations.</w:t>
      </w:r>
    </w:p>
    <w:p w14:paraId="0E4A33B2">
      <w:r>
        <w:t>The Staphylococcus counts in our study, particularly high in CAM (1.45x10^2 CFU/ml) and TROY (1.15x10^2 CFU/ml) hostels, exceed safety thresholds. Onanuga and Temedie (2011) reported similar findings in their study of waterholes in Amassoma, Nigeria, where Staphylococcus aureus counts ranged from 1.0x10^2 to 2.8x10^3 CFU/ml. The presence of Staphylococcus in drinking water sources is particularly concerning due to its ability to form biofilms and produce toxins, potentially leading to a range of infections in consumers.</w:t>
      </w:r>
    </w:p>
    <w:p w14:paraId="4FADF24E">
      <w:r>
        <w:t>Pseudomonas, detected only in CAM hostel (2.2x10^2 CFU/ml), presents a unique challenge due to its intrinsic antibiotic resistance and biofilm-forming capabilities. Vaz-Moreira et al. (2012) highlighted the ubiquity of Pseudomonas in water systems and its role as a reservoir of antibiotic-resistance genes. The localized presence of Pseudomonas in our study suggests potential contamination sources or favorable growth conditions in specific water systems, necessitating targeted investigation and remediation efforts.</w:t>
      </w:r>
    </w:p>
    <w:p w14:paraId="5F356E7B">
      <w:r>
        <w:t>The detection of Vibrio in TROY (2.15x10^2 CFU/ml) and ONU (1.7x10^2 CFU/ml) hostels is particularly alarming given the genus' association with severe gastrointestinal diseases. Mishra et al. (2020) reported the presence of potentially pathogenic Vibrio species in drinking water sources in coastal areas of Odisha, India, emphasizing the need for vigilant monitoring and treatment strategies. The occurrence of Vibrio in off-campus water sources underscores the potential for waterborne disease outbreaks among student populations.</w:t>
      </w:r>
    </w:p>
    <w:p w14:paraId="1FDC3DDA">
      <w:r>
        <w:t>Salmonella, detected in CAM (2.1x10^2 CFU/ml) and LAN (1.3x10^2 CFU/ml) hostels, poses a significant public health risk. Akinde et al. (2011) isolated Salmonella species from borehole water samples in Akure, Nigeria, highlighting the widespread nature of this pathogen in groundwater sources. The presence of Salmonella in off-campus water supplies necessitates immediate intervention to prevent potential outbreaks of typhoid fever and other salmonellosis among students.</w:t>
      </w:r>
    </w:p>
    <w:p w14:paraId="5F3D8D84">
      <w:r>
        <w:t>The varying microbial profiles across different hostels suggest localized contamination sources or differences in water treatment efficacy. This heterogeneity aligns with findings by Okullo et al. (2017) in their study of drinking water quality in Greater Kampala, Uganda, where they observed significant variations in microbial contamination levels between different water sources and distribution points. Such variability emphasizes the need for comprehensive monitoring programs that account for spatial and temporal variations in water quality.</w:t>
      </w:r>
    </w:p>
    <w:p w14:paraId="576AD911">
      <w:r>
        <w:t>The co-occurrence of antibiotic resistance, biofilm formation, and hemolytic activity in several isolates presents a complex challenge for water safety management. This multifaceted virulence profile has been observed in other studies, such as that by Samie et al. (2012) in South Africa, where they found a correlation between biofilm formation, antibiotic resistance, and the presence of virulence genes in waterborne pathogens. The synergistic effect of these factors could enhance bacterial survival in water systems and increase the risk of infection among consumers.</w:t>
      </w:r>
    </w:p>
    <w:p w14:paraId="39165265">
      <w:r>
        <w:t>The presence of multidrug-resistant strains in off-campus water sources raises concerns about the potential for community-acquired infections resistant to conventional treatments. Machado and Bordalo (2014) reported similar findings in their study of antibiotic resistance in urban watersheds, highlighting the role of aquatic environments as reservoirs and conduits for the spread of antibiotic resistance. The proximity of student populations to these water sources could facilitate the rapid dissemination of resistant bacteria, potentially leading to challenging infection scenarios.</w:t>
      </w:r>
    </w:p>
    <w:p w14:paraId="2863B1C7">
      <w:r>
        <w:t>The detection of biofilm-forming bacteria in the water samples underscores the limitations of traditional water treatment methods. Cherchi and Gu (2011) demonstrated the increased resistance of biofilm-associated bacteria to chlorine disinfection, a common treatment method in many water systems. This resistance mechanism could explain the persistence of potentially pathogenic bacteria in treated water supplies, necessitating the exploration of alternative or complementary disinfection strategies for off-campus water sources.</w:t>
      </w:r>
    </w:p>
    <w:p w14:paraId="13A7E4E8">
      <w:r>
        <w:t>The hemolytic activity observed in many isolates suggests an elevated virulence potential that could exacerbate the health risks associated with consuming contaminated water. Rajesh et al. (2012) correlated hemolytic activity with increased pathogenicity in environmental isolates from the Cochin estuary in India. The presence of hemolytic bacteria in off-campus water supplies could lead to more severe clinical outcomes in cases of waterborne infections among students.</w:t>
      </w:r>
    </w:p>
    <w:p w14:paraId="2B0541F1">
      <w:r>
        <w:t>The diversity of bacterial genera identified in this study reflects the complex microbial ecology of water distribution systems. Proctor and Hammes (2015) emphasized the importance of understanding microbial community dynamics in drinking water systems for effective management and risk assessment. The presence of opportunistic pathogens alongside commensal bacteria in off-campus water sources highlights the delicate balance between microbial populations and the potential for shifts towards more pathogenic communities under favorable conditions.</w:t>
      </w:r>
    </w:p>
    <w:p w14:paraId="03BF9418">
      <w:r>
        <w:t>The antibiotic resistance profiles observed in this study mirror global trends in the emergence of antimicrobial resistance in environmental isolates. Wellington et al. (2013) reviewed the role of the environment in the dissemination of antibiotic resistance genes, highlighting water systems as critical vectors. The detection of multidrug-resistant strains in off-campus water sources suggests that these environments may serve as reservoirs for antibiotic resistance genes, potentially contributing to the broader issue of antimicrobial resistance in clinical settings.</w:t>
      </w:r>
    </w:p>
    <w:p w14:paraId="3CBB78F9"/>
    <w:p w14:paraId="08E99A6C"/>
    <w:p w14:paraId="1A3FBC70"/>
    <w:p w14:paraId="7A968168">
      <w:pPr>
        <w:rPr>
          <w:b/>
          <w:bCs/>
        </w:rPr>
      </w:pPr>
      <w:r>
        <w:rPr>
          <w:b/>
          <w:bCs/>
        </w:rPr>
        <w:t>CONCLUSIONS</w:t>
      </w:r>
    </w:p>
    <w:p w14:paraId="00F2C77E">
      <w:r>
        <w:t>In conclusion, the antibiogram profiles, biofilm formation capabilities, and hemolytic activities of bacteria isolated from off-campus water sources reveal a complex landscape of microbial contamination and potential health risks. The presence of antibiotic-resistant, biofilm-forming, and hemolytic bacteria in these water supplies necessitates urgent attention from public health authorities and water management agencies. Implementing comprehensive monitoring programs, exploring advanced water treatment technologies, and educating student populations about water safety are crucial steps in mitigating the risks associated with these microbial contaminants. Future research should focus on elucidating the mechanisms of antibiotic resistance transfer in these environments and developing targeted interventions to disrupt biofilm formation and neutralize virulence factors in water distribution systems serving off-campus student populations.</w:t>
      </w:r>
    </w:p>
    <w:p w14:paraId="06EA2D29"/>
    <w:p w14:paraId="55D97340">
      <w:pPr>
        <w:rPr>
          <w:b/>
          <w:bCs/>
        </w:rPr>
      </w:pPr>
      <w:r>
        <w:rPr>
          <w:b/>
          <w:bCs/>
        </w:rPr>
        <w:t>RECOMMENDATION</w:t>
      </w:r>
    </w:p>
    <w:p w14:paraId="0E951DC9">
      <w:r>
        <w:rPr>
          <w:b/>
          <w:bCs/>
        </w:rPr>
        <w:t>Enhanced Water Quality Monitoring:</w:t>
      </w:r>
      <w:r>
        <w:t xml:space="preserve"> It is crucial to implement regular and comprehensive water quality testing for borehole sources. This should include screening for microbial contaminants, assessing bacterial resistance profiles, and identifying any potential sources of contamination. Routine monitoring will help in early detection of contamination and enable timely interventions to ensure safe drinking water.</w:t>
      </w:r>
    </w:p>
    <w:p w14:paraId="02C6D842">
      <w:r>
        <w:rPr>
          <w:b/>
          <w:bCs/>
        </w:rPr>
        <w:t>Improved Water Treatment Practices:</w:t>
      </w:r>
      <w:r>
        <w:t xml:space="preserve"> The study highlights the presence of biofilm-forming bacteria, which suggests that current water treatment practices may be insufficient. It is recommended to enhance water purification methods by incorporating advanced treatment technologies such as UV disinfection, ozonation, or filtration systems capable of removing biofilms and resistant bacteria. Regular maintenance and cleaning of borehole infrastructure should also be prioritized to prevent biofilm formation.</w:t>
      </w:r>
    </w:p>
    <w:p w14:paraId="71B35709">
      <w:r>
        <w:rPr>
          <w:b/>
          <w:bCs/>
        </w:rPr>
        <w:t xml:space="preserve">Public Health Education: </w:t>
      </w:r>
      <w:r>
        <w:t>Educating the student population and surrounding communities about water safety is essential. Awareness programs should focus on the importance of proper water handling, the risks associated with untreated water, and practical methods for household water treatment. Encouraging practices such as boiling water before consumption or using water purifiers can significantly reduce health risks.</w:t>
      </w:r>
    </w:p>
    <w:p w14:paraId="239BDA0D">
      <w:r>
        <w:rPr>
          <w:b/>
          <w:bCs/>
        </w:rPr>
        <w:t>Strengthening Regulatory Frameworks:</w:t>
      </w:r>
      <w:r>
        <w:t xml:space="preserve"> There is a need for stricter enforcement of water safety regulations and standards. Regulatory bodies should ensure that water suppliers and operators adhere to established guidelines for water quality. This includes mandatory reporting of water test results and immediate actions to address any violations of water safety standards.</w:t>
      </w:r>
    </w:p>
    <w:p w14:paraId="4C0F5803">
      <w:r>
        <w:rPr>
          <w:b/>
          <w:bCs/>
        </w:rPr>
        <w:t>Addressing Antibiotic Resistance:</w:t>
      </w:r>
      <w:r>
        <w:t xml:space="preserve"> Given the observed antibiotic resistance in waterborne bacteria, it is important to address the broader issue of antibiotic misuse and overuse. Efforts should be made to reduce the use of antibiotics in agriculture and aquaculture and to promote responsible antibiotic practices in healthcare settings. Additionally, incorporating antibiotic susceptibility testing into routine water quality assessments can help manage the risks associated with resistant bacteria.</w:t>
      </w:r>
    </w:p>
    <w:p w14:paraId="1C31918F">
      <w:r>
        <w:rPr>
          <w:b/>
          <w:bCs/>
        </w:rPr>
        <w:t>Infrastructure Improvement:</w:t>
      </w:r>
      <w:r>
        <w:t xml:space="preserve"> Investment in improving the infrastructure of borehole water systems is necessary. This includes ensuring proper construction, regular maintenance, and timely repairs to prevent contamination. Implementing measures to protect boreholes from environmental contaminants, such as ensuring proper sanitation and waste management practices around the water sources, can also help maintain water quality.</w:t>
      </w:r>
    </w:p>
    <w:p w14:paraId="725B1204">
      <w:r>
        <w:rPr>
          <w:b/>
          <w:bCs/>
        </w:rPr>
        <w:t>Community Involvement:</w:t>
      </w:r>
      <w:r>
        <w:t xml:space="preserve"> Engaging local communities in water management efforts can enhance the effectiveness of interventions. Community-based programs that involve residents in monitoring, reporting, and maintaining water sources can foster a sense of ownership and responsibility. Collaborating with local stakeholders can also facilitate the development of tailored solutions that address specific needs and challenges.</w:t>
      </w:r>
    </w:p>
    <w:p w14:paraId="0B3A4799">
      <w:r>
        <w:rPr>
          <w:b/>
          <w:bCs/>
        </w:rPr>
        <w:t>Research and Development:</w:t>
      </w:r>
      <w:r>
        <w:t xml:space="preserve"> Continued research into water contamination and treatment methods is essential for developing innovative solutions. Support for research into new water purification technologies, better understanding of microbial dynamics in water systems, and effective strategies for controlling biofilm formation can contribute to improved water safety and public health outcomes.</w:t>
      </w:r>
    </w:p>
    <w:p w14:paraId="476D7837"/>
    <w:p w14:paraId="5D259EB0">
      <w:pPr>
        <w:rPr>
          <w:b/>
          <w:bCs/>
        </w:rPr>
      </w:pPr>
      <w:r>
        <w:rPr>
          <w:b/>
          <w:bCs/>
        </w:rPr>
        <w:t>REFERENCES</w:t>
      </w:r>
    </w:p>
    <w:p w14:paraId="29E1F41E">
      <w:pPr>
        <w:spacing w:line="480" w:lineRule="auto"/>
        <w:ind w:left="720" w:hanging="720"/>
      </w:pPr>
      <w:r>
        <w:t>Adesoji, A. T., Ogunjobi, A. A., &amp; Olatoye, I. O. (2015). Molecular characterization of selected multidrug-resistant Pseudomonas from water distribution systems in southwestern Nigeria. Annals of Clinical Microbiology and Antimicrobials, 14(1), 39.</w:t>
      </w:r>
    </w:p>
    <w:p w14:paraId="1F00535F">
      <w:pPr>
        <w:spacing w:line="480" w:lineRule="auto"/>
        <w:ind w:left="720" w:hanging="720"/>
      </w:pPr>
      <w:r>
        <w:t>Akinde, S. B., Nwachukwu, M. I., &amp; Ogamba, A. S. (2011). Storage effects on the quality of sachet water produced within Port Harcourt metropolis, Nigeria. Jordan Journal of Biological Sciences, 4(3), 157-164.</w:t>
      </w:r>
    </w:p>
    <w:p w14:paraId="611E371C">
      <w:pPr>
        <w:spacing w:line="480" w:lineRule="auto"/>
        <w:ind w:left="720" w:hanging="720"/>
      </w:pPr>
      <w:r>
        <w:t>Allen, M. J., Edberg, S. C., &amp; Reasoner, D. J. (2004). Heterotrophic plate count bacteria—what is their significance in drinking water? International Journal of Food Microbiology, 92(3), 265-274.</w:t>
      </w:r>
    </w:p>
    <w:p w14:paraId="5F351A0B">
      <w:pPr>
        <w:spacing w:line="480" w:lineRule="auto"/>
        <w:ind w:left="720" w:hanging="720"/>
      </w:pPr>
      <w:r>
        <w:t>Alonzo, F., &amp; Torres, V. J. (2014). The bicomponent pore-forming leucocidins of Staphylococcus aureus. Microbiology and Molecular Biology Reviews, 78(2), 199-230.</w:t>
      </w:r>
    </w:p>
    <w:p w14:paraId="1334EEEA">
      <w:pPr>
        <w:spacing w:line="480" w:lineRule="auto"/>
        <w:ind w:left="720" w:hanging="720"/>
      </w:pPr>
      <w:r>
        <w:t>Archer, N. K., Mazaitis, M. J., Costerton, J. W., Leid, J. G., Powers, M. E., &amp; Shirtliff, M. E. (2011). Staphylococcus aureus biofilms: properties, regulation, and roles in human disease. Virulence, 2(5), 445-459.</w:t>
      </w:r>
    </w:p>
    <w:p w14:paraId="70BE5575">
      <w:pPr>
        <w:spacing w:line="480" w:lineRule="auto"/>
        <w:ind w:left="720" w:hanging="720"/>
      </w:pPr>
      <w:r>
        <w:t>Ashbolt, N. J. (2015). Microbial contamination of drinking water and human health from community water systems. Current Environmental Health Reports, 2(1), 95-106.</w:t>
      </w:r>
    </w:p>
    <w:p w14:paraId="3136D565">
      <w:pPr>
        <w:spacing w:line="480" w:lineRule="auto"/>
        <w:ind w:left="720" w:hanging="720"/>
      </w:pPr>
      <w:r>
        <w:t>Bain, R., Cronk, R., Hossain, R., Bonjour, S., Onda, K., Wright, J., Yang, H., Slaymaker, T., Hunter, P., Prüss‐Ustün, A., &amp; Bartram, J. (2014). Global assessment of exposure to faecal contamination through drinking water based on a systematic review. Tropical Medicine &amp; International Health, 19(8), 917-927.</w:t>
      </w:r>
    </w:p>
    <w:p w14:paraId="50E14A29">
      <w:pPr>
        <w:spacing w:line="480" w:lineRule="auto"/>
        <w:ind w:left="720" w:hanging="720"/>
      </w:pPr>
      <w:r>
        <w:t>Balcázar, J. L., Subirats, J., &amp; Borrego, C. M. (2015). The role of biofilms as environmental reservoirs of antibiotic resistance. Frontiers in Microbiology, 6, 1216.</w:t>
      </w:r>
    </w:p>
    <w:p w14:paraId="311BE9C0">
      <w:pPr>
        <w:spacing w:line="480" w:lineRule="auto"/>
        <w:ind w:left="720" w:hanging="720"/>
      </w:pPr>
      <w:r>
        <w:t>Cheesbrough M. (2010). District Laboratory Practice in Tropical Countries, Part 2. Cambridge University Press.</w:t>
      </w:r>
    </w:p>
    <w:p w14:paraId="0D25D98C">
      <w:pPr>
        <w:spacing w:line="480" w:lineRule="auto"/>
        <w:ind w:left="720" w:hanging="720"/>
      </w:pPr>
      <w:r>
        <w:t>Cherchi, C., &amp; Gu, A. Z. (2011). Effect of bacterial growth stage on resistance to chlorine disinfection. Water Science and Technology, 64(1), 7-13.</w:t>
      </w:r>
    </w:p>
    <w:p w14:paraId="6DE6ED05">
      <w:pPr>
        <w:spacing w:line="480" w:lineRule="auto"/>
        <w:ind w:left="720" w:hanging="720"/>
      </w:pPr>
      <w:r>
        <w:t>Collignon, P., Beggs, J. J., Walsh, T. R., Gandra, S., &amp; Laxminarayan, R. (2018). Anthropological and socioeconomic factors contributing to global antimicrobial resistance: a univariate and multivariable analysis. The Lancet Planetary Health, 2(9), e398-e405.</w:t>
      </w:r>
    </w:p>
    <w:p w14:paraId="4F1FC8C2">
      <w:pPr>
        <w:spacing w:line="480" w:lineRule="auto"/>
        <w:ind w:left="720" w:hanging="720"/>
      </w:pPr>
      <w:r>
        <w:t>Drenkard, E., &amp; Ausubel, F. M. (2002). Pseudomonas biofilm formation and antibiotic resistance are linked to phenotypic variation. Nature, 416(6882), 740-743.</w:t>
      </w:r>
    </w:p>
    <w:p w14:paraId="7D3B6197">
      <w:pPr>
        <w:spacing w:line="480" w:lineRule="auto"/>
        <w:ind w:left="720" w:hanging="720"/>
      </w:pPr>
      <w:r>
        <w:t>Eniola, K.I.T., Odaibo, A.D., Olayemi, A.B. and Ajiboye, T.O. (2015). Bacteriological assessment of treated piped water in parts of Ilorin Metropolis. Nigerian Journal of Microbiology 28: 2797-2803.</w:t>
      </w:r>
    </w:p>
    <w:p w14:paraId="1E1B9570">
      <w:pPr>
        <w:spacing w:line="480" w:lineRule="auto"/>
        <w:ind w:left="720" w:hanging="720"/>
      </w:pPr>
      <w:r>
        <w:t>Eze, C. T., Ogbonna, C. J., Nweze, E. I., &amp; Ugwu, K. K. (2020). Evaluation of microbiological quality of borehole water in Enugu, Nigeria. International Journal of Current Microbiology and Applied Sciences, 9(6), 2095-2104.</w:t>
      </w:r>
    </w:p>
    <w:p w14:paraId="1165A2B4">
      <w:pPr>
        <w:spacing w:line="480" w:lineRule="auto"/>
        <w:ind w:left="720" w:hanging="720"/>
      </w:pPr>
      <w:r>
        <w:t>Flemming, H. C., Wingender, J., Szewzyk, U., Steinberg, P., Rice, S. A., &amp; Kjelleberg, S. (2016). Biofilms: an emergent form of bacterial life. Nature Reviews Microbiology, 14(9), 563-575.</w:t>
      </w:r>
    </w:p>
    <w:p w14:paraId="031FA045">
      <w:pPr>
        <w:spacing w:line="480" w:lineRule="auto"/>
        <w:ind w:left="720" w:hanging="720"/>
      </w:pPr>
      <w:r>
        <w:t>Hall-Stoodley, L., Costerton, J. W., &amp; Stoodley, P. (2004). Bacterial biofilms: from the natural environment to infectious diseases. Nature Reviews Microbiology, 2(2), 95-108.</w:t>
      </w:r>
    </w:p>
    <w:p w14:paraId="356A69E6">
      <w:pPr>
        <w:spacing w:line="480" w:lineRule="auto"/>
        <w:ind w:left="720" w:hanging="720"/>
      </w:pPr>
      <w:r>
        <w:t>Imran, M., Das, K. R., &amp; Naik, M. M. (2019). Co-selection of multi-antibiotic resistance in bacterial pathogens in metal and microplastic contaminated environments: An emerging health threat. Chemosphere, 215, 846-857.</w:t>
      </w:r>
    </w:p>
    <w:p w14:paraId="6F54387A">
      <w:pPr>
        <w:spacing w:line="480" w:lineRule="auto"/>
        <w:ind w:left="720" w:hanging="720"/>
      </w:pPr>
      <w:r>
        <w:t>Jorgensen, J. H., &amp; Ferraro, M. J. (2009). Antimicrobial susceptibility testing: a review of general principles and contemporary practices. Clinical Infectious Diseases, 49(11), 1749-1755.</w:t>
      </w:r>
    </w:p>
    <w:p w14:paraId="0D07901E">
      <w:pPr>
        <w:spacing w:line="480" w:lineRule="auto"/>
        <w:ind w:left="720" w:hanging="720"/>
      </w:pPr>
      <w:r>
        <w:t>Kostakioti, M., Hadjifrangiskou, M., &amp; Hultgren, S. J. (2013). Bacterial biofilms: development, dispersal, and therapeutic strategies in the dawn of the postantibiotic era. Cold Spring Harbor Perspectives in Medicine, 3(4), a010306.</w:t>
      </w:r>
    </w:p>
    <w:p w14:paraId="763099C0">
      <w:pPr>
        <w:spacing w:line="480" w:lineRule="auto"/>
        <w:ind w:left="720" w:hanging="720"/>
      </w:pPr>
      <w:r>
        <w:t>Lutz, C., Erken, M., Noorian, P., Sun, S., &amp; McDougald, D. (2013). Environmental reservoirs and mechanisms of persistence of Vibrio cholerae. Frontiers in Microbiology, 4, 375.</w:t>
      </w:r>
    </w:p>
    <w:p w14:paraId="2338ADA6">
      <w:pPr>
        <w:spacing w:line="480" w:lineRule="auto"/>
        <w:ind w:left="720" w:hanging="720"/>
      </w:pPr>
      <w:r>
        <w:t>Machado, A., &amp; Bordalo, A. A. (2014). Prevalence of antibiotic resistance in bacteria isolated from drinking well water available in Guinea-Bissau (West Africa). Ecotoxicology and Environmental Safety, 106, 188-194.</w:t>
      </w:r>
    </w:p>
    <w:p w14:paraId="41874633">
      <w:pPr>
        <w:spacing w:line="480" w:lineRule="auto"/>
        <w:ind w:left="720" w:hanging="720"/>
      </w:pPr>
      <w:r>
        <w:t>Martinez, J. L. (2009). Environmental pollution by antibiotics and by antibiotic resistance determinants. Environmental Pollution, 157(11), 2893-2902.</w:t>
      </w:r>
    </w:p>
    <w:p w14:paraId="07DC2542">
      <w:pPr>
        <w:spacing w:line="480" w:lineRule="auto"/>
        <w:ind w:left="720" w:hanging="720"/>
      </w:pPr>
      <w:r>
        <w:t>Mishra, S. S., Panda, S. K., Sahu, C., &amp; Panigrahi, S. (2020). Isolation and characterization of pathogenic Vibrio species from coastal waters of Odisha, India. Journal of Pure and Applied Microbiology, 14(1), 581-589.</w:t>
      </w:r>
    </w:p>
    <w:p w14:paraId="7F013D8B">
      <w:pPr>
        <w:spacing w:line="480" w:lineRule="auto"/>
        <w:ind w:left="720" w:hanging="720"/>
      </w:pPr>
      <w:r>
        <w:t>Mokuolu, O.A., Jacob, S.O. and Ayanshola, A.M. (2017). Groundwater quality assessment near a Nigerian dumpsite. Ethiopian Journal of Environmental Studies and Management 10(5): 588 - 596. doi: https://dx.doi.org/10.4314/ejesm.v10i5.3.</w:t>
      </w:r>
    </w:p>
    <w:p w14:paraId="589472E1">
      <w:pPr>
        <w:spacing w:line="480" w:lineRule="auto"/>
        <w:ind w:left="720" w:hanging="720"/>
      </w:pPr>
      <w:r>
        <w:t>Mahmud, Z. H., Islam, M. S., Imran, K. M., Hakim, S. A. I., Worth, M., Ahmed, A., &amp; Ahmed, N. (2019). Occurrence of Escherichia coli and faecal coliforms in drinking water at source and household point-of-use in Rohingya camps, Bangladesh. Gut Pathogens, 11, 1-11.</w:t>
      </w:r>
    </w:p>
    <w:p w14:paraId="2546944B">
      <w:pPr>
        <w:spacing w:line="480" w:lineRule="auto"/>
        <w:ind w:left="720" w:hanging="720"/>
      </w:pPr>
      <w:r>
        <w:t>Ocheri, M; Odoma, L; Umar, N (2014). Groundwater Quality in Nigerian Urban Areas: A Review. Global J. Sci. Front. Res.14: 35-46</w:t>
      </w:r>
    </w:p>
    <w:p w14:paraId="256EDD08">
      <w:pPr>
        <w:spacing w:line="480" w:lineRule="auto"/>
        <w:ind w:left="720" w:hanging="720"/>
      </w:pPr>
      <w:r>
        <w:t>Okullo, J. O., Moturi, W. N., &amp; Ogendi, G. M. (2017). Open defecation and its effects on the bacteriological quality of drinking water sources in Isiolo County, Kenya. Environmental Health Insights, 11, 1178630217735539.</w:t>
      </w:r>
    </w:p>
    <w:p w14:paraId="7D9CD848">
      <w:pPr>
        <w:spacing w:line="480" w:lineRule="auto"/>
        <w:ind w:left="720" w:hanging="720"/>
      </w:pPr>
      <w:r>
        <w:t>Oluseyi, T., Folasade, O., &amp; Oluwaseun, A. (2020). Assessment of drinking water quality in off-campus student hostels: A case study of a Nigerian university. Journal of Water, Sanitation and Hygiene for Development, 10(2), 279-285.</w:t>
      </w:r>
    </w:p>
    <w:p w14:paraId="2B29D19F">
      <w:pPr>
        <w:spacing w:line="480" w:lineRule="auto"/>
        <w:ind w:left="720" w:hanging="720"/>
      </w:pPr>
      <w:r>
        <w:t>Onanuga, A., &amp; Temedie, T. C. (2011). Multidrug-resistant intestinal Staphylococcus aureus among self-medicated healthy adults in Amassoma, South-South, Nigeria. Journal of Health, Population, and Nutrition, 29(5), 446-453.</w:t>
      </w:r>
    </w:p>
    <w:p w14:paraId="0522467C">
      <w:pPr>
        <w:spacing w:line="480" w:lineRule="auto"/>
        <w:ind w:left="720" w:hanging="720"/>
      </w:pPr>
      <w:r>
        <w:t>Onyango, A. E., Okoth, M. W., Kunyanga, C. N., &amp; Aliwa, B. O. (2018). Microbiological quality and contamination level of water sources in Isiolo County in Kenya. Journal of Environmental and Public Health, 2018, 2139867.</w:t>
      </w:r>
    </w:p>
    <w:p w14:paraId="0272B700">
      <w:pPr>
        <w:spacing w:line="480" w:lineRule="auto"/>
        <w:ind w:left="720" w:hanging="720"/>
      </w:pPr>
      <w:r>
        <w:t>Osunla, C. A., &amp; Okoh, A. I. (2017). Vibrio pathogens: A public health concern in rural water resources in sub-Saharan Africa. International Journal of Environmental Research and Public Health, 14(10), 1188.</w:t>
      </w:r>
    </w:p>
    <w:p w14:paraId="0EF6AE22">
      <w:pPr>
        <w:spacing w:line="480" w:lineRule="auto"/>
        <w:ind w:left="720" w:hanging="720"/>
      </w:pPr>
      <w:r>
        <w:t>Percival, S. L., Suleman, L., Vuotto, C., &amp; Donelli, G. (2015). Healthcare-associated infections, medical devices and biofilms: risk, tolerance and control. Journal of Medical Microbiology, 64(4), 323-334.</w:t>
      </w:r>
    </w:p>
    <w:p w14:paraId="233EF72F">
      <w:pPr>
        <w:spacing w:line="480" w:lineRule="auto"/>
        <w:ind w:left="720" w:hanging="720"/>
      </w:pPr>
      <w:r>
        <w:t>Proctor, C. R., &amp; Hammes, F. (2015). Drinking water microbiology—from measurement to management. Current Opinion in Biotechnology, 33, 87-94.</w:t>
      </w:r>
    </w:p>
    <w:p w14:paraId="288312D6">
      <w:pPr>
        <w:spacing w:line="480" w:lineRule="auto"/>
        <w:ind w:left="720" w:hanging="720"/>
      </w:pPr>
      <w:r>
        <w:t>Pruden, A., Larsson, D. G. J., Amézquita, A., Collignon, P., Brandt, K. K., Graham, D. W., ... &amp; Zhu, Y. G. (2013). Management options for reducing the release of antibiotics and antibiotic resistance genes to the environment. Environmental Health Perspectives, 121(8), 878-885.</w:t>
      </w:r>
    </w:p>
    <w:p w14:paraId="7DB8349E">
      <w:pPr>
        <w:spacing w:line="480" w:lineRule="auto"/>
        <w:ind w:left="720" w:hanging="720"/>
      </w:pPr>
      <w:r>
        <w:t>Rajesh, P. S., Ganeshamurthy, R., &amp; Chandrashekar, H. R. (2012). Isolation and characterization of multidrug resistant Vibrio species from retail shrimps of Mangalore fish markets. Asian Journal of Microbiology, Biotechnology and Environmental Sciences, 14(4), 531-536.</w:t>
      </w:r>
    </w:p>
    <w:p w14:paraId="47767655">
      <w:pPr>
        <w:spacing w:line="480" w:lineRule="auto"/>
        <w:ind w:left="720" w:hanging="720"/>
      </w:pPr>
      <w:r>
        <w:t>Ramírez-Castillo, F. Y., Loera-Muro, A., Jacques, M., Garneau, P., Avelar-González, F. J., Harel, J., &amp; Guerrero-Barrera, A. L. (2015). Waterborne pathogens: detection methods and challenges. Pathogens, 4(2), 307-334.</w:t>
      </w:r>
    </w:p>
    <w:p w14:paraId="528F5D1C">
      <w:pPr>
        <w:spacing w:line="480" w:lineRule="auto"/>
        <w:ind w:left="720" w:hanging="720"/>
      </w:pPr>
      <w:r>
        <w:t>Ramteke, S., Bhattacharya, J., &amp; Sharma, D. K. (2015). Bioremediation of acid mine drainage by Pseudomonas sp.: An alternative strategy for sustainable development. International Journal of Environmental Science and Technology, 12(9), 2885-2892.</w:t>
      </w:r>
    </w:p>
    <w:p w14:paraId="26A66582">
      <w:pPr>
        <w:spacing w:line="480" w:lineRule="auto"/>
        <w:ind w:left="720" w:hanging="720"/>
      </w:pPr>
      <w:r>
        <w:t>Rompré, A., Servais, P., Baudart, J., de-Roubin, M. R., &amp; Laurent, P. (2002). Detection and enumeration of coliforms in drinking water: current methods and emerging approaches. Journal of Microbiological Methods, 49(1), 31-54.</w:t>
      </w:r>
    </w:p>
    <w:p w14:paraId="6E13CCB5">
      <w:pPr>
        <w:spacing w:line="480" w:lineRule="auto"/>
        <w:ind w:left="720" w:hanging="720"/>
      </w:pPr>
      <w:r>
        <w:t>Samie, A., Guerrant, R. L., Barrett, L., Bessong, P. O., Igumbor, E. O., &amp; Obi, C. L. (2012). Prevalence of intestinal parasitic and bacterial pathogens in diarrhoeal and non-diarroeal human stools from Vhembe district, South Africa. Journal of Health, Population, and Nutrition, 30(3), 306-314.</w:t>
      </w:r>
    </w:p>
    <w:p w14:paraId="5FA84390">
      <w:pPr>
        <w:spacing w:line="480" w:lineRule="auto"/>
        <w:ind w:left="720" w:hanging="720"/>
      </w:pPr>
      <w:r>
        <w:t>Saxena, G., Bharagava, R. N., Kaithwas, G., &amp; Raj, A. (2015). Microbial indicators, pathogens, and methods for their monitoring in water environment. Journal of Water and Health, 13(2), 319-339.</w:t>
      </w:r>
    </w:p>
    <w:p w14:paraId="35AA7D10">
      <w:pPr>
        <w:spacing w:line="480" w:lineRule="auto"/>
        <w:ind w:left="720" w:hanging="720"/>
      </w:pPr>
      <w:r>
        <w:t>Schwartz, T., Kohnen, W., Jansen, B., &amp; Obst, U. (2003). Detection of antibiotic-resistant bacteria and their resistance genes in wastewater, surface water, and drinking water biofilms. FEMS Microbiology Ecology, 43(3), 325-335.</w:t>
      </w:r>
    </w:p>
    <w:p w14:paraId="36344C89">
      <w:pPr>
        <w:spacing w:line="480" w:lineRule="auto"/>
        <w:ind w:left="720" w:hanging="720"/>
      </w:pPr>
      <w:r>
        <w:t>Vaz-Moreira, I., Nunes, O. C., &amp; Manaia, C. M. (2012). Diversity and antibiotic resistance patterns of Sphingomonadaceae isolates from drinking water. Applied and Environmental Microbiology, 78(16), 5847-5856.</w:t>
      </w:r>
    </w:p>
    <w:p w14:paraId="4CA51AE0">
      <w:pPr>
        <w:spacing w:line="480" w:lineRule="auto"/>
        <w:ind w:left="720" w:hanging="720"/>
      </w:pPr>
      <w:r>
        <w:t>Wellington, E. M., Boxall, A. B., Cross, P., Feil, E. J., Gaze, W. H., Hawkey, P. M., Johnson-Rollings, A. S., Jones, D. L., Lee, N. M., Otten, W., Thomas, C. M., &amp; Williams, A. P. (2013). The role of the natural environment in the emergence of antibiotic resistance in Gram-negative bacteria. The Lancet Infectious Diseases, 13(2), 155-165.</w:t>
      </w:r>
    </w:p>
    <w:p w14:paraId="4E24118A">
      <w:pPr>
        <w:spacing w:line="480" w:lineRule="auto"/>
        <w:ind w:left="720" w:hanging="720"/>
      </w:pPr>
      <w:r>
        <w:t>Wingender, J., &amp; Flemming, H. C. (2011). Biofilms in drinking water and their role as reservoir for pathogens. International Journal of Hygiene and Environmental Health, 214(6), 417-423.</w:t>
      </w:r>
    </w:p>
    <w:p w14:paraId="58C1AA08">
      <w:pPr>
        <w:spacing w:line="480" w:lineRule="auto"/>
        <w:ind w:left="720" w:hanging="720"/>
      </w:pPr>
      <w:r>
        <w:t>Winfield, M. D., &amp; Groisman, E. A. (2003). Role of nonhost environments in the lifestyles of Salmonella and Escherichia coli. Applied and Environmental Microbiology, 69(7), 3687-3694.</w:t>
      </w:r>
    </w:p>
    <w:p w14:paraId="5A64CA08">
      <w:pPr>
        <w:spacing w:line="480" w:lineRule="auto"/>
        <w:ind w:left="720" w:hanging="720"/>
      </w:pPr>
      <w:r>
        <w:t>World Health Organization (WHO). (2019). Drinking-water. https://www.who.int/news-room/fact-sheets/detail/drinking-water CopyRe</w:t>
      </w:r>
    </w:p>
    <w:p w14:paraId="4589A5DE">
      <w:pPr>
        <w:spacing w:line="480" w:lineRule="auto"/>
        <w:ind w:left="720" w:hanging="720"/>
      </w:pPr>
      <w:r>
        <w:t>World Health Or</w:t>
      </w:r>
      <w:bookmarkStart w:id="24" w:name="_GoBack"/>
      <w:bookmarkEnd w:id="24"/>
      <w:r>
        <w:t>ganization. (2017). Guidelines for Drinking-water Quality. WHO Press.</w:t>
      </w: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p" w:date="2024-09-14T23:35:41Z" w:initials="h">
    <w:p w14:paraId="30350E8E">
      <w:pPr>
        <w:pStyle w:val="9"/>
        <w:rPr>
          <w:rFonts w:hint="default"/>
          <w:lang w:val="en-US"/>
        </w:rPr>
      </w:pPr>
      <w:r>
        <w:rPr>
          <w:rFonts w:hint="default"/>
          <w:lang w:val="en-US"/>
        </w:rPr>
        <w:t xml:space="preserve">don’t write the abbreviation here </w:t>
      </w:r>
    </w:p>
  </w:comment>
  <w:comment w:id="1" w:author="hp" w:date="2024-09-15T00:32:05Z" w:initials="h">
    <w:p w14:paraId="35BBDC58">
      <w:pPr>
        <w:pStyle w:val="9"/>
        <w:rPr>
          <w:rFonts w:hint="default"/>
          <w:lang w:val="en-US"/>
        </w:rPr>
      </w:pPr>
      <w:r>
        <w:rPr>
          <w:rFonts w:hint="default"/>
          <w:lang w:val="en-US"/>
        </w:rPr>
        <w:t>Write it all compeletley in the abstract</w:t>
      </w:r>
    </w:p>
  </w:comment>
  <w:comment w:id="2" w:author="hp" w:date="2024-09-15T00:33:12Z" w:initials="h">
    <w:p w14:paraId="411D0D45">
      <w:pPr>
        <w:pStyle w:val="9"/>
        <w:rPr>
          <w:rFonts w:hint="default"/>
          <w:lang w:val="en-US"/>
        </w:rPr>
      </w:pPr>
      <w:r>
        <w:rPr>
          <w:rFonts w:hint="default"/>
          <w:lang w:val="en-US"/>
        </w:rPr>
        <w:t>Delete it, very long</w:t>
      </w:r>
    </w:p>
  </w:comment>
  <w:comment w:id="3" w:author="hp" w:date="2024-09-15T00:41:02Z" w:initials="h">
    <w:p w14:paraId="3452E7B7">
      <w:pPr>
        <w:pStyle w:val="9"/>
        <w:rPr>
          <w:rFonts w:hint="default"/>
          <w:lang w:val="en-US"/>
        </w:rPr>
      </w:pPr>
      <w:r>
        <w:rPr>
          <w:rFonts w:hint="default"/>
          <w:lang w:val="en-US"/>
        </w:rPr>
        <w:t>The introduction too long</w:t>
      </w:r>
    </w:p>
  </w:comment>
  <w:comment w:id="4" w:author="hp" w:date="2024-09-16T00:41:18Z" w:initials="h">
    <w:p w14:paraId="08335A7F">
      <w:pPr>
        <w:pStyle w:val="9"/>
        <w:rPr>
          <w:rFonts w:hint="default"/>
          <w:lang w:val="en-US"/>
        </w:rPr>
      </w:pPr>
      <w:r>
        <w:rPr>
          <w:rFonts w:hint="default"/>
          <w:lang w:val="en-US"/>
        </w:rPr>
        <w:t>Write it with italic style whenever you mention the bacteria</w:t>
      </w:r>
    </w:p>
  </w:comment>
  <w:comment w:id="5" w:author="hp" w:date="2024-09-15T23:36:23Z" w:initials="h">
    <w:p w14:paraId="558445B6">
      <w:pPr>
        <w:pStyle w:val="9"/>
        <w:rPr>
          <w:rFonts w:hint="default"/>
          <w:lang w:val="en-US"/>
        </w:rPr>
      </w:pPr>
      <w:r>
        <w:rPr>
          <w:rFonts w:hint="default"/>
          <w:lang w:val="en-US"/>
        </w:rPr>
        <w:t>Put it above</w:t>
      </w:r>
    </w:p>
  </w:comment>
  <w:comment w:id="6" w:author="hp" w:date="2024-09-16T00:08:39Z" w:initials="h">
    <w:p w14:paraId="53329ACB">
      <w:pPr>
        <w:pStyle w:val="9"/>
        <w:rPr>
          <w:rFonts w:hint="default"/>
          <w:lang w:val="en-US"/>
        </w:rPr>
      </w:pPr>
      <w:r>
        <w:rPr>
          <w:rFonts w:hint="default"/>
          <w:lang w:val="en-US"/>
        </w:rPr>
        <w:t>Correct it</w:t>
      </w:r>
    </w:p>
  </w:comment>
  <w:comment w:id="7" w:author="hp" w:date="2024-09-16T00:38:59Z" w:initials="h">
    <w:p w14:paraId="7E4EF754">
      <w:pPr>
        <w:pStyle w:val="9"/>
        <w:rPr>
          <w:rFonts w:hint="default"/>
          <w:lang w:val="en-US"/>
        </w:rPr>
      </w:pPr>
      <w:r>
        <w:rPr>
          <w:rFonts w:hint="default"/>
          <w:lang w:val="en-US"/>
        </w:rPr>
        <w:t>??</w:t>
      </w:r>
    </w:p>
  </w:comment>
  <w:comment w:id="8" w:author="hp" w:date="2024-09-16T00:40:01Z" w:initials="h">
    <w:p w14:paraId="515FE0AE">
      <w:pPr>
        <w:pStyle w:val="9"/>
        <w:rPr>
          <w:rFonts w:hint="default"/>
          <w:lang w:val="en-US"/>
        </w:rPr>
      </w:pPr>
      <w:r>
        <w:rPr>
          <w:rFonts w:hint="default"/>
          <w:lang w:val="en-US"/>
        </w:rPr>
        <w:t>Put it as equation</w:t>
      </w:r>
    </w:p>
  </w:comment>
  <w:comment w:id="9" w:author="hp" w:date="2024-09-16T00:18:51Z" w:initials="h">
    <w:p w14:paraId="2800A4F9">
      <w:pPr>
        <w:pStyle w:val="9"/>
        <w:rPr>
          <w:rFonts w:hint="default"/>
          <w:lang w:val="en-US"/>
        </w:rPr>
      </w:pPr>
      <w:r>
        <w:rPr>
          <w:rFonts w:hint="default"/>
          <w:lang w:val="en-US"/>
        </w:rPr>
        <w:t>Why this method?</w:t>
      </w:r>
    </w:p>
  </w:comment>
  <w:comment w:id="10" w:author="hp" w:date="2024-09-16T00:34:39Z" w:initials="h">
    <w:p w14:paraId="0337A757">
      <w:pPr>
        <w:pStyle w:val="9"/>
        <w:rPr>
          <w:rFonts w:hint="default"/>
          <w:lang w:val="en-US"/>
        </w:rPr>
      </w:pPr>
      <w:r>
        <w:rPr>
          <w:rFonts w:hint="default"/>
          <w:lang w:val="en-US"/>
        </w:rPr>
        <w:t>Put it above the number</w:t>
      </w:r>
    </w:p>
  </w:comment>
  <w:comment w:id="11" w:author="hp" w:date="2024-09-16T00:35:53Z" w:initials="h">
    <w:p w14:paraId="01DE8063">
      <w:pPr>
        <w:pStyle w:val="9"/>
        <w:rPr>
          <w:rFonts w:hint="default"/>
          <w:lang w:val="en-US"/>
        </w:rPr>
      </w:pPr>
      <w:r>
        <w:rPr>
          <w:rFonts w:hint="default"/>
          <w:lang w:val="en-US"/>
        </w:rPr>
        <w:t>Rearrange this table</w:t>
      </w:r>
    </w:p>
  </w:comment>
  <w:comment w:id="12" w:author="hp" w:date="2024-09-16T00:49:02Z" w:initials="h">
    <w:p w14:paraId="32D27B82">
      <w:pPr>
        <w:pStyle w:val="9"/>
        <w:rPr>
          <w:rFonts w:hint="default"/>
          <w:lang w:val="en-US"/>
        </w:rPr>
      </w:pPr>
      <w:r>
        <w:rPr>
          <w:rFonts w:hint="default"/>
          <w:lang w:val="en-US"/>
        </w:rPr>
        <w:t>Where is the other results?? table 13-17 ??</w:t>
      </w:r>
    </w:p>
  </w:comment>
  <w:comment w:id="13" w:author="hp" w:date="2024-09-16T00:45:24Z" w:initials="h">
    <w:p w14:paraId="36FC0CD2">
      <w:pPr>
        <w:pStyle w:val="9"/>
        <w:rPr>
          <w:rFonts w:hint="default"/>
          <w:lang w:val="en-US"/>
        </w:rPr>
      </w:pPr>
      <w:r>
        <w:rPr>
          <w:rFonts w:hint="default"/>
          <w:lang w:val="en-US"/>
        </w:rPr>
        <w:t>Whats this? Must write title above (Inhibition zones(mm)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350E8E" w15:done="0"/>
  <w15:commentEx w15:paraId="35BBDC58" w15:done="0"/>
  <w15:commentEx w15:paraId="411D0D45" w15:done="0"/>
  <w15:commentEx w15:paraId="3452E7B7" w15:done="0"/>
  <w15:commentEx w15:paraId="08335A7F" w15:done="0"/>
  <w15:commentEx w15:paraId="558445B6" w15:done="0"/>
  <w15:commentEx w15:paraId="53329ACB" w15:done="0"/>
  <w15:commentEx w15:paraId="7E4EF754" w15:done="0"/>
  <w15:commentEx w15:paraId="515FE0AE" w15:done="0"/>
  <w15:commentEx w15:paraId="2800A4F9" w15:done="0"/>
  <w15:commentEx w15:paraId="0337A757" w15:done="0"/>
  <w15:commentEx w15:paraId="01DE8063" w15:done="0"/>
  <w15:commentEx w15:paraId="32D27B82" w15:done="0"/>
  <w15:commentEx w15:paraId="36FC0C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784589"/>
      <w:docPartObj>
        <w:docPartGallery w:val="autotext"/>
      </w:docPartObj>
    </w:sdtPr>
    <w:sdtContent>
      <w:p w14:paraId="42463FDA">
        <w:pPr>
          <w:pStyle w:val="10"/>
          <w:jc w:val="center"/>
        </w:pPr>
        <w:r>
          <w:fldChar w:fldCharType="begin"/>
        </w:r>
        <w:r>
          <w:instrText xml:space="preserve"> PAGE   \* MERGEFORMAT </w:instrText>
        </w:r>
        <w:r>
          <w:fldChar w:fldCharType="separate"/>
        </w:r>
        <w:r>
          <w:t>2</w:t>
        </w:r>
        <w:r>
          <w:fldChar w:fldCharType="end"/>
        </w:r>
      </w:p>
    </w:sdtContent>
  </w:sdt>
  <w:p w14:paraId="1C0C6963">
    <w:pPr>
      <w:pStyle w:val="10"/>
      <w:tabs>
        <w:tab w:val="center" w:pos="468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CAF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60FA">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A911">
    <w:pPr>
      <w:jc w:val="center"/>
    </w:pPr>
    <w:r>
      <w:pict>
        <v:shape id="PowerPlusWaterMarkObject292167095" o:spid="_x0000_s1027"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9C64">
    <w:pPr>
      <w:pStyle w:val="11"/>
    </w:pPr>
    <w:r>
      <w:pict>
        <v:shape id="PowerPlusWaterMarkObject292167094" o:spid="_x0000_s1026" o:spt="136" type="#_x0000_t136" style="position:absolute;left:0pt;height:63.6pt;width:572.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3F3C">
    <w:pPr>
      <w:pStyle w:val="11"/>
    </w:pPr>
    <w:r>
      <w:pict>
        <v:shape id="PowerPlusWaterMarkObject292167093" o:spid="_x0000_s1025"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A7"/>
    <w:rsid w:val="00042159"/>
    <w:rsid w:val="000B468A"/>
    <w:rsid w:val="000D0326"/>
    <w:rsid w:val="00157E06"/>
    <w:rsid w:val="00225807"/>
    <w:rsid w:val="0026108E"/>
    <w:rsid w:val="00274AD3"/>
    <w:rsid w:val="002E1AF3"/>
    <w:rsid w:val="002E740C"/>
    <w:rsid w:val="00325E12"/>
    <w:rsid w:val="00337E72"/>
    <w:rsid w:val="00345069"/>
    <w:rsid w:val="00395C62"/>
    <w:rsid w:val="003D2300"/>
    <w:rsid w:val="004D27A9"/>
    <w:rsid w:val="004D79A3"/>
    <w:rsid w:val="004E5E67"/>
    <w:rsid w:val="005718A7"/>
    <w:rsid w:val="005D45A3"/>
    <w:rsid w:val="006038A7"/>
    <w:rsid w:val="0068103B"/>
    <w:rsid w:val="006A3A1F"/>
    <w:rsid w:val="006B6ACA"/>
    <w:rsid w:val="006F1DE3"/>
    <w:rsid w:val="0071089D"/>
    <w:rsid w:val="0071532F"/>
    <w:rsid w:val="007E7516"/>
    <w:rsid w:val="007F1CC4"/>
    <w:rsid w:val="008C41C0"/>
    <w:rsid w:val="009040E5"/>
    <w:rsid w:val="009B099F"/>
    <w:rsid w:val="00A00CE1"/>
    <w:rsid w:val="00B34708"/>
    <w:rsid w:val="00B5279F"/>
    <w:rsid w:val="00BA44E1"/>
    <w:rsid w:val="00C34814"/>
    <w:rsid w:val="00C614AB"/>
    <w:rsid w:val="00C65A62"/>
    <w:rsid w:val="00CC1B26"/>
    <w:rsid w:val="00CF6BDF"/>
    <w:rsid w:val="00D40326"/>
    <w:rsid w:val="00D6602C"/>
    <w:rsid w:val="00D6732C"/>
    <w:rsid w:val="00DA2B17"/>
    <w:rsid w:val="00DC7619"/>
    <w:rsid w:val="00DD61F8"/>
    <w:rsid w:val="00E5471B"/>
    <w:rsid w:val="00E85E8A"/>
    <w:rsid w:val="00E94787"/>
    <w:rsid w:val="00EC79A3"/>
    <w:rsid w:val="00F2398F"/>
    <w:rsid w:val="00F23FAA"/>
    <w:rsid w:val="00F950C1"/>
    <w:rsid w:val="6F456C65"/>
    <w:rsid w:val="7440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heme="minorHAnsi" w:cstheme="minorBidi"/>
      <w:kern w:val="2"/>
      <w:sz w:val="24"/>
      <w:szCs w:val="22"/>
      <w:lang w:val="en-US" w:eastAsia="en-US" w:bidi="ar-SA"/>
      <w14:ligatures w14:val="standardContextual"/>
    </w:rPr>
  </w:style>
  <w:style w:type="paragraph" w:styleId="2">
    <w:name w:val="heading 1"/>
    <w:basedOn w:val="1"/>
    <w:next w:val="1"/>
    <w:link w:val="31"/>
    <w:qFormat/>
    <w:uiPriority w:val="9"/>
    <w:pPr>
      <w:keepNext/>
      <w:keepLines/>
      <w:spacing w:before="340" w:after="330" w:line="578" w:lineRule="auto"/>
      <w:jc w:val="center"/>
      <w:outlineLvl w:val="0"/>
    </w:pPr>
    <w:rPr>
      <w:rFonts w:eastAsia="Calibri" w:cs="SimSun"/>
      <w:b/>
      <w:bCs/>
      <w:kern w:val="44"/>
      <w:szCs w:val="44"/>
      <w14:ligatures w14:val="none"/>
    </w:rPr>
  </w:style>
  <w:style w:type="paragraph" w:styleId="3">
    <w:name w:val="heading 2"/>
    <w:basedOn w:val="1"/>
    <w:next w:val="1"/>
    <w:link w:val="28"/>
    <w:unhideWhenUsed/>
    <w:qFormat/>
    <w:uiPriority w:val="9"/>
    <w:pPr>
      <w:keepNext/>
      <w:keepLines/>
      <w:spacing w:before="40"/>
      <w:jc w:val="left"/>
      <w:outlineLvl w:val="1"/>
    </w:pPr>
    <w:rPr>
      <w:rFonts w:eastAsia="SimSun" w:cs="SimSun"/>
      <w:b/>
      <w:color w:val="000000"/>
      <w:kern w:val="0"/>
      <w:szCs w:val="26"/>
      <w14:ligatures w14:val="none"/>
    </w:rPr>
  </w:style>
  <w:style w:type="paragraph" w:styleId="4">
    <w:name w:val="heading 3"/>
    <w:basedOn w:val="1"/>
    <w:next w:val="1"/>
    <w:link w:val="29"/>
    <w:unhideWhenUsed/>
    <w:qFormat/>
    <w:uiPriority w:val="9"/>
    <w:pPr>
      <w:keepNext/>
      <w:keepLines/>
      <w:spacing w:before="260" w:after="260" w:line="416" w:lineRule="auto"/>
      <w:jc w:val="left"/>
      <w:outlineLvl w:val="2"/>
    </w:pPr>
    <w:rPr>
      <w:rFonts w:eastAsia="Calibri" w:cs="SimSun"/>
      <w:b/>
      <w:bCs/>
      <w:kern w:val="0"/>
      <w:szCs w:val="32"/>
      <w14:ligatures w14:val="none"/>
    </w:rPr>
  </w:style>
  <w:style w:type="paragraph" w:styleId="5">
    <w:name w:val="heading 4"/>
    <w:basedOn w:val="1"/>
    <w:next w:val="1"/>
    <w:link w:val="32"/>
    <w:unhideWhenUsed/>
    <w:qFormat/>
    <w:uiPriority w:val="9"/>
    <w:pPr>
      <w:keepNext/>
      <w:keepLines/>
      <w:spacing w:before="280" w:after="290" w:line="376" w:lineRule="auto"/>
      <w:jc w:val="left"/>
      <w:outlineLvl w:val="3"/>
    </w:pPr>
    <w:rPr>
      <w:rFonts w:ascii="Calibri" w:hAnsi="Calibri" w:eastAsia="Calibri" w:cs="SimSun"/>
      <w:b/>
      <w:bCs/>
      <w:kern w:val="0"/>
      <w:sz w:val="28"/>
      <w:szCs w:val="28"/>
      <w14:ligatures w14:val="none"/>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link w:val="33"/>
    <w:qFormat/>
    <w:uiPriority w:val="1"/>
    <w:pPr>
      <w:widowControl w:val="0"/>
      <w:autoSpaceDE w:val="0"/>
      <w:autoSpaceDN w:val="0"/>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9">
    <w:name w:val="annotation text"/>
    <w:basedOn w:val="1"/>
    <w:semiHidden/>
    <w:unhideWhenUsed/>
    <w:uiPriority w:val="99"/>
    <w:pPr>
      <w:jc w:val="left"/>
    </w:pPr>
  </w:style>
  <w:style w:type="paragraph" w:styleId="10">
    <w:name w:val="footer"/>
    <w:basedOn w:val="1"/>
    <w:link w:val="30"/>
    <w:qFormat/>
    <w:uiPriority w:val="99"/>
    <w:pPr>
      <w:tabs>
        <w:tab w:val="center" w:pos="4153"/>
        <w:tab w:val="right" w:pos="8306"/>
      </w:tabs>
      <w:snapToGrid w:val="0"/>
      <w:jc w:val="left"/>
    </w:pPr>
    <w:rPr>
      <w:rFonts w:ascii="Calibri" w:hAnsi="Calibri" w:eastAsia="Calibri" w:cs="SimSun"/>
      <w:kern w:val="0"/>
      <w:sz w:val="18"/>
      <w:szCs w:val="18"/>
      <w14:ligatures w14:val="none"/>
    </w:rPr>
  </w:style>
  <w:style w:type="paragraph" w:styleId="11">
    <w:name w:val="header"/>
    <w:basedOn w:val="1"/>
    <w:link w:val="34"/>
    <w:qFormat/>
    <w:uiPriority w:val="99"/>
    <w:pPr>
      <w:tabs>
        <w:tab w:val="center" w:pos="4153"/>
        <w:tab w:val="right" w:pos="8306"/>
      </w:tabs>
      <w:snapToGrid w:val="0"/>
      <w:jc w:val="left"/>
    </w:pPr>
    <w:rPr>
      <w:rFonts w:ascii="Calibri" w:hAnsi="Calibri" w:eastAsia="Calibri" w:cs="SimSun"/>
      <w:kern w:val="0"/>
      <w:sz w:val="18"/>
      <w:szCs w:val="18"/>
      <w14:ligatures w14:val="none"/>
    </w:rPr>
  </w:style>
  <w:style w:type="character" w:styleId="12">
    <w:name w:val="Hyperlink"/>
    <w:basedOn w:val="6"/>
    <w:qFormat/>
    <w:uiPriority w:val="99"/>
    <w:rPr>
      <w:color w:val="0000FF"/>
      <w:u w:val="single"/>
    </w:rPr>
  </w:style>
  <w:style w:type="paragraph" w:styleId="13">
    <w:name w:val="Normal (Web)"/>
    <w:qFormat/>
    <w:uiPriority w:val="99"/>
    <w:pPr>
      <w:spacing w:beforeAutospacing="1" w:after="0" w:afterAutospacing="1" w:line="240" w:lineRule="auto"/>
    </w:pPr>
    <w:rPr>
      <w:rFonts w:ascii="Times New Roman" w:hAnsi="Times New Roman" w:eastAsia="SimSun" w:cs="Times New Roman"/>
      <w:kern w:val="0"/>
      <w:sz w:val="24"/>
      <w:szCs w:val="24"/>
      <w:lang w:val="en-US" w:eastAsia="zh-CN" w:bidi="ar-SA"/>
      <w14:ligatures w14:val="none"/>
    </w:rPr>
  </w:style>
  <w:style w:type="character" w:styleId="14">
    <w:name w:val="Strong"/>
    <w:basedOn w:val="6"/>
    <w:qFormat/>
    <w:uiPriority w:val="22"/>
    <w:rPr>
      <w:b/>
      <w:bCs/>
    </w:rPr>
  </w:style>
  <w:style w:type="table" w:styleId="15">
    <w:name w:val="Table Grid"/>
    <w:basedOn w:val="7"/>
    <w:qFormat/>
    <w:uiPriority w:val="39"/>
    <w:pPr>
      <w:widowControl w:val="0"/>
      <w:spacing w:after="0" w:line="240" w:lineRule="auto"/>
      <w:jc w:val="both"/>
    </w:pPr>
    <w:rPr>
      <w:rFonts w:ascii="Times New Roman" w:hAnsi="Times New Roman" w:eastAsia="SimSu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1"/>
    <w:basedOn w:val="1"/>
    <w:next w:val="1"/>
    <w:uiPriority w:val="39"/>
    <w:pPr>
      <w:jc w:val="left"/>
    </w:pPr>
    <w:rPr>
      <w:rFonts w:ascii="Calibri" w:hAnsi="Calibri" w:eastAsia="Calibri" w:cs="SimSun"/>
      <w:kern w:val="0"/>
      <w:sz w:val="22"/>
      <w14:ligatures w14:val="none"/>
    </w:rPr>
  </w:style>
  <w:style w:type="paragraph" w:styleId="17">
    <w:name w:val="toc 2"/>
    <w:basedOn w:val="1"/>
    <w:next w:val="1"/>
    <w:qFormat/>
    <w:uiPriority w:val="39"/>
    <w:pPr>
      <w:ind w:left="420" w:leftChars="200"/>
      <w:jc w:val="left"/>
    </w:pPr>
    <w:rPr>
      <w:rFonts w:ascii="Calibri" w:hAnsi="Calibri" w:eastAsia="Calibri" w:cs="SimSun"/>
      <w:kern w:val="0"/>
      <w:sz w:val="22"/>
      <w14:ligatures w14:val="none"/>
    </w:rPr>
  </w:style>
  <w:style w:type="paragraph" w:styleId="18">
    <w:name w:val="toc 3"/>
    <w:basedOn w:val="1"/>
    <w:next w:val="1"/>
    <w:uiPriority w:val="39"/>
    <w:pPr>
      <w:ind w:left="840" w:leftChars="400"/>
      <w:jc w:val="left"/>
    </w:pPr>
    <w:rPr>
      <w:rFonts w:ascii="Calibri" w:hAnsi="Calibri" w:eastAsia="Calibri" w:cs="SimSun"/>
      <w:kern w:val="0"/>
      <w:sz w:val="22"/>
      <w14:ligatures w14:val="none"/>
    </w:rPr>
  </w:style>
  <w:style w:type="paragraph" w:styleId="19">
    <w:name w:val="toc 4"/>
    <w:basedOn w:val="1"/>
    <w:next w:val="1"/>
    <w:uiPriority w:val="39"/>
    <w:pPr>
      <w:ind w:left="1260" w:leftChars="600"/>
      <w:jc w:val="left"/>
    </w:pPr>
    <w:rPr>
      <w:rFonts w:ascii="Calibri" w:hAnsi="Calibri" w:eastAsia="Calibri" w:cs="SimSun"/>
      <w:kern w:val="0"/>
      <w:sz w:val="22"/>
      <w14:ligatures w14:val="none"/>
    </w:rPr>
  </w:style>
  <w:style w:type="table" w:styleId="20">
    <w:name w:val="Medium Grid 3"/>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1">
    <w:name w:val="Medium Grid 3 Accent 1"/>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2">
    <w:name w:val="Medium Grid 3 Accent 2"/>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3">
    <w:name w:val="Medium Grid 3 Accent 3"/>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4">
    <w:name w:val="Medium Grid 3 Accent 4"/>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5">
    <w:name w:val="Medium Grid 3 Accent 5"/>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6">
    <w:name w:val="Medium Grid 3 Accent 6"/>
    <w:basedOn w:val="7"/>
    <w:uiPriority w:val="69"/>
    <w:pPr>
      <w:spacing w:after="0" w:line="240" w:lineRule="auto"/>
    </w:pPr>
    <w:rPr>
      <w:rFonts w:ascii="Times New Roman" w:hAnsi="Times New Roman" w:eastAsia="SimSun"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7">
    <w:name w:val="Unresolved Mention"/>
    <w:basedOn w:val="6"/>
    <w:semiHidden/>
    <w:unhideWhenUsed/>
    <w:uiPriority w:val="99"/>
    <w:rPr>
      <w:color w:val="605E5C"/>
      <w:shd w:val="clear" w:color="auto" w:fill="E1DFDD"/>
    </w:rPr>
  </w:style>
  <w:style w:type="character" w:customStyle="1" w:styleId="28">
    <w:name w:val="Heading 2 Char"/>
    <w:basedOn w:val="6"/>
    <w:link w:val="3"/>
    <w:uiPriority w:val="9"/>
    <w:rPr>
      <w:rFonts w:ascii="Times New Roman" w:hAnsi="Times New Roman" w:eastAsia="SimSun" w:cs="SimSun"/>
      <w:b/>
      <w:color w:val="000000"/>
      <w:kern w:val="0"/>
      <w:sz w:val="24"/>
      <w:szCs w:val="26"/>
      <w:lang w:val="en-US"/>
      <w14:ligatures w14:val="none"/>
    </w:rPr>
  </w:style>
  <w:style w:type="character" w:customStyle="1" w:styleId="29">
    <w:name w:val="Heading 3 Char"/>
    <w:basedOn w:val="6"/>
    <w:link w:val="4"/>
    <w:uiPriority w:val="9"/>
    <w:rPr>
      <w:rFonts w:ascii="Times New Roman" w:hAnsi="Times New Roman" w:eastAsia="Calibri" w:cs="SimSun"/>
      <w:b/>
      <w:bCs/>
      <w:kern w:val="0"/>
      <w:sz w:val="24"/>
      <w:szCs w:val="32"/>
      <w:lang w:val="en-US"/>
      <w14:ligatures w14:val="none"/>
    </w:rPr>
  </w:style>
  <w:style w:type="character" w:customStyle="1" w:styleId="30">
    <w:name w:val="Footer Char"/>
    <w:basedOn w:val="6"/>
    <w:link w:val="10"/>
    <w:uiPriority w:val="99"/>
    <w:rPr>
      <w:rFonts w:ascii="Calibri" w:hAnsi="Calibri" w:eastAsia="Calibri" w:cs="SimSun"/>
      <w:kern w:val="0"/>
      <w:sz w:val="18"/>
      <w:szCs w:val="18"/>
      <w:lang w:val="en-US"/>
      <w14:ligatures w14:val="none"/>
    </w:rPr>
  </w:style>
  <w:style w:type="character" w:customStyle="1" w:styleId="31">
    <w:name w:val="Heading 1 Char"/>
    <w:basedOn w:val="6"/>
    <w:link w:val="2"/>
    <w:uiPriority w:val="9"/>
    <w:rPr>
      <w:rFonts w:ascii="Times New Roman" w:hAnsi="Times New Roman" w:eastAsia="Calibri" w:cs="SimSun"/>
      <w:b/>
      <w:bCs/>
      <w:kern w:val="44"/>
      <w:sz w:val="24"/>
      <w:szCs w:val="44"/>
      <w:lang w:val="en-US"/>
      <w14:ligatures w14:val="none"/>
    </w:rPr>
  </w:style>
  <w:style w:type="character" w:customStyle="1" w:styleId="32">
    <w:name w:val="Heading 4 Char"/>
    <w:basedOn w:val="6"/>
    <w:link w:val="5"/>
    <w:uiPriority w:val="9"/>
    <w:rPr>
      <w:rFonts w:ascii="Calibri" w:hAnsi="Calibri" w:eastAsia="Calibri" w:cs="SimSun"/>
      <w:b/>
      <w:bCs/>
      <w:kern w:val="0"/>
      <w:sz w:val="28"/>
      <w:szCs w:val="28"/>
      <w:lang w:val="en-US"/>
      <w14:ligatures w14:val="none"/>
    </w:rPr>
  </w:style>
  <w:style w:type="character" w:customStyle="1" w:styleId="33">
    <w:name w:val="Body Text Char"/>
    <w:basedOn w:val="6"/>
    <w:link w:val="8"/>
    <w:uiPriority w:val="1"/>
    <w:rPr>
      <w:rFonts w:ascii="Times New Roman" w:hAnsi="Times New Roman" w:eastAsia="Times New Roman" w:cs="Times New Roman"/>
      <w:kern w:val="0"/>
      <w:sz w:val="24"/>
      <w:szCs w:val="24"/>
      <w:lang w:val="en-US"/>
      <w14:ligatures w14:val="none"/>
    </w:rPr>
  </w:style>
  <w:style w:type="character" w:customStyle="1" w:styleId="34">
    <w:name w:val="Header Char"/>
    <w:basedOn w:val="6"/>
    <w:link w:val="11"/>
    <w:uiPriority w:val="99"/>
    <w:rPr>
      <w:rFonts w:ascii="Calibri" w:hAnsi="Calibri" w:eastAsia="Calibri" w:cs="SimSun"/>
      <w:kern w:val="0"/>
      <w:sz w:val="18"/>
      <w:szCs w:val="18"/>
      <w:lang w:val="en-US"/>
      <w14:ligatures w14:val="none"/>
    </w:rPr>
  </w:style>
  <w:style w:type="paragraph" w:customStyle="1" w:styleId="35">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en-US" w:eastAsia="en-US" w:bidi="ar-SA"/>
      <w14:ligatures w14:val="none"/>
    </w:rPr>
  </w:style>
  <w:style w:type="paragraph" w:styleId="36">
    <w:name w:val="List Paragraph"/>
    <w:basedOn w:val="1"/>
    <w:qFormat/>
    <w:uiPriority w:val="34"/>
    <w:pPr>
      <w:ind w:left="720"/>
      <w:contextualSpacing/>
      <w:jc w:val="left"/>
    </w:pPr>
    <w:rPr>
      <w:rFonts w:ascii="Calibri" w:hAnsi="Calibri" w:eastAsia="Calibri" w:cs="SimSun"/>
      <w:kern w:val="0"/>
      <w:sz w:val="22"/>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17976-0352-4D21-8FB4-AB22677FDA7E}">
  <ds:schemaRefs/>
</ds:datastoreItem>
</file>

<file path=docProps/app.xml><?xml version="1.0" encoding="utf-8"?>
<Properties xmlns="http://schemas.openxmlformats.org/officeDocument/2006/extended-properties" xmlns:vt="http://schemas.openxmlformats.org/officeDocument/2006/docPropsVTypes">
  <Template>Normal</Template>
  <Pages>38</Pages>
  <Words>9457</Words>
  <Characters>53909</Characters>
  <Lines>449</Lines>
  <Paragraphs>126</Paragraphs>
  <TotalTime>1104</TotalTime>
  <ScaleCrop>false</ScaleCrop>
  <LinksUpToDate>false</LinksUpToDate>
  <CharactersWithSpaces>63240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2024-09-01T05:12:00Z</dcterms:created>
  <dc:creator>Nzube Igbonezu</dc:creator>
  <cp:lastModifiedBy>hp</cp:lastModifiedBy>
  <dcterms:modified xsi:type="dcterms:W3CDTF">2024-09-15T21:56:04Z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32cf5c2728b48f61f1897c32b995d585255ea5f30b742a0186c131c1dd79cc81</vt:lpwstr>
  </property>
  <property fmtid="{D5CDD505-2E9C-101B-9397-08002B2CF9AE}" pid="3" name="KSOProductBuildVer">
    <vt:lpwstr>1033-12.2.0.18283</vt:lpwstr>
  </property>
  <property fmtid="{D5CDD505-2E9C-101B-9397-08002B2CF9AE}" pid="4" name="ICV">
    <vt:lpwstr>E4F8C78C8F5247B4A50FAF43A45BED56_12</vt:lpwstr>
  </property>
</Properties>
</file>