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drawings/drawing1.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6869F">
      <w:pPr>
        <w:pStyle w:val="9"/>
        <w:spacing w:before="0" w:beforeAutospacing="0" w:after="0" w:afterAutospacing="0" w:line="360" w:lineRule="auto"/>
        <w:jc w:val="center"/>
        <w:rPr>
          <w:b/>
        </w:rPr>
      </w:pPr>
      <w:r>
        <w:rPr>
          <w:b/>
        </w:rPr>
        <w:t>ASSESSMENT OF SOIL ORGANIC CARBON STOCK IN DIFFERENT BLOCK PLANTATION SYSTEMS IN SOUTH GUJARAT CONDITION</w:t>
      </w:r>
    </w:p>
    <w:p w14:paraId="45DC6123">
      <w:pPr>
        <w:pStyle w:val="9"/>
        <w:spacing w:before="0" w:beforeAutospacing="0" w:after="0" w:afterAutospacing="0" w:line="360" w:lineRule="auto"/>
        <w:jc w:val="center"/>
        <w:rPr>
          <w:b/>
        </w:rPr>
      </w:pPr>
    </w:p>
    <w:p w14:paraId="5C427E71">
      <w:pPr>
        <w:pStyle w:val="9"/>
        <w:spacing w:before="0" w:beforeAutospacing="0" w:after="0" w:afterAutospacing="0" w:line="360" w:lineRule="auto"/>
        <w:jc w:val="center"/>
        <w:rPr>
          <w:b/>
        </w:rPr>
      </w:pPr>
    </w:p>
    <w:p w14:paraId="3287497E">
      <w:pPr>
        <w:pStyle w:val="9"/>
        <w:spacing w:before="0" w:beforeAutospacing="0" w:after="0" w:afterAutospacing="0" w:line="360" w:lineRule="auto"/>
        <w:jc w:val="both"/>
        <w:rPr>
          <w:b/>
        </w:rPr>
      </w:pPr>
    </w:p>
    <w:p w14:paraId="0B1B2F15">
      <w:pPr>
        <w:pStyle w:val="9"/>
        <w:spacing w:before="0" w:beforeAutospacing="0" w:after="0" w:afterAutospacing="0" w:line="360" w:lineRule="auto"/>
        <w:jc w:val="both"/>
        <w:rPr>
          <w:color w:val="FF0000"/>
        </w:rPr>
      </w:pPr>
      <w:r>
        <w:rPr>
          <w:b/>
        </w:rPr>
        <w:t>ABSTRACT:</w:t>
      </w:r>
      <w:r>
        <w:t xml:space="preserve"> The study was carried out to assessment the concentration and stock of soil organic carbon (SOC) across nine different types of block plantation systems such as;</w:t>
      </w:r>
      <w:r>
        <w:rPr>
          <w:color w:val="000000" w:themeColor="text1"/>
        </w:rPr>
        <w:t xml:space="preserve"> Sapota-</w:t>
      </w:r>
      <w:r>
        <w:rPr>
          <w:i/>
          <w:color w:val="000000" w:themeColor="text1"/>
        </w:rPr>
        <w:t xml:space="preserve"> Manilkara achras</w:t>
      </w:r>
      <w:r>
        <w:rPr>
          <w:color w:val="000000" w:themeColor="text1"/>
        </w:rPr>
        <w:t xml:space="preserve"> L. (MA), Mango-</w:t>
      </w:r>
      <w:r>
        <w:rPr>
          <w:i/>
          <w:color w:val="000000" w:themeColor="text1"/>
        </w:rPr>
        <w:t xml:space="preserve"> Mangifera indica</w:t>
      </w:r>
      <w:r>
        <w:rPr>
          <w:color w:val="000000" w:themeColor="text1"/>
        </w:rPr>
        <w:t xml:space="preserve"> L. (MI),  Teak-</w:t>
      </w:r>
      <w:r>
        <w:rPr>
          <w:i/>
          <w:color w:val="000000" w:themeColor="text1"/>
        </w:rPr>
        <w:t xml:space="preserve"> Tectona grandis</w:t>
      </w:r>
      <w:r>
        <w:rPr>
          <w:color w:val="000000" w:themeColor="text1"/>
        </w:rPr>
        <w:t xml:space="preserve"> L.f. (TG), Killai-</w:t>
      </w:r>
      <w:r>
        <w:rPr>
          <w:i/>
          <w:color w:val="000000" w:themeColor="text1"/>
        </w:rPr>
        <w:t xml:space="preserve"> Albizzia procera</w:t>
      </w:r>
      <w:r>
        <w:rPr>
          <w:color w:val="000000" w:themeColor="text1"/>
        </w:rPr>
        <w:t xml:space="preserve"> (Roxb.)Benth.  (AP), Eucalyptus-</w:t>
      </w:r>
      <w:r>
        <w:rPr>
          <w:i/>
          <w:color w:val="000000" w:themeColor="text1"/>
        </w:rPr>
        <w:t xml:space="preserve"> Eucalyptus clones</w:t>
      </w:r>
      <w:r>
        <w:rPr>
          <w:color w:val="000000" w:themeColor="text1"/>
        </w:rPr>
        <w:t xml:space="preserve"> (EC), Casuarina-</w:t>
      </w:r>
      <w:r>
        <w:rPr>
          <w:i/>
          <w:color w:val="000000" w:themeColor="text1"/>
        </w:rPr>
        <w:t xml:space="preserve"> Casuarina equisetifolia </w:t>
      </w:r>
      <w:r>
        <w:rPr>
          <w:color w:val="000000" w:themeColor="text1"/>
        </w:rPr>
        <w:t xml:space="preserve">L.ex J.R.&amp; C.Fraser (CE), Shisham- </w:t>
      </w:r>
      <w:r>
        <w:rPr>
          <w:i/>
          <w:color w:val="000000" w:themeColor="text1"/>
        </w:rPr>
        <w:t>Dalbergia latifolia</w:t>
      </w:r>
      <w:r>
        <w:rPr>
          <w:color w:val="000000" w:themeColor="text1"/>
        </w:rPr>
        <w:t xml:space="preserve"> Roxb. (DL), Jatropha- </w:t>
      </w:r>
      <w:r>
        <w:rPr>
          <w:i/>
          <w:color w:val="000000" w:themeColor="text1"/>
        </w:rPr>
        <w:t>Jatropha curcas</w:t>
      </w:r>
      <w:r>
        <w:rPr>
          <w:color w:val="000000" w:themeColor="text1"/>
        </w:rPr>
        <w:t xml:space="preserve"> L., (JC) and Arjun- </w:t>
      </w:r>
      <w:r>
        <w:rPr>
          <w:i/>
          <w:color w:val="000000" w:themeColor="text1"/>
        </w:rPr>
        <w:t>Terminalia arjuna</w:t>
      </w:r>
      <w:r>
        <w:rPr>
          <w:color w:val="000000" w:themeColor="text1"/>
        </w:rPr>
        <w:t xml:space="preserve"> (Roxb.ex DC.) Wight &amp; Arn,  in South Gujarat, India.</w:t>
      </w:r>
      <w:r>
        <w:t xml:space="preserve"> Soil samples at different depths (0–10, 10–20 and 20–30 cm) were collected from each of the block plantation under study to estimate SOC content in the laboratory.</w:t>
      </w:r>
      <w:r>
        <w:rPr>
          <w:color w:val="000000" w:themeColor="text1"/>
        </w:rPr>
        <w:t xml:space="preserve"> </w:t>
      </w:r>
      <w:r>
        <w:t xml:space="preserve"> </w:t>
      </w:r>
      <w:r>
        <w:rPr>
          <w:color w:val="000000" w:themeColor="text1"/>
        </w:rPr>
        <w:t>Hence, bulk density of soil was from 1.28 to 1.42 Mg/m</w:t>
      </w:r>
      <w:r>
        <w:rPr>
          <w:color w:val="000000" w:themeColor="text1"/>
          <w:vertAlign w:val="superscript"/>
        </w:rPr>
        <w:t xml:space="preserve">3 </w:t>
      </w:r>
      <w:r>
        <w:rPr>
          <w:color w:val="000000" w:themeColor="text1"/>
        </w:rPr>
        <w:t>as the increased different tree components under block plantation land use systems. Perusal of the plantation of trees data indicate that the available soil organic carbon was found highest (AP</w:t>
      </w:r>
      <w:r>
        <w:rPr>
          <w:color w:val="000000" w:themeColor="text1"/>
          <w:vertAlign w:val="subscript"/>
        </w:rPr>
        <w:t xml:space="preserve">; </w:t>
      </w:r>
      <w:r>
        <w:rPr>
          <w:color w:val="000000" w:themeColor="text1"/>
        </w:rPr>
        <w:t xml:space="preserve">0.88%) in </w:t>
      </w:r>
      <w:r>
        <w:rPr>
          <w:i/>
          <w:color w:val="000000" w:themeColor="text1"/>
        </w:rPr>
        <w:t>A. procera</w:t>
      </w:r>
      <w:r>
        <w:rPr>
          <w:color w:val="000000" w:themeColor="text1"/>
        </w:rPr>
        <w:t xml:space="preserve">, which was at par with tree plantation of </w:t>
      </w:r>
      <w:r>
        <w:rPr>
          <w:i/>
          <w:color w:val="000000" w:themeColor="text1"/>
        </w:rPr>
        <w:t>T. grandis</w:t>
      </w:r>
      <w:r>
        <w:rPr>
          <w:color w:val="000000" w:themeColor="text1"/>
        </w:rPr>
        <w:t xml:space="preserve"> (TG</w:t>
      </w:r>
      <w:r>
        <w:rPr>
          <w:color w:val="000000" w:themeColor="text1"/>
          <w:vertAlign w:val="subscript"/>
        </w:rPr>
        <w:t xml:space="preserve">; </w:t>
      </w:r>
      <w:r>
        <w:rPr>
          <w:color w:val="000000" w:themeColor="text1"/>
        </w:rPr>
        <w:t xml:space="preserve">0.86%), </w:t>
      </w:r>
      <w:r>
        <w:rPr>
          <w:i/>
          <w:color w:val="000000" w:themeColor="text1"/>
        </w:rPr>
        <w:t>T. arjuna</w:t>
      </w:r>
      <w:r>
        <w:rPr>
          <w:color w:val="000000" w:themeColor="text1"/>
        </w:rPr>
        <w:t xml:space="preserve"> (TA</w:t>
      </w:r>
      <w:r>
        <w:rPr>
          <w:color w:val="000000" w:themeColor="text1"/>
          <w:vertAlign w:val="subscript"/>
        </w:rPr>
        <w:t xml:space="preserve">; </w:t>
      </w:r>
      <w:r>
        <w:rPr>
          <w:color w:val="000000" w:themeColor="text1"/>
        </w:rPr>
        <w:t xml:space="preserve">0.82%), </w:t>
      </w:r>
      <w:r>
        <w:rPr>
          <w:i/>
          <w:color w:val="000000" w:themeColor="text1"/>
        </w:rPr>
        <w:t xml:space="preserve">D. latifolia </w:t>
      </w:r>
      <w:r>
        <w:rPr>
          <w:color w:val="000000" w:themeColor="text1"/>
        </w:rPr>
        <w:t>(DL; 0.82%) and</w:t>
      </w:r>
      <w:r>
        <w:rPr>
          <w:i/>
          <w:color w:val="000000" w:themeColor="text1"/>
        </w:rPr>
        <w:t xml:space="preserve"> M. indica</w:t>
      </w:r>
      <w:r>
        <w:rPr>
          <w:color w:val="000000" w:themeColor="text1"/>
        </w:rPr>
        <w:t xml:space="preserve"> (MI</w:t>
      </w:r>
      <w:r>
        <w:rPr>
          <w:color w:val="000000" w:themeColor="text1"/>
          <w:vertAlign w:val="subscript"/>
        </w:rPr>
        <w:t xml:space="preserve">; </w:t>
      </w:r>
      <w:r>
        <w:rPr>
          <w:color w:val="000000" w:themeColor="text1"/>
        </w:rPr>
        <w:t xml:space="preserve">0.81%), </w:t>
      </w:r>
      <w:r>
        <w:rPr>
          <w:i/>
          <w:color w:val="000000" w:themeColor="text1"/>
        </w:rPr>
        <w:t>M. achras</w:t>
      </w:r>
      <w:r>
        <w:rPr>
          <w:color w:val="000000" w:themeColor="text1"/>
        </w:rPr>
        <w:t xml:space="preserve"> (MA; 0.80%). While it was lowest in Eucalyptus clones (EC; 0.77%) respectively. In addition, find out the depth of soil increased the bulk density. From the investigation of this research paper we concluded the top soil surface layer  (0-10 cm) showed maximum soil organic carbon content. </w:t>
      </w:r>
    </w:p>
    <w:p w14:paraId="2CE9F6F9">
      <w:pPr>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Keywords</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Block plantation, soil organic carbon, bulk density.</w:t>
      </w:r>
    </w:p>
    <w:p w14:paraId="26B466BB">
      <w:pPr>
        <w:pStyle w:val="9"/>
        <w:spacing w:line="360" w:lineRule="auto"/>
        <w:jc w:val="both"/>
      </w:pPr>
      <w:r>
        <w:rPr>
          <w:b/>
          <w:color w:val="000000" w:themeColor="text1"/>
        </w:rPr>
        <w:t>1. INTRODUCTION:</w:t>
      </w:r>
      <w:r>
        <w:t xml:space="preserve"> Soil plays a crucial role in the global carbon cycle due to its active carbon pool (Prentice, </w:t>
      </w:r>
      <w:r>
        <w:rPr>
          <w:i/>
        </w:rPr>
        <w:t>et. al.</w:t>
      </w:r>
      <w:r>
        <w:t xml:space="preserve"> 2001). In plantation ecosystems, soil is the largest carbon sink, storing over three times the carbon present in the atmosphere and 3.8 times more than the biotic pool (Zomer, </w:t>
      </w:r>
      <w:r>
        <w:rPr>
          <w:i/>
        </w:rPr>
        <w:t>et al.</w:t>
      </w:r>
      <w:r>
        <w:t xml:space="preserve"> 2003). As a result, significant carbon sequestration in soils offers a promising opportunity to mitigate global warming (Singh, </w:t>
      </w:r>
      <w:r>
        <w:rPr>
          <w:i/>
        </w:rPr>
        <w:t>et al.</w:t>
      </w:r>
      <w:r>
        <w:t xml:space="preserve"> 2011). Improving the capture and storage of atmospheric CO</w:t>
      </w:r>
      <w:r>
        <w:rPr>
          <w:vertAlign w:val="subscript"/>
        </w:rPr>
        <w:t>2</w:t>
      </w:r>
      <w:r>
        <w:t xml:space="preserve"> across different land use systems can effectively reduce its concentration while enhancing soil quality. Globally, the top 1 meter of soil holds approximately 1500 Pg of soil organic carbon (SOC), with India contributing about 9 Pg of that total. The Himalayan region accounts for around 33% of India's SOC reserves, largely due to dense forest cover (Bhattacharyya, </w:t>
      </w:r>
      <w:r>
        <w:rPr>
          <w:i/>
        </w:rPr>
        <w:t>et al.</w:t>
      </w:r>
      <w:r>
        <w:t xml:space="preserve"> 2008). The amount of SOC can increase or decrease based on various factors such as soil type, climate, topography, and land management practices. However, vegetation has a significant impact on SOC through organic matter input, making land use change a key factor in influencing SOC storage. In natural ecosystems like forests and agroforestry, soils experience minimal disturbance due to fewer cultivation practices, resulting in higher nutrient content and a diverse microbial community compared to agricultural lands. A study from Northeast India found that dense forests had the highest soil organic carbon (SOC) stock at 140.4 Tg, while shifting cultivation had the lowest at 10.7 Tg. The total SOC stock across an area of 10.10 million hectares was 339.82 Tg, with forest soils contributing more than 50%, highlighting the potential for SOC sequestration in the region (Choudhury, </w:t>
      </w:r>
      <w:r>
        <w:rPr>
          <w:i/>
        </w:rPr>
        <w:t>et al.</w:t>
      </w:r>
      <w:r>
        <w:t xml:space="preserve"> 2013). Soil carbon sequestration plays a crucial role in maintaining soil health and crop productivity, aiding in climate change mitigation, and enhancing soil physical properties by improving moisture and nutrient retention. However, deforestation and land use changes that remove biomass can accelerate soil erosion, leading to substantial SOC loss from surface soils. Estimating SOC stock across different block plantation land use systems is vital for developing sustainable land management strategies and preventing SOC depletion. Therefore, this study was conducted to estimate SOC stock in various land uses and assess the relationship between SOC and land use types in South Gujarat.</w:t>
      </w:r>
    </w:p>
    <w:p w14:paraId="71D5D737">
      <w:pPr>
        <w:pStyle w:val="9"/>
        <w:spacing w:line="360" w:lineRule="auto"/>
        <w:jc w:val="both"/>
        <w:rPr>
          <w:b/>
        </w:rPr>
      </w:pPr>
      <w:r>
        <w:rPr>
          <w:b/>
        </w:rPr>
        <w:t>2. MATERIALS AND METHODS:</w:t>
      </w:r>
    </w:p>
    <w:p w14:paraId="33AE5D88">
      <w:pPr>
        <w:tabs>
          <w:tab w:val="left" w:pos="1440"/>
          <w:tab w:val="left" w:pos="3240"/>
        </w:tabs>
        <w:spacing w:line="360" w:lineRule="auto"/>
        <w:jc w:val="both"/>
        <w:rPr>
          <w:rFonts w:ascii="Times New Roman" w:hAnsi="Times New Roman" w:eastAsia="Times New Roman" w:cs="Times New Roman"/>
          <w:color w:val="000000" w:themeColor="text1"/>
          <w:sz w:val="24"/>
          <w:szCs w:val="24"/>
        </w:rPr>
      </w:pPr>
      <w:r>
        <w:rPr>
          <w:rFonts w:ascii="Times New Roman" w:hAnsi="Times New Roman" w:cs="Times New Roman"/>
          <w:b/>
          <w:color w:val="000000" w:themeColor="text1"/>
          <w:sz w:val="24"/>
          <w:szCs w:val="24"/>
        </w:rPr>
        <w:t>2.1 Study site:</w:t>
      </w:r>
      <w:r>
        <w:rPr>
          <w:rFonts w:ascii="Times New Roman" w:hAnsi="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Geographically, Navsari is situated at 20.95</w:t>
      </w:r>
      <w:r>
        <w:rPr>
          <w:rFonts w:ascii="Times New Roman" w:hAnsi="Times New Roman" w:eastAsia="Times New Roman" w:cs="Times New Roman"/>
          <w:color w:val="000000" w:themeColor="text1"/>
          <w:sz w:val="24"/>
          <w:szCs w:val="24"/>
          <w:vertAlign w:val="superscript"/>
        </w:rPr>
        <w:t>o</w:t>
      </w:r>
      <w:r>
        <w:rPr>
          <w:rFonts w:ascii="Times New Roman" w:hAnsi="Times New Roman" w:eastAsia="Times New Roman" w:cs="Times New Roman"/>
          <w:color w:val="000000" w:themeColor="text1"/>
          <w:sz w:val="24"/>
          <w:szCs w:val="24"/>
        </w:rPr>
        <w:t xml:space="preserve"> North latitude, 75.90</w:t>
      </w:r>
      <w:r>
        <w:rPr>
          <w:rFonts w:ascii="Times New Roman" w:hAnsi="Times New Roman" w:eastAsia="Times New Roman" w:cs="Times New Roman"/>
          <w:color w:val="000000" w:themeColor="text1"/>
          <w:sz w:val="24"/>
          <w:szCs w:val="24"/>
          <w:vertAlign w:val="superscript"/>
        </w:rPr>
        <w:t>o</w:t>
      </w:r>
      <w:r>
        <w:rPr>
          <w:rFonts w:ascii="Times New Roman" w:hAnsi="Times New Roman" w:eastAsia="Times New Roman" w:cs="Times New Roman"/>
          <w:color w:val="000000" w:themeColor="text1"/>
          <w:sz w:val="24"/>
          <w:szCs w:val="24"/>
        </w:rPr>
        <w:t xml:space="preserve"> East longitude and at an altitude of 12.0 meters above mean sea level (MSL) (Fig.1). According to agro-climatic condition, Navsari is placed in South Gujarat heavy rainfall zone-I (Agro-ecological situation-III). The College instructional farm is located 12 km away in the east from the Arabian Seashore, Dandi. This region belongs to tropical climate characterized by fairly hot summer, moderately cold winter and more humid and warm monsoon with heavy rain. The average annual precipitation is 1355 mm. The soil of the experimental site is dark grayish brown type with flat topography. The soil is characterized by medium to poor drainage and good water holding capacity. The predominant clay mineral is montmorillonite. The present investigation was carried out during 2014-15 in Navsari district of Gujarat by choosing Nine tree plantation Sapota</w:t>
      </w:r>
      <w:r>
        <w:rPr>
          <w:rFonts w:ascii="Times New Roman" w:hAnsi="Times New Roman" w:cs="Times New Roman"/>
          <w:color w:val="000000" w:themeColor="text1"/>
          <w:sz w:val="24"/>
          <w:szCs w:val="24"/>
        </w:rPr>
        <w:t>-</w:t>
      </w:r>
      <w:r>
        <w:rPr>
          <w:rFonts w:ascii="Times New Roman" w:hAnsi="Times New Roman" w:eastAsia="Times New Roman" w:cs="Times New Roman"/>
          <w:i/>
          <w:color w:val="000000" w:themeColor="text1"/>
          <w:sz w:val="24"/>
          <w:szCs w:val="24"/>
        </w:rPr>
        <w:t xml:space="preserve"> Manilkara achras</w:t>
      </w:r>
      <w:r>
        <w:rPr>
          <w:rFonts w:ascii="Times New Roman" w:hAnsi="Times New Roman" w:eastAsia="Times New Roman" w:cs="Times New Roman"/>
          <w:color w:val="000000" w:themeColor="text1"/>
          <w:sz w:val="24"/>
          <w:szCs w:val="24"/>
        </w:rPr>
        <w:t xml:space="preserve"> L.</w:t>
      </w:r>
      <w:r>
        <w:rPr>
          <w:rFonts w:ascii="Times New Roman" w:hAnsi="Times New Roman" w:cs="Times New Roman"/>
          <w:color w:val="000000" w:themeColor="text1"/>
          <w:sz w:val="24"/>
          <w:szCs w:val="24"/>
        </w:rPr>
        <w:t xml:space="preserve"> (MA), Mango-</w:t>
      </w:r>
      <w:r>
        <w:rPr>
          <w:rFonts w:ascii="Times New Roman" w:hAnsi="Times New Roman" w:eastAsia="Times New Roman" w:cs="Times New Roman"/>
          <w:i/>
          <w:color w:val="000000" w:themeColor="text1"/>
          <w:sz w:val="24"/>
          <w:szCs w:val="24"/>
        </w:rPr>
        <w:t xml:space="preserve"> Mangifera indica</w:t>
      </w:r>
      <w:r>
        <w:rPr>
          <w:rFonts w:ascii="Times New Roman" w:hAnsi="Times New Roman" w:eastAsia="Times New Roman" w:cs="Times New Roman"/>
          <w:color w:val="000000" w:themeColor="text1"/>
          <w:sz w:val="24"/>
          <w:szCs w:val="24"/>
        </w:rPr>
        <w:t xml:space="preserve"> L. </w:t>
      </w:r>
      <w:r>
        <w:rPr>
          <w:rFonts w:ascii="Times New Roman" w:hAnsi="Times New Roman" w:cs="Times New Roman"/>
          <w:color w:val="000000" w:themeColor="text1"/>
          <w:sz w:val="24"/>
          <w:szCs w:val="24"/>
        </w:rPr>
        <w:t>(MI),  Teak-</w:t>
      </w:r>
      <w:r>
        <w:rPr>
          <w:rFonts w:ascii="Times New Roman" w:hAnsi="Times New Roman" w:eastAsia="Times New Roman" w:cs="Times New Roman"/>
          <w:i/>
          <w:color w:val="000000" w:themeColor="text1"/>
          <w:sz w:val="24"/>
          <w:szCs w:val="24"/>
        </w:rPr>
        <w:t xml:space="preserve"> Tectona grandis</w:t>
      </w:r>
      <w:r>
        <w:rPr>
          <w:rFonts w:ascii="Times New Roman" w:hAnsi="Times New Roman" w:eastAsia="Times New Roman" w:cs="Times New Roman"/>
          <w:color w:val="000000" w:themeColor="text1"/>
          <w:sz w:val="24"/>
          <w:szCs w:val="24"/>
        </w:rPr>
        <w:t xml:space="preserve"> L.f.</w:t>
      </w:r>
      <w:r>
        <w:rPr>
          <w:rFonts w:ascii="Times New Roman" w:hAnsi="Times New Roman" w:cs="Times New Roman"/>
          <w:color w:val="000000" w:themeColor="text1"/>
          <w:sz w:val="24"/>
          <w:szCs w:val="24"/>
        </w:rPr>
        <w:t xml:space="preserve"> (TG), Killai-</w:t>
      </w:r>
      <w:r>
        <w:rPr>
          <w:rFonts w:ascii="Times New Roman" w:hAnsi="Times New Roman" w:eastAsia="Times New Roman" w:cs="Times New Roman"/>
          <w:i/>
          <w:color w:val="000000" w:themeColor="text1"/>
          <w:sz w:val="24"/>
          <w:szCs w:val="24"/>
        </w:rPr>
        <w:t xml:space="preserve"> Albizzia procera</w:t>
      </w:r>
      <w:r>
        <w:rPr>
          <w:rFonts w:ascii="Times New Roman" w:hAnsi="Times New Roman" w:eastAsia="Times New Roman" w:cs="Times New Roman"/>
          <w:color w:val="000000" w:themeColor="text1"/>
          <w:sz w:val="24"/>
          <w:szCs w:val="24"/>
        </w:rPr>
        <w:t xml:space="preserve"> (Roxb.)Benth. </w:t>
      </w:r>
      <w:r>
        <w:rPr>
          <w:rFonts w:ascii="Times New Roman" w:hAnsi="Times New Roman" w:cs="Times New Roman"/>
          <w:color w:val="000000" w:themeColor="text1"/>
          <w:sz w:val="24"/>
          <w:szCs w:val="24"/>
        </w:rPr>
        <w:t xml:space="preserve"> (AP), Eucalyptus-</w:t>
      </w:r>
      <w:r>
        <w:rPr>
          <w:rFonts w:ascii="Times New Roman" w:hAnsi="Times New Roman" w:eastAsia="Times New Roman" w:cs="Times New Roman"/>
          <w:i/>
          <w:color w:val="000000" w:themeColor="text1"/>
          <w:sz w:val="24"/>
          <w:szCs w:val="24"/>
        </w:rPr>
        <w:t xml:space="preserve"> Eucalyptus clones</w:t>
      </w:r>
      <w:r>
        <w:rPr>
          <w:rFonts w:ascii="Times New Roman" w:hAnsi="Times New Roman" w:cs="Times New Roman"/>
          <w:color w:val="000000" w:themeColor="text1"/>
          <w:sz w:val="24"/>
          <w:szCs w:val="24"/>
        </w:rPr>
        <w:t xml:space="preserve"> (EC), Casuarina-</w:t>
      </w:r>
      <w:r>
        <w:rPr>
          <w:rFonts w:ascii="Times New Roman" w:hAnsi="Times New Roman" w:eastAsia="Times New Roman" w:cs="Times New Roman"/>
          <w:i/>
          <w:color w:val="000000" w:themeColor="text1"/>
          <w:sz w:val="24"/>
          <w:szCs w:val="24"/>
        </w:rPr>
        <w:t xml:space="preserve"> Casuarina equisetifolia </w:t>
      </w:r>
      <w:r>
        <w:rPr>
          <w:rFonts w:ascii="Times New Roman" w:hAnsi="Times New Roman" w:eastAsia="Times New Roman" w:cs="Times New Roman"/>
          <w:color w:val="000000" w:themeColor="text1"/>
          <w:sz w:val="24"/>
          <w:szCs w:val="24"/>
        </w:rPr>
        <w:t>L.ex J.R.&amp; C.Fraser</w:t>
      </w:r>
      <w:r>
        <w:rPr>
          <w:rFonts w:ascii="Times New Roman" w:hAnsi="Times New Roman" w:cs="Times New Roman"/>
          <w:color w:val="000000" w:themeColor="text1"/>
          <w:sz w:val="24"/>
          <w:szCs w:val="24"/>
        </w:rPr>
        <w:t xml:space="preserve"> (CE), </w:t>
      </w:r>
      <w:r>
        <w:rPr>
          <w:rFonts w:ascii="Times New Roman" w:hAnsi="Times New Roman" w:eastAsia="Times New Roman" w:cs="Times New Roman"/>
          <w:color w:val="000000" w:themeColor="text1"/>
          <w:sz w:val="24"/>
          <w:szCs w:val="24"/>
        </w:rPr>
        <w:t xml:space="preserve">Shisham- </w:t>
      </w:r>
      <w:r>
        <w:rPr>
          <w:rFonts w:ascii="Times New Roman" w:hAnsi="Times New Roman" w:eastAsia="Times New Roman" w:cs="Times New Roman"/>
          <w:i/>
          <w:color w:val="000000" w:themeColor="text1"/>
          <w:sz w:val="24"/>
          <w:szCs w:val="24"/>
        </w:rPr>
        <w:t>Dalbergia latifolia</w:t>
      </w:r>
      <w:r>
        <w:rPr>
          <w:rFonts w:ascii="Times New Roman" w:hAnsi="Times New Roman" w:eastAsia="Times New Roman" w:cs="Times New Roman"/>
          <w:color w:val="000000" w:themeColor="text1"/>
          <w:sz w:val="24"/>
          <w:szCs w:val="24"/>
        </w:rPr>
        <w:t xml:space="preserve"> Roxb. (DL), Jatropha- </w:t>
      </w:r>
      <w:r>
        <w:rPr>
          <w:rFonts w:ascii="Times New Roman" w:hAnsi="Times New Roman" w:eastAsia="Times New Roman" w:cs="Times New Roman"/>
          <w:i/>
          <w:color w:val="000000" w:themeColor="text1"/>
          <w:sz w:val="24"/>
          <w:szCs w:val="24"/>
        </w:rPr>
        <w:t>Jatropha curcas</w:t>
      </w:r>
      <w:r>
        <w:rPr>
          <w:rFonts w:ascii="Times New Roman" w:hAnsi="Times New Roman" w:eastAsia="Times New Roman" w:cs="Times New Roman"/>
          <w:color w:val="000000" w:themeColor="text1"/>
          <w:sz w:val="24"/>
          <w:szCs w:val="24"/>
        </w:rPr>
        <w:t xml:space="preserve"> L.,(JC) and Arjun- </w:t>
      </w:r>
      <w:r>
        <w:rPr>
          <w:rFonts w:ascii="Times New Roman" w:hAnsi="Times New Roman" w:eastAsia="Times New Roman" w:cs="Times New Roman"/>
          <w:i/>
          <w:color w:val="000000" w:themeColor="text1"/>
          <w:sz w:val="24"/>
          <w:szCs w:val="24"/>
        </w:rPr>
        <w:t>Terminalia arjuna</w:t>
      </w:r>
      <w:r>
        <w:rPr>
          <w:rFonts w:ascii="Times New Roman" w:hAnsi="Times New Roman" w:eastAsia="Times New Roman" w:cs="Times New Roman"/>
          <w:color w:val="000000" w:themeColor="text1"/>
          <w:sz w:val="24"/>
          <w:szCs w:val="24"/>
        </w:rPr>
        <w:t xml:space="preserve"> (Roxb.ex DC.) Wight &amp; Arn. were selected for comparison their soil organic carbon potential.</w:t>
      </w:r>
      <w:r>
        <w:rPr>
          <w:rFonts w:ascii="Times New Roman" w:hAnsi="Times New Roman" w:eastAsia="Times New Roman" w:cs="Times New Roman"/>
          <w:b/>
          <w:color w:val="000000" w:themeColor="text1"/>
          <w:sz w:val="24"/>
          <w:szCs w:val="24"/>
        </w:rPr>
        <w:t xml:space="preserve"> </w:t>
      </w:r>
      <w:r>
        <w:rPr>
          <w:rFonts w:ascii="Times New Roman" w:hAnsi="Times New Roman" w:eastAsia="Times New Roman" w:cs="Times New Roman"/>
          <w:color w:val="000000" w:themeColor="text1"/>
          <w:sz w:val="24"/>
          <w:szCs w:val="24"/>
        </w:rPr>
        <w:t>Table 1;</w:t>
      </w:r>
      <w:r>
        <w:rPr>
          <w:rFonts w:ascii="Times New Roman" w:hAnsi="Times New Roman" w:eastAsia="Times New Roman" w:cs="Times New Roman"/>
          <w:b/>
          <w:color w:val="000000" w:themeColor="text1"/>
          <w:sz w:val="24"/>
          <w:szCs w:val="24"/>
        </w:rPr>
        <w:t xml:space="preserve"> </w:t>
      </w:r>
      <w:r>
        <w:rPr>
          <w:rFonts w:ascii="Times New Roman" w:hAnsi="Times New Roman" w:eastAsia="Times New Roman" w:cs="Times New Roman"/>
          <w:color w:val="000000" w:themeColor="text1"/>
          <w:sz w:val="24"/>
          <w:szCs w:val="24"/>
        </w:rPr>
        <w:t>showed the detail of block plantation with 3 replication, number of tree/hectare, were taken for observations.</w:t>
      </w:r>
    </w:p>
    <w:p w14:paraId="4346EA52">
      <w:pPr>
        <w:tabs>
          <w:tab w:val="left" w:pos="1440"/>
          <w:tab w:val="left" w:pos="3240"/>
        </w:tabs>
        <w:spacing w:line="36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drawing>
          <wp:inline distT="0" distB="0" distL="0" distR="0">
            <wp:extent cx="5943600" cy="4199890"/>
            <wp:effectExtent l="19050" t="0" r="0" b="0"/>
            <wp:docPr id="16" name="Object 16"/>
            <wp:cNvGraphicFramePr/>
            <a:graphic xmlns:a="http://schemas.openxmlformats.org/drawingml/2006/main">
              <a:graphicData uri="http://schemas.openxmlformats.org/drawingml/2006/lockedCanvas">
                <lc:lockedCanvas xmlns:lc="http://schemas.openxmlformats.org/drawingml/2006/lockedCanvas">
                  <a:nvGrpSpPr>
                    <a:cNvPr id="1" name="Group 0"/>
                    <a:cNvGrpSpPr/>
                  </a:nvGrpSpPr>
                  <a:grpSpPr>
                    <a:xfrm>
                      <a:off x="0" y="0"/>
                      <a:ext cx="8610600" cy="6084332"/>
                      <a:chOff x="304800" y="381000"/>
                      <a:chExt cx="8610600" cy="6084332"/>
                    </a:xfrm>
                  </a:grpSpPr>
                  <a:grpSp>
                    <a:nvGrpSpPr>
                      <a:cNvPr id="12" name="Group 11"/>
                      <a:cNvGrpSpPr/>
                    </a:nvGrpSpPr>
                    <a:grpSpPr>
                      <a:xfrm>
                        <a:off x="304800" y="381000"/>
                        <a:ext cx="8610600" cy="6084332"/>
                        <a:chOff x="304800" y="381000"/>
                        <a:chExt cx="8610600" cy="6084332"/>
                      </a:xfrm>
                    </a:grpSpPr>
                    <a:pic>
                      <a:nvPicPr>
                        <a:cNvPr id="2" name="Picture 1" descr="Use of Big Data for Flood Assessment Through HEC-RAS Model: A Study of  Purna River of Navsari | SpringerLink"/>
                        <a:cNvPicPr/>
                      </a:nvPicPr>
                      <a:blipFill>
                        <a:blip r:embed="rId14"/>
                        <a:srcRect/>
                        <a:stretch>
                          <a:fillRect/>
                        </a:stretch>
                      </a:blipFill>
                      <a:spPr bwMode="auto">
                        <a:xfrm>
                          <a:off x="304800" y="381000"/>
                          <a:ext cx="8534400" cy="5867400"/>
                        </a:xfrm>
                        <a:prstGeom prst="rect">
                          <a:avLst/>
                        </a:prstGeom>
                        <a:noFill/>
                        <a:ln w="9525">
                          <a:noFill/>
                          <a:miter lim="800000"/>
                          <a:headEnd/>
                          <a:tailEnd/>
                        </a:ln>
                      </a:spPr>
                    </a:pic>
                    <a:sp>
                      <a:nvSpPr>
                        <a:cNvPr id="3" name="Oval 2"/>
                        <a:cNvSpPr/>
                      </a:nvSpPr>
                      <a:spPr>
                        <a:xfrm>
                          <a:off x="6019800" y="3505200"/>
                          <a:ext cx="228600" cy="228600"/>
                        </a:xfrm>
                        <a:prstGeom prst="ellipse">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accent2">
                                  <a:lumMod val="75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Oval 3"/>
                        <a:cNvSpPr/>
                      </a:nvSpPr>
                      <a:spPr>
                        <a:xfrm>
                          <a:off x="6172200" y="3962400"/>
                          <a:ext cx="228600" cy="228600"/>
                        </a:xfrm>
                        <a:prstGeom prst="ellipse">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accent2">
                                  <a:lumMod val="75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Oval 4"/>
                        <a:cNvSpPr/>
                      </a:nvSpPr>
                      <a:spPr>
                        <a:xfrm>
                          <a:off x="6400800" y="3581400"/>
                          <a:ext cx="228600" cy="228600"/>
                        </a:xfrm>
                        <a:prstGeom prst="ellipse">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accent2">
                                  <a:lumMod val="75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 name="Straight Arrow Connector 6"/>
                        <a:cNvCxnSpPr/>
                      </a:nvCxnSpPr>
                      <a:spPr>
                        <a:xfrm flipV="1">
                          <a:off x="4648200" y="3700322"/>
                          <a:ext cx="1328878" cy="795478"/>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cxnSp>
                      <a:nvCxnSpPr>
                        <a:cNvPr id="8" name="Straight Arrow Connector 7"/>
                        <a:cNvCxnSpPr>
                          <a:endCxn id="5" idx="3"/>
                        </a:cNvCxnSpPr>
                      </a:nvCxnSpPr>
                      <a:spPr>
                        <a:xfrm flipV="1">
                          <a:off x="4800600" y="3776522"/>
                          <a:ext cx="1633678" cy="871678"/>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cxnSp>
                      <a:nvCxnSpPr>
                        <a:cNvPr id="10" name="Straight Arrow Connector 9"/>
                        <a:cNvCxnSpPr/>
                      </a:nvCxnSpPr>
                      <a:spPr>
                        <a:xfrm flipV="1">
                          <a:off x="4800600" y="4233722"/>
                          <a:ext cx="1328878" cy="795478"/>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sp>
                      <a:nvSpPr>
                        <a:cNvPr id="11" name="Rectangle 10"/>
                        <a:cNvSpPr/>
                      </a:nvSpPr>
                      <a:spPr>
                        <a:xfrm>
                          <a:off x="381000" y="6096000"/>
                          <a:ext cx="8534400" cy="369332"/>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latin typeface="Times New Roman" panose="02020603050405020304" charset="0"/>
                                <a:cs typeface="Times New Roman" panose="02020603050405020304" charset="0"/>
                              </a:rPr>
                              <a:t> Fig 1: Map of Navsari district of Gujarat, India(Red circles show the research area) </a:t>
                            </a:r>
                            <a:endParaRPr lang="en-US" dirty="0"/>
                          </a:p>
                        </a:txBody>
                        <a:useSpRect/>
                      </a:txSp>
                    </a:sp>
                  </a:grpSp>
                </lc:lockedCanvas>
              </a:graphicData>
            </a:graphic>
          </wp:inline>
        </w:drawing>
      </w:r>
      <w:r>
        <w:rPr>
          <w:color w:val="FFFF00"/>
        </w:rPr>
        <w:pict>
          <v:shape id="_x0000_s1028" o:spid="_x0000_s1028" o:spt="3" type="#_x0000_t3" style="position:absolute;left:0pt;margin-left:308.75pt;margin-top:173.3pt;height:7.15pt;width:7.5pt;z-index:251661312;mso-width-relative:page;mso-height-relative:page;" fillcolor="#C0504D" filled="t" stroked="t" coordsize="21600,21600">
            <v:path/>
            <v:fill on="t" focussize="0,0"/>
            <v:stroke weight="3pt" color="#F2F2F2"/>
            <v:imagedata o:title=""/>
            <o:lock v:ext="edit"/>
            <v:shadow on="t" type="perspective" color="#622423" opacity="32768f" offset="1pt,2pt" offset2="-1pt,-2pt"/>
          </v:shape>
        </w:pict>
      </w:r>
      <w:r>
        <w:pict>
          <v:shape id="_x0000_s1027" o:spid="_x0000_s1027" o:spt="3" type="#_x0000_t3" style="position:absolute;left:0pt;margin-left:336.3pt;margin-top:192.45pt;height:7.15pt;width:7.5pt;z-index:251660288;mso-width-relative:page;mso-height-relative:page;" fillcolor="#C0504D" filled="t" stroked="t" coordsize="21600,21600">
            <v:path/>
            <v:fill on="t" focussize="0,0"/>
            <v:stroke weight="3pt" color="#F2F2F2"/>
            <v:imagedata o:title=""/>
            <o:lock v:ext="edit"/>
            <v:shadow on="t" type="perspective" color="#622423" opacity="32768f" offset="1pt,2pt" offset2="-1pt,-2pt"/>
          </v:shape>
        </w:pict>
      </w:r>
      <w:r>
        <w:pict>
          <v:shape id="_x0000_s1026" o:spid="_x0000_s1026" o:spt="3" type="#_x0000_t3" style="position:absolute;left:0pt;margin-left:324.3pt;margin-top:180.45pt;height:7.15pt;width:7.5pt;z-index:251659264;mso-width-relative:page;mso-height-relative:page;" fillcolor="#C0504D" filled="t" stroked="t" coordsize="21600,21600">
            <v:path/>
            <v:fill on="t" focussize="0,0"/>
            <v:stroke weight="3pt" color="#F2F2F2"/>
            <v:imagedata o:title=""/>
            <o:lock v:ext="edit"/>
            <v:shadow on="t" type="perspective" color="#622423" opacity="32768f" offset="1pt,2pt" offset2="-1pt,-2pt"/>
          </v:shape>
        </w:pict>
      </w:r>
    </w:p>
    <w:p w14:paraId="1298234F">
      <w:pPr>
        <w:tabs>
          <w:tab w:val="left" w:pos="1440"/>
          <w:tab w:val="left" w:pos="3240"/>
        </w:tabs>
        <w:spacing w:line="360" w:lineRule="auto"/>
        <w:jc w:val="both"/>
        <w:rPr>
          <w:rFonts w:ascii="Times New Roman" w:hAnsi="Times New Roman" w:eastAsia="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 xml:space="preserve">2.2 Procedure of soil sample collection and preparation: </w:t>
      </w:r>
    </w:p>
    <w:p w14:paraId="718F472B">
      <w:pPr>
        <w:tabs>
          <w:tab w:val="left" w:pos="1440"/>
          <w:tab w:val="left" w:pos="3240"/>
        </w:tabs>
        <w:spacing w:line="36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From the different land use system, soil were collected from different soil depth such as-0-10 cm, 10-20 cm, 20-30 cm in triplicates. The composite soil samples for each depth were obtained by mixing three samples. For analysis of soil physio-chemical, sample were air dried in shade, ground with wooden pestle, passed through 2 mm sieve and stored in cloth bags </w:t>
      </w:r>
      <w:r>
        <w:rPr>
          <w:rFonts w:ascii="Times New Roman" w:hAnsi="Times New Roman" w:cs="Times New Roman"/>
          <w:color w:val="000000" w:themeColor="text1"/>
          <w:sz w:val="24"/>
          <w:szCs w:val="24"/>
        </w:rPr>
        <w:t>(Walkley and Black, 1934)</w:t>
      </w:r>
      <w:r>
        <w:rPr>
          <w:rFonts w:ascii="Times New Roman" w:hAnsi="Times New Roman" w:eastAsia="Times New Roman" w:cs="Times New Roman"/>
          <w:color w:val="000000" w:themeColor="text1"/>
          <w:sz w:val="24"/>
          <w:szCs w:val="24"/>
        </w:rPr>
        <w:t xml:space="preserve">. </w:t>
      </w:r>
    </w:p>
    <w:p w14:paraId="20AA22AD">
      <w:pPr>
        <w:tabs>
          <w:tab w:val="left" w:pos="1440"/>
          <w:tab w:val="left" w:pos="3240"/>
        </w:tabs>
        <w:spacing w:line="360" w:lineRule="auto"/>
        <w:jc w:val="both"/>
        <w:rPr>
          <w:rFonts w:ascii="Times New Roman" w:hAnsi="Times New Roman" w:eastAsia="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Table 1: Details of different block plantation land use systems.</w:t>
      </w:r>
    </w:p>
    <w:tbl>
      <w:tblPr>
        <w:tblStyle w:val="10"/>
        <w:tblW w:w="747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3"/>
        <w:gridCol w:w="2554"/>
        <w:gridCol w:w="1330"/>
        <w:gridCol w:w="1275"/>
        <w:gridCol w:w="1647"/>
      </w:tblGrid>
      <w:tr w14:paraId="30FFF8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3" w:type="dxa"/>
          </w:tcPr>
          <w:p w14:paraId="3A01099C">
            <w:pPr>
              <w:tabs>
                <w:tab w:val="left" w:pos="420"/>
                <w:tab w:val="left" w:pos="1440"/>
                <w:tab w:val="left" w:pos="3240"/>
              </w:tabs>
              <w:spacing w:after="0" w:line="240" w:lineRule="auto"/>
              <w:jc w:val="center"/>
              <w:rPr>
                <w:rFonts w:ascii="Times New Roman" w:hAnsi="Times New Roman" w:eastAsia="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S.no</w:t>
            </w:r>
          </w:p>
        </w:tc>
        <w:tc>
          <w:tcPr>
            <w:tcW w:w="2554" w:type="dxa"/>
          </w:tcPr>
          <w:p w14:paraId="54DA7971">
            <w:pPr>
              <w:tabs>
                <w:tab w:val="left" w:pos="1440"/>
                <w:tab w:val="left" w:pos="3240"/>
              </w:tabs>
              <w:spacing w:after="0" w:line="240" w:lineRule="auto"/>
              <w:jc w:val="center"/>
              <w:rPr>
                <w:rFonts w:ascii="Times New Roman" w:hAnsi="Times New Roman" w:eastAsia="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Block plantation  Land use systems</w:t>
            </w:r>
          </w:p>
        </w:tc>
        <w:tc>
          <w:tcPr>
            <w:tcW w:w="1330" w:type="dxa"/>
          </w:tcPr>
          <w:p w14:paraId="5C71C0BC">
            <w:pPr>
              <w:tabs>
                <w:tab w:val="left" w:pos="1440"/>
                <w:tab w:val="left" w:pos="3240"/>
              </w:tabs>
              <w:spacing w:after="0" w:line="240" w:lineRule="auto"/>
              <w:jc w:val="center"/>
              <w:rPr>
                <w:rFonts w:ascii="Times New Roman" w:hAnsi="Times New Roman" w:eastAsia="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Tree spacing (m)</w:t>
            </w:r>
          </w:p>
        </w:tc>
        <w:tc>
          <w:tcPr>
            <w:tcW w:w="1275" w:type="dxa"/>
          </w:tcPr>
          <w:p w14:paraId="12FBE097">
            <w:pPr>
              <w:tabs>
                <w:tab w:val="left" w:pos="1440"/>
                <w:tab w:val="left" w:pos="3240"/>
              </w:tabs>
              <w:spacing w:after="0" w:line="240" w:lineRule="auto"/>
              <w:jc w:val="center"/>
              <w:rPr>
                <w:rFonts w:ascii="Times New Roman" w:hAnsi="Times New Roman" w:eastAsia="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Planting Year</w:t>
            </w:r>
          </w:p>
        </w:tc>
        <w:tc>
          <w:tcPr>
            <w:tcW w:w="1647" w:type="dxa"/>
          </w:tcPr>
          <w:p w14:paraId="63E3B0BC">
            <w:pPr>
              <w:tabs>
                <w:tab w:val="left" w:pos="1440"/>
                <w:tab w:val="left" w:pos="3240"/>
              </w:tabs>
              <w:spacing w:after="0" w:line="240" w:lineRule="auto"/>
              <w:jc w:val="center"/>
              <w:rPr>
                <w:rFonts w:ascii="Times New Roman" w:hAnsi="Times New Roman" w:eastAsia="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No of trees (Per hectare)</w:t>
            </w:r>
          </w:p>
        </w:tc>
      </w:tr>
      <w:tr w14:paraId="04D3C7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3" w:type="dxa"/>
          </w:tcPr>
          <w:p w14:paraId="66F709DC">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1</w:t>
            </w:r>
          </w:p>
        </w:tc>
        <w:tc>
          <w:tcPr>
            <w:tcW w:w="2554" w:type="dxa"/>
          </w:tcPr>
          <w:p w14:paraId="2E421F87">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Sapota- </w:t>
            </w:r>
            <w:r>
              <w:rPr>
                <w:rFonts w:ascii="Times New Roman" w:hAnsi="Times New Roman" w:eastAsia="Times New Roman" w:cs="Times New Roman"/>
                <w:i/>
                <w:color w:val="000000" w:themeColor="text1"/>
                <w:sz w:val="24"/>
                <w:szCs w:val="24"/>
              </w:rPr>
              <w:t>Manilkara achras</w:t>
            </w:r>
            <w:r>
              <w:rPr>
                <w:rFonts w:ascii="Times New Roman" w:hAnsi="Times New Roman" w:eastAsia="Times New Roman" w:cs="Times New Roman"/>
                <w:color w:val="000000" w:themeColor="text1"/>
                <w:sz w:val="24"/>
                <w:szCs w:val="24"/>
              </w:rPr>
              <w:t xml:space="preserve"> L.</w:t>
            </w:r>
            <w:r>
              <w:rPr>
                <w:rFonts w:ascii="Times New Roman" w:hAnsi="Times New Roman" w:cs="Times New Roman"/>
                <w:color w:val="000000" w:themeColor="text1"/>
                <w:sz w:val="24"/>
                <w:szCs w:val="24"/>
              </w:rPr>
              <w:t xml:space="preserve"> (MA), </w:t>
            </w:r>
          </w:p>
        </w:tc>
        <w:tc>
          <w:tcPr>
            <w:tcW w:w="1330" w:type="dxa"/>
          </w:tcPr>
          <w:p w14:paraId="39C05962">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8 x8</w:t>
            </w:r>
          </w:p>
        </w:tc>
        <w:tc>
          <w:tcPr>
            <w:tcW w:w="1275" w:type="dxa"/>
          </w:tcPr>
          <w:p w14:paraId="2331C830">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1994</w:t>
            </w:r>
          </w:p>
        </w:tc>
        <w:tc>
          <w:tcPr>
            <w:tcW w:w="1647" w:type="dxa"/>
          </w:tcPr>
          <w:p w14:paraId="47D9AD22">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156</w:t>
            </w:r>
          </w:p>
        </w:tc>
      </w:tr>
      <w:tr w14:paraId="649967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3" w:type="dxa"/>
          </w:tcPr>
          <w:p w14:paraId="4B88CF96">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2</w:t>
            </w:r>
          </w:p>
        </w:tc>
        <w:tc>
          <w:tcPr>
            <w:tcW w:w="2554" w:type="dxa"/>
          </w:tcPr>
          <w:p w14:paraId="5A90835C">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Mango-</w:t>
            </w:r>
            <w:r>
              <w:rPr>
                <w:rFonts w:ascii="Times New Roman" w:hAnsi="Times New Roman" w:eastAsia="Times New Roman" w:cs="Times New Roman"/>
                <w:i/>
                <w:color w:val="000000" w:themeColor="text1"/>
                <w:sz w:val="24"/>
                <w:szCs w:val="24"/>
              </w:rPr>
              <w:t xml:space="preserve"> Mangifera indica</w:t>
            </w:r>
            <w:r>
              <w:rPr>
                <w:rFonts w:ascii="Times New Roman" w:hAnsi="Times New Roman" w:eastAsia="Times New Roman" w:cs="Times New Roman"/>
                <w:color w:val="000000" w:themeColor="text1"/>
                <w:sz w:val="24"/>
                <w:szCs w:val="24"/>
              </w:rPr>
              <w:t xml:space="preserve"> L. </w:t>
            </w:r>
            <w:r>
              <w:rPr>
                <w:rFonts w:ascii="Times New Roman" w:hAnsi="Times New Roman" w:cs="Times New Roman"/>
                <w:color w:val="000000" w:themeColor="text1"/>
                <w:sz w:val="24"/>
                <w:szCs w:val="24"/>
              </w:rPr>
              <w:t>(MI)</w:t>
            </w:r>
          </w:p>
        </w:tc>
        <w:tc>
          <w:tcPr>
            <w:tcW w:w="1330" w:type="dxa"/>
          </w:tcPr>
          <w:p w14:paraId="750C4067">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8 x8</w:t>
            </w:r>
          </w:p>
        </w:tc>
        <w:tc>
          <w:tcPr>
            <w:tcW w:w="1275" w:type="dxa"/>
          </w:tcPr>
          <w:p w14:paraId="720FA367">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1990</w:t>
            </w:r>
          </w:p>
        </w:tc>
        <w:tc>
          <w:tcPr>
            <w:tcW w:w="1647" w:type="dxa"/>
          </w:tcPr>
          <w:p w14:paraId="5CFCAD83">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156</w:t>
            </w:r>
          </w:p>
        </w:tc>
      </w:tr>
      <w:tr w14:paraId="1EDE88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3" w:type="dxa"/>
          </w:tcPr>
          <w:p w14:paraId="6C28B086">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3</w:t>
            </w:r>
          </w:p>
        </w:tc>
        <w:tc>
          <w:tcPr>
            <w:tcW w:w="2554" w:type="dxa"/>
          </w:tcPr>
          <w:p w14:paraId="7008F140">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Teak-</w:t>
            </w:r>
            <w:r>
              <w:rPr>
                <w:rFonts w:ascii="Times New Roman" w:hAnsi="Times New Roman" w:eastAsia="Times New Roman" w:cs="Times New Roman"/>
                <w:i/>
                <w:color w:val="000000" w:themeColor="text1"/>
                <w:sz w:val="24"/>
                <w:szCs w:val="24"/>
              </w:rPr>
              <w:t xml:space="preserve"> Tectona grandis</w:t>
            </w:r>
            <w:r>
              <w:rPr>
                <w:rFonts w:ascii="Times New Roman" w:hAnsi="Times New Roman" w:eastAsia="Times New Roman" w:cs="Times New Roman"/>
                <w:color w:val="000000" w:themeColor="text1"/>
                <w:sz w:val="24"/>
                <w:szCs w:val="24"/>
              </w:rPr>
              <w:t xml:space="preserve"> L.f.</w:t>
            </w:r>
            <w:r>
              <w:rPr>
                <w:rFonts w:ascii="Times New Roman" w:hAnsi="Times New Roman" w:cs="Times New Roman"/>
                <w:color w:val="000000" w:themeColor="text1"/>
                <w:sz w:val="24"/>
                <w:szCs w:val="24"/>
              </w:rPr>
              <w:t xml:space="preserve"> (TG), </w:t>
            </w:r>
          </w:p>
        </w:tc>
        <w:tc>
          <w:tcPr>
            <w:tcW w:w="1330" w:type="dxa"/>
          </w:tcPr>
          <w:p w14:paraId="221C05BC">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3 x3</w:t>
            </w:r>
          </w:p>
        </w:tc>
        <w:tc>
          <w:tcPr>
            <w:tcW w:w="1275" w:type="dxa"/>
          </w:tcPr>
          <w:p w14:paraId="2814BCEA">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1990</w:t>
            </w:r>
          </w:p>
        </w:tc>
        <w:tc>
          <w:tcPr>
            <w:tcW w:w="1647" w:type="dxa"/>
          </w:tcPr>
          <w:p w14:paraId="3EA018A7">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1111</w:t>
            </w:r>
          </w:p>
        </w:tc>
      </w:tr>
      <w:tr w14:paraId="71D46C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3" w:type="dxa"/>
          </w:tcPr>
          <w:p w14:paraId="5A2C2050">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4</w:t>
            </w:r>
          </w:p>
        </w:tc>
        <w:tc>
          <w:tcPr>
            <w:tcW w:w="2554" w:type="dxa"/>
          </w:tcPr>
          <w:p w14:paraId="69E0941F">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Killai-</w:t>
            </w:r>
            <w:r>
              <w:rPr>
                <w:rFonts w:ascii="Times New Roman" w:hAnsi="Times New Roman" w:eastAsia="Times New Roman" w:cs="Times New Roman"/>
                <w:i/>
                <w:color w:val="000000" w:themeColor="text1"/>
                <w:sz w:val="24"/>
                <w:szCs w:val="24"/>
              </w:rPr>
              <w:t xml:space="preserve"> Albizzia procera</w:t>
            </w:r>
            <w:r>
              <w:rPr>
                <w:rFonts w:ascii="Times New Roman" w:hAnsi="Times New Roman" w:eastAsia="Times New Roman" w:cs="Times New Roman"/>
                <w:color w:val="000000" w:themeColor="text1"/>
                <w:sz w:val="24"/>
                <w:szCs w:val="24"/>
              </w:rPr>
              <w:t xml:space="preserve"> (Roxb.)Benth. </w:t>
            </w:r>
            <w:r>
              <w:rPr>
                <w:rFonts w:ascii="Times New Roman" w:hAnsi="Times New Roman" w:cs="Times New Roman"/>
                <w:color w:val="000000" w:themeColor="text1"/>
                <w:sz w:val="24"/>
                <w:szCs w:val="24"/>
              </w:rPr>
              <w:t xml:space="preserve"> (AP)</w:t>
            </w:r>
          </w:p>
        </w:tc>
        <w:tc>
          <w:tcPr>
            <w:tcW w:w="1330" w:type="dxa"/>
          </w:tcPr>
          <w:p w14:paraId="679F5B27">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3 x3</w:t>
            </w:r>
          </w:p>
        </w:tc>
        <w:tc>
          <w:tcPr>
            <w:tcW w:w="1275" w:type="dxa"/>
          </w:tcPr>
          <w:p w14:paraId="6778C49A">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1995</w:t>
            </w:r>
          </w:p>
        </w:tc>
        <w:tc>
          <w:tcPr>
            <w:tcW w:w="1647" w:type="dxa"/>
          </w:tcPr>
          <w:p w14:paraId="1F1B3531">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1111</w:t>
            </w:r>
          </w:p>
        </w:tc>
      </w:tr>
      <w:tr w14:paraId="503F3D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3" w:type="dxa"/>
          </w:tcPr>
          <w:p w14:paraId="7D479A5E">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5</w:t>
            </w:r>
          </w:p>
        </w:tc>
        <w:tc>
          <w:tcPr>
            <w:tcW w:w="2554" w:type="dxa"/>
          </w:tcPr>
          <w:p w14:paraId="3EFA110B">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Eucalyptus-</w:t>
            </w:r>
            <w:r>
              <w:rPr>
                <w:rFonts w:ascii="Times New Roman" w:hAnsi="Times New Roman" w:eastAsia="Times New Roman" w:cs="Times New Roman"/>
                <w:i/>
                <w:color w:val="000000" w:themeColor="text1"/>
                <w:sz w:val="24"/>
                <w:szCs w:val="24"/>
              </w:rPr>
              <w:t xml:space="preserve"> Eucalyptus clones</w:t>
            </w:r>
            <w:r>
              <w:rPr>
                <w:rFonts w:ascii="Times New Roman" w:hAnsi="Times New Roman" w:cs="Times New Roman"/>
                <w:color w:val="000000" w:themeColor="text1"/>
                <w:sz w:val="24"/>
                <w:szCs w:val="24"/>
              </w:rPr>
              <w:t xml:space="preserve"> (EC), </w:t>
            </w:r>
          </w:p>
        </w:tc>
        <w:tc>
          <w:tcPr>
            <w:tcW w:w="1330" w:type="dxa"/>
          </w:tcPr>
          <w:p w14:paraId="1A6CA771">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2 x2</w:t>
            </w:r>
          </w:p>
        </w:tc>
        <w:tc>
          <w:tcPr>
            <w:tcW w:w="1275" w:type="dxa"/>
          </w:tcPr>
          <w:p w14:paraId="556068B9">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2009</w:t>
            </w:r>
          </w:p>
        </w:tc>
        <w:tc>
          <w:tcPr>
            <w:tcW w:w="1647" w:type="dxa"/>
          </w:tcPr>
          <w:p w14:paraId="6E9E76C4">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2500</w:t>
            </w:r>
          </w:p>
        </w:tc>
      </w:tr>
      <w:tr w14:paraId="39AE46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3" w:type="dxa"/>
          </w:tcPr>
          <w:p w14:paraId="251AF0D8">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6</w:t>
            </w:r>
          </w:p>
        </w:tc>
        <w:tc>
          <w:tcPr>
            <w:tcW w:w="2554" w:type="dxa"/>
          </w:tcPr>
          <w:p w14:paraId="15964DDC">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Casuarina-</w:t>
            </w:r>
            <w:r>
              <w:rPr>
                <w:rFonts w:ascii="Times New Roman" w:hAnsi="Times New Roman" w:eastAsia="Times New Roman" w:cs="Times New Roman"/>
                <w:i/>
                <w:color w:val="000000" w:themeColor="text1"/>
                <w:sz w:val="24"/>
                <w:szCs w:val="24"/>
              </w:rPr>
              <w:t xml:space="preserve"> Casuarina equisetifolia </w:t>
            </w:r>
            <w:r>
              <w:rPr>
                <w:rFonts w:ascii="Times New Roman" w:hAnsi="Times New Roman" w:eastAsia="Times New Roman" w:cs="Times New Roman"/>
                <w:color w:val="000000" w:themeColor="text1"/>
                <w:sz w:val="24"/>
                <w:szCs w:val="24"/>
              </w:rPr>
              <w:t>L.ex J.R.&amp; C.Fraser</w:t>
            </w:r>
            <w:r>
              <w:rPr>
                <w:rFonts w:ascii="Times New Roman" w:hAnsi="Times New Roman" w:cs="Times New Roman"/>
                <w:color w:val="000000" w:themeColor="text1"/>
                <w:sz w:val="24"/>
                <w:szCs w:val="24"/>
              </w:rPr>
              <w:t xml:space="preserve"> (CE), </w:t>
            </w:r>
          </w:p>
        </w:tc>
        <w:tc>
          <w:tcPr>
            <w:tcW w:w="1330" w:type="dxa"/>
          </w:tcPr>
          <w:p w14:paraId="4235BE06">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2x 2</w:t>
            </w:r>
          </w:p>
        </w:tc>
        <w:tc>
          <w:tcPr>
            <w:tcW w:w="1275" w:type="dxa"/>
          </w:tcPr>
          <w:p w14:paraId="22C7C280">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2009</w:t>
            </w:r>
          </w:p>
        </w:tc>
        <w:tc>
          <w:tcPr>
            <w:tcW w:w="1647" w:type="dxa"/>
          </w:tcPr>
          <w:p w14:paraId="647D6591">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2500</w:t>
            </w:r>
          </w:p>
        </w:tc>
      </w:tr>
      <w:tr w14:paraId="567155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3" w:type="dxa"/>
          </w:tcPr>
          <w:p w14:paraId="6DE4482A">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7</w:t>
            </w:r>
          </w:p>
        </w:tc>
        <w:tc>
          <w:tcPr>
            <w:tcW w:w="2554" w:type="dxa"/>
          </w:tcPr>
          <w:p w14:paraId="69B1716F">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Shisham- </w:t>
            </w:r>
            <w:r>
              <w:rPr>
                <w:rFonts w:ascii="Times New Roman" w:hAnsi="Times New Roman" w:eastAsia="Times New Roman" w:cs="Times New Roman"/>
                <w:i/>
                <w:color w:val="000000" w:themeColor="text1"/>
                <w:sz w:val="24"/>
                <w:szCs w:val="24"/>
              </w:rPr>
              <w:t>Dalbergia latifolia</w:t>
            </w:r>
            <w:r>
              <w:rPr>
                <w:rFonts w:ascii="Times New Roman" w:hAnsi="Times New Roman" w:eastAsia="Times New Roman" w:cs="Times New Roman"/>
                <w:color w:val="000000" w:themeColor="text1"/>
                <w:sz w:val="24"/>
                <w:szCs w:val="24"/>
              </w:rPr>
              <w:t xml:space="preserve"> Roxb. (DL), </w:t>
            </w:r>
          </w:p>
        </w:tc>
        <w:tc>
          <w:tcPr>
            <w:tcW w:w="1330" w:type="dxa"/>
          </w:tcPr>
          <w:p w14:paraId="5759AB08">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3 x 3</w:t>
            </w:r>
          </w:p>
        </w:tc>
        <w:tc>
          <w:tcPr>
            <w:tcW w:w="1275" w:type="dxa"/>
          </w:tcPr>
          <w:p w14:paraId="2603277A">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1991</w:t>
            </w:r>
          </w:p>
        </w:tc>
        <w:tc>
          <w:tcPr>
            <w:tcW w:w="1647" w:type="dxa"/>
          </w:tcPr>
          <w:p w14:paraId="620E376E">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1111</w:t>
            </w:r>
          </w:p>
        </w:tc>
      </w:tr>
      <w:tr w14:paraId="6CAA45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3" w:type="dxa"/>
          </w:tcPr>
          <w:p w14:paraId="54D972C6">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8</w:t>
            </w:r>
          </w:p>
        </w:tc>
        <w:tc>
          <w:tcPr>
            <w:tcW w:w="2554" w:type="dxa"/>
          </w:tcPr>
          <w:p w14:paraId="3514EA9A">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Jatropha- </w:t>
            </w:r>
            <w:r>
              <w:rPr>
                <w:rFonts w:ascii="Times New Roman" w:hAnsi="Times New Roman" w:eastAsia="Times New Roman" w:cs="Times New Roman"/>
                <w:i/>
                <w:color w:val="000000" w:themeColor="text1"/>
                <w:sz w:val="24"/>
                <w:szCs w:val="24"/>
              </w:rPr>
              <w:t>Jatropha curcas</w:t>
            </w:r>
            <w:r>
              <w:rPr>
                <w:rFonts w:ascii="Times New Roman" w:hAnsi="Times New Roman" w:eastAsia="Times New Roman" w:cs="Times New Roman"/>
                <w:color w:val="000000" w:themeColor="text1"/>
                <w:sz w:val="24"/>
                <w:szCs w:val="24"/>
              </w:rPr>
              <w:t xml:space="preserve"> L.,(JC) </w:t>
            </w:r>
          </w:p>
        </w:tc>
        <w:tc>
          <w:tcPr>
            <w:tcW w:w="1330" w:type="dxa"/>
          </w:tcPr>
          <w:p w14:paraId="7E78D329">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2 x 2</w:t>
            </w:r>
          </w:p>
        </w:tc>
        <w:tc>
          <w:tcPr>
            <w:tcW w:w="1275" w:type="dxa"/>
          </w:tcPr>
          <w:p w14:paraId="7C49B517">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2006</w:t>
            </w:r>
          </w:p>
        </w:tc>
        <w:tc>
          <w:tcPr>
            <w:tcW w:w="1647" w:type="dxa"/>
          </w:tcPr>
          <w:p w14:paraId="32B53475">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2500</w:t>
            </w:r>
          </w:p>
        </w:tc>
      </w:tr>
      <w:tr w14:paraId="294913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3" w:type="dxa"/>
          </w:tcPr>
          <w:p w14:paraId="5B2B71B5">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9</w:t>
            </w:r>
          </w:p>
        </w:tc>
        <w:tc>
          <w:tcPr>
            <w:tcW w:w="2554" w:type="dxa"/>
          </w:tcPr>
          <w:p w14:paraId="2CB621DE">
            <w:pPr>
              <w:tabs>
                <w:tab w:val="left" w:pos="1440"/>
                <w:tab w:val="left" w:pos="324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Arjun- </w:t>
            </w:r>
            <w:r>
              <w:rPr>
                <w:rFonts w:ascii="Times New Roman" w:hAnsi="Times New Roman" w:eastAsia="Times New Roman" w:cs="Times New Roman"/>
                <w:i/>
                <w:color w:val="000000" w:themeColor="text1"/>
                <w:sz w:val="24"/>
                <w:szCs w:val="24"/>
              </w:rPr>
              <w:t>Terminalia arjuna</w:t>
            </w:r>
            <w:r>
              <w:rPr>
                <w:rFonts w:ascii="Times New Roman" w:hAnsi="Times New Roman" w:eastAsia="Times New Roman" w:cs="Times New Roman"/>
                <w:color w:val="000000" w:themeColor="text1"/>
                <w:sz w:val="24"/>
                <w:szCs w:val="24"/>
              </w:rPr>
              <w:t xml:space="preserve"> (Roxb.ex DC.) Wight &amp; Arn. (TA) </w:t>
            </w:r>
          </w:p>
        </w:tc>
        <w:tc>
          <w:tcPr>
            <w:tcW w:w="1330" w:type="dxa"/>
          </w:tcPr>
          <w:p w14:paraId="623E17D0">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4 x 4</w:t>
            </w:r>
          </w:p>
        </w:tc>
        <w:tc>
          <w:tcPr>
            <w:tcW w:w="1275" w:type="dxa"/>
          </w:tcPr>
          <w:p w14:paraId="0324826C">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1990</w:t>
            </w:r>
          </w:p>
        </w:tc>
        <w:tc>
          <w:tcPr>
            <w:tcW w:w="1647" w:type="dxa"/>
          </w:tcPr>
          <w:p w14:paraId="2AAC2661">
            <w:pPr>
              <w:tabs>
                <w:tab w:val="left" w:pos="1440"/>
                <w:tab w:val="left" w:pos="3240"/>
              </w:tabs>
              <w:spacing w:after="0" w:line="240"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400</w:t>
            </w:r>
          </w:p>
        </w:tc>
      </w:tr>
    </w:tbl>
    <w:p w14:paraId="736EE8AB">
      <w:pPr>
        <w:pStyle w:val="9"/>
        <w:spacing w:line="360" w:lineRule="auto"/>
        <w:ind w:firstLine="720"/>
        <w:jc w:val="both"/>
        <w:rPr>
          <w:color w:val="000000" w:themeColor="text1"/>
        </w:rPr>
      </w:pPr>
      <w:r>
        <w:rPr>
          <w:color w:val="000000" w:themeColor="text1"/>
        </w:rPr>
        <w:t xml:space="preserve">The samples were air dried and used for determining organic carbon. Soil bulk density was measured by core method (Allen </w:t>
      </w:r>
      <w:r>
        <w:rPr>
          <w:i/>
          <w:color w:val="000000" w:themeColor="text1"/>
        </w:rPr>
        <w:t>et al</w:t>
      </w:r>
      <w:r>
        <w:rPr>
          <w:color w:val="000000" w:themeColor="text1"/>
        </w:rPr>
        <w:t>., 1974). Soil OC stock (Mg ha-1) at different soil depths in different agroforestry systems were calculated using the formula given by Nelson and Sommers (1996):</w:t>
      </w:r>
    </w:p>
    <w:p w14:paraId="00E0DD9D">
      <w:pPr>
        <w:pStyle w:val="9"/>
        <w:spacing w:line="360" w:lineRule="auto"/>
        <w:jc w:val="both"/>
        <w:rPr>
          <w:color w:val="000000" w:themeColor="text1"/>
        </w:rPr>
      </w:pPr>
      <w:r>
        <w:rPr>
          <w:b/>
          <w:color w:val="000000" w:themeColor="text1"/>
        </w:rPr>
        <w:t xml:space="preserve">SOC stock (Mg ha-1) = SOC (%) × bulk density (Mg m-3) ×soil depth (m) × 100 </w:t>
      </w:r>
      <w:r>
        <w:rPr>
          <w:b/>
          <w:color w:val="000000" w:themeColor="text1"/>
        </w:rPr>
        <w:br w:type="textWrapping"/>
      </w:r>
      <w:r>
        <w:rPr>
          <w:b/>
          <w:color w:val="000000" w:themeColor="text1"/>
        </w:rPr>
        <w:t>2.3 Data analysis:</w:t>
      </w:r>
      <w:r>
        <w:rPr>
          <w:color w:val="000000" w:themeColor="text1"/>
        </w:rPr>
        <w:t xml:space="preserve"> The experimental data were subjected to the statistical analysis as per the procedure suggested by Gomez and Gomez (1984). The treatment differences were tested by ‘F’ test of significance based on null hypothesis. The appropriate standard error (S.Em.±) was calculated in each case and critical difference (C.D.) at 5 percent level of probability was worked out to compare the treatment means, where the treatment effects were significant.</w:t>
      </w:r>
    </w:p>
    <w:p w14:paraId="4DA27C51">
      <w:pPr>
        <w:pStyle w:val="9"/>
        <w:spacing w:before="0" w:beforeAutospacing="0" w:after="0" w:afterAutospacing="0"/>
        <w:jc w:val="both"/>
        <w:rPr>
          <w:b/>
          <w:color w:val="000000" w:themeColor="text1"/>
        </w:rPr>
      </w:pPr>
      <w:r>
        <w:rPr>
          <w:b/>
          <w:color w:val="000000" w:themeColor="text1"/>
        </w:rPr>
        <w:t>3. RESULTS AND DISCUSSION:</w:t>
      </w:r>
    </w:p>
    <w:p w14:paraId="6D8816AD">
      <w:pPr>
        <w:pStyle w:val="9"/>
        <w:spacing w:line="360" w:lineRule="auto"/>
        <w:jc w:val="both"/>
      </w:pPr>
      <w:r>
        <w:rPr>
          <w:b/>
          <w:color w:val="000000" w:themeColor="text1"/>
        </w:rPr>
        <w:t>3.1 Bulk density:</w:t>
      </w:r>
      <w:r>
        <w:t xml:space="preserve"> The bulk density (BD) of fine soil (&lt;2 mm) across different land use types and varying soil depths ranged from 1.28 to 1.42 Mg m-3 (Figure 2). On average, the bulk density in the 0–30 cm soil profile was lowest in </w:t>
      </w:r>
      <w:r>
        <w:rPr>
          <w:i/>
          <w:color w:val="000000" w:themeColor="text1"/>
        </w:rPr>
        <w:t>Albizzia procera</w:t>
      </w:r>
      <w:r>
        <w:rPr>
          <w:color w:val="000000" w:themeColor="text1"/>
        </w:rPr>
        <w:t xml:space="preserve"> (Roxb.)Benth.  (</w:t>
      </w:r>
      <w:r>
        <w:t xml:space="preserve">AP, 1.28 Mg m-3) block plantation and highest in </w:t>
      </w:r>
      <w:r>
        <w:rPr>
          <w:i/>
          <w:color w:val="000000" w:themeColor="text1"/>
        </w:rPr>
        <w:t>Manilkara achras</w:t>
      </w:r>
      <w:r>
        <w:rPr>
          <w:color w:val="000000" w:themeColor="text1"/>
        </w:rPr>
        <w:t xml:space="preserve"> L. (MA, </w:t>
      </w:r>
      <w:r>
        <w:t xml:space="preserve">1.42 Mg m-3). The relatively higher soil bulk density observed in </w:t>
      </w:r>
      <w:r>
        <w:rPr>
          <w:i/>
          <w:color w:val="000000" w:themeColor="text1"/>
        </w:rPr>
        <w:t xml:space="preserve">Terminalia arjuna </w:t>
      </w:r>
      <w:r>
        <w:rPr>
          <w:color w:val="000000" w:themeColor="text1"/>
        </w:rPr>
        <w:t>(TA)</w:t>
      </w:r>
      <w:r>
        <w:t xml:space="preserve"> and </w:t>
      </w:r>
      <w:r>
        <w:rPr>
          <w:i/>
          <w:color w:val="000000" w:themeColor="text1"/>
        </w:rPr>
        <w:t>Jatropha curcas</w:t>
      </w:r>
      <w:r>
        <w:rPr>
          <w:color w:val="000000" w:themeColor="text1"/>
        </w:rPr>
        <w:t xml:space="preserve"> L.,(JC) </w:t>
      </w:r>
      <w:r>
        <w:t>compared to other land uses, may be attributed to cultivation practices such as tillage, which can lead to soil compaction. Numerous studies have suggested that as soil depth increases, the bulk density tends to rise as well. In this context, the soil bulk density across all the land use types examined was consistently found to be well below the critical threshold, indicating the absence of severe soil compaction.</w:t>
      </w:r>
      <w:r>
        <w:rPr>
          <w:color w:val="FF0000"/>
        </w:rPr>
        <w:t xml:space="preserve"> </w:t>
      </w:r>
      <w:r>
        <w:t xml:space="preserve">The bulk density increased as the depth of soil sampling increased. Plantation of trees under different land use systems directly correlated to soil bulk density level decreasing due to the more organic matter which leads to better soil structure and hence more porosity of soil. Halvorson </w:t>
      </w:r>
      <w:r>
        <w:rPr>
          <w:i/>
        </w:rPr>
        <w:t>et al</w:t>
      </w:r>
      <w:r>
        <w:t>. (2002), Baruah &amp; Barthakur, (1997) also reported the bulk density inversely related to tillage intensity. Christine, 2006 supported the finding of tree component increased the area for tillage decreases and decrease in bulk density with increase in soil depth.</w:t>
      </w:r>
    </w:p>
    <w:p w14:paraId="18DADBB1">
      <w:pPr>
        <w:pStyle w:val="9"/>
        <w:spacing w:line="360" w:lineRule="auto"/>
        <w:jc w:val="both"/>
      </w:pPr>
      <w:r>
        <w:rPr>
          <w:b/>
        </w:rPr>
        <w:t xml:space="preserve">3.2 Soil organic carbon: </w:t>
      </w:r>
      <w:r>
        <w:t xml:space="preserve">The mean data regarding variation in soil organic carbon under different Plantation land use systems are presented in Fig.3. Soil organic carbon content of different soil samples (depth) collected from different Plantation land use system was compared in the study </w:t>
      </w:r>
    </w:p>
    <w:p w14:paraId="1F2ADE0F">
      <w:pPr>
        <w:pStyle w:val="9"/>
        <w:spacing w:line="360" w:lineRule="auto"/>
        <w:jc w:val="both"/>
      </w:pPr>
      <w:r>
        <w:drawing>
          <wp:inline distT="0" distB="0" distL="0" distR="0">
            <wp:extent cx="50292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95A73C">
      <w:pPr>
        <w:pStyle w:val="9"/>
        <w:spacing w:line="360" w:lineRule="auto"/>
        <w:jc w:val="both"/>
      </w:pPr>
      <w:r>
        <w:drawing>
          <wp:inline distT="0" distB="0" distL="0" distR="0">
            <wp:extent cx="5093970" cy="2743200"/>
            <wp:effectExtent l="19050" t="0" r="111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3D9511">
      <w:pPr>
        <w:pStyle w:val="9"/>
        <w:spacing w:line="360" w:lineRule="auto"/>
        <w:jc w:val="both"/>
        <w:rPr>
          <w:b/>
        </w:rPr>
      </w:pPr>
      <w:r>
        <w:t xml:space="preserve">for the soil organic carbon was found amongst the systems, the top 0-10 cm soil layer in to be highest in </w:t>
      </w:r>
      <w:r>
        <w:rPr>
          <w:i/>
          <w:color w:val="000000" w:themeColor="text1"/>
        </w:rPr>
        <w:t>A. procera</w:t>
      </w:r>
      <w:r>
        <w:rPr>
          <w:color w:val="000000" w:themeColor="text1"/>
        </w:rPr>
        <w:t xml:space="preserve"> (AP; </w:t>
      </w:r>
      <w:r>
        <w:rPr>
          <w:color w:val="000000" w:themeColor="text1"/>
          <w:vertAlign w:val="subscript"/>
        </w:rPr>
        <w:t xml:space="preserve"> </w:t>
      </w:r>
      <w:r>
        <w:rPr>
          <w:color w:val="000000" w:themeColor="text1"/>
        </w:rPr>
        <w:t xml:space="preserve">0.88%), which was at par with tree plantation of </w:t>
      </w:r>
      <w:r>
        <w:rPr>
          <w:i/>
          <w:color w:val="000000" w:themeColor="text1"/>
        </w:rPr>
        <w:t>T. grandis</w:t>
      </w:r>
      <w:r>
        <w:rPr>
          <w:color w:val="000000" w:themeColor="text1"/>
        </w:rPr>
        <w:t xml:space="preserve"> (TG</w:t>
      </w:r>
      <w:r>
        <w:rPr>
          <w:color w:val="000000" w:themeColor="text1"/>
          <w:vertAlign w:val="subscript"/>
        </w:rPr>
        <w:t xml:space="preserve">; </w:t>
      </w:r>
      <w:r>
        <w:rPr>
          <w:color w:val="000000" w:themeColor="text1"/>
        </w:rPr>
        <w:t xml:space="preserve">0.86%), </w:t>
      </w:r>
      <w:r>
        <w:rPr>
          <w:i/>
          <w:color w:val="000000" w:themeColor="text1"/>
        </w:rPr>
        <w:t>T. arjuna</w:t>
      </w:r>
      <w:r>
        <w:rPr>
          <w:color w:val="000000" w:themeColor="text1"/>
        </w:rPr>
        <w:t xml:space="preserve"> (TA</w:t>
      </w:r>
      <w:r>
        <w:rPr>
          <w:color w:val="000000" w:themeColor="text1"/>
          <w:vertAlign w:val="subscript"/>
        </w:rPr>
        <w:t xml:space="preserve">; </w:t>
      </w:r>
      <w:r>
        <w:rPr>
          <w:color w:val="000000" w:themeColor="text1"/>
        </w:rPr>
        <w:t xml:space="preserve">0.82%), </w:t>
      </w:r>
      <w:r>
        <w:rPr>
          <w:i/>
          <w:color w:val="000000" w:themeColor="text1"/>
        </w:rPr>
        <w:t xml:space="preserve">D. latifolia </w:t>
      </w:r>
      <w:r>
        <w:rPr>
          <w:color w:val="000000" w:themeColor="text1"/>
        </w:rPr>
        <w:t>(DL; 0.82%) and</w:t>
      </w:r>
      <w:r>
        <w:rPr>
          <w:i/>
          <w:color w:val="000000" w:themeColor="text1"/>
        </w:rPr>
        <w:t xml:space="preserve"> M. indica</w:t>
      </w:r>
      <w:r>
        <w:rPr>
          <w:color w:val="000000" w:themeColor="text1"/>
        </w:rPr>
        <w:t xml:space="preserve"> (MI</w:t>
      </w:r>
      <w:r>
        <w:rPr>
          <w:color w:val="000000" w:themeColor="text1"/>
          <w:vertAlign w:val="subscript"/>
        </w:rPr>
        <w:t xml:space="preserve">; </w:t>
      </w:r>
      <w:r>
        <w:rPr>
          <w:color w:val="000000" w:themeColor="text1"/>
        </w:rPr>
        <w:t xml:space="preserve">0.81%), </w:t>
      </w:r>
      <w:r>
        <w:rPr>
          <w:i/>
          <w:color w:val="000000" w:themeColor="text1"/>
        </w:rPr>
        <w:t>M. achras</w:t>
      </w:r>
      <w:r>
        <w:rPr>
          <w:color w:val="000000" w:themeColor="text1"/>
        </w:rPr>
        <w:t xml:space="preserve"> (MA; 0.80%). While it was lowest in Eucalyptus clones (EC; 0.77%) respectively. In the second sub surface layer (10-20 cm), the results showed similar trends as observed in upper surface layer. This may happen because of enhanced stock of leaf litter in the tree based land use systems. The abundant leaf litter or pruned biomass returns to soil, combined with decay of roots contribute to the improvement of organic matter under complex land use systems (Kumar </w:t>
      </w:r>
      <w:r>
        <w:rPr>
          <w:i/>
          <w:color w:val="000000" w:themeColor="text1"/>
        </w:rPr>
        <w:t>et al</w:t>
      </w:r>
      <w:r>
        <w:rPr>
          <w:color w:val="000000" w:themeColor="text1"/>
        </w:rPr>
        <w:t xml:space="preserve">. 2001 and Bhalawe </w:t>
      </w:r>
      <w:r>
        <w:rPr>
          <w:i/>
          <w:color w:val="000000" w:themeColor="text1"/>
        </w:rPr>
        <w:t>et. al.</w:t>
      </w:r>
      <w:r>
        <w:rPr>
          <w:color w:val="000000" w:themeColor="text1"/>
        </w:rPr>
        <w:t xml:space="preserve"> 2013).</w:t>
      </w:r>
      <w:r>
        <w:rPr>
          <w:b/>
          <w:color w:val="000000" w:themeColor="text1"/>
        </w:rPr>
        <w:t xml:space="preserve"> </w:t>
      </w:r>
      <w:r>
        <w:rPr>
          <w:color w:val="000000" w:themeColor="text1"/>
        </w:rPr>
        <w:t xml:space="preserve">Our findings are also supported by Tandel (2003). From the agroforestry land use system combined crops and trees practices shows that maximum ( 0.76%) available soil organic carbon in (RTG) </w:t>
      </w:r>
      <w:r>
        <w:rPr>
          <w:i/>
          <w:color w:val="000000" w:themeColor="text1"/>
        </w:rPr>
        <w:t>O.sativa</w:t>
      </w:r>
      <w:r>
        <w:rPr>
          <w:color w:val="000000" w:themeColor="text1"/>
        </w:rPr>
        <w:t xml:space="preserve"> grown with </w:t>
      </w:r>
      <w:r>
        <w:rPr>
          <w:i/>
          <w:color w:val="000000" w:themeColor="text1"/>
        </w:rPr>
        <w:t xml:space="preserve">T.grandis, </w:t>
      </w:r>
      <w:r>
        <w:rPr>
          <w:color w:val="000000" w:themeColor="text1"/>
        </w:rPr>
        <w:t xml:space="preserve">which was at par with </w:t>
      </w:r>
      <w:r>
        <w:rPr>
          <w:i/>
          <w:color w:val="000000" w:themeColor="text1"/>
        </w:rPr>
        <w:t>M.paradisiaca</w:t>
      </w:r>
      <w:r>
        <w:rPr>
          <w:color w:val="000000" w:themeColor="text1"/>
        </w:rPr>
        <w:t xml:space="preserve"> grown with </w:t>
      </w:r>
      <w:r>
        <w:rPr>
          <w:i/>
          <w:color w:val="000000" w:themeColor="text1"/>
        </w:rPr>
        <w:t>T.grandis</w:t>
      </w:r>
      <w:r>
        <w:rPr>
          <w:color w:val="000000" w:themeColor="text1"/>
        </w:rPr>
        <w:t xml:space="preserve"> (BTG;0.70%) and </w:t>
      </w:r>
      <w:r>
        <w:rPr>
          <w:i/>
          <w:color w:val="000000" w:themeColor="text1"/>
        </w:rPr>
        <w:t>S.officinarum</w:t>
      </w:r>
      <w:r>
        <w:rPr>
          <w:color w:val="000000" w:themeColor="text1"/>
        </w:rPr>
        <w:t xml:space="preserve"> grown with </w:t>
      </w:r>
      <w:r>
        <w:rPr>
          <w:i/>
          <w:color w:val="000000" w:themeColor="text1"/>
        </w:rPr>
        <w:t>C.equisetifolia</w:t>
      </w:r>
      <w:r>
        <w:rPr>
          <w:color w:val="000000" w:themeColor="text1"/>
        </w:rPr>
        <w:t xml:space="preserve"> (SCE;0.69%), respectively (Bhalawe  </w:t>
      </w:r>
      <w:r>
        <w:rPr>
          <w:i/>
          <w:color w:val="000000" w:themeColor="text1"/>
        </w:rPr>
        <w:t>et. al.</w:t>
      </w:r>
      <w:r>
        <w:rPr>
          <w:color w:val="000000" w:themeColor="text1"/>
        </w:rPr>
        <w:t xml:space="preserve"> 2024). This may be due to abundant tree leaf litter biomass returns to soil, combined with decay of roots contribute to the improvement of organic matter. Similar observations were recorded by Pandey </w:t>
      </w:r>
      <w:r>
        <w:rPr>
          <w:i/>
          <w:color w:val="000000" w:themeColor="text1"/>
        </w:rPr>
        <w:t>et al.</w:t>
      </w:r>
      <w:r>
        <w:rPr>
          <w:color w:val="000000" w:themeColor="text1"/>
        </w:rPr>
        <w:t xml:space="preserve"> (2000) in </w:t>
      </w:r>
      <w:r>
        <w:rPr>
          <w:i/>
          <w:color w:val="000000" w:themeColor="text1"/>
        </w:rPr>
        <w:t>Acacia nilotica</w:t>
      </w:r>
      <w:r>
        <w:rPr>
          <w:color w:val="000000" w:themeColor="text1"/>
        </w:rPr>
        <w:t xml:space="preserve"> based agroforestry systems and opined that tree canopy contribute toward nutrient conservation, soil amelioration and nutrient availability.</w:t>
      </w:r>
    </w:p>
    <w:p w14:paraId="578C9912">
      <w:pPr>
        <w:tabs>
          <w:tab w:val="left" w:pos="1440"/>
        </w:tabs>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2: Different block plantation land use systems and soil depth on soil organic carbon stock (t/ha).</w:t>
      </w:r>
    </w:p>
    <w:tbl>
      <w:tblPr>
        <w:tblStyle w:val="10"/>
        <w:tblW w:w="1003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0"/>
        <w:gridCol w:w="3793"/>
        <w:gridCol w:w="1417"/>
        <w:gridCol w:w="1381"/>
        <w:gridCol w:w="1486"/>
        <w:gridCol w:w="1244"/>
      </w:tblGrid>
      <w:tr w14:paraId="0822C6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710" w:type="dxa"/>
            <w:vMerge w:val="restart"/>
          </w:tcPr>
          <w:p w14:paraId="47D936F5">
            <w:pPr>
              <w:tabs>
                <w:tab w:val="left" w:pos="144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S.no.</w:t>
            </w:r>
          </w:p>
        </w:tc>
        <w:tc>
          <w:tcPr>
            <w:tcW w:w="3793" w:type="dxa"/>
            <w:vMerge w:val="restart"/>
          </w:tcPr>
          <w:p w14:paraId="731E32A9">
            <w:pPr>
              <w:tabs>
                <w:tab w:val="left" w:pos="1440"/>
              </w:tabs>
              <w:spacing w:after="0" w:line="276" w:lineRule="auto"/>
              <w:jc w:val="center"/>
              <w:rPr>
                <w:rFonts w:ascii="Times New Roman" w:hAnsi="Times New Roman" w:eastAsia="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Treatments</w:t>
            </w:r>
          </w:p>
          <w:p w14:paraId="688A7F8B">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eastAsia="Times New Roman" w:cs="Times New Roman"/>
                <w:b/>
                <w:color w:val="000000" w:themeColor="text1"/>
                <w:sz w:val="24"/>
                <w:szCs w:val="24"/>
              </w:rPr>
              <w:t>(Land use systems</w:t>
            </w:r>
          </w:p>
        </w:tc>
        <w:tc>
          <w:tcPr>
            <w:tcW w:w="4284" w:type="dxa"/>
            <w:gridSpan w:val="3"/>
            <w:tcBorders>
              <w:bottom w:val="single" w:color="auto" w:sz="4" w:space="0"/>
            </w:tcBorders>
          </w:tcPr>
          <w:p w14:paraId="244BE4F8">
            <w:pPr>
              <w:tabs>
                <w:tab w:val="left" w:pos="1440"/>
              </w:tabs>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Soil depth</w:t>
            </w:r>
          </w:p>
        </w:tc>
        <w:tc>
          <w:tcPr>
            <w:tcW w:w="1244" w:type="dxa"/>
            <w:vMerge w:val="restart"/>
          </w:tcPr>
          <w:p w14:paraId="0E9BC009">
            <w:pPr>
              <w:tabs>
                <w:tab w:val="left" w:pos="1440"/>
              </w:tabs>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Average</w:t>
            </w:r>
          </w:p>
        </w:tc>
      </w:tr>
      <w:tr w14:paraId="4393E0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710" w:type="dxa"/>
            <w:vMerge w:val="continue"/>
          </w:tcPr>
          <w:p w14:paraId="392F9768">
            <w:pPr>
              <w:tabs>
                <w:tab w:val="left" w:pos="1440"/>
              </w:tabs>
              <w:spacing w:after="0" w:line="276" w:lineRule="auto"/>
              <w:jc w:val="both"/>
              <w:rPr>
                <w:rFonts w:ascii="Times New Roman" w:hAnsi="Times New Roman" w:cs="Times New Roman"/>
                <w:color w:val="000000" w:themeColor="text1"/>
                <w:sz w:val="24"/>
                <w:szCs w:val="24"/>
              </w:rPr>
            </w:pPr>
          </w:p>
        </w:tc>
        <w:tc>
          <w:tcPr>
            <w:tcW w:w="3793" w:type="dxa"/>
            <w:vMerge w:val="continue"/>
          </w:tcPr>
          <w:p w14:paraId="71D03A95">
            <w:pPr>
              <w:tabs>
                <w:tab w:val="left" w:pos="1440"/>
              </w:tabs>
              <w:spacing w:after="0" w:line="276" w:lineRule="auto"/>
              <w:jc w:val="both"/>
              <w:rPr>
                <w:rFonts w:ascii="Times New Roman" w:hAnsi="Times New Roman" w:eastAsia="Times New Roman" w:cs="Times New Roman"/>
                <w:b/>
                <w:color w:val="000000" w:themeColor="text1"/>
                <w:sz w:val="24"/>
                <w:szCs w:val="24"/>
              </w:rPr>
            </w:pPr>
          </w:p>
        </w:tc>
        <w:tc>
          <w:tcPr>
            <w:tcW w:w="1417" w:type="dxa"/>
            <w:tcBorders>
              <w:top w:val="single" w:color="auto" w:sz="4" w:space="0"/>
            </w:tcBorders>
          </w:tcPr>
          <w:p w14:paraId="5C64631C">
            <w:pPr>
              <w:tabs>
                <w:tab w:val="left" w:pos="1440"/>
              </w:tabs>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( 0-10 cm)</w:t>
            </w:r>
          </w:p>
        </w:tc>
        <w:tc>
          <w:tcPr>
            <w:tcW w:w="1381" w:type="dxa"/>
            <w:tcBorders>
              <w:top w:val="single" w:color="auto" w:sz="4" w:space="0"/>
            </w:tcBorders>
          </w:tcPr>
          <w:p w14:paraId="123B021D">
            <w:pPr>
              <w:tabs>
                <w:tab w:val="left" w:pos="1440"/>
              </w:tabs>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( 10-20 cm)</w:t>
            </w:r>
          </w:p>
        </w:tc>
        <w:tc>
          <w:tcPr>
            <w:tcW w:w="1486" w:type="dxa"/>
            <w:tcBorders>
              <w:top w:val="single" w:color="auto" w:sz="4" w:space="0"/>
            </w:tcBorders>
          </w:tcPr>
          <w:p w14:paraId="7CCCDD4F">
            <w:pPr>
              <w:tabs>
                <w:tab w:val="left" w:pos="1440"/>
              </w:tabs>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( 20-30 cm)</w:t>
            </w:r>
          </w:p>
        </w:tc>
        <w:tc>
          <w:tcPr>
            <w:tcW w:w="1244" w:type="dxa"/>
            <w:vMerge w:val="continue"/>
          </w:tcPr>
          <w:p w14:paraId="5A532A8A">
            <w:pPr>
              <w:tabs>
                <w:tab w:val="left" w:pos="1440"/>
              </w:tabs>
              <w:spacing w:after="0" w:line="276" w:lineRule="auto"/>
              <w:jc w:val="both"/>
              <w:rPr>
                <w:rFonts w:ascii="Times New Roman" w:hAnsi="Times New Roman" w:cs="Times New Roman"/>
                <w:color w:val="000000" w:themeColor="text1"/>
                <w:sz w:val="24"/>
                <w:szCs w:val="24"/>
              </w:rPr>
            </w:pPr>
          </w:p>
        </w:tc>
      </w:tr>
      <w:tr w14:paraId="18EB11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tcPr>
          <w:p w14:paraId="1B10C098">
            <w:pPr>
              <w:tabs>
                <w:tab w:val="left" w:pos="144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9321" w:type="dxa"/>
            <w:gridSpan w:val="5"/>
          </w:tcPr>
          <w:p w14:paraId="6CB939CB">
            <w:pPr>
              <w:tabs>
                <w:tab w:val="left" w:pos="144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Tree plantation land use systems </w:t>
            </w:r>
          </w:p>
        </w:tc>
      </w:tr>
      <w:tr w14:paraId="5FBF99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tcPr>
          <w:p w14:paraId="0D1A1619">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w:t>
            </w:r>
          </w:p>
        </w:tc>
        <w:tc>
          <w:tcPr>
            <w:tcW w:w="3793" w:type="dxa"/>
          </w:tcPr>
          <w:p w14:paraId="3CCE6E63">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Sapota-</w:t>
            </w:r>
            <w:r>
              <w:rPr>
                <w:rFonts w:ascii="Times New Roman" w:hAnsi="Times New Roman" w:eastAsia="Times New Roman" w:cs="Times New Roman"/>
                <w:i/>
                <w:color w:val="000000" w:themeColor="text1"/>
                <w:sz w:val="24"/>
                <w:szCs w:val="24"/>
              </w:rPr>
              <w:t>Manilkara achras</w:t>
            </w:r>
            <w:r>
              <w:rPr>
                <w:rFonts w:ascii="Times New Roman" w:hAnsi="Times New Roman" w:eastAsia="Times New Roman" w:cs="Times New Roman"/>
                <w:color w:val="000000" w:themeColor="text1"/>
                <w:sz w:val="24"/>
                <w:szCs w:val="24"/>
              </w:rPr>
              <w:t xml:space="preserve"> L.</w:t>
            </w:r>
            <w:r>
              <w:rPr>
                <w:rFonts w:ascii="Times New Roman" w:hAnsi="Times New Roman" w:cs="Times New Roman"/>
                <w:color w:val="000000" w:themeColor="text1"/>
                <w:sz w:val="24"/>
                <w:szCs w:val="24"/>
              </w:rPr>
              <w:t xml:space="preserve"> (MA), </w:t>
            </w:r>
          </w:p>
        </w:tc>
        <w:tc>
          <w:tcPr>
            <w:tcW w:w="1417" w:type="dxa"/>
          </w:tcPr>
          <w:p w14:paraId="566D935F">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w:t>
            </w:r>
          </w:p>
        </w:tc>
        <w:tc>
          <w:tcPr>
            <w:tcW w:w="1381" w:type="dxa"/>
          </w:tcPr>
          <w:p w14:paraId="44BB8152">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11.95</w:t>
            </w:r>
          </w:p>
        </w:tc>
        <w:tc>
          <w:tcPr>
            <w:tcW w:w="1486" w:type="dxa"/>
          </w:tcPr>
          <w:p w14:paraId="685D1083">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9.80</w:t>
            </w:r>
          </w:p>
        </w:tc>
        <w:tc>
          <w:tcPr>
            <w:tcW w:w="1244" w:type="dxa"/>
          </w:tcPr>
          <w:p w14:paraId="554F56BE">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11.95</w:t>
            </w:r>
          </w:p>
        </w:tc>
      </w:tr>
      <w:tr w14:paraId="669790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tcPr>
          <w:p w14:paraId="546171BB">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b</w:t>
            </w:r>
          </w:p>
        </w:tc>
        <w:tc>
          <w:tcPr>
            <w:tcW w:w="3793" w:type="dxa"/>
          </w:tcPr>
          <w:p w14:paraId="3954F35E">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Mango-</w:t>
            </w:r>
            <w:r>
              <w:rPr>
                <w:rFonts w:ascii="Times New Roman" w:hAnsi="Times New Roman" w:eastAsia="Times New Roman" w:cs="Times New Roman"/>
                <w:i/>
                <w:color w:val="000000" w:themeColor="text1"/>
                <w:sz w:val="24"/>
                <w:szCs w:val="24"/>
              </w:rPr>
              <w:t xml:space="preserve"> Mangifera indica</w:t>
            </w:r>
            <w:r>
              <w:rPr>
                <w:rFonts w:ascii="Times New Roman" w:hAnsi="Times New Roman" w:eastAsia="Times New Roman" w:cs="Times New Roman"/>
                <w:color w:val="000000" w:themeColor="text1"/>
                <w:sz w:val="24"/>
                <w:szCs w:val="24"/>
              </w:rPr>
              <w:t xml:space="preserve"> L. </w:t>
            </w:r>
            <w:r>
              <w:rPr>
                <w:rFonts w:ascii="Times New Roman" w:hAnsi="Times New Roman" w:cs="Times New Roman"/>
                <w:color w:val="000000" w:themeColor="text1"/>
                <w:sz w:val="24"/>
                <w:szCs w:val="24"/>
              </w:rPr>
              <w:t>(MI)</w:t>
            </w:r>
          </w:p>
        </w:tc>
        <w:tc>
          <w:tcPr>
            <w:tcW w:w="1417" w:type="dxa"/>
          </w:tcPr>
          <w:p w14:paraId="0B092E39">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14.88</w:t>
            </w:r>
          </w:p>
        </w:tc>
        <w:tc>
          <w:tcPr>
            <w:tcW w:w="1381" w:type="dxa"/>
          </w:tcPr>
          <w:p w14:paraId="7A3F08B6">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12.64</w:t>
            </w:r>
          </w:p>
        </w:tc>
        <w:tc>
          <w:tcPr>
            <w:tcW w:w="1486" w:type="dxa"/>
          </w:tcPr>
          <w:p w14:paraId="5F3E1D4F">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10.20</w:t>
            </w:r>
          </w:p>
        </w:tc>
        <w:tc>
          <w:tcPr>
            <w:tcW w:w="1244" w:type="dxa"/>
          </w:tcPr>
          <w:p w14:paraId="6CF74ED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12.57</w:t>
            </w:r>
          </w:p>
        </w:tc>
      </w:tr>
      <w:tr w14:paraId="4244D3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tcPr>
          <w:p w14:paraId="5F7F1552">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c</w:t>
            </w:r>
          </w:p>
        </w:tc>
        <w:tc>
          <w:tcPr>
            <w:tcW w:w="3793" w:type="dxa"/>
          </w:tcPr>
          <w:p w14:paraId="2961E4A0">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Teak-</w:t>
            </w:r>
            <w:r>
              <w:rPr>
                <w:rFonts w:ascii="Times New Roman" w:hAnsi="Times New Roman" w:eastAsia="Times New Roman" w:cs="Times New Roman"/>
                <w:i/>
                <w:color w:val="000000" w:themeColor="text1"/>
                <w:sz w:val="24"/>
                <w:szCs w:val="24"/>
              </w:rPr>
              <w:t xml:space="preserve"> Tectona grandis</w:t>
            </w:r>
            <w:r>
              <w:rPr>
                <w:rFonts w:ascii="Times New Roman" w:hAnsi="Times New Roman" w:eastAsia="Times New Roman" w:cs="Times New Roman"/>
                <w:color w:val="000000" w:themeColor="text1"/>
                <w:sz w:val="24"/>
                <w:szCs w:val="24"/>
              </w:rPr>
              <w:t xml:space="preserve"> L.f.</w:t>
            </w:r>
            <w:r>
              <w:rPr>
                <w:rFonts w:ascii="Times New Roman" w:hAnsi="Times New Roman" w:cs="Times New Roman"/>
                <w:color w:val="000000" w:themeColor="text1"/>
                <w:sz w:val="24"/>
                <w:szCs w:val="24"/>
              </w:rPr>
              <w:t xml:space="preserve"> (TG), </w:t>
            </w:r>
          </w:p>
        </w:tc>
        <w:tc>
          <w:tcPr>
            <w:tcW w:w="1417" w:type="dxa"/>
          </w:tcPr>
          <w:p w14:paraId="2B8C8EF1">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17.42</w:t>
            </w:r>
          </w:p>
        </w:tc>
        <w:tc>
          <w:tcPr>
            <w:tcW w:w="1381" w:type="dxa"/>
          </w:tcPr>
          <w:p w14:paraId="4A546B99">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14.50</w:t>
            </w:r>
          </w:p>
        </w:tc>
        <w:tc>
          <w:tcPr>
            <w:tcW w:w="1486" w:type="dxa"/>
          </w:tcPr>
          <w:p w14:paraId="23B0A154">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12.80</w:t>
            </w:r>
          </w:p>
        </w:tc>
        <w:tc>
          <w:tcPr>
            <w:tcW w:w="1244" w:type="dxa"/>
          </w:tcPr>
          <w:p w14:paraId="4A29D7B3">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14.91</w:t>
            </w:r>
          </w:p>
        </w:tc>
      </w:tr>
      <w:tr w14:paraId="69B7D0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tcPr>
          <w:p w14:paraId="65638DEB">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w:t>
            </w:r>
          </w:p>
        </w:tc>
        <w:tc>
          <w:tcPr>
            <w:tcW w:w="3793" w:type="dxa"/>
          </w:tcPr>
          <w:p w14:paraId="37486BC7">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Killai-</w:t>
            </w:r>
            <w:r>
              <w:rPr>
                <w:rFonts w:ascii="Times New Roman" w:hAnsi="Times New Roman" w:eastAsia="Times New Roman" w:cs="Times New Roman"/>
                <w:i/>
                <w:color w:val="000000" w:themeColor="text1"/>
                <w:sz w:val="24"/>
                <w:szCs w:val="24"/>
              </w:rPr>
              <w:t xml:space="preserve"> Albizzia procera</w:t>
            </w:r>
            <w:r>
              <w:rPr>
                <w:rFonts w:ascii="Times New Roman" w:hAnsi="Times New Roman" w:eastAsia="Times New Roman" w:cs="Times New Roman"/>
                <w:color w:val="000000" w:themeColor="text1"/>
                <w:sz w:val="24"/>
                <w:szCs w:val="24"/>
              </w:rPr>
              <w:t xml:space="preserve"> (Roxb.)Benth. </w:t>
            </w:r>
            <w:r>
              <w:rPr>
                <w:rFonts w:ascii="Times New Roman" w:hAnsi="Times New Roman" w:cs="Times New Roman"/>
                <w:color w:val="000000" w:themeColor="text1"/>
                <w:sz w:val="24"/>
                <w:szCs w:val="24"/>
              </w:rPr>
              <w:t xml:space="preserve"> (AP)</w:t>
            </w:r>
          </w:p>
        </w:tc>
        <w:tc>
          <w:tcPr>
            <w:tcW w:w="1417" w:type="dxa"/>
          </w:tcPr>
          <w:p w14:paraId="705B9159">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18.5</w:t>
            </w:r>
          </w:p>
        </w:tc>
        <w:tc>
          <w:tcPr>
            <w:tcW w:w="1381" w:type="dxa"/>
          </w:tcPr>
          <w:p w14:paraId="03E3FE4B">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17.20</w:t>
            </w:r>
          </w:p>
        </w:tc>
        <w:tc>
          <w:tcPr>
            <w:tcW w:w="1486" w:type="dxa"/>
          </w:tcPr>
          <w:p w14:paraId="5C9F3991">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16.35</w:t>
            </w:r>
          </w:p>
        </w:tc>
        <w:tc>
          <w:tcPr>
            <w:tcW w:w="1244" w:type="dxa"/>
          </w:tcPr>
          <w:p w14:paraId="637063F6">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17.35</w:t>
            </w:r>
          </w:p>
        </w:tc>
      </w:tr>
      <w:tr w14:paraId="46F3A8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tcPr>
          <w:p w14:paraId="4BD8BCEB">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e</w:t>
            </w:r>
          </w:p>
        </w:tc>
        <w:tc>
          <w:tcPr>
            <w:tcW w:w="3793" w:type="dxa"/>
          </w:tcPr>
          <w:p w14:paraId="54D462C1">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Eucalyptus-</w:t>
            </w:r>
            <w:r>
              <w:rPr>
                <w:rFonts w:ascii="Times New Roman" w:hAnsi="Times New Roman" w:eastAsia="Times New Roman" w:cs="Times New Roman"/>
                <w:i/>
                <w:color w:val="000000" w:themeColor="text1"/>
                <w:sz w:val="24"/>
                <w:szCs w:val="24"/>
              </w:rPr>
              <w:t xml:space="preserve"> Eucalyptus clones</w:t>
            </w:r>
            <w:r>
              <w:rPr>
                <w:rFonts w:ascii="Times New Roman" w:hAnsi="Times New Roman" w:cs="Times New Roman"/>
                <w:color w:val="000000" w:themeColor="text1"/>
                <w:sz w:val="24"/>
                <w:szCs w:val="24"/>
              </w:rPr>
              <w:t xml:space="preserve"> (EC), </w:t>
            </w:r>
          </w:p>
        </w:tc>
        <w:tc>
          <w:tcPr>
            <w:tcW w:w="1417" w:type="dxa"/>
          </w:tcPr>
          <w:p w14:paraId="72DD68B7">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11.50</w:t>
            </w:r>
          </w:p>
        </w:tc>
        <w:tc>
          <w:tcPr>
            <w:tcW w:w="1381" w:type="dxa"/>
          </w:tcPr>
          <w:p w14:paraId="3307362F">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10.45</w:t>
            </w:r>
          </w:p>
        </w:tc>
        <w:tc>
          <w:tcPr>
            <w:tcW w:w="1486" w:type="dxa"/>
          </w:tcPr>
          <w:p w14:paraId="36B66CBC">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9.20</w:t>
            </w:r>
          </w:p>
        </w:tc>
        <w:tc>
          <w:tcPr>
            <w:tcW w:w="1244" w:type="dxa"/>
          </w:tcPr>
          <w:p w14:paraId="0F7642F7">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10.38</w:t>
            </w:r>
          </w:p>
        </w:tc>
      </w:tr>
      <w:tr w14:paraId="3660C4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tcPr>
          <w:p w14:paraId="0CA5DE28">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f</w:t>
            </w:r>
          </w:p>
        </w:tc>
        <w:tc>
          <w:tcPr>
            <w:tcW w:w="3793" w:type="dxa"/>
          </w:tcPr>
          <w:p w14:paraId="52485083">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Casuarina-</w:t>
            </w:r>
            <w:r>
              <w:rPr>
                <w:rFonts w:ascii="Times New Roman" w:hAnsi="Times New Roman" w:eastAsia="Times New Roman" w:cs="Times New Roman"/>
                <w:i/>
                <w:color w:val="000000" w:themeColor="text1"/>
                <w:sz w:val="24"/>
                <w:szCs w:val="24"/>
              </w:rPr>
              <w:t xml:space="preserve"> Casuarina equisetifolia </w:t>
            </w:r>
            <w:r>
              <w:rPr>
                <w:rFonts w:ascii="Times New Roman" w:hAnsi="Times New Roman" w:eastAsia="Times New Roman" w:cs="Times New Roman"/>
                <w:color w:val="000000" w:themeColor="text1"/>
                <w:sz w:val="24"/>
                <w:szCs w:val="24"/>
              </w:rPr>
              <w:t>L.ex J.R.&amp; C.Fraser</w:t>
            </w:r>
            <w:r>
              <w:rPr>
                <w:rFonts w:ascii="Times New Roman" w:hAnsi="Times New Roman" w:cs="Times New Roman"/>
                <w:color w:val="000000" w:themeColor="text1"/>
                <w:sz w:val="24"/>
                <w:szCs w:val="24"/>
              </w:rPr>
              <w:t xml:space="preserve"> (CE), </w:t>
            </w:r>
          </w:p>
        </w:tc>
        <w:tc>
          <w:tcPr>
            <w:tcW w:w="1417" w:type="dxa"/>
          </w:tcPr>
          <w:p w14:paraId="3B45A355">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12.98</w:t>
            </w:r>
          </w:p>
        </w:tc>
        <w:tc>
          <w:tcPr>
            <w:tcW w:w="1381" w:type="dxa"/>
          </w:tcPr>
          <w:p w14:paraId="7997C360">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11.10</w:t>
            </w:r>
          </w:p>
        </w:tc>
        <w:tc>
          <w:tcPr>
            <w:tcW w:w="1486" w:type="dxa"/>
          </w:tcPr>
          <w:p w14:paraId="4E2F2F5D">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9.50</w:t>
            </w:r>
          </w:p>
        </w:tc>
        <w:tc>
          <w:tcPr>
            <w:tcW w:w="1244" w:type="dxa"/>
          </w:tcPr>
          <w:p w14:paraId="0338D56F">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11.19</w:t>
            </w:r>
          </w:p>
        </w:tc>
      </w:tr>
      <w:tr w14:paraId="38F935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tcPr>
          <w:p w14:paraId="39543100">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g</w:t>
            </w:r>
          </w:p>
        </w:tc>
        <w:tc>
          <w:tcPr>
            <w:tcW w:w="3793" w:type="dxa"/>
          </w:tcPr>
          <w:p w14:paraId="6DE88E43">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Shisham- </w:t>
            </w:r>
            <w:r>
              <w:rPr>
                <w:rFonts w:ascii="Times New Roman" w:hAnsi="Times New Roman" w:eastAsia="Times New Roman" w:cs="Times New Roman"/>
                <w:i/>
                <w:color w:val="000000" w:themeColor="text1"/>
                <w:sz w:val="24"/>
                <w:szCs w:val="24"/>
              </w:rPr>
              <w:t>Dalbergia latifolia</w:t>
            </w:r>
            <w:r>
              <w:rPr>
                <w:rFonts w:ascii="Times New Roman" w:hAnsi="Times New Roman" w:eastAsia="Times New Roman" w:cs="Times New Roman"/>
                <w:color w:val="000000" w:themeColor="text1"/>
                <w:sz w:val="24"/>
                <w:szCs w:val="24"/>
              </w:rPr>
              <w:t xml:space="preserve"> Roxb. (DL), </w:t>
            </w:r>
          </w:p>
        </w:tc>
        <w:tc>
          <w:tcPr>
            <w:tcW w:w="1417" w:type="dxa"/>
          </w:tcPr>
          <w:p w14:paraId="0DA68233">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15.95</w:t>
            </w:r>
          </w:p>
        </w:tc>
        <w:tc>
          <w:tcPr>
            <w:tcW w:w="1381" w:type="dxa"/>
          </w:tcPr>
          <w:p w14:paraId="47DD9AB2">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13.60</w:t>
            </w:r>
          </w:p>
        </w:tc>
        <w:tc>
          <w:tcPr>
            <w:tcW w:w="1486" w:type="dxa"/>
          </w:tcPr>
          <w:p w14:paraId="1B847309">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11.20</w:t>
            </w:r>
          </w:p>
        </w:tc>
        <w:tc>
          <w:tcPr>
            <w:tcW w:w="1244" w:type="dxa"/>
          </w:tcPr>
          <w:p w14:paraId="433DE7FA">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13.58</w:t>
            </w:r>
          </w:p>
        </w:tc>
      </w:tr>
      <w:tr w14:paraId="52F775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tcPr>
          <w:p w14:paraId="4B787F51">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h</w:t>
            </w:r>
          </w:p>
        </w:tc>
        <w:tc>
          <w:tcPr>
            <w:tcW w:w="3793" w:type="dxa"/>
          </w:tcPr>
          <w:p w14:paraId="68B92D13">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Jatropha- </w:t>
            </w:r>
            <w:r>
              <w:rPr>
                <w:rFonts w:ascii="Times New Roman" w:hAnsi="Times New Roman" w:eastAsia="Times New Roman" w:cs="Times New Roman"/>
                <w:i/>
                <w:color w:val="000000" w:themeColor="text1"/>
                <w:sz w:val="24"/>
                <w:szCs w:val="24"/>
              </w:rPr>
              <w:t>Jatropha curcas</w:t>
            </w:r>
            <w:r>
              <w:rPr>
                <w:rFonts w:ascii="Times New Roman" w:hAnsi="Times New Roman" w:eastAsia="Times New Roman" w:cs="Times New Roman"/>
                <w:color w:val="000000" w:themeColor="text1"/>
                <w:sz w:val="24"/>
                <w:szCs w:val="24"/>
              </w:rPr>
              <w:t xml:space="preserve"> L.,(JC) </w:t>
            </w:r>
          </w:p>
        </w:tc>
        <w:tc>
          <w:tcPr>
            <w:tcW w:w="1417" w:type="dxa"/>
          </w:tcPr>
          <w:p w14:paraId="23032C43">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13.50</w:t>
            </w:r>
          </w:p>
        </w:tc>
        <w:tc>
          <w:tcPr>
            <w:tcW w:w="1381" w:type="dxa"/>
          </w:tcPr>
          <w:p w14:paraId="4BC5D191">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11.40</w:t>
            </w:r>
          </w:p>
        </w:tc>
        <w:tc>
          <w:tcPr>
            <w:tcW w:w="1486" w:type="dxa"/>
          </w:tcPr>
          <w:p w14:paraId="7F058F99">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w:t>
            </w:r>
          </w:p>
        </w:tc>
        <w:tc>
          <w:tcPr>
            <w:tcW w:w="1244" w:type="dxa"/>
          </w:tcPr>
          <w:p w14:paraId="1362DE5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11.67</w:t>
            </w:r>
          </w:p>
        </w:tc>
      </w:tr>
      <w:tr w14:paraId="028E2C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tcPr>
          <w:p w14:paraId="7A548909">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i</w:t>
            </w:r>
          </w:p>
        </w:tc>
        <w:tc>
          <w:tcPr>
            <w:tcW w:w="3793" w:type="dxa"/>
          </w:tcPr>
          <w:p w14:paraId="181A249E">
            <w:pPr>
              <w:tabs>
                <w:tab w:val="left" w:pos="1440"/>
                <w:tab w:val="left" w:pos="3240"/>
              </w:tabs>
              <w:spacing w:after="0" w:line="276"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Arjun- </w:t>
            </w:r>
            <w:r>
              <w:rPr>
                <w:rFonts w:ascii="Times New Roman" w:hAnsi="Times New Roman" w:eastAsia="Times New Roman" w:cs="Times New Roman"/>
                <w:i/>
                <w:color w:val="000000" w:themeColor="text1"/>
                <w:sz w:val="24"/>
                <w:szCs w:val="24"/>
              </w:rPr>
              <w:t>Terminalia arjuna</w:t>
            </w:r>
            <w:r>
              <w:rPr>
                <w:rFonts w:ascii="Times New Roman" w:hAnsi="Times New Roman" w:eastAsia="Times New Roman" w:cs="Times New Roman"/>
                <w:color w:val="000000" w:themeColor="text1"/>
                <w:sz w:val="24"/>
                <w:szCs w:val="24"/>
              </w:rPr>
              <w:t xml:space="preserve"> (Roxb.ex DC.) Wight &amp; Arn. (TA) </w:t>
            </w:r>
          </w:p>
        </w:tc>
        <w:tc>
          <w:tcPr>
            <w:tcW w:w="1417" w:type="dxa"/>
          </w:tcPr>
          <w:p w14:paraId="3DFB8F19">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w:t>
            </w:r>
          </w:p>
        </w:tc>
        <w:tc>
          <w:tcPr>
            <w:tcW w:w="1381" w:type="dxa"/>
          </w:tcPr>
          <w:p w14:paraId="76AD99C8">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13.64</w:t>
            </w:r>
          </w:p>
        </w:tc>
        <w:tc>
          <w:tcPr>
            <w:tcW w:w="1486" w:type="dxa"/>
          </w:tcPr>
          <w:p w14:paraId="7CF1767A">
            <w:pPr>
              <w:tabs>
                <w:tab w:val="left" w:pos="1440"/>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12.10</w:t>
            </w:r>
          </w:p>
        </w:tc>
        <w:tc>
          <w:tcPr>
            <w:tcW w:w="1244" w:type="dxa"/>
          </w:tcPr>
          <w:p w14:paraId="565B2B04">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13.95</w:t>
            </w:r>
          </w:p>
        </w:tc>
      </w:tr>
    </w:tbl>
    <w:p w14:paraId="23546B66">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Note: CD </w:t>
      </w:r>
      <w:r>
        <w:rPr>
          <w:rFonts w:ascii="Times New Roman" w:hAnsi="Times New Roman" w:cs="Times New Roman"/>
          <w:color w:val="000000" w:themeColor="text1"/>
          <w:sz w:val="20"/>
          <w:szCs w:val="20"/>
          <w:vertAlign w:val="subscript"/>
        </w:rPr>
        <w:t xml:space="preserve">(p=0.05), </w:t>
      </w:r>
      <w:r>
        <w:rPr>
          <w:rFonts w:ascii="Times New Roman" w:hAnsi="Times New Roman" w:cs="Times New Roman"/>
          <w:color w:val="000000" w:themeColor="text1"/>
          <w:sz w:val="20"/>
          <w:szCs w:val="20"/>
        </w:rPr>
        <w:t xml:space="preserve">land use-1.62, soil depth-0.65, interactions: land use x soil depth </w:t>
      </w:r>
      <w:r>
        <w:rPr>
          <w:rFonts w:ascii="Times New Roman" w:hAnsi="Times New Roman" w:cs="Times New Roman"/>
          <w:color w:val="000000" w:themeColor="text1"/>
          <w:sz w:val="20"/>
          <w:szCs w:val="20"/>
          <w:vertAlign w:val="subscript"/>
        </w:rPr>
        <w:t xml:space="preserve">1---n </w:t>
      </w:r>
      <w:r>
        <w:rPr>
          <w:rFonts w:ascii="Times New Roman" w:hAnsi="Times New Roman" w:cs="Times New Roman"/>
          <w:color w:val="000000" w:themeColor="text1"/>
          <w:sz w:val="20"/>
          <w:szCs w:val="20"/>
        </w:rPr>
        <w:t xml:space="preserve"> -1.84, soil depth x land use </w:t>
      </w:r>
      <w:r>
        <w:rPr>
          <w:rFonts w:ascii="Times New Roman" w:hAnsi="Times New Roman" w:cs="Times New Roman"/>
          <w:color w:val="000000" w:themeColor="text1"/>
          <w:sz w:val="20"/>
          <w:szCs w:val="20"/>
          <w:vertAlign w:val="subscript"/>
        </w:rPr>
        <w:t xml:space="preserve">1---n </w:t>
      </w:r>
      <w:r>
        <w:rPr>
          <w:rFonts w:ascii="Times New Roman" w:hAnsi="Times New Roman" w:cs="Times New Roman"/>
          <w:color w:val="000000" w:themeColor="text1"/>
          <w:sz w:val="20"/>
          <w:szCs w:val="20"/>
        </w:rPr>
        <w:t xml:space="preserve"> -2.24</w:t>
      </w:r>
    </w:p>
    <w:p w14:paraId="78A8E246">
      <w:pPr>
        <w:spacing w:after="0" w:line="240" w:lineRule="auto"/>
        <w:jc w:val="both"/>
        <w:rPr>
          <w:rFonts w:ascii="Times New Roman" w:hAnsi="Times New Roman" w:cs="Times New Roman"/>
          <w:color w:val="000000" w:themeColor="text1"/>
          <w:sz w:val="24"/>
          <w:szCs w:val="24"/>
        </w:rPr>
      </w:pPr>
    </w:p>
    <w:p w14:paraId="01FD8D72">
      <w:pPr>
        <w:tabs>
          <w:tab w:val="left" w:pos="1440"/>
        </w:tabs>
        <w:spacing w:line="360" w:lineRule="auto"/>
        <w:jc w:val="both"/>
        <w:rPr>
          <w:rFonts w:ascii="Times New Roman" w:hAnsi="Times New Roman" w:eastAsia="Times New Roman" w:cs="Times New Roman"/>
          <w:color w:val="000000" w:themeColor="text1"/>
          <w:sz w:val="24"/>
          <w:szCs w:val="24"/>
        </w:rPr>
      </w:pPr>
      <w:r>
        <w:rPr>
          <w:rFonts w:ascii="Times New Roman" w:hAnsi="Times New Roman" w:cs="Times New Roman"/>
          <w:b/>
        </w:rPr>
        <w:t>3.3 Soil organic carbon stock:</w:t>
      </w:r>
      <w:r>
        <w:t xml:space="preserve"> </w:t>
      </w:r>
      <w:r>
        <w:rPr>
          <w:rFonts w:ascii="Times New Roman" w:hAnsi="Times New Roman" w:cs="Times New Roman"/>
          <w:color w:val="000000" w:themeColor="text1"/>
          <w:sz w:val="24"/>
          <w:szCs w:val="24"/>
        </w:rPr>
        <w:t xml:space="preserve">Soil organic carbon stock decreased with increase in soil depth, signifying the importance of upper layer in storing soil organic carbon Table 2. Similarly the highest average soil carbon stock was 17.35 t/ha in block plantation land use systems of  </w:t>
      </w:r>
      <w:r>
        <w:rPr>
          <w:rFonts w:ascii="Times New Roman" w:hAnsi="Times New Roman" w:cs="Times New Roman"/>
          <w:i/>
          <w:color w:val="000000" w:themeColor="text1"/>
          <w:sz w:val="24"/>
          <w:szCs w:val="24"/>
        </w:rPr>
        <w:t>A</w:t>
      </w:r>
      <w:r>
        <w:rPr>
          <w:rFonts w:ascii="Times New Roman" w:hAnsi="Times New Roman" w:eastAsia="Times New Roman" w:cs="Times New Roman"/>
          <w:i/>
          <w:color w:val="000000" w:themeColor="text1"/>
          <w:sz w:val="24"/>
          <w:szCs w:val="24"/>
        </w:rPr>
        <w:t>lbizzia procera</w:t>
      </w:r>
      <w:r>
        <w:rPr>
          <w:rFonts w:ascii="Times New Roman" w:hAnsi="Times New Roman" w:eastAsia="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(AP), which was followed by tree plantation land use systems </w:t>
      </w:r>
      <w:r>
        <w:rPr>
          <w:rFonts w:ascii="Times New Roman" w:hAnsi="Times New Roman" w:eastAsia="Times New Roman" w:cs="Times New Roman"/>
          <w:i/>
          <w:color w:val="000000" w:themeColor="text1"/>
          <w:sz w:val="24"/>
          <w:szCs w:val="24"/>
        </w:rPr>
        <w:t xml:space="preserve"> Tectona grandis</w:t>
      </w:r>
      <w:r>
        <w:rPr>
          <w:rFonts w:ascii="Times New Roman" w:hAnsi="Times New Roman" w:eastAsia="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(TG),</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i/>
          <w:color w:val="000000" w:themeColor="text1"/>
          <w:sz w:val="24"/>
          <w:szCs w:val="24"/>
        </w:rPr>
        <w:t>Terminalia arjuna</w:t>
      </w:r>
      <w:r>
        <w:rPr>
          <w:rFonts w:ascii="Times New Roman" w:hAnsi="Times New Roman" w:eastAsia="Times New Roman" w:cs="Times New Roman"/>
          <w:color w:val="000000" w:themeColor="text1"/>
          <w:sz w:val="24"/>
          <w:szCs w:val="24"/>
        </w:rPr>
        <w:t xml:space="preserve">  (TA), </w:t>
      </w:r>
      <w:r>
        <w:rPr>
          <w:rFonts w:ascii="Times New Roman" w:hAnsi="Times New Roman" w:eastAsia="Times New Roman" w:cs="Times New Roman"/>
          <w:i/>
          <w:color w:val="000000" w:themeColor="text1"/>
          <w:sz w:val="24"/>
          <w:szCs w:val="24"/>
        </w:rPr>
        <w:t>Dalbergia latifolia</w:t>
      </w:r>
      <w:r>
        <w:rPr>
          <w:rFonts w:ascii="Times New Roman" w:hAnsi="Times New Roman" w:eastAsia="Times New Roman" w:cs="Times New Roman"/>
          <w:color w:val="000000" w:themeColor="text1"/>
          <w:sz w:val="24"/>
          <w:szCs w:val="24"/>
        </w:rPr>
        <w:t xml:space="preserve"> (DL) and least in </w:t>
      </w:r>
      <w:r>
        <w:rPr>
          <w:rFonts w:ascii="Times New Roman" w:hAnsi="Times New Roman" w:eastAsia="Times New Roman" w:cs="Times New Roman"/>
          <w:i/>
          <w:color w:val="000000" w:themeColor="text1"/>
          <w:sz w:val="24"/>
          <w:szCs w:val="24"/>
        </w:rPr>
        <w:t>Eucalyptus clones</w:t>
      </w:r>
      <w:r>
        <w:rPr>
          <w:rFonts w:ascii="Times New Roman" w:hAnsi="Times New Roman" w:cs="Times New Roman"/>
          <w:color w:val="000000" w:themeColor="text1"/>
          <w:sz w:val="24"/>
          <w:szCs w:val="24"/>
        </w:rPr>
        <w:t xml:space="preserve"> (EC) </w:t>
      </w:r>
      <w:r>
        <w:rPr>
          <w:rFonts w:ascii="Times New Roman" w:hAnsi="Times New Roman" w:eastAsia="Times New Roman" w:cs="Times New Roman"/>
          <w:color w:val="000000" w:themeColor="text1"/>
          <w:sz w:val="24"/>
          <w:szCs w:val="24"/>
        </w:rPr>
        <w:t xml:space="preserve">10.38 t/ha. The upper soil layer (0-10cm) of  </w:t>
      </w:r>
      <w:r>
        <w:rPr>
          <w:rFonts w:ascii="Times New Roman" w:hAnsi="Times New Roman" w:cs="Times New Roman"/>
          <w:i/>
          <w:color w:val="000000" w:themeColor="text1"/>
          <w:sz w:val="24"/>
          <w:szCs w:val="24"/>
        </w:rPr>
        <w:t>A</w:t>
      </w:r>
      <w:r>
        <w:rPr>
          <w:rFonts w:ascii="Times New Roman" w:hAnsi="Times New Roman" w:eastAsia="Times New Roman" w:cs="Times New Roman"/>
          <w:i/>
          <w:color w:val="000000" w:themeColor="text1"/>
          <w:sz w:val="24"/>
          <w:szCs w:val="24"/>
        </w:rPr>
        <w:t>lbizzia procera</w:t>
      </w:r>
      <w:r>
        <w:rPr>
          <w:rFonts w:ascii="Times New Roman" w:hAnsi="Times New Roman" w:eastAsia="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stored (AP; 18.50.42 t/ha) soil organic carbon stock, which was at par with </w:t>
      </w:r>
      <w:r>
        <w:rPr>
          <w:rFonts w:ascii="Times New Roman" w:hAnsi="Times New Roman" w:eastAsia="Times New Roman" w:cs="Times New Roman"/>
          <w:i/>
          <w:color w:val="000000" w:themeColor="text1"/>
          <w:sz w:val="24"/>
          <w:szCs w:val="24"/>
        </w:rPr>
        <w:t>Tectona grandis</w:t>
      </w:r>
      <w:r>
        <w:rPr>
          <w:rFonts w:ascii="Times New Roman" w:hAnsi="Times New Roman" w:eastAsia="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(TG; 17.42 t/ha),</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i/>
          <w:color w:val="000000" w:themeColor="text1"/>
          <w:sz w:val="24"/>
          <w:szCs w:val="24"/>
        </w:rPr>
        <w:t>Terminalia arjuna</w:t>
      </w:r>
      <w:r>
        <w:rPr>
          <w:rFonts w:ascii="Times New Roman" w:hAnsi="Times New Roman" w:eastAsia="Times New Roman" w:cs="Times New Roman"/>
          <w:color w:val="000000" w:themeColor="text1"/>
          <w:sz w:val="24"/>
          <w:szCs w:val="24"/>
        </w:rPr>
        <w:t xml:space="preserve">  (TA; 16.10 t/ha), </w:t>
      </w:r>
      <w:r>
        <w:rPr>
          <w:rFonts w:ascii="Times New Roman" w:hAnsi="Times New Roman" w:eastAsia="Times New Roman" w:cs="Times New Roman"/>
          <w:i/>
          <w:color w:val="000000" w:themeColor="text1"/>
          <w:sz w:val="24"/>
          <w:szCs w:val="24"/>
        </w:rPr>
        <w:t>Dalbergia latifolia</w:t>
      </w:r>
      <w:r>
        <w:rPr>
          <w:rFonts w:ascii="Times New Roman" w:hAnsi="Times New Roman" w:eastAsia="Times New Roman" w:cs="Times New Roman"/>
          <w:color w:val="000000" w:themeColor="text1"/>
          <w:sz w:val="24"/>
          <w:szCs w:val="24"/>
        </w:rPr>
        <w:t xml:space="preserve"> (DL; 15.95  t/ha) and least in </w:t>
      </w:r>
      <w:r>
        <w:rPr>
          <w:rFonts w:ascii="Times New Roman" w:hAnsi="Times New Roman" w:eastAsia="Times New Roman" w:cs="Times New Roman"/>
          <w:i/>
          <w:color w:val="000000" w:themeColor="text1"/>
          <w:sz w:val="24"/>
          <w:szCs w:val="24"/>
        </w:rPr>
        <w:t>Eucalyptus clones</w:t>
      </w:r>
      <w:r>
        <w:rPr>
          <w:rFonts w:ascii="Times New Roman" w:hAnsi="Times New Roman" w:cs="Times New Roman"/>
          <w:color w:val="000000" w:themeColor="text1"/>
          <w:sz w:val="24"/>
          <w:szCs w:val="24"/>
        </w:rPr>
        <w:t xml:space="preserve"> (EC;</w:t>
      </w:r>
      <w:r>
        <w:rPr>
          <w:rFonts w:ascii="Times New Roman" w:hAnsi="Times New Roman" w:eastAsia="Times New Roman" w:cs="Times New Roman"/>
          <w:color w:val="000000" w:themeColor="text1"/>
          <w:sz w:val="24"/>
          <w:szCs w:val="24"/>
        </w:rPr>
        <w:t xml:space="preserve">11.50 t/ha). In the sub-layer of soil profile found similar trend with top layer (0-10 cm). It was observed that the top soil layer (0-10 cm) depth showed significantly highest soil organic carbon stock compared to lower layer of soil depth. Higher the soil organic carbon in tree plantation land use systems is due to the return of more organic matter to the soil in the form of leaves, bark, fruits and flowers (Bhalawe </w:t>
      </w:r>
      <w:r>
        <w:rPr>
          <w:rFonts w:ascii="Times New Roman" w:hAnsi="Times New Roman" w:eastAsia="Times New Roman" w:cs="Times New Roman"/>
          <w:i/>
          <w:color w:val="000000" w:themeColor="text1"/>
          <w:sz w:val="24"/>
          <w:szCs w:val="24"/>
        </w:rPr>
        <w:t>et al.</w:t>
      </w:r>
      <w:r>
        <w:rPr>
          <w:rFonts w:ascii="Times New Roman" w:hAnsi="Times New Roman" w:eastAsia="Times New Roman" w:cs="Times New Roman"/>
          <w:color w:val="000000" w:themeColor="text1"/>
          <w:sz w:val="24"/>
          <w:szCs w:val="24"/>
        </w:rPr>
        <w:t xml:space="preserve"> 2019). The study of different land use systems are conformity with the results obtained by Ladegaard </w:t>
      </w:r>
      <w:r>
        <w:rPr>
          <w:rFonts w:ascii="Times New Roman" w:hAnsi="Times New Roman" w:eastAsia="Times New Roman" w:cs="Times New Roman"/>
          <w:i/>
          <w:color w:val="000000" w:themeColor="text1"/>
          <w:sz w:val="24"/>
          <w:szCs w:val="24"/>
        </w:rPr>
        <w:t>et al.</w:t>
      </w:r>
      <w:r>
        <w:rPr>
          <w:rFonts w:ascii="Times New Roman" w:hAnsi="Times New Roman" w:eastAsia="Times New Roman" w:cs="Times New Roman"/>
          <w:color w:val="000000" w:themeColor="text1"/>
          <w:sz w:val="24"/>
          <w:szCs w:val="24"/>
        </w:rPr>
        <w:t xml:space="preserve"> 2005, Singh </w:t>
      </w:r>
      <w:r>
        <w:rPr>
          <w:rFonts w:ascii="Times New Roman" w:hAnsi="Times New Roman" w:eastAsia="Times New Roman" w:cs="Times New Roman"/>
          <w:i/>
          <w:color w:val="000000" w:themeColor="text1"/>
          <w:sz w:val="24"/>
          <w:szCs w:val="24"/>
        </w:rPr>
        <w:t>et al.</w:t>
      </w:r>
      <w:r>
        <w:rPr>
          <w:rFonts w:ascii="Times New Roman" w:hAnsi="Times New Roman" w:eastAsia="Times New Roman" w:cs="Times New Roman"/>
          <w:color w:val="000000" w:themeColor="text1"/>
          <w:sz w:val="24"/>
          <w:szCs w:val="24"/>
        </w:rPr>
        <w:t xml:space="preserve"> 2018 and Jha </w:t>
      </w:r>
      <w:r>
        <w:rPr>
          <w:rFonts w:ascii="Times New Roman" w:hAnsi="Times New Roman" w:eastAsia="Times New Roman" w:cs="Times New Roman"/>
          <w:i/>
          <w:color w:val="000000" w:themeColor="text1"/>
          <w:sz w:val="24"/>
          <w:szCs w:val="24"/>
        </w:rPr>
        <w:t>et al.</w:t>
      </w:r>
      <w:r>
        <w:rPr>
          <w:rFonts w:ascii="Times New Roman" w:hAnsi="Times New Roman" w:eastAsia="Times New Roman" w:cs="Times New Roman"/>
          <w:color w:val="000000" w:themeColor="text1"/>
          <w:sz w:val="24"/>
          <w:szCs w:val="24"/>
        </w:rPr>
        <w:t xml:space="preserve"> 2003 reported the soil organic carbon stocks differed significantly among tree species.</w:t>
      </w:r>
    </w:p>
    <w:p w14:paraId="7728052F">
      <w:pPr>
        <w:tabs>
          <w:tab w:val="left" w:pos="1440"/>
        </w:tabs>
        <w:spacing w:line="36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drawing>
          <wp:inline distT="0" distB="0" distL="0" distR="0">
            <wp:extent cx="5238750" cy="2743200"/>
            <wp:effectExtent l="19050" t="0" r="1905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5BD3D0">
      <w:pPr>
        <w:tabs>
          <w:tab w:val="left" w:pos="1440"/>
        </w:tabs>
        <w:spacing w:line="36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b/>
          <w:color w:val="000000" w:themeColor="text1"/>
          <w:sz w:val="24"/>
          <w:szCs w:val="24"/>
        </w:rPr>
        <w:t xml:space="preserve">Correlation regression between soil organic carbon and bulk density: </w:t>
      </w:r>
      <w:r>
        <w:rPr>
          <w:rFonts w:ascii="Times New Roman" w:hAnsi="Times New Roman" w:eastAsia="Times New Roman" w:cs="Times New Roman"/>
          <w:color w:val="000000" w:themeColor="text1"/>
          <w:sz w:val="24"/>
          <w:szCs w:val="24"/>
        </w:rPr>
        <w:t xml:space="preserve">Soil organic carbon (SOC) and soil bulk density (BD) are two important soil properties that are closely related. Soil organic carbon and bulk density are typically negatively correlated, meaning that BD increase, SOC tends to decrease due to the greater soil compaction which can lead to reduced soil aeration and water infiltration, making it less favorable for organic matter accumulation and limit root growth and microbial activity (Fig 4). Similar result reported by Raju singh </w:t>
      </w:r>
      <w:r>
        <w:rPr>
          <w:rFonts w:ascii="Times New Roman" w:hAnsi="Times New Roman" w:eastAsia="Times New Roman" w:cs="Times New Roman"/>
          <w:i/>
          <w:color w:val="000000" w:themeColor="text1"/>
          <w:sz w:val="24"/>
          <w:szCs w:val="24"/>
        </w:rPr>
        <w:t>et al.</w:t>
      </w:r>
      <w:r>
        <w:rPr>
          <w:rFonts w:ascii="Times New Roman" w:hAnsi="Times New Roman" w:eastAsia="Times New Roman" w:cs="Times New Roman"/>
          <w:color w:val="000000" w:themeColor="text1"/>
          <w:sz w:val="24"/>
          <w:szCs w:val="24"/>
        </w:rPr>
        <w:t xml:space="preserve"> (2019), Baishy and  Sharma (2017),</w:t>
      </w:r>
      <w:r>
        <w:rPr>
          <w:rFonts w:ascii="Arial" w:hAnsi="Arial" w:cs="Arial"/>
          <w:sz w:val="21"/>
          <w:szCs w:val="21"/>
          <w:shd w:val="clear" w:color="auto" w:fill="FFFFFF"/>
        </w:rPr>
        <w:t xml:space="preserve"> </w:t>
      </w:r>
      <w:r>
        <w:rPr>
          <w:rFonts w:ascii="Times New Roman" w:hAnsi="Times New Roman" w:eastAsia="Times New Roman" w:cs="Times New Roman"/>
          <w:color w:val="000000" w:themeColor="text1"/>
          <w:sz w:val="24"/>
          <w:szCs w:val="24"/>
        </w:rPr>
        <w:t xml:space="preserve">Kalita </w:t>
      </w:r>
      <w:r>
        <w:rPr>
          <w:rFonts w:ascii="Times New Roman" w:hAnsi="Times New Roman" w:eastAsia="Times New Roman" w:cs="Times New Roman"/>
          <w:i/>
          <w:color w:val="000000" w:themeColor="text1"/>
          <w:sz w:val="24"/>
          <w:szCs w:val="24"/>
        </w:rPr>
        <w:t>et al.</w:t>
      </w:r>
      <w:r>
        <w:rPr>
          <w:rFonts w:ascii="Times New Roman" w:hAnsi="Times New Roman" w:eastAsia="Times New Roman" w:cs="Times New Roman"/>
          <w:color w:val="000000" w:themeColor="text1"/>
          <w:sz w:val="24"/>
          <w:szCs w:val="24"/>
        </w:rPr>
        <w:t xml:space="preserve"> (2016) and Das (2014).</w:t>
      </w:r>
    </w:p>
    <w:p w14:paraId="3ED9A728">
      <w:pPr>
        <w:tabs>
          <w:tab w:val="left" w:pos="1440"/>
        </w:tabs>
        <w:spacing w:line="36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b/>
          <w:color w:val="000000" w:themeColor="text1"/>
          <w:sz w:val="24"/>
          <w:szCs w:val="24"/>
        </w:rPr>
        <w:t>4. CONCLUSION:</w:t>
      </w:r>
      <w:r>
        <w:t xml:space="preserve"> </w:t>
      </w:r>
      <w:r>
        <w:rPr>
          <w:rFonts w:ascii="Times New Roman" w:hAnsi="Times New Roman" w:eastAsia="Times New Roman" w:cs="Times New Roman"/>
          <w:color w:val="000000" w:themeColor="text1"/>
          <w:sz w:val="24"/>
          <w:szCs w:val="24"/>
        </w:rPr>
        <w:t xml:space="preserve">In conclusion, the study on soil organic carbon stock in different block plantation systems under South Gujarat conditions provides valuable insights into the impact of plantation practices on soil health. Among the studied block plantation systems, those dominated by native species such as </w:t>
      </w:r>
      <w:r>
        <w:rPr>
          <w:rFonts w:ascii="Times New Roman" w:hAnsi="Times New Roman" w:eastAsia="Times New Roman" w:cs="Times New Roman"/>
          <w:i/>
          <w:color w:val="000000" w:themeColor="text1"/>
          <w:sz w:val="24"/>
          <w:szCs w:val="24"/>
        </w:rPr>
        <w:t xml:space="preserve">Albizzia procera </w:t>
      </w:r>
      <w:r>
        <w:rPr>
          <w:rFonts w:ascii="Times New Roman" w:hAnsi="Times New Roman" w:eastAsia="Times New Roman" w:cs="Times New Roman"/>
          <w:color w:val="000000" w:themeColor="text1"/>
          <w:sz w:val="24"/>
          <w:szCs w:val="24"/>
        </w:rPr>
        <w:t>(AP),</w:t>
      </w:r>
      <w:r>
        <w:rPr>
          <w:rFonts w:ascii="Times New Roman" w:hAnsi="Times New Roman" w:eastAsia="Times New Roman" w:cs="Times New Roman"/>
          <w:i/>
          <w:color w:val="000000" w:themeColor="text1"/>
          <w:sz w:val="24"/>
          <w:szCs w:val="24"/>
        </w:rPr>
        <w:t xml:space="preserve"> Tectona grandis </w:t>
      </w:r>
      <w:r>
        <w:rPr>
          <w:rFonts w:ascii="Times New Roman" w:hAnsi="Times New Roman" w:eastAsia="Times New Roman" w:cs="Times New Roman"/>
          <w:color w:val="000000" w:themeColor="text1"/>
          <w:sz w:val="24"/>
          <w:szCs w:val="24"/>
        </w:rPr>
        <w:t>(TG)</w:t>
      </w:r>
      <w:r>
        <w:rPr>
          <w:rFonts w:ascii="Times New Roman" w:hAnsi="Times New Roman" w:eastAsia="Times New Roman" w:cs="Times New Roman"/>
          <w:i/>
          <w:color w:val="000000" w:themeColor="text1"/>
          <w:sz w:val="24"/>
          <w:szCs w:val="24"/>
        </w:rPr>
        <w:t xml:space="preserve"> and Terminalia arjuna </w:t>
      </w:r>
      <w:r>
        <w:rPr>
          <w:rFonts w:ascii="Times New Roman" w:hAnsi="Times New Roman" w:eastAsia="Times New Roman" w:cs="Times New Roman"/>
          <w:color w:val="000000" w:themeColor="text1"/>
          <w:sz w:val="24"/>
          <w:szCs w:val="24"/>
        </w:rPr>
        <w:t>(TA)</w:t>
      </w:r>
      <w:r>
        <w:rPr>
          <w:rFonts w:ascii="Times New Roman" w:hAnsi="Times New Roman" w:eastAsia="Times New Roman" w:cs="Times New Roman"/>
          <w:i/>
          <w:color w:val="000000" w:themeColor="text1"/>
          <w:sz w:val="24"/>
          <w:szCs w:val="24"/>
        </w:rPr>
        <w:t xml:space="preserve"> </w:t>
      </w:r>
      <w:r>
        <w:rPr>
          <w:rFonts w:ascii="Times New Roman" w:hAnsi="Times New Roman" w:eastAsia="Times New Roman" w:cs="Times New Roman"/>
          <w:color w:val="000000" w:themeColor="text1"/>
          <w:sz w:val="24"/>
          <w:szCs w:val="24"/>
        </w:rPr>
        <w:t xml:space="preserve">tended to accumulate more SOC than those with exotic species </w:t>
      </w:r>
      <w:r>
        <w:rPr>
          <w:rFonts w:ascii="Times New Roman" w:hAnsi="Times New Roman" w:eastAsia="Times New Roman" w:cs="Times New Roman"/>
          <w:i/>
          <w:color w:val="000000" w:themeColor="text1"/>
          <w:sz w:val="24"/>
          <w:szCs w:val="24"/>
        </w:rPr>
        <w:t>Eucalyptus clone</w:t>
      </w:r>
      <w:r>
        <w:rPr>
          <w:rFonts w:ascii="Times New Roman" w:hAnsi="Times New Roman" w:eastAsia="Times New Roman" w:cs="Times New Roman"/>
          <w:color w:val="000000" w:themeColor="text1"/>
          <w:sz w:val="24"/>
          <w:szCs w:val="24"/>
        </w:rPr>
        <w:t xml:space="preserve"> (EC) as well as old block plantation and those with minimal disturbance (e.g. reduced tillage, no fertilizers) generally showed higher SOC stocks than younger plantation or those with more intensive management. Soil organic carbons were negatively correlated with soil bulk density. Additionally the study areas subtropical climate with distinct wet and dry seasons, likely influenced SOC dynamics.</w:t>
      </w:r>
    </w:p>
    <w:p w14:paraId="1E36DE1A">
      <w:pPr>
        <w:tabs>
          <w:tab w:val="left" w:pos="1440"/>
        </w:tabs>
        <w:spacing w:line="360" w:lineRule="auto"/>
        <w:jc w:val="both"/>
        <w:rPr>
          <w:rFonts w:ascii="Times New Roman" w:hAnsi="Times New Roman" w:eastAsia="Times New Roman" w:cs="Times New Roman"/>
          <w:color w:val="000000" w:themeColor="text1"/>
          <w:sz w:val="24"/>
          <w:szCs w:val="24"/>
        </w:rPr>
      </w:pPr>
    </w:p>
    <w:p w14:paraId="78EFB2E5">
      <w:pPr>
        <w:tabs>
          <w:tab w:val="left" w:pos="1440"/>
        </w:tabs>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COMPETING INTERESTS DISCLAIMER:</w:t>
      </w:r>
    </w:p>
    <w:p w14:paraId="48340231">
      <w:pPr>
        <w:tabs>
          <w:tab w:val="left" w:pos="144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Authors have declared that they have no known competing financial interests OR non-financial interests OR personal relationships that could have appeared to influence the work reported in this paper.</w:t>
      </w:r>
    </w:p>
    <w:p w14:paraId="3EEE8625">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REFERENCES: </w:t>
      </w:r>
    </w:p>
    <w:p w14:paraId="5F9D0066">
      <w:pPr>
        <w:pStyle w:val="9"/>
        <w:spacing w:before="0" w:beforeAutospacing="0" w:after="0" w:afterAutospacing="0" w:line="360" w:lineRule="auto"/>
        <w:jc w:val="both"/>
      </w:pPr>
      <w:commentRangeStart w:id="0"/>
      <w:r>
        <w:t>Prentice, I.C., Farquhar, G.D., &amp; Fasham, M.J.R. (2001) The carbon cycle and atmospheric carbon dioxide. In: Houghton JT, Ding Y, Griggs DJ, et al. (eds) Climate Change 2001: The scientific basis, Contribution of Working Group I to the Third Assessment Report of the Intergovernmental Panel on Climate Change (IPCC), Cambridge University Press, 183–237.</w:t>
      </w:r>
    </w:p>
    <w:p w14:paraId="2525236C">
      <w:pPr>
        <w:pStyle w:val="9"/>
        <w:spacing w:before="0" w:beforeAutospacing="0" w:after="0" w:afterAutospacing="0" w:line="360" w:lineRule="auto"/>
        <w:jc w:val="both"/>
        <w:rPr>
          <w:b/>
          <w:color w:val="000000" w:themeColor="text1"/>
        </w:rPr>
      </w:pPr>
      <w:r>
        <w:t>Zomer, R., Ustin, S., &amp; Ives, J. (2003) Using satellite remote sensing for DEM extraction in complex mountainous terrain: Landscape analysis of the Makalu Barun National Park of eastern Nepal</w:t>
      </w:r>
      <w:r>
        <w:rPr>
          <w:i/>
        </w:rPr>
        <w:t>. Int J Remote Sens</w:t>
      </w:r>
      <w:r>
        <w:t xml:space="preserve"> 23: 125–143.</w:t>
      </w:r>
    </w:p>
    <w:p w14:paraId="1CCC9BF6">
      <w:pPr>
        <w:pStyle w:val="9"/>
        <w:spacing w:before="0" w:beforeAutospacing="0" w:after="0" w:afterAutospacing="0" w:line="360" w:lineRule="auto"/>
        <w:jc w:val="both"/>
        <w:rPr>
          <w:b/>
          <w:color w:val="000000" w:themeColor="text1"/>
        </w:rPr>
      </w:pPr>
      <w:r>
        <w:t xml:space="preserve">Singh, S.K., Pandey, C.V., &amp; Sidhu, G.S. (2011) Concentration and stock of carbon in the soils affected by land uses, soil types and climates in the western Himalaya, India. </w:t>
      </w:r>
      <w:r>
        <w:rPr>
          <w:i/>
        </w:rPr>
        <w:t>Catena</w:t>
      </w:r>
      <w:r>
        <w:t xml:space="preserve"> 87: 78–89.</w:t>
      </w:r>
    </w:p>
    <w:p w14:paraId="7087E8E8">
      <w:pPr>
        <w:pStyle w:val="9"/>
        <w:spacing w:before="0" w:beforeAutospacing="0" w:after="0" w:afterAutospacing="0" w:line="360" w:lineRule="auto"/>
        <w:jc w:val="both"/>
      </w:pPr>
      <w:r>
        <w:t xml:space="preserve">Bhattacharyya, T., Pal, D.K., &amp; Chandran, P. (2008) Soil carbon storage capacity as a tool to prioritize area for carbon sequestration. </w:t>
      </w:r>
      <w:r>
        <w:rPr>
          <w:i/>
        </w:rPr>
        <w:t>Curr Sci,</w:t>
      </w:r>
      <w:r>
        <w:t xml:space="preserve"> 95: 482–484.</w:t>
      </w:r>
    </w:p>
    <w:p w14:paraId="28FF037E">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Choudhury, B.U., Mohapatra, K.P., &amp; Das, A. (2013) Spatial variability in distribution of organic carbon stocks in the soils of North East India. </w:t>
      </w:r>
      <w:r>
        <w:rPr>
          <w:rFonts w:ascii="Times New Roman" w:hAnsi="Times New Roman" w:eastAsia="Times New Roman" w:cs="Times New Roman"/>
          <w:i/>
          <w:sz w:val="24"/>
          <w:szCs w:val="24"/>
        </w:rPr>
        <w:t>Curr Sci</w:t>
      </w:r>
      <w:r>
        <w:rPr>
          <w:rFonts w:ascii="Times New Roman" w:hAnsi="Times New Roman" w:eastAsia="Times New Roman" w:cs="Times New Roman"/>
          <w:sz w:val="24"/>
          <w:szCs w:val="24"/>
        </w:rPr>
        <w:t>, 104: 604–614.</w:t>
      </w:r>
    </w:p>
    <w:p w14:paraId="5A35D250">
      <w:pPr>
        <w:tabs>
          <w:tab w:val="left" w:pos="720"/>
        </w:tabs>
        <w:spacing w:after="0" w:line="360" w:lineRule="auto"/>
        <w:ind w:right="-3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Walkley, A., and Black, I. A. (1934). An examination of the Degtjareff method for determining organic carbon in soils: Effect of variations in digestion conditions and of inorganic soil constituents. </w:t>
      </w:r>
      <w:r>
        <w:rPr>
          <w:rFonts w:ascii="Times New Roman" w:hAnsi="Times New Roman" w:cs="Times New Roman"/>
          <w:i/>
          <w:color w:val="000000" w:themeColor="text1"/>
          <w:sz w:val="24"/>
          <w:szCs w:val="24"/>
        </w:rPr>
        <w:t>Soil Sci</w:t>
      </w:r>
      <w:r>
        <w:rPr>
          <w:rFonts w:ascii="Times New Roman" w:hAnsi="Times New Roman" w:cs="Times New Roman"/>
          <w:color w:val="000000" w:themeColor="text1"/>
          <w:sz w:val="24"/>
          <w:szCs w:val="24"/>
        </w:rPr>
        <w:t>.,  63: 251-263.</w:t>
      </w:r>
    </w:p>
    <w:p w14:paraId="5DD2233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Allen, S. E., Grimshaw,H.M., Parkinson, J. A. &amp; Quarnby, C. (1974). Chemical Analysis of EcologicalMaterials. Blackwell Scientific, Oxford. pp. 1- 565.</w:t>
      </w:r>
    </w:p>
    <w:p w14:paraId="619E2B94">
      <w:pPr>
        <w:tabs>
          <w:tab w:val="left" w:pos="720"/>
        </w:tabs>
        <w:spacing w:after="0" w:line="360" w:lineRule="auto"/>
        <w:ind w:right="-3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Nelson, D. W., &amp;  Sommers.L. E. (1996). Total carbon, organic carbon, and organic matter. In: D.L Sparks (eds). Methods of Soil Analysis. Part 3. Chemical Methods. SSSA Book Series No. 5, SSSA and ASA, Madison, WI. pp. 961-1010.</w:t>
      </w:r>
    </w:p>
    <w:p w14:paraId="0BFABFDC">
      <w:pPr>
        <w:tabs>
          <w:tab w:val="left" w:pos="720"/>
        </w:tabs>
        <w:spacing w:after="0" w:line="360" w:lineRule="auto"/>
        <w:ind w:right="-3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Gomez, K. A.,  &amp;  Gomez,  A. A. (1984). Statistical procedure for agriculture Research (2nd ed.), Johan Willey and Sons, Inc. New York. 680 p.</w:t>
      </w:r>
    </w:p>
    <w:p w14:paraId="2D9F0E6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Halvorson, Ardell D., Brian, J., &amp; Wienhold, Black A.L.(2002).Tillage, Nitrogen, and Cropping System Effects on Soil Carbon Sequestration. </w:t>
      </w:r>
      <w:r>
        <w:rPr>
          <w:rFonts w:ascii="Times New Roman" w:hAnsi="Times New Roman" w:cs="Times New Roman"/>
          <w:i/>
          <w:color w:val="000000" w:themeColor="text1"/>
          <w:sz w:val="24"/>
          <w:szCs w:val="24"/>
        </w:rPr>
        <w:t>Soil Science Society of America Journal.</w:t>
      </w:r>
      <w:r>
        <w:rPr>
          <w:rFonts w:ascii="Times New Roman" w:hAnsi="Times New Roman" w:cs="Times New Roman"/>
          <w:color w:val="000000" w:themeColor="text1"/>
          <w:sz w:val="24"/>
          <w:szCs w:val="24"/>
        </w:rPr>
        <w:t xml:space="preserve"> 66: 906-912.</w:t>
      </w:r>
    </w:p>
    <w:p w14:paraId="49F830B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Baruah, T.C., &amp; Barthakur, H.P. (1997). A text Book Of Soil Analysis, Vikas Publishing house PVT LTD, New Delhi.</w:t>
      </w:r>
    </w:p>
    <w:p w14:paraId="517228F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Christine, J. (2006). YLAD Living Soils Seminars: Eu-rongilly - 14 February, Young - 15 February.</w:t>
      </w:r>
    </w:p>
    <w:p w14:paraId="239A3398">
      <w:pPr>
        <w:pStyle w:val="12"/>
        <w:tabs>
          <w:tab w:val="left" w:pos="2235"/>
        </w:tabs>
        <w:spacing w:after="0" w:line="360" w:lineRule="auto"/>
        <w:ind w:left="0" w:right="-32"/>
        <w:jc w:val="both"/>
        <w:rPr>
          <w:rFonts w:ascii="Times New Roman" w:hAnsi="Times New Roman"/>
          <w:color w:val="000000" w:themeColor="text1"/>
          <w:sz w:val="24"/>
          <w:szCs w:val="24"/>
          <w:lang w:val="en-US" w:eastAsia="en-US"/>
        </w:rPr>
      </w:pPr>
      <w:r>
        <w:rPr>
          <w:rFonts w:ascii="Times New Roman" w:hAnsi="Times New Roman"/>
          <w:color w:val="000000" w:themeColor="text1"/>
          <w:sz w:val="24"/>
          <w:szCs w:val="24"/>
          <w:lang w:val="en-US" w:eastAsia="en-US"/>
        </w:rPr>
        <w:t xml:space="preserve">Kumar, B. M., George, S. J., &amp; Suresh, T. K. (2001) Fodder grass productivity and soil fertility changes under four grass + tree associations in Kerala, India. </w:t>
      </w:r>
      <w:r>
        <w:rPr>
          <w:rFonts w:ascii="Times New Roman" w:hAnsi="Times New Roman"/>
          <w:i/>
          <w:color w:val="000000" w:themeColor="text1"/>
          <w:sz w:val="24"/>
          <w:szCs w:val="24"/>
          <w:lang w:val="en-US" w:eastAsia="en-US"/>
        </w:rPr>
        <w:t>Agroforestry</w:t>
      </w:r>
      <w:r>
        <w:rPr>
          <w:rFonts w:ascii="Times New Roman" w:hAnsi="Times New Roman"/>
          <w:color w:val="000000" w:themeColor="text1"/>
          <w:sz w:val="24"/>
          <w:szCs w:val="24"/>
          <w:lang w:val="en-US" w:eastAsia="en-US"/>
        </w:rPr>
        <w:t xml:space="preserve"> </w:t>
      </w:r>
      <w:r>
        <w:rPr>
          <w:rFonts w:ascii="Times New Roman" w:hAnsi="Times New Roman"/>
          <w:i/>
          <w:color w:val="000000" w:themeColor="text1"/>
          <w:sz w:val="24"/>
          <w:szCs w:val="24"/>
          <w:lang w:val="en-US" w:eastAsia="en-US"/>
        </w:rPr>
        <w:t>Systems</w:t>
      </w:r>
      <w:r>
        <w:rPr>
          <w:rFonts w:ascii="Times New Roman" w:hAnsi="Times New Roman"/>
          <w:color w:val="000000" w:themeColor="text1"/>
          <w:sz w:val="24"/>
          <w:szCs w:val="24"/>
          <w:lang w:val="en-US" w:eastAsia="en-US"/>
        </w:rPr>
        <w:t>. 52: 91-106.</w:t>
      </w:r>
    </w:p>
    <w:p w14:paraId="6DBA19F8">
      <w:pPr>
        <w:tabs>
          <w:tab w:val="left" w:pos="7725"/>
        </w:tabs>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Bhalawe, S., Nayak, D., Kukadia, M.U. &amp; Gayakvad, P. (2013) Leaf litter decomposition pattern of trees. </w:t>
      </w:r>
      <w:r>
        <w:rPr>
          <w:rFonts w:ascii="Times New Roman" w:hAnsi="Times New Roman" w:cs="Times New Roman"/>
          <w:i/>
          <w:color w:val="000000" w:themeColor="text1"/>
          <w:sz w:val="24"/>
          <w:szCs w:val="24"/>
          <w:shd w:val="clear" w:color="auto" w:fill="FFFFFF"/>
        </w:rPr>
        <w:t>The Bioscan,</w:t>
      </w:r>
      <w:r>
        <w:rPr>
          <w:rFonts w:ascii="Times New Roman" w:hAnsi="Times New Roman" w:cs="Times New Roman"/>
          <w:color w:val="000000" w:themeColor="text1"/>
          <w:sz w:val="24"/>
          <w:szCs w:val="24"/>
          <w:shd w:val="clear" w:color="auto" w:fill="FFFFFF"/>
        </w:rPr>
        <w:t xml:space="preserve"> 8(4):1135-140.</w:t>
      </w:r>
    </w:p>
    <w:p w14:paraId="17833170">
      <w:pPr>
        <w:pStyle w:val="12"/>
        <w:tabs>
          <w:tab w:val="left" w:pos="2235"/>
        </w:tabs>
        <w:spacing w:after="0" w:line="360" w:lineRule="auto"/>
        <w:ind w:left="0" w:right="-32"/>
        <w:jc w:val="both"/>
        <w:rPr>
          <w:rFonts w:ascii="Times New Roman" w:hAnsi="Times New Roman"/>
          <w:color w:val="000000" w:themeColor="text1"/>
          <w:sz w:val="24"/>
          <w:szCs w:val="24"/>
          <w:lang w:val="en-US" w:eastAsia="en-US"/>
        </w:rPr>
      </w:pPr>
      <w:r>
        <w:rPr>
          <w:rFonts w:ascii="Times New Roman" w:hAnsi="Times New Roman"/>
          <w:color w:val="000000" w:themeColor="text1"/>
          <w:sz w:val="24"/>
          <w:szCs w:val="24"/>
        </w:rPr>
        <w:t>Tandel, M. B. (2003). Influence of tree cover and litter fall on physic-chemical properties of soil and availability of nutrients. M.Sc. Thesis,</w:t>
      </w:r>
      <w:r>
        <w:rPr>
          <w:rFonts w:ascii="Times New Roman" w:hAnsi="Times New Roman"/>
          <w:color w:val="000000" w:themeColor="text1"/>
          <w:sz w:val="24"/>
          <w:szCs w:val="24"/>
          <w:lang w:val="en-US" w:eastAsia="en-US"/>
        </w:rPr>
        <w:t xml:space="preserve"> Navsari Agricultural University, Navsari, Gujarat.</w:t>
      </w:r>
    </w:p>
    <w:p w14:paraId="1F0C505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Bhalawe, S.,  Nayak, D.,  Lodhi, A.S., Thakur, R.K., Rai, S.K. &amp;  Shrivastava, A. (2024) Soil dynamics for carbon buildup in different land use systems in the south region of Gujarat, India. </w:t>
      </w:r>
      <w:r>
        <w:rPr>
          <w:rFonts w:ascii="Times New Roman" w:hAnsi="Times New Roman" w:cs="Times New Roman"/>
          <w:i/>
          <w:color w:val="000000" w:themeColor="text1"/>
          <w:sz w:val="24"/>
          <w:szCs w:val="24"/>
        </w:rPr>
        <w:t>J. Experimental Agriculture International,</w:t>
      </w:r>
      <w:r>
        <w:rPr>
          <w:rFonts w:ascii="Times New Roman" w:hAnsi="Times New Roman" w:cs="Times New Roman"/>
          <w:color w:val="000000" w:themeColor="text1"/>
          <w:sz w:val="24"/>
          <w:szCs w:val="24"/>
        </w:rPr>
        <w:t xml:space="preserve"> 4(1) 77-86.</w:t>
      </w:r>
    </w:p>
    <w:p w14:paraId="36739584">
      <w:pPr>
        <w:pStyle w:val="12"/>
        <w:tabs>
          <w:tab w:val="left" w:pos="2235"/>
        </w:tabs>
        <w:spacing w:after="0" w:line="360" w:lineRule="auto"/>
        <w:ind w:left="0" w:right="-32"/>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Pandey, A., Soccol, C. R., Nigam, P., Soccol, V. T., Vandenberghe, L. P. S., &amp; Mohan, R. (2000). Biotechnological potential of agro-industrial residues. II: cassava bagasse. </w:t>
      </w:r>
      <w:r>
        <w:rPr>
          <w:rFonts w:ascii="Times New Roman" w:hAnsi="Times New Roman"/>
          <w:i/>
          <w:color w:val="000000" w:themeColor="text1"/>
          <w:sz w:val="24"/>
          <w:szCs w:val="24"/>
          <w:shd w:val="clear" w:color="auto" w:fill="FFFFFF"/>
        </w:rPr>
        <w:t>Bioresource Technol</w:t>
      </w:r>
      <w:r>
        <w:rPr>
          <w:rFonts w:ascii="Times New Roman" w:hAnsi="Times New Roman"/>
          <w:color w:val="000000" w:themeColor="text1"/>
          <w:sz w:val="24"/>
          <w:szCs w:val="24"/>
          <w:shd w:val="clear" w:color="auto" w:fill="FFFFFF"/>
        </w:rPr>
        <w:t>. 74 (1): 81-87.</w:t>
      </w:r>
    </w:p>
    <w:p w14:paraId="0B3BB65C">
      <w:pPr>
        <w:tabs>
          <w:tab w:val="left" w:pos="7725"/>
        </w:tabs>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Bhalawe, S., Nayak, D. &amp; Jadeja, D.B. (2019).Carbon sequestration potential of Agroforestry systems in South Gujarat condition. </w:t>
      </w:r>
      <w:r>
        <w:rPr>
          <w:rFonts w:ascii="Times New Roman" w:hAnsi="Times New Roman" w:cs="Times New Roman"/>
          <w:i/>
          <w:color w:val="000000" w:themeColor="text1"/>
          <w:sz w:val="24"/>
          <w:szCs w:val="24"/>
          <w:shd w:val="clear" w:color="auto" w:fill="FFFFFF"/>
        </w:rPr>
        <w:t>Green Farming</w:t>
      </w:r>
      <w:r>
        <w:rPr>
          <w:rFonts w:ascii="Times New Roman" w:hAnsi="Times New Roman" w:cs="Times New Roman"/>
          <w:color w:val="000000" w:themeColor="text1"/>
          <w:sz w:val="24"/>
          <w:szCs w:val="24"/>
          <w:shd w:val="clear" w:color="auto" w:fill="FFFFFF"/>
        </w:rPr>
        <w:t>, 10 (1): 35-40.</w:t>
      </w:r>
    </w:p>
    <w:p w14:paraId="0CCF8CE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Ladegaard, P.P., Elberling, B., &amp; Vesterdal, L. (2005). Soil car-bon stocks, mineralization rates, and CO2 effluxes under 10 tree species on contrasting soil types. </w:t>
      </w:r>
      <w:r>
        <w:rPr>
          <w:rFonts w:ascii="Times New Roman" w:hAnsi="Times New Roman" w:cs="Times New Roman"/>
          <w:i/>
          <w:color w:val="000000" w:themeColor="text1"/>
          <w:sz w:val="24"/>
          <w:szCs w:val="24"/>
        </w:rPr>
        <w:t>Canadian Journal of Forest Research</w:t>
      </w:r>
      <w:r>
        <w:rPr>
          <w:rFonts w:ascii="Times New Roman" w:hAnsi="Times New Roman" w:cs="Times New Roman"/>
          <w:color w:val="000000" w:themeColor="text1"/>
          <w:sz w:val="24"/>
          <w:szCs w:val="24"/>
        </w:rPr>
        <w:t>, 35(6): 1277-1284.</w:t>
      </w:r>
    </w:p>
    <w:p w14:paraId="115CB36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Singh, M., Gupta, B. &amp; S. K. Das. (2018). Soil organiccarbon density under different agroforestry systemsalong an elevation gradient in north-westernHimalaya. </w:t>
      </w:r>
      <w:r>
        <w:rPr>
          <w:rFonts w:ascii="Times New Roman" w:hAnsi="Times New Roman" w:cs="Times New Roman"/>
          <w:i/>
          <w:color w:val="000000" w:themeColor="text1"/>
          <w:sz w:val="24"/>
          <w:szCs w:val="24"/>
        </w:rPr>
        <w:t>Range Management and Agroforestry,</w:t>
      </w:r>
      <w:r>
        <w:rPr>
          <w:rFonts w:ascii="Times New Roman" w:hAnsi="Times New Roman" w:cs="Times New Roman"/>
          <w:color w:val="000000" w:themeColor="text1"/>
          <w:sz w:val="24"/>
          <w:szCs w:val="24"/>
        </w:rPr>
        <w:t xml:space="preserve"> 39:8-13.</w:t>
      </w:r>
    </w:p>
    <w:p w14:paraId="2C5B9FE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Jha, M.N., Gupta, M.K., Saxena, A., &amp; Kumar, R. (2003). Soil organic carbon store in different forests of India. </w:t>
      </w:r>
      <w:r>
        <w:rPr>
          <w:rFonts w:ascii="Times New Roman" w:hAnsi="Times New Roman" w:cs="Times New Roman"/>
          <w:i/>
          <w:color w:val="000000" w:themeColor="text1"/>
          <w:sz w:val="24"/>
          <w:szCs w:val="24"/>
        </w:rPr>
        <w:t>Indian Forester</w:t>
      </w:r>
      <w:r>
        <w:rPr>
          <w:rFonts w:ascii="Times New Roman" w:hAnsi="Times New Roman" w:cs="Times New Roman"/>
          <w:color w:val="000000" w:themeColor="text1"/>
          <w:sz w:val="24"/>
          <w:szCs w:val="24"/>
        </w:rPr>
        <w:t>, 129(6): 714-724.</w:t>
      </w:r>
    </w:p>
    <w:p w14:paraId="52125C2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Raju, S.N., Arunachalam, A. &amp; Peetambari, D.N. (2019) Soil organic carbon stocks in different agroforestry systems of south Gujarat. </w:t>
      </w:r>
      <w:r>
        <w:rPr>
          <w:rFonts w:ascii="Times New Roman" w:hAnsi="Times New Roman" w:cs="Times New Roman"/>
          <w:i/>
          <w:color w:val="000000" w:themeColor="text1"/>
          <w:sz w:val="24"/>
          <w:szCs w:val="24"/>
        </w:rPr>
        <w:t>Range Mgmt. &amp; Aroforestry</w:t>
      </w:r>
      <w:r>
        <w:rPr>
          <w:rFonts w:ascii="Times New Roman" w:hAnsi="Times New Roman" w:cs="Times New Roman"/>
          <w:color w:val="000000" w:themeColor="text1"/>
          <w:sz w:val="24"/>
          <w:szCs w:val="24"/>
        </w:rPr>
        <w:t xml:space="preserve"> 40</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(1):89-93.</w:t>
      </w:r>
    </w:p>
    <w:p w14:paraId="2566FC7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Baishya, J., &amp; Sharma, S. (2017) Analysis of Physico-Chemical Properties of Soil under Different Land Use System with Special Reference to Agro Ecosystem in Dimoria Development Block of Assam, India. </w:t>
      </w:r>
      <w:r>
        <w:rPr>
          <w:rFonts w:ascii="Times New Roman" w:hAnsi="Times New Roman" w:cs="Times New Roman"/>
          <w:i/>
          <w:color w:val="000000" w:themeColor="text1"/>
          <w:sz w:val="24"/>
          <w:szCs w:val="24"/>
        </w:rPr>
        <w:t>Int J Sci Res Educ</w:t>
      </w:r>
      <w:r>
        <w:rPr>
          <w:rFonts w:ascii="Times New Roman" w:hAnsi="Times New Roman" w:cs="Times New Roman"/>
          <w:color w:val="000000" w:themeColor="text1"/>
          <w:sz w:val="24"/>
          <w:szCs w:val="24"/>
        </w:rPr>
        <w:t xml:space="preserve"> 5: 6526–6532.</w:t>
      </w:r>
    </w:p>
    <w:p w14:paraId="7AF0646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Kalita, R. M., Das, A. K. &amp; Nath,A. J. (2016). Assessment of soil organic carbon stock under tea agroforestry system in Barak valley, north-east India. </w:t>
      </w:r>
      <w:r>
        <w:rPr>
          <w:rFonts w:ascii="Times New Roman" w:hAnsi="Times New Roman" w:cs="Times New Roman"/>
          <w:i/>
          <w:color w:val="000000" w:themeColor="text1"/>
          <w:sz w:val="24"/>
          <w:szCs w:val="24"/>
        </w:rPr>
        <w:t>International Journal of Ecology and Environmental Sciences</w:t>
      </w:r>
      <w:r>
        <w:rPr>
          <w:rFonts w:ascii="Times New Roman" w:hAnsi="Times New Roman" w:cs="Times New Roman"/>
          <w:color w:val="000000" w:themeColor="text1"/>
          <w:sz w:val="24"/>
          <w:szCs w:val="24"/>
        </w:rPr>
        <w:t>, 42: 175-182.</w:t>
      </w:r>
    </w:p>
    <w:p w14:paraId="7349ABD2">
      <w:pPr>
        <w:tabs>
          <w:tab w:val="left" w:pos="7725"/>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Das, B. &amp; Bindi (2014) Physical and chemical analysis of soil collected from Jaismand. </w:t>
      </w:r>
      <w:r>
        <w:rPr>
          <w:rFonts w:ascii="Times New Roman" w:hAnsi="Times New Roman" w:cs="Times New Roman"/>
          <w:i/>
          <w:color w:val="000000" w:themeColor="text1"/>
          <w:sz w:val="24"/>
          <w:szCs w:val="24"/>
        </w:rPr>
        <w:t xml:space="preserve">Univers J Environ Res Technol, </w:t>
      </w:r>
      <w:r>
        <w:rPr>
          <w:rFonts w:ascii="Times New Roman" w:hAnsi="Times New Roman" w:cs="Times New Roman"/>
          <w:color w:val="000000" w:themeColor="text1"/>
          <w:sz w:val="24"/>
          <w:szCs w:val="24"/>
        </w:rPr>
        <w:t>4: 260–164.</w:t>
      </w:r>
      <w:commentRangeEnd w:id="0"/>
      <w:r>
        <w:commentReference w:id="0"/>
      </w:r>
    </w:p>
    <w:p w14:paraId="6C518BCD">
      <w:pPr>
        <w:spacing w:after="0" w:line="360" w:lineRule="auto"/>
        <w:jc w:val="both"/>
        <w:rPr>
          <w:rFonts w:ascii="Times New Roman" w:hAnsi="Times New Roman" w:cs="Times New Roman"/>
          <w:color w:val="000000" w:themeColor="text1"/>
          <w:sz w:val="24"/>
          <w:szCs w:val="24"/>
        </w:rPr>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uliet dodo" w:date="2025-04-06T21:28:58Z" w:initials="">
    <w:p w14:paraId="44292BC0">
      <w:pPr>
        <w:pStyle w:val="5"/>
        <w:rPr>
          <w:rFonts w:hint="default"/>
          <w:lang w:val="en-US"/>
        </w:rPr>
      </w:pPr>
      <w:r>
        <w:rPr>
          <w:rFonts w:hint="default"/>
          <w:lang w:val="en-US"/>
        </w:rPr>
        <w:t>Arrange the references according to the format of the journal.</w:t>
      </w: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292B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1"/>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2E12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73EA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4D18">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17CFE">
    <w:pPr>
      <w:pStyle w:val="7"/>
    </w:pPr>
    <w:r>
      <w:pict>
        <v:shape id="PowerPlusWaterMarkObject971604361" o:spid="_x0000_s2051" o:spt="136" type="#_x0000_t136" style="position:absolute;left:0pt;height:104.15pt;width:555.6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2B0F2">
    <w:pPr>
      <w:pStyle w:val="7"/>
    </w:pPr>
    <w:r>
      <w:pict>
        <v:shape id="PowerPlusWaterMarkObject971604360" o:spid="_x0000_s2050" o:spt="136" type="#_x0000_t136" style="position:absolute;left:0pt;height:104.15pt;width:555.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670EF">
    <w:pPr>
      <w:pStyle w:val="7"/>
    </w:pPr>
    <w:r>
      <w:pict>
        <v:shape id="PowerPlusWaterMarkObject971604359" o:spid="_x0000_s2049"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uliet dodo">
    <w15:presenceInfo w15:providerId="WPS Office" w15:userId="30276832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4D4861"/>
    <w:rsid w:val="00002F22"/>
    <w:rsid w:val="00005B65"/>
    <w:rsid w:val="00040B38"/>
    <w:rsid w:val="000526B8"/>
    <w:rsid w:val="00060CB1"/>
    <w:rsid w:val="00082A4A"/>
    <w:rsid w:val="000D2323"/>
    <w:rsid w:val="00150BE0"/>
    <w:rsid w:val="001834C3"/>
    <w:rsid w:val="001D41AD"/>
    <w:rsid w:val="00225D31"/>
    <w:rsid w:val="002B040E"/>
    <w:rsid w:val="002B3019"/>
    <w:rsid w:val="002D0906"/>
    <w:rsid w:val="00315B7A"/>
    <w:rsid w:val="00332327"/>
    <w:rsid w:val="00335BF6"/>
    <w:rsid w:val="003C286E"/>
    <w:rsid w:val="003F06EE"/>
    <w:rsid w:val="003F4729"/>
    <w:rsid w:val="004005D0"/>
    <w:rsid w:val="00456F44"/>
    <w:rsid w:val="00467B98"/>
    <w:rsid w:val="004D4861"/>
    <w:rsid w:val="004D52F7"/>
    <w:rsid w:val="004F35EE"/>
    <w:rsid w:val="00507014"/>
    <w:rsid w:val="00523FC2"/>
    <w:rsid w:val="00527201"/>
    <w:rsid w:val="0053097D"/>
    <w:rsid w:val="00604833"/>
    <w:rsid w:val="00617ADE"/>
    <w:rsid w:val="00634F44"/>
    <w:rsid w:val="00670B9A"/>
    <w:rsid w:val="00674D22"/>
    <w:rsid w:val="00675C19"/>
    <w:rsid w:val="0069383B"/>
    <w:rsid w:val="006B21B1"/>
    <w:rsid w:val="006E0391"/>
    <w:rsid w:val="006F7B3E"/>
    <w:rsid w:val="0073469F"/>
    <w:rsid w:val="00742FE5"/>
    <w:rsid w:val="00753900"/>
    <w:rsid w:val="0075672A"/>
    <w:rsid w:val="0076162A"/>
    <w:rsid w:val="007726F5"/>
    <w:rsid w:val="0077713C"/>
    <w:rsid w:val="00793BE3"/>
    <w:rsid w:val="007B6A7C"/>
    <w:rsid w:val="007D2C39"/>
    <w:rsid w:val="007D4F34"/>
    <w:rsid w:val="007E659C"/>
    <w:rsid w:val="0080238A"/>
    <w:rsid w:val="009245F5"/>
    <w:rsid w:val="00952258"/>
    <w:rsid w:val="0095724D"/>
    <w:rsid w:val="00996667"/>
    <w:rsid w:val="009C5E3D"/>
    <w:rsid w:val="009F2ADA"/>
    <w:rsid w:val="009F467C"/>
    <w:rsid w:val="00A00FDF"/>
    <w:rsid w:val="00A21DFA"/>
    <w:rsid w:val="00AC238D"/>
    <w:rsid w:val="00AD5DEF"/>
    <w:rsid w:val="00AE76E6"/>
    <w:rsid w:val="00AF4FCE"/>
    <w:rsid w:val="00B114B6"/>
    <w:rsid w:val="00B14A1F"/>
    <w:rsid w:val="00B36DF7"/>
    <w:rsid w:val="00B50159"/>
    <w:rsid w:val="00B50584"/>
    <w:rsid w:val="00B62873"/>
    <w:rsid w:val="00B72CD4"/>
    <w:rsid w:val="00B933F7"/>
    <w:rsid w:val="00BC6567"/>
    <w:rsid w:val="00BF6377"/>
    <w:rsid w:val="00C41B3E"/>
    <w:rsid w:val="00C55B8B"/>
    <w:rsid w:val="00C90FC4"/>
    <w:rsid w:val="00C96367"/>
    <w:rsid w:val="00CA622A"/>
    <w:rsid w:val="00D40E90"/>
    <w:rsid w:val="00D416C5"/>
    <w:rsid w:val="00D64E8C"/>
    <w:rsid w:val="00D968A8"/>
    <w:rsid w:val="00DC2254"/>
    <w:rsid w:val="00DE697F"/>
    <w:rsid w:val="00E2697A"/>
    <w:rsid w:val="00E34221"/>
    <w:rsid w:val="00E5266B"/>
    <w:rsid w:val="00E751CF"/>
    <w:rsid w:val="00E81448"/>
    <w:rsid w:val="00EF3C27"/>
    <w:rsid w:val="00F27752"/>
    <w:rsid w:val="00F51AFB"/>
    <w:rsid w:val="00F660CA"/>
    <w:rsid w:val="00F76C60"/>
    <w:rsid w:val="00FD54C2"/>
    <w:rsid w:val="6C5A6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annotation text"/>
    <w:basedOn w:val="1"/>
    <w:semiHidden/>
    <w:unhideWhenUsed/>
    <w:uiPriority w:val="99"/>
    <w:pPr>
      <w:jc w:val="left"/>
    </w:pPr>
  </w:style>
  <w:style w:type="paragraph" w:styleId="6">
    <w:name w:val="footer"/>
    <w:basedOn w:val="1"/>
    <w:link w:val="14"/>
    <w:unhideWhenUsed/>
    <w:uiPriority w:val="99"/>
    <w:pPr>
      <w:tabs>
        <w:tab w:val="center" w:pos="4680"/>
        <w:tab w:val="right" w:pos="9360"/>
      </w:tabs>
      <w:spacing w:after="0" w:line="240" w:lineRule="auto"/>
    </w:pPr>
  </w:style>
  <w:style w:type="paragraph" w:styleId="7">
    <w:name w:val="header"/>
    <w:basedOn w:val="1"/>
    <w:link w:val="13"/>
    <w:unhideWhenUsed/>
    <w:qFormat/>
    <w:uiPriority w:val="99"/>
    <w:pPr>
      <w:tabs>
        <w:tab w:val="center" w:pos="4680"/>
        <w:tab w:val="right" w:pos="9360"/>
      </w:tabs>
      <w:spacing w:after="0" w:line="240" w:lineRule="auto"/>
    </w:pPr>
  </w:style>
  <w:style w:type="character" w:styleId="8">
    <w:name w:val="Hyperlink"/>
    <w:basedOn w:val="2"/>
    <w:semiHidden/>
    <w:unhideWhenUsed/>
    <w:uiPriority w:val="99"/>
    <w:rPr>
      <w:color w:val="0000FF"/>
      <w:u w:val="single"/>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0">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Balloon Text Char"/>
    <w:basedOn w:val="2"/>
    <w:link w:val="4"/>
    <w:semiHidden/>
    <w:uiPriority w:val="99"/>
    <w:rPr>
      <w:rFonts w:ascii="Tahoma" w:hAnsi="Tahoma" w:cs="Tahoma"/>
      <w:sz w:val="16"/>
      <w:szCs w:val="16"/>
    </w:rPr>
  </w:style>
  <w:style w:type="paragraph" w:styleId="12">
    <w:name w:val="List Paragraph"/>
    <w:basedOn w:val="1"/>
    <w:qFormat/>
    <w:uiPriority w:val="34"/>
    <w:pPr>
      <w:ind w:left="720"/>
      <w:contextualSpacing/>
    </w:pPr>
    <w:rPr>
      <w:rFonts w:ascii="Calibri" w:hAnsi="Calibri" w:eastAsia="Times New Roman" w:cs="Times New Roman"/>
      <w:lang w:val="en-IN" w:eastAsia="en-IN"/>
    </w:rPr>
  </w:style>
  <w:style w:type="character" w:customStyle="1" w:styleId="13">
    <w:name w:val="Header Char"/>
    <w:basedOn w:val="2"/>
    <w:link w:val="7"/>
    <w:uiPriority w:val="99"/>
  </w:style>
  <w:style w:type="character" w:customStyle="1" w:styleId="14">
    <w:name w:val="Footer Char"/>
    <w:basedOn w:val="2"/>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bhal\OneDrive\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bhal\OneDrive\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bhal\AppData\Roaming\Microsoft\Excel\New%20Microsoft%20Office%20Excel%20Worksheet%20(version%202).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plotArea>
      <c:layout>
        <c:manualLayout>
          <c:layoutTarget val="inner"/>
          <c:xMode val="edge"/>
          <c:yMode val="edge"/>
          <c:x val="0.161111111111111"/>
          <c:y val="0.175925925925926"/>
          <c:w val="0.713636363636364"/>
          <c:h val="0.717592592592594"/>
        </c:manualLayout>
      </c:layout>
      <c:scatterChart>
        <c:scatterStyle val="lineMarker"/>
        <c:varyColors val="0"/>
        <c:ser>
          <c:idx val="0"/>
          <c:order val="0"/>
          <c:tx>
            <c:strRef>
              <c:f>Sheet1!$E$5</c:f>
              <c:strCache>
                <c:ptCount val="1"/>
                <c:pt idx="0">
                  <c:v>0-10</c:v>
                </c:pt>
              </c:strCache>
            </c:strRef>
          </c:tx>
          <c:spPr>
            <a:ln w="47625" cap="rnd" cmpd="sng" algn="ctr">
              <a:noFill/>
              <a:prstDash val="solid"/>
              <a:round/>
            </a:ln>
          </c:spPr>
          <c:dLbls>
            <c:delete val="1"/>
          </c:dLbls>
          <c:xVal>
            <c:strRef>
              <c:f>Sheet1!$D$6:$D$14</c:f>
              <c:strCache>
                <c:ptCount val="9"/>
                <c:pt idx="0">
                  <c:v>MA</c:v>
                </c:pt>
                <c:pt idx="1">
                  <c:v>MI</c:v>
                </c:pt>
                <c:pt idx="2">
                  <c:v>TG</c:v>
                </c:pt>
                <c:pt idx="3">
                  <c:v>AP </c:v>
                </c:pt>
                <c:pt idx="4">
                  <c:v>EC</c:v>
                </c:pt>
                <c:pt idx="5">
                  <c:v>CE</c:v>
                </c:pt>
                <c:pt idx="6">
                  <c:v>DL</c:v>
                </c:pt>
                <c:pt idx="7">
                  <c:v>JC</c:v>
                </c:pt>
                <c:pt idx="8">
                  <c:v>TA</c:v>
                </c:pt>
              </c:strCache>
            </c:strRef>
          </c:xVal>
          <c:yVal>
            <c:numRef>
              <c:f>Sheet1!$E$6:$E$14</c:f>
              <c:numCache>
                <c:formatCode>General</c:formatCode>
                <c:ptCount val="9"/>
                <c:pt idx="0">
                  <c:v>1.36</c:v>
                </c:pt>
                <c:pt idx="1">
                  <c:v>1.37</c:v>
                </c:pt>
                <c:pt idx="2">
                  <c:v>1.34</c:v>
                </c:pt>
                <c:pt idx="3">
                  <c:v>1.28</c:v>
                </c:pt>
                <c:pt idx="4">
                  <c:v>1.34</c:v>
                </c:pt>
                <c:pt idx="5">
                  <c:v>1.33</c:v>
                </c:pt>
                <c:pt idx="6">
                  <c:v>1.34</c:v>
                </c:pt>
                <c:pt idx="7">
                  <c:v>1.36</c:v>
                </c:pt>
                <c:pt idx="8">
                  <c:v>1.37</c:v>
                </c:pt>
              </c:numCache>
            </c:numRef>
          </c:yVal>
          <c:smooth val="0"/>
        </c:ser>
        <c:ser>
          <c:idx val="1"/>
          <c:order val="1"/>
          <c:tx>
            <c:strRef>
              <c:f>Sheet1!$F$5</c:f>
              <c:strCache>
                <c:ptCount val="1"/>
                <c:pt idx="0">
                  <c:v>Oct-20</c:v>
                </c:pt>
              </c:strCache>
            </c:strRef>
          </c:tx>
          <c:spPr>
            <a:ln w="47625" cap="rnd" cmpd="sng" algn="ctr">
              <a:noFill/>
              <a:prstDash val="solid"/>
              <a:round/>
            </a:ln>
          </c:spPr>
          <c:marker>
            <c:spPr>
              <a:solidFill>
                <a:srgbClr val="FFFF00"/>
              </a:solidFill>
            </c:spPr>
          </c:marker>
          <c:dLbls>
            <c:delete val="1"/>
          </c:dLbls>
          <c:xVal>
            <c:strRef>
              <c:f>Sheet1!$D$6:$D$14</c:f>
              <c:strCache>
                <c:ptCount val="9"/>
                <c:pt idx="0">
                  <c:v>MA</c:v>
                </c:pt>
                <c:pt idx="1">
                  <c:v>MI</c:v>
                </c:pt>
                <c:pt idx="2">
                  <c:v>TG</c:v>
                </c:pt>
                <c:pt idx="3">
                  <c:v>AP </c:v>
                </c:pt>
                <c:pt idx="4">
                  <c:v>EC</c:v>
                </c:pt>
                <c:pt idx="5">
                  <c:v>CE</c:v>
                </c:pt>
                <c:pt idx="6">
                  <c:v>DL</c:v>
                </c:pt>
                <c:pt idx="7">
                  <c:v>JC</c:v>
                </c:pt>
                <c:pt idx="8">
                  <c:v>TA</c:v>
                </c:pt>
              </c:strCache>
            </c:strRef>
          </c:xVal>
          <c:yVal>
            <c:numRef>
              <c:f>Sheet1!$F$6:$F$14</c:f>
              <c:numCache>
                <c:formatCode>General</c:formatCode>
                <c:ptCount val="9"/>
                <c:pt idx="0">
                  <c:v>1.4</c:v>
                </c:pt>
                <c:pt idx="1">
                  <c:v>1.39</c:v>
                </c:pt>
                <c:pt idx="2">
                  <c:v>1.36</c:v>
                </c:pt>
                <c:pt idx="3">
                  <c:v>1.3</c:v>
                </c:pt>
                <c:pt idx="4">
                  <c:v>1.36</c:v>
                </c:pt>
                <c:pt idx="5">
                  <c:v>1.36</c:v>
                </c:pt>
                <c:pt idx="6">
                  <c:v>1.36</c:v>
                </c:pt>
                <c:pt idx="7">
                  <c:v>1.39</c:v>
                </c:pt>
                <c:pt idx="8">
                  <c:v>1.39</c:v>
                </c:pt>
              </c:numCache>
            </c:numRef>
          </c:yVal>
          <c:smooth val="0"/>
        </c:ser>
        <c:ser>
          <c:idx val="2"/>
          <c:order val="2"/>
          <c:tx>
            <c:strRef>
              <c:f>Sheet1!$G$5</c:f>
              <c:strCache>
                <c:ptCount val="1"/>
                <c:pt idx="0">
                  <c:v>20-30</c:v>
                </c:pt>
              </c:strCache>
            </c:strRef>
          </c:tx>
          <c:spPr>
            <a:ln w="47625" cap="rnd" cmpd="sng" algn="ctr">
              <a:noFill/>
              <a:prstDash val="solid"/>
              <a:round/>
            </a:ln>
          </c:spPr>
          <c:marker>
            <c:spPr>
              <a:solidFill>
                <a:srgbClr val="FF0000"/>
              </a:solidFill>
            </c:spPr>
          </c:marker>
          <c:dLbls>
            <c:delete val="1"/>
          </c:dLbls>
          <c:xVal>
            <c:strRef>
              <c:f>Sheet1!$D$6:$D$14</c:f>
              <c:strCache>
                <c:ptCount val="9"/>
                <c:pt idx="0">
                  <c:v>MA</c:v>
                </c:pt>
                <c:pt idx="1">
                  <c:v>MI</c:v>
                </c:pt>
                <c:pt idx="2">
                  <c:v>TG</c:v>
                </c:pt>
                <c:pt idx="3">
                  <c:v>AP </c:v>
                </c:pt>
                <c:pt idx="4">
                  <c:v>EC</c:v>
                </c:pt>
                <c:pt idx="5">
                  <c:v>CE</c:v>
                </c:pt>
                <c:pt idx="6">
                  <c:v>DL</c:v>
                </c:pt>
                <c:pt idx="7">
                  <c:v>JC</c:v>
                </c:pt>
                <c:pt idx="8">
                  <c:v>TA</c:v>
                </c:pt>
              </c:strCache>
            </c:strRef>
          </c:xVal>
          <c:yVal>
            <c:numRef>
              <c:f>Sheet1!$G$6:$G$14</c:f>
              <c:numCache>
                <c:formatCode>General</c:formatCode>
                <c:ptCount val="9"/>
                <c:pt idx="0">
                  <c:v>1.42</c:v>
                </c:pt>
                <c:pt idx="1">
                  <c:v>1.41</c:v>
                </c:pt>
                <c:pt idx="2">
                  <c:v>1.39</c:v>
                </c:pt>
                <c:pt idx="3">
                  <c:v>1.33</c:v>
                </c:pt>
                <c:pt idx="4">
                  <c:v>1.38</c:v>
                </c:pt>
                <c:pt idx="5">
                  <c:v>1.39</c:v>
                </c:pt>
                <c:pt idx="6">
                  <c:v>1.4</c:v>
                </c:pt>
                <c:pt idx="7">
                  <c:v>1.41</c:v>
                </c:pt>
                <c:pt idx="8">
                  <c:v>1.41</c:v>
                </c:pt>
              </c:numCache>
            </c:numRef>
          </c:yVal>
          <c:smooth val="0"/>
        </c:ser>
        <c:dLbls>
          <c:showLegendKey val="0"/>
          <c:showVal val="0"/>
          <c:showCatName val="0"/>
          <c:showSerName val="0"/>
          <c:showPercent val="0"/>
          <c:showBubbleSize val="0"/>
        </c:dLbls>
        <c:axId val="91490176"/>
        <c:axId val="91674496"/>
      </c:scatterChart>
      <c:valAx>
        <c:axId val="91490176"/>
        <c:scaling>
          <c:orientation val="minMax"/>
        </c:scaling>
        <c:delete val="1"/>
        <c:axPos val="b"/>
        <c:min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91674496"/>
        <c:crosses val="autoZero"/>
        <c:crossBetween val="midCat"/>
      </c:valAx>
      <c:valAx>
        <c:axId val="91674496"/>
        <c:scaling>
          <c:orientation val="minMax"/>
        </c:scaling>
        <c:delete val="0"/>
        <c:axPos val="l"/>
        <c:majorGridlines/>
        <c:min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91490176"/>
        <c:crosses val="autoZero"/>
        <c:crossBetween val="midCat"/>
      </c:valAx>
      <c:spPr>
        <a:ln w="9525">
          <a:noFill/>
        </a:ln>
      </c:spPr>
    </c:plotArea>
    <c:plotVisOnly val="1"/>
    <c:dispBlanksAs val="gap"/>
    <c:showDLblsOverMax val="0"/>
    <c:extLst>
      <c:ext uri="{0b15fc19-7d7d-44ad-8c2d-2c3a37ce22c3}">
        <chartProps xmlns="https://web.wps.cn/et/2018/main" chartId="{ed3a9a32-c60b-42c5-9532-c0ef22b745c4}"/>
      </c:ext>
    </c:extLst>
  </c:chart>
  <c:txPr>
    <a:bodyPr/>
    <a:lstStyle/>
    <a:p>
      <a:pPr>
        <a:defRPr lang="en-US"/>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050">
                <a:latin typeface="Times New Roman" panose="02020603050405020304" charset="0"/>
                <a:cs typeface="Times New Roman" panose="02020603050405020304" charset="0"/>
              </a:rPr>
              <a:t>Fig. 3:</a:t>
            </a:r>
            <a:r>
              <a:rPr lang="en-IN" sz="1050" b="1" i="0" u="none" strike="noStrike" baseline="0">
                <a:latin typeface="Times New Roman" panose="02020603050405020304" charset="0"/>
                <a:cs typeface="Times New Roman" panose="02020603050405020304" charset="0"/>
              </a:rPr>
              <a:t>Soil organic carbon properties under different block plantation land use systems in South Gujarat </a:t>
            </a:r>
            <a:r>
              <a:rPr lang="en-US" sz="1050" b="1" i="0" u="none" strike="noStrike" baseline="0">
                <a:latin typeface="Times New Roman" panose="02020603050405020304" charset="0"/>
                <a:cs typeface="Times New Roman" panose="02020603050405020304" charset="0"/>
              </a:rPr>
              <a:t>condition</a:t>
            </a:r>
            <a:endParaRPr lang="en-US" sz="1050">
              <a:latin typeface="Times New Roman" panose="02020603050405020304" charset="0"/>
              <a:cs typeface="Times New Roman" panose="02020603050405020304" charset="0"/>
            </a:endParaRPr>
          </a:p>
        </c:rich>
      </c:tx>
      <c:layout/>
      <c:overlay val="1"/>
    </c:title>
    <c:autoTitleDeleted val="0"/>
    <c:plotArea>
      <c:layout>
        <c:manualLayout>
          <c:layoutTarget val="inner"/>
          <c:xMode val="edge"/>
          <c:yMode val="edge"/>
          <c:x val="0.150909980338479"/>
          <c:y val="0.194919072615923"/>
          <c:w val="0.703177264132306"/>
          <c:h val="0.631558398950131"/>
        </c:manualLayout>
      </c:layout>
      <c:barChart>
        <c:barDir val="col"/>
        <c:grouping val="clustered"/>
        <c:varyColors val="0"/>
        <c:ser>
          <c:idx val="0"/>
          <c:order val="0"/>
          <c:tx>
            <c:strRef>
              <c:f>Sheet1!$G$39</c:f>
              <c:strCache>
                <c:ptCount val="1"/>
                <c:pt idx="0">
                  <c:v>0-10</c:v>
                </c:pt>
              </c:strCache>
            </c:strRef>
          </c:tx>
          <c:invertIfNegative val="0"/>
          <c:dLbls>
            <c:delete val="1"/>
          </c:dLbls>
          <c:cat>
            <c:strRef>
              <c:f>Sheet1!$F$40:$F$48</c:f>
              <c:strCache>
                <c:ptCount val="9"/>
                <c:pt idx="0">
                  <c:v>MA</c:v>
                </c:pt>
                <c:pt idx="1">
                  <c:v>MI</c:v>
                </c:pt>
                <c:pt idx="2">
                  <c:v>TG</c:v>
                </c:pt>
                <c:pt idx="3">
                  <c:v>AP </c:v>
                </c:pt>
                <c:pt idx="4">
                  <c:v>EC</c:v>
                </c:pt>
                <c:pt idx="5">
                  <c:v>CE</c:v>
                </c:pt>
                <c:pt idx="6">
                  <c:v>DL</c:v>
                </c:pt>
                <c:pt idx="7">
                  <c:v>JC</c:v>
                </c:pt>
                <c:pt idx="8">
                  <c:v>TA</c:v>
                </c:pt>
              </c:strCache>
            </c:strRef>
          </c:cat>
          <c:val>
            <c:numRef>
              <c:f>Sheet1!$G$40:$G$48</c:f>
              <c:numCache>
                <c:formatCode>General</c:formatCode>
                <c:ptCount val="9"/>
                <c:pt idx="0">
                  <c:v>0.81</c:v>
                </c:pt>
                <c:pt idx="1">
                  <c:v>0.82</c:v>
                </c:pt>
                <c:pt idx="2">
                  <c:v>0.86</c:v>
                </c:pt>
                <c:pt idx="3">
                  <c:v>0.88</c:v>
                </c:pt>
                <c:pt idx="4">
                  <c:v>0.77</c:v>
                </c:pt>
                <c:pt idx="5">
                  <c:v>0.79</c:v>
                </c:pt>
                <c:pt idx="6">
                  <c:v>0.83</c:v>
                </c:pt>
                <c:pt idx="7">
                  <c:v>0.8</c:v>
                </c:pt>
                <c:pt idx="8">
                  <c:v>0.83</c:v>
                </c:pt>
              </c:numCache>
            </c:numRef>
          </c:val>
        </c:ser>
        <c:ser>
          <c:idx val="1"/>
          <c:order val="1"/>
          <c:tx>
            <c:strRef>
              <c:f>Sheet1!$H$39</c:f>
              <c:strCache>
                <c:ptCount val="1"/>
                <c:pt idx="0">
                  <c:v>10-20      .0</c:v>
                </c:pt>
              </c:strCache>
            </c:strRef>
          </c:tx>
          <c:invertIfNegative val="0"/>
          <c:dLbls>
            <c:delete val="1"/>
          </c:dLbls>
          <c:cat>
            <c:strRef>
              <c:f>Sheet1!$F$40:$F$48</c:f>
              <c:strCache>
                <c:ptCount val="9"/>
                <c:pt idx="0">
                  <c:v>MA</c:v>
                </c:pt>
                <c:pt idx="1">
                  <c:v>MI</c:v>
                </c:pt>
                <c:pt idx="2">
                  <c:v>TG</c:v>
                </c:pt>
                <c:pt idx="3">
                  <c:v>AP </c:v>
                </c:pt>
                <c:pt idx="4">
                  <c:v>EC</c:v>
                </c:pt>
                <c:pt idx="5">
                  <c:v>CE</c:v>
                </c:pt>
                <c:pt idx="6">
                  <c:v>DL</c:v>
                </c:pt>
                <c:pt idx="7">
                  <c:v>JC</c:v>
                </c:pt>
                <c:pt idx="8">
                  <c:v>TA</c:v>
                </c:pt>
              </c:strCache>
            </c:strRef>
          </c:cat>
          <c:val>
            <c:numRef>
              <c:f>Sheet1!$H$40:$H$48</c:f>
              <c:numCache>
                <c:formatCode>General</c:formatCode>
                <c:ptCount val="9"/>
                <c:pt idx="0">
                  <c:v>0.8</c:v>
                </c:pt>
                <c:pt idx="1">
                  <c:v>0.81</c:v>
                </c:pt>
                <c:pt idx="2">
                  <c:v>0.84</c:v>
                </c:pt>
                <c:pt idx="3">
                  <c:v>0.85</c:v>
                </c:pt>
                <c:pt idx="4">
                  <c:v>0.76</c:v>
                </c:pt>
                <c:pt idx="5">
                  <c:v>0.78</c:v>
                </c:pt>
                <c:pt idx="6">
                  <c:v>0.82</c:v>
                </c:pt>
                <c:pt idx="7">
                  <c:v>0.79</c:v>
                </c:pt>
                <c:pt idx="8">
                  <c:v>0.82</c:v>
                </c:pt>
              </c:numCache>
            </c:numRef>
          </c:val>
        </c:ser>
        <c:ser>
          <c:idx val="2"/>
          <c:order val="2"/>
          <c:tx>
            <c:strRef>
              <c:f>Sheet1!$I$39</c:f>
              <c:strCache>
                <c:ptCount val="1"/>
                <c:pt idx="0">
                  <c:v>20-30</c:v>
                </c:pt>
              </c:strCache>
            </c:strRef>
          </c:tx>
          <c:invertIfNegative val="0"/>
          <c:dLbls>
            <c:delete val="1"/>
          </c:dLbls>
          <c:cat>
            <c:strRef>
              <c:f>Sheet1!$F$40:$F$48</c:f>
              <c:strCache>
                <c:ptCount val="9"/>
                <c:pt idx="0">
                  <c:v>MA</c:v>
                </c:pt>
                <c:pt idx="1">
                  <c:v>MI</c:v>
                </c:pt>
                <c:pt idx="2">
                  <c:v>TG</c:v>
                </c:pt>
                <c:pt idx="3">
                  <c:v>AP </c:v>
                </c:pt>
                <c:pt idx="4">
                  <c:v>EC</c:v>
                </c:pt>
                <c:pt idx="5">
                  <c:v>CE</c:v>
                </c:pt>
                <c:pt idx="6">
                  <c:v>DL</c:v>
                </c:pt>
                <c:pt idx="7">
                  <c:v>JC</c:v>
                </c:pt>
                <c:pt idx="8">
                  <c:v>TA</c:v>
                </c:pt>
              </c:strCache>
            </c:strRef>
          </c:cat>
          <c:val>
            <c:numRef>
              <c:f>Sheet1!$I$40:$I$48</c:f>
              <c:numCache>
                <c:formatCode>General</c:formatCode>
                <c:ptCount val="9"/>
                <c:pt idx="0">
                  <c:v>0.79</c:v>
                </c:pt>
                <c:pt idx="1">
                  <c:v>0.8</c:v>
                </c:pt>
                <c:pt idx="2">
                  <c:v>0.83</c:v>
                </c:pt>
                <c:pt idx="3">
                  <c:v>0.84</c:v>
                </c:pt>
                <c:pt idx="4">
                  <c:v>0.75</c:v>
                </c:pt>
                <c:pt idx="5">
                  <c:v>0.77</c:v>
                </c:pt>
                <c:pt idx="6">
                  <c:v>0.81</c:v>
                </c:pt>
                <c:pt idx="7">
                  <c:v>0.78</c:v>
                </c:pt>
                <c:pt idx="8">
                  <c:v>0.8</c:v>
                </c:pt>
              </c:numCache>
            </c:numRef>
          </c:val>
        </c:ser>
        <c:dLbls>
          <c:showLegendKey val="0"/>
          <c:showVal val="0"/>
          <c:showCatName val="0"/>
          <c:showSerName val="0"/>
          <c:showPercent val="0"/>
          <c:showBubbleSize val="0"/>
        </c:dLbls>
        <c:gapWidth val="150"/>
        <c:axId val="91693824"/>
        <c:axId val="94867840"/>
      </c:barChart>
      <c:catAx>
        <c:axId val="91693824"/>
        <c:scaling>
          <c:orientation val="minMax"/>
        </c:scaling>
        <c:delete val="0"/>
        <c:axPos val="b"/>
        <c:minorGridlines/>
        <c:numFmt formatCode="General" sourceLinked="0"/>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p>
        </c:txPr>
        <c:crossAx val="94867840"/>
        <c:crosses val="autoZero"/>
        <c:auto val="1"/>
        <c:lblAlgn val="ctr"/>
        <c:lblOffset val="100"/>
        <c:noMultiLvlLbl val="0"/>
      </c:catAx>
      <c:valAx>
        <c:axId val="94867840"/>
        <c:scaling>
          <c:orientation val="minMax"/>
        </c:scaling>
        <c:delete val="0"/>
        <c:axPos val="l"/>
        <c:minorGridlines/>
        <c:title>
          <c:tx>
            <c:rich>
              <a:bodyPr rot="-5400000" spcFirstLastPara="0" vertOverflow="ellipsis" vert="horz" wrap="square" anchor="ctr" anchorCtr="1"/>
              <a:lstStyle/>
              <a:p>
                <a:pPr>
                  <a:defRPr lang="en-US" sz="1050" b="1" i="0" u="none" strike="noStrike" kern="1200" baseline="0">
                    <a:solidFill>
                      <a:schemeClr val="tx1"/>
                    </a:solidFill>
                    <a:latin typeface="+mn-lt"/>
                    <a:ea typeface="+mn-ea"/>
                    <a:cs typeface="+mn-cs"/>
                  </a:defRPr>
                </a:pPr>
                <a:r>
                  <a:rPr lang="en-US" sz="1050">
                    <a:latin typeface="Times New Roman" panose="02020603050405020304" charset="0"/>
                    <a:cs typeface="Times New Roman" panose="02020603050405020304" charset="0"/>
                  </a:rPr>
                  <a:t>SOC (%)</a:t>
                </a:r>
                <a:endParaRPr lang="en-US" sz="105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p>
        </c:txPr>
        <c:crossAx val="91693824"/>
        <c:crosses val="autoZero"/>
        <c:crossBetween val="between"/>
      </c:valAx>
      <c:spPr>
        <a:solidFill>
          <a:schemeClr val="bg1"/>
        </a:solidFill>
        <a:ln>
          <a:noFill/>
        </a:ln>
        <a:effectLst/>
      </c:spPr>
    </c:plotArea>
    <c:legend>
      <c:legendPos val="r"/>
      <c:layout>
        <c:manualLayout>
          <c:xMode val="edge"/>
          <c:yMode val="edge"/>
          <c:x val="0.883812453550833"/>
          <c:y val="0.374424030329543"/>
          <c:w val="0.101850628886443"/>
          <c:h val="0.329855278506854"/>
        </c:manualLayout>
      </c:layout>
      <c:overlay val="0"/>
      <c:txPr>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848f51e7-b4bb-42e0-a857-7b5ecae0ad75}"/>
      </c:ext>
    </c:extLst>
  </c:chart>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000" b="1" i="0" baseline="0">
                <a:latin typeface="Times New Roman" panose="02020603050405020304" charset="0"/>
                <a:cs typeface="Times New Roman" panose="02020603050405020304" charset="0"/>
              </a:rPr>
              <a:t>Fig 4: Relation between bulk density (BD) and soil organic carbon (SOC%) under different block plantation land use systems.</a:t>
            </a:r>
            <a:endParaRPr lang="en-US" sz="1000" b="1" i="0" baseline="0">
              <a:latin typeface="Times New Roman" panose="02020603050405020304" charset="0"/>
              <a:cs typeface="Times New Roman" panose="02020603050405020304" charset="0"/>
            </a:endParaRPr>
          </a:p>
        </c:rich>
      </c:tx>
      <c:layout>
        <c:manualLayout>
          <c:xMode val="edge"/>
          <c:yMode val="edge"/>
          <c:x val="0.100444444444444"/>
          <c:y val="0"/>
        </c:manualLayout>
      </c:layout>
      <c:overlay val="1"/>
    </c:title>
    <c:autoTitleDeleted val="0"/>
    <c:plotArea>
      <c:layout>
        <c:manualLayout>
          <c:layoutTarget val="inner"/>
          <c:xMode val="edge"/>
          <c:yMode val="edge"/>
          <c:x val="0.161141294838145"/>
          <c:y val="0.134733887430738"/>
          <c:w val="0.767011592300963"/>
          <c:h val="0.65470654709828"/>
        </c:manualLayout>
      </c:layout>
      <c:scatterChart>
        <c:scatterStyle val="lineMarker"/>
        <c:varyColors val="0"/>
        <c:ser>
          <c:idx val="0"/>
          <c:order val="0"/>
          <c:spPr>
            <a:ln w="28575" cap="rnd" cmpd="sng" algn="ctr">
              <a:noFill/>
              <a:prstDash val="solid"/>
              <a:round/>
            </a:ln>
          </c:spPr>
          <c:marker>
            <c:spPr>
              <a:solidFill>
                <a:srgbClr val="002060"/>
              </a:solidFill>
            </c:spPr>
          </c:marker>
          <c:dLbls>
            <c:delete val="1"/>
          </c:dLbls>
          <c:trendline>
            <c:trendlineType val="log"/>
            <c:dispRSqr val="1"/>
            <c:dispEq val="1"/>
            <c:trendlineLbl>
              <c:layout/>
              <c:numFmt formatCode="General" sourceLinked="0"/>
              <c:txPr>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p>
              </c:txPr>
            </c:trendlineLbl>
          </c:trendline>
          <c:xVal>
            <c:numRef>
              <c:f>Sheet1!$K$75:$K$83</c:f>
              <c:numCache>
                <c:formatCode>0.00</c:formatCode>
                <c:ptCount val="9"/>
                <c:pt idx="0">
                  <c:v>0.795</c:v>
                </c:pt>
                <c:pt idx="1">
                  <c:v>0.805</c:v>
                </c:pt>
                <c:pt idx="2">
                  <c:v>0.836666666666667</c:v>
                </c:pt>
                <c:pt idx="3">
                  <c:v>0.848333333333334</c:v>
                </c:pt>
                <c:pt idx="4">
                  <c:v>0.755</c:v>
                </c:pt>
                <c:pt idx="5">
                  <c:v>0.775</c:v>
                </c:pt>
                <c:pt idx="6">
                  <c:v>0.815</c:v>
                </c:pt>
                <c:pt idx="7">
                  <c:v>0.785</c:v>
                </c:pt>
                <c:pt idx="8">
                  <c:v>0.808333333333333</c:v>
                </c:pt>
              </c:numCache>
            </c:numRef>
          </c:xVal>
          <c:yVal>
            <c:numRef>
              <c:f>Sheet1!$L$75:$L$83</c:f>
              <c:numCache>
                <c:formatCode>0.00</c:formatCode>
                <c:ptCount val="9"/>
                <c:pt idx="0">
                  <c:v>1.39</c:v>
                </c:pt>
                <c:pt idx="1">
                  <c:v>1.39</c:v>
                </c:pt>
                <c:pt idx="2">
                  <c:v>1.36</c:v>
                </c:pt>
                <c:pt idx="3">
                  <c:v>1.3</c:v>
                </c:pt>
                <c:pt idx="4">
                  <c:v>1.36</c:v>
                </c:pt>
                <c:pt idx="5">
                  <c:v>1.36</c:v>
                </c:pt>
                <c:pt idx="6">
                  <c:v>1.37</c:v>
                </c:pt>
                <c:pt idx="7">
                  <c:v>1.39</c:v>
                </c:pt>
                <c:pt idx="8">
                  <c:v>1.39</c:v>
                </c:pt>
              </c:numCache>
            </c:numRef>
          </c:yVal>
          <c:smooth val="0"/>
        </c:ser>
        <c:dLbls>
          <c:showLegendKey val="0"/>
          <c:showVal val="0"/>
          <c:showCatName val="0"/>
          <c:showSerName val="0"/>
          <c:showPercent val="0"/>
          <c:showBubbleSize val="0"/>
        </c:dLbls>
        <c:axId val="98960128"/>
        <c:axId val="98962432"/>
      </c:scatterChart>
      <c:valAx>
        <c:axId val="98960128"/>
        <c:scaling>
          <c:orientation val="minMax"/>
        </c:scaling>
        <c:delete val="0"/>
        <c:axPos val="b"/>
        <c:majorGridlines/>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latin typeface="Times New Roman" panose="02020603050405020304" charset="0"/>
                    <a:cs typeface="Times New Roman" panose="02020603050405020304" charset="0"/>
                  </a:rPr>
                  <a:t>Soil</a:t>
                </a:r>
                <a:r>
                  <a:rPr lang="en-US" baseline="0">
                    <a:latin typeface="Times New Roman" panose="02020603050405020304" charset="0"/>
                    <a:cs typeface="Times New Roman" panose="02020603050405020304" charset="0"/>
                  </a:rPr>
                  <a:t> organic carbon (%)</a:t>
                </a:r>
                <a:endParaRPr lang="en-US">
                  <a:latin typeface="Times New Roman" panose="02020603050405020304" charset="0"/>
                  <a:cs typeface="Times New Roman" panose="02020603050405020304" charset="0"/>
                </a:endParaRPr>
              </a:p>
            </c:rich>
          </c:tx>
          <c:layout/>
          <c:overlay val="0"/>
        </c:title>
        <c:numFmt formatCode="0.00" sourceLinked="1"/>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p>
        </c:txPr>
        <c:crossAx val="98962432"/>
        <c:crosses val="autoZero"/>
        <c:crossBetween val="midCat"/>
      </c:valAx>
      <c:valAx>
        <c:axId val="98962432"/>
        <c:scaling>
          <c:orientation val="minMax"/>
        </c:scaling>
        <c:delete val="0"/>
        <c:axPos val="l"/>
        <c:min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latin typeface="Times New Roman" panose="02020603050405020304" charset="0"/>
                    <a:cs typeface="Times New Roman" panose="02020603050405020304" charset="0"/>
                  </a:rPr>
                  <a:t>Bulk density  Mg/m3</a:t>
                </a:r>
                <a:endParaRPr lang="en-US">
                  <a:latin typeface="Times New Roman" panose="02020603050405020304" charset="0"/>
                  <a:cs typeface="Times New Roman" panose="02020603050405020304" charset="0"/>
                </a:endParaRPr>
              </a:p>
            </c:rich>
          </c:tx>
          <c:layout/>
          <c:overlay val="0"/>
        </c:title>
        <c:numFmt formatCode="0.00" sourceLinked="1"/>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p>
        </c:txPr>
        <c:crossAx val="98960128"/>
        <c:crosses val="autoZero"/>
        <c:crossBetween val="midCat"/>
      </c:valAx>
    </c:plotArea>
    <c:plotVisOnly val="1"/>
    <c:dispBlanksAs val="gap"/>
    <c:showDLblsOverMax val="0"/>
    <c:extLst>
      <c:ext uri="{0b15fc19-7d7d-44ad-8c2d-2c3a37ce22c3}">
        <chartProps xmlns="https://web.wps.cn/et/2018/main" chartId="{0de30da8-750c-46ed-b8df-b6bac9f639a6}"/>
      </c:ext>
    </c:extLst>
  </c:chart>
  <c:txPr>
    <a:bodyPr/>
    <a:lstStyle/>
    <a:p>
      <a:pPr>
        <a:defRPr lang="en-US"/>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cdr:y>
    </cdr:from>
    <cdr:to>
      <cdr:x>0.95265</cdr:x>
      <cdr:y>0.14442</cdr:y>
    </cdr:to>
    <cdr:sp>
      <cdr:nvSpPr>
        <cdr:cNvPr id="2" name="Rectangles 1"/>
        <cdr:cNvSpPr/>
      </cdr:nvSpPr>
      <cdr:spPr xmlns:a="http://schemas.openxmlformats.org/drawingml/2006/main">
        <a:xfrm xmlns:a="http://schemas.openxmlformats.org/drawingml/2006/main">
          <a:off x="0" y="0"/>
          <a:ext cx="4791075" cy="396173"/>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r>
            <a:rPr lang="en-US" sz="1000" b="1">
              <a:latin typeface="Times New Roman" panose="02020603050405020304" charset="0"/>
              <a:cs typeface="Times New Roman" panose="02020603050405020304" charset="0"/>
            </a:rPr>
            <a:t>                        Fig 2: Soil Bulk density</a:t>
          </a:r>
          <a:r>
            <a:rPr lang="en-US" sz="1000" b="1" baseline="0">
              <a:latin typeface="Times New Roman" panose="02020603050405020304" charset="0"/>
              <a:cs typeface="Times New Roman" panose="02020603050405020304" charset="0"/>
            </a:rPr>
            <a:t> (%) under block plantation systems in South        	Gujarat condition. </a:t>
          </a:r>
          <a:endParaRPr lang="en-US" sz="1000" b="1">
            <a:latin typeface="Times New Roman" panose="02020603050405020304" charset="0"/>
            <a:cs typeface="Times New Roman" panose="02020603050405020304" charset="0"/>
          </a:endParaRPr>
        </a:p>
      </cdr:txBody>
    </cdr:sp>
  </cdr:relSizeAnchor>
  <cdr:relSizeAnchor xmlns:cdr="http://schemas.openxmlformats.org/drawingml/2006/chartDrawing">
    <cdr:from>
      <cdr:x>0.20276</cdr:x>
      <cdr:y>0.904</cdr:y>
    </cdr:from>
    <cdr:to>
      <cdr:x>0.8893</cdr:x>
      <cdr:y>0.984</cdr:y>
    </cdr:to>
    <cdr:sp>
      <cdr:nvSpPr>
        <cdr:cNvPr id="3" name="Rectangles 2"/>
        <cdr:cNvSpPr/>
      </cdr:nvSpPr>
      <cdr:spPr xmlns:a="http://schemas.openxmlformats.org/drawingml/2006/main">
        <a:xfrm xmlns:a="http://schemas.openxmlformats.org/drawingml/2006/main">
          <a:off x="1019707" y="2479851"/>
          <a:ext cx="3452775" cy="219457"/>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en-US" sz="800" b="1">
              <a:latin typeface="Times New Roman" panose="02020603050405020304" charset="0"/>
              <a:cs typeface="Times New Roman" panose="02020603050405020304" charset="0"/>
            </a:rPr>
            <a:t>MA      </a:t>
          </a:r>
          <a:r>
            <a:rPr lang="en-US" sz="800" b="1" i="0" u="none" strike="noStrike" baseline="0">
              <a:latin typeface="Times New Roman" panose="02020603050405020304" charset="0"/>
              <a:cs typeface="Times New Roman" panose="02020603050405020304" charset="0"/>
            </a:rPr>
            <a:t>MI   </a:t>
          </a:r>
          <a:r>
            <a:rPr lang="en-US" sz="800" b="1">
              <a:latin typeface="Times New Roman" panose="02020603050405020304" charset="0"/>
              <a:cs typeface="Times New Roman" panose="02020603050405020304" charset="0"/>
            </a:rPr>
            <a:t>        TG   </a:t>
          </a:r>
          <a:r>
            <a:rPr lang="en-US" sz="800" b="1" baseline="0">
              <a:latin typeface="Times New Roman" panose="02020603050405020304" charset="0"/>
              <a:cs typeface="Times New Roman" panose="02020603050405020304" charset="0"/>
            </a:rPr>
            <a:t>     </a:t>
          </a:r>
          <a:r>
            <a:rPr lang="en-US" sz="800" b="1">
              <a:latin typeface="Times New Roman" panose="02020603050405020304" charset="0"/>
              <a:cs typeface="Times New Roman" panose="02020603050405020304" charset="0"/>
            </a:rPr>
            <a:t>AP        EC          CE         DL         JC         TA</a:t>
          </a:r>
          <a:endParaRPr lang="en-US" sz="800" b="1">
            <a:latin typeface="Times New Roman" panose="02020603050405020304" charset="0"/>
            <a:cs typeface="Times New Roman" panose="02020603050405020304" charset="0"/>
          </a:endParaRPr>
        </a:p>
      </cdr:txBody>
    </cdr:sp>
  </cdr:relSizeAnchor>
  <cdr:relSizeAnchor xmlns:cdr="http://schemas.openxmlformats.org/drawingml/2006/chartDrawing">
    <cdr:from>
      <cdr:x>0.88636</cdr:x>
      <cdr:y>0.28819</cdr:y>
    </cdr:from>
    <cdr:to>
      <cdr:x>0.99432</cdr:x>
      <cdr:y>0.53472</cdr:y>
    </cdr:to>
    <cdr:sp>
      <cdr:nvSpPr>
        <cdr:cNvPr id="4" name="Rectangles 3"/>
        <cdr:cNvSpPr/>
      </cdr:nvSpPr>
      <cdr:spPr xmlns:a="http://schemas.openxmlformats.org/drawingml/2006/main">
        <a:xfrm xmlns:a="http://schemas.openxmlformats.org/drawingml/2006/main">
          <a:off x="4457700" y="790575"/>
          <a:ext cx="542925" cy="676275"/>
        </a:xfrm>
        <a:prstGeom xmlns:a="http://schemas.openxmlformats.org/drawingml/2006/main" prst="rect">
          <a:avLst/>
        </a:prstGeom>
        <a:solidFill>
          <a:sysClr val="window" lastClr="FFFFFF"/>
        </a:solidFill>
      </cdr:spPr>
      <cdr:txBody xmlns:a="http://schemas.openxmlformats.org/drawingml/2006/main">
        <a:bodyPr vert="horz" wrap="square" lIns="45720" tIns="45720" rIns="45720" bIns="45720" rtlCol="0" anchor="t" anchorCtr="0">
          <a:normAutofit/>
        </a:bodyPr>
        <a:lstStyle/>
        <a:p>
          <a:r>
            <a:rPr lang="en-US" sz="1100" b="1">
              <a:solidFill>
                <a:schemeClr val="tx2"/>
              </a:solidFill>
            </a:rPr>
            <a:t>0-10 </a:t>
          </a:r>
          <a:r>
            <a:rPr lang="en-US" sz="1100" b="1">
              <a:solidFill>
                <a:srgbClr val="FFC000"/>
              </a:solidFill>
            </a:rPr>
            <a:t>10-20 </a:t>
          </a:r>
          <a:r>
            <a:rPr lang="en-US" sz="1100" b="1">
              <a:solidFill>
                <a:srgbClr val="FF0000"/>
              </a:solidFill>
            </a:rPr>
            <a:t>20-30</a:t>
          </a:r>
          <a:endParaRPr lang="en-US" sz="1100" b="1">
            <a:solidFill>
              <a:srgbClr val="FF0000"/>
            </a:solidFill>
          </a:endParaRPr>
        </a:p>
      </cdr:txBody>
    </cdr:sp>
  </cdr:relSizeAnchor>
  <cdr:relSizeAnchor xmlns:cdr="http://schemas.openxmlformats.org/drawingml/2006/chartDrawing">
    <cdr:from>
      <cdr:x>0.00997</cdr:x>
      <cdr:y>0.10087</cdr:y>
    </cdr:from>
    <cdr:to>
      <cdr:x>0.07195</cdr:x>
      <cdr:y>0.74172</cdr:y>
    </cdr:to>
    <cdr:sp>
      <cdr:nvSpPr>
        <cdr:cNvPr id="5" name="Rectangles 4"/>
        <cdr:cNvSpPr/>
      </cdr:nvSpPr>
      <cdr:spPr xmlns:a="http://schemas.openxmlformats.org/drawingml/2006/main">
        <a:xfrm xmlns:a="http://schemas.openxmlformats.org/drawingml/2006/main" rot="16200000">
          <a:off x="50152" y="276698"/>
          <a:ext cx="311683" cy="1757983"/>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r>
            <a:rPr lang="en-US" sz="1100" b="1">
              <a:latin typeface="Times New Roman" panose="02020603050405020304" charset="0"/>
              <a:cs typeface="Times New Roman" panose="02020603050405020304" charset="0"/>
            </a:rPr>
            <a:t>Soil bulk density (Mg/m3</a:t>
          </a:r>
          <a:r>
            <a:rPr lang="en-US" sz="1100" b="1"/>
            <a:t>)</a:t>
          </a:r>
          <a:endParaRPr lang="en-US"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1F025B-1FD7-47D3-96D0-A0B320A64636}">
  <ds:schemaRefs/>
</ds:datastoreItem>
</file>

<file path=docProps/app.xml><?xml version="1.0" encoding="utf-8"?>
<Properties xmlns="http://schemas.openxmlformats.org/officeDocument/2006/extended-properties" xmlns:vt="http://schemas.openxmlformats.org/officeDocument/2006/docPropsVTypes">
  <Template>Normal</Template>
  <Pages>11</Pages>
  <Words>2945</Words>
  <Characters>16790</Characters>
  <Lines>139</Lines>
  <Paragraphs>39</Paragraphs>
  <TotalTime>12276</TotalTime>
  <ScaleCrop>false</ScaleCrop>
  <LinksUpToDate>false</LinksUpToDate>
  <CharactersWithSpaces>19696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2025-03-24T14:43:00Z</dcterms:created>
  <dc:creator>Shailendra Bhalawe</dc:creator>
  <cp:lastModifiedBy>juliet dodo</cp:lastModifiedBy>
  <dcterms:modified xsi:type="dcterms:W3CDTF">2025-04-06T20:29:35Z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4B3349FD57F641A9A136873AAE386BB3_12</vt:lpwstr>
  </property>
</Properties>
</file>