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C19F">
      <w:pPr>
        <w:spacing w:before="100" w:beforeAutospacing="1" w:after="100" w:afterAutospacing="1" w:line="240"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Original Research Article</w:t>
      </w:r>
    </w:p>
    <w:p w14:paraId="1FDA76BB">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INFLUENCED OF </w:t>
      </w:r>
      <w:commentRangeStart w:id="0"/>
      <w:r>
        <w:rPr>
          <w:rFonts w:ascii="Times New Roman" w:hAnsi="Times New Roman" w:cs="Times New Roman"/>
          <w:b/>
          <w:bCs/>
          <w:sz w:val="28"/>
          <w:szCs w:val="28"/>
        </w:rPr>
        <w:t>INTEGRATED</w:t>
      </w:r>
      <w:commentRangeEnd w:id="0"/>
      <w:r>
        <w:commentReference w:id="0"/>
      </w:r>
      <w:r>
        <w:rPr>
          <w:rFonts w:ascii="Times New Roman" w:hAnsi="Times New Roman" w:cs="Times New Roman"/>
          <w:b/>
          <w:bCs/>
          <w:sz w:val="28"/>
          <w:szCs w:val="28"/>
        </w:rPr>
        <w:t xml:space="preserve"> NITROGEN AND WEED MANAGEMENT PRACTICES ON CROP-WEED COMPETITION AND NUTRIENT DEPLETION IN DIRECT SEEDED RICE</w:t>
      </w:r>
    </w:p>
    <w:p w14:paraId="4360CA99">
      <w:pPr>
        <w:spacing w:after="0" w:line="240" w:lineRule="auto"/>
        <w:jc w:val="center"/>
        <w:rPr>
          <w:rFonts w:ascii="Times New Roman" w:hAnsi="Times New Roman" w:cs="Times New Roman"/>
          <w:b/>
          <w:sz w:val="24"/>
          <w:szCs w:val="24"/>
        </w:rPr>
      </w:pPr>
    </w:p>
    <w:p w14:paraId="5626442B">
      <w:pPr>
        <w:autoSpaceDE w:val="0"/>
        <w:autoSpaceDN w:val="0"/>
        <w:adjustRightInd w:val="0"/>
        <w:spacing w:before="60" w:after="60" w:line="240" w:lineRule="auto"/>
        <w:ind w:left="720" w:right="720"/>
        <w:jc w:val="center"/>
        <w:rPr>
          <w:rFonts w:ascii="Times New Roman" w:hAnsi="Times New Roman" w:cs="Times New Roman"/>
          <w:b/>
          <w:bCs/>
          <w:sz w:val="24"/>
          <w:szCs w:val="24"/>
        </w:rPr>
      </w:pPr>
    </w:p>
    <w:p w14:paraId="194B01C0">
      <w:pPr>
        <w:autoSpaceDE w:val="0"/>
        <w:autoSpaceDN w:val="0"/>
        <w:adjustRightInd w:val="0"/>
        <w:spacing w:before="60" w:after="60" w:line="240" w:lineRule="auto"/>
        <w:ind w:left="720" w:right="72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EFE9D81">
      <w:pPr>
        <w:pStyle w:val="15"/>
        <w:spacing w:before="60" w:after="60"/>
        <w:ind w:left="720" w:right="720"/>
        <w:jc w:val="both"/>
        <w:rPr>
          <w:rFonts w:ascii="Times New Roman" w:hAnsi="Times New Roman"/>
          <w:bCs/>
          <w:iCs/>
        </w:rPr>
      </w:pPr>
      <w:r>
        <w:rPr>
          <w:rFonts w:ascii="Times New Roman" w:hAnsi="Times New Roman" w:cs="Times New Roman"/>
        </w:rPr>
        <w:t xml:space="preserve">A trial was conducted during 2019-20 and 2020-21 at BHU, Varanasi, to study the effect of </w:t>
      </w:r>
      <w:commentRangeStart w:id="1"/>
      <w:r>
        <w:rPr>
          <w:rFonts w:ascii="Times New Roman" w:hAnsi="Times New Roman" w:cs="Times New Roman"/>
        </w:rPr>
        <w:t>integrated</w:t>
      </w:r>
      <w:commentRangeEnd w:id="1"/>
      <w:r>
        <w:commentReference w:id="1"/>
      </w:r>
      <w:r>
        <w:rPr>
          <w:rFonts w:ascii="Times New Roman" w:hAnsi="Times New Roman" w:cs="Times New Roman"/>
        </w:rPr>
        <w:t xml:space="preserve"> nitrogen and weed management on weeds in dry direct seeded rice. The main plot treatments consisted of four nitrogen management practices </w:t>
      </w:r>
      <w:r>
        <w:rPr>
          <w:rFonts w:ascii="Times New Roman" w:hAnsi="Times New Roman" w:cs="Times New Roman"/>
          <w:i/>
          <w:iCs/>
        </w:rPr>
        <w:t>viz.</w:t>
      </w:r>
      <w:r>
        <w:rPr>
          <w:rFonts w:ascii="Times New Roman" w:hAnsi="Times New Roman" w:cs="Times New Roman"/>
        </w:rPr>
        <w:t xml:space="preserve"> Control (only P and K), RDF (100% RDN through inorganic), 75% RDN (Inorganic) + 25% through FYM, 75% RDN (Inorganic) + 25% through Vermicompost whereas five weed management practices </w:t>
      </w:r>
      <w:r>
        <w:rPr>
          <w:rFonts w:ascii="Times New Roman" w:hAnsi="Times New Roman" w:cs="Times New Roman"/>
          <w:i/>
          <w:iCs/>
        </w:rPr>
        <w:t xml:space="preserve">viz. </w:t>
      </w:r>
      <w:r>
        <w:rPr>
          <w:rFonts w:ascii="Times New Roman" w:hAnsi="Times New Roman"/>
          <w:bCs/>
          <w:iCs/>
        </w:rPr>
        <w:t>wheat residue as mulch (4 t ha</w:t>
      </w:r>
      <w:r>
        <w:rPr>
          <w:rFonts w:ascii="Times New Roman" w:hAnsi="Times New Roman"/>
          <w:bCs/>
          <w:iCs/>
          <w:vertAlign w:val="superscript"/>
        </w:rPr>
        <w:t>-1</w:t>
      </w:r>
      <w:r>
        <w:rPr>
          <w:rFonts w:ascii="Times New Roman" w:hAnsi="Times New Roman"/>
          <w:bCs/>
          <w:iCs/>
        </w:rPr>
        <w:t xml:space="preserve">) </w:t>
      </w:r>
      <w:r>
        <w:rPr>
          <w:rFonts w:ascii="Times New Roman" w:hAnsi="Times New Roman"/>
          <w:bCs/>
          <w:i/>
        </w:rPr>
        <w:t xml:space="preserve">fb </w:t>
      </w:r>
      <w:r>
        <w:rPr>
          <w:rFonts w:ascii="Times New Roman" w:hAnsi="Times New Roman"/>
          <w:bCs/>
          <w:iCs/>
        </w:rPr>
        <w:t xml:space="preserve">bispyribac Na 25 g </w:t>
      </w:r>
      <w:r>
        <w:rPr>
          <w:rFonts w:ascii="Times New Roman" w:hAnsi="Times New Roman"/>
          <w:bCs/>
          <w:i/>
        </w:rPr>
        <w:t>a.i.</w:t>
      </w:r>
      <w:r>
        <w:rPr>
          <w:rFonts w:ascii="Times New Roman" w:hAnsi="Times New Roman"/>
          <w:bCs/>
          <w:iCs/>
        </w:rPr>
        <w:t xml:space="preserve"> ha</w:t>
      </w:r>
      <w:r>
        <w:rPr>
          <w:rFonts w:ascii="Times New Roman" w:hAnsi="Times New Roman"/>
          <w:bCs/>
          <w:iCs/>
          <w:vertAlign w:val="superscript"/>
        </w:rPr>
        <w:t>-1</w:t>
      </w:r>
      <w:r>
        <w:rPr>
          <w:rFonts w:ascii="Times New Roman" w:hAnsi="Times New Roman"/>
          <w:bCs/>
          <w:iCs/>
        </w:rPr>
        <w:t xml:space="preserve"> (2-4 leaf stage of weed), Pendimethalin 1 kg </w:t>
      </w:r>
      <w:r>
        <w:rPr>
          <w:rFonts w:ascii="Times New Roman" w:hAnsi="Times New Roman"/>
          <w:bCs/>
          <w:i/>
        </w:rPr>
        <w:t>a.i.</w:t>
      </w:r>
      <w:r>
        <w:rPr>
          <w:rFonts w:ascii="Times New Roman" w:hAnsi="Times New Roman"/>
          <w:bCs/>
          <w:iCs/>
        </w:rPr>
        <w:t xml:space="preserve"> ha</w:t>
      </w:r>
      <w:r>
        <w:rPr>
          <w:rFonts w:ascii="Times New Roman" w:hAnsi="Times New Roman"/>
          <w:bCs/>
          <w:iCs/>
          <w:vertAlign w:val="superscript"/>
        </w:rPr>
        <w:t>-1</w:t>
      </w:r>
      <w:r>
        <w:rPr>
          <w:rFonts w:ascii="Times New Roman" w:hAnsi="Times New Roman"/>
          <w:bCs/>
          <w:iCs/>
        </w:rPr>
        <w:t xml:space="preserve"> </w:t>
      </w:r>
      <w:r>
        <w:rPr>
          <w:rFonts w:ascii="Times New Roman" w:hAnsi="Times New Roman"/>
          <w:bCs/>
          <w:i/>
        </w:rPr>
        <w:t xml:space="preserve">fb </w:t>
      </w:r>
      <w:r>
        <w:rPr>
          <w:rFonts w:ascii="Times New Roman" w:hAnsi="Times New Roman"/>
          <w:bCs/>
          <w:iCs/>
        </w:rPr>
        <w:t xml:space="preserve">bispyribac Na 25 g </w:t>
      </w:r>
      <w:r>
        <w:rPr>
          <w:rFonts w:ascii="Times New Roman" w:hAnsi="Times New Roman"/>
          <w:bCs/>
          <w:i/>
        </w:rPr>
        <w:t>a.i.</w:t>
      </w:r>
      <w:r>
        <w:rPr>
          <w:rFonts w:ascii="Times New Roman" w:hAnsi="Times New Roman"/>
          <w:bCs/>
          <w:iCs/>
        </w:rPr>
        <w:t xml:space="preserve"> ha</w:t>
      </w:r>
      <w:r>
        <w:rPr>
          <w:rFonts w:ascii="Times New Roman" w:hAnsi="Times New Roman"/>
          <w:bCs/>
          <w:iCs/>
          <w:vertAlign w:val="superscript"/>
        </w:rPr>
        <w:t>-1</w:t>
      </w:r>
      <w:r>
        <w:rPr>
          <w:rFonts w:ascii="Times New Roman" w:hAnsi="Times New Roman"/>
          <w:bCs/>
          <w:iCs/>
        </w:rPr>
        <w:t xml:space="preserve"> (2-4 leaf stage of weed),</w:t>
      </w:r>
      <w:r>
        <w:rPr>
          <w:rFonts w:ascii="Times New Roman" w:hAnsi="Times New Roman" w:cs="Times New Roman"/>
        </w:rPr>
        <w:t xml:space="preserve"> </w:t>
      </w:r>
      <w:r>
        <w:rPr>
          <w:rFonts w:ascii="Times New Roman" w:hAnsi="Times New Roman"/>
          <w:bCs/>
          <w:i/>
          <w:iCs/>
        </w:rPr>
        <w:t>Sesbenia</w:t>
      </w:r>
      <w:r>
        <w:rPr>
          <w:rFonts w:ascii="Times New Roman" w:hAnsi="Times New Roman"/>
          <w:bCs/>
        </w:rPr>
        <w:t xml:space="preserve"> up to 30 days (Brown manuring), </w:t>
      </w:r>
      <w:r>
        <w:rPr>
          <w:rFonts w:ascii="Times New Roman" w:hAnsi="Times New Roman" w:cs="Times New Roman"/>
        </w:rPr>
        <w:t xml:space="preserve"> </w:t>
      </w:r>
      <w:r>
        <w:rPr>
          <w:rFonts w:ascii="Times New Roman" w:hAnsi="Times New Roman"/>
          <w:bCs/>
        </w:rPr>
        <w:t xml:space="preserve">Two hand weeding (20 and 40 DAS) and Weedy check </w:t>
      </w:r>
      <w:r>
        <w:rPr>
          <w:rFonts w:ascii="Times New Roman" w:hAnsi="Times New Roman" w:cs="Times New Roman"/>
        </w:rPr>
        <w:t xml:space="preserve">were allocated to subplots and replicated thrice. The maximum weed control efficiency was recorded with the control (only P and K) whereas 75% N through inorganic + 25% by FYM being statistically comparable with 75% N through inorganic + 25% by VC and 100% N from inorganic registered the lowest weed control efficiency. However, significantly lower weed index was noticed with the application of 75% N through inorganic + 25% by VC which was followed by 75% N through inorganic + 25% by FYM, 100% N from inorganic and control. In case of nutrient removal by weeds, significantly maximum nutrient content and depletion by weeds was noticed in </w:t>
      </w:r>
      <w:r>
        <w:rPr>
          <w:rFonts w:ascii="Times New Roman" w:hAnsi="Times New Roman" w:eastAsia="Calibri" w:cs="Times New Roman"/>
        </w:rPr>
        <w:t>N</w:t>
      </w:r>
      <w:r>
        <w:rPr>
          <w:rFonts w:ascii="Times New Roman" w:hAnsi="Times New Roman" w:eastAsia="Calibri" w:cs="Times New Roman"/>
          <w:vertAlign w:val="subscript"/>
        </w:rPr>
        <w:t>2</w:t>
      </w:r>
      <w:r>
        <w:rPr>
          <w:rFonts w:ascii="Times New Roman" w:hAnsi="Times New Roman" w:eastAsia="Calibri" w:cs="Times New Roman"/>
        </w:rPr>
        <w:t xml:space="preserve"> (</w:t>
      </w:r>
      <w:r>
        <w:rPr>
          <w:rFonts w:ascii="Times New Roman" w:hAnsi="Times New Roman" w:cs="Times New Roman"/>
          <w:kern w:val="24"/>
        </w:rPr>
        <w:t>75% RDN (inorganic) + 25% through FYM</w:t>
      </w:r>
      <w:r>
        <w:rPr>
          <w:rFonts w:ascii="Times New Roman" w:hAnsi="Times New Roman" w:eastAsia="Calibri" w:cs="Times New Roman"/>
        </w:rPr>
        <w:t>)</w:t>
      </w:r>
      <w:r>
        <w:rPr>
          <w:rFonts w:ascii="Times New Roman" w:hAnsi="Times New Roman" w:cs="Times New Roman"/>
        </w:rPr>
        <w:t xml:space="preserve"> over control nevertheless it remained statistically at par with </w:t>
      </w:r>
      <w:r>
        <w:rPr>
          <w:rFonts w:ascii="Times New Roman" w:hAnsi="Times New Roman" w:eastAsia="Calibri" w:cs="Times New Roman"/>
        </w:rPr>
        <w:t>N</w:t>
      </w:r>
      <w:r>
        <w:rPr>
          <w:rFonts w:ascii="Times New Roman" w:hAnsi="Times New Roman" w:eastAsia="Calibri" w:cs="Times New Roman"/>
          <w:vertAlign w:val="subscript"/>
        </w:rPr>
        <w:t>3</w:t>
      </w:r>
      <w:r>
        <w:rPr>
          <w:rFonts w:ascii="Times New Roman" w:hAnsi="Times New Roman" w:eastAsia="Calibri" w:cs="Times New Roman"/>
        </w:rPr>
        <w:t xml:space="preserve"> (</w:t>
      </w:r>
      <w:r>
        <w:rPr>
          <w:rFonts w:ascii="Times New Roman" w:hAnsi="Times New Roman" w:cs="Times New Roman"/>
          <w:kern w:val="24"/>
        </w:rPr>
        <w:t>75% RDN (inorganic) + 25% through VC</w:t>
      </w:r>
      <w:r>
        <w:rPr>
          <w:rFonts w:ascii="Times New Roman" w:hAnsi="Times New Roman" w:eastAsia="Calibri" w:cs="Times New Roman"/>
        </w:rPr>
        <w:t>) and N</w:t>
      </w:r>
      <w:r>
        <w:rPr>
          <w:rFonts w:ascii="Times New Roman" w:hAnsi="Times New Roman" w:eastAsia="Calibri" w:cs="Times New Roman"/>
          <w:vertAlign w:val="subscript"/>
        </w:rPr>
        <w:t>1</w:t>
      </w:r>
      <w:r>
        <w:rPr>
          <w:rFonts w:ascii="Times New Roman" w:hAnsi="Times New Roman" w:eastAsia="Calibri" w:cs="Times New Roman"/>
        </w:rPr>
        <w:t xml:space="preserve"> (100% RDN through inorganic). </w:t>
      </w:r>
      <w:r>
        <w:rPr>
          <w:rFonts w:ascii="Times New Roman" w:hAnsi="Times New Roman" w:cs="Times New Roman"/>
        </w:rPr>
        <w:t xml:space="preserve">Among integrated weed management options, hand weeding at 20 and 40 DAS showed superiority over all the weed management practices. Application of </w:t>
      </w:r>
      <w:r>
        <w:rPr>
          <w:rFonts w:ascii="Times New Roman" w:hAnsi="Times New Roman"/>
          <w:bCs/>
          <w:iCs/>
        </w:rPr>
        <w:t>wheat residue as mulch (4 t ha</w:t>
      </w:r>
      <w:r>
        <w:rPr>
          <w:rFonts w:ascii="Times New Roman" w:hAnsi="Times New Roman"/>
          <w:bCs/>
          <w:iCs/>
          <w:vertAlign w:val="superscript"/>
        </w:rPr>
        <w:t>-1</w:t>
      </w:r>
      <w:r>
        <w:rPr>
          <w:rFonts w:ascii="Times New Roman" w:hAnsi="Times New Roman"/>
          <w:bCs/>
          <w:iCs/>
        </w:rPr>
        <w:t xml:space="preserve">) </w:t>
      </w:r>
      <w:r>
        <w:rPr>
          <w:rFonts w:ascii="Times New Roman" w:hAnsi="Times New Roman"/>
          <w:bCs/>
          <w:i/>
        </w:rPr>
        <w:t xml:space="preserve">fb </w:t>
      </w:r>
      <w:r>
        <w:rPr>
          <w:rFonts w:ascii="Times New Roman" w:hAnsi="Times New Roman"/>
          <w:bCs/>
          <w:iCs/>
        </w:rPr>
        <w:t xml:space="preserve">bispyribac Na 25 g </w:t>
      </w:r>
      <w:r>
        <w:rPr>
          <w:rFonts w:ascii="Times New Roman" w:hAnsi="Times New Roman"/>
          <w:bCs/>
          <w:i/>
        </w:rPr>
        <w:t>a.i.</w:t>
      </w:r>
      <w:r>
        <w:rPr>
          <w:rFonts w:ascii="Times New Roman" w:hAnsi="Times New Roman"/>
          <w:bCs/>
          <w:iCs/>
        </w:rPr>
        <w:t xml:space="preserve"> ha</w:t>
      </w:r>
      <w:r>
        <w:rPr>
          <w:rFonts w:ascii="Times New Roman" w:hAnsi="Times New Roman"/>
          <w:bCs/>
          <w:iCs/>
          <w:vertAlign w:val="superscript"/>
        </w:rPr>
        <w:t>-1</w:t>
      </w:r>
      <w:r>
        <w:rPr>
          <w:rFonts w:ascii="Times New Roman" w:hAnsi="Times New Roman"/>
          <w:bCs/>
          <w:iCs/>
        </w:rPr>
        <w:t xml:space="preserve"> (2-4 leaf stage of weed) </w:t>
      </w:r>
      <w:r>
        <w:rPr>
          <w:rFonts w:ascii="Times New Roman" w:hAnsi="Times New Roman" w:cs="Times New Roman"/>
        </w:rPr>
        <w:t xml:space="preserve">recorded distinctly higher weed control efficiency and lowest weed index followed by </w:t>
      </w:r>
      <w:r>
        <w:rPr>
          <w:rFonts w:ascii="Times New Roman" w:hAnsi="Times New Roman"/>
          <w:bCs/>
          <w:iCs/>
        </w:rPr>
        <w:t xml:space="preserve">Pendimethalin 1 kg </w:t>
      </w:r>
      <w:r>
        <w:rPr>
          <w:rFonts w:ascii="Times New Roman" w:hAnsi="Times New Roman"/>
          <w:bCs/>
          <w:i/>
        </w:rPr>
        <w:t>a.i.</w:t>
      </w:r>
      <w:r>
        <w:rPr>
          <w:rFonts w:ascii="Times New Roman" w:hAnsi="Times New Roman"/>
          <w:bCs/>
          <w:iCs/>
        </w:rPr>
        <w:t xml:space="preserve"> ha</w:t>
      </w:r>
      <w:r>
        <w:rPr>
          <w:rFonts w:ascii="Times New Roman" w:hAnsi="Times New Roman"/>
          <w:bCs/>
          <w:iCs/>
          <w:vertAlign w:val="superscript"/>
        </w:rPr>
        <w:t>-1</w:t>
      </w:r>
      <w:r>
        <w:rPr>
          <w:rFonts w:ascii="Times New Roman" w:hAnsi="Times New Roman"/>
          <w:bCs/>
          <w:iCs/>
        </w:rPr>
        <w:t xml:space="preserve"> </w:t>
      </w:r>
      <w:r>
        <w:rPr>
          <w:rFonts w:ascii="Times New Roman" w:hAnsi="Times New Roman"/>
          <w:bCs/>
          <w:i/>
        </w:rPr>
        <w:t xml:space="preserve">fb </w:t>
      </w:r>
      <w:r>
        <w:rPr>
          <w:rFonts w:ascii="Times New Roman" w:hAnsi="Times New Roman"/>
          <w:bCs/>
          <w:iCs/>
        </w:rPr>
        <w:t xml:space="preserve">bispyribac Na 25 g </w:t>
      </w:r>
      <w:r>
        <w:rPr>
          <w:rFonts w:ascii="Times New Roman" w:hAnsi="Times New Roman"/>
          <w:bCs/>
          <w:i/>
        </w:rPr>
        <w:t>a.i.</w:t>
      </w:r>
      <w:r>
        <w:rPr>
          <w:rFonts w:ascii="Times New Roman" w:hAnsi="Times New Roman"/>
          <w:bCs/>
          <w:iCs/>
        </w:rPr>
        <w:t xml:space="preserve"> ha</w:t>
      </w:r>
      <w:r>
        <w:rPr>
          <w:rFonts w:ascii="Times New Roman" w:hAnsi="Times New Roman"/>
          <w:bCs/>
          <w:iCs/>
          <w:vertAlign w:val="superscript"/>
        </w:rPr>
        <w:t>-1</w:t>
      </w:r>
      <w:r>
        <w:rPr>
          <w:rFonts w:ascii="Times New Roman" w:hAnsi="Times New Roman"/>
          <w:bCs/>
          <w:iCs/>
        </w:rPr>
        <w:t>. Nutrient content and removal by weed were lowest in wheat residue as mulch (4 t ha</w:t>
      </w:r>
      <w:r>
        <w:rPr>
          <w:rFonts w:ascii="Times New Roman" w:hAnsi="Times New Roman"/>
          <w:bCs/>
          <w:iCs/>
          <w:vertAlign w:val="superscript"/>
        </w:rPr>
        <w:t>-1</w:t>
      </w:r>
      <w:r>
        <w:rPr>
          <w:rFonts w:ascii="Times New Roman" w:hAnsi="Times New Roman"/>
          <w:bCs/>
          <w:iCs/>
        </w:rPr>
        <w:t xml:space="preserve">) </w:t>
      </w:r>
      <w:r>
        <w:rPr>
          <w:rFonts w:ascii="Times New Roman" w:hAnsi="Times New Roman"/>
          <w:bCs/>
          <w:i/>
        </w:rPr>
        <w:t xml:space="preserve">fb </w:t>
      </w:r>
      <w:r>
        <w:rPr>
          <w:rFonts w:ascii="Times New Roman" w:hAnsi="Times New Roman"/>
          <w:bCs/>
          <w:iCs/>
        </w:rPr>
        <w:t xml:space="preserve">bispyribac Na 25 g </w:t>
      </w:r>
      <w:r>
        <w:rPr>
          <w:rFonts w:ascii="Times New Roman" w:hAnsi="Times New Roman"/>
          <w:bCs/>
          <w:i/>
        </w:rPr>
        <w:t>a.i.</w:t>
      </w:r>
      <w:r>
        <w:rPr>
          <w:rFonts w:ascii="Times New Roman" w:hAnsi="Times New Roman"/>
          <w:bCs/>
          <w:iCs/>
        </w:rPr>
        <w:t xml:space="preserve"> ha</w:t>
      </w:r>
      <w:r>
        <w:rPr>
          <w:rFonts w:ascii="Times New Roman" w:hAnsi="Times New Roman"/>
          <w:bCs/>
          <w:iCs/>
          <w:vertAlign w:val="superscript"/>
        </w:rPr>
        <w:t>-1</w:t>
      </w:r>
      <w:r>
        <w:rPr>
          <w:rFonts w:ascii="Times New Roman" w:hAnsi="Times New Roman"/>
          <w:bCs/>
          <w:iCs/>
        </w:rPr>
        <w:t xml:space="preserve"> (2-4 leaf stage of weed), whereas, it was recorded highest in weedy check.</w:t>
      </w:r>
    </w:p>
    <w:p w14:paraId="412156E6">
      <w:pPr>
        <w:pStyle w:val="15"/>
        <w:spacing w:before="60" w:after="60"/>
        <w:ind w:left="2160" w:right="720" w:hanging="1440"/>
        <w:jc w:val="both"/>
        <w:rPr>
          <w:rFonts w:ascii="Times New Roman" w:hAnsi="Times New Roman" w:cs="Times New Roman"/>
        </w:rPr>
      </w:pPr>
      <w:r>
        <w:rPr>
          <w:rFonts w:ascii="Times New Roman" w:hAnsi="Times New Roman" w:cs="Times New Roman"/>
          <w:b/>
          <w:bCs/>
        </w:rPr>
        <w:t>Key words</w:t>
      </w:r>
      <w:r>
        <w:rPr>
          <w:rFonts w:ascii="Times New Roman" w:hAnsi="Times New Roman" w:cs="Times New Roman"/>
          <w:b/>
          <w:bCs/>
        </w:rPr>
        <w:tab/>
      </w:r>
      <w:r>
        <w:rPr>
          <w:rFonts w:ascii="Times New Roman" w:hAnsi="Times New Roman" w:cs="Times New Roman"/>
        </w:rPr>
        <w:t>Direct seeded rice, FYM, NPK, weed control efficiency, weed index</w:t>
      </w:r>
    </w:p>
    <w:p w14:paraId="6ACB70FB">
      <w:pPr>
        <w:pStyle w:val="15"/>
        <w:spacing w:before="60" w:after="60"/>
        <w:ind w:left="2160" w:right="720" w:hanging="1440"/>
        <w:jc w:val="both"/>
        <w:rPr>
          <w:rFonts w:ascii="Times New Roman" w:hAnsi="Times New Roman" w:cs="Times New Roman"/>
        </w:rPr>
      </w:pPr>
    </w:p>
    <w:p w14:paraId="1A154DDA">
      <w:pPr>
        <w:pStyle w:val="15"/>
        <w:spacing w:before="60" w:after="60"/>
        <w:ind w:left="2160" w:right="720" w:hanging="1440"/>
        <w:jc w:val="both"/>
        <w:rPr>
          <w:rFonts w:ascii="Times New Roman" w:hAnsi="Times New Roman" w:cs="Times New Roman"/>
        </w:rPr>
      </w:pPr>
    </w:p>
    <w:p w14:paraId="5F5045D6">
      <w:pPr>
        <w:pStyle w:val="15"/>
        <w:spacing w:before="60" w:after="60"/>
        <w:ind w:left="2160" w:right="720" w:hanging="1440"/>
        <w:jc w:val="both"/>
        <w:rPr>
          <w:rFonts w:ascii="Times New Roman" w:hAnsi="Times New Roman" w:cs="Times New Roman"/>
        </w:rPr>
      </w:pPr>
    </w:p>
    <w:p w14:paraId="760620D3">
      <w:pPr>
        <w:pStyle w:val="15"/>
        <w:spacing w:before="100" w:beforeAutospacing="1" w:after="100" w:afterAutospacing="1"/>
        <w:jc w:val="both"/>
        <w:rPr>
          <w:rFonts w:ascii="Times New Roman" w:hAnsi="Times New Roman" w:cs="Times New Roman"/>
        </w:rPr>
      </w:pPr>
      <w:r>
        <w:rPr>
          <w:rFonts w:ascii="Times New Roman" w:hAnsi="Times New Roman" w:cs="Times New Roman"/>
          <w:b/>
          <w:bCs/>
        </w:rPr>
        <w:t>INTRODUCTION</w:t>
      </w:r>
    </w:p>
    <w:p w14:paraId="7D59C41C">
      <w:pPr>
        <w:pStyle w:val="15"/>
        <w:spacing w:before="100" w:beforeAutospacing="1" w:after="100" w:afterAutospacing="1"/>
        <w:ind w:firstLine="720"/>
        <w:jc w:val="both"/>
        <w:rPr>
          <w:rFonts w:ascii="Times New Roman" w:hAnsi="Times New Roman" w:cs="Times New Roman"/>
          <w:color w:val="auto"/>
        </w:rPr>
      </w:pPr>
      <w:r>
        <w:rPr>
          <w:rFonts w:ascii="Times New Roman" w:hAnsi="Times New Roman" w:cs="Times New Roman"/>
        </w:rPr>
        <w:t>Rice (</w:t>
      </w:r>
      <w:r>
        <w:rPr>
          <w:rFonts w:ascii="Times New Roman" w:hAnsi="Times New Roman" w:cs="Times New Roman"/>
          <w:i/>
        </w:rPr>
        <w:t>Oryza sativa</w:t>
      </w:r>
      <w:r>
        <w:rPr>
          <w:rFonts w:ascii="Times New Roman" w:hAnsi="Times New Roman" w:cs="Times New Roman"/>
        </w:rPr>
        <w:t xml:space="preserve"> L.) is a second most important cereal crop after wheat grown widely over 161 million ha in more than 100 countries in the world</w:t>
      </w:r>
      <w:r>
        <w:rPr>
          <w:rFonts w:ascii="Times New Roman" w:hAnsi="Times New Roman" w:cs="Times New Roman"/>
          <w:vertAlign w:val="superscript"/>
        </w:rPr>
        <w:t xml:space="preserve"> </w:t>
      </w:r>
      <w:r>
        <w:rPr>
          <w:rFonts w:ascii="Times New Roman" w:hAnsi="Times New Roman" w:cs="Times New Roman"/>
        </w:rPr>
        <w:t xml:space="preserve">(FAO, 2020). It is the staple food crop for people in South, Southeast, and East Asia, which produce and consume approximately 90% of the global rice (FAO, 2017). </w:t>
      </w:r>
      <w:bookmarkStart w:id="0" w:name="_Hlk134726613"/>
      <w:r>
        <w:rPr>
          <w:rFonts w:ascii="Times New Roman" w:hAnsi="Times New Roman" w:cs="Times New Roman"/>
        </w:rPr>
        <w:t>India is the second largest rice producer in the world next to China, which occupies an area of 43.2 Mha (million hectare) and produces 110.15 Mt (million tonnes) with a productivity of 2550 kg ha</w:t>
      </w:r>
      <w:r>
        <w:rPr>
          <w:rFonts w:ascii="Times New Roman" w:hAnsi="Times New Roman" w:cs="Times New Roman"/>
          <w:vertAlign w:val="superscript"/>
        </w:rPr>
        <w:t>-1</w:t>
      </w:r>
      <w:r>
        <w:rPr>
          <w:rFonts w:ascii="Times New Roman" w:hAnsi="Times New Roman" w:cs="Times New Roman"/>
        </w:rPr>
        <w:t xml:space="preserve"> (GOI, 2018). </w:t>
      </w:r>
      <w:bookmarkEnd w:id="0"/>
      <w:r>
        <w:rPr>
          <w:rFonts w:ascii="Times New Roman" w:hAnsi="Times New Roman" w:cs="Times New Roman"/>
          <w:color w:val="auto"/>
        </w:rPr>
        <w:t>However, the projected demand for rice will be 121.2 million tonnes by 2030 and 137.3 million tonnes by 2050 for internal consumption only. To fulfil the requirement, the productivity of rice has to be brought to the level of 3.3 tonnes ha</w:t>
      </w:r>
      <w:r>
        <w:rPr>
          <w:rFonts w:ascii="Times New Roman" w:hAnsi="Times New Roman" w:cs="Times New Roman"/>
          <w:color w:val="auto"/>
          <w:vertAlign w:val="superscript"/>
        </w:rPr>
        <w:t>-1</w:t>
      </w:r>
      <w:r>
        <w:rPr>
          <w:rFonts w:ascii="Times New Roman" w:hAnsi="Times New Roman" w:cs="Times New Roman"/>
          <w:color w:val="auto"/>
        </w:rPr>
        <w:t xml:space="preserve">, which is only 2.4 tonnes at present (CRRI, 2013). </w:t>
      </w:r>
    </w:p>
    <w:p w14:paraId="1EE75479">
      <w:pPr>
        <w:pStyle w:val="15"/>
        <w:spacing w:before="100" w:beforeAutospacing="1" w:after="100" w:afterAutospacing="1"/>
        <w:ind w:firstLine="720"/>
        <w:jc w:val="both"/>
        <w:rPr>
          <w:rFonts w:ascii="Times New Roman" w:hAnsi="Times New Roman" w:cs="Times New Roman"/>
        </w:rPr>
      </w:pPr>
      <w:r>
        <w:rPr>
          <w:rFonts w:ascii="Times New Roman" w:hAnsi="Times New Roman" w:cs="Times New Roman"/>
        </w:rPr>
        <w:t>Direct seeded rice has several advantages over puddled transplanted rice. However, certain biotic and abiotic stresses challenge the widespread adoption of DSR. Among all biotic constraints, weeds and nutrient are the major obstacles that reduce productivity, profitability as well as the sustainability of DSR (Chauhan 2012b).</w:t>
      </w:r>
      <w:r>
        <w:rPr>
          <w:rFonts w:ascii="Times New Roman" w:hAnsi="Times New Roman" w:cs="Times New Roman"/>
          <w:kern w:val="24"/>
        </w:rPr>
        <w:t xml:space="preserve"> The magnitude of the problem can be ascertained with the following examples </w:t>
      </w:r>
      <w:r>
        <w:rPr>
          <w:rFonts w:ascii="Times New Roman" w:hAnsi="Times New Roman" w:cs="Times New Roman"/>
          <w:i/>
          <w:kern w:val="24"/>
        </w:rPr>
        <w:t>ie</w:t>
      </w:r>
      <w:r>
        <w:rPr>
          <w:rFonts w:ascii="Times New Roman" w:hAnsi="Times New Roman" w:cs="Times New Roman"/>
          <w:kern w:val="24"/>
        </w:rPr>
        <w:t xml:space="preserve">., in India, about 33% of rice yield losses are caused by weeds (Mukherjee, 2004), while in Sri Lanka, weeds accounted for 30-40% of yield losses (Abeysekera, 2001). Globally, rice production, about 10% of the total yield is reduced by weeds (Oerke and Dehne, 2004). Despite, yield losses, weeds also deplete plant nutrients from soil in large quantity </w:t>
      </w:r>
      <w:commentRangeStart w:id="2"/>
      <w:r>
        <w:rPr>
          <w:rFonts w:ascii="Times New Roman" w:hAnsi="Times New Roman" w:cs="Times New Roman"/>
          <w:kern w:val="24"/>
        </w:rPr>
        <w:t>have been</w:t>
      </w:r>
      <w:commentRangeEnd w:id="2"/>
      <w:r>
        <w:commentReference w:id="2"/>
      </w:r>
      <w:r>
        <w:rPr>
          <w:rFonts w:ascii="Times New Roman" w:hAnsi="Times New Roman" w:cs="Times New Roman"/>
          <w:kern w:val="24"/>
        </w:rPr>
        <w:t xml:space="preserve"> reported by many researcher (Brar and Bhullar, 2013). Therefore,</w:t>
      </w:r>
      <w:r>
        <w:rPr>
          <w:rFonts w:ascii="Times New Roman" w:hAnsi="Times New Roman" w:cs="Times New Roman"/>
        </w:rPr>
        <w:t xml:space="preserve"> effective and prompt weed management is essential for higher productivity in DSR. This, in turns requires a good understanding about critical period of crop-weed competition. The critical period of crop-weed competition represents the time interval between the two distinct components: (i) the length of time crop must be free of weed after planting so that later-emerging weeds do not reduce yield, and (ii) the length of time weeds which emerge with the crop can remain before they begin to interfere with crop growth (Ghosheh et al., 1996). Weed interference beyond “critical period” had a little or negligible effect on crop yield. Therefore, weed management during “critical period” is crucial to avoid substantial losses in crop yield (Weaver, 1984). This may be achieved by removing weed at the commencement of the crop-weed competition or keeping the crop weed free until the end of the critical period (Woolley et al., 1993). Adoption of multi tactics approach for weed management is the better option for sustainable production of direct seeded rice. Keeping these facts in view, the present investigation was carried out to study the effect of integrated nitrogen and weed management on weeds in dry direct seeded rice.</w:t>
      </w:r>
    </w:p>
    <w:p w14:paraId="2BDBABE4">
      <w:pPr>
        <w:pStyle w:val="15"/>
        <w:jc w:val="both"/>
        <w:rPr>
          <w:rFonts w:ascii="Times New Roman" w:hAnsi="Times New Roman" w:cs="Times New Roman"/>
          <w:b/>
          <w:bCs/>
        </w:rPr>
      </w:pPr>
    </w:p>
    <w:p w14:paraId="24636D23">
      <w:pPr>
        <w:pStyle w:val="15"/>
        <w:jc w:val="both"/>
        <w:rPr>
          <w:rFonts w:ascii="Times New Roman" w:hAnsi="Times New Roman" w:cs="Times New Roman"/>
          <w:b/>
          <w:bCs/>
        </w:rPr>
      </w:pPr>
    </w:p>
    <w:p w14:paraId="41E44560">
      <w:pPr>
        <w:pStyle w:val="15"/>
        <w:jc w:val="both"/>
        <w:rPr>
          <w:rFonts w:ascii="Times New Roman" w:hAnsi="Times New Roman" w:cs="Times New Roman"/>
          <w:b/>
          <w:bCs/>
        </w:rPr>
      </w:pPr>
      <w:r>
        <w:rPr>
          <w:rFonts w:ascii="Times New Roman" w:hAnsi="Times New Roman" w:cs="Times New Roman"/>
          <w:b/>
          <w:bCs/>
        </w:rPr>
        <w:t>MATERIALS AND METHODS</w:t>
      </w:r>
    </w:p>
    <w:p w14:paraId="3D037872">
      <w:pPr>
        <w:autoSpaceDE w:val="0"/>
        <w:autoSpaceDN w:val="0"/>
        <w:adjustRightInd w:val="0"/>
        <w:spacing w:after="0" w:line="240" w:lineRule="auto"/>
        <w:ind w:firstLine="720"/>
        <w:jc w:val="both"/>
        <w:rPr>
          <w:rFonts w:ascii="Times New Roman" w:hAnsi="Times New Roman" w:cs="Times New Roman"/>
          <w:sz w:val="24"/>
          <w:szCs w:val="24"/>
          <w:lang w:bidi="hi-IN"/>
        </w:rPr>
      </w:pPr>
      <w:r>
        <w:rPr>
          <w:rFonts w:ascii="Times New Roman" w:hAnsi="Times New Roman" w:cs="Times New Roman"/>
          <w:sz w:val="24"/>
          <w:szCs w:val="24"/>
        </w:rPr>
        <w:t>The field trial was conducted during the kharif season (June to October) 2019-20 and 2020-21 to study the effect of different weed and nitrogen management practices on crop- weed competition in direct seeded rice. The experiment was laid out at Agricultural Research Farm, Banaras Hindu University, Varanasi (50 18'N latitude and 880 03'E longitude, 76 m AMSL) under an assured irrigation facility. The region falls under a semi-arid to sub- humid climate, having a mean annual rainfall and potential evapotranspiration (PET) of 1102.4 mm and 1550 mm, respectively, with a moisture deficit index ranging between -20 to -40. The experimental site was homogeneous in fertility with levelled topography, uniform textural class (sandy clay loam) classified as Typic Ustochrept. A proper channel was provided in order to meet crop water requirements and remove the excess water, if any, during the investigation. The field of the trial remained the same during both years of investigation. The initial Physico-chemical properties of the experimental site were low in available nitrogen (</w:t>
      </w:r>
      <w:r>
        <w:rPr>
          <w:rFonts w:ascii="Times New Roman" w:hAnsi="Times New Roman" w:eastAsia="Times New Roman" w:cs="Times New Roman"/>
          <w:sz w:val="24"/>
          <w:szCs w:val="24"/>
        </w:rPr>
        <w:t xml:space="preserve">172.25 </w:t>
      </w: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 and medium in available phosphorus (</w:t>
      </w:r>
      <w:r>
        <w:rPr>
          <w:rFonts w:ascii="Times New Roman" w:hAnsi="Times New Roman" w:eastAsia="Times New Roman" w:cs="Times New Roman"/>
          <w:sz w:val="24"/>
          <w:szCs w:val="24"/>
        </w:rPr>
        <w:t xml:space="preserve">14.76 </w:t>
      </w: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 and potassium (</w:t>
      </w:r>
      <w:r>
        <w:rPr>
          <w:rFonts w:ascii="Times New Roman" w:hAnsi="Times New Roman" w:eastAsia="Times New Roman" w:cs="Times New Roman"/>
          <w:sz w:val="24"/>
          <w:szCs w:val="24"/>
        </w:rPr>
        <w:t xml:space="preserve">196.36 </w:t>
      </w: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59FC6B3C">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eastAsia="Arial Unicode MS" w:cs="Times New Roman"/>
          <w:sz w:val="24"/>
          <w:szCs w:val="24"/>
        </w:rPr>
        <w:t xml:space="preserve">The experiment was laid out in split plot design comprising of four integrated nitrogen management </w:t>
      </w:r>
      <w:r>
        <w:rPr>
          <w:rFonts w:ascii="Times New Roman" w:hAnsi="Times New Roman" w:eastAsia="Arial Unicode MS" w:cs="Times New Roman"/>
          <w:i/>
          <w:sz w:val="24"/>
          <w:szCs w:val="24"/>
        </w:rPr>
        <w:t>viz</w:t>
      </w:r>
      <w:r>
        <w:rPr>
          <w:rFonts w:ascii="Times New Roman" w:hAnsi="Times New Roman" w:eastAsia="Arial Unicode MS" w:cs="Times New Roman"/>
          <w:sz w:val="24"/>
          <w:szCs w:val="24"/>
        </w:rPr>
        <w:t>.,</w:t>
      </w:r>
      <w:r>
        <w:rPr>
          <w:rFonts w:ascii="Times New Roman" w:hAnsi="Times New Roman" w:eastAsia="Calibri"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Times New Roman" w:hAnsi="Times New Roman"/>
          <w:bCs/>
          <w:color w:val="000000"/>
          <w:sz w:val="24"/>
          <w:szCs w:val="24"/>
        </w:rPr>
        <w:t>Control (only P and K)</w:t>
      </w:r>
      <w:r>
        <w:rPr>
          <w:rFonts w:ascii="Times New Roman" w:hAnsi="Times New Roman" w:cs="Times New Roman"/>
          <w:sz w:val="24"/>
          <w:szCs w:val="24"/>
        </w:rPr>
        <w:t>, N</w:t>
      </w:r>
      <w:r>
        <w:rPr>
          <w:rFonts w:ascii="Times New Roman" w:hAnsi="Times New Roman" w:cs="Times New Roman"/>
          <w:sz w:val="24"/>
          <w:szCs w:val="24"/>
          <w:vertAlign w:val="subscript"/>
        </w:rPr>
        <w:t>1</w:t>
      </w:r>
      <w:r>
        <w:rPr>
          <w:rFonts w:ascii="Times New Roman" w:hAnsi="Times New Roman" w:cs="Times New Roman"/>
          <w:sz w:val="24"/>
          <w:szCs w:val="24"/>
        </w:rPr>
        <w:t xml:space="preserve"> (100% </w:t>
      </w:r>
      <w:r>
        <w:rPr>
          <w:rFonts w:ascii="Times New Roman" w:hAnsi="Times New Roman"/>
          <w:bCs/>
          <w:color w:val="000000"/>
          <w:sz w:val="24"/>
          <w:szCs w:val="24"/>
        </w:rPr>
        <w:t>RDN inorganic)</w:t>
      </w:r>
      <w:r>
        <w:rPr>
          <w:rFonts w:ascii="Times New Roman" w:hAnsi="Times New Roman" w:cs="Times New Roman"/>
          <w:sz w:val="24"/>
          <w:szCs w:val="24"/>
        </w:rPr>
        <w:t>, N</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bCs/>
          <w:color w:val="000000"/>
          <w:sz w:val="24"/>
          <w:szCs w:val="24"/>
        </w:rPr>
        <w:t>75% RDN through Inorganic + 25% through FYM)</w:t>
      </w:r>
      <w:r>
        <w:rPr>
          <w:rFonts w:ascii="Times New Roman" w:hAnsi="Times New Roman" w:cs="Times New Roman"/>
          <w:sz w:val="24"/>
          <w:szCs w:val="24"/>
        </w:rPr>
        <w:t>, N</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bCs/>
          <w:color w:val="000000"/>
          <w:sz w:val="24"/>
          <w:szCs w:val="24"/>
        </w:rPr>
        <w:t>75% RDN (Inorganic) + 25% through Vermicompost)</w:t>
      </w:r>
      <w:r>
        <w:rPr>
          <w:rFonts w:ascii="Times New Roman" w:hAnsi="Times New Roman" w:cs="Times New Roman"/>
          <w:sz w:val="24"/>
          <w:szCs w:val="24"/>
        </w:rPr>
        <w:t xml:space="preserve"> in main plots and five weed management practices </w:t>
      </w:r>
      <w:r>
        <w:rPr>
          <w:rFonts w:ascii="Times New Roman" w:hAnsi="Times New Roman" w:cs="Times New Roman"/>
          <w:i/>
          <w:iCs/>
          <w:sz w:val="24"/>
          <w:szCs w:val="24"/>
        </w:rPr>
        <w:t>viz.,</w:t>
      </w:r>
      <w:r>
        <w:rPr>
          <w:rFonts w:ascii="Times New Roman" w:hAnsi="Times New Roman" w:cs="Times New Roman"/>
          <w:sz w:val="24"/>
          <w:szCs w:val="24"/>
        </w:rPr>
        <w:t xml:space="preserve"> </w:t>
      </w:r>
      <w:r>
        <w:rPr>
          <w:rFonts w:ascii="Times New Roman" w:hAnsi="Times New Roman" w:cs="Times New Roman"/>
          <w:sz w:val="24"/>
          <w:szCs w:val="24"/>
          <w:lang w:bidi="hi-IN"/>
        </w:rPr>
        <w:t>W</w:t>
      </w:r>
      <w:r>
        <w:rPr>
          <w:rFonts w:ascii="Times New Roman" w:hAnsi="Times New Roman" w:cs="Times New Roman"/>
          <w:sz w:val="24"/>
          <w:szCs w:val="24"/>
          <w:vertAlign w:val="subscript"/>
          <w:lang w:bidi="hi-IN"/>
        </w:rPr>
        <w:t>0</w:t>
      </w:r>
      <w:r>
        <w:rPr>
          <w:rFonts w:ascii="Times New Roman" w:hAnsi="Times New Roman" w:cs="Times New Roman"/>
          <w:sz w:val="24"/>
          <w:szCs w:val="24"/>
          <w:lang w:bidi="hi-IN"/>
        </w:rPr>
        <w:t xml:space="preserve"> (Weedy check)</w:t>
      </w:r>
      <w:r>
        <w:rPr>
          <w:rFonts w:ascii="Times New Roman" w:hAnsi="Times New Roman" w:cs="Times New Roman"/>
          <w:sz w:val="24"/>
          <w:szCs w:val="24"/>
        </w:rPr>
        <w:t xml:space="preserve">, </w:t>
      </w:r>
      <w:r>
        <w:rPr>
          <w:rFonts w:ascii="Times New Roman" w:hAnsi="Times New Roman" w:cs="Times New Roman"/>
          <w:sz w:val="24"/>
          <w:szCs w:val="24"/>
          <w:lang w:bidi="hi-IN"/>
        </w:rPr>
        <w:t>W</w:t>
      </w:r>
      <w:r>
        <w:rPr>
          <w:rFonts w:ascii="Times New Roman" w:hAnsi="Times New Roman" w:cs="Times New Roman"/>
          <w:sz w:val="24"/>
          <w:szCs w:val="24"/>
          <w:vertAlign w:val="subscript"/>
          <w:lang w:bidi="hi-IN"/>
        </w:rPr>
        <w:t>1</w:t>
      </w:r>
      <w:r>
        <w:rPr>
          <w:rFonts w:ascii="Times New Roman" w:hAnsi="Times New Roman" w:cs="Times New Roman"/>
          <w:sz w:val="24"/>
          <w:szCs w:val="24"/>
          <w:lang w:bidi="hi-IN"/>
        </w:rPr>
        <w:t xml:space="preserve"> (Two </w:t>
      </w:r>
      <w:r>
        <w:rPr>
          <w:rFonts w:ascii="Times New Roman" w:hAnsi="Times New Roman" w:cs="Times New Roman"/>
          <w:bCs/>
          <w:sz w:val="24"/>
          <w:szCs w:val="24"/>
        </w:rPr>
        <w:t>hand weeding at 20 and 40 DAS)</w:t>
      </w:r>
      <w:r>
        <w:rPr>
          <w:rFonts w:ascii="Times New Roman" w:hAnsi="Times New Roman" w:cs="Times New Roman"/>
          <w:sz w:val="24"/>
          <w:szCs w:val="24"/>
        </w:rPr>
        <w:t>, W</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r>
        <w:rPr>
          <w:rFonts w:ascii="Times New Roman" w:hAnsi="Times New Roman" w:cs="Times New Roman"/>
          <w:i/>
          <w:iCs/>
          <w:sz w:val="24"/>
          <w:szCs w:val="24"/>
        </w:rPr>
        <w:t>Sesbania</w:t>
      </w:r>
      <w:r>
        <w:rPr>
          <w:rFonts w:ascii="Times New Roman" w:hAnsi="Times New Roman" w:cs="Times New Roman"/>
          <w:sz w:val="24"/>
          <w:szCs w:val="24"/>
        </w:rPr>
        <w:t xml:space="preserve"> co-culture up to 30 days), </w:t>
      </w:r>
      <w:r>
        <w:rPr>
          <w:rFonts w:ascii="Times New Roman" w:hAnsi="Times New Roman" w:cs="Times New Roman"/>
          <w:sz w:val="24"/>
          <w:szCs w:val="24"/>
          <w:lang w:bidi="hi-IN"/>
        </w:rPr>
        <w:t>W</w:t>
      </w:r>
      <w:r>
        <w:rPr>
          <w:rFonts w:ascii="Times New Roman" w:hAnsi="Times New Roman" w:cs="Times New Roman"/>
          <w:sz w:val="24"/>
          <w:szCs w:val="24"/>
          <w:vertAlign w:val="subscript"/>
          <w:lang w:bidi="hi-IN"/>
        </w:rPr>
        <w:t>3</w:t>
      </w:r>
      <w:r>
        <w:rPr>
          <w:rFonts w:ascii="Times New Roman" w:hAnsi="Times New Roman" w:cs="Times New Roman"/>
          <w:sz w:val="24"/>
          <w:szCs w:val="24"/>
          <w:lang w:bidi="hi-IN"/>
        </w:rPr>
        <w:t xml:space="preserve"> (wheat straw mulching 4 t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w:t>
      </w:r>
      <w:r>
        <w:rPr>
          <w:rFonts w:ascii="Times New Roman" w:hAnsi="Times New Roman" w:cs="Times New Roman"/>
          <w:i/>
          <w:iCs/>
          <w:sz w:val="24"/>
          <w:szCs w:val="24"/>
          <w:lang w:bidi="hi-IN"/>
        </w:rPr>
        <w:t>followed by</w:t>
      </w:r>
      <w:r>
        <w:rPr>
          <w:rFonts w:ascii="Times New Roman" w:hAnsi="Times New Roman" w:cs="Times New Roman"/>
          <w:sz w:val="24"/>
          <w:szCs w:val="24"/>
          <w:lang w:bidi="hi-IN"/>
        </w:rPr>
        <w:t xml:space="preserve"> bispyribac Na 25 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at 2-4 leaves stage of weed), and W</w:t>
      </w:r>
      <w:r>
        <w:rPr>
          <w:rFonts w:ascii="Times New Roman" w:hAnsi="Times New Roman" w:cs="Times New Roman"/>
          <w:sz w:val="24"/>
          <w:szCs w:val="24"/>
          <w:vertAlign w:val="subscript"/>
          <w:lang w:bidi="hi-IN"/>
        </w:rPr>
        <w:t>4</w:t>
      </w:r>
      <w:r>
        <w:rPr>
          <w:rFonts w:ascii="Times New Roman" w:hAnsi="Times New Roman" w:cs="Times New Roman"/>
          <w:sz w:val="24"/>
          <w:szCs w:val="24"/>
          <w:lang w:bidi="hi-IN"/>
        </w:rPr>
        <w:t xml:space="preserve"> (pendimethalin 1 kg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at pre-emergence (PE) </w:t>
      </w:r>
      <w:r>
        <w:rPr>
          <w:rFonts w:ascii="Times New Roman" w:hAnsi="Times New Roman" w:cs="Times New Roman"/>
          <w:i/>
          <w:iCs/>
          <w:sz w:val="24"/>
          <w:szCs w:val="24"/>
          <w:lang w:bidi="hi-IN"/>
        </w:rPr>
        <w:t>fb</w:t>
      </w:r>
      <w:r>
        <w:rPr>
          <w:rFonts w:ascii="Times New Roman" w:hAnsi="Times New Roman" w:cs="Times New Roman"/>
          <w:sz w:val="24"/>
          <w:szCs w:val="24"/>
          <w:lang w:bidi="hi-IN"/>
        </w:rPr>
        <w:t xml:space="preserve"> </w:t>
      </w:r>
      <w:r>
        <w:rPr>
          <w:rFonts w:ascii="Times New Roman" w:hAnsi="Times New Roman" w:cs="Times New Roman"/>
          <w:sz w:val="24"/>
          <w:szCs w:val="24"/>
        </w:rPr>
        <w:t>bispyribac Na at 25 g a.i. ha</w:t>
      </w:r>
      <w:r>
        <w:rPr>
          <w:rFonts w:ascii="Times New Roman" w:hAnsi="Times New Roman" w:cs="Times New Roman"/>
          <w:sz w:val="24"/>
          <w:szCs w:val="24"/>
          <w:vertAlign w:val="superscript"/>
        </w:rPr>
        <w:t>-1</w:t>
      </w:r>
      <w:r>
        <w:rPr>
          <w:rFonts w:ascii="Times New Roman" w:hAnsi="Times New Roman" w:cs="Times New Roman"/>
          <w:sz w:val="24"/>
          <w:szCs w:val="24"/>
          <w:lang w:bidi="hi-IN"/>
        </w:rPr>
        <w:t xml:space="preserve"> at 2-4 leaves stage weed) in subplots and replicated thrice. </w:t>
      </w:r>
      <w:r>
        <w:rPr>
          <w:rFonts w:ascii="Times New Roman" w:hAnsi="Times New Roman" w:cs="Times New Roman"/>
          <w:color w:val="000000"/>
          <w:sz w:val="24"/>
          <w:szCs w:val="24"/>
        </w:rPr>
        <w:t>Rice variety HUR-105 was sown in lines at a seed rate of 60 kg ha</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at 20 cm row spacing with solid row planting on 17</w:t>
      </w:r>
      <w:r>
        <w:rPr>
          <w:rFonts w:ascii="Times New Roman" w:hAnsi="Times New Roman" w:cs="Times New Roman"/>
          <w:color w:val="000000"/>
          <w:sz w:val="24"/>
          <w:szCs w:val="24"/>
          <w:vertAlign w:val="superscript"/>
        </w:rPr>
        <w:t xml:space="preserve">th </w:t>
      </w:r>
      <w:r>
        <w:rPr>
          <w:rFonts w:ascii="Times New Roman" w:hAnsi="Times New Roman" w:cs="Times New Roman"/>
          <w:color w:val="000000"/>
          <w:sz w:val="24"/>
          <w:szCs w:val="24"/>
        </w:rPr>
        <w:t>and 26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July in 2019 and 2020, respectively. </w:t>
      </w:r>
      <w:r>
        <w:rPr>
          <w:rFonts w:ascii="Times New Roman" w:hAnsi="Times New Roman" w:cs="Times New Roman"/>
          <w:sz w:val="24"/>
          <w:szCs w:val="24"/>
        </w:rPr>
        <w:t>The required quantities of fertilizers were calculated separately as per recommended dose (150-60-60-25kg NPKZn ha</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and applied in the form of urea, single super phosphate, muriate of potash and zinc sulphate, respectively for each plot. The quantity of FYM and vermicompost was calculated on the basis of their nitrogen content on dry weight basis separately for each treatment. Half dose of nitrogen and full doses of P, K and Zn were applied at the time of sowing. The rest half of the nitrogen was divided in two equal splits and top dressed at maximum tillering and panicle initiation stage in the form of urea. </w:t>
      </w:r>
      <w:r>
        <w:rPr>
          <w:rFonts w:ascii="Times New Roman" w:hAnsi="Times New Roman" w:cs="Times New Roman"/>
          <w:color w:val="000000"/>
          <w:sz w:val="24"/>
          <w:szCs w:val="24"/>
        </w:rPr>
        <w:t>The required amount of pre-emergence and post-emergence herbicides was sprayed as per the treatment using spray volume of 600 litres of water ha</w:t>
      </w: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 xml:space="preserve">with the help of knap sack sprayer fitted with flat fan nozzle. </w:t>
      </w:r>
    </w:p>
    <w:p w14:paraId="05FE5FA9">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weed samples were collected and levelled according to the treatments for chemical estimation of N, P and K content. The collected samples were dried in oven at 70 ± 5 </w:t>
      </w:r>
      <w:r>
        <w:rPr>
          <w:rFonts w:ascii="Times New Roman" w:hAnsi="Times New Roman" w:cs="Times New Roman"/>
          <w:sz w:val="24"/>
          <w:szCs w:val="24"/>
          <w:lang w:bidi="hi-IN"/>
        </w:rPr>
        <w:t>℃</w:t>
      </w:r>
      <w:r>
        <w:rPr>
          <w:rFonts w:ascii="Times New Roman" w:hAnsi="Times New Roman" w:cs="Times New Roman"/>
          <w:sz w:val="24"/>
          <w:szCs w:val="24"/>
        </w:rPr>
        <w:t xml:space="preserve"> for 48 hours and then grounded thoroughly in a grinder and pass through 40 mesh sieves with all due care of any admixture. The powdered samples were collected in zipped polythene bags with marks and numbering for identification and used for chemical analyses. Nitrogen, phosphorus, potassium, content in crops and weeds were analyzed as per standard procedure (Table 1)-</w:t>
      </w:r>
    </w:p>
    <w:p w14:paraId="4B13D985">
      <w:pPr>
        <w:rPr>
          <w:rFonts w:ascii="Times New Roman" w:hAnsi="Times New Roman" w:cs="Times New Roman"/>
          <w:b/>
          <w:sz w:val="24"/>
          <w:szCs w:val="24"/>
        </w:rPr>
      </w:pPr>
      <w:r>
        <w:rPr>
          <w:rFonts w:ascii="Times New Roman" w:hAnsi="Times New Roman" w:cs="Times New Roman"/>
          <w:b/>
          <w:sz w:val="24"/>
          <w:szCs w:val="24"/>
        </w:rPr>
        <w:br w:type="page"/>
      </w:r>
    </w:p>
    <w:p w14:paraId="0AA8951D">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Pr>
          <w:rFonts w:ascii="Times New Roman" w:hAnsi="Times New Roman" w:cs="Times New Roman"/>
          <w:bCs/>
          <w:sz w:val="24"/>
          <w:szCs w:val="24"/>
        </w:rPr>
        <w:t>Methods of plant chemical analysis</w:t>
      </w:r>
    </w:p>
    <w:tbl>
      <w:tblPr>
        <w:tblStyle w:val="1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8"/>
        <w:gridCol w:w="4228"/>
        <w:gridCol w:w="2476"/>
      </w:tblGrid>
      <w:tr w14:paraId="1903D3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Borders>
              <w:top w:val="single" w:color="auto" w:sz="4" w:space="0"/>
              <w:bottom w:val="single" w:color="auto" w:sz="4" w:space="0"/>
              <w:tl2br w:val="nil"/>
              <w:tr2bl w:val="nil"/>
            </w:tcBorders>
            <w:shd w:val="clear" w:color="auto" w:fill="auto"/>
          </w:tcPr>
          <w:p w14:paraId="006D2E4A">
            <w:pPr>
              <w:spacing w:before="100" w:beforeAutospacing="1" w:after="100" w:afterAutospacing="1" w:line="240" w:lineRule="auto"/>
              <w:jc w:val="center"/>
              <w:rPr>
                <w:rFonts w:ascii="Times New Roman" w:hAnsi="Times New Roman" w:eastAsia="Calibri" w:cs="Times New Roman"/>
                <w:b/>
                <w:bCs/>
                <w:kern w:val="0"/>
                <w:sz w:val="24"/>
                <w:szCs w:val="24"/>
                <w:lang w:val="en-US" w:eastAsia="en-IN" w:bidi="hi-IN"/>
                <w14:ligatures w14:val="none"/>
              </w:rPr>
            </w:pPr>
            <w:r>
              <w:rPr>
                <w:rFonts w:ascii="Times New Roman" w:hAnsi="Times New Roman" w:eastAsia="Calibri" w:cs="Times New Roman"/>
                <w:b/>
                <w:bCs/>
                <w:kern w:val="0"/>
                <w:sz w:val="24"/>
                <w:szCs w:val="24"/>
                <w:lang w:val="en-US" w:eastAsia="en-IN" w:bidi="hi-IN"/>
                <w14:ligatures w14:val="none"/>
              </w:rPr>
              <w:t>Nutrient</w:t>
            </w:r>
          </w:p>
        </w:tc>
        <w:tc>
          <w:tcPr>
            <w:tcW w:w="4230" w:type="dxa"/>
            <w:tcBorders>
              <w:top w:val="single" w:color="auto" w:sz="4" w:space="0"/>
              <w:bottom w:val="single" w:color="auto" w:sz="4" w:space="0"/>
              <w:tl2br w:val="nil"/>
              <w:tr2bl w:val="nil"/>
            </w:tcBorders>
            <w:shd w:val="clear" w:color="auto" w:fill="auto"/>
          </w:tcPr>
          <w:p w14:paraId="77957B8F">
            <w:pPr>
              <w:spacing w:before="100" w:beforeAutospacing="1" w:after="100" w:afterAutospacing="1" w:line="240" w:lineRule="auto"/>
              <w:jc w:val="center"/>
              <w:rPr>
                <w:rFonts w:ascii="Times New Roman" w:hAnsi="Times New Roman" w:eastAsia="Calibri" w:cs="Times New Roman"/>
                <w:b/>
                <w:bCs/>
                <w:kern w:val="0"/>
                <w:sz w:val="24"/>
                <w:szCs w:val="24"/>
                <w:lang w:val="en-US" w:eastAsia="en-IN" w:bidi="hi-IN"/>
                <w14:ligatures w14:val="none"/>
              </w:rPr>
            </w:pPr>
            <w:r>
              <w:rPr>
                <w:rFonts w:ascii="Times New Roman" w:hAnsi="Times New Roman" w:eastAsia="Calibri" w:cs="Times New Roman"/>
                <w:b/>
                <w:bCs/>
                <w:kern w:val="0"/>
                <w:sz w:val="24"/>
                <w:szCs w:val="24"/>
                <w:lang w:val="en-US" w:eastAsia="en-IN" w:bidi="hi-IN"/>
                <w14:ligatures w14:val="none"/>
              </w:rPr>
              <w:t>Analytical method</w:t>
            </w:r>
          </w:p>
        </w:tc>
        <w:tc>
          <w:tcPr>
            <w:tcW w:w="2477" w:type="dxa"/>
            <w:tcBorders>
              <w:top w:val="single" w:color="auto" w:sz="4" w:space="0"/>
              <w:bottom w:val="single" w:color="auto" w:sz="4" w:space="0"/>
              <w:tl2br w:val="nil"/>
              <w:tr2bl w:val="nil"/>
            </w:tcBorders>
            <w:shd w:val="clear" w:color="auto" w:fill="auto"/>
          </w:tcPr>
          <w:p w14:paraId="3CB2235F">
            <w:pPr>
              <w:spacing w:before="100" w:beforeAutospacing="1" w:after="100" w:afterAutospacing="1" w:line="240" w:lineRule="auto"/>
              <w:jc w:val="center"/>
              <w:rPr>
                <w:rFonts w:ascii="Times New Roman" w:hAnsi="Times New Roman" w:eastAsia="Calibri" w:cs="Times New Roman"/>
                <w:b/>
                <w:bCs/>
                <w:kern w:val="0"/>
                <w:sz w:val="24"/>
                <w:szCs w:val="24"/>
                <w:lang w:val="en-US" w:eastAsia="en-IN" w:bidi="hi-IN"/>
                <w14:ligatures w14:val="none"/>
              </w:rPr>
            </w:pPr>
            <w:r>
              <w:rPr>
                <w:rFonts w:ascii="Times New Roman" w:hAnsi="Times New Roman" w:eastAsia="Calibri" w:cs="Times New Roman"/>
                <w:b/>
                <w:bCs/>
                <w:kern w:val="0"/>
                <w:sz w:val="24"/>
                <w:szCs w:val="24"/>
                <w:lang w:val="en-US" w:eastAsia="en-IN" w:bidi="hi-IN"/>
                <w14:ligatures w14:val="none"/>
              </w:rPr>
              <w:t>References</w:t>
            </w:r>
          </w:p>
        </w:tc>
      </w:tr>
      <w:tr w14:paraId="0914D6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Borders>
              <w:top w:val="single" w:color="auto" w:sz="4" w:space="0"/>
              <w:tl2br w:val="nil"/>
              <w:tr2bl w:val="nil"/>
            </w:tcBorders>
            <w:shd w:val="clear" w:color="auto" w:fill="auto"/>
          </w:tcPr>
          <w:p w14:paraId="42DB3C81">
            <w:pPr>
              <w:spacing w:before="100" w:beforeAutospacing="1" w:after="100" w:afterAutospacing="1" w:line="240" w:lineRule="auto"/>
              <w:rPr>
                <w:rFonts w:ascii="Times New Roman" w:hAnsi="Times New Roman" w:eastAsia="Calibri" w:cs="Times New Roman"/>
                <w:b w:val="0"/>
                <w:bCs/>
                <w:kern w:val="0"/>
                <w:sz w:val="24"/>
                <w:szCs w:val="24"/>
                <w:lang w:val="en-US" w:eastAsia="en-IN" w:bidi="hi-IN"/>
                <w14:ligatures w14:val="none"/>
              </w:rPr>
            </w:pPr>
            <w:r>
              <w:rPr>
                <w:rFonts w:ascii="Times New Roman" w:hAnsi="Times New Roman" w:eastAsia="Calibri" w:cs="Times New Roman"/>
                <w:b w:val="0"/>
                <w:bCs/>
                <w:kern w:val="0"/>
                <w:sz w:val="24"/>
                <w:szCs w:val="24"/>
                <w:lang w:val="en-US" w:eastAsia="en-IN" w:bidi="hi-IN"/>
                <w14:ligatures w14:val="none"/>
              </w:rPr>
              <w:t>Nitrogen</w:t>
            </w:r>
          </w:p>
        </w:tc>
        <w:tc>
          <w:tcPr>
            <w:tcW w:w="4230" w:type="dxa"/>
            <w:tcBorders>
              <w:top w:val="single" w:color="auto" w:sz="4" w:space="0"/>
            </w:tcBorders>
            <w:shd w:val="clear" w:color="auto" w:fill="auto"/>
          </w:tcPr>
          <w:p w14:paraId="6FACF95A">
            <w:pPr>
              <w:spacing w:before="100" w:beforeAutospacing="1" w:after="100" w:afterAutospacing="1" w:line="240" w:lineRule="auto"/>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Micro Kjeldahl method</w:t>
            </w:r>
          </w:p>
        </w:tc>
        <w:tc>
          <w:tcPr>
            <w:tcW w:w="2477" w:type="dxa"/>
            <w:tcBorders>
              <w:top w:val="single" w:color="auto" w:sz="4" w:space="0"/>
            </w:tcBorders>
            <w:shd w:val="clear" w:color="auto" w:fill="auto"/>
          </w:tcPr>
          <w:p w14:paraId="59E6DF64">
            <w:pPr>
              <w:spacing w:before="100" w:beforeAutospacing="1" w:after="100" w:afterAutospacing="1" w:line="240" w:lineRule="auto"/>
              <w:jc w:val="center"/>
              <w:rPr>
                <w:rFonts w:ascii="Times New Roman" w:hAnsi="Times New Roman" w:eastAsia="Calibri" w:cs="Times New Roman"/>
                <w:kern w:val="0"/>
                <w:sz w:val="24"/>
                <w:szCs w:val="24"/>
                <w:lang w:val="en-US" w:eastAsia="en-IN" w:bidi="hi-IN"/>
                <w14:ligatures w14:val="none"/>
              </w:rPr>
            </w:pPr>
            <w:bookmarkStart w:id="1" w:name="_Hlk194521165"/>
            <w:r>
              <w:rPr>
                <w:rFonts w:ascii="Times New Roman" w:hAnsi="Times New Roman" w:eastAsia="Calibri" w:cs="Times New Roman"/>
                <w:kern w:val="0"/>
                <w:sz w:val="24"/>
                <w:szCs w:val="24"/>
                <w:lang w:val="en-US" w:eastAsia="en-IN" w:bidi="hi-IN"/>
                <w14:ligatures w14:val="none"/>
              </w:rPr>
              <w:t>Jackson (1973</w:t>
            </w:r>
            <w:bookmarkEnd w:id="1"/>
            <w:r>
              <w:rPr>
                <w:rFonts w:ascii="Times New Roman" w:hAnsi="Times New Roman" w:eastAsia="Calibri" w:cs="Times New Roman"/>
                <w:kern w:val="0"/>
                <w:sz w:val="24"/>
                <w:szCs w:val="24"/>
                <w:lang w:val="en-US" w:eastAsia="en-IN" w:bidi="hi-IN"/>
                <w14:ligatures w14:val="none"/>
              </w:rPr>
              <w:t>)</w:t>
            </w:r>
          </w:p>
        </w:tc>
      </w:tr>
      <w:tr w14:paraId="277B20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Borders>
              <w:tl2br w:val="nil"/>
              <w:tr2bl w:val="nil"/>
            </w:tcBorders>
            <w:shd w:val="clear" w:color="auto" w:fill="auto"/>
          </w:tcPr>
          <w:p w14:paraId="7F691D76">
            <w:pPr>
              <w:spacing w:before="100" w:beforeAutospacing="1" w:after="100" w:afterAutospacing="1" w:line="240" w:lineRule="auto"/>
              <w:rPr>
                <w:rFonts w:ascii="Times New Roman" w:hAnsi="Times New Roman" w:eastAsia="Calibri" w:cs="Times New Roman"/>
                <w:b w:val="0"/>
                <w:bCs/>
                <w:kern w:val="0"/>
                <w:sz w:val="24"/>
                <w:szCs w:val="24"/>
                <w:lang w:val="en-US" w:eastAsia="en-IN" w:bidi="hi-IN"/>
                <w14:ligatures w14:val="none"/>
              </w:rPr>
            </w:pPr>
            <w:r>
              <w:rPr>
                <w:rFonts w:ascii="Times New Roman" w:hAnsi="Times New Roman" w:eastAsia="Calibri" w:cs="Times New Roman"/>
                <w:b w:val="0"/>
                <w:bCs/>
                <w:kern w:val="0"/>
                <w:sz w:val="24"/>
                <w:szCs w:val="24"/>
                <w:lang w:val="en-US" w:eastAsia="en-IN" w:bidi="hi-IN"/>
                <w14:ligatures w14:val="none"/>
              </w:rPr>
              <w:t>Phosphorus</w:t>
            </w:r>
          </w:p>
        </w:tc>
        <w:tc>
          <w:tcPr>
            <w:tcW w:w="4230" w:type="dxa"/>
            <w:shd w:val="clear" w:color="auto" w:fill="auto"/>
          </w:tcPr>
          <w:p w14:paraId="7E9C4301">
            <w:pPr>
              <w:spacing w:before="100" w:beforeAutospacing="1" w:after="100" w:afterAutospacing="1" w:line="240" w:lineRule="auto"/>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Vanado molybdate yellow colour method</w:t>
            </w:r>
          </w:p>
        </w:tc>
        <w:tc>
          <w:tcPr>
            <w:tcW w:w="2477" w:type="dxa"/>
            <w:shd w:val="clear" w:color="auto" w:fill="auto"/>
          </w:tcPr>
          <w:p w14:paraId="4BC38967">
            <w:pPr>
              <w:spacing w:before="100" w:beforeAutospacing="1" w:after="100" w:afterAutospacing="1"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Jackson (1973)</w:t>
            </w:r>
          </w:p>
        </w:tc>
      </w:tr>
      <w:tr w14:paraId="70D9D2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Borders>
              <w:tl2br w:val="nil"/>
              <w:tr2bl w:val="nil"/>
            </w:tcBorders>
            <w:shd w:val="clear" w:color="auto" w:fill="auto"/>
          </w:tcPr>
          <w:p w14:paraId="39AD6B51">
            <w:pPr>
              <w:spacing w:before="100" w:beforeAutospacing="1" w:after="100" w:afterAutospacing="1" w:line="240" w:lineRule="auto"/>
              <w:rPr>
                <w:rFonts w:ascii="Times New Roman" w:hAnsi="Times New Roman" w:eastAsia="Calibri" w:cs="Times New Roman"/>
                <w:b w:val="0"/>
                <w:bCs/>
                <w:kern w:val="0"/>
                <w:sz w:val="24"/>
                <w:szCs w:val="24"/>
                <w:lang w:val="en-US" w:eastAsia="en-IN" w:bidi="hi-IN"/>
                <w14:ligatures w14:val="none"/>
              </w:rPr>
            </w:pPr>
            <w:r>
              <w:rPr>
                <w:rFonts w:ascii="Times New Roman" w:hAnsi="Times New Roman" w:eastAsia="Calibri" w:cs="Times New Roman"/>
                <w:b w:val="0"/>
                <w:bCs/>
                <w:kern w:val="0"/>
                <w:sz w:val="24"/>
                <w:szCs w:val="24"/>
                <w:lang w:val="en-US" w:eastAsia="en-IN" w:bidi="hi-IN"/>
                <w14:ligatures w14:val="none"/>
              </w:rPr>
              <w:t>Potassium</w:t>
            </w:r>
          </w:p>
        </w:tc>
        <w:tc>
          <w:tcPr>
            <w:tcW w:w="4230" w:type="dxa"/>
            <w:shd w:val="clear" w:color="auto" w:fill="auto"/>
          </w:tcPr>
          <w:p w14:paraId="4CFAE15C">
            <w:pPr>
              <w:spacing w:before="100" w:beforeAutospacing="1" w:after="100" w:afterAutospacing="1" w:line="240" w:lineRule="auto"/>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Flame photometer method</w:t>
            </w:r>
          </w:p>
        </w:tc>
        <w:tc>
          <w:tcPr>
            <w:tcW w:w="2477" w:type="dxa"/>
            <w:shd w:val="clear" w:color="auto" w:fill="auto"/>
          </w:tcPr>
          <w:p w14:paraId="4FA46595">
            <w:pPr>
              <w:spacing w:before="100" w:beforeAutospacing="1" w:after="100" w:afterAutospacing="1"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Jackson (1973)</w:t>
            </w:r>
          </w:p>
        </w:tc>
      </w:tr>
    </w:tbl>
    <w:p w14:paraId="10BD95AD">
      <w:pPr>
        <w:spacing w:before="100" w:beforeAutospacing="1" w:after="100" w:afterAutospacing="1" w:line="240" w:lineRule="auto"/>
        <w:jc w:val="both"/>
        <w:rPr>
          <w:rFonts w:ascii="Times New Roman" w:hAnsi="Times New Roman" w:cs="Times New Roman"/>
          <w:sz w:val="24"/>
          <w:szCs w:val="28"/>
        </w:rPr>
      </w:pPr>
      <w:r>
        <w:rPr>
          <w:rFonts w:ascii="Times New Roman" w:hAnsi="Times New Roman" w:cs="Times New Roman"/>
          <w:sz w:val="24"/>
          <w:szCs w:val="28"/>
        </w:rPr>
        <w:t>Nutrient removal by weeds were calculated in kg ha</w:t>
      </w:r>
      <w:r>
        <w:rPr>
          <w:rFonts w:ascii="Times New Roman" w:hAnsi="Times New Roman" w:cs="Times New Roman"/>
          <w:sz w:val="24"/>
          <w:szCs w:val="28"/>
          <w:vertAlign w:val="superscript"/>
        </w:rPr>
        <w:t>-1</w:t>
      </w:r>
      <w:r>
        <w:rPr>
          <w:rFonts w:ascii="Times New Roman" w:hAnsi="Times New Roman" w:cs="Times New Roman"/>
          <w:sz w:val="24"/>
          <w:szCs w:val="28"/>
        </w:rPr>
        <w:t xml:space="preserve"> in relation to weed dry matter production (kg ha</w:t>
      </w:r>
      <w:r>
        <w:rPr>
          <w:rFonts w:ascii="Times New Roman" w:hAnsi="Times New Roman" w:cs="Times New Roman"/>
          <w:sz w:val="24"/>
          <w:szCs w:val="28"/>
          <w:vertAlign w:val="superscript"/>
        </w:rPr>
        <w:t>-1</w:t>
      </w:r>
      <w:r>
        <w:rPr>
          <w:rFonts w:ascii="Times New Roman" w:hAnsi="Times New Roman" w:cs="Times New Roman"/>
          <w:sz w:val="24"/>
          <w:szCs w:val="28"/>
        </w:rPr>
        <w:t>) by using the following formula:</w:t>
      </w:r>
    </w:p>
    <w:p w14:paraId="5423B542">
      <w:pPr>
        <w:pStyle w:val="19"/>
        <w:spacing w:before="100" w:beforeAutospacing="1" w:after="100" w:afterAutospacing="1" w:line="240" w:lineRule="auto"/>
        <w:ind w:left="0"/>
        <w:contextualSpacing w:val="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 xml:space="preserve">Nutrient removal </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kg</m:t>
                  </m:r>
                  <m:ctrlPr>
                    <w:rPr>
                      <w:rFonts w:ascii="Cambria Math" w:hAnsi="Cambria Math" w:cs="Times New Roman"/>
                      <w:sz w:val="24"/>
                      <w:szCs w:val="24"/>
                    </w:rPr>
                  </m:ctrlPr>
                </m:num>
                <m:den>
                  <m:r>
                    <m:rPr>
                      <m:sty m:val="p"/>
                    </m:rPr>
                    <w:rPr>
                      <w:rFonts w:ascii="Cambria Math" w:hAnsi="Cambria Math" w:cs="Times New Roman"/>
                      <w:sz w:val="24"/>
                      <w:szCs w:val="24"/>
                    </w:rPr>
                    <m:t>ha</m:t>
                  </m:r>
                  <m:ctrlPr>
                    <w:rPr>
                      <w:rFonts w:ascii="Cambria Math" w:hAnsi="Cambria Math" w:cs="Times New Roman"/>
                      <w:sz w:val="24"/>
                      <w:szCs w:val="24"/>
                    </w:rPr>
                  </m:ctrlPr>
                </m:den>
              </m:f>
              <m:ctrlPr>
                <w:rPr>
                  <w:rFonts w:ascii="Cambria Math" w:hAnsi="Cambria Math" w:cs="Times New Roman"/>
                  <w:sz w:val="24"/>
                  <w:szCs w:val="24"/>
                </w:rPr>
              </m:ctrlP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Nutrient content </m:t>
              </m:r>
              <m:d>
                <m:dPr>
                  <m:ctrlPr>
                    <w:rPr>
                      <w:rFonts w:ascii="Cambria Math" w:hAnsi="Cambria Math" w:cs="Times New Roman"/>
                      <w:sz w:val="24"/>
                      <w:szCs w:val="24"/>
                    </w:rPr>
                  </m:ctrlPr>
                </m:dPr>
                <m:e>
                  <m:r>
                    <m:rPr>
                      <m:sty m:val="p"/>
                    </m:rPr>
                    <w:rPr>
                      <w:rFonts w:ascii="Cambria Math" w:hAnsi="Cambria Math" w:cs="Times New Roman"/>
                      <w:sz w:val="24"/>
                      <w:szCs w:val="24"/>
                    </w:rPr>
                    <m:t>%</m:t>
                  </m:r>
                  <m:ctrlPr>
                    <w:rPr>
                      <w:rFonts w:ascii="Cambria Math" w:hAnsi="Cambria Math" w:cs="Times New Roman"/>
                      <w:sz w:val="24"/>
                      <w:szCs w:val="24"/>
                    </w:rPr>
                  </m:ctrlPr>
                </m:e>
              </m:d>
              <m:r>
                <m:rPr>
                  <m:sty m:val="p"/>
                </m:rPr>
                <w:rPr>
                  <w:rFonts w:ascii="Cambria Math" w:hAnsi="Cambria Math" w:cs="Times New Roman"/>
                  <w:sz w:val="24"/>
                  <w:szCs w:val="24"/>
                </w:rPr>
                <m:t>×Dry matter/Yield (kg /ha)</m:t>
              </m:r>
              <m:ctrlPr>
                <w:rPr>
                  <w:rFonts w:ascii="Cambria Math" w:hAnsi="Cambria Math" w:cs="Times New Roman"/>
                  <w:sz w:val="24"/>
                  <w:szCs w:val="24"/>
                </w:rPr>
              </m:ctrlPr>
            </m:num>
            <m:den>
              <m:r>
                <m:rPr>
                  <m:sty m:val="p"/>
                </m:rPr>
                <w:rPr>
                  <w:rFonts w:ascii="Cambria Math" w:hAnsi="Cambria Math" w:cs="Times New Roman"/>
                  <w:sz w:val="24"/>
                  <w:szCs w:val="24"/>
                </w:rPr>
                <m:t>100</m:t>
              </m:r>
              <m:ctrlPr>
                <w:rPr>
                  <w:rFonts w:ascii="Cambria Math" w:hAnsi="Cambria Math" w:cs="Times New Roman"/>
                  <w:sz w:val="24"/>
                  <w:szCs w:val="24"/>
                </w:rPr>
              </m:ctrlPr>
            </m:den>
          </m:f>
        </m:oMath>
      </m:oMathPara>
    </w:p>
    <w:p w14:paraId="6B751891">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sz w:val="24"/>
          <w:szCs w:val="24"/>
        </w:rPr>
        <w:t xml:space="preserve">Weed control efficiency (WCE) was calculated on basis of weed biomass in various treatments as suggested by </w:t>
      </w:r>
      <w:r>
        <w:rPr>
          <w:rFonts w:ascii="Times New Roman" w:hAnsi="Times New Roman" w:cs="Times New Roman"/>
          <w:color w:val="000000" w:themeColor="text1"/>
          <w:sz w:val="24"/>
          <w:szCs w:val="24"/>
          <w14:textFill>
            <w14:solidFill>
              <w14:schemeClr w14:val="tx1"/>
            </w14:solidFill>
          </w14:textFill>
        </w:rPr>
        <w:t xml:space="preserve">Mani </w:t>
      </w:r>
      <w:r>
        <w:rPr>
          <w:rFonts w:ascii="Times New Roman" w:hAnsi="Times New Roman" w:cs="Times New Roman"/>
          <w:i/>
          <w:color w:val="000000" w:themeColor="text1"/>
          <w:sz w:val="24"/>
          <w:szCs w:val="24"/>
          <w14:textFill>
            <w14:solidFill>
              <w14:schemeClr w14:val="tx1"/>
            </w14:solidFill>
          </w14:textFill>
        </w:rPr>
        <w:t>et al</w:t>
      </w:r>
      <w:r>
        <w:rPr>
          <w:rFonts w:ascii="Times New Roman" w:hAnsi="Times New Roman" w:cs="Times New Roman"/>
          <w:color w:val="000000" w:themeColor="text1"/>
          <w:sz w:val="24"/>
          <w:szCs w:val="24"/>
          <w14:textFill>
            <w14:solidFill>
              <w14:schemeClr w14:val="tx1"/>
            </w14:solidFill>
          </w14:textFill>
        </w:rPr>
        <w:t>. (1973).</w:t>
      </w:r>
    </w:p>
    <w:p w14:paraId="063C6E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sz w:val="24"/>
          <w:szCs w:val="24"/>
        </w:rPr>
        <w:tab/>
      </w:r>
      <m:oMath>
        <m:r>
          <m:rPr>
            <m:sty m:val="p"/>
          </m:rPr>
          <w:rPr>
            <w:rFonts w:ascii="Cambria Math" w:hAnsi="Cambria Math" w:cs="Times New Roman"/>
            <w:sz w:val="24"/>
            <w:szCs w:val="24"/>
          </w:rPr>
          <m:t>WCE</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WDMc−WDMt</m:t>
            </m:r>
            <m:ctrlPr>
              <w:rPr>
                <w:rFonts w:ascii="Cambria Math" w:hAnsi="Times New Roman" w:cs="Times New Roman"/>
                <w:sz w:val="24"/>
                <w:szCs w:val="24"/>
              </w:rPr>
            </m:ctrlPr>
          </m:num>
          <m:den>
            <m:r>
              <m:rPr>
                <m:sty m:val="p"/>
              </m:rPr>
              <w:rPr>
                <w:rFonts w:ascii="Cambria Math" w:hAnsi="Times New Roman" w:cs="Times New Roman"/>
                <w:sz w:val="24"/>
                <w:szCs w:val="24"/>
              </w:rPr>
              <m:t>WDMc</m:t>
            </m:r>
            <m:ctrlPr>
              <w:rPr>
                <w:rFonts w:ascii="Cambria Math" w:hAnsi="Times New Roman" w:cs="Times New Roman"/>
                <w:sz w:val="24"/>
                <w:szCs w:val="24"/>
              </w:rPr>
            </m:ctrlPr>
          </m:den>
        </m:f>
        <m:r>
          <m:rPr>
            <m:sty m:val="p"/>
          </m:rPr>
          <w:rPr>
            <w:rFonts w:ascii="Cambria Math" w:hAnsi="Times New Roman" w:cs="Times New Roman"/>
            <w:sz w:val="24"/>
            <w:szCs w:val="24"/>
          </w:rPr>
          <m:t>×100</m:t>
        </m:r>
      </m:oMath>
    </w:p>
    <w:p w14:paraId="576C1AE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Where,</w:t>
      </w:r>
    </w:p>
    <w:p w14:paraId="6952088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WDM</w:t>
      </w:r>
      <w:r>
        <w:rPr>
          <w:rFonts w:ascii="Times New Roman" w:hAnsi="Times New Roman" w:cs="Times New Roman"/>
          <w:sz w:val="24"/>
          <w:szCs w:val="24"/>
          <w:vertAlign w:val="subscript"/>
        </w:rPr>
        <w:t>C</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Weed biomass (</w:t>
      </w:r>
      <w:r>
        <w:rPr>
          <w:rFonts w:ascii="Times New Roman" w:hAnsi="Times New Roman" w:cs="Times New Roman"/>
          <w:bCs/>
          <w:sz w:val="24"/>
          <w:szCs w:val="24"/>
        </w:rPr>
        <w:t>g m</w:t>
      </w:r>
      <w:r>
        <w:rPr>
          <w:rFonts w:ascii="Times New Roman" w:hAnsi="Times New Roman" w:cs="Times New Roman"/>
          <w:bCs/>
          <w:sz w:val="24"/>
          <w:szCs w:val="24"/>
          <w:vertAlign w:val="superscript"/>
        </w:rPr>
        <w:t>-2</w:t>
      </w:r>
      <w:r>
        <w:rPr>
          <w:rFonts w:ascii="Times New Roman" w:hAnsi="Times New Roman" w:cs="Times New Roman"/>
          <w:sz w:val="24"/>
          <w:szCs w:val="24"/>
        </w:rPr>
        <w:t>) in control plot</w:t>
      </w:r>
    </w:p>
    <w:p w14:paraId="0B1D3A39">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WDM</w:t>
      </w:r>
      <w:r>
        <w:rPr>
          <w:rFonts w:ascii="Times New Roman" w:hAnsi="Times New Roman" w:cs="Times New Roman"/>
          <w:sz w:val="24"/>
          <w:szCs w:val="24"/>
          <w:vertAlign w:val="subscript"/>
        </w:rPr>
        <w:t>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Weed biomass (</w:t>
      </w:r>
      <w:r>
        <w:rPr>
          <w:rFonts w:ascii="Times New Roman" w:hAnsi="Times New Roman" w:cs="Times New Roman"/>
          <w:bCs/>
          <w:sz w:val="24"/>
          <w:szCs w:val="24"/>
        </w:rPr>
        <w:t>g m</w:t>
      </w:r>
      <w:r>
        <w:rPr>
          <w:rFonts w:ascii="Times New Roman" w:hAnsi="Times New Roman" w:cs="Times New Roman"/>
          <w:bCs/>
          <w:sz w:val="24"/>
          <w:szCs w:val="24"/>
          <w:vertAlign w:val="superscript"/>
        </w:rPr>
        <w:t>-2</w:t>
      </w:r>
      <w:r>
        <w:rPr>
          <w:rFonts w:ascii="Times New Roman" w:hAnsi="Times New Roman" w:cs="Times New Roman"/>
          <w:sz w:val="24"/>
          <w:szCs w:val="24"/>
        </w:rPr>
        <w:t>) in treated plot</w:t>
      </w:r>
    </w:p>
    <w:p w14:paraId="3BFB9702">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Weed index</w:t>
      </w:r>
    </w:p>
    <w:p w14:paraId="3DDCEE16">
      <w:pPr>
        <w:spacing w:before="100" w:beforeAutospacing="1" w:after="100" w:afterAutospacing="1" w:line="240" w:lineRule="auto"/>
        <w:jc w:val="both"/>
        <w:rPr>
          <w:rFonts w:ascii="Times New Roman" w:hAnsi="Times New Roman" w:cs="Times New Roman"/>
          <w:b/>
          <w:i/>
          <w:sz w:val="24"/>
          <w:szCs w:val="24"/>
        </w:rPr>
      </w:pPr>
      <w:r>
        <w:rPr>
          <w:rFonts w:ascii="Times New Roman" w:hAnsi="Times New Roman" w:cs="Times New Roman"/>
          <w:sz w:val="24"/>
          <w:szCs w:val="24"/>
        </w:rPr>
        <w:t>The weed index was calculated as a percentage of difference between grain yield between the treated and weed free plots (Gill and Kumar, 1969).</w:t>
      </w:r>
    </w:p>
    <w:p w14:paraId="5FA68AF9">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                           </w:t>
      </w:r>
      <m:oMath>
        <m:r>
          <m:rPr>
            <m:sty m:val="p"/>
          </m:rPr>
          <w:rPr>
            <w:rFonts w:ascii="Cambria Math" w:hAnsi="Cambria Math" w:cs="Times New Roman"/>
            <w:sz w:val="24"/>
            <w:szCs w:val="24"/>
          </w:rPr>
          <m:t>WI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X−Y</m:t>
                </m:r>
                <m:ctrlPr>
                  <w:rPr>
                    <w:rFonts w:ascii="Cambria Math" w:hAnsi="Cambria Math" w:cs="Times New Roman"/>
                    <w:sz w:val="24"/>
                    <w:szCs w:val="24"/>
                  </w:rPr>
                </m:ctrlPr>
              </m:e>
            </m:d>
            <m:ctrlPr>
              <w:rPr>
                <w:rFonts w:ascii="Cambria Math" w:hAnsi="Cambria Math" w:cs="Times New Roman"/>
                <w:sz w:val="24"/>
                <w:szCs w:val="24"/>
              </w:rPr>
            </m:ctrlPr>
          </m:num>
          <m:den>
            <m:r>
              <m:rPr>
                <m:sty m:val="p"/>
              </m:rPr>
              <w:rPr>
                <w:rFonts w:ascii="Cambria Math" w:hAnsi="Cambria Math" w:cs="Times New Roman"/>
                <w:sz w:val="24"/>
                <w:szCs w:val="24"/>
              </w:rPr>
              <m:t>X</m:t>
            </m:r>
            <m:ctrlPr>
              <w:rPr>
                <w:rFonts w:ascii="Cambria Math" w:hAnsi="Cambria Math" w:cs="Times New Roman"/>
                <w:sz w:val="24"/>
                <w:szCs w:val="24"/>
              </w:rPr>
            </m:ctrlPr>
          </m:den>
        </m:f>
        <m:r>
          <m:rPr>
            <m:sty m:val="p"/>
          </m:rPr>
          <w:rPr>
            <w:rFonts w:ascii="Cambria Math" w:hAnsi="Cambria Math" w:cs="Times New Roman"/>
            <w:sz w:val="24"/>
            <w:szCs w:val="24"/>
          </w:rPr>
          <m:t>×100</m:t>
        </m:r>
      </m:oMath>
    </w:p>
    <w:p w14:paraId="132E4927">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Where,</w:t>
      </w:r>
    </w:p>
    <w:p w14:paraId="71B916B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WI = </w:t>
      </w:r>
      <w:r>
        <w:rPr>
          <w:rFonts w:ascii="Times New Roman" w:hAnsi="Times New Roman" w:cs="Times New Roman"/>
          <w:sz w:val="24"/>
          <w:szCs w:val="24"/>
        </w:rPr>
        <w:tab/>
      </w:r>
      <w:r>
        <w:rPr>
          <w:rFonts w:ascii="Times New Roman" w:hAnsi="Times New Roman" w:cs="Times New Roman"/>
          <w:sz w:val="24"/>
          <w:szCs w:val="24"/>
        </w:rPr>
        <w:t>Weed Index</w:t>
      </w:r>
    </w:p>
    <w:p w14:paraId="64A93123">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X = </w:t>
      </w:r>
      <w:r>
        <w:rPr>
          <w:rFonts w:ascii="Times New Roman" w:hAnsi="Times New Roman" w:cs="Times New Roman"/>
          <w:sz w:val="24"/>
          <w:szCs w:val="24"/>
        </w:rPr>
        <w:tab/>
      </w:r>
      <w:r>
        <w:rPr>
          <w:rFonts w:ascii="Times New Roman" w:hAnsi="Times New Roman" w:cs="Times New Roman"/>
          <w:sz w:val="24"/>
          <w:szCs w:val="24"/>
        </w:rPr>
        <w:t>Grain yield (kg ha</w:t>
      </w:r>
      <w:r>
        <w:rPr>
          <w:rFonts w:ascii="Times New Roman" w:hAnsi="Times New Roman" w:cs="Times New Roman"/>
          <w:sz w:val="24"/>
          <w:szCs w:val="24"/>
          <w:vertAlign w:val="superscript"/>
        </w:rPr>
        <w:t>-1</w:t>
      </w:r>
      <w:r>
        <w:rPr>
          <w:rFonts w:ascii="Times New Roman" w:hAnsi="Times New Roman" w:cs="Times New Roman"/>
          <w:sz w:val="24"/>
          <w:szCs w:val="24"/>
        </w:rPr>
        <w:t>) from weed free plot</w:t>
      </w:r>
    </w:p>
    <w:p w14:paraId="59CB6882">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Y = </w:t>
      </w:r>
      <w:r>
        <w:rPr>
          <w:rFonts w:ascii="Times New Roman" w:hAnsi="Times New Roman" w:cs="Times New Roman"/>
          <w:sz w:val="24"/>
          <w:szCs w:val="24"/>
        </w:rPr>
        <w:tab/>
      </w:r>
      <w:r>
        <w:rPr>
          <w:rFonts w:ascii="Times New Roman" w:hAnsi="Times New Roman" w:cs="Times New Roman"/>
          <w:sz w:val="24"/>
          <w:szCs w:val="24"/>
        </w:rPr>
        <w:t>Grain yield (kg ha</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from treated plot</w:t>
      </w:r>
    </w:p>
    <w:p w14:paraId="3193C5E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25FAEF0D">
      <w:pPr>
        <w:spacing w:after="0" w:line="240" w:lineRule="auto"/>
        <w:jc w:val="both"/>
        <w:rPr>
          <w:rFonts w:ascii="Times New Roman" w:hAnsi="Times New Roman" w:cs="Times New Roman"/>
          <w:b/>
          <w:iCs/>
          <w:color w:val="000000"/>
          <w:sz w:val="24"/>
          <w:szCs w:val="24"/>
        </w:rPr>
      </w:pPr>
      <w:r>
        <w:rPr>
          <w:rFonts w:ascii="Times New Roman" w:hAnsi="Times New Roman" w:cs="Times New Roman"/>
          <w:b/>
          <w:bCs/>
          <w:sz w:val="24"/>
          <w:szCs w:val="24"/>
        </w:rPr>
        <w:t>Weed control efficiency (%)</w:t>
      </w:r>
    </w:p>
    <w:p w14:paraId="257CE482">
      <w:pPr>
        <w:spacing w:after="0" w:line="24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Weed control efficiency implies the relative efficacy of weed management interventions compared to the weedy check. Under different nitrogen sources, higher weed control efficiency was recorded in </w:t>
      </w:r>
      <w:r>
        <w:rPr>
          <w:rFonts w:ascii="Times New Roman" w:hAnsi="Times New Roman" w:cs="Times New Roman"/>
          <w:sz w:val="24"/>
          <w:szCs w:val="24"/>
        </w:rPr>
        <w:t>N</w:t>
      </w:r>
      <w:r>
        <w:rPr>
          <w:rFonts w:ascii="Times New Roman" w:hAnsi="Times New Roman" w:cs="Times New Roman"/>
          <w:sz w:val="24"/>
          <w:szCs w:val="24"/>
          <w:vertAlign w:val="subscript"/>
        </w:rPr>
        <w:t>0</w:t>
      </w:r>
      <w:r>
        <w:rPr>
          <w:rFonts w:ascii="Times New Roman" w:hAnsi="Times New Roman" w:cs="Times New Roman"/>
          <w:sz w:val="24"/>
          <w:szCs w:val="24"/>
        </w:rPr>
        <w:t xml:space="preserve"> (only P and K) </w:t>
      </w:r>
      <w:r>
        <w:rPr>
          <w:rFonts w:ascii="Times New Roman" w:hAnsi="Times New Roman" w:cs="Times New Roman"/>
          <w:sz w:val="24"/>
          <w:szCs w:val="24"/>
          <w:lang w:bidi="hi-IN"/>
        </w:rPr>
        <w:t xml:space="preserve">during both years (Table 2). </w:t>
      </w:r>
      <w:r>
        <w:rPr>
          <w:rFonts w:ascii="Times New Roman" w:hAnsi="Times New Roman" w:cs="Times New Roman"/>
          <w:sz w:val="24"/>
          <w:szCs w:val="24"/>
        </w:rPr>
        <w:t xml:space="preserve">This </w:t>
      </w:r>
      <w:commentRangeStart w:id="3"/>
      <w:r>
        <w:rPr>
          <w:rFonts w:ascii="Times New Roman" w:hAnsi="Times New Roman" w:cs="Times New Roman"/>
          <w:sz w:val="24"/>
          <w:szCs w:val="24"/>
        </w:rPr>
        <w:t>might</w:t>
      </w:r>
      <w:commentRangeEnd w:id="3"/>
      <w:r>
        <w:commentReference w:id="3"/>
      </w:r>
      <w:r>
        <w:rPr>
          <w:rFonts w:ascii="Times New Roman" w:hAnsi="Times New Roman" w:cs="Times New Roman"/>
          <w:sz w:val="24"/>
          <w:szCs w:val="24"/>
        </w:rPr>
        <w:t xml:space="preserve"> be attributed to the fact that nitrogen play a significant role in promoting weed germination and growth and therefore, deficiency of nitrogen in the treatment led to less weed density as well as dry matter accumulation by weeds. </w:t>
      </w:r>
      <w:bookmarkStart w:id="2" w:name="_Hlk194521202"/>
      <w:r>
        <w:rPr>
          <w:rFonts w:ascii="Times New Roman" w:hAnsi="Times New Roman" w:cs="Times New Roman"/>
          <w:sz w:val="24"/>
          <w:szCs w:val="24"/>
        </w:rPr>
        <w:t>Malecka and Blecharczyk (2008</w:t>
      </w:r>
      <w:bookmarkEnd w:id="2"/>
      <w:r>
        <w:rPr>
          <w:rFonts w:ascii="Times New Roman" w:hAnsi="Times New Roman" w:cs="Times New Roman"/>
          <w:sz w:val="24"/>
          <w:szCs w:val="24"/>
        </w:rPr>
        <w:t xml:space="preserve">) who worked in barley opined that nitrogen application influence weeds density and dry matter accumulation. </w:t>
      </w:r>
      <w:r>
        <w:rPr>
          <w:rFonts w:ascii="Times New Roman" w:hAnsi="Times New Roman" w:cs="Times New Roman"/>
          <w:sz w:val="24"/>
          <w:szCs w:val="24"/>
          <w:lang w:bidi="hi-IN"/>
        </w:rPr>
        <w:t xml:space="preserve">The minimum weed control efficiency was found in </w:t>
      </w:r>
      <w:r>
        <w:rPr>
          <w:rFonts w:ascii="Times New Roman" w:hAnsi="Times New Roman" w:eastAsia="Calibri" w:cs="Times New Roman"/>
          <w:sz w:val="24"/>
          <w:szCs w:val="24"/>
        </w:rPr>
        <w:t>N</w:t>
      </w:r>
      <w:r>
        <w:rPr>
          <w:rFonts w:ascii="Times New Roman" w:hAnsi="Times New Roman" w:eastAsia="Calibri" w:cs="Times New Roman"/>
          <w:sz w:val="24"/>
          <w:szCs w:val="24"/>
          <w:vertAlign w:val="subscript"/>
        </w:rPr>
        <w:t>2</w:t>
      </w:r>
      <w:r>
        <w:rPr>
          <w:rFonts w:ascii="Times New Roman" w:hAnsi="Times New Roman" w:eastAsia="Calibri" w:cs="Times New Roman"/>
          <w:sz w:val="24"/>
          <w:szCs w:val="24"/>
        </w:rPr>
        <w:t xml:space="preserve"> (</w:t>
      </w:r>
      <w:r>
        <w:rPr>
          <w:rFonts w:ascii="Times New Roman" w:hAnsi="Times New Roman" w:cs="Times New Roman"/>
          <w:kern w:val="24"/>
          <w:sz w:val="24"/>
          <w:szCs w:val="24"/>
        </w:rPr>
        <w:t>75% RDN (inorganic) + 25% through FYM</w:t>
      </w:r>
      <w:r>
        <w:rPr>
          <w:rFonts w:ascii="Times New Roman" w:hAnsi="Times New Roman" w:eastAsia="Calibri" w:cs="Times New Roman"/>
          <w:sz w:val="24"/>
          <w:szCs w:val="24"/>
        </w:rPr>
        <w:t>) which was statistically comparable to N</w:t>
      </w:r>
      <w:r>
        <w:rPr>
          <w:rFonts w:ascii="Times New Roman" w:hAnsi="Times New Roman" w:eastAsia="Calibri" w:cs="Times New Roman"/>
          <w:sz w:val="24"/>
          <w:szCs w:val="24"/>
          <w:vertAlign w:val="subscript"/>
        </w:rPr>
        <w:t>3</w:t>
      </w:r>
      <w:r>
        <w:rPr>
          <w:rFonts w:ascii="Times New Roman" w:hAnsi="Times New Roman" w:eastAsia="Calibri" w:cs="Times New Roman"/>
          <w:sz w:val="24"/>
          <w:szCs w:val="24"/>
        </w:rPr>
        <w:t xml:space="preserve"> (</w:t>
      </w:r>
      <w:r>
        <w:rPr>
          <w:rFonts w:ascii="Times New Roman" w:hAnsi="Times New Roman" w:cs="Times New Roman"/>
          <w:kern w:val="24"/>
          <w:sz w:val="24"/>
          <w:szCs w:val="24"/>
        </w:rPr>
        <w:t>75% RDN (inorganic) + 25% through VC</w:t>
      </w:r>
      <w:r>
        <w:rPr>
          <w:rFonts w:ascii="Times New Roman" w:hAnsi="Times New Roman" w:eastAsia="Calibri" w:cs="Times New Roman"/>
          <w:sz w:val="24"/>
          <w:szCs w:val="24"/>
        </w:rPr>
        <w:t>) and N</w:t>
      </w:r>
      <w:r>
        <w:rPr>
          <w:rFonts w:ascii="Times New Roman" w:hAnsi="Times New Roman" w:eastAsia="Calibri" w:cs="Times New Roman"/>
          <w:sz w:val="24"/>
          <w:szCs w:val="24"/>
          <w:vertAlign w:val="subscript"/>
        </w:rPr>
        <w:t>1</w:t>
      </w:r>
      <w:r>
        <w:rPr>
          <w:rFonts w:ascii="Times New Roman" w:hAnsi="Times New Roman" w:eastAsia="Calibri" w:cs="Times New Roman"/>
          <w:sz w:val="24"/>
          <w:szCs w:val="24"/>
        </w:rPr>
        <w:t xml:space="preserve"> (100% nitrogen through inorganic) at all stage of observation during each year of study. This </w:t>
      </w:r>
      <w:commentRangeStart w:id="4"/>
      <w:r>
        <w:rPr>
          <w:rFonts w:ascii="Times New Roman" w:hAnsi="Times New Roman" w:eastAsia="Calibri" w:cs="Times New Roman"/>
          <w:sz w:val="24"/>
          <w:szCs w:val="24"/>
        </w:rPr>
        <w:t>might</w:t>
      </w:r>
      <w:commentRangeEnd w:id="4"/>
      <w:r>
        <w:commentReference w:id="4"/>
      </w:r>
      <w:r>
        <w:rPr>
          <w:rFonts w:ascii="Times New Roman" w:hAnsi="Times New Roman" w:eastAsia="Calibri" w:cs="Times New Roman"/>
          <w:sz w:val="24"/>
          <w:szCs w:val="24"/>
        </w:rPr>
        <w:t xml:space="preserve"> have happened due to more weed density and dry matter accumulation in FYM applied plot. In addition, weeds have combined competitive characteristics such as high nitrogen use efficiency, high growth rate and luxury consumption with high photosynthetic rate. These results corroborate to the findings of </w:t>
      </w:r>
      <w:bookmarkStart w:id="3" w:name="_Hlk194521225"/>
      <w:r>
        <w:rPr>
          <w:rFonts w:ascii="Times New Roman" w:hAnsi="Times New Roman" w:eastAsia="Calibri" w:cs="Times New Roman"/>
          <w:sz w:val="24"/>
          <w:szCs w:val="24"/>
        </w:rPr>
        <w:t xml:space="preserve">Singh </w:t>
      </w:r>
      <w:r>
        <w:rPr>
          <w:rFonts w:ascii="Times New Roman" w:hAnsi="Times New Roman" w:eastAsia="Calibri" w:cs="Times New Roman"/>
          <w:i/>
          <w:iCs/>
          <w:sz w:val="24"/>
          <w:szCs w:val="24"/>
        </w:rPr>
        <w:t>et al.,</w:t>
      </w:r>
      <w:r>
        <w:rPr>
          <w:rFonts w:ascii="Times New Roman" w:hAnsi="Times New Roman" w:eastAsia="Calibri" w:cs="Times New Roman"/>
          <w:sz w:val="24"/>
          <w:szCs w:val="24"/>
        </w:rPr>
        <w:t xml:space="preserve"> 2016; Choubey </w:t>
      </w:r>
      <w:r>
        <w:rPr>
          <w:rFonts w:ascii="Times New Roman" w:hAnsi="Times New Roman" w:eastAsia="Calibri" w:cs="Times New Roman"/>
          <w:i/>
          <w:iCs/>
          <w:sz w:val="24"/>
          <w:szCs w:val="24"/>
        </w:rPr>
        <w:t>et al.</w:t>
      </w:r>
      <w:r>
        <w:rPr>
          <w:rFonts w:ascii="Times New Roman" w:hAnsi="Times New Roman" w:eastAsia="Calibri" w:cs="Times New Roman"/>
          <w:sz w:val="24"/>
          <w:szCs w:val="24"/>
        </w:rPr>
        <w:t>, 1998 and Ampong-Nyarko and De Datta, 1993</w:t>
      </w:r>
      <w:bookmarkEnd w:id="3"/>
      <w:r>
        <w:rPr>
          <w:rFonts w:ascii="Times New Roman" w:hAnsi="Times New Roman" w:eastAsia="Calibri" w:cs="Times New Roman"/>
          <w:sz w:val="24"/>
          <w:szCs w:val="24"/>
        </w:rPr>
        <w:t>.</w:t>
      </w:r>
    </w:p>
    <w:p w14:paraId="58767DB6">
      <w:pPr>
        <w:spacing w:before="100" w:beforeAutospacing="1" w:after="100" w:afterAutospacing="1" w:line="240" w:lineRule="auto"/>
        <w:ind w:firstLine="720"/>
        <w:jc w:val="both"/>
        <w:rPr>
          <w:rFonts w:ascii="Times New Roman" w:hAnsi="Times New Roman" w:eastAsia="Calibri" w:cs="Times New Roman"/>
          <w:sz w:val="24"/>
          <w:szCs w:val="24"/>
        </w:rPr>
      </w:pPr>
      <w:r>
        <w:rPr>
          <w:rFonts w:ascii="Times New Roman" w:hAnsi="Times New Roman" w:cs="Times New Roman"/>
          <w:sz w:val="24"/>
          <w:szCs w:val="24"/>
          <w:lang w:bidi="hi-IN"/>
        </w:rPr>
        <w:t xml:space="preserve">Amongst weed management practices, hand weeding (20 and 40 DAS) recorded significantly maximum weed control efficiency compared to all the weed management treatments. It was due to lesser weed dry matter in manual weeding. The higher weed control efficiency in manual weeding methods also reported by </w:t>
      </w:r>
      <w:bookmarkStart w:id="4" w:name="_Hlk194521252"/>
      <w:r>
        <w:rPr>
          <w:rFonts w:ascii="Times New Roman" w:hAnsi="Times New Roman" w:cs="Times New Roman"/>
          <w:sz w:val="24"/>
          <w:szCs w:val="24"/>
          <w:lang w:bidi="hi-IN"/>
        </w:rPr>
        <w:t xml:space="preserve">Kumar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(2012</w:t>
      </w:r>
      <w:bookmarkEnd w:id="4"/>
      <w:r>
        <w:rPr>
          <w:rFonts w:ascii="Times New Roman" w:hAnsi="Times New Roman" w:cs="Times New Roman"/>
          <w:sz w:val="24"/>
          <w:szCs w:val="24"/>
          <w:lang w:bidi="hi-IN"/>
        </w:rPr>
        <w:t xml:space="preserve">) and </w:t>
      </w:r>
      <w:bookmarkStart w:id="5" w:name="_Hlk194521264"/>
      <w:r>
        <w:rPr>
          <w:rFonts w:ascii="Times New Roman" w:hAnsi="Times New Roman" w:cs="Times New Roman"/>
          <w:sz w:val="24"/>
          <w:szCs w:val="24"/>
          <w:lang w:bidi="hi-IN"/>
        </w:rPr>
        <w:t xml:space="preserve">Yogananda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(2019</w:t>
      </w:r>
      <w:bookmarkEnd w:id="5"/>
      <w:r>
        <w:rPr>
          <w:rFonts w:ascii="Times New Roman" w:hAnsi="Times New Roman" w:cs="Times New Roman"/>
          <w:sz w:val="24"/>
          <w:szCs w:val="24"/>
          <w:lang w:bidi="hi-IN"/>
        </w:rPr>
        <w:t xml:space="preserve">). At 20 DAS, the highest weed control efficiency was recorded in </w:t>
      </w:r>
      <w:r>
        <w:rPr>
          <w:rFonts w:ascii="Times New Roman" w:hAnsi="Times New Roman" w:cs="Times New Roman"/>
          <w:iCs/>
          <w:sz w:val="24"/>
          <w:szCs w:val="24"/>
        </w:rPr>
        <w:t>W</w:t>
      </w:r>
      <w:r>
        <w:rPr>
          <w:rFonts w:ascii="Times New Roman" w:hAnsi="Times New Roman" w:cs="Times New Roman"/>
          <w:iCs/>
          <w:sz w:val="24"/>
          <w:szCs w:val="24"/>
          <w:vertAlign w:val="subscript"/>
        </w:rPr>
        <w:t>4</w:t>
      </w:r>
      <w:r>
        <w:rPr>
          <w:rFonts w:ascii="Times New Roman" w:hAnsi="Times New Roman" w:cs="Times New Roman"/>
          <w:iCs/>
          <w:sz w:val="24"/>
          <w:szCs w:val="24"/>
        </w:rPr>
        <w:t xml:space="preserve"> (</w:t>
      </w:r>
      <w:r>
        <w:rPr>
          <w:rFonts w:ascii="Times New Roman" w:hAnsi="Times New Roman" w:cs="Times New Roman"/>
          <w:sz w:val="24"/>
          <w:szCs w:val="24"/>
          <w:lang w:bidi="hi-IN"/>
        </w:rPr>
        <w:t>pendimethalin 1 kg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PE </w:t>
      </w:r>
      <w:r>
        <w:rPr>
          <w:rFonts w:ascii="Times New Roman" w:hAnsi="Times New Roman" w:cs="Times New Roman"/>
          <w:i/>
          <w:iCs/>
          <w:sz w:val="24"/>
          <w:szCs w:val="24"/>
          <w:lang w:bidi="hi-IN"/>
        </w:rPr>
        <w:t>fb</w:t>
      </w:r>
      <w:r>
        <w:rPr>
          <w:rFonts w:ascii="Times New Roman" w:hAnsi="Times New Roman" w:cs="Times New Roman"/>
          <w:sz w:val="24"/>
          <w:szCs w:val="24"/>
          <w:lang w:bidi="hi-IN"/>
        </w:rPr>
        <w:t xml:space="preserve"> </w:t>
      </w:r>
      <w:r>
        <w:rPr>
          <w:rFonts w:ascii="Times New Roman" w:hAnsi="Times New Roman" w:cs="Times New Roman"/>
          <w:sz w:val="24"/>
          <w:szCs w:val="24"/>
        </w:rPr>
        <w:t>bispyribac Na 25 g a.i. ha</w:t>
      </w:r>
      <w:r>
        <w:rPr>
          <w:rFonts w:ascii="Times New Roman" w:hAnsi="Times New Roman" w:cs="Times New Roman"/>
          <w:sz w:val="24"/>
          <w:szCs w:val="24"/>
          <w:vertAlign w:val="superscript"/>
        </w:rPr>
        <w:t>-1</w:t>
      </w:r>
      <w:r>
        <w:rPr>
          <w:rFonts w:ascii="Times New Roman" w:hAnsi="Times New Roman" w:cs="Times New Roman"/>
          <w:sz w:val="24"/>
          <w:szCs w:val="24"/>
          <w:lang w:bidi="hi-IN"/>
        </w:rPr>
        <w:t xml:space="preserve"> at 2-4 leaves stage of weed) which was statistically at par with W</w:t>
      </w:r>
      <w:r>
        <w:rPr>
          <w:rFonts w:ascii="Times New Roman" w:hAnsi="Times New Roman" w:cs="Times New Roman"/>
          <w:sz w:val="24"/>
          <w:szCs w:val="24"/>
          <w:vertAlign w:val="subscript"/>
          <w:lang w:bidi="hi-IN"/>
        </w:rPr>
        <w:t>3</w:t>
      </w:r>
      <w:r>
        <w:rPr>
          <w:rFonts w:ascii="Times New Roman" w:hAnsi="Times New Roman" w:cs="Times New Roman"/>
          <w:sz w:val="24"/>
          <w:szCs w:val="24"/>
          <w:lang w:bidi="hi-IN"/>
        </w:rPr>
        <w:t xml:space="preserve"> (wheat straw mulching 4 t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w:t>
      </w:r>
      <w:r>
        <w:rPr>
          <w:rFonts w:ascii="Times New Roman" w:hAnsi="Times New Roman" w:cs="Times New Roman"/>
          <w:i/>
          <w:sz w:val="24"/>
          <w:szCs w:val="24"/>
          <w:lang w:bidi="hi-IN"/>
        </w:rPr>
        <w:t>fb</w:t>
      </w:r>
      <w:r>
        <w:rPr>
          <w:rFonts w:ascii="Times New Roman" w:hAnsi="Times New Roman" w:cs="Times New Roman"/>
          <w:sz w:val="24"/>
          <w:szCs w:val="24"/>
          <w:lang w:bidi="hi-IN"/>
        </w:rPr>
        <w:t xml:space="preserve"> bispyribac Na 25 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at 2-4 leaves stage of weed) but superior than other treatments. The result can be explained with the fact that pre-emergence application of pendimethalin inhibited weeds gemination, reduced weed density and dry matter accumulation of weeds. Chongtham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(2015) also have reported that pendimethalin application as per-emergence controlled initial weeds flush and their dry matter accumulation. Application of treatment W</w:t>
      </w:r>
      <w:r>
        <w:rPr>
          <w:rFonts w:ascii="Times New Roman" w:hAnsi="Times New Roman" w:cs="Times New Roman"/>
          <w:sz w:val="24"/>
          <w:szCs w:val="24"/>
          <w:vertAlign w:val="subscript"/>
          <w:lang w:bidi="hi-IN"/>
        </w:rPr>
        <w:t>3</w:t>
      </w:r>
      <w:r>
        <w:rPr>
          <w:rFonts w:ascii="Times New Roman" w:hAnsi="Times New Roman" w:cs="Times New Roman"/>
          <w:sz w:val="24"/>
          <w:szCs w:val="24"/>
          <w:lang w:bidi="hi-IN"/>
        </w:rPr>
        <w:t xml:space="preserve"> (wheat straw mulching 4 t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w:t>
      </w:r>
      <w:r>
        <w:rPr>
          <w:rFonts w:ascii="Times New Roman" w:hAnsi="Times New Roman" w:cs="Times New Roman"/>
          <w:i/>
          <w:sz w:val="24"/>
          <w:szCs w:val="24"/>
          <w:lang w:bidi="hi-IN"/>
        </w:rPr>
        <w:t>fb</w:t>
      </w:r>
      <w:r>
        <w:rPr>
          <w:rFonts w:ascii="Times New Roman" w:hAnsi="Times New Roman" w:cs="Times New Roman"/>
          <w:sz w:val="24"/>
          <w:szCs w:val="24"/>
          <w:lang w:bidi="hi-IN"/>
        </w:rPr>
        <w:t xml:space="preserve"> bispyribac Na 25 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at 2-4 leaves stage of weed) accounted for significantly maximum weed control efficiency over other weed management practices, except, </w:t>
      </w:r>
      <w:r>
        <w:rPr>
          <w:rFonts w:ascii="Times New Roman" w:hAnsi="Times New Roman" w:cs="Times New Roman"/>
          <w:iCs/>
          <w:sz w:val="24"/>
          <w:szCs w:val="24"/>
        </w:rPr>
        <w:t>W</w:t>
      </w:r>
      <w:r>
        <w:rPr>
          <w:rFonts w:ascii="Times New Roman" w:hAnsi="Times New Roman" w:cs="Times New Roman"/>
          <w:iCs/>
          <w:sz w:val="24"/>
          <w:szCs w:val="24"/>
          <w:vertAlign w:val="subscript"/>
        </w:rPr>
        <w:t>4</w:t>
      </w:r>
      <w:r>
        <w:rPr>
          <w:rFonts w:ascii="Times New Roman" w:hAnsi="Times New Roman" w:cs="Times New Roman"/>
          <w:iCs/>
          <w:sz w:val="24"/>
          <w:szCs w:val="24"/>
        </w:rPr>
        <w:t xml:space="preserve"> (</w:t>
      </w:r>
      <w:r>
        <w:rPr>
          <w:rFonts w:ascii="Times New Roman" w:hAnsi="Times New Roman" w:cs="Times New Roman"/>
          <w:sz w:val="24"/>
          <w:szCs w:val="24"/>
          <w:lang w:bidi="hi-IN"/>
        </w:rPr>
        <w:t>pendimethalin 1 kg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PE </w:t>
      </w:r>
      <w:r>
        <w:rPr>
          <w:rFonts w:ascii="Times New Roman" w:hAnsi="Times New Roman" w:cs="Times New Roman"/>
          <w:i/>
          <w:iCs/>
          <w:sz w:val="24"/>
          <w:szCs w:val="24"/>
          <w:lang w:bidi="hi-IN"/>
        </w:rPr>
        <w:t>fb</w:t>
      </w:r>
      <w:r>
        <w:rPr>
          <w:rFonts w:ascii="Times New Roman" w:hAnsi="Times New Roman" w:cs="Times New Roman"/>
          <w:sz w:val="24"/>
          <w:szCs w:val="24"/>
          <w:lang w:bidi="hi-IN"/>
        </w:rPr>
        <w:t xml:space="preserve"> </w:t>
      </w:r>
      <w:r>
        <w:rPr>
          <w:rFonts w:ascii="Times New Roman" w:hAnsi="Times New Roman" w:cs="Times New Roman"/>
          <w:sz w:val="24"/>
          <w:szCs w:val="24"/>
        </w:rPr>
        <w:t>bispyribac Na 25 g a.i. ha</w:t>
      </w:r>
      <w:r>
        <w:rPr>
          <w:rFonts w:ascii="Times New Roman" w:hAnsi="Times New Roman" w:cs="Times New Roman"/>
          <w:sz w:val="24"/>
          <w:szCs w:val="24"/>
          <w:vertAlign w:val="superscript"/>
        </w:rPr>
        <w:t>-1</w:t>
      </w:r>
      <w:r>
        <w:rPr>
          <w:rFonts w:ascii="Times New Roman" w:hAnsi="Times New Roman" w:cs="Times New Roman"/>
          <w:sz w:val="24"/>
          <w:szCs w:val="24"/>
          <w:lang w:bidi="hi-IN"/>
        </w:rPr>
        <w:t xml:space="preserve"> at 2-4 leaves stage of weeds).</w:t>
      </w:r>
      <w:r>
        <w:rPr>
          <w:rFonts w:ascii="Times New Roman" w:hAnsi="Times New Roman" w:eastAsia="Calibri" w:cs="Times New Roman"/>
          <w:sz w:val="24"/>
          <w:szCs w:val="24"/>
        </w:rPr>
        <w:t xml:space="preserve"> This </w:t>
      </w:r>
      <w:commentRangeStart w:id="5"/>
      <w:r>
        <w:rPr>
          <w:rFonts w:ascii="Times New Roman" w:hAnsi="Times New Roman" w:eastAsia="Calibri" w:cs="Times New Roman"/>
          <w:sz w:val="24"/>
          <w:szCs w:val="24"/>
        </w:rPr>
        <w:t>might b</w:t>
      </w:r>
      <w:commentRangeEnd w:id="5"/>
      <w:r>
        <w:commentReference w:id="5"/>
      </w:r>
      <w:r>
        <w:rPr>
          <w:rFonts w:ascii="Times New Roman" w:hAnsi="Times New Roman" w:eastAsia="Calibri" w:cs="Times New Roman"/>
          <w:sz w:val="24"/>
          <w:szCs w:val="24"/>
        </w:rPr>
        <w:t>e due to lower weed dry matter accumulation in this treatment. The release of allelochemicals from mulch, reductions in light transmittance, and fluctuations in thermal amplitude by the residue cover have been known to reduce the emergence of many weeds (Teasdale and Möhler 1993). The presence of residue cover may not only decrease weed emergence but also delay weed seed germination. It could be concluded that late-emerging weeds are likely to face greater competition for resources from the crop that might reduce dry matter accumulation (Chauhan and Johnson 2010b). Combination of bispyribac in this treatment, further provides synergy due to reduction in dry weight accumulation of weeds emerged above the crop residue.</w:t>
      </w:r>
      <w:r>
        <w:rPr>
          <w:rFonts w:ascii="Times New Roman" w:hAnsi="Times New Roman" w:cs="Times New Roman"/>
          <w:sz w:val="24"/>
          <w:szCs w:val="24"/>
        </w:rPr>
        <w:t xml:space="preserve"> Chouhan and Abugho (2013) observed that the combination of mulch and herbicide spray reduced weed biomass compared to using herbicide alone.</w:t>
      </w:r>
    </w:p>
    <w:p w14:paraId="54C19BD6">
      <w:pPr>
        <w:spacing w:after="0" w:line="24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Weed index</w:t>
      </w:r>
    </w:p>
    <w:p w14:paraId="22845016">
      <w:pPr>
        <w:spacing w:after="0" w:line="24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Weed index is an ideal measure of crop yield reduction due </w:t>
      </w:r>
      <w:r>
        <w:commentReference w:id="6"/>
      </w:r>
      <w:r>
        <w:rPr>
          <w:rFonts w:ascii="Times New Roman" w:hAnsi="Times New Roman" w:cs="Times New Roman"/>
          <w:sz w:val="24"/>
          <w:szCs w:val="24"/>
          <w:lang w:bidi="hi-IN"/>
        </w:rPr>
        <w:t xml:space="preserve">weed infestation in comparison with weed free plots reported by Suria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(2011). The data presented in </w:t>
      </w:r>
      <w:r>
        <w:rPr>
          <w:rFonts w:ascii="Times New Roman" w:hAnsi="Times New Roman" w:cs="Times New Roman"/>
          <w:color w:val="000000" w:themeColor="text1"/>
          <w:sz w:val="24"/>
          <w:szCs w:val="24"/>
          <w:lang w:bidi="hi-IN"/>
          <w14:textFill>
            <w14:solidFill>
              <w14:schemeClr w14:val="tx1"/>
            </w14:solidFill>
          </w14:textFill>
        </w:rPr>
        <w:t>table 2</w:t>
      </w:r>
      <w:r>
        <w:rPr>
          <w:rFonts w:ascii="Times New Roman" w:hAnsi="Times New Roman" w:cs="Times New Roman"/>
          <w:color w:val="FF0000"/>
          <w:sz w:val="24"/>
          <w:szCs w:val="24"/>
          <w:lang w:bidi="hi-IN"/>
        </w:rPr>
        <w:t xml:space="preserve"> </w:t>
      </w:r>
      <w:r>
        <w:rPr>
          <w:rFonts w:ascii="Times New Roman" w:hAnsi="Times New Roman" w:cs="Times New Roman"/>
          <w:sz w:val="24"/>
          <w:szCs w:val="24"/>
          <w:lang w:bidi="hi-IN"/>
        </w:rPr>
        <w:t>as affected by different integrated sources of nitrogen and weed management practices for both year of observation.</w:t>
      </w:r>
    </w:p>
    <w:p w14:paraId="4C811C99">
      <w:pPr>
        <w:spacing w:before="100" w:beforeAutospacing="1" w:after="100" w:afterAutospacing="1" w:line="24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Among integrated nitrogen sources, a lower weed index was recorded in </w:t>
      </w:r>
      <w:r>
        <w:rPr>
          <w:rFonts w:ascii="Times New Roman" w:hAnsi="Times New Roman" w:eastAsia="Calibri" w:cs="Times New Roman"/>
          <w:sz w:val="24"/>
          <w:szCs w:val="24"/>
        </w:rPr>
        <w:t>N</w:t>
      </w:r>
      <w:r>
        <w:rPr>
          <w:rFonts w:ascii="Times New Roman" w:hAnsi="Times New Roman" w:eastAsia="Calibri" w:cs="Times New Roman"/>
          <w:sz w:val="24"/>
          <w:szCs w:val="24"/>
          <w:vertAlign w:val="subscript"/>
        </w:rPr>
        <w:t>3</w:t>
      </w:r>
      <w:r>
        <w:rPr>
          <w:rFonts w:ascii="Times New Roman" w:hAnsi="Times New Roman" w:eastAsia="Calibri" w:cs="Times New Roman"/>
          <w:sz w:val="24"/>
          <w:szCs w:val="24"/>
        </w:rPr>
        <w:t xml:space="preserve"> (</w:t>
      </w:r>
      <w:r>
        <w:rPr>
          <w:rFonts w:ascii="Times New Roman" w:hAnsi="Times New Roman" w:cs="Times New Roman"/>
          <w:kern w:val="24"/>
          <w:sz w:val="24"/>
          <w:szCs w:val="24"/>
        </w:rPr>
        <w:t>75% RDN (inorganic) + 25% through VC</w:t>
      </w:r>
      <w:r>
        <w:rPr>
          <w:rFonts w:ascii="Times New Roman" w:hAnsi="Times New Roman" w:eastAsia="Calibri" w:cs="Times New Roman"/>
          <w:sz w:val="24"/>
          <w:szCs w:val="24"/>
        </w:rPr>
        <w:t>) which might be due to lesser crop-weed competition as indicated by minimum weed dry weight in this treatment, thus the grain yield of direct seeded rice was least affected. The minimum weed index value in this treatment may be attributed to higher grain yield. The use of organic manure in combination with inorganic sources provides balance nutrient to the plants which led to higher growth and yield attributes and the final yield of the crop. All other treatments recorded minimum weed index values as compared to N</w:t>
      </w:r>
      <w:r>
        <w:rPr>
          <w:rFonts w:ascii="Times New Roman" w:hAnsi="Times New Roman" w:eastAsia="Calibri" w:cs="Times New Roman"/>
          <w:sz w:val="24"/>
          <w:szCs w:val="24"/>
          <w:vertAlign w:val="subscript"/>
        </w:rPr>
        <w:t>0</w:t>
      </w:r>
      <w:r>
        <w:rPr>
          <w:rFonts w:ascii="Times New Roman" w:hAnsi="Times New Roman" w:eastAsia="Calibri" w:cs="Times New Roman"/>
          <w:sz w:val="24"/>
          <w:szCs w:val="24"/>
        </w:rPr>
        <w:t xml:space="preserve"> </w:t>
      </w:r>
      <w:r>
        <w:rPr>
          <w:rFonts w:ascii="Times New Roman" w:hAnsi="Times New Roman" w:cs="Times New Roman"/>
          <w:sz w:val="24"/>
          <w:szCs w:val="24"/>
        </w:rPr>
        <w:t>(only P</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and K). This might be due to a lack of nitrogen which has a significant role in promoting crop growth and development, resulting reduction in rice grain yield. </w:t>
      </w:r>
    </w:p>
    <w:p w14:paraId="1032F4FF">
      <w:pPr>
        <w:spacing w:before="100" w:beforeAutospacing="1" w:after="100" w:afterAutospacing="1" w:line="24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All the weed control treatments noticed a significant reduction in weed density and weed dry matter in comparison to the weedy check resulting in a lower weed index. Two hand weeding at 20 and 40 DAS recorded least weed index than other treatments during both years of study. Lower weed index under this treatment, most probably due to minimum crop-weed competition, lower dry weight accumulation of weeds and better weed control efficiency as a result grain yield was least affected by weeds. The findings of scientists indicated that hand weeding at critical stages, helped prevent yield loss due to weeds (Yogananda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2019 and Saravanane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2016). This was followed by W</w:t>
      </w:r>
      <w:r>
        <w:rPr>
          <w:rFonts w:ascii="Times New Roman" w:hAnsi="Times New Roman" w:cs="Times New Roman"/>
          <w:sz w:val="24"/>
          <w:szCs w:val="24"/>
          <w:vertAlign w:val="subscript"/>
          <w:lang w:bidi="hi-IN"/>
        </w:rPr>
        <w:t>3</w:t>
      </w:r>
      <w:r>
        <w:rPr>
          <w:rFonts w:ascii="Times New Roman" w:hAnsi="Times New Roman" w:cs="Times New Roman"/>
          <w:sz w:val="24"/>
          <w:szCs w:val="24"/>
          <w:lang w:bidi="hi-IN"/>
        </w:rPr>
        <w:t xml:space="preserve"> (wheat straw mulching 4 t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w:t>
      </w:r>
      <w:r>
        <w:rPr>
          <w:rFonts w:ascii="Times New Roman" w:hAnsi="Times New Roman" w:cs="Times New Roman"/>
          <w:i/>
          <w:sz w:val="24"/>
          <w:szCs w:val="24"/>
          <w:lang w:bidi="hi-IN"/>
        </w:rPr>
        <w:t>fb</w:t>
      </w:r>
      <w:r>
        <w:rPr>
          <w:rFonts w:ascii="Times New Roman" w:hAnsi="Times New Roman" w:cs="Times New Roman"/>
          <w:sz w:val="24"/>
          <w:szCs w:val="24"/>
          <w:lang w:bidi="hi-IN"/>
        </w:rPr>
        <w:t xml:space="preserve"> bispyribac Na 25 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at 2-4 leaves stage of weed). The lower weed index in this treatment might be due to the lower weed density and dry matter accumulation and higher weed control efficiency. Consequently, higher grain yield of rice. These results corroborated the finding of Fazil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(2022) who had opined that post-emergence application of herbicide control escaped weeds and reduces yield loss. Moreover, all the weed management practices had lower weed index values in comparison to the weedy check. The maximum weed index observed under weedy check might be due to maximum weeds growth throughout the crop growth cycle, leading to intense weed competition for resources and hence minimum yield (Mishra </w:t>
      </w:r>
      <w:r>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2016 and Yogananda </w:t>
      </w:r>
      <w:r>
        <w:rPr>
          <w:rFonts w:ascii="Times New Roman" w:hAnsi="Times New Roman" w:cs="Times New Roman"/>
          <w:i/>
          <w:iCs/>
          <w:sz w:val="24"/>
          <w:szCs w:val="24"/>
          <w:lang w:bidi="hi-IN"/>
        </w:rPr>
        <w:t xml:space="preserve">et al., </w:t>
      </w:r>
      <w:r>
        <w:rPr>
          <w:rFonts w:ascii="Times New Roman" w:hAnsi="Times New Roman" w:cs="Times New Roman"/>
          <w:sz w:val="24"/>
          <w:szCs w:val="24"/>
          <w:lang w:bidi="hi-IN"/>
        </w:rPr>
        <w:t>2019).</w:t>
      </w:r>
    </w:p>
    <w:p w14:paraId="0DEDA532">
      <w:pPr>
        <w:spacing w:after="0" w:line="240" w:lineRule="auto"/>
        <w:jc w:val="both"/>
        <w:rPr>
          <w:rFonts w:ascii="Times New Roman" w:hAnsi="Times New Roman" w:cs="Times New Roman"/>
          <w:b/>
          <w:iCs/>
          <w:color w:val="000000"/>
          <w:sz w:val="24"/>
          <w:szCs w:val="24"/>
        </w:rPr>
      </w:pPr>
      <w:r>
        <w:rPr>
          <w:rFonts w:ascii="Times New Roman" w:hAnsi="Times New Roman" w:cs="Times New Roman"/>
          <w:b/>
          <w:bCs/>
          <w:sz w:val="24"/>
          <w:szCs w:val="24"/>
        </w:rPr>
        <w:t>Nutrient content (%) and removal</w:t>
      </w:r>
    </w:p>
    <w:p w14:paraId="0F113EAA">
      <w:pPr>
        <w:pStyle w:val="15"/>
        <w:ind w:firstLine="720"/>
        <w:jc w:val="both"/>
        <w:rPr>
          <w:rFonts w:ascii="Times New Roman" w:hAnsi="Times New Roman" w:eastAsia="Calibri" w:cs="Times New Roman"/>
        </w:rPr>
      </w:pPr>
      <w:r>
        <w:rPr>
          <w:rFonts w:ascii="Times New Roman" w:hAnsi="Times New Roman" w:cs="Times New Roman"/>
        </w:rPr>
        <w:t xml:space="preserve">Nutrients (N, P and K) content (Table 3) and removal by weeds (Table 4) were significantly affected due to integrated nitrogen and weed management practices at 60 and 80 DAS during both year of investigation. Nutrient removal is a function of N, P and K content in weed and weed dry weight. The weeds grow relatively faster than crop plants and absorb available nutrients earlier, and deplete nutrient from the soil resulting in decreased availability of nutrients to crop. In general, nutrient content in weeds found in the trends of potassium &gt; nitrogen &gt; phosphorus. It was evident from the data that the minimum nutrients (N, P and K) content and depletion was recorded in </w:t>
      </w:r>
      <w:r>
        <w:rPr>
          <w:rFonts w:ascii="Times New Roman" w:hAnsi="Times New Roman" w:eastAsia="Calibri" w:cs="Times New Roman"/>
        </w:rPr>
        <w:t>N</w:t>
      </w:r>
      <w:r>
        <w:rPr>
          <w:rFonts w:ascii="Times New Roman" w:hAnsi="Times New Roman" w:eastAsia="Calibri" w:cs="Times New Roman"/>
          <w:vertAlign w:val="subscript"/>
        </w:rPr>
        <w:t>0</w:t>
      </w:r>
      <w:r>
        <w:rPr>
          <w:rFonts w:ascii="Times New Roman" w:hAnsi="Times New Roman" w:eastAsia="Calibri" w:cs="Times New Roman"/>
        </w:rPr>
        <w:t xml:space="preserve"> </w:t>
      </w:r>
      <w:r>
        <w:rPr>
          <w:rFonts w:ascii="Times New Roman" w:hAnsi="Times New Roman" w:cs="Times New Roman"/>
        </w:rPr>
        <w:t xml:space="preserve">(only P and K) might be due to minimum dry matter of weed in this treatment and nutrient removal is known to be directly correlated to weed dry matter accumulation. Moreover, significantly maximum nutrient content and depletion by weeds was noticed in </w:t>
      </w:r>
      <w:r>
        <w:rPr>
          <w:rFonts w:ascii="Times New Roman" w:hAnsi="Times New Roman" w:eastAsia="Calibri" w:cs="Times New Roman"/>
        </w:rPr>
        <w:t>N</w:t>
      </w:r>
      <w:r>
        <w:rPr>
          <w:rFonts w:ascii="Times New Roman" w:hAnsi="Times New Roman" w:eastAsia="Calibri" w:cs="Times New Roman"/>
          <w:vertAlign w:val="subscript"/>
        </w:rPr>
        <w:t>2</w:t>
      </w:r>
      <w:r>
        <w:rPr>
          <w:rFonts w:ascii="Times New Roman" w:hAnsi="Times New Roman" w:eastAsia="Calibri" w:cs="Times New Roman"/>
        </w:rPr>
        <w:t xml:space="preserve"> (</w:t>
      </w:r>
      <w:r>
        <w:rPr>
          <w:rFonts w:ascii="Times New Roman" w:hAnsi="Times New Roman" w:cs="Times New Roman"/>
          <w:kern w:val="24"/>
        </w:rPr>
        <w:t>75% RDN (inorganic) + 25% through FYM</w:t>
      </w:r>
      <w:r>
        <w:rPr>
          <w:rFonts w:ascii="Times New Roman" w:hAnsi="Times New Roman" w:eastAsia="Calibri" w:cs="Times New Roman"/>
        </w:rPr>
        <w:t>)</w:t>
      </w:r>
      <w:r>
        <w:rPr>
          <w:rFonts w:ascii="Times New Roman" w:hAnsi="Times New Roman" w:cs="Times New Roman"/>
        </w:rPr>
        <w:t xml:space="preserve"> over control nevertheless it remained statistically at par with </w:t>
      </w:r>
      <w:r>
        <w:rPr>
          <w:rFonts w:ascii="Times New Roman" w:hAnsi="Times New Roman" w:eastAsia="Calibri" w:cs="Times New Roman"/>
        </w:rPr>
        <w:t>N</w:t>
      </w:r>
      <w:r>
        <w:rPr>
          <w:rFonts w:ascii="Times New Roman" w:hAnsi="Times New Roman" w:eastAsia="Calibri" w:cs="Times New Roman"/>
          <w:vertAlign w:val="subscript"/>
        </w:rPr>
        <w:t>3</w:t>
      </w:r>
      <w:r>
        <w:rPr>
          <w:rFonts w:ascii="Times New Roman" w:hAnsi="Times New Roman" w:eastAsia="Calibri" w:cs="Times New Roman"/>
        </w:rPr>
        <w:t xml:space="preserve"> (</w:t>
      </w:r>
      <w:r>
        <w:rPr>
          <w:rFonts w:ascii="Times New Roman" w:hAnsi="Times New Roman" w:cs="Times New Roman"/>
          <w:kern w:val="24"/>
        </w:rPr>
        <w:t>75% RDN (inorganic) + 25% through VC</w:t>
      </w:r>
      <w:r>
        <w:rPr>
          <w:rFonts w:ascii="Times New Roman" w:hAnsi="Times New Roman" w:eastAsia="Calibri" w:cs="Times New Roman"/>
        </w:rPr>
        <w:t>) and N</w:t>
      </w:r>
      <w:r>
        <w:rPr>
          <w:rFonts w:ascii="Times New Roman" w:hAnsi="Times New Roman" w:eastAsia="Calibri" w:cs="Times New Roman"/>
          <w:vertAlign w:val="subscript"/>
        </w:rPr>
        <w:t>1</w:t>
      </w:r>
      <w:r>
        <w:rPr>
          <w:rFonts w:ascii="Times New Roman" w:hAnsi="Times New Roman" w:eastAsia="Calibri" w:cs="Times New Roman"/>
        </w:rPr>
        <w:t xml:space="preserve"> (100% nitrogen through inorganic) considerably due to higher weed density and dry matter of weeds (</w:t>
      </w:r>
      <w:bookmarkStart w:id="6" w:name="_Hlk194521397"/>
      <w:r>
        <w:rPr>
          <w:rFonts w:ascii="Times New Roman" w:hAnsi="Times New Roman" w:eastAsia="Calibri" w:cs="Times New Roman"/>
        </w:rPr>
        <w:t xml:space="preserve">Borah </w:t>
      </w:r>
      <w:r>
        <w:rPr>
          <w:rFonts w:ascii="Times New Roman" w:hAnsi="Times New Roman" w:eastAsia="Calibri" w:cs="Times New Roman"/>
          <w:i/>
          <w:iCs/>
        </w:rPr>
        <w:t>et al.,</w:t>
      </w:r>
      <w:r>
        <w:rPr>
          <w:rFonts w:ascii="Times New Roman" w:hAnsi="Times New Roman" w:eastAsia="Calibri" w:cs="Times New Roman"/>
        </w:rPr>
        <w:t xml:space="preserve"> 2015</w:t>
      </w:r>
      <w:bookmarkEnd w:id="6"/>
      <w:r>
        <w:rPr>
          <w:rFonts w:ascii="Times New Roman" w:hAnsi="Times New Roman" w:eastAsia="Calibri" w:cs="Times New Roman"/>
        </w:rPr>
        <w:t>).</w:t>
      </w:r>
    </w:p>
    <w:p w14:paraId="7BBE03D8">
      <w:pPr>
        <w:spacing w:before="100" w:beforeAutospacing="1" w:after="100" w:afterAutospacing="1"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In case of weed management practices, it was noticed that significantly lowest nutrients (N, P, K) were removed by weed in two hand weeding treatment (W</w:t>
      </w:r>
      <w:r>
        <w:rPr>
          <w:rFonts w:ascii="Times New Roman" w:hAnsi="Times New Roman" w:eastAsia="Calibri" w:cs="Times New Roman"/>
          <w:sz w:val="24"/>
          <w:szCs w:val="24"/>
          <w:vertAlign w:val="subscript"/>
        </w:rPr>
        <w:t>1</w:t>
      </w:r>
      <w:r>
        <w:rPr>
          <w:rFonts w:ascii="Times New Roman" w:hAnsi="Times New Roman" w:eastAsia="Calibri" w:cs="Times New Roman"/>
          <w:sz w:val="24"/>
          <w:szCs w:val="24"/>
        </w:rPr>
        <w:t xml:space="preserve">) at both stages of crop. Moreover, among other weed management options minimum nutrient depletion by weeds was caused in treatment </w:t>
      </w:r>
      <w:r>
        <w:rPr>
          <w:rFonts w:ascii="Times New Roman" w:hAnsi="Times New Roman" w:cs="Times New Roman"/>
          <w:sz w:val="24"/>
          <w:szCs w:val="24"/>
          <w:lang w:bidi="hi-IN"/>
        </w:rPr>
        <w:t>W</w:t>
      </w:r>
      <w:r>
        <w:rPr>
          <w:rFonts w:ascii="Times New Roman" w:hAnsi="Times New Roman" w:cs="Times New Roman"/>
          <w:sz w:val="24"/>
          <w:szCs w:val="24"/>
          <w:vertAlign w:val="subscript"/>
          <w:lang w:bidi="hi-IN"/>
        </w:rPr>
        <w:t>3</w:t>
      </w:r>
      <w:r>
        <w:rPr>
          <w:rFonts w:ascii="Times New Roman" w:hAnsi="Times New Roman" w:cs="Times New Roman"/>
          <w:sz w:val="24"/>
          <w:szCs w:val="24"/>
          <w:lang w:bidi="hi-IN"/>
        </w:rPr>
        <w:t xml:space="preserve"> (wheat straw mulching 4 t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w:t>
      </w:r>
      <w:r>
        <w:rPr>
          <w:rFonts w:ascii="Times New Roman" w:hAnsi="Times New Roman" w:cs="Times New Roman"/>
          <w:i/>
          <w:sz w:val="24"/>
          <w:szCs w:val="24"/>
          <w:lang w:bidi="hi-IN"/>
        </w:rPr>
        <w:t>fb</w:t>
      </w:r>
      <w:r>
        <w:rPr>
          <w:rFonts w:ascii="Times New Roman" w:hAnsi="Times New Roman" w:cs="Times New Roman"/>
          <w:sz w:val="24"/>
          <w:szCs w:val="24"/>
          <w:lang w:bidi="hi-IN"/>
        </w:rPr>
        <w:t xml:space="preserve"> bispyribac Na 25 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at 2-4 leaves stage of weed) </w:t>
      </w:r>
      <w:commentRangeStart w:id="7"/>
      <w:r>
        <w:rPr>
          <w:rFonts w:ascii="Times New Roman" w:hAnsi="Times New Roman" w:cs="Times New Roman"/>
          <w:sz w:val="24"/>
          <w:szCs w:val="24"/>
          <w:lang w:bidi="hi-IN"/>
        </w:rPr>
        <w:t xml:space="preserve">followed by </w:t>
      </w:r>
      <w:r>
        <w:rPr>
          <w:rFonts w:ascii="Times New Roman" w:hAnsi="Times New Roman" w:cs="Times New Roman"/>
          <w:i/>
          <w:iCs/>
          <w:sz w:val="24"/>
          <w:szCs w:val="24"/>
          <w:lang w:bidi="hi-IN"/>
        </w:rPr>
        <w:t>Sesbania</w:t>
      </w:r>
      <w:r>
        <w:rPr>
          <w:rFonts w:ascii="Times New Roman" w:hAnsi="Times New Roman" w:cs="Times New Roman"/>
          <w:sz w:val="24"/>
          <w:szCs w:val="24"/>
          <w:lang w:bidi="hi-IN"/>
        </w:rPr>
        <w:t xml:space="preserve"> brown manuring</w:t>
      </w:r>
      <w:commentRangeEnd w:id="7"/>
      <w:r>
        <w:commentReference w:id="7"/>
      </w:r>
      <w:r>
        <w:rPr>
          <w:rFonts w:ascii="Times New Roman" w:hAnsi="Times New Roman" w:cs="Times New Roman"/>
          <w:sz w:val="24"/>
          <w:szCs w:val="24"/>
          <w:lang w:bidi="hi-IN"/>
        </w:rPr>
        <w:t xml:space="preserve"> (W</w:t>
      </w:r>
      <w:r>
        <w:rPr>
          <w:rFonts w:ascii="Times New Roman" w:hAnsi="Times New Roman" w:cs="Times New Roman"/>
          <w:sz w:val="24"/>
          <w:szCs w:val="24"/>
          <w:vertAlign w:val="subscript"/>
          <w:lang w:bidi="hi-IN"/>
        </w:rPr>
        <w:t>2</w:t>
      </w:r>
      <w:r>
        <w:rPr>
          <w:rFonts w:ascii="Times New Roman" w:hAnsi="Times New Roman" w:cs="Times New Roman"/>
          <w:sz w:val="24"/>
          <w:szCs w:val="24"/>
          <w:lang w:bidi="hi-IN"/>
        </w:rPr>
        <w:t>) and comparable with pendimethalin 1 kg a.i. ha</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as PE </w:t>
      </w:r>
      <w:r>
        <w:rPr>
          <w:rFonts w:ascii="Times New Roman" w:hAnsi="Times New Roman" w:cs="Times New Roman"/>
          <w:i/>
          <w:iCs/>
          <w:sz w:val="24"/>
          <w:szCs w:val="24"/>
          <w:lang w:bidi="hi-IN"/>
        </w:rPr>
        <w:t>fb</w:t>
      </w:r>
      <w:r>
        <w:rPr>
          <w:rFonts w:ascii="Times New Roman" w:hAnsi="Times New Roman" w:cs="Times New Roman"/>
          <w:sz w:val="24"/>
          <w:szCs w:val="24"/>
          <w:lang w:bidi="hi-IN"/>
        </w:rPr>
        <w:t xml:space="preserve"> </w:t>
      </w:r>
      <w:r>
        <w:rPr>
          <w:rFonts w:ascii="Times New Roman" w:hAnsi="Times New Roman" w:cs="Times New Roman"/>
          <w:sz w:val="24"/>
          <w:szCs w:val="24"/>
        </w:rPr>
        <w:t>bispyribac Na 25 g a.i. ha</w:t>
      </w:r>
      <w:r>
        <w:rPr>
          <w:rFonts w:ascii="Times New Roman" w:hAnsi="Times New Roman" w:cs="Times New Roman"/>
          <w:sz w:val="24"/>
          <w:szCs w:val="24"/>
          <w:vertAlign w:val="superscript"/>
        </w:rPr>
        <w:t>-1</w:t>
      </w:r>
      <w:r>
        <w:rPr>
          <w:rFonts w:ascii="Times New Roman" w:hAnsi="Times New Roman" w:cs="Times New Roman"/>
          <w:sz w:val="24"/>
          <w:szCs w:val="24"/>
          <w:lang w:bidi="hi-IN"/>
        </w:rPr>
        <w:t xml:space="preserve"> at 2-4 leaves stage of weed (W</w:t>
      </w:r>
      <w:r>
        <w:rPr>
          <w:rFonts w:ascii="Times New Roman" w:hAnsi="Times New Roman" w:cs="Times New Roman"/>
          <w:sz w:val="24"/>
          <w:szCs w:val="24"/>
          <w:vertAlign w:val="subscript"/>
          <w:lang w:bidi="hi-IN"/>
        </w:rPr>
        <w:t>4</w:t>
      </w:r>
      <w:r>
        <w:rPr>
          <w:rFonts w:ascii="Times New Roman" w:hAnsi="Times New Roman" w:cs="Times New Roman"/>
          <w:sz w:val="24"/>
          <w:szCs w:val="24"/>
          <w:lang w:bidi="hi-IN"/>
        </w:rPr>
        <w:t xml:space="preserve">) </w:t>
      </w:r>
      <w:commentRangeStart w:id="8"/>
      <w:r>
        <w:rPr>
          <w:rFonts w:ascii="Times New Roman" w:hAnsi="Times New Roman" w:cs="Times New Roman"/>
          <w:sz w:val="24"/>
          <w:szCs w:val="24"/>
          <w:lang w:bidi="hi-IN"/>
        </w:rPr>
        <w:t xml:space="preserve">at 60 and 80 DAS </w:t>
      </w:r>
      <w:commentRangeEnd w:id="8"/>
      <w:r>
        <w:commentReference w:id="8"/>
      </w:r>
      <w:r>
        <w:rPr>
          <w:rFonts w:ascii="Times New Roman" w:hAnsi="Times New Roman" w:cs="Times New Roman"/>
          <w:sz w:val="24"/>
          <w:szCs w:val="24"/>
          <w:lang w:bidi="hi-IN"/>
        </w:rPr>
        <w:t>during each year of observation.</w:t>
      </w:r>
      <w:r>
        <w:rPr>
          <w:rFonts w:ascii="Times New Roman" w:hAnsi="Times New Roman" w:eastAsia="Calibri" w:cs="Times New Roman"/>
          <w:sz w:val="24"/>
          <w:szCs w:val="24"/>
        </w:rPr>
        <w:t xml:space="preserve"> At both the stages of observation the maximum loss of nitrogen was found in weedy check </w:t>
      </w:r>
      <w:r>
        <w:rPr>
          <w:rFonts w:ascii="Times New Roman" w:hAnsi="Times New Roman" w:cs="Times New Roman"/>
          <w:iCs/>
          <w:sz w:val="24"/>
          <w:szCs w:val="24"/>
        </w:rPr>
        <w:t>(W</w:t>
      </w:r>
      <w:r>
        <w:rPr>
          <w:rFonts w:ascii="Times New Roman" w:hAnsi="Times New Roman" w:cs="Times New Roman"/>
          <w:iCs/>
          <w:sz w:val="24"/>
          <w:szCs w:val="24"/>
          <w:vertAlign w:val="subscript"/>
        </w:rPr>
        <w:t>0</w:t>
      </w:r>
      <w:r>
        <w:rPr>
          <w:rFonts w:ascii="Times New Roman" w:hAnsi="Times New Roman" w:cs="Times New Roman"/>
          <w:iCs/>
          <w:sz w:val="24"/>
          <w:szCs w:val="24"/>
        </w:rPr>
        <w:t>)</w:t>
      </w:r>
      <w:r>
        <w:rPr>
          <w:rFonts w:ascii="Times New Roman" w:hAnsi="Times New Roman" w:eastAsia="Calibri" w:cs="Times New Roman"/>
          <w:sz w:val="24"/>
          <w:szCs w:val="24"/>
        </w:rPr>
        <w:t xml:space="preserve"> during both years. </w:t>
      </w:r>
    </w:p>
    <w:p w14:paraId="2400DC8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018FC63">
      <w:pPr>
        <w:pStyle w:val="15"/>
        <w:ind w:firstLine="720"/>
        <w:jc w:val="both"/>
        <w:rPr>
          <w:rFonts w:ascii="Times New Roman" w:hAnsi="Times New Roman" w:cs="Times New Roman"/>
          <w:color w:val="auto"/>
        </w:rPr>
      </w:pPr>
      <w:r>
        <w:rPr>
          <w:rFonts w:ascii="Times New Roman" w:hAnsi="Times New Roman" w:cs="Times New Roman"/>
          <w:color w:val="auto"/>
        </w:rPr>
        <w:t>Base on the above findings it can be concluded that nitrogen and weed management both are crucial in direct seeded rice for sustainable rice production. Use of 25% nitrogen through vermicompost + 75% nitrogen through chemical fertilizer and wheat straw residue mulch 4 t ha</w:t>
      </w:r>
      <w:r>
        <w:rPr>
          <w:rFonts w:ascii="Times New Roman" w:hAnsi="Times New Roman" w:cs="Times New Roman"/>
          <w:color w:val="auto"/>
          <w:vertAlign w:val="superscript"/>
        </w:rPr>
        <w:t>-1</w:t>
      </w:r>
      <w:r>
        <w:rPr>
          <w:rFonts w:ascii="Times New Roman" w:hAnsi="Times New Roman" w:cs="Times New Roman"/>
          <w:color w:val="auto"/>
        </w:rPr>
        <w:t xml:space="preserve"> followed by bispyribac Na might be a good option for better weed control and nutrient utilization of crop in eastern Uttar Pradesh.</w:t>
      </w:r>
      <w:bookmarkStart w:id="7" w:name="_GoBack"/>
      <w:bookmarkEnd w:id="7"/>
    </w:p>
    <w:p w14:paraId="5050C444">
      <w:pPr>
        <w:pStyle w:val="15"/>
        <w:ind w:firstLine="720"/>
        <w:jc w:val="both"/>
        <w:rPr>
          <w:rFonts w:ascii="Times New Roman" w:hAnsi="Times New Roman" w:cs="Times New Roman"/>
          <w:lang w:bidi="hi-IN"/>
        </w:rPr>
      </w:pPr>
      <w:r>
        <w:rPr>
          <w:rFonts w:ascii="Times New Roman" w:hAnsi="Times New Roman" w:eastAsia="Calibri" w:cs="Times New Roman"/>
        </w:rPr>
        <w:t xml:space="preserve"> </w:t>
      </w:r>
    </w:p>
    <w:p w14:paraId="27560BBB">
      <w:pPr>
        <w:spacing w:before="100" w:beforeAutospacing="1" w:after="100" w:afterAutospacing="1" w:line="240" w:lineRule="auto"/>
        <w:jc w:val="both"/>
        <w:rPr>
          <w:rFonts w:ascii="Times New Roman" w:hAnsi="Times New Roman" w:eastAsia="Calibri" w:cs="Times New Roman"/>
          <w:sz w:val="24"/>
          <w:szCs w:val="24"/>
        </w:rPr>
        <w:sectPr>
          <w:headerReference r:id="rId9" w:type="first"/>
          <w:footerReference r:id="rId12" w:type="first"/>
          <w:headerReference r:id="rId7" w:type="default"/>
          <w:footerReference r:id="rId10" w:type="default"/>
          <w:headerReference r:id="rId8" w:type="even"/>
          <w:footerReference r:id="rId11" w:type="even"/>
          <w:pgSz w:w="11906" w:h="16838"/>
          <w:pgMar w:top="2160" w:right="1440" w:bottom="1440" w:left="2160" w:header="1440" w:footer="1008" w:gutter="0"/>
          <w:cols w:space="708" w:num="1"/>
          <w:titlePg/>
          <w:docGrid w:linePitch="360" w:charSpace="0"/>
        </w:sectPr>
      </w:pPr>
    </w:p>
    <w:p w14:paraId="3858D7E5">
      <w:pPr>
        <w:pStyle w:val="15"/>
        <w:spacing w:before="100" w:beforeAutospacing="1" w:after="100" w:afterAutospacing="1"/>
        <w:jc w:val="both"/>
        <w:rPr>
          <w:rFonts w:ascii="Times New Roman" w:hAnsi="Times New Roman" w:cs="Times New Roman"/>
        </w:rPr>
      </w:pPr>
      <w:r>
        <w:rPr>
          <w:rFonts w:ascii="Times New Roman" w:hAnsi="Times New Roman" w:cs="Times New Roman"/>
          <w:b/>
          <w:bCs/>
        </w:rPr>
        <w:t>Table 2.</w:t>
      </w:r>
      <w:r>
        <w:rPr>
          <w:rFonts w:ascii="Times New Roman" w:hAnsi="Times New Roman" w:cs="Times New Roman"/>
        </w:rPr>
        <w:t xml:space="preserve"> </w:t>
      </w:r>
      <w:r>
        <w:rPr>
          <w:rFonts w:ascii="Times New Roman" w:hAnsi="Times New Roman" w:cs="Times New Roman"/>
          <w:bCs/>
        </w:rPr>
        <w:t>Effect of integrated nitrogen and weed management practices on weed control efficiency and weed index in direct seeded rice</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38"/>
        <w:gridCol w:w="817"/>
        <w:gridCol w:w="817"/>
        <w:gridCol w:w="817"/>
        <w:gridCol w:w="816"/>
        <w:gridCol w:w="816"/>
        <w:gridCol w:w="816"/>
        <w:gridCol w:w="816"/>
        <w:gridCol w:w="816"/>
        <w:gridCol w:w="757"/>
        <w:gridCol w:w="748"/>
      </w:tblGrid>
      <w:tr w14:paraId="36CD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vMerge w:val="restart"/>
            <w:tcBorders>
              <w:top w:val="single" w:color="auto" w:sz="4" w:space="0"/>
              <w:tl2br w:val="nil"/>
              <w:tr2bl w:val="nil"/>
            </w:tcBorders>
            <w:shd w:val="clear" w:color="auto" w:fill="auto"/>
            <w:vAlign w:val="center"/>
          </w:tcPr>
          <w:p w14:paraId="35B01960">
            <w:pPr>
              <w:tabs>
                <w:tab w:val="center" w:pos="2654"/>
              </w:tabs>
              <w:spacing w:before="120" w:after="120" w:line="240" w:lineRule="auto"/>
              <w:jc w:val="center"/>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Times New Roman" w:cs="Times New Roman"/>
                <w:b w:val="0"/>
                <w:bCs w:val="0"/>
                <w:kern w:val="0"/>
                <w:sz w:val="20"/>
                <w:szCs w:val="24"/>
                <w:lang w:val="en-US" w:eastAsia="en-IN" w:bidi="hi-IN"/>
                <w14:ligatures w14:val="none"/>
              </w:rPr>
              <w:t>Treatment</w:t>
            </w:r>
          </w:p>
        </w:tc>
        <w:tc>
          <w:tcPr>
            <w:tcW w:w="2304" w:type="pct"/>
            <w:gridSpan w:val="8"/>
            <w:tcBorders>
              <w:top w:val="single" w:color="auto" w:sz="4" w:space="0"/>
              <w:bottom w:val="single" w:color="auto" w:sz="4" w:space="0"/>
              <w:tl2br w:val="nil"/>
              <w:tr2bl w:val="nil"/>
            </w:tcBorders>
            <w:shd w:val="clear" w:color="auto" w:fill="auto"/>
          </w:tcPr>
          <w:p w14:paraId="3FCA59F5">
            <w:pPr>
              <w:spacing w:before="120" w:after="120" w:line="240" w:lineRule="auto"/>
              <w:jc w:val="center"/>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WCE (%)</w:t>
            </w:r>
          </w:p>
        </w:tc>
        <w:tc>
          <w:tcPr>
            <w:tcW w:w="531" w:type="pct"/>
            <w:gridSpan w:val="2"/>
            <w:vMerge w:val="restart"/>
            <w:tcBorders>
              <w:top w:val="single" w:color="auto" w:sz="4" w:space="0"/>
              <w:bottom w:val="single" w:color="auto" w:sz="4" w:space="0"/>
              <w:tl2br w:val="nil"/>
              <w:tr2bl w:val="nil"/>
            </w:tcBorders>
            <w:shd w:val="clear" w:color="auto" w:fill="auto"/>
          </w:tcPr>
          <w:p w14:paraId="50E9DCED">
            <w:pPr>
              <w:spacing w:before="120" w:after="120" w:line="240" w:lineRule="auto"/>
              <w:jc w:val="center"/>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WI</w:t>
            </w:r>
          </w:p>
        </w:tc>
      </w:tr>
      <w:tr w14:paraId="6E9F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vMerge w:val="continue"/>
            <w:tcBorders>
              <w:tl2br w:val="nil"/>
              <w:tr2bl w:val="nil"/>
            </w:tcBorders>
            <w:shd w:val="clear" w:color="auto" w:fill="auto"/>
          </w:tcPr>
          <w:p w14:paraId="7D97427A">
            <w:pPr>
              <w:spacing w:before="120" w:after="120" w:line="240" w:lineRule="auto"/>
              <w:rPr>
                <w:rFonts w:ascii="Times New Roman" w:hAnsi="Times New Roman" w:eastAsia="Calibri" w:cs="Times New Roman"/>
                <w:b w:val="0"/>
                <w:bCs w:val="0"/>
                <w:kern w:val="0"/>
                <w:sz w:val="20"/>
                <w:szCs w:val="24"/>
                <w:lang w:val="en-US" w:eastAsia="en-IN" w:bidi="hi-IN"/>
                <w14:ligatures w14:val="none"/>
              </w:rPr>
            </w:pPr>
          </w:p>
        </w:tc>
        <w:tc>
          <w:tcPr>
            <w:tcW w:w="576" w:type="pct"/>
            <w:gridSpan w:val="2"/>
            <w:tcBorders>
              <w:top w:val="single" w:color="auto" w:sz="4" w:space="0"/>
              <w:bottom w:val="single" w:color="auto" w:sz="4" w:space="0"/>
            </w:tcBorders>
            <w:shd w:val="clear" w:color="auto" w:fill="auto"/>
          </w:tcPr>
          <w:p w14:paraId="2EDE30B1">
            <w:pPr>
              <w:spacing w:before="120" w:after="120" w:line="240" w:lineRule="auto"/>
              <w:jc w:val="center"/>
              <w:rPr>
                <w:rFonts w:ascii="Times New Roman" w:hAnsi="Times New Roman" w:eastAsia="Times New Roman" w:cs="Times New Roman"/>
                <w:kern w:val="0"/>
                <w:sz w:val="20"/>
                <w:szCs w:val="24"/>
                <w:lang w:val="en-US" w:eastAsia="en-IN" w:bidi="hi-IN"/>
                <w14:ligatures w14:val="none"/>
              </w:rPr>
            </w:pPr>
            <w:r>
              <w:rPr>
                <w:rFonts w:ascii="Times New Roman" w:hAnsi="Times New Roman" w:eastAsia="Times New Roman" w:cs="Times New Roman"/>
                <w:kern w:val="0"/>
                <w:sz w:val="20"/>
                <w:szCs w:val="24"/>
                <w:lang w:val="en-US" w:eastAsia="en-IN" w:bidi="hi-IN"/>
                <w14:ligatures w14:val="none"/>
              </w:rPr>
              <w:t>20 DAS</w:t>
            </w:r>
          </w:p>
        </w:tc>
        <w:tc>
          <w:tcPr>
            <w:tcW w:w="576" w:type="pct"/>
            <w:gridSpan w:val="2"/>
            <w:tcBorders>
              <w:top w:val="single" w:color="auto" w:sz="4" w:space="0"/>
              <w:bottom w:val="single" w:color="auto" w:sz="4" w:space="0"/>
            </w:tcBorders>
            <w:shd w:val="clear" w:color="auto" w:fill="auto"/>
          </w:tcPr>
          <w:p w14:paraId="1CFEBF35">
            <w:pPr>
              <w:spacing w:before="120" w:after="120" w:line="240" w:lineRule="auto"/>
              <w:jc w:val="center"/>
              <w:rPr>
                <w:rFonts w:ascii="Times New Roman" w:hAnsi="Times New Roman" w:eastAsia="Times New Roman" w:cs="Times New Roman"/>
                <w:kern w:val="0"/>
                <w:sz w:val="20"/>
                <w:szCs w:val="24"/>
                <w:lang w:val="en-US" w:eastAsia="en-IN" w:bidi="hi-IN"/>
                <w14:ligatures w14:val="none"/>
              </w:rPr>
            </w:pPr>
            <w:r>
              <w:rPr>
                <w:rFonts w:ascii="Times New Roman" w:hAnsi="Times New Roman" w:eastAsia="Times New Roman" w:cs="Times New Roman"/>
                <w:kern w:val="0"/>
                <w:sz w:val="20"/>
                <w:szCs w:val="24"/>
                <w:lang w:val="en-US" w:eastAsia="en-IN" w:bidi="hi-IN"/>
                <w14:ligatures w14:val="none"/>
              </w:rPr>
              <w:t>40 DAS</w:t>
            </w:r>
          </w:p>
        </w:tc>
        <w:tc>
          <w:tcPr>
            <w:tcW w:w="576" w:type="pct"/>
            <w:gridSpan w:val="2"/>
            <w:tcBorders>
              <w:top w:val="single" w:color="auto" w:sz="4" w:space="0"/>
              <w:bottom w:val="single" w:color="auto" w:sz="4" w:space="0"/>
            </w:tcBorders>
            <w:shd w:val="clear" w:color="auto" w:fill="auto"/>
          </w:tcPr>
          <w:p w14:paraId="73FA23FA">
            <w:pPr>
              <w:spacing w:before="120" w:after="120" w:line="240" w:lineRule="auto"/>
              <w:jc w:val="center"/>
              <w:rPr>
                <w:rFonts w:ascii="Times New Roman" w:hAnsi="Times New Roman" w:eastAsia="Times New Roman" w:cs="Times New Roman"/>
                <w:kern w:val="0"/>
                <w:sz w:val="20"/>
                <w:szCs w:val="24"/>
                <w:lang w:val="en-US" w:eastAsia="en-IN" w:bidi="hi-IN"/>
                <w14:ligatures w14:val="none"/>
              </w:rPr>
            </w:pPr>
            <w:r>
              <w:rPr>
                <w:rFonts w:ascii="Times New Roman" w:hAnsi="Times New Roman" w:eastAsia="Times New Roman" w:cs="Times New Roman"/>
                <w:kern w:val="0"/>
                <w:sz w:val="20"/>
                <w:szCs w:val="24"/>
                <w:lang w:val="en-US" w:eastAsia="en-IN" w:bidi="hi-IN"/>
                <w14:ligatures w14:val="none"/>
              </w:rPr>
              <w:t>60 DAS</w:t>
            </w:r>
          </w:p>
        </w:tc>
        <w:tc>
          <w:tcPr>
            <w:tcW w:w="576" w:type="pct"/>
            <w:gridSpan w:val="2"/>
            <w:tcBorders>
              <w:top w:val="single" w:color="auto" w:sz="4" w:space="0"/>
              <w:bottom w:val="single" w:color="auto" w:sz="4" w:space="0"/>
            </w:tcBorders>
            <w:shd w:val="clear" w:color="auto" w:fill="auto"/>
          </w:tcPr>
          <w:p w14:paraId="5E4311D9">
            <w:pPr>
              <w:spacing w:before="120" w:after="120" w:line="240" w:lineRule="auto"/>
              <w:jc w:val="center"/>
              <w:rPr>
                <w:rFonts w:ascii="Times New Roman" w:hAnsi="Times New Roman" w:eastAsia="Times New Roman" w:cs="Times New Roman"/>
                <w:kern w:val="0"/>
                <w:sz w:val="20"/>
                <w:szCs w:val="24"/>
                <w:lang w:val="en-US" w:eastAsia="en-IN" w:bidi="hi-IN"/>
                <w14:ligatures w14:val="none"/>
              </w:rPr>
            </w:pPr>
            <w:r>
              <w:rPr>
                <w:rFonts w:ascii="Times New Roman" w:hAnsi="Times New Roman" w:eastAsia="Times New Roman" w:cs="Times New Roman"/>
                <w:kern w:val="0"/>
                <w:sz w:val="20"/>
                <w:szCs w:val="24"/>
                <w:lang w:val="en-US" w:eastAsia="en-IN" w:bidi="hi-IN"/>
                <w14:ligatures w14:val="none"/>
              </w:rPr>
              <w:t>80 DAS</w:t>
            </w:r>
          </w:p>
        </w:tc>
        <w:tc>
          <w:tcPr>
            <w:tcW w:w="531" w:type="pct"/>
            <w:gridSpan w:val="2"/>
            <w:vMerge w:val="continue"/>
            <w:tcBorders>
              <w:top w:val="single" w:color="auto" w:sz="4" w:space="0"/>
              <w:bottom w:val="single" w:color="auto" w:sz="4" w:space="0"/>
            </w:tcBorders>
            <w:shd w:val="clear" w:color="auto" w:fill="auto"/>
          </w:tcPr>
          <w:p w14:paraId="4E109E8D">
            <w:pPr>
              <w:spacing w:before="120" w:after="120" w:line="240" w:lineRule="auto"/>
              <w:jc w:val="center"/>
              <w:rPr>
                <w:rFonts w:ascii="Times New Roman" w:hAnsi="Times New Roman" w:eastAsia="Times New Roman" w:cs="Times New Roman"/>
                <w:kern w:val="0"/>
                <w:sz w:val="20"/>
                <w:szCs w:val="24"/>
                <w:lang w:val="en-US" w:eastAsia="en-IN" w:bidi="hi-IN"/>
                <w14:ligatures w14:val="none"/>
              </w:rPr>
            </w:pPr>
          </w:p>
        </w:tc>
      </w:tr>
      <w:tr w14:paraId="3790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vMerge w:val="continue"/>
            <w:tcBorders>
              <w:bottom w:val="single" w:color="auto" w:sz="4" w:space="0"/>
              <w:tl2br w:val="nil"/>
              <w:tr2bl w:val="nil"/>
            </w:tcBorders>
            <w:shd w:val="clear" w:color="auto" w:fill="auto"/>
          </w:tcPr>
          <w:p w14:paraId="76946F5D">
            <w:pPr>
              <w:spacing w:before="120" w:after="120" w:line="240" w:lineRule="auto"/>
              <w:rPr>
                <w:rFonts w:ascii="Times New Roman" w:hAnsi="Times New Roman" w:eastAsia="Calibri" w:cs="Times New Roman"/>
                <w:b w:val="0"/>
                <w:bCs w:val="0"/>
                <w:kern w:val="0"/>
                <w:sz w:val="20"/>
                <w:szCs w:val="24"/>
                <w:lang w:val="en-US" w:eastAsia="en-IN" w:bidi="hi-IN"/>
                <w14:ligatures w14:val="none"/>
              </w:rPr>
            </w:pPr>
          </w:p>
        </w:tc>
        <w:tc>
          <w:tcPr>
            <w:tcW w:w="288" w:type="pct"/>
            <w:tcBorders>
              <w:top w:val="single" w:color="auto" w:sz="4" w:space="0"/>
              <w:bottom w:val="single" w:color="auto" w:sz="4" w:space="0"/>
            </w:tcBorders>
            <w:shd w:val="clear" w:color="auto" w:fill="auto"/>
          </w:tcPr>
          <w:p w14:paraId="37814922">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88" w:type="pct"/>
            <w:tcBorders>
              <w:top w:val="single" w:color="auto" w:sz="4" w:space="0"/>
              <w:bottom w:val="single" w:color="auto" w:sz="4" w:space="0"/>
            </w:tcBorders>
            <w:shd w:val="clear" w:color="auto" w:fill="auto"/>
          </w:tcPr>
          <w:p w14:paraId="75DF6B0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88" w:type="pct"/>
            <w:tcBorders>
              <w:top w:val="single" w:color="auto" w:sz="4" w:space="0"/>
              <w:bottom w:val="single" w:color="auto" w:sz="4" w:space="0"/>
            </w:tcBorders>
            <w:shd w:val="clear" w:color="auto" w:fill="auto"/>
          </w:tcPr>
          <w:p w14:paraId="171AB96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88" w:type="pct"/>
            <w:tcBorders>
              <w:top w:val="single" w:color="auto" w:sz="4" w:space="0"/>
              <w:bottom w:val="single" w:color="auto" w:sz="4" w:space="0"/>
            </w:tcBorders>
            <w:shd w:val="clear" w:color="auto" w:fill="auto"/>
          </w:tcPr>
          <w:p w14:paraId="77484D0E">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88" w:type="pct"/>
            <w:tcBorders>
              <w:top w:val="single" w:color="auto" w:sz="4" w:space="0"/>
              <w:bottom w:val="single" w:color="auto" w:sz="4" w:space="0"/>
            </w:tcBorders>
            <w:shd w:val="clear" w:color="auto" w:fill="auto"/>
          </w:tcPr>
          <w:p w14:paraId="2BC116B6">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88" w:type="pct"/>
            <w:tcBorders>
              <w:top w:val="single" w:color="auto" w:sz="4" w:space="0"/>
              <w:bottom w:val="single" w:color="auto" w:sz="4" w:space="0"/>
            </w:tcBorders>
            <w:shd w:val="clear" w:color="auto" w:fill="auto"/>
          </w:tcPr>
          <w:p w14:paraId="29910B13">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88" w:type="pct"/>
            <w:tcBorders>
              <w:top w:val="single" w:color="auto" w:sz="4" w:space="0"/>
              <w:bottom w:val="single" w:color="auto" w:sz="4" w:space="0"/>
            </w:tcBorders>
            <w:shd w:val="clear" w:color="auto" w:fill="auto"/>
          </w:tcPr>
          <w:p w14:paraId="3C62B244">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88" w:type="pct"/>
            <w:tcBorders>
              <w:top w:val="single" w:color="auto" w:sz="4" w:space="0"/>
              <w:bottom w:val="single" w:color="auto" w:sz="4" w:space="0"/>
            </w:tcBorders>
            <w:shd w:val="clear" w:color="auto" w:fill="auto"/>
          </w:tcPr>
          <w:p w14:paraId="315DB6C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67" w:type="pct"/>
            <w:tcBorders>
              <w:top w:val="single" w:color="auto" w:sz="4" w:space="0"/>
              <w:bottom w:val="single" w:color="auto" w:sz="4" w:space="0"/>
            </w:tcBorders>
            <w:shd w:val="clear" w:color="auto" w:fill="auto"/>
          </w:tcPr>
          <w:p w14:paraId="733A4649">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64" w:type="pct"/>
            <w:tcBorders>
              <w:top w:val="single" w:color="auto" w:sz="4" w:space="0"/>
              <w:bottom w:val="single" w:color="auto" w:sz="4" w:space="0"/>
            </w:tcBorders>
            <w:shd w:val="clear" w:color="auto" w:fill="auto"/>
          </w:tcPr>
          <w:p w14:paraId="1DA755B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r>
      <w:tr w14:paraId="209C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11"/>
            <w:tcBorders>
              <w:top w:val="single" w:color="auto" w:sz="4" w:space="0"/>
              <w:tl2br w:val="nil"/>
              <w:tr2bl w:val="nil"/>
            </w:tcBorders>
            <w:shd w:val="clear" w:color="auto" w:fill="auto"/>
          </w:tcPr>
          <w:p w14:paraId="4D6E6EC6">
            <w:pPr>
              <w:spacing w:before="120" w:after="12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Nitrogen Management</w:t>
            </w:r>
          </w:p>
        </w:tc>
      </w:tr>
      <w:tr w14:paraId="28BC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2C4DFCDF">
            <w:pPr>
              <w:spacing w:before="120" w:after="12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N</w:t>
            </w:r>
            <w:r>
              <w:rPr>
                <w:rFonts w:ascii="Times New Roman" w:hAnsi="Times New Roman" w:eastAsia="Calibri" w:cs="Times New Roman"/>
                <w:b w:val="0"/>
                <w:bCs w:val="0"/>
                <w:kern w:val="24"/>
                <w:sz w:val="20"/>
                <w:szCs w:val="24"/>
                <w:vertAlign w:val="subscript"/>
                <w:lang w:val="en-US" w:eastAsia="en-IN" w:bidi="hi-IN"/>
                <w14:ligatures w14:val="none"/>
              </w:rPr>
              <w:t xml:space="preserve">0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kern w:val="24"/>
                <w:sz w:val="20"/>
                <w:szCs w:val="24"/>
                <w:lang w:val="en-US" w:eastAsia="en-IN" w:bidi="hi-IN"/>
                <w14:ligatures w14:val="none"/>
              </w:rPr>
              <w:t>Control (RDF of P</w:t>
            </w:r>
            <w:r>
              <w:rPr>
                <w:rFonts w:ascii="Times New Roman" w:hAnsi="Times New Roman" w:eastAsia="Calibri" w:cs="Times New Roman"/>
                <w:b w:val="0"/>
                <w:bCs w:val="0"/>
                <w:kern w:val="24"/>
                <w:sz w:val="20"/>
                <w:szCs w:val="24"/>
                <w:vertAlign w:val="subscript"/>
                <w:lang w:val="en-US" w:eastAsia="en-IN" w:bidi="hi-IN"/>
                <w14:ligatures w14:val="none"/>
              </w:rPr>
              <w:t>2</w:t>
            </w:r>
            <w:r>
              <w:rPr>
                <w:rFonts w:ascii="Times New Roman" w:hAnsi="Times New Roman" w:eastAsia="Calibri" w:cs="Times New Roman"/>
                <w:b w:val="0"/>
                <w:bCs w:val="0"/>
                <w:kern w:val="24"/>
                <w:sz w:val="20"/>
                <w:szCs w:val="24"/>
                <w:lang w:val="en-US" w:eastAsia="en-IN" w:bidi="hi-IN"/>
                <w14:ligatures w14:val="none"/>
              </w:rPr>
              <w:t>O</w:t>
            </w:r>
            <w:r>
              <w:rPr>
                <w:rFonts w:ascii="Times New Roman" w:hAnsi="Times New Roman" w:eastAsia="Calibri" w:cs="Times New Roman"/>
                <w:b w:val="0"/>
                <w:bCs w:val="0"/>
                <w:kern w:val="24"/>
                <w:sz w:val="20"/>
                <w:szCs w:val="24"/>
                <w:vertAlign w:val="subscript"/>
                <w:lang w:val="en-US" w:eastAsia="en-IN" w:bidi="hi-IN"/>
                <w14:ligatures w14:val="none"/>
              </w:rPr>
              <w:t>5</w:t>
            </w:r>
            <w:r>
              <w:rPr>
                <w:rFonts w:ascii="Times New Roman" w:hAnsi="Times New Roman" w:eastAsia="Calibri" w:cs="Times New Roman"/>
                <w:b w:val="0"/>
                <w:bCs w:val="0"/>
                <w:kern w:val="24"/>
                <w:sz w:val="20"/>
                <w:szCs w:val="24"/>
                <w:lang w:val="en-US" w:eastAsia="en-IN" w:bidi="hi-IN"/>
                <w14:ligatures w14:val="none"/>
              </w:rPr>
              <w:t xml:space="preserve"> and K</w:t>
            </w:r>
            <w:r>
              <w:rPr>
                <w:rFonts w:ascii="Times New Roman" w:hAnsi="Times New Roman" w:eastAsia="Calibri" w:cs="Times New Roman"/>
                <w:b w:val="0"/>
                <w:bCs w:val="0"/>
                <w:kern w:val="24"/>
                <w:sz w:val="20"/>
                <w:szCs w:val="24"/>
                <w:vertAlign w:val="subscript"/>
                <w:lang w:val="en-US" w:eastAsia="en-IN" w:bidi="hi-IN"/>
                <w14:ligatures w14:val="none"/>
              </w:rPr>
              <w:t>2</w:t>
            </w:r>
            <w:r>
              <w:rPr>
                <w:rFonts w:ascii="Times New Roman" w:hAnsi="Times New Roman" w:eastAsia="Calibri" w:cs="Times New Roman"/>
                <w:b w:val="0"/>
                <w:bCs w:val="0"/>
                <w:kern w:val="24"/>
                <w:sz w:val="20"/>
                <w:szCs w:val="24"/>
                <w:lang w:val="en-US" w:eastAsia="en-IN" w:bidi="hi-IN"/>
                <w14:ligatures w14:val="none"/>
              </w:rPr>
              <w:t>O)</w:t>
            </w:r>
          </w:p>
        </w:tc>
        <w:tc>
          <w:tcPr>
            <w:tcW w:w="288" w:type="pct"/>
            <w:shd w:val="clear" w:color="auto" w:fill="auto"/>
          </w:tcPr>
          <w:p w14:paraId="46EAC8AF">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57.80</w:t>
            </w:r>
          </w:p>
        </w:tc>
        <w:tc>
          <w:tcPr>
            <w:tcW w:w="288" w:type="pct"/>
            <w:shd w:val="clear" w:color="auto" w:fill="auto"/>
          </w:tcPr>
          <w:p w14:paraId="3821BAF7">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56.55</w:t>
            </w:r>
          </w:p>
        </w:tc>
        <w:tc>
          <w:tcPr>
            <w:tcW w:w="288" w:type="pct"/>
            <w:shd w:val="clear" w:color="auto" w:fill="auto"/>
          </w:tcPr>
          <w:p w14:paraId="010E63F6">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58.25</w:t>
            </w:r>
          </w:p>
        </w:tc>
        <w:tc>
          <w:tcPr>
            <w:tcW w:w="288" w:type="pct"/>
            <w:shd w:val="clear" w:color="auto" w:fill="auto"/>
          </w:tcPr>
          <w:p w14:paraId="201D79C2">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58.10</w:t>
            </w:r>
          </w:p>
        </w:tc>
        <w:tc>
          <w:tcPr>
            <w:tcW w:w="288" w:type="pct"/>
            <w:shd w:val="clear" w:color="auto" w:fill="auto"/>
          </w:tcPr>
          <w:p w14:paraId="25D4D37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49.54</w:t>
            </w:r>
          </w:p>
        </w:tc>
        <w:tc>
          <w:tcPr>
            <w:tcW w:w="288" w:type="pct"/>
            <w:shd w:val="clear" w:color="auto" w:fill="auto"/>
          </w:tcPr>
          <w:p w14:paraId="70C0F586">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48.51</w:t>
            </w:r>
          </w:p>
        </w:tc>
        <w:tc>
          <w:tcPr>
            <w:tcW w:w="288" w:type="pct"/>
            <w:shd w:val="clear" w:color="auto" w:fill="auto"/>
          </w:tcPr>
          <w:p w14:paraId="3597F8D9">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47.27</w:t>
            </w:r>
          </w:p>
        </w:tc>
        <w:tc>
          <w:tcPr>
            <w:tcW w:w="288" w:type="pct"/>
            <w:shd w:val="clear" w:color="auto" w:fill="auto"/>
          </w:tcPr>
          <w:p w14:paraId="223272E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49.74</w:t>
            </w:r>
          </w:p>
        </w:tc>
        <w:tc>
          <w:tcPr>
            <w:tcW w:w="267" w:type="pct"/>
            <w:shd w:val="clear" w:color="auto" w:fill="auto"/>
          </w:tcPr>
          <w:p w14:paraId="046FBCA0">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26.57</w:t>
            </w:r>
          </w:p>
        </w:tc>
        <w:tc>
          <w:tcPr>
            <w:tcW w:w="264" w:type="pct"/>
            <w:shd w:val="clear" w:color="auto" w:fill="auto"/>
          </w:tcPr>
          <w:p w14:paraId="4DA40763">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25.87</w:t>
            </w:r>
          </w:p>
        </w:tc>
      </w:tr>
      <w:tr w14:paraId="6967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595C54AB">
            <w:pPr>
              <w:spacing w:before="120" w:after="12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24"/>
                <w:sz w:val="20"/>
                <w:szCs w:val="24"/>
                <w:lang w:val="pt-BR" w:eastAsia="en-IN" w:bidi="hi-IN"/>
                <w14:ligatures w14:val="none"/>
              </w:rPr>
              <w:t>N</w:t>
            </w:r>
            <w:r>
              <w:rPr>
                <w:rFonts w:ascii="Times New Roman" w:hAnsi="Times New Roman" w:eastAsia="Calibri" w:cs="Times New Roman"/>
                <w:b w:val="0"/>
                <w:bCs w:val="0"/>
                <w:kern w:val="24"/>
                <w:sz w:val="20"/>
                <w:szCs w:val="24"/>
                <w:vertAlign w:val="subscript"/>
                <w:lang w:val="pt-BR" w:eastAsia="en-IN" w:bidi="hi-IN"/>
                <w14:ligatures w14:val="none"/>
              </w:rPr>
              <w:t xml:space="preserve">1 </w:t>
            </w:r>
            <w:r>
              <w:rPr>
                <w:rFonts w:ascii="Times New Roman" w:hAnsi="Times New Roman" w:eastAsia="Calibri" w:cs="Times New Roman"/>
                <w:b w:val="0"/>
                <w:bCs w:val="0"/>
                <w:kern w:val="24"/>
                <w:sz w:val="20"/>
                <w:szCs w:val="24"/>
                <w:lang w:val="pt-BR" w:eastAsia="en-IN" w:bidi="hi-IN"/>
                <w14:ligatures w14:val="none"/>
              </w:rPr>
              <w:t>-</w:t>
            </w:r>
            <w:r>
              <w:rPr>
                <w:rFonts w:ascii="Times New Roman" w:hAnsi="Times New Roman" w:eastAsia="Calibri" w:cs="Times New Roman"/>
                <w:b w:val="0"/>
                <w:bCs w:val="0"/>
                <w:kern w:val="24"/>
                <w:sz w:val="20"/>
                <w:szCs w:val="24"/>
                <w:lang w:val="pt-BR" w:eastAsia="en-IN" w:bidi="hi-IN"/>
                <w14:ligatures w14:val="none"/>
              </w:rPr>
              <w:tab/>
            </w:r>
            <w:r>
              <w:rPr>
                <w:rFonts w:ascii="Times New Roman" w:hAnsi="Times New Roman" w:eastAsia="Calibri" w:cs="Times New Roman"/>
                <w:b w:val="0"/>
                <w:bCs w:val="0"/>
                <w:kern w:val="24"/>
                <w:sz w:val="20"/>
                <w:szCs w:val="24"/>
                <w:lang w:val="pt-BR" w:eastAsia="en-IN" w:bidi="hi-IN"/>
                <w14:ligatures w14:val="none"/>
              </w:rPr>
              <w:t>RDN (150-60-60 kg NPK ha</w:t>
            </w:r>
            <w:r>
              <w:rPr>
                <w:rFonts w:ascii="Times New Roman" w:hAnsi="Times New Roman" w:eastAsia="Calibri" w:cs="Times New Roman"/>
                <w:b w:val="0"/>
                <w:bCs w:val="0"/>
                <w:kern w:val="24"/>
                <w:sz w:val="20"/>
                <w:szCs w:val="24"/>
                <w:vertAlign w:val="superscript"/>
                <w:lang w:val="pt-BR" w:eastAsia="en-IN" w:bidi="hi-IN"/>
                <w14:ligatures w14:val="none"/>
              </w:rPr>
              <w:t>-1</w:t>
            </w:r>
            <w:r>
              <w:rPr>
                <w:rFonts w:ascii="Times New Roman" w:hAnsi="Times New Roman" w:eastAsia="Calibri" w:cs="Times New Roman"/>
                <w:b w:val="0"/>
                <w:bCs w:val="0"/>
                <w:kern w:val="24"/>
                <w:sz w:val="20"/>
                <w:szCs w:val="24"/>
                <w:lang w:val="pt-BR" w:eastAsia="en-IN" w:bidi="hi-IN"/>
                <w14:ligatures w14:val="none"/>
              </w:rPr>
              <w:t>)</w:t>
            </w:r>
          </w:p>
        </w:tc>
        <w:tc>
          <w:tcPr>
            <w:tcW w:w="288" w:type="pct"/>
            <w:shd w:val="clear" w:color="auto" w:fill="auto"/>
          </w:tcPr>
          <w:p w14:paraId="462910E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47.47</w:t>
            </w:r>
          </w:p>
        </w:tc>
        <w:tc>
          <w:tcPr>
            <w:tcW w:w="288" w:type="pct"/>
            <w:shd w:val="clear" w:color="auto" w:fill="auto"/>
          </w:tcPr>
          <w:p w14:paraId="307AD752">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47.35</w:t>
            </w:r>
          </w:p>
        </w:tc>
        <w:tc>
          <w:tcPr>
            <w:tcW w:w="288" w:type="pct"/>
            <w:shd w:val="clear" w:color="auto" w:fill="auto"/>
          </w:tcPr>
          <w:p w14:paraId="73A3375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52.96</w:t>
            </w:r>
          </w:p>
        </w:tc>
        <w:tc>
          <w:tcPr>
            <w:tcW w:w="288" w:type="pct"/>
            <w:shd w:val="clear" w:color="auto" w:fill="auto"/>
          </w:tcPr>
          <w:p w14:paraId="578FA4B4">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52.05</w:t>
            </w:r>
          </w:p>
        </w:tc>
        <w:tc>
          <w:tcPr>
            <w:tcW w:w="288" w:type="pct"/>
            <w:shd w:val="clear" w:color="auto" w:fill="auto"/>
          </w:tcPr>
          <w:p w14:paraId="3CAE76F7">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44.40</w:t>
            </w:r>
          </w:p>
        </w:tc>
        <w:tc>
          <w:tcPr>
            <w:tcW w:w="288" w:type="pct"/>
            <w:shd w:val="clear" w:color="auto" w:fill="auto"/>
          </w:tcPr>
          <w:p w14:paraId="0C16B8F3">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43.00</w:t>
            </w:r>
          </w:p>
        </w:tc>
        <w:tc>
          <w:tcPr>
            <w:tcW w:w="288" w:type="pct"/>
            <w:shd w:val="clear" w:color="auto" w:fill="auto"/>
          </w:tcPr>
          <w:p w14:paraId="5EC2063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41.69</w:t>
            </w:r>
          </w:p>
        </w:tc>
        <w:tc>
          <w:tcPr>
            <w:tcW w:w="288" w:type="pct"/>
            <w:shd w:val="clear" w:color="auto" w:fill="auto"/>
          </w:tcPr>
          <w:p w14:paraId="5476225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42.91</w:t>
            </w:r>
          </w:p>
        </w:tc>
        <w:tc>
          <w:tcPr>
            <w:tcW w:w="267" w:type="pct"/>
            <w:shd w:val="clear" w:color="auto" w:fill="auto"/>
          </w:tcPr>
          <w:p w14:paraId="530FFE5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10.59</w:t>
            </w:r>
          </w:p>
        </w:tc>
        <w:tc>
          <w:tcPr>
            <w:tcW w:w="264" w:type="pct"/>
            <w:shd w:val="clear" w:color="auto" w:fill="auto"/>
          </w:tcPr>
          <w:p w14:paraId="279DBCF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13.58</w:t>
            </w:r>
          </w:p>
        </w:tc>
      </w:tr>
      <w:tr w14:paraId="0366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4975B419">
            <w:pPr>
              <w:spacing w:before="120" w:after="12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N</w:t>
            </w:r>
            <w:r>
              <w:rPr>
                <w:rFonts w:ascii="Times New Roman" w:hAnsi="Times New Roman" w:eastAsia="Calibri" w:cs="Times New Roman"/>
                <w:b w:val="0"/>
                <w:bCs w:val="0"/>
                <w:kern w:val="24"/>
                <w:sz w:val="20"/>
                <w:szCs w:val="24"/>
                <w:vertAlign w:val="subscript"/>
                <w:lang w:val="en-US" w:eastAsia="en-IN" w:bidi="hi-IN"/>
                <w14:ligatures w14:val="none"/>
              </w:rPr>
              <w:t xml:space="preserve">2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kern w:val="24"/>
                <w:sz w:val="20"/>
                <w:szCs w:val="24"/>
                <w:lang w:val="en-US" w:eastAsia="en-IN" w:bidi="hi-IN"/>
                <w14:ligatures w14:val="none"/>
              </w:rPr>
              <w:t>75% RDN (Inorganic) +25% FYM</w:t>
            </w:r>
          </w:p>
        </w:tc>
        <w:tc>
          <w:tcPr>
            <w:tcW w:w="288" w:type="pct"/>
            <w:shd w:val="clear" w:color="auto" w:fill="auto"/>
          </w:tcPr>
          <w:p w14:paraId="438AFA13">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43.50</w:t>
            </w:r>
          </w:p>
        </w:tc>
        <w:tc>
          <w:tcPr>
            <w:tcW w:w="288" w:type="pct"/>
            <w:shd w:val="clear" w:color="auto" w:fill="auto"/>
          </w:tcPr>
          <w:p w14:paraId="45A88052">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44.07</w:t>
            </w:r>
          </w:p>
        </w:tc>
        <w:tc>
          <w:tcPr>
            <w:tcW w:w="288" w:type="pct"/>
            <w:shd w:val="clear" w:color="auto" w:fill="auto"/>
          </w:tcPr>
          <w:p w14:paraId="6C4FA653">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48.97</w:t>
            </w:r>
          </w:p>
        </w:tc>
        <w:tc>
          <w:tcPr>
            <w:tcW w:w="288" w:type="pct"/>
            <w:shd w:val="clear" w:color="auto" w:fill="auto"/>
          </w:tcPr>
          <w:p w14:paraId="46ACA481">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48.22</w:t>
            </w:r>
          </w:p>
        </w:tc>
        <w:tc>
          <w:tcPr>
            <w:tcW w:w="288" w:type="pct"/>
            <w:shd w:val="clear" w:color="auto" w:fill="auto"/>
          </w:tcPr>
          <w:p w14:paraId="682FC77F">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40.78</w:t>
            </w:r>
          </w:p>
        </w:tc>
        <w:tc>
          <w:tcPr>
            <w:tcW w:w="288" w:type="pct"/>
            <w:shd w:val="clear" w:color="auto" w:fill="auto"/>
          </w:tcPr>
          <w:p w14:paraId="0C053CCA">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39.67</w:t>
            </w:r>
          </w:p>
        </w:tc>
        <w:tc>
          <w:tcPr>
            <w:tcW w:w="288" w:type="pct"/>
            <w:shd w:val="clear" w:color="auto" w:fill="auto"/>
          </w:tcPr>
          <w:p w14:paraId="3FF9C934">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37.40</w:t>
            </w:r>
          </w:p>
        </w:tc>
        <w:tc>
          <w:tcPr>
            <w:tcW w:w="288" w:type="pct"/>
            <w:shd w:val="clear" w:color="auto" w:fill="auto"/>
          </w:tcPr>
          <w:p w14:paraId="6CA8B617">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38.61</w:t>
            </w:r>
          </w:p>
        </w:tc>
        <w:tc>
          <w:tcPr>
            <w:tcW w:w="267" w:type="pct"/>
            <w:shd w:val="clear" w:color="auto" w:fill="auto"/>
          </w:tcPr>
          <w:p w14:paraId="1F5E874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7.53</w:t>
            </w:r>
          </w:p>
        </w:tc>
        <w:tc>
          <w:tcPr>
            <w:tcW w:w="264" w:type="pct"/>
            <w:shd w:val="clear" w:color="auto" w:fill="auto"/>
          </w:tcPr>
          <w:p w14:paraId="08781FB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10.59</w:t>
            </w:r>
          </w:p>
        </w:tc>
      </w:tr>
      <w:tr w14:paraId="77C5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03225725">
            <w:pPr>
              <w:spacing w:before="120" w:after="12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N</w:t>
            </w:r>
            <w:r>
              <w:rPr>
                <w:rFonts w:ascii="Times New Roman" w:hAnsi="Times New Roman" w:eastAsia="Calibri" w:cs="Times New Roman"/>
                <w:b w:val="0"/>
                <w:bCs w:val="0"/>
                <w:kern w:val="24"/>
                <w:sz w:val="20"/>
                <w:szCs w:val="24"/>
                <w:vertAlign w:val="subscript"/>
                <w:lang w:val="en-US" w:eastAsia="en-IN" w:bidi="hi-IN"/>
                <w14:ligatures w14:val="none"/>
              </w:rPr>
              <w:t xml:space="preserve">3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kern w:val="24"/>
                <w:sz w:val="20"/>
                <w:szCs w:val="24"/>
                <w:lang w:val="en-US" w:eastAsia="en-IN" w:bidi="hi-IN"/>
                <w14:ligatures w14:val="none"/>
              </w:rPr>
              <w:t>75% RDN (Inorganic)+25% Vermicompost</w:t>
            </w:r>
          </w:p>
        </w:tc>
        <w:tc>
          <w:tcPr>
            <w:tcW w:w="288" w:type="pct"/>
            <w:shd w:val="clear" w:color="auto" w:fill="auto"/>
          </w:tcPr>
          <w:p w14:paraId="5775DAE4">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46.19</w:t>
            </w:r>
          </w:p>
        </w:tc>
        <w:tc>
          <w:tcPr>
            <w:tcW w:w="288" w:type="pct"/>
            <w:shd w:val="clear" w:color="auto" w:fill="auto"/>
          </w:tcPr>
          <w:p w14:paraId="5F5B3C5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45.85</w:t>
            </w:r>
          </w:p>
        </w:tc>
        <w:tc>
          <w:tcPr>
            <w:tcW w:w="288" w:type="pct"/>
            <w:shd w:val="clear" w:color="auto" w:fill="auto"/>
          </w:tcPr>
          <w:p w14:paraId="4A279CF8">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51.37</w:t>
            </w:r>
          </w:p>
        </w:tc>
        <w:tc>
          <w:tcPr>
            <w:tcW w:w="288" w:type="pct"/>
            <w:shd w:val="clear" w:color="auto" w:fill="auto"/>
          </w:tcPr>
          <w:p w14:paraId="6CBDA01F">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50.53</w:t>
            </w:r>
          </w:p>
        </w:tc>
        <w:tc>
          <w:tcPr>
            <w:tcW w:w="288" w:type="pct"/>
            <w:shd w:val="clear" w:color="auto" w:fill="auto"/>
          </w:tcPr>
          <w:p w14:paraId="41B4B0C9">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42.95</w:t>
            </w:r>
          </w:p>
        </w:tc>
        <w:tc>
          <w:tcPr>
            <w:tcW w:w="288" w:type="pct"/>
            <w:shd w:val="clear" w:color="auto" w:fill="auto"/>
          </w:tcPr>
          <w:p w14:paraId="4BEEDBA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41.35</w:t>
            </w:r>
          </w:p>
        </w:tc>
        <w:tc>
          <w:tcPr>
            <w:tcW w:w="288" w:type="pct"/>
            <w:shd w:val="clear" w:color="auto" w:fill="auto"/>
          </w:tcPr>
          <w:p w14:paraId="256E285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39.87</w:t>
            </w:r>
          </w:p>
        </w:tc>
        <w:tc>
          <w:tcPr>
            <w:tcW w:w="288" w:type="pct"/>
            <w:shd w:val="clear" w:color="auto" w:fill="auto"/>
          </w:tcPr>
          <w:p w14:paraId="0E0F00D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40.19</w:t>
            </w:r>
          </w:p>
        </w:tc>
        <w:tc>
          <w:tcPr>
            <w:tcW w:w="267" w:type="pct"/>
            <w:shd w:val="clear" w:color="auto" w:fill="auto"/>
          </w:tcPr>
          <w:p w14:paraId="70A0843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4.47</w:t>
            </w:r>
          </w:p>
        </w:tc>
        <w:tc>
          <w:tcPr>
            <w:tcW w:w="264" w:type="pct"/>
            <w:shd w:val="clear" w:color="auto" w:fill="auto"/>
          </w:tcPr>
          <w:p w14:paraId="58FCDD5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7.00</w:t>
            </w:r>
          </w:p>
        </w:tc>
      </w:tr>
      <w:tr w14:paraId="66ED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11"/>
            <w:tcBorders>
              <w:tl2br w:val="nil"/>
              <w:tr2bl w:val="nil"/>
            </w:tcBorders>
            <w:shd w:val="clear" w:color="auto" w:fill="auto"/>
          </w:tcPr>
          <w:p w14:paraId="054FF16D">
            <w:pPr>
              <w:spacing w:before="120" w:after="12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Weed management</w:t>
            </w:r>
          </w:p>
        </w:tc>
      </w:tr>
      <w:tr w14:paraId="1506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4269D6AC">
            <w:pPr>
              <w:spacing w:before="120" w:after="12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W</w:t>
            </w:r>
            <w:r>
              <w:rPr>
                <w:rFonts w:ascii="Times New Roman" w:hAnsi="Times New Roman" w:eastAsia="Calibri" w:cs="Times New Roman"/>
                <w:b w:val="0"/>
                <w:bCs w:val="0"/>
                <w:kern w:val="24"/>
                <w:sz w:val="20"/>
                <w:szCs w:val="24"/>
                <w:vertAlign w:val="subscript"/>
                <w:lang w:val="en-US" w:eastAsia="en-IN" w:bidi="hi-IN"/>
                <w14:ligatures w14:val="none"/>
              </w:rPr>
              <w:t xml:space="preserve">0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kern w:val="24"/>
                <w:sz w:val="20"/>
                <w:szCs w:val="24"/>
                <w:lang w:val="en-US" w:eastAsia="en-IN" w:bidi="hi-IN"/>
                <w14:ligatures w14:val="none"/>
              </w:rPr>
              <w:t>Weedy check</w:t>
            </w:r>
          </w:p>
        </w:tc>
        <w:tc>
          <w:tcPr>
            <w:tcW w:w="288" w:type="pct"/>
            <w:shd w:val="clear" w:color="auto" w:fill="auto"/>
          </w:tcPr>
          <w:p w14:paraId="715D52B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88" w:type="pct"/>
            <w:shd w:val="clear" w:color="auto" w:fill="auto"/>
          </w:tcPr>
          <w:p w14:paraId="243ADBDF">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88" w:type="pct"/>
            <w:shd w:val="clear" w:color="auto" w:fill="auto"/>
          </w:tcPr>
          <w:p w14:paraId="0111C611">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88" w:type="pct"/>
            <w:shd w:val="clear" w:color="auto" w:fill="auto"/>
          </w:tcPr>
          <w:p w14:paraId="21E83BAA">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88" w:type="pct"/>
            <w:shd w:val="clear" w:color="auto" w:fill="auto"/>
          </w:tcPr>
          <w:p w14:paraId="6545B928">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88" w:type="pct"/>
            <w:shd w:val="clear" w:color="auto" w:fill="auto"/>
          </w:tcPr>
          <w:p w14:paraId="3EDD150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88" w:type="pct"/>
            <w:shd w:val="clear" w:color="auto" w:fill="auto"/>
          </w:tcPr>
          <w:p w14:paraId="427D69E4">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88" w:type="pct"/>
            <w:shd w:val="clear" w:color="auto" w:fill="auto"/>
          </w:tcPr>
          <w:p w14:paraId="60542552">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67" w:type="pct"/>
            <w:shd w:val="clear" w:color="auto" w:fill="auto"/>
          </w:tcPr>
          <w:p w14:paraId="17289E4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34.44</w:t>
            </w:r>
          </w:p>
        </w:tc>
        <w:tc>
          <w:tcPr>
            <w:tcW w:w="264" w:type="pct"/>
            <w:shd w:val="clear" w:color="auto" w:fill="auto"/>
          </w:tcPr>
          <w:p w14:paraId="0C4D857B">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37.33</w:t>
            </w:r>
          </w:p>
        </w:tc>
      </w:tr>
      <w:tr w14:paraId="368F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343D54E7">
            <w:pPr>
              <w:spacing w:before="120" w:after="12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W</w:t>
            </w:r>
            <w:r>
              <w:rPr>
                <w:rFonts w:ascii="Times New Roman" w:hAnsi="Times New Roman" w:eastAsia="Calibri" w:cs="Times New Roman"/>
                <w:b w:val="0"/>
                <w:bCs w:val="0"/>
                <w:kern w:val="24"/>
                <w:sz w:val="20"/>
                <w:szCs w:val="24"/>
                <w:vertAlign w:val="subscript"/>
                <w:lang w:val="en-US" w:eastAsia="en-IN" w:bidi="hi-IN"/>
                <w14:ligatures w14:val="none"/>
              </w:rPr>
              <w:t xml:space="preserve">1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kern w:val="24"/>
                <w:sz w:val="20"/>
                <w:szCs w:val="24"/>
                <w:lang w:val="en-US" w:eastAsia="en-IN" w:bidi="hi-IN"/>
                <w14:ligatures w14:val="none"/>
              </w:rPr>
              <w:t>Two hand weeding (20 and 40 DAS)</w:t>
            </w:r>
          </w:p>
        </w:tc>
        <w:tc>
          <w:tcPr>
            <w:tcW w:w="288" w:type="pct"/>
            <w:shd w:val="clear" w:color="auto" w:fill="auto"/>
          </w:tcPr>
          <w:p w14:paraId="2FEEF3BE">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100.00</w:t>
            </w:r>
          </w:p>
        </w:tc>
        <w:tc>
          <w:tcPr>
            <w:tcW w:w="288" w:type="pct"/>
            <w:shd w:val="clear" w:color="auto" w:fill="auto"/>
          </w:tcPr>
          <w:p w14:paraId="7D0980F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100.00</w:t>
            </w:r>
          </w:p>
        </w:tc>
        <w:tc>
          <w:tcPr>
            <w:tcW w:w="288" w:type="pct"/>
            <w:shd w:val="clear" w:color="auto" w:fill="auto"/>
          </w:tcPr>
          <w:p w14:paraId="70A62FE4">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100.00</w:t>
            </w:r>
          </w:p>
        </w:tc>
        <w:tc>
          <w:tcPr>
            <w:tcW w:w="288" w:type="pct"/>
            <w:shd w:val="clear" w:color="auto" w:fill="auto"/>
          </w:tcPr>
          <w:p w14:paraId="328830D8">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100.00</w:t>
            </w:r>
          </w:p>
        </w:tc>
        <w:tc>
          <w:tcPr>
            <w:tcW w:w="288" w:type="pct"/>
            <w:shd w:val="clear" w:color="auto" w:fill="auto"/>
          </w:tcPr>
          <w:p w14:paraId="2DC6A16A">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72.35</w:t>
            </w:r>
          </w:p>
        </w:tc>
        <w:tc>
          <w:tcPr>
            <w:tcW w:w="288" w:type="pct"/>
            <w:shd w:val="clear" w:color="auto" w:fill="auto"/>
          </w:tcPr>
          <w:p w14:paraId="382B3C4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70.79</w:t>
            </w:r>
          </w:p>
        </w:tc>
        <w:tc>
          <w:tcPr>
            <w:tcW w:w="288" w:type="pct"/>
            <w:shd w:val="clear" w:color="auto" w:fill="auto"/>
          </w:tcPr>
          <w:p w14:paraId="6DB3F7F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71.29</w:t>
            </w:r>
          </w:p>
        </w:tc>
        <w:tc>
          <w:tcPr>
            <w:tcW w:w="288" w:type="pct"/>
            <w:shd w:val="clear" w:color="auto" w:fill="auto"/>
          </w:tcPr>
          <w:p w14:paraId="2C3C6A7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71.42</w:t>
            </w:r>
          </w:p>
        </w:tc>
        <w:tc>
          <w:tcPr>
            <w:tcW w:w="267" w:type="pct"/>
            <w:shd w:val="clear" w:color="auto" w:fill="auto"/>
          </w:tcPr>
          <w:p w14:paraId="24CE1A40">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c>
          <w:tcPr>
            <w:tcW w:w="264" w:type="pct"/>
            <w:shd w:val="clear" w:color="auto" w:fill="auto"/>
          </w:tcPr>
          <w:p w14:paraId="11D1BEC0">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w:t>
            </w:r>
          </w:p>
        </w:tc>
      </w:tr>
      <w:tr w14:paraId="2382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3E0A37F6">
            <w:pPr>
              <w:spacing w:before="120" w:after="12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W</w:t>
            </w:r>
            <w:r>
              <w:rPr>
                <w:rFonts w:ascii="Times New Roman" w:hAnsi="Times New Roman" w:eastAsia="Calibri" w:cs="Times New Roman"/>
                <w:b w:val="0"/>
                <w:bCs w:val="0"/>
                <w:kern w:val="24"/>
                <w:sz w:val="20"/>
                <w:szCs w:val="24"/>
                <w:vertAlign w:val="subscript"/>
                <w:lang w:val="en-US" w:eastAsia="en-IN" w:bidi="hi-IN"/>
                <w14:ligatures w14:val="none"/>
              </w:rPr>
              <w:t xml:space="preserve">2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i/>
                <w:iCs/>
                <w:kern w:val="24"/>
                <w:sz w:val="20"/>
                <w:szCs w:val="24"/>
                <w:lang w:val="en-US" w:eastAsia="en-IN" w:bidi="hi-IN"/>
                <w14:ligatures w14:val="none"/>
              </w:rPr>
              <w:t xml:space="preserve">Sesbenia </w:t>
            </w:r>
            <w:r>
              <w:rPr>
                <w:rFonts w:ascii="Times New Roman" w:hAnsi="Times New Roman" w:eastAsia="Calibri" w:cs="Times New Roman"/>
                <w:b w:val="0"/>
                <w:bCs w:val="0"/>
                <w:kern w:val="24"/>
                <w:sz w:val="20"/>
                <w:szCs w:val="24"/>
                <w:lang w:val="en-US" w:eastAsia="en-IN" w:bidi="hi-IN"/>
                <w14:ligatures w14:val="none"/>
              </w:rPr>
              <w:t>up to 30 days (30 DAS 2,4-D 0.5 kg a.i. ha</w:t>
            </w:r>
            <w:r>
              <w:rPr>
                <w:rFonts w:ascii="Times New Roman" w:hAnsi="Times New Roman" w:eastAsia="Calibri" w:cs="Times New Roman"/>
                <w:b w:val="0"/>
                <w:bCs w:val="0"/>
                <w:kern w:val="24"/>
                <w:sz w:val="20"/>
                <w:szCs w:val="24"/>
                <w:vertAlign w:val="superscript"/>
                <w:lang w:val="en-US" w:eastAsia="en-IN" w:bidi="hi-IN"/>
                <w14:ligatures w14:val="none"/>
              </w:rPr>
              <w:t>-1</w:t>
            </w:r>
            <w:r>
              <w:rPr>
                <w:rFonts w:ascii="Times New Roman" w:hAnsi="Times New Roman" w:eastAsia="Calibri" w:cs="Times New Roman"/>
                <w:b w:val="0"/>
                <w:bCs w:val="0"/>
                <w:kern w:val="24"/>
                <w:sz w:val="20"/>
                <w:szCs w:val="24"/>
                <w:lang w:val="en-US" w:eastAsia="en-IN" w:bidi="hi-IN"/>
                <w14:ligatures w14:val="none"/>
              </w:rPr>
              <w:t>)</w:t>
            </w:r>
          </w:p>
        </w:tc>
        <w:tc>
          <w:tcPr>
            <w:tcW w:w="288" w:type="pct"/>
            <w:shd w:val="clear" w:color="auto" w:fill="auto"/>
          </w:tcPr>
          <w:p w14:paraId="2911B0B6">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33.52</w:t>
            </w:r>
          </w:p>
        </w:tc>
        <w:tc>
          <w:tcPr>
            <w:tcW w:w="288" w:type="pct"/>
            <w:shd w:val="clear" w:color="auto" w:fill="auto"/>
          </w:tcPr>
          <w:p w14:paraId="26B4EF84">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34.04</w:t>
            </w:r>
          </w:p>
        </w:tc>
        <w:tc>
          <w:tcPr>
            <w:tcW w:w="288" w:type="pct"/>
            <w:shd w:val="clear" w:color="auto" w:fill="auto"/>
          </w:tcPr>
          <w:p w14:paraId="065553A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38.70</w:t>
            </w:r>
          </w:p>
        </w:tc>
        <w:tc>
          <w:tcPr>
            <w:tcW w:w="288" w:type="pct"/>
            <w:shd w:val="clear" w:color="auto" w:fill="auto"/>
          </w:tcPr>
          <w:p w14:paraId="1277DA9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36.60</w:t>
            </w:r>
          </w:p>
        </w:tc>
        <w:tc>
          <w:tcPr>
            <w:tcW w:w="288" w:type="pct"/>
            <w:shd w:val="clear" w:color="auto" w:fill="auto"/>
          </w:tcPr>
          <w:p w14:paraId="1B094B97">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35.12</w:t>
            </w:r>
          </w:p>
        </w:tc>
        <w:tc>
          <w:tcPr>
            <w:tcW w:w="288" w:type="pct"/>
            <w:shd w:val="clear" w:color="auto" w:fill="auto"/>
          </w:tcPr>
          <w:p w14:paraId="4EA5A1F1">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34.12</w:t>
            </w:r>
          </w:p>
        </w:tc>
        <w:tc>
          <w:tcPr>
            <w:tcW w:w="288" w:type="pct"/>
            <w:shd w:val="clear" w:color="auto" w:fill="auto"/>
          </w:tcPr>
          <w:p w14:paraId="43427C5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27.67</w:t>
            </w:r>
          </w:p>
        </w:tc>
        <w:tc>
          <w:tcPr>
            <w:tcW w:w="288" w:type="pct"/>
            <w:shd w:val="clear" w:color="auto" w:fill="auto"/>
          </w:tcPr>
          <w:p w14:paraId="68A8A44A">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29.74</w:t>
            </w:r>
          </w:p>
        </w:tc>
        <w:tc>
          <w:tcPr>
            <w:tcW w:w="267" w:type="pct"/>
            <w:shd w:val="clear" w:color="auto" w:fill="auto"/>
          </w:tcPr>
          <w:p w14:paraId="28B39BC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14.08</w:t>
            </w:r>
          </w:p>
        </w:tc>
        <w:tc>
          <w:tcPr>
            <w:tcW w:w="264" w:type="pct"/>
            <w:shd w:val="clear" w:color="auto" w:fill="auto"/>
          </w:tcPr>
          <w:p w14:paraId="0D6CD70D">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17.29</w:t>
            </w:r>
          </w:p>
        </w:tc>
      </w:tr>
      <w:tr w14:paraId="37B2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tl2br w:val="nil"/>
              <w:tr2bl w:val="nil"/>
            </w:tcBorders>
            <w:shd w:val="clear" w:color="auto" w:fill="auto"/>
          </w:tcPr>
          <w:p w14:paraId="69AAD9AA">
            <w:pPr>
              <w:spacing w:before="120" w:after="120" w:line="240" w:lineRule="auto"/>
              <w:ind w:left="432" w:hanging="432"/>
              <w:rPr>
                <w:rFonts w:ascii="Times New Roman" w:hAnsi="Times New Roman" w:eastAsia="Calibri" w:cs="Times New Roman"/>
                <w:b w:val="0"/>
                <w:bCs w:val="0"/>
                <w:kern w:val="24"/>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W</w:t>
            </w:r>
            <w:r>
              <w:rPr>
                <w:rFonts w:ascii="Times New Roman" w:hAnsi="Times New Roman" w:eastAsia="Calibri" w:cs="Times New Roman"/>
                <w:b w:val="0"/>
                <w:bCs w:val="0"/>
                <w:kern w:val="24"/>
                <w:sz w:val="20"/>
                <w:szCs w:val="24"/>
                <w:vertAlign w:val="subscript"/>
                <w:lang w:val="en-US" w:eastAsia="en-IN" w:bidi="hi-IN"/>
                <w14:ligatures w14:val="none"/>
              </w:rPr>
              <w:t xml:space="preserve">3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kern w:val="24"/>
                <w:sz w:val="20"/>
                <w:szCs w:val="24"/>
                <w:lang w:val="en-US" w:eastAsia="en-IN" w:bidi="hi-IN"/>
                <w14:ligatures w14:val="none"/>
              </w:rPr>
              <w:t>Wheat residue as mulch (4 t ha</w:t>
            </w:r>
            <w:r>
              <w:rPr>
                <w:rFonts w:ascii="Times New Roman" w:hAnsi="Times New Roman" w:eastAsia="Calibri" w:cs="Times New Roman"/>
                <w:b w:val="0"/>
                <w:bCs w:val="0"/>
                <w:kern w:val="24"/>
                <w:sz w:val="20"/>
                <w:szCs w:val="24"/>
                <w:vertAlign w:val="superscript"/>
                <w:lang w:val="en-US" w:eastAsia="en-IN" w:bidi="hi-IN"/>
                <w14:ligatures w14:val="none"/>
              </w:rPr>
              <w:t>-1</w:t>
            </w:r>
            <w:r>
              <w:rPr>
                <w:rFonts w:ascii="Times New Roman" w:hAnsi="Times New Roman" w:eastAsia="Calibri" w:cs="Times New Roman"/>
                <w:b w:val="0"/>
                <w:bCs w:val="0"/>
                <w:kern w:val="24"/>
                <w:sz w:val="20"/>
                <w:szCs w:val="24"/>
                <w:lang w:val="en-US" w:eastAsia="en-IN" w:bidi="hi-IN"/>
                <w14:ligatures w14:val="none"/>
              </w:rPr>
              <w:t xml:space="preserve">) </w:t>
            </w:r>
            <w:r>
              <w:rPr>
                <w:rFonts w:ascii="Times New Roman" w:hAnsi="Times New Roman" w:eastAsia="Calibri" w:cs="Times New Roman"/>
                <w:b w:val="0"/>
                <w:bCs w:val="0"/>
                <w:i/>
                <w:iCs/>
                <w:kern w:val="24"/>
                <w:sz w:val="20"/>
                <w:szCs w:val="24"/>
                <w:lang w:val="en-US" w:eastAsia="en-IN" w:bidi="hi-IN"/>
                <w14:ligatures w14:val="none"/>
              </w:rPr>
              <w:t>fb</w:t>
            </w:r>
            <w:r>
              <w:rPr>
                <w:rFonts w:ascii="Times New Roman" w:hAnsi="Times New Roman" w:eastAsia="Calibri" w:cs="Times New Roman"/>
                <w:b w:val="0"/>
                <w:bCs w:val="0"/>
                <w:kern w:val="24"/>
                <w:sz w:val="20"/>
                <w:szCs w:val="24"/>
                <w:lang w:val="en-US" w:eastAsia="en-IN" w:bidi="hi-IN"/>
                <w14:ligatures w14:val="none"/>
              </w:rPr>
              <w:t xml:space="preserve"> bispyribac sodium 25 g a.i. ha</w:t>
            </w:r>
            <w:r>
              <w:rPr>
                <w:rFonts w:ascii="Times New Roman" w:hAnsi="Times New Roman" w:eastAsia="Calibri" w:cs="Times New Roman"/>
                <w:b w:val="0"/>
                <w:bCs w:val="0"/>
                <w:kern w:val="24"/>
                <w:sz w:val="20"/>
                <w:szCs w:val="24"/>
                <w:vertAlign w:val="superscript"/>
                <w:lang w:val="en-US" w:eastAsia="en-IN" w:bidi="hi-IN"/>
                <w14:ligatures w14:val="none"/>
              </w:rPr>
              <w:t>-1</w:t>
            </w:r>
            <w:r>
              <w:rPr>
                <w:rFonts w:ascii="Times New Roman" w:hAnsi="Times New Roman" w:eastAsia="Calibri" w:cs="Times New Roman"/>
                <w:b w:val="0"/>
                <w:bCs w:val="0"/>
                <w:kern w:val="24"/>
                <w:sz w:val="20"/>
                <w:szCs w:val="24"/>
                <w:lang w:val="en-US" w:eastAsia="en-IN" w:bidi="hi-IN"/>
                <w14:ligatures w14:val="none"/>
              </w:rPr>
              <w:t xml:space="preserve"> (2-4 leaf stage of weed)                                                                            </w:t>
            </w:r>
          </w:p>
        </w:tc>
        <w:tc>
          <w:tcPr>
            <w:tcW w:w="288" w:type="pct"/>
            <w:shd w:val="clear" w:color="auto" w:fill="auto"/>
          </w:tcPr>
          <w:p w14:paraId="5A6D3662">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53.63</w:t>
            </w:r>
          </w:p>
        </w:tc>
        <w:tc>
          <w:tcPr>
            <w:tcW w:w="288" w:type="pct"/>
            <w:shd w:val="clear" w:color="auto" w:fill="auto"/>
          </w:tcPr>
          <w:p w14:paraId="2ACC2F76">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52.83</w:t>
            </w:r>
          </w:p>
        </w:tc>
        <w:tc>
          <w:tcPr>
            <w:tcW w:w="288" w:type="pct"/>
            <w:shd w:val="clear" w:color="auto" w:fill="auto"/>
          </w:tcPr>
          <w:p w14:paraId="76457DE2">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64.20</w:t>
            </w:r>
          </w:p>
        </w:tc>
        <w:tc>
          <w:tcPr>
            <w:tcW w:w="288" w:type="pct"/>
            <w:shd w:val="clear" w:color="auto" w:fill="auto"/>
          </w:tcPr>
          <w:p w14:paraId="62FB33E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63.86</w:t>
            </w:r>
          </w:p>
        </w:tc>
        <w:tc>
          <w:tcPr>
            <w:tcW w:w="288" w:type="pct"/>
            <w:shd w:val="clear" w:color="auto" w:fill="auto"/>
          </w:tcPr>
          <w:p w14:paraId="5A02CE80">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58.23</w:t>
            </w:r>
          </w:p>
        </w:tc>
        <w:tc>
          <w:tcPr>
            <w:tcW w:w="288" w:type="pct"/>
            <w:shd w:val="clear" w:color="auto" w:fill="auto"/>
          </w:tcPr>
          <w:p w14:paraId="38B8FD6F">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56.29</w:t>
            </w:r>
          </w:p>
        </w:tc>
        <w:tc>
          <w:tcPr>
            <w:tcW w:w="288" w:type="pct"/>
            <w:shd w:val="clear" w:color="auto" w:fill="auto"/>
          </w:tcPr>
          <w:p w14:paraId="2BDF6B9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55.64</w:t>
            </w:r>
          </w:p>
        </w:tc>
        <w:tc>
          <w:tcPr>
            <w:tcW w:w="288" w:type="pct"/>
            <w:shd w:val="clear" w:color="auto" w:fill="auto"/>
          </w:tcPr>
          <w:p w14:paraId="353002CF">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57.73</w:t>
            </w:r>
          </w:p>
        </w:tc>
        <w:tc>
          <w:tcPr>
            <w:tcW w:w="267" w:type="pct"/>
            <w:shd w:val="clear" w:color="auto" w:fill="auto"/>
          </w:tcPr>
          <w:p w14:paraId="0DE88F73">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5.14</w:t>
            </w:r>
          </w:p>
        </w:tc>
        <w:tc>
          <w:tcPr>
            <w:tcW w:w="264" w:type="pct"/>
            <w:shd w:val="clear" w:color="auto" w:fill="auto"/>
          </w:tcPr>
          <w:p w14:paraId="2DD3F6D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7.90</w:t>
            </w:r>
          </w:p>
        </w:tc>
      </w:tr>
      <w:tr w14:paraId="7E85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65" w:type="pct"/>
            <w:tcBorders>
              <w:bottom w:val="single" w:color="auto" w:sz="4" w:space="0"/>
              <w:tl2br w:val="nil"/>
              <w:tr2bl w:val="nil"/>
            </w:tcBorders>
            <w:shd w:val="clear" w:color="auto" w:fill="auto"/>
          </w:tcPr>
          <w:p w14:paraId="485DEED7">
            <w:pPr>
              <w:spacing w:before="120" w:after="120" w:line="240" w:lineRule="auto"/>
              <w:ind w:left="432" w:hanging="432"/>
              <w:rPr>
                <w:rFonts w:ascii="Times New Roman" w:hAnsi="Times New Roman" w:eastAsia="Calibri" w:cs="Times New Roman"/>
                <w:b w:val="0"/>
                <w:bCs w:val="0"/>
                <w:kern w:val="24"/>
                <w:sz w:val="20"/>
                <w:szCs w:val="24"/>
                <w:lang w:val="en-US" w:eastAsia="en-IN" w:bidi="hi-IN"/>
                <w14:ligatures w14:val="none"/>
              </w:rPr>
            </w:pPr>
            <w:r>
              <w:rPr>
                <w:rFonts w:ascii="Times New Roman" w:hAnsi="Times New Roman" w:eastAsia="Calibri" w:cs="Times New Roman"/>
                <w:b w:val="0"/>
                <w:bCs w:val="0"/>
                <w:kern w:val="24"/>
                <w:sz w:val="20"/>
                <w:szCs w:val="24"/>
                <w:lang w:val="en-US" w:eastAsia="en-IN" w:bidi="hi-IN"/>
                <w14:ligatures w14:val="none"/>
              </w:rPr>
              <w:t>W</w:t>
            </w:r>
            <w:r>
              <w:rPr>
                <w:rFonts w:ascii="Times New Roman" w:hAnsi="Times New Roman" w:eastAsia="Calibri" w:cs="Times New Roman"/>
                <w:b w:val="0"/>
                <w:bCs w:val="0"/>
                <w:kern w:val="24"/>
                <w:sz w:val="20"/>
                <w:szCs w:val="24"/>
                <w:vertAlign w:val="subscript"/>
                <w:lang w:val="en-US" w:eastAsia="en-IN" w:bidi="hi-IN"/>
                <w14:ligatures w14:val="none"/>
              </w:rPr>
              <w:t xml:space="preserve">4 </w:t>
            </w:r>
            <w:r>
              <w:rPr>
                <w:rFonts w:ascii="Times New Roman" w:hAnsi="Times New Roman" w:eastAsia="Calibri" w:cs="Times New Roman"/>
                <w:b w:val="0"/>
                <w:bCs w:val="0"/>
                <w:kern w:val="24"/>
                <w:sz w:val="20"/>
                <w:szCs w:val="24"/>
                <w:lang w:val="en-US" w:eastAsia="en-IN" w:bidi="hi-IN"/>
                <w14:ligatures w14:val="none"/>
              </w:rPr>
              <w:t>-</w:t>
            </w:r>
            <w:r>
              <w:rPr>
                <w:rFonts w:ascii="Times New Roman" w:hAnsi="Times New Roman" w:eastAsia="Calibri" w:cs="Times New Roman"/>
                <w:b w:val="0"/>
                <w:bCs w:val="0"/>
                <w:kern w:val="24"/>
                <w:sz w:val="20"/>
                <w:szCs w:val="24"/>
                <w:lang w:val="en-US" w:eastAsia="en-IN" w:bidi="hi-IN"/>
                <w14:ligatures w14:val="none"/>
              </w:rPr>
              <w:tab/>
            </w:r>
            <w:r>
              <w:rPr>
                <w:rFonts w:ascii="Times New Roman" w:hAnsi="Times New Roman" w:eastAsia="Calibri" w:cs="Times New Roman"/>
                <w:b w:val="0"/>
                <w:bCs w:val="0"/>
                <w:kern w:val="24"/>
                <w:sz w:val="20"/>
                <w:szCs w:val="24"/>
                <w:lang w:val="en-US" w:eastAsia="en-IN" w:bidi="hi-IN"/>
                <w14:ligatures w14:val="none"/>
              </w:rPr>
              <w:t>Pendimethalin 1 kg a.i. ha</w:t>
            </w:r>
            <w:r>
              <w:rPr>
                <w:rFonts w:ascii="Times New Roman" w:hAnsi="Times New Roman" w:eastAsia="Calibri" w:cs="Times New Roman"/>
                <w:b w:val="0"/>
                <w:bCs w:val="0"/>
                <w:kern w:val="24"/>
                <w:sz w:val="20"/>
                <w:szCs w:val="24"/>
                <w:vertAlign w:val="superscript"/>
                <w:lang w:val="en-US" w:eastAsia="en-IN" w:bidi="hi-IN"/>
                <w14:ligatures w14:val="none"/>
              </w:rPr>
              <w:t>-1</w:t>
            </w:r>
            <w:r>
              <w:rPr>
                <w:rFonts w:ascii="Times New Roman" w:hAnsi="Times New Roman" w:eastAsia="Calibri" w:cs="Times New Roman"/>
                <w:b w:val="0"/>
                <w:bCs w:val="0"/>
                <w:kern w:val="24"/>
                <w:sz w:val="20"/>
                <w:szCs w:val="24"/>
                <w:lang w:val="en-US" w:eastAsia="en-IN" w:bidi="hi-IN"/>
                <w14:ligatures w14:val="none"/>
              </w:rPr>
              <w:t xml:space="preserve"> </w:t>
            </w:r>
            <w:r>
              <w:rPr>
                <w:rFonts w:ascii="Times New Roman" w:hAnsi="Times New Roman" w:eastAsia="Calibri" w:cs="Times New Roman"/>
                <w:b w:val="0"/>
                <w:bCs w:val="0"/>
                <w:i/>
                <w:iCs/>
                <w:kern w:val="24"/>
                <w:sz w:val="20"/>
                <w:szCs w:val="24"/>
                <w:lang w:val="en-US" w:eastAsia="en-IN" w:bidi="hi-IN"/>
                <w14:ligatures w14:val="none"/>
              </w:rPr>
              <w:t>fb</w:t>
            </w:r>
            <w:r>
              <w:rPr>
                <w:rFonts w:ascii="Times New Roman" w:hAnsi="Times New Roman" w:eastAsia="Calibri" w:cs="Times New Roman"/>
                <w:b w:val="0"/>
                <w:bCs w:val="0"/>
                <w:kern w:val="24"/>
                <w:sz w:val="20"/>
                <w:szCs w:val="24"/>
                <w:lang w:val="en-US" w:eastAsia="en-IN" w:bidi="hi-IN"/>
                <w14:ligatures w14:val="none"/>
              </w:rPr>
              <w:t xml:space="preserve"> bispyribac sodium 25 g a.i. ha</w:t>
            </w:r>
            <w:r>
              <w:rPr>
                <w:rFonts w:ascii="Times New Roman" w:hAnsi="Times New Roman" w:eastAsia="Calibri" w:cs="Times New Roman"/>
                <w:b w:val="0"/>
                <w:bCs w:val="0"/>
                <w:kern w:val="24"/>
                <w:sz w:val="20"/>
                <w:szCs w:val="24"/>
                <w:vertAlign w:val="superscript"/>
                <w:lang w:val="en-US" w:eastAsia="en-IN" w:bidi="hi-IN"/>
                <w14:ligatures w14:val="none"/>
              </w:rPr>
              <w:t>-1</w:t>
            </w:r>
            <w:r>
              <w:rPr>
                <w:rFonts w:ascii="Times New Roman" w:hAnsi="Times New Roman" w:eastAsia="Calibri" w:cs="Times New Roman"/>
                <w:b w:val="0"/>
                <w:bCs w:val="0"/>
                <w:kern w:val="24"/>
                <w:sz w:val="20"/>
                <w:szCs w:val="24"/>
                <w:lang w:val="en-US" w:eastAsia="en-IN" w:bidi="hi-IN"/>
                <w14:ligatures w14:val="none"/>
              </w:rPr>
              <w:t xml:space="preserve"> (2-4 leaf stage of weed)                                                              </w:t>
            </w:r>
          </w:p>
        </w:tc>
        <w:tc>
          <w:tcPr>
            <w:tcW w:w="288" w:type="pct"/>
            <w:tcBorders>
              <w:bottom w:val="single" w:color="auto" w:sz="4" w:space="0"/>
            </w:tcBorders>
            <w:shd w:val="clear" w:color="auto" w:fill="auto"/>
          </w:tcPr>
          <w:p w14:paraId="56A096A1">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56.55</w:t>
            </w:r>
          </w:p>
        </w:tc>
        <w:tc>
          <w:tcPr>
            <w:tcW w:w="288" w:type="pct"/>
            <w:tcBorders>
              <w:bottom w:val="single" w:color="auto" w:sz="4" w:space="0"/>
            </w:tcBorders>
            <w:shd w:val="clear" w:color="auto" w:fill="auto"/>
          </w:tcPr>
          <w:p w14:paraId="69BF873C">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55.40</w:t>
            </w:r>
          </w:p>
        </w:tc>
        <w:tc>
          <w:tcPr>
            <w:tcW w:w="288" w:type="pct"/>
            <w:tcBorders>
              <w:bottom w:val="single" w:color="auto" w:sz="4" w:space="0"/>
            </w:tcBorders>
            <w:shd w:val="clear" w:color="auto" w:fill="auto"/>
          </w:tcPr>
          <w:p w14:paraId="73B40673">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61.53</w:t>
            </w:r>
          </w:p>
        </w:tc>
        <w:tc>
          <w:tcPr>
            <w:tcW w:w="288" w:type="pct"/>
            <w:tcBorders>
              <w:bottom w:val="single" w:color="auto" w:sz="4" w:space="0"/>
            </w:tcBorders>
            <w:shd w:val="clear" w:color="auto" w:fill="auto"/>
          </w:tcPr>
          <w:p w14:paraId="5C685B11">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60.65</w:t>
            </w:r>
          </w:p>
        </w:tc>
        <w:tc>
          <w:tcPr>
            <w:tcW w:w="288" w:type="pct"/>
            <w:tcBorders>
              <w:bottom w:val="single" w:color="auto" w:sz="4" w:space="0"/>
            </w:tcBorders>
            <w:shd w:val="clear" w:color="auto" w:fill="auto"/>
          </w:tcPr>
          <w:p w14:paraId="2A7A8D98">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56.40</w:t>
            </w:r>
          </w:p>
        </w:tc>
        <w:tc>
          <w:tcPr>
            <w:tcW w:w="288" w:type="pct"/>
            <w:tcBorders>
              <w:bottom w:val="single" w:color="auto" w:sz="4" w:space="0"/>
            </w:tcBorders>
            <w:shd w:val="clear" w:color="auto" w:fill="auto"/>
          </w:tcPr>
          <w:p w14:paraId="3A96C1B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54.46</w:t>
            </w:r>
          </w:p>
        </w:tc>
        <w:tc>
          <w:tcPr>
            <w:tcW w:w="288" w:type="pct"/>
            <w:tcBorders>
              <w:bottom w:val="single" w:color="auto" w:sz="4" w:space="0"/>
            </w:tcBorders>
            <w:shd w:val="clear" w:color="auto" w:fill="auto"/>
          </w:tcPr>
          <w:p w14:paraId="44920D27">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53.19</w:t>
            </w:r>
          </w:p>
        </w:tc>
        <w:tc>
          <w:tcPr>
            <w:tcW w:w="288" w:type="pct"/>
            <w:tcBorders>
              <w:bottom w:val="single" w:color="auto" w:sz="4" w:space="0"/>
            </w:tcBorders>
            <w:shd w:val="clear" w:color="auto" w:fill="auto"/>
          </w:tcPr>
          <w:p w14:paraId="320F6730">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55.42</w:t>
            </w:r>
          </w:p>
        </w:tc>
        <w:tc>
          <w:tcPr>
            <w:tcW w:w="267" w:type="pct"/>
            <w:tcBorders>
              <w:bottom w:val="single" w:color="auto" w:sz="4" w:space="0"/>
            </w:tcBorders>
            <w:shd w:val="clear" w:color="auto" w:fill="auto"/>
          </w:tcPr>
          <w:p w14:paraId="13F663FF">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7.79</w:t>
            </w:r>
          </w:p>
        </w:tc>
        <w:tc>
          <w:tcPr>
            <w:tcW w:w="264" w:type="pct"/>
            <w:tcBorders>
              <w:bottom w:val="single" w:color="auto" w:sz="4" w:space="0"/>
            </w:tcBorders>
            <w:shd w:val="clear" w:color="auto" w:fill="auto"/>
          </w:tcPr>
          <w:p w14:paraId="6E66F305">
            <w:pPr>
              <w:spacing w:before="120" w:after="12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8.77</w:t>
            </w:r>
          </w:p>
        </w:tc>
      </w:tr>
    </w:tbl>
    <w:p w14:paraId="76EE9940">
      <w:pPr>
        <w:pStyle w:val="15"/>
        <w:spacing w:before="100" w:beforeAutospacing="1" w:after="100" w:afterAutospacing="1"/>
        <w:jc w:val="both"/>
        <w:rPr>
          <w:rFonts w:ascii="Times New Roman" w:hAnsi="Times New Roman" w:cs="Times New Roman"/>
          <w:b/>
          <w:bCs/>
        </w:rPr>
      </w:pPr>
    </w:p>
    <w:p w14:paraId="640E5AB1">
      <w:pPr>
        <w:pStyle w:val="15"/>
        <w:spacing w:before="100" w:beforeAutospacing="1" w:after="100" w:afterAutospacing="1"/>
        <w:jc w:val="both"/>
        <w:rPr>
          <w:rFonts w:ascii="Times New Roman" w:hAnsi="Times New Roman" w:cs="Times New Roman"/>
        </w:rPr>
      </w:pPr>
      <w:r>
        <w:rPr>
          <w:rFonts w:ascii="Times New Roman" w:hAnsi="Times New Roman" w:cs="Times New Roman"/>
          <w:b/>
          <w:bCs/>
        </w:rPr>
        <w:t>Table 3.</w:t>
      </w:r>
      <w:r>
        <w:rPr>
          <w:rFonts w:ascii="Times New Roman" w:hAnsi="Times New Roman" w:cs="Times New Roman"/>
        </w:rPr>
        <w:t xml:space="preserve"> </w:t>
      </w:r>
      <w:r>
        <w:rPr>
          <w:rFonts w:ascii="Times New Roman" w:hAnsi="Times New Roman" w:cs="Times New Roman"/>
          <w:bCs/>
        </w:rPr>
        <w:t>Effect of integrated nitrogen and weed management practices on nutrient content in weeds in direct seeded rice</w:t>
      </w:r>
    </w:p>
    <w:tbl>
      <w:tblPr>
        <w:tblStyle w:val="13"/>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72" w:type="dxa"/>
          <w:bottom w:w="0" w:type="dxa"/>
          <w:right w:w="72" w:type="dxa"/>
        </w:tblCellMar>
      </w:tblPr>
      <w:tblGrid>
        <w:gridCol w:w="5200"/>
        <w:gridCol w:w="741"/>
        <w:gridCol w:w="741"/>
        <w:gridCol w:w="742"/>
        <w:gridCol w:w="742"/>
        <w:gridCol w:w="742"/>
        <w:gridCol w:w="742"/>
        <w:gridCol w:w="742"/>
        <w:gridCol w:w="742"/>
        <w:gridCol w:w="742"/>
        <w:gridCol w:w="742"/>
        <w:gridCol w:w="742"/>
        <w:gridCol w:w="742"/>
      </w:tblGrid>
      <w:tr w14:paraId="3ABE1E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vMerge w:val="restart"/>
            <w:tcBorders>
              <w:top w:val="single" w:color="auto" w:sz="4" w:space="0"/>
              <w:bottom w:val="single" w:color="auto" w:sz="4" w:space="0"/>
              <w:tl2br w:val="nil"/>
              <w:tr2bl w:val="nil"/>
            </w:tcBorders>
            <w:shd w:val="clear" w:color="auto" w:fill="auto"/>
            <w:vAlign w:val="center"/>
          </w:tcPr>
          <w:p w14:paraId="1FC0F075">
            <w:pPr>
              <w:spacing w:before="60" w:after="60" w:line="240" w:lineRule="auto"/>
              <w:jc w:val="center"/>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Treatments</w:t>
            </w:r>
          </w:p>
        </w:tc>
        <w:tc>
          <w:tcPr>
            <w:tcW w:w="1052" w:type="pct"/>
            <w:gridSpan w:val="4"/>
            <w:tcBorders>
              <w:top w:val="single" w:color="auto" w:sz="4" w:space="0"/>
              <w:bottom w:val="single" w:color="auto" w:sz="4" w:space="0"/>
              <w:tl2br w:val="nil"/>
              <w:tr2bl w:val="nil"/>
            </w:tcBorders>
            <w:shd w:val="clear" w:color="auto" w:fill="auto"/>
          </w:tcPr>
          <w:p w14:paraId="47D57D5D">
            <w:pPr>
              <w:spacing w:before="60" w:after="60" w:line="240" w:lineRule="auto"/>
              <w:jc w:val="center"/>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Nitrogen (%)</w:t>
            </w:r>
          </w:p>
        </w:tc>
        <w:tc>
          <w:tcPr>
            <w:tcW w:w="1052" w:type="pct"/>
            <w:gridSpan w:val="4"/>
            <w:tcBorders>
              <w:top w:val="single" w:color="auto" w:sz="4" w:space="0"/>
              <w:bottom w:val="single" w:color="auto" w:sz="4" w:space="0"/>
              <w:tl2br w:val="nil"/>
              <w:tr2bl w:val="nil"/>
            </w:tcBorders>
            <w:shd w:val="clear" w:color="auto" w:fill="auto"/>
          </w:tcPr>
          <w:p w14:paraId="64372FDA">
            <w:pPr>
              <w:spacing w:before="60" w:after="60" w:line="240" w:lineRule="auto"/>
              <w:jc w:val="center"/>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Phosphorus (%)</w:t>
            </w:r>
          </w:p>
        </w:tc>
        <w:tc>
          <w:tcPr>
            <w:tcW w:w="1052" w:type="pct"/>
            <w:gridSpan w:val="4"/>
            <w:tcBorders>
              <w:top w:val="single" w:color="auto" w:sz="4" w:space="0"/>
              <w:bottom w:val="single" w:color="auto" w:sz="4" w:space="0"/>
              <w:tl2br w:val="nil"/>
              <w:tr2bl w:val="nil"/>
            </w:tcBorders>
            <w:shd w:val="clear" w:color="auto" w:fill="auto"/>
          </w:tcPr>
          <w:p w14:paraId="34339A95">
            <w:pPr>
              <w:spacing w:before="60" w:after="60" w:line="240" w:lineRule="auto"/>
              <w:jc w:val="center"/>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Potassium (%)</w:t>
            </w:r>
          </w:p>
        </w:tc>
      </w:tr>
      <w:tr w14:paraId="20E911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vMerge w:val="continue"/>
            <w:tcBorders>
              <w:top w:val="single" w:color="auto" w:sz="4" w:space="0"/>
              <w:bottom w:val="single" w:color="auto" w:sz="4" w:space="0"/>
              <w:tl2br w:val="nil"/>
              <w:tr2bl w:val="nil"/>
            </w:tcBorders>
            <w:shd w:val="clear" w:color="auto" w:fill="auto"/>
          </w:tcPr>
          <w:p w14:paraId="2AA6A139">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p>
        </w:tc>
        <w:tc>
          <w:tcPr>
            <w:tcW w:w="526" w:type="pct"/>
            <w:gridSpan w:val="2"/>
            <w:tcBorders>
              <w:top w:val="single" w:color="auto" w:sz="4" w:space="0"/>
              <w:bottom w:val="single" w:color="auto" w:sz="4" w:space="0"/>
            </w:tcBorders>
            <w:shd w:val="clear" w:color="auto" w:fill="auto"/>
          </w:tcPr>
          <w:p w14:paraId="5583E2A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60 DAS</w:t>
            </w:r>
          </w:p>
        </w:tc>
        <w:tc>
          <w:tcPr>
            <w:tcW w:w="526" w:type="pct"/>
            <w:gridSpan w:val="2"/>
            <w:tcBorders>
              <w:top w:val="single" w:color="auto" w:sz="4" w:space="0"/>
              <w:bottom w:val="single" w:color="auto" w:sz="4" w:space="0"/>
            </w:tcBorders>
            <w:shd w:val="clear" w:color="auto" w:fill="auto"/>
          </w:tcPr>
          <w:p w14:paraId="3F9BA79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80 DAS</w:t>
            </w:r>
          </w:p>
        </w:tc>
        <w:tc>
          <w:tcPr>
            <w:tcW w:w="526" w:type="pct"/>
            <w:gridSpan w:val="2"/>
            <w:tcBorders>
              <w:top w:val="single" w:color="auto" w:sz="4" w:space="0"/>
              <w:bottom w:val="single" w:color="auto" w:sz="4" w:space="0"/>
            </w:tcBorders>
            <w:shd w:val="clear" w:color="auto" w:fill="auto"/>
          </w:tcPr>
          <w:p w14:paraId="51793428">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60 DAS</w:t>
            </w:r>
          </w:p>
        </w:tc>
        <w:tc>
          <w:tcPr>
            <w:tcW w:w="526" w:type="pct"/>
            <w:gridSpan w:val="2"/>
            <w:tcBorders>
              <w:top w:val="single" w:color="auto" w:sz="4" w:space="0"/>
              <w:bottom w:val="single" w:color="auto" w:sz="4" w:space="0"/>
            </w:tcBorders>
            <w:shd w:val="clear" w:color="auto" w:fill="auto"/>
          </w:tcPr>
          <w:p w14:paraId="31D2B66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80 DAS</w:t>
            </w:r>
          </w:p>
        </w:tc>
        <w:tc>
          <w:tcPr>
            <w:tcW w:w="526" w:type="pct"/>
            <w:gridSpan w:val="2"/>
            <w:tcBorders>
              <w:top w:val="single" w:color="auto" w:sz="4" w:space="0"/>
              <w:bottom w:val="single" w:color="auto" w:sz="4" w:space="0"/>
            </w:tcBorders>
            <w:shd w:val="clear" w:color="auto" w:fill="auto"/>
          </w:tcPr>
          <w:p w14:paraId="7BAB648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60 DAS</w:t>
            </w:r>
          </w:p>
        </w:tc>
        <w:tc>
          <w:tcPr>
            <w:tcW w:w="526" w:type="pct"/>
            <w:gridSpan w:val="2"/>
            <w:tcBorders>
              <w:top w:val="single" w:color="auto" w:sz="4" w:space="0"/>
              <w:bottom w:val="single" w:color="auto" w:sz="4" w:space="0"/>
            </w:tcBorders>
            <w:shd w:val="clear" w:color="auto" w:fill="auto"/>
          </w:tcPr>
          <w:p w14:paraId="793C7F3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80 DAS</w:t>
            </w:r>
          </w:p>
        </w:tc>
      </w:tr>
      <w:tr w14:paraId="0EE8EE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vMerge w:val="continue"/>
            <w:tcBorders>
              <w:top w:val="single" w:color="auto" w:sz="4" w:space="0"/>
              <w:bottom w:val="single" w:color="auto" w:sz="4" w:space="0"/>
              <w:tl2br w:val="nil"/>
              <w:tr2bl w:val="nil"/>
            </w:tcBorders>
            <w:shd w:val="clear" w:color="auto" w:fill="auto"/>
          </w:tcPr>
          <w:p w14:paraId="2849E3AF">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p>
        </w:tc>
        <w:tc>
          <w:tcPr>
            <w:tcW w:w="263" w:type="pct"/>
            <w:tcBorders>
              <w:top w:val="single" w:color="auto" w:sz="4" w:space="0"/>
              <w:bottom w:val="single" w:color="auto" w:sz="4" w:space="0"/>
            </w:tcBorders>
            <w:shd w:val="clear" w:color="auto" w:fill="auto"/>
          </w:tcPr>
          <w:p w14:paraId="35B07E33">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63" w:type="pct"/>
            <w:tcBorders>
              <w:top w:val="single" w:color="auto" w:sz="4" w:space="0"/>
              <w:bottom w:val="single" w:color="auto" w:sz="4" w:space="0"/>
            </w:tcBorders>
            <w:shd w:val="clear" w:color="auto" w:fill="auto"/>
          </w:tcPr>
          <w:p w14:paraId="4EE64B4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63" w:type="pct"/>
            <w:tcBorders>
              <w:top w:val="single" w:color="auto" w:sz="4" w:space="0"/>
              <w:bottom w:val="single" w:color="auto" w:sz="4" w:space="0"/>
            </w:tcBorders>
            <w:shd w:val="clear" w:color="auto" w:fill="auto"/>
          </w:tcPr>
          <w:p w14:paraId="73E20FE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63" w:type="pct"/>
            <w:tcBorders>
              <w:top w:val="single" w:color="auto" w:sz="4" w:space="0"/>
              <w:bottom w:val="single" w:color="auto" w:sz="4" w:space="0"/>
            </w:tcBorders>
            <w:shd w:val="clear" w:color="auto" w:fill="auto"/>
          </w:tcPr>
          <w:p w14:paraId="4289AE9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63" w:type="pct"/>
            <w:tcBorders>
              <w:top w:val="single" w:color="auto" w:sz="4" w:space="0"/>
              <w:bottom w:val="single" w:color="auto" w:sz="4" w:space="0"/>
            </w:tcBorders>
            <w:shd w:val="clear" w:color="auto" w:fill="auto"/>
          </w:tcPr>
          <w:p w14:paraId="36FCD42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63" w:type="pct"/>
            <w:tcBorders>
              <w:top w:val="single" w:color="auto" w:sz="4" w:space="0"/>
              <w:bottom w:val="single" w:color="auto" w:sz="4" w:space="0"/>
            </w:tcBorders>
            <w:shd w:val="clear" w:color="auto" w:fill="auto"/>
          </w:tcPr>
          <w:p w14:paraId="1C643743">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63" w:type="pct"/>
            <w:tcBorders>
              <w:top w:val="single" w:color="auto" w:sz="4" w:space="0"/>
              <w:bottom w:val="single" w:color="auto" w:sz="4" w:space="0"/>
            </w:tcBorders>
            <w:shd w:val="clear" w:color="auto" w:fill="auto"/>
          </w:tcPr>
          <w:p w14:paraId="4BA8BD5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63" w:type="pct"/>
            <w:tcBorders>
              <w:top w:val="single" w:color="auto" w:sz="4" w:space="0"/>
              <w:bottom w:val="single" w:color="auto" w:sz="4" w:space="0"/>
            </w:tcBorders>
            <w:shd w:val="clear" w:color="auto" w:fill="auto"/>
          </w:tcPr>
          <w:p w14:paraId="237373D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63" w:type="pct"/>
            <w:tcBorders>
              <w:top w:val="single" w:color="auto" w:sz="4" w:space="0"/>
              <w:bottom w:val="single" w:color="auto" w:sz="4" w:space="0"/>
            </w:tcBorders>
            <w:shd w:val="clear" w:color="auto" w:fill="auto"/>
          </w:tcPr>
          <w:p w14:paraId="1F2FC76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63" w:type="pct"/>
            <w:tcBorders>
              <w:top w:val="single" w:color="auto" w:sz="4" w:space="0"/>
              <w:bottom w:val="single" w:color="auto" w:sz="4" w:space="0"/>
            </w:tcBorders>
            <w:shd w:val="clear" w:color="auto" w:fill="auto"/>
          </w:tcPr>
          <w:p w14:paraId="0701EBD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c>
          <w:tcPr>
            <w:tcW w:w="263" w:type="pct"/>
            <w:tcBorders>
              <w:top w:val="single" w:color="auto" w:sz="4" w:space="0"/>
              <w:bottom w:val="single" w:color="auto" w:sz="4" w:space="0"/>
            </w:tcBorders>
            <w:shd w:val="clear" w:color="auto" w:fill="auto"/>
          </w:tcPr>
          <w:p w14:paraId="6FC1C27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2019</w:t>
            </w:r>
          </w:p>
        </w:tc>
        <w:tc>
          <w:tcPr>
            <w:tcW w:w="263" w:type="pct"/>
            <w:tcBorders>
              <w:top w:val="single" w:color="auto" w:sz="4" w:space="0"/>
              <w:bottom w:val="single" w:color="auto" w:sz="4" w:space="0"/>
            </w:tcBorders>
            <w:shd w:val="clear" w:color="auto" w:fill="auto"/>
          </w:tcPr>
          <w:p w14:paraId="774E38E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2020</w:t>
            </w:r>
          </w:p>
        </w:tc>
      </w:tr>
      <w:tr w14:paraId="0115E76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5000" w:type="pct"/>
            <w:gridSpan w:val="13"/>
            <w:tcBorders>
              <w:top w:val="single" w:color="auto" w:sz="4" w:space="0"/>
              <w:bottom w:val="single" w:color="auto" w:sz="4" w:space="0"/>
              <w:tl2br w:val="nil"/>
              <w:tr2bl w:val="nil"/>
            </w:tcBorders>
            <w:shd w:val="clear" w:color="auto" w:fill="auto"/>
          </w:tcPr>
          <w:p w14:paraId="19021CC1">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Integrated Nitrogen Management</w:t>
            </w:r>
          </w:p>
        </w:tc>
      </w:tr>
      <w:tr w14:paraId="0EBEDB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op w:val="single" w:color="auto" w:sz="4" w:space="0"/>
              <w:tl2br w:val="nil"/>
              <w:tr2bl w:val="nil"/>
            </w:tcBorders>
            <w:shd w:val="clear" w:color="auto" w:fill="auto"/>
          </w:tcPr>
          <w:p w14:paraId="405AA18C">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0 </w:t>
            </w:r>
            <w:r>
              <w:rPr>
                <w:rFonts w:ascii="Times New Roman" w:hAnsi="Times New Roman" w:eastAsia="Calibri" w:cs="Times New Roman"/>
                <w:b w:val="0"/>
                <w:bCs w:val="0"/>
                <w:kern w:val="0"/>
                <w:sz w:val="20"/>
                <w:szCs w:val="24"/>
                <w:lang w:val="en-US" w:eastAsia="en-IN" w:bidi="hi-IN"/>
                <w14:ligatures w14:val="none"/>
              </w:rPr>
              <w:t xml:space="preserve">- </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Control (RDF of P</w:t>
            </w:r>
            <w:r>
              <w:rPr>
                <w:rFonts w:ascii="Times New Roman" w:hAnsi="Times New Roman" w:eastAsia="Calibri" w:cs="Times New Roman"/>
                <w:b w:val="0"/>
                <w:bCs w:val="0"/>
                <w:kern w:val="0"/>
                <w:sz w:val="20"/>
                <w:szCs w:val="24"/>
                <w:vertAlign w:val="subscript"/>
                <w:lang w:val="en-US" w:eastAsia="en-IN" w:bidi="hi-IN"/>
                <w14:ligatures w14:val="none"/>
              </w:rPr>
              <w:t>2</w:t>
            </w:r>
            <w:r>
              <w:rPr>
                <w:rFonts w:ascii="Times New Roman" w:hAnsi="Times New Roman" w:eastAsia="Calibri" w:cs="Times New Roman"/>
                <w:b w:val="0"/>
                <w:bCs w:val="0"/>
                <w:kern w:val="0"/>
                <w:sz w:val="20"/>
                <w:szCs w:val="24"/>
                <w:lang w:val="en-US" w:eastAsia="en-IN" w:bidi="hi-IN"/>
                <w14:ligatures w14:val="none"/>
              </w:rPr>
              <w:t>O</w:t>
            </w:r>
            <w:r>
              <w:rPr>
                <w:rFonts w:ascii="Times New Roman" w:hAnsi="Times New Roman" w:eastAsia="Calibri" w:cs="Times New Roman"/>
                <w:b w:val="0"/>
                <w:bCs w:val="0"/>
                <w:kern w:val="0"/>
                <w:sz w:val="20"/>
                <w:szCs w:val="24"/>
                <w:vertAlign w:val="subscript"/>
                <w:lang w:val="en-US" w:eastAsia="en-IN" w:bidi="hi-IN"/>
                <w14:ligatures w14:val="none"/>
              </w:rPr>
              <w:t>5</w:t>
            </w:r>
            <w:r>
              <w:rPr>
                <w:rFonts w:ascii="Times New Roman" w:hAnsi="Times New Roman" w:eastAsia="Calibri" w:cs="Times New Roman"/>
                <w:b w:val="0"/>
                <w:bCs w:val="0"/>
                <w:kern w:val="0"/>
                <w:sz w:val="20"/>
                <w:szCs w:val="24"/>
                <w:lang w:val="en-US" w:eastAsia="en-IN" w:bidi="hi-IN"/>
                <w14:ligatures w14:val="none"/>
              </w:rPr>
              <w:t xml:space="preserve"> and K</w:t>
            </w:r>
            <w:r>
              <w:rPr>
                <w:rFonts w:ascii="Times New Roman" w:hAnsi="Times New Roman" w:eastAsia="Calibri" w:cs="Times New Roman"/>
                <w:b w:val="0"/>
                <w:bCs w:val="0"/>
                <w:kern w:val="0"/>
                <w:sz w:val="20"/>
                <w:szCs w:val="24"/>
                <w:vertAlign w:val="subscript"/>
                <w:lang w:val="en-US" w:eastAsia="en-IN" w:bidi="hi-IN"/>
                <w14:ligatures w14:val="none"/>
              </w:rPr>
              <w:t>2</w:t>
            </w:r>
            <w:r>
              <w:rPr>
                <w:rFonts w:ascii="Times New Roman" w:hAnsi="Times New Roman" w:eastAsia="Calibri" w:cs="Times New Roman"/>
                <w:b w:val="0"/>
                <w:bCs w:val="0"/>
                <w:kern w:val="0"/>
                <w:sz w:val="20"/>
                <w:szCs w:val="24"/>
                <w:lang w:val="en-US" w:eastAsia="en-IN" w:bidi="hi-IN"/>
                <w14:ligatures w14:val="none"/>
              </w:rPr>
              <w:t>O)</w:t>
            </w:r>
          </w:p>
        </w:tc>
        <w:tc>
          <w:tcPr>
            <w:tcW w:w="263" w:type="pct"/>
            <w:tcBorders>
              <w:top w:val="single" w:color="auto" w:sz="4" w:space="0"/>
            </w:tcBorders>
            <w:shd w:val="clear" w:color="auto" w:fill="auto"/>
          </w:tcPr>
          <w:p w14:paraId="6FF456D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1.51</w:t>
            </w:r>
          </w:p>
        </w:tc>
        <w:tc>
          <w:tcPr>
            <w:tcW w:w="263" w:type="pct"/>
            <w:tcBorders>
              <w:top w:val="single" w:color="auto" w:sz="4" w:space="0"/>
            </w:tcBorders>
            <w:shd w:val="clear" w:color="auto" w:fill="auto"/>
          </w:tcPr>
          <w:p w14:paraId="0BB5743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1.57</w:t>
            </w:r>
          </w:p>
        </w:tc>
        <w:tc>
          <w:tcPr>
            <w:tcW w:w="263" w:type="pct"/>
            <w:tcBorders>
              <w:top w:val="single" w:color="auto" w:sz="4" w:space="0"/>
            </w:tcBorders>
            <w:shd w:val="clear" w:color="auto" w:fill="auto"/>
          </w:tcPr>
          <w:p w14:paraId="4B39301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1.90</w:t>
            </w:r>
          </w:p>
        </w:tc>
        <w:tc>
          <w:tcPr>
            <w:tcW w:w="263" w:type="pct"/>
            <w:tcBorders>
              <w:top w:val="single" w:color="auto" w:sz="4" w:space="0"/>
            </w:tcBorders>
            <w:shd w:val="clear" w:color="auto" w:fill="auto"/>
          </w:tcPr>
          <w:p w14:paraId="6BF6935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1.98</w:t>
            </w:r>
          </w:p>
        </w:tc>
        <w:tc>
          <w:tcPr>
            <w:tcW w:w="263" w:type="pct"/>
            <w:tcBorders>
              <w:top w:val="single" w:color="auto" w:sz="4" w:space="0"/>
            </w:tcBorders>
            <w:shd w:val="clear" w:color="auto" w:fill="auto"/>
          </w:tcPr>
          <w:p w14:paraId="6D80025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0.191</w:t>
            </w:r>
          </w:p>
        </w:tc>
        <w:tc>
          <w:tcPr>
            <w:tcW w:w="263" w:type="pct"/>
            <w:tcBorders>
              <w:top w:val="single" w:color="auto" w:sz="4" w:space="0"/>
            </w:tcBorders>
            <w:shd w:val="clear" w:color="auto" w:fill="auto"/>
          </w:tcPr>
          <w:p w14:paraId="62E5CBC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0.199</w:t>
            </w:r>
          </w:p>
        </w:tc>
        <w:tc>
          <w:tcPr>
            <w:tcW w:w="263" w:type="pct"/>
            <w:tcBorders>
              <w:top w:val="single" w:color="auto" w:sz="4" w:space="0"/>
            </w:tcBorders>
            <w:shd w:val="clear" w:color="auto" w:fill="auto"/>
          </w:tcPr>
          <w:p w14:paraId="24C81A0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0.410</w:t>
            </w:r>
          </w:p>
        </w:tc>
        <w:tc>
          <w:tcPr>
            <w:tcW w:w="263" w:type="pct"/>
            <w:tcBorders>
              <w:top w:val="single" w:color="auto" w:sz="4" w:space="0"/>
            </w:tcBorders>
            <w:shd w:val="clear" w:color="auto" w:fill="auto"/>
          </w:tcPr>
          <w:p w14:paraId="2B9ADB2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0.423</w:t>
            </w:r>
          </w:p>
        </w:tc>
        <w:tc>
          <w:tcPr>
            <w:tcW w:w="263" w:type="pct"/>
            <w:tcBorders>
              <w:top w:val="single" w:color="auto" w:sz="4" w:space="0"/>
            </w:tcBorders>
            <w:shd w:val="clear" w:color="auto" w:fill="auto"/>
          </w:tcPr>
          <w:p w14:paraId="6ED7316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1.69</w:t>
            </w:r>
          </w:p>
        </w:tc>
        <w:tc>
          <w:tcPr>
            <w:tcW w:w="263" w:type="pct"/>
            <w:tcBorders>
              <w:top w:val="single" w:color="auto" w:sz="4" w:space="0"/>
            </w:tcBorders>
            <w:shd w:val="clear" w:color="auto" w:fill="auto"/>
          </w:tcPr>
          <w:p w14:paraId="508E1C8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1.86</w:t>
            </w:r>
          </w:p>
        </w:tc>
        <w:tc>
          <w:tcPr>
            <w:tcW w:w="263" w:type="pct"/>
            <w:tcBorders>
              <w:top w:val="single" w:color="auto" w:sz="4" w:space="0"/>
            </w:tcBorders>
            <w:shd w:val="clear" w:color="auto" w:fill="auto"/>
          </w:tcPr>
          <w:p w14:paraId="76E902D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2.44</w:t>
            </w:r>
          </w:p>
        </w:tc>
        <w:tc>
          <w:tcPr>
            <w:tcW w:w="263" w:type="pct"/>
            <w:tcBorders>
              <w:top w:val="single" w:color="auto" w:sz="4" w:space="0"/>
            </w:tcBorders>
            <w:shd w:val="clear" w:color="auto" w:fill="auto"/>
          </w:tcPr>
          <w:p w14:paraId="641EDAD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2.43</w:t>
            </w:r>
          </w:p>
        </w:tc>
      </w:tr>
      <w:tr w14:paraId="0FE4146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l2br w:val="nil"/>
              <w:tr2bl w:val="nil"/>
            </w:tcBorders>
            <w:shd w:val="clear" w:color="auto" w:fill="auto"/>
          </w:tcPr>
          <w:p w14:paraId="4AE467DD">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1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RDN (150-60-60 kg NPK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w:t>
            </w:r>
          </w:p>
        </w:tc>
        <w:tc>
          <w:tcPr>
            <w:tcW w:w="263" w:type="pct"/>
            <w:shd w:val="clear" w:color="auto" w:fill="auto"/>
          </w:tcPr>
          <w:p w14:paraId="3771737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1.66</w:t>
            </w:r>
          </w:p>
        </w:tc>
        <w:tc>
          <w:tcPr>
            <w:tcW w:w="263" w:type="pct"/>
            <w:shd w:val="clear" w:color="auto" w:fill="auto"/>
          </w:tcPr>
          <w:p w14:paraId="1667381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1.78</w:t>
            </w:r>
          </w:p>
        </w:tc>
        <w:tc>
          <w:tcPr>
            <w:tcW w:w="263" w:type="pct"/>
            <w:shd w:val="clear" w:color="auto" w:fill="auto"/>
          </w:tcPr>
          <w:p w14:paraId="10E02D2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2.06</w:t>
            </w:r>
          </w:p>
        </w:tc>
        <w:tc>
          <w:tcPr>
            <w:tcW w:w="263" w:type="pct"/>
            <w:shd w:val="clear" w:color="auto" w:fill="auto"/>
          </w:tcPr>
          <w:p w14:paraId="0331776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2.18</w:t>
            </w:r>
          </w:p>
        </w:tc>
        <w:tc>
          <w:tcPr>
            <w:tcW w:w="263" w:type="pct"/>
            <w:shd w:val="clear" w:color="auto" w:fill="auto"/>
          </w:tcPr>
          <w:p w14:paraId="1BBF824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0.212</w:t>
            </w:r>
          </w:p>
        </w:tc>
        <w:tc>
          <w:tcPr>
            <w:tcW w:w="263" w:type="pct"/>
            <w:shd w:val="clear" w:color="auto" w:fill="auto"/>
          </w:tcPr>
          <w:p w14:paraId="1CF5333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0.220</w:t>
            </w:r>
          </w:p>
        </w:tc>
        <w:tc>
          <w:tcPr>
            <w:tcW w:w="263" w:type="pct"/>
            <w:shd w:val="clear" w:color="auto" w:fill="auto"/>
          </w:tcPr>
          <w:p w14:paraId="05BB6F0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0.449</w:t>
            </w:r>
          </w:p>
        </w:tc>
        <w:tc>
          <w:tcPr>
            <w:tcW w:w="263" w:type="pct"/>
            <w:shd w:val="clear" w:color="auto" w:fill="auto"/>
          </w:tcPr>
          <w:p w14:paraId="029FE89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0.461</w:t>
            </w:r>
          </w:p>
        </w:tc>
        <w:tc>
          <w:tcPr>
            <w:tcW w:w="263" w:type="pct"/>
            <w:shd w:val="clear" w:color="auto" w:fill="auto"/>
          </w:tcPr>
          <w:p w14:paraId="4BA9C7E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1.84</w:t>
            </w:r>
          </w:p>
        </w:tc>
        <w:tc>
          <w:tcPr>
            <w:tcW w:w="263" w:type="pct"/>
            <w:shd w:val="clear" w:color="auto" w:fill="auto"/>
          </w:tcPr>
          <w:p w14:paraId="4B67093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2.08</w:t>
            </w:r>
          </w:p>
        </w:tc>
        <w:tc>
          <w:tcPr>
            <w:tcW w:w="263" w:type="pct"/>
            <w:shd w:val="clear" w:color="auto" w:fill="auto"/>
          </w:tcPr>
          <w:p w14:paraId="4AD87B9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2.59</w:t>
            </w:r>
          </w:p>
        </w:tc>
        <w:tc>
          <w:tcPr>
            <w:tcW w:w="263" w:type="pct"/>
            <w:shd w:val="clear" w:color="auto" w:fill="auto"/>
          </w:tcPr>
          <w:p w14:paraId="6E09FAB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2.66</w:t>
            </w:r>
          </w:p>
        </w:tc>
      </w:tr>
      <w:tr w14:paraId="6C2559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l2br w:val="nil"/>
              <w:tr2bl w:val="nil"/>
            </w:tcBorders>
            <w:shd w:val="clear" w:color="auto" w:fill="auto"/>
          </w:tcPr>
          <w:p w14:paraId="3BF05A43">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2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75% RDN (Inorganic) +25% FYM</w:t>
            </w:r>
          </w:p>
        </w:tc>
        <w:tc>
          <w:tcPr>
            <w:tcW w:w="263" w:type="pct"/>
            <w:shd w:val="clear" w:color="auto" w:fill="auto"/>
          </w:tcPr>
          <w:p w14:paraId="0EC38CD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1.78</w:t>
            </w:r>
          </w:p>
        </w:tc>
        <w:tc>
          <w:tcPr>
            <w:tcW w:w="263" w:type="pct"/>
            <w:shd w:val="clear" w:color="auto" w:fill="auto"/>
          </w:tcPr>
          <w:p w14:paraId="7EFDE48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1.92</w:t>
            </w:r>
          </w:p>
        </w:tc>
        <w:tc>
          <w:tcPr>
            <w:tcW w:w="263" w:type="pct"/>
            <w:shd w:val="clear" w:color="auto" w:fill="auto"/>
          </w:tcPr>
          <w:p w14:paraId="6D35B8A8">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2.20</w:t>
            </w:r>
          </w:p>
        </w:tc>
        <w:tc>
          <w:tcPr>
            <w:tcW w:w="263" w:type="pct"/>
            <w:shd w:val="clear" w:color="auto" w:fill="auto"/>
          </w:tcPr>
          <w:p w14:paraId="40F9F12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2.35</w:t>
            </w:r>
          </w:p>
        </w:tc>
        <w:tc>
          <w:tcPr>
            <w:tcW w:w="263" w:type="pct"/>
            <w:shd w:val="clear" w:color="auto" w:fill="auto"/>
          </w:tcPr>
          <w:p w14:paraId="4FA5433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0.230</w:t>
            </w:r>
          </w:p>
        </w:tc>
        <w:tc>
          <w:tcPr>
            <w:tcW w:w="263" w:type="pct"/>
            <w:shd w:val="clear" w:color="auto" w:fill="auto"/>
          </w:tcPr>
          <w:p w14:paraId="120FFA2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0.238</w:t>
            </w:r>
          </w:p>
        </w:tc>
        <w:tc>
          <w:tcPr>
            <w:tcW w:w="263" w:type="pct"/>
            <w:shd w:val="clear" w:color="auto" w:fill="auto"/>
          </w:tcPr>
          <w:p w14:paraId="09FCA953">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0.482</w:t>
            </w:r>
          </w:p>
        </w:tc>
        <w:tc>
          <w:tcPr>
            <w:tcW w:w="263" w:type="pct"/>
            <w:shd w:val="clear" w:color="auto" w:fill="auto"/>
          </w:tcPr>
          <w:p w14:paraId="3CF891F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0.497</w:t>
            </w:r>
          </w:p>
        </w:tc>
        <w:tc>
          <w:tcPr>
            <w:tcW w:w="263" w:type="pct"/>
            <w:shd w:val="clear" w:color="auto" w:fill="auto"/>
          </w:tcPr>
          <w:p w14:paraId="2705A9F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1.97</w:t>
            </w:r>
          </w:p>
        </w:tc>
        <w:tc>
          <w:tcPr>
            <w:tcW w:w="263" w:type="pct"/>
            <w:shd w:val="clear" w:color="auto" w:fill="auto"/>
          </w:tcPr>
          <w:p w14:paraId="1F57649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2.26</w:t>
            </w:r>
          </w:p>
        </w:tc>
        <w:tc>
          <w:tcPr>
            <w:tcW w:w="263" w:type="pct"/>
            <w:shd w:val="clear" w:color="auto" w:fill="auto"/>
          </w:tcPr>
          <w:p w14:paraId="76BBD81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2.72</w:t>
            </w:r>
          </w:p>
        </w:tc>
        <w:tc>
          <w:tcPr>
            <w:tcW w:w="263" w:type="pct"/>
            <w:shd w:val="clear" w:color="auto" w:fill="auto"/>
          </w:tcPr>
          <w:p w14:paraId="1F5DCA4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2.85</w:t>
            </w:r>
          </w:p>
        </w:tc>
      </w:tr>
      <w:tr w14:paraId="0AF5852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bottom w:val="single" w:color="auto" w:sz="4" w:space="0"/>
              <w:tl2br w:val="nil"/>
              <w:tr2bl w:val="nil"/>
            </w:tcBorders>
            <w:shd w:val="clear" w:color="auto" w:fill="auto"/>
          </w:tcPr>
          <w:p w14:paraId="6FE20346">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3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75% RDN (Inorganic)+25% Vermicompost</w:t>
            </w:r>
          </w:p>
        </w:tc>
        <w:tc>
          <w:tcPr>
            <w:tcW w:w="263" w:type="pct"/>
            <w:tcBorders>
              <w:bottom w:val="single" w:color="auto" w:sz="4" w:space="0"/>
            </w:tcBorders>
            <w:shd w:val="clear" w:color="auto" w:fill="auto"/>
          </w:tcPr>
          <w:p w14:paraId="4CA4812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1.70</w:t>
            </w:r>
          </w:p>
        </w:tc>
        <w:tc>
          <w:tcPr>
            <w:tcW w:w="263" w:type="pct"/>
            <w:tcBorders>
              <w:bottom w:val="single" w:color="auto" w:sz="4" w:space="0"/>
            </w:tcBorders>
            <w:shd w:val="clear" w:color="auto" w:fill="auto"/>
          </w:tcPr>
          <w:p w14:paraId="5DFB7E3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1.84</w:t>
            </w:r>
          </w:p>
        </w:tc>
        <w:tc>
          <w:tcPr>
            <w:tcW w:w="263" w:type="pct"/>
            <w:tcBorders>
              <w:bottom w:val="single" w:color="auto" w:sz="4" w:space="0"/>
            </w:tcBorders>
            <w:shd w:val="clear" w:color="auto" w:fill="auto"/>
          </w:tcPr>
          <w:p w14:paraId="14262E5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2.10</w:t>
            </w:r>
          </w:p>
        </w:tc>
        <w:tc>
          <w:tcPr>
            <w:tcW w:w="263" w:type="pct"/>
            <w:tcBorders>
              <w:bottom w:val="single" w:color="auto" w:sz="4" w:space="0"/>
            </w:tcBorders>
            <w:shd w:val="clear" w:color="auto" w:fill="auto"/>
          </w:tcPr>
          <w:p w14:paraId="17CDA7F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2.24</w:t>
            </w:r>
          </w:p>
        </w:tc>
        <w:tc>
          <w:tcPr>
            <w:tcW w:w="263" w:type="pct"/>
            <w:tcBorders>
              <w:bottom w:val="single" w:color="auto" w:sz="4" w:space="0"/>
            </w:tcBorders>
            <w:shd w:val="clear" w:color="auto" w:fill="auto"/>
          </w:tcPr>
          <w:p w14:paraId="47B06938">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0.222</w:t>
            </w:r>
          </w:p>
        </w:tc>
        <w:tc>
          <w:tcPr>
            <w:tcW w:w="263" w:type="pct"/>
            <w:tcBorders>
              <w:bottom w:val="single" w:color="auto" w:sz="4" w:space="0"/>
            </w:tcBorders>
            <w:shd w:val="clear" w:color="auto" w:fill="auto"/>
          </w:tcPr>
          <w:p w14:paraId="55C16AA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0.229</w:t>
            </w:r>
          </w:p>
        </w:tc>
        <w:tc>
          <w:tcPr>
            <w:tcW w:w="263" w:type="pct"/>
            <w:tcBorders>
              <w:bottom w:val="single" w:color="auto" w:sz="4" w:space="0"/>
            </w:tcBorders>
            <w:shd w:val="clear" w:color="auto" w:fill="auto"/>
          </w:tcPr>
          <w:p w14:paraId="782646C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0.458</w:t>
            </w:r>
          </w:p>
        </w:tc>
        <w:tc>
          <w:tcPr>
            <w:tcW w:w="263" w:type="pct"/>
            <w:tcBorders>
              <w:bottom w:val="single" w:color="auto" w:sz="4" w:space="0"/>
            </w:tcBorders>
            <w:shd w:val="clear" w:color="auto" w:fill="auto"/>
          </w:tcPr>
          <w:p w14:paraId="6F777CD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0.480</w:t>
            </w:r>
          </w:p>
        </w:tc>
        <w:tc>
          <w:tcPr>
            <w:tcW w:w="263" w:type="pct"/>
            <w:tcBorders>
              <w:bottom w:val="single" w:color="auto" w:sz="4" w:space="0"/>
            </w:tcBorders>
            <w:shd w:val="clear" w:color="auto" w:fill="auto"/>
          </w:tcPr>
          <w:p w14:paraId="55FD37D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1.90</w:t>
            </w:r>
          </w:p>
        </w:tc>
        <w:tc>
          <w:tcPr>
            <w:tcW w:w="263" w:type="pct"/>
            <w:tcBorders>
              <w:bottom w:val="single" w:color="auto" w:sz="4" w:space="0"/>
            </w:tcBorders>
            <w:shd w:val="clear" w:color="auto" w:fill="auto"/>
          </w:tcPr>
          <w:p w14:paraId="6E5531E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2.16</w:t>
            </w:r>
          </w:p>
        </w:tc>
        <w:tc>
          <w:tcPr>
            <w:tcW w:w="263" w:type="pct"/>
            <w:tcBorders>
              <w:bottom w:val="single" w:color="auto" w:sz="4" w:space="0"/>
            </w:tcBorders>
            <w:shd w:val="clear" w:color="auto" w:fill="auto"/>
          </w:tcPr>
          <w:p w14:paraId="5568B7E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2.65</w:t>
            </w:r>
          </w:p>
        </w:tc>
        <w:tc>
          <w:tcPr>
            <w:tcW w:w="263" w:type="pct"/>
            <w:tcBorders>
              <w:bottom w:val="single" w:color="auto" w:sz="4" w:space="0"/>
            </w:tcBorders>
            <w:shd w:val="clear" w:color="auto" w:fill="auto"/>
          </w:tcPr>
          <w:p w14:paraId="2D64B16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2.74</w:t>
            </w:r>
          </w:p>
        </w:tc>
      </w:tr>
      <w:tr w14:paraId="1BADD2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op w:val="single" w:color="auto" w:sz="4" w:space="0"/>
              <w:bottom w:val="nil"/>
              <w:tl2br w:val="nil"/>
              <w:tr2bl w:val="nil"/>
            </w:tcBorders>
            <w:shd w:val="clear" w:color="auto" w:fill="auto"/>
          </w:tcPr>
          <w:p w14:paraId="0801AB0C">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SEm±</w:t>
            </w:r>
          </w:p>
        </w:tc>
        <w:tc>
          <w:tcPr>
            <w:tcW w:w="263" w:type="pct"/>
            <w:tcBorders>
              <w:top w:val="single" w:color="auto" w:sz="4" w:space="0"/>
              <w:bottom w:val="nil"/>
            </w:tcBorders>
            <w:shd w:val="clear" w:color="auto" w:fill="auto"/>
          </w:tcPr>
          <w:p w14:paraId="430B8D3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c>
          <w:tcPr>
            <w:tcW w:w="263" w:type="pct"/>
            <w:tcBorders>
              <w:top w:val="single" w:color="auto" w:sz="4" w:space="0"/>
              <w:bottom w:val="nil"/>
            </w:tcBorders>
            <w:shd w:val="clear" w:color="auto" w:fill="auto"/>
          </w:tcPr>
          <w:p w14:paraId="2D35C7C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0.05</w:t>
            </w:r>
          </w:p>
        </w:tc>
        <w:tc>
          <w:tcPr>
            <w:tcW w:w="263" w:type="pct"/>
            <w:tcBorders>
              <w:top w:val="single" w:color="auto" w:sz="4" w:space="0"/>
              <w:bottom w:val="nil"/>
            </w:tcBorders>
            <w:shd w:val="clear" w:color="auto" w:fill="auto"/>
          </w:tcPr>
          <w:p w14:paraId="033F0C98">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c>
          <w:tcPr>
            <w:tcW w:w="263" w:type="pct"/>
            <w:tcBorders>
              <w:top w:val="single" w:color="auto" w:sz="4" w:space="0"/>
              <w:bottom w:val="nil"/>
            </w:tcBorders>
            <w:shd w:val="clear" w:color="auto" w:fill="auto"/>
          </w:tcPr>
          <w:p w14:paraId="24D2E62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0.05</w:t>
            </w:r>
          </w:p>
        </w:tc>
        <w:tc>
          <w:tcPr>
            <w:tcW w:w="263" w:type="pct"/>
            <w:tcBorders>
              <w:top w:val="single" w:color="auto" w:sz="4" w:space="0"/>
              <w:bottom w:val="nil"/>
            </w:tcBorders>
            <w:shd w:val="clear" w:color="auto" w:fill="auto"/>
          </w:tcPr>
          <w:p w14:paraId="49D361B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0.006</w:t>
            </w:r>
          </w:p>
        </w:tc>
        <w:tc>
          <w:tcPr>
            <w:tcW w:w="263" w:type="pct"/>
            <w:tcBorders>
              <w:top w:val="single" w:color="auto" w:sz="4" w:space="0"/>
              <w:bottom w:val="nil"/>
            </w:tcBorders>
            <w:shd w:val="clear" w:color="auto" w:fill="auto"/>
          </w:tcPr>
          <w:p w14:paraId="4D57D51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0.006</w:t>
            </w:r>
          </w:p>
        </w:tc>
        <w:tc>
          <w:tcPr>
            <w:tcW w:w="263" w:type="pct"/>
            <w:tcBorders>
              <w:top w:val="single" w:color="auto" w:sz="4" w:space="0"/>
              <w:bottom w:val="nil"/>
            </w:tcBorders>
            <w:shd w:val="clear" w:color="auto" w:fill="auto"/>
          </w:tcPr>
          <w:p w14:paraId="3D977F2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0.010</w:t>
            </w:r>
          </w:p>
        </w:tc>
        <w:tc>
          <w:tcPr>
            <w:tcW w:w="263" w:type="pct"/>
            <w:tcBorders>
              <w:top w:val="single" w:color="auto" w:sz="4" w:space="0"/>
              <w:bottom w:val="nil"/>
            </w:tcBorders>
            <w:shd w:val="clear" w:color="auto" w:fill="auto"/>
          </w:tcPr>
          <w:p w14:paraId="77F57E7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0.011</w:t>
            </w:r>
          </w:p>
        </w:tc>
        <w:tc>
          <w:tcPr>
            <w:tcW w:w="263" w:type="pct"/>
            <w:tcBorders>
              <w:top w:val="single" w:color="auto" w:sz="4" w:space="0"/>
              <w:bottom w:val="nil"/>
            </w:tcBorders>
            <w:shd w:val="clear" w:color="auto" w:fill="auto"/>
          </w:tcPr>
          <w:p w14:paraId="200174C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c>
          <w:tcPr>
            <w:tcW w:w="263" w:type="pct"/>
            <w:tcBorders>
              <w:top w:val="single" w:color="auto" w:sz="4" w:space="0"/>
              <w:bottom w:val="nil"/>
            </w:tcBorders>
            <w:shd w:val="clear" w:color="auto" w:fill="auto"/>
          </w:tcPr>
          <w:p w14:paraId="72E985C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0.05</w:t>
            </w:r>
          </w:p>
        </w:tc>
        <w:tc>
          <w:tcPr>
            <w:tcW w:w="263" w:type="pct"/>
            <w:tcBorders>
              <w:top w:val="single" w:color="auto" w:sz="4" w:space="0"/>
              <w:bottom w:val="nil"/>
            </w:tcBorders>
            <w:shd w:val="clear" w:color="auto" w:fill="auto"/>
          </w:tcPr>
          <w:p w14:paraId="03BEFA5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c>
          <w:tcPr>
            <w:tcW w:w="263" w:type="pct"/>
            <w:tcBorders>
              <w:top w:val="single" w:color="auto" w:sz="4" w:space="0"/>
              <w:bottom w:val="nil"/>
            </w:tcBorders>
            <w:shd w:val="clear" w:color="auto" w:fill="auto"/>
          </w:tcPr>
          <w:p w14:paraId="5095BE2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0.06</w:t>
            </w:r>
          </w:p>
        </w:tc>
      </w:tr>
      <w:tr w14:paraId="3B879A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op w:val="nil"/>
              <w:bottom w:val="single" w:color="auto" w:sz="4" w:space="0"/>
              <w:tl2br w:val="nil"/>
              <w:tr2bl w:val="nil"/>
            </w:tcBorders>
            <w:shd w:val="clear" w:color="auto" w:fill="auto"/>
          </w:tcPr>
          <w:p w14:paraId="767F2E31">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CD (P=0.05)</w:t>
            </w:r>
          </w:p>
        </w:tc>
        <w:tc>
          <w:tcPr>
            <w:tcW w:w="263" w:type="pct"/>
            <w:tcBorders>
              <w:top w:val="nil"/>
              <w:bottom w:val="single" w:color="auto" w:sz="4" w:space="0"/>
            </w:tcBorders>
            <w:shd w:val="clear" w:color="auto" w:fill="auto"/>
          </w:tcPr>
          <w:p w14:paraId="081BF9B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0.15</w:t>
            </w:r>
          </w:p>
        </w:tc>
        <w:tc>
          <w:tcPr>
            <w:tcW w:w="263" w:type="pct"/>
            <w:tcBorders>
              <w:top w:val="nil"/>
              <w:bottom w:val="single" w:color="auto" w:sz="4" w:space="0"/>
            </w:tcBorders>
            <w:shd w:val="clear" w:color="auto" w:fill="auto"/>
          </w:tcPr>
          <w:p w14:paraId="3447111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0.18</w:t>
            </w:r>
          </w:p>
        </w:tc>
        <w:tc>
          <w:tcPr>
            <w:tcW w:w="263" w:type="pct"/>
            <w:tcBorders>
              <w:top w:val="nil"/>
              <w:bottom w:val="single" w:color="auto" w:sz="4" w:space="0"/>
            </w:tcBorders>
            <w:shd w:val="clear" w:color="auto" w:fill="auto"/>
          </w:tcPr>
          <w:p w14:paraId="2567304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0.15</w:t>
            </w:r>
          </w:p>
        </w:tc>
        <w:tc>
          <w:tcPr>
            <w:tcW w:w="263" w:type="pct"/>
            <w:tcBorders>
              <w:top w:val="nil"/>
              <w:bottom w:val="single" w:color="auto" w:sz="4" w:space="0"/>
            </w:tcBorders>
            <w:shd w:val="clear" w:color="auto" w:fill="auto"/>
          </w:tcPr>
          <w:p w14:paraId="02B462A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0.18</w:t>
            </w:r>
          </w:p>
        </w:tc>
        <w:tc>
          <w:tcPr>
            <w:tcW w:w="263" w:type="pct"/>
            <w:tcBorders>
              <w:top w:val="nil"/>
              <w:bottom w:val="single" w:color="auto" w:sz="4" w:space="0"/>
            </w:tcBorders>
            <w:shd w:val="clear" w:color="auto" w:fill="auto"/>
          </w:tcPr>
          <w:p w14:paraId="5D3A278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0.019</w:t>
            </w:r>
          </w:p>
        </w:tc>
        <w:tc>
          <w:tcPr>
            <w:tcW w:w="263" w:type="pct"/>
            <w:tcBorders>
              <w:top w:val="nil"/>
              <w:bottom w:val="single" w:color="auto" w:sz="4" w:space="0"/>
            </w:tcBorders>
            <w:shd w:val="clear" w:color="auto" w:fill="auto"/>
          </w:tcPr>
          <w:p w14:paraId="1B0AD44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0.020</w:t>
            </w:r>
          </w:p>
        </w:tc>
        <w:tc>
          <w:tcPr>
            <w:tcW w:w="263" w:type="pct"/>
            <w:tcBorders>
              <w:top w:val="nil"/>
              <w:bottom w:val="single" w:color="auto" w:sz="4" w:space="0"/>
            </w:tcBorders>
            <w:shd w:val="clear" w:color="auto" w:fill="auto"/>
          </w:tcPr>
          <w:p w14:paraId="097EE37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0.033</w:t>
            </w:r>
          </w:p>
        </w:tc>
        <w:tc>
          <w:tcPr>
            <w:tcW w:w="263" w:type="pct"/>
            <w:tcBorders>
              <w:top w:val="nil"/>
              <w:bottom w:val="single" w:color="auto" w:sz="4" w:space="0"/>
            </w:tcBorders>
            <w:shd w:val="clear" w:color="auto" w:fill="auto"/>
          </w:tcPr>
          <w:p w14:paraId="63EA0C9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0.037</w:t>
            </w:r>
          </w:p>
        </w:tc>
        <w:tc>
          <w:tcPr>
            <w:tcW w:w="263" w:type="pct"/>
            <w:tcBorders>
              <w:top w:val="nil"/>
              <w:bottom w:val="single" w:color="auto" w:sz="4" w:space="0"/>
            </w:tcBorders>
            <w:shd w:val="clear" w:color="auto" w:fill="auto"/>
          </w:tcPr>
          <w:p w14:paraId="24F3244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0.15</w:t>
            </w:r>
          </w:p>
        </w:tc>
        <w:tc>
          <w:tcPr>
            <w:tcW w:w="263" w:type="pct"/>
            <w:tcBorders>
              <w:top w:val="nil"/>
              <w:bottom w:val="single" w:color="auto" w:sz="4" w:space="0"/>
            </w:tcBorders>
            <w:shd w:val="clear" w:color="auto" w:fill="auto"/>
          </w:tcPr>
          <w:p w14:paraId="1EC37C9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0.19</w:t>
            </w:r>
          </w:p>
        </w:tc>
        <w:tc>
          <w:tcPr>
            <w:tcW w:w="263" w:type="pct"/>
            <w:tcBorders>
              <w:top w:val="nil"/>
              <w:bottom w:val="single" w:color="auto" w:sz="4" w:space="0"/>
            </w:tcBorders>
            <w:shd w:val="clear" w:color="auto" w:fill="auto"/>
          </w:tcPr>
          <w:p w14:paraId="4C8F09D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0.15</w:t>
            </w:r>
          </w:p>
        </w:tc>
        <w:tc>
          <w:tcPr>
            <w:tcW w:w="263" w:type="pct"/>
            <w:tcBorders>
              <w:top w:val="nil"/>
              <w:bottom w:val="single" w:color="auto" w:sz="4" w:space="0"/>
            </w:tcBorders>
            <w:shd w:val="clear" w:color="auto" w:fill="auto"/>
          </w:tcPr>
          <w:p w14:paraId="267A43C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0.21</w:t>
            </w:r>
          </w:p>
        </w:tc>
      </w:tr>
      <w:tr w14:paraId="1D394F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5000" w:type="pct"/>
            <w:gridSpan w:val="13"/>
            <w:tcBorders>
              <w:top w:val="single" w:color="auto" w:sz="4" w:space="0"/>
              <w:bottom w:val="single" w:color="auto" w:sz="4" w:space="0"/>
              <w:tl2br w:val="nil"/>
              <w:tr2bl w:val="nil"/>
            </w:tcBorders>
            <w:shd w:val="clear" w:color="auto" w:fill="auto"/>
          </w:tcPr>
          <w:p w14:paraId="5C49FB44">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Weed management</w:t>
            </w:r>
          </w:p>
        </w:tc>
      </w:tr>
      <w:tr w14:paraId="106B52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op w:val="single" w:color="auto" w:sz="4" w:space="0"/>
              <w:tl2br w:val="nil"/>
              <w:tr2bl w:val="nil"/>
            </w:tcBorders>
            <w:shd w:val="clear" w:color="auto" w:fill="auto"/>
          </w:tcPr>
          <w:p w14:paraId="3AA2F5AA">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0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Weedy check</w:t>
            </w:r>
          </w:p>
        </w:tc>
        <w:tc>
          <w:tcPr>
            <w:tcW w:w="263" w:type="pct"/>
            <w:tcBorders>
              <w:top w:val="single" w:color="auto" w:sz="4" w:space="0"/>
            </w:tcBorders>
            <w:shd w:val="clear" w:color="auto" w:fill="auto"/>
          </w:tcPr>
          <w:p w14:paraId="18B74E4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1.85</w:t>
            </w:r>
          </w:p>
        </w:tc>
        <w:tc>
          <w:tcPr>
            <w:tcW w:w="263" w:type="pct"/>
            <w:tcBorders>
              <w:top w:val="single" w:color="auto" w:sz="4" w:space="0"/>
            </w:tcBorders>
            <w:shd w:val="clear" w:color="auto" w:fill="auto"/>
          </w:tcPr>
          <w:p w14:paraId="4B43CE1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2.08</w:t>
            </w:r>
          </w:p>
        </w:tc>
        <w:tc>
          <w:tcPr>
            <w:tcW w:w="263" w:type="pct"/>
            <w:tcBorders>
              <w:top w:val="single" w:color="auto" w:sz="4" w:space="0"/>
            </w:tcBorders>
            <w:shd w:val="clear" w:color="auto" w:fill="auto"/>
          </w:tcPr>
          <w:p w14:paraId="03472F3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2.25</w:t>
            </w:r>
          </w:p>
        </w:tc>
        <w:tc>
          <w:tcPr>
            <w:tcW w:w="263" w:type="pct"/>
            <w:tcBorders>
              <w:top w:val="single" w:color="auto" w:sz="4" w:space="0"/>
            </w:tcBorders>
            <w:shd w:val="clear" w:color="auto" w:fill="auto"/>
          </w:tcPr>
          <w:p w14:paraId="5CEA198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2.49</w:t>
            </w:r>
          </w:p>
        </w:tc>
        <w:tc>
          <w:tcPr>
            <w:tcW w:w="263" w:type="pct"/>
            <w:tcBorders>
              <w:top w:val="single" w:color="auto" w:sz="4" w:space="0"/>
            </w:tcBorders>
            <w:shd w:val="clear" w:color="auto" w:fill="auto"/>
          </w:tcPr>
          <w:p w14:paraId="1BE3439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0.261</w:t>
            </w:r>
          </w:p>
        </w:tc>
        <w:tc>
          <w:tcPr>
            <w:tcW w:w="263" w:type="pct"/>
            <w:tcBorders>
              <w:top w:val="single" w:color="auto" w:sz="4" w:space="0"/>
            </w:tcBorders>
            <w:shd w:val="clear" w:color="auto" w:fill="auto"/>
          </w:tcPr>
          <w:p w14:paraId="78A5C58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0.261</w:t>
            </w:r>
          </w:p>
        </w:tc>
        <w:tc>
          <w:tcPr>
            <w:tcW w:w="263" w:type="pct"/>
            <w:tcBorders>
              <w:top w:val="single" w:color="auto" w:sz="4" w:space="0"/>
            </w:tcBorders>
            <w:shd w:val="clear" w:color="auto" w:fill="auto"/>
          </w:tcPr>
          <w:p w14:paraId="0A970683">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0.514</w:t>
            </w:r>
          </w:p>
        </w:tc>
        <w:tc>
          <w:tcPr>
            <w:tcW w:w="263" w:type="pct"/>
            <w:tcBorders>
              <w:top w:val="single" w:color="auto" w:sz="4" w:space="0"/>
            </w:tcBorders>
            <w:shd w:val="clear" w:color="auto" w:fill="auto"/>
          </w:tcPr>
          <w:p w14:paraId="5EE193D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0.530</w:t>
            </w:r>
          </w:p>
        </w:tc>
        <w:tc>
          <w:tcPr>
            <w:tcW w:w="263" w:type="pct"/>
            <w:tcBorders>
              <w:top w:val="single" w:color="auto" w:sz="4" w:space="0"/>
            </w:tcBorders>
            <w:shd w:val="clear" w:color="auto" w:fill="auto"/>
          </w:tcPr>
          <w:p w14:paraId="0EF1D7E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2.05</w:t>
            </w:r>
          </w:p>
        </w:tc>
        <w:tc>
          <w:tcPr>
            <w:tcW w:w="263" w:type="pct"/>
            <w:tcBorders>
              <w:top w:val="single" w:color="auto" w:sz="4" w:space="0"/>
            </w:tcBorders>
            <w:shd w:val="clear" w:color="auto" w:fill="auto"/>
          </w:tcPr>
          <w:p w14:paraId="6EF3A9B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2.32</w:t>
            </w:r>
          </w:p>
        </w:tc>
        <w:tc>
          <w:tcPr>
            <w:tcW w:w="263" w:type="pct"/>
            <w:tcBorders>
              <w:top w:val="single" w:color="auto" w:sz="4" w:space="0"/>
            </w:tcBorders>
            <w:shd w:val="clear" w:color="auto" w:fill="auto"/>
          </w:tcPr>
          <w:p w14:paraId="14C3405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2.80</w:t>
            </w:r>
          </w:p>
        </w:tc>
        <w:tc>
          <w:tcPr>
            <w:tcW w:w="263" w:type="pct"/>
            <w:tcBorders>
              <w:top w:val="single" w:color="auto" w:sz="4" w:space="0"/>
            </w:tcBorders>
            <w:shd w:val="clear" w:color="auto" w:fill="auto"/>
          </w:tcPr>
          <w:p w14:paraId="2188993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2.90</w:t>
            </w:r>
          </w:p>
        </w:tc>
      </w:tr>
      <w:tr w14:paraId="3CE319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l2br w:val="nil"/>
              <w:tr2bl w:val="nil"/>
            </w:tcBorders>
            <w:shd w:val="clear" w:color="auto" w:fill="auto"/>
          </w:tcPr>
          <w:p w14:paraId="0053C782">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1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Two hand weeding (20 and 40 DAS)</w:t>
            </w:r>
          </w:p>
        </w:tc>
        <w:tc>
          <w:tcPr>
            <w:tcW w:w="263" w:type="pct"/>
            <w:shd w:val="clear" w:color="auto" w:fill="auto"/>
          </w:tcPr>
          <w:p w14:paraId="29197B9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1.49</w:t>
            </w:r>
          </w:p>
        </w:tc>
        <w:tc>
          <w:tcPr>
            <w:tcW w:w="263" w:type="pct"/>
            <w:shd w:val="clear" w:color="auto" w:fill="auto"/>
          </w:tcPr>
          <w:p w14:paraId="51A69CD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1.53</w:t>
            </w:r>
          </w:p>
        </w:tc>
        <w:tc>
          <w:tcPr>
            <w:tcW w:w="263" w:type="pct"/>
            <w:shd w:val="clear" w:color="auto" w:fill="auto"/>
          </w:tcPr>
          <w:p w14:paraId="7FDB64D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1.89</w:t>
            </w:r>
          </w:p>
        </w:tc>
        <w:tc>
          <w:tcPr>
            <w:tcW w:w="263" w:type="pct"/>
            <w:shd w:val="clear" w:color="auto" w:fill="auto"/>
          </w:tcPr>
          <w:p w14:paraId="1EB8F85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1.94</w:t>
            </w:r>
          </w:p>
        </w:tc>
        <w:tc>
          <w:tcPr>
            <w:tcW w:w="263" w:type="pct"/>
            <w:shd w:val="clear" w:color="auto" w:fill="auto"/>
          </w:tcPr>
          <w:p w14:paraId="391C89F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0.176</w:t>
            </w:r>
          </w:p>
        </w:tc>
        <w:tc>
          <w:tcPr>
            <w:tcW w:w="263" w:type="pct"/>
            <w:shd w:val="clear" w:color="auto" w:fill="auto"/>
          </w:tcPr>
          <w:p w14:paraId="16E5601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0.184</w:t>
            </w:r>
          </w:p>
        </w:tc>
        <w:tc>
          <w:tcPr>
            <w:tcW w:w="263" w:type="pct"/>
            <w:shd w:val="clear" w:color="auto" w:fill="auto"/>
          </w:tcPr>
          <w:p w14:paraId="78A4DF6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0.387</w:t>
            </w:r>
          </w:p>
        </w:tc>
        <w:tc>
          <w:tcPr>
            <w:tcW w:w="263" w:type="pct"/>
            <w:shd w:val="clear" w:color="auto" w:fill="auto"/>
          </w:tcPr>
          <w:p w14:paraId="681C167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0.403</w:t>
            </w:r>
          </w:p>
        </w:tc>
        <w:tc>
          <w:tcPr>
            <w:tcW w:w="263" w:type="pct"/>
            <w:shd w:val="clear" w:color="auto" w:fill="auto"/>
          </w:tcPr>
          <w:p w14:paraId="189794C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1.66</w:t>
            </w:r>
          </w:p>
        </w:tc>
        <w:tc>
          <w:tcPr>
            <w:tcW w:w="263" w:type="pct"/>
            <w:shd w:val="clear" w:color="auto" w:fill="auto"/>
          </w:tcPr>
          <w:p w14:paraId="0A324D5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1.88</w:t>
            </w:r>
          </w:p>
        </w:tc>
        <w:tc>
          <w:tcPr>
            <w:tcW w:w="263" w:type="pct"/>
            <w:shd w:val="clear" w:color="auto" w:fill="auto"/>
          </w:tcPr>
          <w:p w14:paraId="46CDAFF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2.41</w:t>
            </w:r>
          </w:p>
        </w:tc>
        <w:tc>
          <w:tcPr>
            <w:tcW w:w="263" w:type="pct"/>
            <w:shd w:val="clear" w:color="auto" w:fill="auto"/>
          </w:tcPr>
          <w:p w14:paraId="5BE35FE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2.45</w:t>
            </w:r>
          </w:p>
        </w:tc>
      </w:tr>
      <w:tr w14:paraId="635D98E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l2br w:val="nil"/>
              <w:tr2bl w:val="nil"/>
            </w:tcBorders>
            <w:shd w:val="clear" w:color="auto" w:fill="auto"/>
          </w:tcPr>
          <w:p w14:paraId="6F4F8162">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2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i/>
                <w:iCs/>
                <w:kern w:val="0"/>
                <w:sz w:val="20"/>
                <w:szCs w:val="24"/>
                <w:lang w:val="en-US" w:eastAsia="en-IN" w:bidi="hi-IN"/>
                <w14:ligatures w14:val="none"/>
              </w:rPr>
              <w:t>Sesbania</w:t>
            </w:r>
            <w:r>
              <w:rPr>
                <w:rFonts w:ascii="Times New Roman" w:hAnsi="Times New Roman" w:eastAsia="Calibri" w:cs="Times New Roman"/>
                <w:b w:val="0"/>
                <w:bCs w:val="0"/>
                <w:kern w:val="0"/>
                <w:sz w:val="20"/>
                <w:szCs w:val="24"/>
                <w:lang w:val="en-US" w:eastAsia="en-IN" w:bidi="hi-IN"/>
                <w14:ligatures w14:val="none"/>
              </w:rPr>
              <w:t xml:space="preserve"> up to 30 days (30 DAS 2,4-D 0.5 kg </w:t>
            </w:r>
            <w:r>
              <w:rPr>
                <w:rFonts w:ascii="Times New Roman" w:hAnsi="Times New Roman" w:eastAsia="Calibri" w:cs="Times New Roman"/>
                <w:b w:val="0"/>
                <w:bCs w:val="0"/>
                <w:i/>
                <w:iCs/>
                <w:kern w:val="0"/>
                <w:sz w:val="20"/>
                <w:szCs w:val="24"/>
                <w:lang w:val="en-US" w:eastAsia="en-IN" w:bidi="hi-IN"/>
                <w14:ligatures w14:val="none"/>
              </w:rPr>
              <w:t>a.i.</w:t>
            </w:r>
            <w:r>
              <w:rPr>
                <w:rFonts w:ascii="Times New Roman" w:hAnsi="Times New Roman" w:eastAsia="Calibri" w:cs="Times New Roman"/>
                <w:b w:val="0"/>
                <w:bCs w:val="0"/>
                <w:kern w:val="0"/>
                <w:sz w:val="20"/>
                <w:szCs w:val="24"/>
                <w:lang w:val="en-US" w:eastAsia="en-IN" w:bidi="hi-IN"/>
                <w14:ligatures w14:val="none"/>
              </w:rPr>
              <w:t xml:space="preserve">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w:t>
            </w:r>
          </w:p>
        </w:tc>
        <w:tc>
          <w:tcPr>
            <w:tcW w:w="263" w:type="pct"/>
            <w:shd w:val="clear" w:color="auto" w:fill="auto"/>
          </w:tcPr>
          <w:p w14:paraId="58236C9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1.74</w:t>
            </w:r>
          </w:p>
        </w:tc>
        <w:tc>
          <w:tcPr>
            <w:tcW w:w="263" w:type="pct"/>
            <w:shd w:val="clear" w:color="auto" w:fill="auto"/>
          </w:tcPr>
          <w:p w14:paraId="6209843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1.91</w:t>
            </w:r>
          </w:p>
        </w:tc>
        <w:tc>
          <w:tcPr>
            <w:tcW w:w="263" w:type="pct"/>
            <w:shd w:val="clear" w:color="auto" w:fill="auto"/>
          </w:tcPr>
          <w:p w14:paraId="2221338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2.14</w:t>
            </w:r>
          </w:p>
        </w:tc>
        <w:tc>
          <w:tcPr>
            <w:tcW w:w="263" w:type="pct"/>
            <w:shd w:val="clear" w:color="auto" w:fill="auto"/>
          </w:tcPr>
          <w:p w14:paraId="6EC19E5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2.32</w:t>
            </w:r>
          </w:p>
        </w:tc>
        <w:tc>
          <w:tcPr>
            <w:tcW w:w="263" w:type="pct"/>
            <w:shd w:val="clear" w:color="auto" w:fill="auto"/>
          </w:tcPr>
          <w:p w14:paraId="14E3B46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0.225</w:t>
            </w:r>
          </w:p>
        </w:tc>
        <w:tc>
          <w:tcPr>
            <w:tcW w:w="263" w:type="pct"/>
            <w:shd w:val="clear" w:color="auto" w:fill="auto"/>
          </w:tcPr>
          <w:p w14:paraId="7E8D0D7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0.241</w:t>
            </w:r>
          </w:p>
        </w:tc>
        <w:tc>
          <w:tcPr>
            <w:tcW w:w="263" w:type="pct"/>
            <w:shd w:val="clear" w:color="auto" w:fill="auto"/>
          </w:tcPr>
          <w:p w14:paraId="044A689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0.474</w:t>
            </w:r>
          </w:p>
        </w:tc>
        <w:tc>
          <w:tcPr>
            <w:tcW w:w="263" w:type="pct"/>
            <w:shd w:val="clear" w:color="auto" w:fill="auto"/>
          </w:tcPr>
          <w:p w14:paraId="359B6B7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0.489</w:t>
            </w:r>
          </w:p>
        </w:tc>
        <w:tc>
          <w:tcPr>
            <w:tcW w:w="263" w:type="pct"/>
            <w:shd w:val="clear" w:color="auto" w:fill="auto"/>
          </w:tcPr>
          <w:p w14:paraId="267631F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1.93</w:t>
            </w:r>
          </w:p>
        </w:tc>
        <w:tc>
          <w:tcPr>
            <w:tcW w:w="263" w:type="pct"/>
            <w:shd w:val="clear" w:color="auto" w:fill="auto"/>
          </w:tcPr>
          <w:p w14:paraId="1F685928">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2.19</w:t>
            </w:r>
          </w:p>
        </w:tc>
        <w:tc>
          <w:tcPr>
            <w:tcW w:w="263" w:type="pct"/>
            <w:shd w:val="clear" w:color="auto" w:fill="auto"/>
          </w:tcPr>
          <w:p w14:paraId="01310763">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2.68</w:t>
            </w:r>
          </w:p>
        </w:tc>
        <w:tc>
          <w:tcPr>
            <w:tcW w:w="263" w:type="pct"/>
            <w:shd w:val="clear" w:color="auto" w:fill="auto"/>
          </w:tcPr>
          <w:p w14:paraId="50F508C0">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2.76</w:t>
            </w:r>
          </w:p>
        </w:tc>
      </w:tr>
      <w:tr w14:paraId="6AB4895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l2br w:val="nil"/>
              <w:tr2bl w:val="nil"/>
            </w:tcBorders>
            <w:shd w:val="clear" w:color="auto" w:fill="auto"/>
          </w:tcPr>
          <w:p w14:paraId="18BF8B1F">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3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Wheat residue as mulch (4 t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fb bispyribac sodium 25 g a.i.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xml:space="preserve"> (2-4 leaf stage of weed)                                                             </w:t>
            </w:r>
          </w:p>
        </w:tc>
        <w:tc>
          <w:tcPr>
            <w:tcW w:w="263" w:type="pct"/>
            <w:shd w:val="clear" w:color="auto" w:fill="auto"/>
          </w:tcPr>
          <w:p w14:paraId="0748D66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1.60</w:t>
            </w:r>
          </w:p>
        </w:tc>
        <w:tc>
          <w:tcPr>
            <w:tcW w:w="263" w:type="pct"/>
            <w:shd w:val="clear" w:color="auto" w:fill="auto"/>
          </w:tcPr>
          <w:p w14:paraId="105581A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1.66</w:t>
            </w:r>
          </w:p>
        </w:tc>
        <w:tc>
          <w:tcPr>
            <w:tcW w:w="263" w:type="pct"/>
            <w:shd w:val="clear" w:color="auto" w:fill="auto"/>
          </w:tcPr>
          <w:p w14:paraId="3B5C073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w:t>
            </w:r>
          </w:p>
        </w:tc>
        <w:tc>
          <w:tcPr>
            <w:tcW w:w="263" w:type="pct"/>
            <w:shd w:val="clear" w:color="auto" w:fill="auto"/>
          </w:tcPr>
          <w:p w14:paraId="548E76A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2.07</w:t>
            </w:r>
          </w:p>
        </w:tc>
        <w:tc>
          <w:tcPr>
            <w:tcW w:w="263" w:type="pct"/>
            <w:shd w:val="clear" w:color="auto" w:fill="auto"/>
          </w:tcPr>
          <w:p w14:paraId="786A565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0.196</w:t>
            </w:r>
          </w:p>
        </w:tc>
        <w:tc>
          <w:tcPr>
            <w:tcW w:w="263" w:type="pct"/>
            <w:shd w:val="clear" w:color="auto" w:fill="auto"/>
          </w:tcPr>
          <w:p w14:paraId="227FC6A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0.204</w:t>
            </w:r>
          </w:p>
        </w:tc>
        <w:tc>
          <w:tcPr>
            <w:tcW w:w="263" w:type="pct"/>
            <w:shd w:val="clear" w:color="auto" w:fill="auto"/>
          </w:tcPr>
          <w:p w14:paraId="1AF526E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0.429</w:t>
            </w:r>
          </w:p>
        </w:tc>
        <w:tc>
          <w:tcPr>
            <w:tcW w:w="263" w:type="pct"/>
            <w:shd w:val="clear" w:color="auto" w:fill="auto"/>
          </w:tcPr>
          <w:p w14:paraId="49E30A4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0.444</w:t>
            </w:r>
          </w:p>
        </w:tc>
        <w:tc>
          <w:tcPr>
            <w:tcW w:w="263" w:type="pct"/>
            <w:shd w:val="clear" w:color="auto" w:fill="auto"/>
          </w:tcPr>
          <w:p w14:paraId="260EC1E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1.78</w:t>
            </w:r>
          </w:p>
        </w:tc>
        <w:tc>
          <w:tcPr>
            <w:tcW w:w="263" w:type="pct"/>
            <w:shd w:val="clear" w:color="auto" w:fill="auto"/>
          </w:tcPr>
          <w:p w14:paraId="1F328368">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2.01</w:t>
            </w:r>
          </w:p>
        </w:tc>
        <w:tc>
          <w:tcPr>
            <w:tcW w:w="263" w:type="pct"/>
            <w:shd w:val="clear" w:color="auto" w:fill="auto"/>
          </w:tcPr>
          <w:p w14:paraId="6FE7EC3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2.53</w:t>
            </w:r>
          </w:p>
        </w:tc>
        <w:tc>
          <w:tcPr>
            <w:tcW w:w="263" w:type="pct"/>
            <w:shd w:val="clear" w:color="auto" w:fill="auto"/>
          </w:tcPr>
          <w:p w14:paraId="2F5F00F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2.59</w:t>
            </w:r>
          </w:p>
        </w:tc>
      </w:tr>
      <w:tr w14:paraId="359624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bottom w:val="single" w:color="auto" w:sz="4" w:space="0"/>
              <w:tl2br w:val="nil"/>
              <w:tr2bl w:val="nil"/>
            </w:tcBorders>
            <w:shd w:val="clear" w:color="auto" w:fill="auto"/>
          </w:tcPr>
          <w:p w14:paraId="2B060D13">
            <w:pPr>
              <w:spacing w:before="60" w:after="60" w:line="240" w:lineRule="auto"/>
              <w:ind w:left="432" w:hanging="432"/>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4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Pendimethalin 1 kg a.i.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xml:space="preserve"> </w:t>
            </w:r>
            <w:r>
              <w:rPr>
                <w:rFonts w:ascii="Times New Roman" w:hAnsi="Times New Roman" w:eastAsia="Calibri" w:cs="Times New Roman"/>
                <w:b w:val="0"/>
                <w:bCs w:val="0"/>
                <w:i/>
                <w:iCs/>
                <w:kern w:val="0"/>
                <w:sz w:val="20"/>
                <w:szCs w:val="24"/>
                <w:lang w:val="en-US" w:eastAsia="en-IN" w:bidi="hi-IN"/>
                <w14:ligatures w14:val="none"/>
              </w:rPr>
              <w:t>fb</w:t>
            </w:r>
            <w:r>
              <w:rPr>
                <w:rFonts w:ascii="Times New Roman" w:hAnsi="Times New Roman" w:eastAsia="Calibri" w:cs="Times New Roman"/>
                <w:b w:val="0"/>
                <w:bCs w:val="0"/>
                <w:kern w:val="0"/>
                <w:sz w:val="20"/>
                <w:szCs w:val="24"/>
                <w:lang w:val="en-US" w:eastAsia="en-IN" w:bidi="hi-IN"/>
                <w14:ligatures w14:val="none"/>
              </w:rPr>
              <w:t xml:space="preserve"> bispyribac sodium 25 g a.i.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xml:space="preserve"> (2-4 leaf stage of weed)                                                  </w:t>
            </w:r>
          </w:p>
        </w:tc>
        <w:tc>
          <w:tcPr>
            <w:tcW w:w="263" w:type="pct"/>
            <w:tcBorders>
              <w:bottom w:val="single" w:color="auto" w:sz="4" w:space="0"/>
            </w:tcBorders>
            <w:shd w:val="clear" w:color="auto" w:fill="auto"/>
          </w:tcPr>
          <w:p w14:paraId="2230616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1.63</w:t>
            </w:r>
          </w:p>
        </w:tc>
        <w:tc>
          <w:tcPr>
            <w:tcW w:w="263" w:type="pct"/>
            <w:tcBorders>
              <w:bottom w:val="single" w:color="auto" w:sz="4" w:space="0"/>
            </w:tcBorders>
            <w:shd w:val="clear" w:color="auto" w:fill="auto"/>
          </w:tcPr>
          <w:p w14:paraId="35157B8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1.71</w:t>
            </w:r>
          </w:p>
        </w:tc>
        <w:tc>
          <w:tcPr>
            <w:tcW w:w="263" w:type="pct"/>
            <w:tcBorders>
              <w:bottom w:val="single" w:color="auto" w:sz="4" w:space="0"/>
            </w:tcBorders>
            <w:shd w:val="clear" w:color="auto" w:fill="auto"/>
          </w:tcPr>
          <w:p w14:paraId="1431562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2.04</w:t>
            </w:r>
          </w:p>
        </w:tc>
        <w:tc>
          <w:tcPr>
            <w:tcW w:w="263" w:type="pct"/>
            <w:tcBorders>
              <w:bottom w:val="single" w:color="auto" w:sz="4" w:space="0"/>
            </w:tcBorders>
            <w:shd w:val="clear" w:color="auto" w:fill="auto"/>
          </w:tcPr>
          <w:p w14:paraId="43C28A5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2.12</w:t>
            </w:r>
          </w:p>
        </w:tc>
        <w:tc>
          <w:tcPr>
            <w:tcW w:w="263" w:type="pct"/>
            <w:tcBorders>
              <w:bottom w:val="single" w:color="auto" w:sz="4" w:space="0"/>
            </w:tcBorders>
            <w:shd w:val="clear" w:color="auto" w:fill="auto"/>
          </w:tcPr>
          <w:p w14:paraId="19419DE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0.209</w:t>
            </w:r>
          </w:p>
        </w:tc>
        <w:tc>
          <w:tcPr>
            <w:tcW w:w="263" w:type="pct"/>
            <w:tcBorders>
              <w:bottom w:val="single" w:color="auto" w:sz="4" w:space="0"/>
            </w:tcBorders>
            <w:shd w:val="clear" w:color="auto" w:fill="auto"/>
          </w:tcPr>
          <w:p w14:paraId="05532AD1">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0.217</w:t>
            </w:r>
          </w:p>
        </w:tc>
        <w:tc>
          <w:tcPr>
            <w:tcW w:w="263" w:type="pct"/>
            <w:tcBorders>
              <w:bottom w:val="single" w:color="auto" w:sz="4" w:space="0"/>
            </w:tcBorders>
            <w:shd w:val="clear" w:color="auto" w:fill="auto"/>
          </w:tcPr>
          <w:p w14:paraId="629E587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0.445</w:t>
            </w:r>
          </w:p>
        </w:tc>
        <w:tc>
          <w:tcPr>
            <w:tcW w:w="263" w:type="pct"/>
            <w:tcBorders>
              <w:bottom w:val="single" w:color="auto" w:sz="4" w:space="0"/>
            </w:tcBorders>
            <w:shd w:val="clear" w:color="auto" w:fill="auto"/>
          </w:tcPr>
          <w:p w14:paraId="6FB56E9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0.461</w:t>
            </w:r>
          </w:p>
        </w:tc>
        <w:tc>
          <w:tcPr>
            <w:tcW w:w="263" w:type="pct"/>
            <w:tcBorders>
              <w:bottom w:val="single" w:color="auto" w:sz="4" w:space="0"/>
            </w:tcBorders>
            <w:shd w:val="clear" w:color="auto" w:fill="auto"/>
          </w:tcPr>
          <w:p w14:paraId="1E60F6D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1.82</w:t>
            </w:r>
          </w:p>
        </w:tc>
        <w:tc>
          <w:tcPr>
            <w:tcW w:w="263" w:type="pct"/>
            <w:tcBorders>
              <w:bottom w:val="single" w:color="auto" w:sz="4" w:space="0"/>
            </w:tcBorders>
            <w:shd w:val="clear" w:color="auto" w:fill="auto"/>
          </w:tcPr>
          <w:p w14:paraId="08E986E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2.05</w:t>
            </w:r>
          </w:p>
        </w:tc>
        <w:tc>
          <w:tcPr>
            <w:tcW w:w="263" w:type="pct"/>
            <w:tcBorders>
              <w:bottom w:val="single" w:color="auto" w:sz="4" w:space="0"/>
            </w:tcBorders>
            <w:shd w:val="clear" w:color="auto" w:fill="auto"/>
          </w:tcPr>
          <w:p w14:paraId="01E9BAC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2.57</w:t>
            </w:r>
          </w:p>
        </w:tc>
        <w:tc>
          <w:tcPr>
            <w:tcW w:w="263" w:type="pct"/>
            <w:tcBorders>
              <w:bottom w:val="single" w:color="auto" w:sz="4" w:space="0"/>
            </w:tcBorders>
            <w:shd w:val="clear" w:color="auto" w:fill="auto"/>
          </w:tcPr>
          <w:p w14:paraId="7EAFB3E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2.63</w:t>
            </w:r>
          </w:p>
        </w:tc>
      </w:tr>
      <w:tr w14:paraId="134EF1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op w:val="single" w:color="auto" w:sz="4" w:space="0"/>
              <w:bottom w:val="nil"/>
              <w:tl2br w:val="nil"/>
              <w:tr2bl w:val="nil"/>
            </w:tcBorders>
            <w:shd w:val="clear" w:color="auto" w:fill="auto"/>
          </w:tcPr>
          <w:p w14:paraId="5C0BC2C5">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SEm±</w:t>
            </w:r>
          </w:p>
        </w:tc>
        <w:tc>
          <w:tcPr>
            <w:tcW w:w="263" w:type="pct"/>
            <w:tcBorders>
              <w:top w:val="single" w:color="auto" w:sz="4" w:space="0"/>
              <w:bottom w:val="nil"/>
            </w:tcBorders>
            <w:shd w:val="clear" w:color="auto" w:fill="auto"/>
          </w:tcPr>
          <w:p w14:paraId="4A3BD92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0.03</w:t>
            </w:r>
          </w:p>
        </w:tc>
        <w:tc>
          <w:tcPr>
            <w:tcW w:w="263" w:type="pct"/>
            <w:tcBorders>
              <w:top w:val="single" w:color="auto" w:sz="4" w:space="0"/>
              <w:bottom w:val="nil"/>
            </w:tcBorders>
            <w:shd w:val="clear" w:color="auto" w:fill="auto"/>
          </w:tcPr>
          <w:p w14:paraId="75079CD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c>
          <w:tcPr>
            <w:tcW w:w="263" w:type="pct"/>
            <w:tcBorders>
              <w:top w:val="single" w:color="auto" w:sz="4" w:space="0"/>
              <w:bottom w:val="nil"/>
            </w:tcBorders>
            <w:shd w:val="clear" w:color="auto" w:fill="auto"/>
          </w:tcPr>
          <w:p w14:paraId="4018C9D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0.03</w:t>
            </w:r>
          </w:p>
        </w:tc>
        <w:tc>
          <w:tcPr>
            <w:tcW w:w="263" w:type="pct"/>
            <w:tcBorders>
              <w:top w:val="single" w:color="auto" w:sz="4" w:space="0"/>
              <w:bottom w:val="nil"/>
            </w:tcBorders>
            <w:shd w:val="clear" w:color="auto" w:fill="auto"/>
          </w:tcPr>
          <w:p w14:paraId="1204CA2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c>
          <w:tcPr>
            <w:tcW w:w="263" w:type="pct"/>
            <w:tcBorders>
              <w:top w:val="single" w:color="auto" w:sz="4" w:space="0"/>
              <w:bottom w:val="nil"/>
            </w:tcBorders>
            <w:shd w:val="clear" w:color="auto" w:fill="auto"/>
          </w:tcPr>
          <w:p w14:paraId="5CCCDE3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0.005</w:t>
            </w:r>
          </w:p>
        </w:tc>
        <w:tc>
          <w:tcPr>
            <w:tcW w:w="263" w:type="pct"/>
            <w:tcBorders>
              <w:top w:val="single" w:color="auto" w:sz="4" w:space="0"/>
              <w:bottom w:val="nil"/>
            </w:tcBorders>
            <w:shd w:val="clear" w:color="auto" w:fill="auto"/>
          </w:tcPr>
          <w:p w14:paraId="3A76A55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0.005</w:t>
            </w:r>
          </w:p>
        </w:tc>
        <w:tc>
          <w:tcPr>
            <w:tcW w:w="263" w:type="pct"/>
            <w:tcBorders>
              <w:top w:val="single" w:color="auto" w:sz="4" w:space="0"/>
              <w:bottom w:val="nil"/>
            </w:tcBorders>
            <w:shd w:val="clear" w:color="auto" w:fill="auto"/>
          </w:tcPr>
          <w:p w14:paraId="74B2235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0.007</w:t>
            </w:r>
          </w:p>
        </w:tc>
        <w:tc>
          <w:tcPr>
            <w:tcW w:w="263" w:type="pct"/>
            <w:tcBorders>
              <w:top w:val="single" w:color="auto" w:sz="4" w:space="0"/>
              <w:bottom w:val="nil"/>
            </w:tcBorders>
            <w:shd w:val="clear" w:color="auto" w:fill="auto"/>
          </w:tcPr>
          <w:p w14:paraId="7102C2E7">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0.009</w:t>
            </w:r>
          </w:p>
        </w:tc>
        <w:tc>
          <w:tcPr>
            <w:tcW w:w="263" w:type="pct"/>
            <w:tcBorders>
              <w:top w:val="single" w:color="auto" w:sz="4" w:space="0"/>
              <w:bottom w:val="nil"/>
            </w:tcBorders>
            <w:shd w:val="clear" w:color="auto" w:fill="auto"/>
          </w:tcPr>
          <w:p w14:paraId="11FC135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0.03</w:t>
            </w:r>
          </w:p>
        </w:tc>
        <w:tc>
          <w:tcPr>
            <w:tcW w:w="263" w:type="pct"/>
            <w:tcBorders>
              <w:top w:val="single" w:color="auto" w:sz="4" w:space="0"/>
              <w:bottom w:val="nil"/>
            </w:tcBorders>
            <w:shd w:val="clear" w:color="auto" w:fill="auto"/>
          </w:tcPr>
          <w:p w14:paraId="0E7E374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c>
          <w:tcPr>
            <w:tcW w:w="263" w:type="pct"/>
            <w:tcBorders>
              <w:top w:val="single" w:color="auto" w:sz="4" w:space="0"/>
              <w:bottom w:val="nil"/>
            </w:tcBorders>
            <w:shd w:val="clear" w:color="auto" w:fill="auto"/>
          </w:tcPr>
          <w:p w14:paraId="1B1BC71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0.03</w:t>
            </w:r>
          </w:p>
        </w:tc>
        <w:tc>
          <w:tcPr>
            <w:tcW w:w="263" w:type="pct"/>
            <w:tcBorders>
              <w:top w:val="single" w:color="auto" w:sz="4" w:space="0"/>
              <w:bottom w:val="nil"/>
            </w:tcBorders>
            <w:shd w:val="clear" w:color="auto" w:fill="auto"/>
          </w:tcPr>
          <w:p w14:paraId="13B1491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0.04</w:t>
            </w:r>
          </w:p>
        </w:tc>
      </w:tr>
      <w:tr w14:paraId="3CF353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op w:val="nil"/>
              <w:bottom w:val="single" w:color="auto" w:sz="4" w:space="0"/>
              <w:tl2br w:val="nil"/>
              <w:tr2bl w:val="nil"/>
            </w:tcBorders>
            <w:shd w:val="clear" w:color="auto" w:fill="auto"/>
          </w:tcPr>
          <w:p w14:paraId="56972B0F">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CD (P=0.05)</w:t>
            </w:r>
          </w:p>
        </w:tc>
        <w:tc>
          <w:tcPr>
            <w:tcW w:w="263" w:type="pct"/>
            <w:tcBorders>
              <w:top w:val="nil"/>
              <w:bottom w:val="single" w:color="auto" w:sz="4" w:space="0"/>
            </w:tcBorders>
            <w:shd w:val="clear" w:color="auto" w:fill="auto"/>
          </w:tcPr>
          <w:p w14:paraId="005BCC4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0.09</w:t>
            </w:r>
          </w:p>
        </w:tc>
        <w:tc>
          <w:tcPr>
            <w:tcW w:w="263" w:type="pct"/>
            <w:tcBorders>
              <w:top w:val="nil"/>
              <w:bottom w:val="single" w:color="auto" w:sz="4" w:space="0"/>
            </w:tcBorders>
            <w:shd w:val="clear" w:color="auto" w:fill="auto"/>
          </w:tcPr>
          <w:p w14:paraId="5CB93E0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0.12</w:t>
            </w:r>
          </w:p>
        </w:tc>
        <w:tc>
          <w:tcPr>
            <w:tcW w:w="263" w:type="pct"/>
            <w:tcBorders>
              <w:top w:val="nil"/>
              <w:bottom w:val="single" w:color="auto" w:sz="4" w:space="0"/>
            </w:tcBorders>
            <w:shd w:val="clear" w:color="auto" w:fill="auto"/>
          </w:tcPr>
          <w:p w14:paraId="498D51C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0.09</w:t>
            </w:r>
          </w:p>
        </w:tc>
        <w:tc>
          <w:tcPr>
            <w:tcW w:w="263" w:type="pct"/>
            <w:tcBorders>
              <w:top w:val="nil"/>
              <w:bottom w:val="single" w:color="auto" w:sz="4" w:space="0"/>
            </w:tcBorders>
            <w:shd w:val="clear" w:color="auto" w:fill="auto"/>
          </w:tcPr>
          <w:p w14:paraId="4D87599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0.12</w:t>
            </w:r>
          </w:p>
        </w:tc>
        <w:tc>
          <w:tcPr>
            <w:tcW w:w="263" w:type="pct"/>
            <w:tcBorders>
              <w:top w:val="nil"/>
              <w:bottom w:val="single" w:color="auto" w:sz="4" w:space="0"/>
            </w:tcBorders>
            <w:shd w:val="clear" w:color="auto" w:fill="auto"/>
          </w:tcPr>
          <w:p w14:paraId="5C840FC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0.013</w:t>
            </w:r>
          </w:p>
        </w:tc>
        <w:tc>
          <w:tcPr>
            <w:tcW w:w="263" w:type="pct"/>
            <w:tcBorders>
              <w:top w:val="nil"/>
              <w:bottom w:val="single" w:color="auto" w:sz="4" w:space="0"/>
            </w:tcBorders>
            <w:shd w:val="clear" w:color="auto" w:fill="auto"/>
          </w:tcPr>
          <w:p w14:paraId="515F1C8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0.014</w:t>
            </w:r>
          </w:p>
        </w:tc>
        <w:tc>
          <w:tcPr>
            <w:tcW w:w="263" w:type="pct"/>
            <w:tcBorders>
              <w:top w:val="nil"/>
              <w:bottom w:val="single" w:color="auto" w:sz="4" w:space="0"/>
            </w:tcBorders>
            <w:shd w:val="clear" w:color="auto" w:fill="auto"/>
          </w:tcPr>
          <w:p w14:paraId="48D6B7A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0.020</w:t>
            </w:r>
          </w:p>
        </w:tc>
        <w:tc>
          <w:tcPr>
            <w:tcW w:w="263" w:type="pct"/>
            <w:tcBorders>
              <w:top w:val="nil"/>
              <w:bottom w:val="single" w:color="auto" w:sz="4" w:space="0"/>
            </w:tcBorders>
            <w:shd w:val="clear" w:color="auto" w:fill="auto"/>
          </w:tcPr>
          <w:p w14:paraId="705002CA">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0.026</w:t>
            </w:r>
          </w:p>
        </w:tc>
        <w:tc>
          <w:tcPr>
            <w:tcW w:w="263" w:type="pct"/>
            <w:tcBorders>
              <w:top w:val="nil"/>
              <w:bottom w:val="single" w:color="auto" w:sz="4" w:space="0"/>
            </w:tcBorders>
            <w:shd w:val="clear" w:color="auto" w:fill="auto"/>
          </w:tcPr>
          <w:p w14:paraId="4887F50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0.09</w:t>
            </w:r>
          </w:p>
        </w:tc>
        <w:tc>
          <w:tcPr>
            <w:tcW w:w="263" w:type="pct"/>
            <w:tcBorders>
              <w:top w:val="nil"/>
              <w:bottom w:val="single" w:color="auto" w:sz="4" w:space="0"/>
            </w:tcBorders>
            <w:shd w:val="clear" w:color="auto" w:fill="auto"/>
          </w:tcPr>
          <w:p w14:paraId="22CFA18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0.12</w:t>
            </w:r>
          </w:p>
        </w:tc>
        <w:tc>
          <w:tcPr>
            <w:tcW w:w="263" w:type="pct"/>
            <w:tcBorders>
              <w:top w:val="nil"/>
              <w:bottom w:val="single" w:color="auto" w:sz="4" w:space="0"/>
            </w:tcBorders>
            <w:shd w:val="clear" w:color="auto" w:fill="auto"/>
          </w:tcPr>
          <w:p w14:paraId="127564CF">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0.09</w:t>
            </w:r>
          </w:p>
        </w:tc>
        <w:tc>
          <w:tcPr>
            <w:tcW w:w="263" w:type="pct"/>
            <w:tcBorders>
              <w:top w:val="nil"/>
              <w:bottom w:val="single" w:color="auto" w:sz="4" w:space="0"/>
            </w:tcBorders>
            <w:shd w:val="clear" w:color="auto" w:fill="auto"/>
          </w:tcPr>
          <w:p w14:paraId="3CA910B9">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0.12</w:t>
            </w:r>
          </w:p>
        </w:tc>
      </w:tr>
      <w:tr w14:paraId="403ECF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2" w:type="dxa"/>
            <w:bottom w:w="0" w:type="dxa"/>
            <w:right w:w="72" w:type="dxa"/>
          </w:tblCellMar>
        </w:tblPrEx>
        <w:trPr>
          <w:trHeight w:val="20" w:hRule="atLeast"/>
        </w:trPr>
        <w:tc>
          <w:tcPr>
            <w:tcW w:w="1844" w:type="pct"/>
            <w:tcBorders>
              <w:top w:val="single" w:color="auto" w:sz="4" w:space="0"/>
              <w:tl2br w:val="nil"/>
              <w:tr2bl w:val="nil"/>
            </w:tcBorders>
            <w:shd w:val="clear" w:color="auto" w:fill="auto"/>
          </w:tcPr>
          <w:p w14:paraId="5DD88FCD">
            <w:pPr>
              <w:spacing w:before="60" w:after="60" w:line="240" w:lineRule="auto"/>
              <w:rPr>
                <w:rFonts w:ascii="Times New Roman" w:hAnsi="Times New Roman" w:eastAsia="Calibri" w:cs="Times New Roman"/>
                <w:b w:val="0"/>
                <w:bCs w:val="0"/>
                <w:kern w:val="0"/>
                <w:sz w:val="20"/>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Interaction</w:t>
            </w:r>
          </w:p>
        </w:tc>
        <w:tc>
          <w:tcPr>
            <w:tcW w:w="263" w:type="pct"/>
            <w:tcBorders>
              <w:top w:val="single" w:color="auto" w:sz="4" w:space="0"/>
            </w:tcBorders>
            <w:shd w:val="clear" w:color="auto" w:fill="auto"/>
          </w:tcPr>
          <w:p w14:paraId="58118DE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347EB0DD">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7B53DA1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5AE35D7B">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5F861485">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35CE0E2E">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3D02C8B6">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2EDACB5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1AB72DDC">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00670A52">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0C03A483">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c>
          <w:tcPr>
            <w:tcW w:w="263" w:type="pct"/>
            <w:tcBorders>
              <w:top w:val="single" w:color="auto" w:sz="4" w:space="0"/>
            </w:tcBorders>
            <w:shd w:val="clear" w:color="auto" w:fill="auto"/>
          </w:tcPr>
          <w:p w14:paraId="02CAFC54">
            <w:pPr>
              <w:spacing w:before="60" w:after="60" w:line="240" w:lineRule="auto"/>
              <w:jc w:val="center"/>
              <w:rPr>
                <w:rFonts w:ascii="Times New Roman" w:hAnsi="Times New Roman" w:eastAsia="Calibri" w:cs="Times New Roman"/>
                <w:kern w:val="0"/>
                <w:sz w:val="20"/>
                <w:szCs w:val="24"/>
                <w:lang w:val="en-US" w:eastAsia="en-IN" w:bidi="hi-IN"/>
                <w14:ligatures w14:val="none"/>
              </w:rPr>
            </w:pPr>
            <w:r>
              <w:rPr>
                <w:rFonts w:ascii="Times New Roman" w:hAnsi="Times New Roman" w:eastAsia="Calibri" w:cs="Times New Roman"/>
                <w:kern w:val="0"/>
                <w:sz w:val="20"/>
                <w:szCs w:val="24"/>
                <w:lang w:val="en-US" w:eastAsia="en-IN" w:bidi="hi-IN"/>
                <w14:ligatures w14:val="none"/>
              </w:rPr>
              <w:t>NS</w:t>
            </w:r>
          </w:p>
        </w:tc>
      </w:tr>
    </w:tbl>
    <w:p w14:paraId="06924A58">
      <w:pPr>
        <w:rPr>
          <w:rFonts w:ascii="Times New Roman" w:hAnsi="Times New Roman" w:cs="Times New Roman"/>
          <w:color w:val="000000"/>
          <w:kern w:val="0"/>
          <w:sz w:val="24"/>
          <w:szCs w:val="24"/>
        </w:rPr>
      </w:pPr>
      <w:r>
        <w:rPr>
          <w:rFonts w:ascii="Times New Roman" w:hAnsi="Times New Roman" w:cs="Times New Roman"/>
        </w:rPr>
        <w:br w:type="page"/>
      </w:r>
    </w:p>
    <w:p w14:paraId="39D1B356">
      <w:pPr>
        <w:pStyle w:val="15"/>
        <w:spacing w:before="100" w:beforeAutospacing="1" w:after="100" w:afterAutospacing="1"/>
        <w:jc w:val="both"/>
        <w:rPr>
          <w:rFonts w:ascii="Times New Roman" w:hAnsi="Times New Roman" w:cs="Times New Roman"/>
        </w:rPr>
      </w:pPr>
      <w:r>
        <w:rPr>
          <w:rFonts w:ascii="Times New Roman" w:hAnsi="Times New Roman" w:cs="Times New Roman"/>
          <w:b/>
          <w:bCs/>
        </w:rPr>
        <w:t>Table 4.</w:t>
      </w:r>
      <w:r>
        <w:rPr>
          <w:rFonts w:ascii="Times New Roman" w:hAnsi="Times New Roman" w:cs="Times New Roman"/>
        </w:rPr>
        <w:t xml:space="preserve"> </w:t>
      </w:r>
      <w:r>
        <w:rPr>
          <w:rFonts w:ascii="Times New Roman" w:hAnsi="Times New Roman" w:cs="Times New Roman"/>
          <w:bCs/>
        </w:rPr>
        <w:t>Effect of integrated nitrogen and weed management practices on nutrient removal by weeds in direct seeded rice</w:t>
      </w:r>
    </w:p>
    <w:tbl>
      <w:tblPr>
        <w:tblStyle w:val="13"/>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15" w:type="dxa"/>
          <w:bottom w:w="0" w:type="dxa"/>
          <w:right w:w="115" w:type="dxa"/>
        </w:tblCellMar>
      </w:tblPr>
      <w:tblGrid>
        <w:gridCol w:w="4979"/>
        <w:gridCol w:w="770"/>
        <w:gridCol w:w="770"/>
        <w:gridCol w:w="770"/>
        <w:gridCol w:w="770"/>
        <w:gridCol w:w="737"/>
        <w:gridCol w:w="770"/>
        <w:gridCol w:w="770"/>
        <w:gridCol w:w="770"/>
        <w:gridCol w:w="770"/>
        <w:gridCol w:w="770"/>
        <w:gridCol w:w="771"/>
        <w:gridCol w:w="771"/>
      </w:tblGrid>
      <w:tr w14:paraId="5A252E7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vMerge w:val="restart"/>
            <w:tcBorders>
              <w:left w:val="nil"/>
              <w:bottom w:val="single" w:color="auto" w:sz="4" w:space="0"/>
              <w:right w:val="nil"/>
              <w:tl2br w:val="nil"/>
              <w:tr2bl w:val="nil"/>
            </w:tcBorders>
            <w:shd w:val="clear" w:color="auto" w:fill="auto"/>
            <w:vAlign w:val="center"/>
          </w:tcPr>
          <w:p w14:paraId="292DA048">
            <w:pPr>
              <w:spacing w:before="40" w:after="40" w:line="240" w:lineRule="auto"/>
              <w:jc w:val="center"/>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Treatments</w:t>
            </w:r>
          </w:p>
        </w:tc>
        <w:tc>
          <w:tcPr>
            <w:tcW w:w="1078" w:type="pct"/>
            <w:gridSpan w:val="4"/>
            <w:tcBorders>
              <w:top w:val="single" w:color="auto" w:sz="4" w:space="0"/>
              <w:left w:val="nil"/>
              <w:bottom w:val="single" w:color="auto" w:sz="4" w:space="0"/>
              <w:right w:val="nil"/>
              <w:tl2br w:val="nil"/>
              <w:tr2bl w:val="nil"/>
            </w:tcBorders>
            <w:shd w:val="clear" w:color="auto" w:fill="auto"/>
          </w:tcPr>
          <w:p w14:paraId="566AC09F">
            <w:pPr>
              <w:spacing w:before="40" w:after="40" w:line="240" w:lineRule="auto"/>
              <w:jc w:val="center"/>
              <w:rPr>
                <w:rFonts w:ascii="Times New Roman" w:hAnsi="Times New Roman" w:eastAsia="Times New Roman" w:cs="Times New Roman"/>
                <w:b w:val="0"/>
                <w:bCs w:val="0"/>
                <w:kern w:val="0"/>
                <w:sz w:val="24"/>
                <w:szCs w:val="24"/>
                <w:lang w:val="en-US" w:eastAsia="en-IN" w:bidi="hi-IN"/>
                <w14:ligatures w14:val="none"/>
              </w:rPr>
            </w:pPr>
            <w:r>
              <w:rPr>
                <w:rFonts w:ascii="Times New Roman" w:hAnsi="Times New Roman" w:eastAsia="Times New Roman" w:cs="Times New Roman"/>
                <w:b w:val="0"/>
                <w:bCs w:val="0"/>
                <w:kern w:val="0"/>
                <w:sz w:val="24"/>
                <w:szCs w:val="24"/>
                <w:lang w:val="en-US" w:eastAsia="en-IN" w:bidi="hi-IN"/>
                <w14:ligatures w14:val="none"/>
              </w:rPr>
              <w:t>Nitrogen (kg ha</w:t>
            </w:r>
            <w:r>
              <w:rPr>
                <w:rFonts w:ascii="Times New Roman" w:hAnsi="Times New Roman" w:eastAsia="Times New Roman" w:cs="Times New Roman"/>
                <w:b w:val="0"/>
                <w:bCs w:val="0"/>
                <w:kern w:val="0"/>
                <w:sz w:val="24"/>
                <w:szCs w:val="24"/>
                <w:vertAlign w:val="superscript"/>
                <w:lang w:val="en-US" w:eastAsia="en-IN" w:bidi="hi-IN"/>
                <w14:ligatures w14:val="none"/>
              </w:rPr>
              <w:t>-1</w:t>
            </w:r>
            <w:r>
              <w:rPr>
                <w:rFonts w:ascii="Times New Roman" w:hAnsi="Times New Roman" w:eastAsia="Times New Roman" w:cs="Times New Roman"/>
                <w:b w:val="0"/>
                <w:bCs w:val="0"/>
                <w:kern w:val="0"/>
                <w:sz w:val="24"/>
                <w:szCs w:val="24"/>
                <w:lang w:val="en-US" w:eastAsia="en-IN" w:bidi="hi-IN"/>
                <w14:ligatures w14:val="none"/>
              </w:rPr>
              <w:t>)</w:t>
            </w:r>
          </w:p>
        </w:tc>
        <w:tc>
          <w:tcPr>
            <w:tcW w:w="1078" w:type="pct"/>
            <w:gridSpan w:val="4"/>
            <w:tcBorders>
              <w:top w:val="single" w:color="auto" w:sz="4" w:space="0"/>
              <w:left w:val="nil"/>
              <w:bottom w:val="single" w:color="auto" w:sz="4" w:space="0"/>
              <w:right w:val="nil"/>
              <w:tl2br w:val="nil"/>
              <w:tr2bl w:val="nil"/>
            </w:tcBorders>
            <w:shd w:val="clear" w:color="auto" w:fill="auto"/>
          </w:tcPr>
          <w:p w14:paraId="586C8521">
            <w:pPr>
              <w:spacing w:before="40" w:after="40" w:line="240" w:lineRule="auto"/>
              <w:jc w:val="center"/>
              <w:rPr>
                <w:rFonts w:ascii="Times New Roman" w:hAnsi="Times New Roman" w:eastAsia="Times New Roman" w:cs="Times New Roman"/>
                <w:b w:val="0"/>
                <w:bCs w:val="0"/>
                <w:kern w:val="0"/>
                <w:sz w:val="24"/>
                <w:szCs w:val="24"/>
                <w:lang w:val="en-US" w:eastAsia="en-IN" w:bidi="hi-IN"/>
                <w14:ligatures w14:val="none"/>
              </w:rPr>
            </w:pPr>
            <w:r>
              <w:rPr>
                <w:rFonts w:ascii="Times New Roman" w:hAnsi="Times New Roman" w:eastAsia="Times New Roman" w:cs="Times New Roman"/>
                <w:b w:val="0"/>
                <w:bCs w:val="0"/>
                <w:kern w:val="0"/>
                <w:sz w:val="24"/>
                <w:szCs w:val="24"/>
                <w:lang w:val="en-US" w:eastAsia="en-IN" w:bidi="hi-IN"/>
                <w14:ligatures w14:val="none"/>
              </w:rPr>
              <w:t>Phosphorus (kg ha</w:t>
            </w:r>
            <w:r>
              <w:rPr>
                <w:rFonts w:ascii="Times New Roman" w:hAnsi="Times New Roman" w:eastAsia="Times New Roman" w:cs="Times New Roman"/>
                <w:b w:val="0"/>
                <w:bCs w:val="0"/>
                <w:kern w:val="0"/>
                <w:sz w:val="24"/>
                <w:szCs w:val="24"/>
                <w:vertAlign w:val="superscript"/>
                <w:lang w:val="en-US" w:eastAsia="en-IN" w:bidi="hi-IN"/>
                <w14:ligatures w14:val="none"/>
              </w:rPr>
              <w:t>-1</w:t>
            </w:r>
            <w:r>
              <w:rPr>
                <w:rFonts w:ascii="Times New Roman" w:hAnsi="Times New Roman" w:eastAsia="Times New Roman" w:cs="Times New Roman"/>
                <w:b w:val="0"/>
                <w:bCs w:val="0"/>
                <w:kern w:val="0"/>
                <w:sz w:val="24"/>
                <w:szCs w:val="24"/>
                <w:lang w:val="en-US" w:eastAsia="en-IN" w:bidi="hi-IN"/>
                <w14:ligatures w14:val="none"/>
              </w:rPr>
              <w:t>)</w:t>
            </w:r>
          </w:p>
        </w:tc>
        <w:tc>
          <w:tcPr>
            <w:tcW w:w="1079" w:type="pct"/>
            <w:gridSpan w:val="4"/>
            <w:tcBorders>
              <w:top w:val="single" w:color="auto" w:sz="4" w:space="0"/>
              <w:left w:val="nil"/>
              <w:bottom w:val="single" w:color="auto" w:sz="4" w:space="0"/>
              <w:right w:val="nil"/>
              <w:tl2br w:val="nil"/>
              <w:tr2bl w:val="nil"/>
            </w:tcBorders>
            <w:shd w:val="clear" w:color="auto" w:fill="auto"/>
          </w:tcPr>
          <w:p w14:paraId="563C1602">
            <w:pPr>
              <w:spacing w:before="40" w:after="40" w:line="240" w:lineRule="auto"/>
              <w:jc w:val="center"/>
              <w:rPr>
                <w:rFonts w:ascii="Times New Roman" w:hAnsi="Times New Roman" w:eastAsia="Times New Roman" w:cs="Times New Roman"/>
                <w:b w:val="0"/>
                <w:bCs w:val="0"/>
                <w:kern w:val="0"/>
                <w:sz w:val="24"/>
                <w:szCs w:val="24"/>
                <w:lang w:val="en-US" w:eastAsia="en-IN" w:bidi="hi-IN"/>
                <w14:ligatures w14:val="none"/>
              </w:rPr>
            </w:pPr>
            <w:r>
              <w:rPr>
                <w:rFonts w:ascii="Times New Roman" w:hAnsi="Times New Roman" w:eastAsia="Times New Roman" w:cs="Times New Roman"/>
                <w:b w:val="0"/>
                <w:bCs w:val="0"/>
                <w:kern w:val="0"/>
                <w:sz w:val="24"/>
                <w:szCs w:val="24"/>
                <w:lang w:val="en-US" w:eastAsia="en-IN" w:bidi="hi-IN"/>
                <w14:ligatures w14:val="none"/>
              </w:rPr>
              <w:t>Potassium (kg ha</w:t>
            </w:r>
            <w:r>
              <w:rPr>
                <w:rFonts w:ascii="Times New Roman" w:hAnsi="Times New Roman" w:eastAsia="Times New Roman" w:cs="Times New Roman"/>
                <w:b w:val="0"/>
                <w:bCs w:val="0"/>
                <w:kern w:val="0"/>
                <w:sz w:val="24"/>
                <w:szCs w:val="24"/>
                <w:vertAlign w:val="superscript"/>
                <w:lang w:val="en-US" w:eastAsia="en-IN" w:bidi="hi-IN"/>
                <w14:ligatures w14:val="none"/>
              </w:rPr>
              <w:t>-1</w:t>
            </w:r>
            <w:r>
              <w:rPr>
                <w:rFonts w:ascii="Times New Roman" w:hAnsi="Times New Roman" w:eastAsia="Times New Roman" w:cs="Times New Roman"/>
                <w:b w:val="0"/>
                <w:bCs w:val="0"/>
                <w:kern w:val="0"/>
                <w:sz w:val="24"/>
                <w:szCs w:val="24"/>
                <w:lang w:val="en-US" w:eastAsia="en-IN" w:bidi="hi-IN"/>
                <w14:ligatures w14:val="none"/>
              </w:rPr>
              <w:t>)</w:t>
            </w:r>
          </w:p>
        </w:tc>
      </w:tr>
      <w:tr w14:paraId="4014C72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vMerge w:val="continue"/>
            <w:tcBorders>
              <w:left w:val="nil"/>
              <w:bottom w:val="single" w:color="auto" w:sz="4" w:space="0"/>
              <w:right w:val="nil"/>
              <w:tl2br w:val="nil"/>
              <w:tr2bl w:val="nil"/>
            </w:tcBorders>
            <w:shd w:val="clear" w:color="auto" w:fill="auto"/>
          </w:tcPr>
          <w:p w14:paraId="5F740F46">
            <w:pPr>
              <w:pBdr>
                <w:top w:val="single" w:color="auto" w:sz="4" w:space="1"/>
                <w:bottom w:val="single" w:color="auto" w:sz="4" w:space="1"/>
              </w:pBdr>
              <w:spacing w:before="40" w:after="40" w:line="240" w:lineRule="auto"/>
              <w:rPr>
                <w:rFonts w:ascii="Times New Roman" w:hAnsi="Times New Roman" w:eastAsia="Calibri" w:cs="Times New Roman"/>
                <w:b w:val="0"/>
                <w:bCs w:val="0"/>
                <w:kern w:val="0"/>
                <w:sz w:val="24"/>
                <w:szCs w:val="24"/>
                <w:lang w:val="en-US" w:eastAsia="en-IN" w:bidi="hi-IN"/>
                <w14:ligatures w14:val="none"/>
              </w:rPr>
            </w:pPr>
          </w:p>
        </w:tc>
        <w:tc>
          <w:tcPr>
            <w:tcW w:w="539" w:type="pct"/>
            <w:gridSpan w:val="2"/>
            <w:tcBorders>
              <w:top w:val="single" w:color="auto" w:sz="4" w:space="0"/>
              <w:left w:val="nil"/>
              <w:bottom w:val="single" w:color="auto" w:sz="4" w:space="0"/>
              <w:right w:val="nil"/>
            </w:tcBorders>
            <w:shd w:val="clear" w:color="auto" w:fill="auto"/>
          </w:tcPr>
          <w:p w14:paraId="027AE94B">
            <w:pPr>
              <w:spacing w:before="40" w:after="40" w:line="240" w:lineRule="auto"/>
              <w:jc w:val="center"/>
              <w:rPr>
                <w:rFonts w:ascii="Times New Roman" w:hAnsi="Times New Roman" w:eastAsia="Times New Roman" w:cs="Times New Roman"/>
                <w:kern w:val="0"/>
                <w:sz w:val="24"/>
                <w:szCs w:val="24"/>
                <w:lang w:val="en-US" w:eastAsia="en-IN" w:bidi="hi-IN"/>
                <w14:ligatures w14:val="none"/>
              </w:rPr>
            </w:pPr>
            <w:r>
              <w:rPr>
                <w:rFonts w:ascii="Times New Roman" w:hAnsi="Times New Roman" w:eastAsia="Times New Roman" w:cs="Times New Roman"/>
                <w:kern w:val="0"/>
                <w:sz w:val="24"/>
                <w:szCs w:val="24"/>
                <w:lang w:val="en-US" w:eastAsia="en-IN" w:bidi="hi-IN"/>
                <w14:ligatures w14:val="none"/>
              </w:rPr>
              <w:t>60 DAS</w:t>
            </w:r>
          </w:p>
        </w:tc>
        <w:tc>
          <w:tcPr>
            <w:tcW w:w="539" w:type="pct"/>
            <w:gridSpan w:val="2"/>
            <w:tcBorders>
              <w:top w:val="single" w:color="auto" w:sz="4" w:space="0"/>
              <w:left w:val="nil"/>
              <w:bottom w:val="single" w:color="auto" w:sz="4" w:space="0"/>
              <w:right w:val="nil"/>
            </w:tcBorders>
            <w:shd w:val="clear" w:color="auto" w:fill="auto"/>
          </w:tcPr>
          <w:p w14:paraId="40549533">
            <w:pPr>
              <w:spacing w:before="40" w:after="40" w:line="240" w:lineRule="auto"/>
              <w:jc w:val="center"/>
              <w:rPr>
                <w:rFonts w:ascii="Times New Roman" w:hAnsi="Times New Roman" w:eastAsia="Times New Roman" w:cs="Times New Roman"/>
                <w:kern w:val="0"/>
                <w:sz w:val="24"/>
                <w:szCs w:val="24"/>
                <w:lang w:val="en-US" w:eastAsia="en-IN" w:bidi="hi-IN"/>
                <w14:ligatures w14:val="none"/>
              </w:rPr>
            </w:pPr>
            <w:r>
              <w:rPr>
                <w:rFonts w:ascii="Times New Roman" w:hAnsi="Times New Roman" w:eastAsia="Times New Roman" w:cs="Times New Roman"/>
                <w:kern w:val="0"/>
                <w:sz w:val="24"/>
                <w:szCs w:val="24"/>
                <w:lang w:val="en-US" w:eastAsia="en-IN" w:bidi="hi-IN"/>
                <w14:ligatures w14:val="none"/>
              </w:rPr>
              <w:t>80 DAS</w:t>
            </w:r>
          </w:p>
        </w:tc>
        <w:tc>
          <w:tcPr>
            <w:tcW w:w="539" w:type="pct"/>
            <w:gridSpan w:val="2"/>
            <w:tcBorders>
              <w:top w:val="single" w:color="auto" w:sz="4" w:space="0"/>
              <w:left w:val="nil"/>
              <w:bottom w:val="single" w:color="auto" w:sz="4" w:space="0"/>
              <w:right w:val="nil"/>
            </w:tcBorders>
            <w:shd w:val="clear" w:color="auto" w:fill="auto"/>
          </w:tcPr>
          <w:p w14:paraId="07EC8CCA">
            <w:pPr>
              <w:spacing w:before="40" w:after="40" w:line="240" w:lineRule="auto"/>
              <w:jc w:val="center"/>
              <w:rPr>
                <w:rFonts w:ascii="Times New Roman" w:hAnsi="Times New Roman" w:eastAsia="Times New Roman" w:cs="Times New Roman"/>
                <w:kern w:val="0"/>
                <w:sz w:val="24"/>
                <w:szCs w:val="24"/>
                <w:lang w:val="en-US" w:eastAsia="en-IN" w:bidi="hi-IN"/>
                <w14:ligatures w14:val="none"/>
              </w:rPr>
            </w:pPr>
            <w:r>
              <w:rPr>
                <w:rFonts w:ascii="Times New Roman" w:hAnsi="Times New Roman" w:eastAsia="Times New Roman" w:cs="Times New Roman"/>
                <w:kern w:val="0"/>
                <w:sz w:val="24"/>
                <w:szCs w:val="24"/>
                <w:lang w:val="en-US" w:eastAsia="en-IN" w:bidi="hi-IN"/>
                <w14:ligatures w14:val="none"/>
              </w:rPr>
              <w:t>60 DAS</w:t>
            </w:r>
          </w:p>
        </w:tc>
        <w:tc>
          <w:tcPr>
            <w:tcW w:w="539" w:type="pct"/>
            <w:gridSpan w:val="2"/>
            <w:tcBorders>
              <w:top w:val="single" w:color="auto" w:sz="4" w:space="0"/>
              <w:left w:val="nil"/>
              <w:bottom w:val="single" w:color="auto" w:sz="4" w:space="0"/>
              <w:right w:val="nil"/>
            </w:tcBorders>
            <w:shd w:val="clear" w:color="auto" w:fill="auto"/>
          </w:tcPr>
          <w:p w14:paraId="18E1E1E6">
            <w:pPr>
              <w:spacing w:before="40" w:after="40" w:line="240" w:lineRule="auto"/>
              <w:jc w:val="center"/>
              <w:rPr>
                <w:rFonts w:ascii="Times New Roman" w:hAnsi="Times New Roman" w:eastAsia="Times New Roman" w:cs="Times New Roman"/>
                <w:kern w:val="0"/>
                <w:sz w:val="24"/>
                <w:szCs w:val="24"/>
                <w:lang w:val="en-US" w:eastAsia="en-IN" w:bidi="hi-IN"/>
                <w14:ligatures w14:val="none"/>
              </w:rPr>
            </w:pPr>
            <w:r>
              <w:rPr>
                <w:rFonts w:ascii="Times New Roman" w:hAnsi="Times New Roman" w:eastAsia="Times New Roman" w:cs="Times New Roman"/>
                <w:kern w:val="0"/>
                <w:sz w:val="24"/>
                <w:szCs w:val="24"/>
                <w:lang w:val="en-US" w:eastAsia="en-IN" w:bidi="hi-IN"/>
                <w14:ligatures w14:val="none"/>
              </w:rPr>
              <w:t>80 DAS</w:t>
            </w:r>
          </w:p>
        </w:tc>
        <w:tc>
          <w:tcPr>
            <w:tcW w:w="539" w:type="pct"/>
            <w:gridSpan w:val="2"/>
            <w:tcBorders>
              <w:top w:val="single" w:color="auto" w:sz="4" w:space="0"/>
              <w:left w:val="nil"/>
              <w:bottom w:val="single" w:color="auto" w:sz="4" w:space="0"/>
              <w:right w:val="nil"/>
            </w:tcBorders>
            <w:shd w:val="clear" w:color="auto" w:fill="auto"/>
          </w:tcPr>
          <w:p w14:paraId="2CA3F718">
            <w:pPr>
              <w:spacing w:before="40" w:after="40" w:line="240" w:lineRule="auto"/>
              <w:jc w:val="center"/>
              <w:rPr>
                <w:rFonts w:ascii="Times New Roman" w:hAnsi="Times New Roman" w:eastAsia="Times New Roman" w:cs="Times New Roman"/>
                <w:kern w:val="0"/>
                <w:sz w:val="24"/>
                <w:szCs w:val="24"/>
                <w:lang w:val="en-US" w:eastAsia="en-IN" w:bidi="hi-IN"/>
                <w14:ligatures w14:val="none"/>
              </w:rPr>
            </w:pPr>
            <w:r>
              <w:rPr>
                <w:rFonts w:ascii="Times New Roman" w:hAnsi="Times New Roman" w:eastAsia="Times New Roman" w:cs="Times New Roman"/>
                <w:kern w:val="0"/>
                <w:sz w:val="24"/>
                <w:szCs w:val="24"/>
                <w:lang w:val="en-US" w:eastAsia="en-IN" w:bidi="hi-IN"/>
                <w14:ligatures w14:val="none"/>
              </w:rPr>
              <w:t>60 DAS</w:t>
            </w:r>
          </w:p>
        </w:tc>
        <w:tc>
          <w:tcPr>
            <w:tcW w:w="540" w:type="pct"/>
            <w:gridSpan w:val="2"/>
            <w:tcBorders>
              <w:top w:val="single" w:color="auto" w:sz="4" w:space="0"/>
              <w:left w:val="nil"/>
              <w:bottom w:val="single" w:color="auto" w:sz="4" w:space="0"/>
              <w:right w:val="nil"/>
            </w:tcBorders>
            <w:shd w:val="clear" w:color="auto" w:fill="auto"/>
          </w:tcPr>
          <w:p w14:paraId="294B1296">
            <w:pPr>
              <w:spacing w:before="40" w:after="40" w:line="240" w:lineRule="auto"/>
              <w:jc w:val="center"/>
              <w:rPr>
                <w:rFonts w:ascii="Times New Roman" w:hAnsi="Times New Roman" w:eastAsia="Times New Roman" w:cs="Times New Roman"/>
                <w:kern w:val="0"/>
                <w:sz w:val="24"/>
                <w:szCs w:val="24"/>
                <w:lang w:val="en-US" w:eastAsia="en-IN" w:bidi="hi-IN"/>
                <w14:ligatures w14:val="none"/>
              </w:rPr>
            </w:pPr>
            <w:r>
              <w:rPr>
                <w:rFonts w:ascii="Times New Roman" w:hAnsi="Times New Roman" w:eastAsia="Times New Roman" w:cs="Times New Roman"/>
                <w:kern w:val="0"/>
                <w:sz w:val="24"/>
                <w:szCs w:val="24"/>
                <w:lang w:val="en-US" w:eastAsia="en-IN" w:bidi="hi-IN"/>
                <w14:ligatures w14:val="none"/>
              </w:rPr>
              <w:t>80 DAS</w:t>
            </w:r>
          </w:p>
        </w:tc>
      </w:tr>
      <w:tr w14:paraId="060BFC6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vMerge w:val="continue"/>
            <w:tcBorders>
              <w:left w:val="nil"/>
              <w:bottom w:val="single" w:color="auto" w:sz="4" w:space="0"/>
              <w:right w:val="nil"/>
              <w:tl2br w:val="nil"/>
              <w:tr2bl w:val="nil"/>
            </w:tcBorders>
            <w:shd w:val="clear" w:color="auto" w:fill="auto"/>
          </w:tcPr>
          <w:p w14:paraId="7829FC82">
            <w:pPr>
              <w:pBdr>
                <w:top w:val="single" w:color="auto" w:sz="4" w:space="1"/>
                <w:bottom w:val="single" w:color="auto" w:sz="4" w:space="1"/>
              </w:pBdr>
              <w:spacing w:before="40" w:after="40" w:line="240" w:lineRule="auto"/>
              <w:rPr>
                <w:rFonts w:ascii="Times New Roman" w:hAnsi="Times New Roman" w:eastAsia="Calibri" w:cs="Times New Roman"/>
                <w:b w:val="0"/>
                <w:bCs w:val="0"/>
                <w:kern w:val="0"/>
                <w:sz w:val="24"/>
                <w:szCs w:val="24"/>
                <w:lang w:val="en-US" w:eastAsia="en-IN" w:bidi="hi-IN"/>
                <w14:ligatures w14:val="none"/>
              </w:rPr>
            </w:pPr>
          </w:p>
        </w:tc>
        <w:tc>
          <w:tcPr>
            <w:tcW w:w="270" w:type="pct"/>
            <w:tcBorders>
              <w:top w:val="single" w:color="auto" w:sz="4" w:space="0"/>
              <w:left w:val="nil"/>
              <w:bottom w:val="single" w:color="auto" w:sz="4" w:space="0"/>
              <w:right w:val="nil"/>
            </w:tcBorders>
            <w:shd w:val="clear" w:color="auto" w:fill="auto"/>
          </w:tcPr>
          <w:p w14:paraId="7DC90E6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2019</w:t>
            </w:r>
          </w:p>
        </w:tc>
        <w:tc>
          <w:tcPr>
            <w:tcW w:w="270" w:type="pct"/>
            <w:tcBorders>
              <w:top w:val="single" w:color="auto" w:sz="4" w:space="0"/>
              <w:left w:val="nil"/>
              <w:bottom w:val="single" w:color="auto" w:sz="4" w:space="0"/>
              <w:right w:val="nil"/>
            </w:tcBorders>
            <w:shd w:val="clear" w:color="auto" w:fill="auto"/>
          </w:tcPr>
          <w:p w14:paraId="253A2C9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2020</w:t>
            </w:r>
          </w:p>
        </w:tc>
        <w:tc>
          <w:tcPr>
            <w:tcW w:w="270" w:type="pct"/>
            <w:tcBorders>
              <w:top w:val="single" w:color="auto" w:sz="4" w:space="0"/>
              <w:left w:val="nil"/>
              <w:bottom w:val="single" w:color="auto" w:sz="4" w:space="0"/>
              <w:right w:val="nil"/>
            </w:tcBorders>
            <w:shd w:val="clear" w:color="auto" w:fill="auto"/>
          </w:tcPr>
          <w:p w14:paraId="43CE102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2019</w:t>
            </w:r>
          </w:p>
        </w:tc>
        <w:tc>
          <w:tcPr>
            <w:tcW w:w="270" w:type="pct"/>
            <w:tcBorders>
              <w:top w:val="single" w:color="auto" w:sz="4" w:space="0"/>
              <w:left w:val="nil"/>
              <w:bottom w:val="single" w:color="auto" w:sz="4" w:space="0"/>
              <w:right w:val="nil"/>
            </w:tcBorders>
            <w:shd w:val="clear" w:color="auto" w:fill="auto"/>
          </w:tcPr>
          <w:p w14:paraId="534E537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2020</w:t>
            </w:r>
          </w:p>
        </w:tc>
        <w:tc>
          <w:tcPr>
            <w:tcW w:w="270" w:type="pct"/>
            <w:tcBorders>
              <w:top w:val="single" w:color="auto" w:sz="4" w:space="0"/>
              <w:left w:val="nil"/>
              <w:bottom w:val="single" w:color="auto" w:sz="4" w:space="0"/>
              <w:right w:val="nil"/>
            </w:tcBorders>
            <w:shd w:val="clear" w:color="auto" w:fill="auto"/>
          </w:tcPr>
          <w:p w14:paraId="7EE548B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2019</w:t>
            </w:r>
          </w:p>
        </w:tc>
        <w:tc>
          <w:tcPr>
            <w:tcW w:w="270" w:type="pct"/>
            <w:tcBorders>
              <w:top w:val="single" w:color="auto" w:sz="4" w:space="0"/>
              <w:left w:val="nil"/>
              <w:bottom w:val="single" w:color="auto" w:sz="4" w:space="0"/>
              <w:right w:val="nil"/>
            </w:tcBorders>
            <w:shd w:val="clear" w:color="auto" w:fill="auto"/>
          </w:tcPr>
          <w:p w14:paraId="3D233C5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2020</w:t>
            </w:r>
          </w:p>
        </w:tc>
        <w:tc>
          <w:tcPr>
            <w:tcW w:w="270" w:type="pct"/>
            <w:tcBorders>
              <w:top w:val="single" w:color="auto" w:sz="4" w:space="0"/>
              <w:left w:val="nil"/>
              <w:bottom w:val="single" w:color="auto" w:sz="4" w:space="0"/>
              <w:right w:val="nil"/>
            </w:tcBorders>
            <w:shd w:val="clear" w:color="auto" w:fill="auto"/>
          </w:tcPr>
          <w:p w14:paraId="0BCEC7B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2019</w:t>
            </w:r>
          </w:p>
        </w:tc>
        <w:tc>
          <w:tcPr>
            <w:tcW w:w="270" w:type="pct"/>
            <w:tcBorders>
              <w:top w:val="single" w:color="auto" w:sz="4" w:space="0"/>
              <w:left w:val="nil"/>
              <w:bottom w:val="single" w:color="auto" w:sz="4" w:space="0"/>
              <w:right w:val="nil"/>
            </w:tcBorders>
            <w:shd w:val="clear" w:color="auto" w:fill="auto"/>
          </w:tcPr>
          <w:p w14:paraId="16D0D03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2020</w:t>
            </w:r>
          </w:p>
        </w:tc>
        <w:tc>
          <w:tcPr>
            <w:tcW w:w="270" w:type="pct"/>
            <w:tcBorders>
              <w:top w:val="single" w:color="auto" w:sz="4" w:space="0"/>
              <w:left w:val="nil"/>
              <w:bottom w:val="single" w:color="auto" w:sz="4" w:space="0"/>
              <w:right w:val="nil"/>
            </w:tcBorders>
            <w:shd w:val="clear" w:color="auto" w:fill="auto"/>
          </w:tcPr>
          <w:p w14:paraId="63CF7BF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2019</w:t>
            </w:r>
          </w:p>
        </w:tc>
        <w:tc>
          <w:tcPr>
            <w:tcW w:w="270" w:type="pct"/>
            <w:tcBorders>
              <w:top w:val="single" w:color="auto" w:sz="4" w:space="0"/>
              <w:left w:val="nil"/>
              <w:bottom w:val="single" w:color="auto" w:sz="4" w:space="0"/>
              <w:right w:val="nil"/>
            </w:tcBorders>
            <w:shd w:val="clear" w:color="auto" w:fill="auto"/>
          </w:tcPr>
          <w:p w14:paraId="29D33A8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2020</w:t>
            </w:r>
          </w:p>
        </w:tc>
        <w:tc>
          <w:tcPr>
            <w:tcW w:w="270" w:type="pct"/>
            <w:tcBorders>
              <w:top w:val="single" w:color="auto" w:sz="4" w:space="0"/>
              <w:left w:val="nil"/>
              <w:bottom w:val="single" w:color="auto" w:sz="4" w:space="0"/>
              <w:right w:val="nil"/>
            </w:tcBorders>
            <w:shd w:val="clear" w:color="auto" w:fill="auto"/>
          </w:tcPr>
          <w:p w14:paraId="2778FC5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2019</w:t>
            </w:r>
          </w:p>
        </w:tc>
        <w:tc>
          <w:tcPr>
            <w:tcW w:w="270" w:type="pct"/>
            <w:tcBorders>
              <w:top w:val="single" w:color="auto" w:sz="4" w:space="0"/>
              <w:left w:val="nil"/>
              <w:bottom w:val="single" w:color="auto" w:sz="4" w:space="0"/>
              <w:right w:val="nil"/>
            </w:tcBorders>
            <w:shd w:val="clear" w:color="auto" w:fill="auto"/>
          </w:tcPr>
          <w:p w14:paraId="6774C73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2020</w:t>
            </w:r>
          </w:p>
        </w:tc>
      </w:tr>
      <w:tr w14:paraId="6144219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5000" w:type="pct"/>
            <w:gridSpan w:val="13"/>
            <w:tcBorders>
              <w:top w:val="single" w:color="auto" w:sz="4" w:space="0"/>
              <w:left w:val="nil"/>
              <w:bottom w:val="single" w:color="auto" w:sz="4" w:space="0"/>
              <w:right w:val="nil"/>
              <w:tl2br w:val="nil"/>
              <w:tr2bl w:val="nil"/>
            </w:tcBorders>
            <w:shd w:val="clear" w:color="auto" w:fill="auto"/>
          </w:tcPr>
          <w:p w14:paraId="14DF9AD9">
            <w:pPr>
              <w:spacing w:before="40" w:after="40" w:line="240" w:lineRule="auto"/>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Integrated Nitrogen Management</w:t>
            </w:r>
          </w:p>
        </w:tc>
      </w:tr>
      <w:tr w14:paraId="6C47163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single" w:color="auto" w:sz="4" w:space="0"/>
              <w:left w:val="nil"/>
              <w:bottom w:val="nil"/>
              <w:right w:val="nil"/>
              <w:tl2br w:val="nil"/>
              <w:tr2bl w:val="nil"/>
            </w:tcBorders>
            <w:shd w:val="clear" w:color="auto" w:fill="auto"/>
          </w:tcPr>
          <w:p w14:paraId="0DCA7960">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0 </w:t>
            </w:r>
            <w:r>
              <w:rPr>
                <w:rFonts w:ascii="Times New Roman" w:hAnsi="Times New Roman" w:eastAsia="Calibri" w:cs="Times New Roman"/>
                <w:b w:val="0"/>
                <w:bCs w:val="0"/>
                <w:kern w:val="0"/>
                <w:sz w:val="20"/>
                <w:szCs w:val="24"/>
                <w:lang w:val="en-US" w:eastAsia="en-IN" w:bidi="hi-IN"/>
                <w14:ligatures w14:val="none"/>
              </w:rPr>
              <w:t xml:space="preserve">- </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Control (RDF of P</w:t>
            </w:r>
            <w:r>
              <w:rPr>
                <w:rFonts w:ascii="Times New Roman" w:hAnsi="Times New Roman" w:eastAsia="Calibri" w:cs="Times New Roman"/>
                <w:b w:val="0"/>
                <w:bCs w:val="0"/>
                <w:kern w:val="0"/>
                <w:sz w:val="20"/>
                <w:szCs w:val="24"/>
                <w:vertAlign w:val="subscript"/>
                <w:lang w:val="en-US" w:eastAsia="en-IN" w:bidi="hi-IN"/>
                <w14:ligatures w14:val="none"/>
              </w:rPr>
              <w:t>2</w:t>
            </w:r>
            <w:r>
              <w:rPr>
                <w:rFonts w:ascii="Times New Roman" w:hAnsi="Times New Roman" w:eastAsia="Calibri" w:cs="Times New Roman"/>
                <w:b w:val="0"/>
                <w:bCs w:val="0"/>
                <w:kern w:val="0"/>
                <w:sz w:val="20"/>
                <w:szCs w:val="24"/>
                <w:lang w:val="en-US" w:eastAsia="en-IN" w:bidi="hi-IN"/>
                <w14:ligatures w14:val="none"/>
              </w:rPr>
              <w:t>O</w:t>
            </w:r>
            <w:r>
              <w:rPr>
                <w:rFonts w:ascii="Times New Roman" w:hAnsi="Times New Roman" w:eastAsia="Calibri" w:cs="Times New Roman"/>
                <w:b w:val="0"/>
                <w:bCs w:val="0"/>
                <w:kern w:val="0"/>
                <w:sz w:val="20"/>
                <w:szCs w:val="24"/>
                <w:vertAlign w:val="subscript"/>
                <w:lang w:val="en-US" w:eastAsia="en-IN" w:bidi="hi-IN"/>
                <w14:ligatures w14:val="none"/>
              </w:rPr>
              <w:t>5</w:t>
            </w:r>
            <w:r>
              <w:rPr>
                <w:rFonts w:ascii="Times New Roman" w:hAnsi="Times New Roman" w:eastAsia="Calibri" w:cs="Times New Roman"/>
                <w:b w:val="0"/>
                <w:bCs w:val="0"/>
                <w:kern w:val="0"/>
                <w:sz w:val="20"/>
                <w:szCs w:val="24"/>
                <w:lang w:val="en-US" w:eastAsia="en-IN" w:bidi="hi-IN"/>
                <w14:ligatures w14:val="none"/>
              </w:rPr>
              <w:t xml:space="preserve"> and K</w:t>
            </w:r>
            <w:r>
              <w:rPr>
                <w:rFonts w:ascii="Times New Roman" w:hAnsi="Times New Roman" w:eastAsia="Calibri" w:cs="Times New Roman"/>
                <w:b w:val="0"/>
                <w:bCs w:val="0"/>
                <w:kern w:val="0"/>
                <w:sz w:val="20"/>
                <w:szCs w:val="24"/>
                <w:vertAlign w:val="subscript"/>
                <w:lang w:val="en-US" w:eastAsia="en-IN" w:bidi="hi-IN"/>
                <w14:ligatures w14:val="none"/>
              </w:rPr>
              <w:t>2</w:t>
            </w:r>
            <w:r>
              <w:rPr>
                <w:rFonts w:ascii="Times New Roman" w:hAnsi="Times New Roman" w:eastAsia="Calibri" w:cs="Times New Roman"/>
                <w:b w:val="0"/>
                <w:bCs w:val="0"/>
                <w:kern w:val="0"/>
                <w:sz w:val="20"/>
                <w:szCs w:val="24"/>
                <w:lang w:val="en-US" w:eastAsia="en-IN" w:bidi="hi-IN"/>
                <w14:ligatures w14:val="none"/>
              </w:rPr>
              <w:t>O)</w:t>
            </w:r>
          </w:p>
        </w:tc>
        <w:tc>
          <w:tcPr>
            <w:tcW w:w="270" w:type="pct"/>
            <w:tcBorders>
              <w:top w:val="single" w:color="auto" w:sz="4" w:space="0"/>
              <w:left w:val="nil"/>
              <w:bottom w:val="nil"/>
              <w:right w:val="nil"/>
            </w:tcBorders>
            <w:shd w:val="clear" w:color="auto" w:fill="auto"/>
          </w:tcPr>
          <w:p w14:paraId="2B9F1C9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29.31</w:t>
            </w:r>
          </w:p>
        </w:tc>
        <w:tc>
          <w:tcPr>
            <w:tcW w:w="270" w:type="pct"/>
            <w:tcBorders>
              <w:top w:val="single" w:color="auto" w:sz="4" w:space="0"/>
              <w:left w:val="nil"/>
              <w:bottom w:val="nil"/>
              <w:right w:val="nil"/>
            </w:tcBorders>
            <w:shd w:val="clear" w:color="auto" w:fill="auto"/>
          </w:tcPr>
          <w:p w14:paraId="12186FA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34.76</w:t>
            </w:r>
          </w:p>
        </w:tc>
        <w:tc>
          <w:tcPr>
            <w:tcW w:w="270" w:type="pct"/>
            <w:tcBorders>
              <w:top w:val="single" w:color="auto" w:sz="4" w:space="0"/>
              <w:left w:val="nil"/>
              <w:bottom w:val="nil"/>
              <w:right w:val="nil"/>
            </w:tcBorders>
            <w:shd w:val="clear" w:color="auto" w:fill="auto"/>
          </w:tcPr>
          <w:p w14:paraId="4E7F0B6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24.85</w:t>
            </w:r>
          </w:p>
        </w:tc>
        <w:tc>
          <w:tcPr>
            <w:tcW w:w="270" w:type="pct"/>
            <w:tcBorders>
              <w:top w:val="single" w:color="auto" w:sz="4" w:space="0"/>
              <w:left w:val="nil"/>
              <w:bottom w:val="nil"/>
              <w:right w:val="nil"/>
            </w:tcBorders>
            <w:shd w:val="clear" w:color="auto" w:fill="auto"/>
          </w:tcPr>
          <w:p w14:paraId="7AE4D2F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30.13</w:t>
            </w:r>
          </w:p>
        </w:tc>
        <w:tc>
          <w:tcPr>
            <w:tcW w:w="270" w:type="pct"/>
            <w:tcBorders>
              <w:top w:val="single" w:color="auto" w:sz="4" w:space="0"/>
              <w:left w:val="nil"/>
              <w:bottom w:val="nil"/>
              <w:right w:val="nil"/>
            </w:tcBorders>
            <w:shd w:val="clear" w:color="auto" w:fill="auto"/>
          </w:tcPr>
          <w:p w14:paraId="377F480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3.82</w:t>
            </w:r>
          </w:p>
        </w:tc>
        <w:tc>
          <w:tcPr>
            <w:tcW w:w="270" w:type="pct"/>
            <w:tcBorders>
              <w:top w:val="single" w:color="auto" w:sz="4" w:space="0"/>
              <w:left w:val="nil"/>
              <w:bottom w:val="nil"/>
              <w:right w:val="nil"/>
            </w:tcBorders>
            <w:shd w:val="clear" w:color="auto" w:fill="auto"/>
          </w:tcPr>
          <w:p w14:paraId="28FBABE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4.39</w:t>
            </w:r>
          </w:p>
        </w:tc>
        <w:tc>
          <w:tcPr>
            <w:tcW w:w="270" w:type="pct"/>
            <w:tcBorders>
              <w:top w:val="single" w:color="auto" w:sz="4" w:space="0"/>
              <w:left w:val="nil"/>
              <w:bottom w:val="nil"/>
              <w:right w:val="nil"/>
            </w:tcBorders>
            <w:shd w:val="clear" w:color="auto" w:fill="auto"/>
          </w:tcPr>
          <w:p w14:paraId="59FDC76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5.45</w:t>
            </w:r>
          </w:p>
        </w:tc>
        <w:tc>
          <w:tcPr>
            <w:tcW w:w="270" w:type="pct"/>
            <w:tcBorders>
              <w:top w:val="single" w:color="auto" w:sz="4" w:space="0"/>
              <w:left w:val="nil"/>
              <w:bottom w:val="nil"/>
              <w:right w:val="nil"/>
            </w:tcBorders>
            <w:shd w:val="clear" w:color="auto" w:fill="auto"/>
          </w:tcPr>
          <w:p w14:paraId="77D8A7F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6.41</w:t>
            </w:r>
          </w:p>
        </w:tc>
        <w:tc>
          <w:tcPr>
            <w:tcW w:w="270" w:type="pct"/>
            <w:tcBorders>
              <w:top w:val="single" w:color="auto" w:sz="4" w:space="0"/>
              <w:left w:val="nil"/>
              <w:bottom w:val="nil"/>
              <w:right w:val="nil"/>
            </w:tcBorders>
            <w:shd w:val="clear" w:color="auto" w:fill="auto"/>
          </w:tcPr>
          <w:p w14:paraId="4DB19DB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32.82</w:t>
            </w:r>
          </w:p>
        </w:tc>
        <w:tc>
          <w:tcPr>
            <w:tcW w:w="270" w:type="pct"/>
            <w:tcBorders>
              <w:top w:val="single" w:color="auto" w:sz="4" w:space="0"/>
              <w:left w:val="nil"/>
              <w:bottom w:val="nil"/>
              <w:right w:val="nil"/>
            </w:tcBorders>
            <w:shd w:val="clear" w:color="auto" w:fill="auto"/>
          </w:tcPr>
          <w:p w14:paraId="31FCDC7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40.38</w:t>
            </w:r>
          </w:p>
        </w:tc>
        <w:tc>
          <w:tcPr>
            <w:tcW w:w="270" w:type="pct"/>
            <w:tcBorders>
              <w:top w:val="single" w:color="auto" w:sz="4" w:space="0"/>
              <w:left w:val="nil"/>
              <w:bottom w:val="nil"/>
              <w:right w:val="nil"/>
            </w:tcBorders>
            <w:shd w:val="clear" w:color="auto" w:fill="auto"/>
          </w:tcPr>
          <w:p w14:paraId="4CA35ACF">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31.82</w:t>
            </w:r>
          </w:p>
        </w:tc>
        <w:tc>
          <w:tcPr>
            <w:tcW w:w="270" w:type="pct"/>
            <w:tcBorders>
              <w:top w:val="single" w:color="auto" w:sz="4" w:space="0"/>
              <w:left w:val="nil"/>
              <w:bottom w:val="nil"/>
              <w:right w:val="nil"/>
            </w:tcBorders>
            <w:shd w:val="clear" w:color="auto" w:fill="auto"/>
          </w:tcPr>
          <w:p w14:paraId="31DFA84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36.25</w:t>
            </w:r>
          </w:p>
        </w:tc>
      </w:tr>
      <w:tr w14:paraId="399D6D9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nil"/>
              <w:right w:val="nil"/>
              <w:tl2br w:val="nil"/>
              <w:tr2bl w:val="nil"/>
            </w:tcBorders>
            <w:shd w:val="clear" w:color="auto" w:fill="auto"/>
          </w:tcPr>
          <w:p w14:paraId="7E2C09D4">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1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RDN (150-60-60 kg NPK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w:t>
            </w:r>
          </w:p>
        </w:tc>
        <w:tc>
          <w:tcPr>
            <w:tcW w:w="270" w:type="pct"/>
            <w:tcBorders>
              <w:top w:val="nil"/>
              <w:left w:val="nil"/>
              <w:bottom w:val="nil"/>
              <w:right w:val="nil"/>
            </w:tcBorders>
            <w:shd w:val="clear" w:color="auto" w:fill="auto"/>
          </w:tcPr>
          <w:p w14:paraId="7A81FFB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35.56</w:t>
            </w:r>
          </w:p>
        </w:tc>
        <w:tc>
          <w:tcPr>
            <w:tcW w:w="270" w:type="pct"/>
            <w:tcBorders>
              <w:top w:val="nil"/>
              <w:left w:val="nil"/>
              <w:bottom w:val="nil"/>
              <w:right w:val="nil"/>
            </w:tcBorders>
            <w:shd w:val="clear" w:color="auto" w:fill="auto"/>
          </w:tcPr>
          <w:p w14:paraId="683C6A3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42.71</w:t>
            </w:r>
          </w:p>
        </w:tc>
        <w:tc>
          <w:tcPr>
            <w:tcW w:w="270" w:type="pct"/>
            <w:tcBorders>
              <w:top w:val="nil"/>
              <w:left w:val="nil"/>
              <w:bottom w:val="nil"/>
              <w:right w:val="nil"/>
            </w:tcBorders>
            <w:shd w:val="clear" w:color="auto" w:fill="auto"/>
          </w:tcPr>
          <w:p w14:paraId="70C2E21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29.89</w:t>
            </w:r>
          </w:p>
        </w:tc>
        <w:tc>
          <w:tcPr>
            <w:tcW w:w="270" w:type="pct"/>
            <w:tcBorders>
              <w:top w:val="nil"/>
              <w:left w:val="nil"/>
              <w:bottom w:val="nil"/>
              <w:right w:val="nil"/>
            </w:tcBorders>
            <w:shd w:val="clear" w:color="auto" w:fill="auto"/>
          </w:tcPr>
          <w:p w14:paraId="7F689C1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37.47</w:t>
            </w:r>
          </w:p>
        </w:tc>
        <w:tc>
          <w:tcPr>
            <w:tcW w:w="270" w:type="pct"/>
            <w:tcBorders>
              <w:top w:val="nil"/>
              <w:left w:val="nil"/>
              <w:bottom w:val="nil"/>
              <w:right w:val="nil"/>
            </w:tcBorders>
            <w:shd w:val="clear" w:color="auto" w:fill="auto"/>
          </w:tcPr>
          <w:p w14:paraId="6B38210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4.64</w:t>
            </w:r>
          </w:p>
        </w:tc>
        <w:tc>
          <w:tcPr>
            <w:tcW w:w="270" w:type="pct"/>
            <w:tcBorders>
              <w:top w:val="nil"/>
              <w:left w:val="nil"/>
              <w:bottom w:val="nil"/>
              <w:right w:val="nil"/>
            </w:tcBorders>
            <w:shd w:val="clear" w:color="auto" w:fill="auto"/>
          </w:tcPr>
          <w:p w14:paraId="6356DB5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5.35</w:t>
            </w:r>
          </w:p>
        </w:tc>
        <w:tc>
          <w:tcPr>
            <w:tcW w:w="270" w:type="pct"/>
            <w:tcBorders>
              <w:top w:val="nil"/>
              <w:left w:val="nil"/>
              <w:bottom w:val="nil"/>
              <w:right w:val="nil"/>
            </w:tcBorders>
            <w:shd w:val="clear" w:color="auto" w:fill="auto"/>
          </w:tcPr>
          <w:p w14:paraId="1629401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6.60</w:t>
            </w:r>
          </w:p>
        </w:tc>
        <w:tc>
          <w:tcPr>
            <w:tcW w:w="270" w:type="pct"/>
            <w:tcBorders>
              <w:top w:val="nil"/>
              <w:left w:val="nil"/>
              <w:bottom w:val="nil"/>
              <w:right w:val="nil"/>
            </w:tcBorders>
            <w:shd w:val="clear" w:color="auto" w:fill="auto"/>
          </w:tcPr>
          <w:p w14:paraId="478CA7F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7.91</w:t>
            </w:r>
          </w:p>
        </w:tc>
        <w:tc>
          <w:tcPr>
            <w:tcW w:w="270" w:type="pct"/>
            <w:tcBorders>
              <w:top w:val="nil"/>
              <w:left w:val="nil"/>
              <w:bottom w:val="nil"/>
              <w:right w:val="nil"/>
            </w:tcBorders>
            <w:shd w:val="clear" w:color="auto" w:fill="auto"/>
          </w:tcPr>
          <w:p w14:paraId="7A159BD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39.21</w:t>
            </w:r>
          </w:p>
        </w:tc>
        <w:tc>
          <w:tcPr>
            <w:tcW w:w="270" w:type="pct"/>
            <w:tcBorders>
              <w:top w:val="nil"/>
              <w:left w:val="nil"/>
              <w:bottom w:val="nil"/>
              <w:right w:val="nil"/>
            </w:tcBorders>
            <w:shd w:val="clear" w:color="auto" w:fill="auto"/>
          </w:tcPr>
          <w:p w14:paraId="2A08FF9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49.56</w:t>
            </w:r>
          </w:p>
        </w:tc>
        <w:tc>
          <w:tcPr>
            <w:tcW w:w="270" w:type="pct"/>
            <w:tcBorders>
              <w:top w:val="nil"/>
              <w:left w:val="nil"/>
              <w:bottom w:val="nil"/>
              <w:right w:val="nil"/>
            </w:tcBorders>
            <w:shd w:val="clear" w:color="auto" w:fill="auto"/>
          </w:tcPr>
          <w:p w14:paraId="364143C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37.32</w:t>
            </w:r>
          </w:p>
        </w:tc>
        <w:tc>
          <w:tcPr>
            <w:tcW w:w="270" w:type="pct"/>
            <w:tcBorders>
              <w:top w:val="nil"/>
              <w:left w:val="nil"/>
              <w:bottom w:val="nil"/>
              <w:right w:val="nil"/>
            </w:tcBorders>
            <w:shd w:val="clear" w:color="auto" w:fill="auto"/>
          </w:tcPr>
          <w:p w14:paraId="00D2FF6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44.91</w:t>
            </w:r>
          </w:p>
        </w:tc>
      </w:tr>
      <w:tr w14:paraId="1A484A5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nil"/>
              <w:right w:val="nil"/>
              <w:tl2br w:val="nil"/>
              <w:tr2bl w:val="nil"/>
            </w:tcBorders>
            <w:shd w:val="clear" w:color="auto" w:fill="auto"/>
          </w:tcPr>
          <w:p w14:paraId="6781D26E">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2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75% RDN (Inorganic) +25% FYM</w:t>
            </w:r>
          </w:p>
        </w:tc>
        <w:tc>
          <w:tcPr>
            <w:tcW w:w="270" w:type="pct"/>
            <w:tcBorders>
              <w:top w:val="nil"/>
              <w:left w:val="nil"/>
              <w:bottom w:val="nil"/>
              <w:right w:val="nil"/>
            </w:tcBorders>
            <w:shd w:val="clear" w:color="auto" w:fill="auto"/>
          </w:tcPr>
          <w:p w14:paraId="7A72C171">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40.35</w:t>
            </w:r>
          </w:p>
        </w:tc>
        <w:tc>
          <w:tcPr>
            <w:tcW w:w="270" w:type="pct"/>
            <w:tcBorders>
              <w:top w:val="nil"/>
              <w:left w:val="nil"/>
              <w:bottom w:val="nil"/>
              <w:right w:val="nil"/>
            </w:tcBorders>
            <w:shd w:val="clear" w:color="auto" w:fill="auto"/>
          </w:tcPr>
          <w:p w14:paraId="1F73F31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48.69</w:t>
            </w:r>
          </w:p>
        </w:tc>
        <w:tc>
          <w:tcPr>
            <w:tcW w:w="270" w:type="pct"/>
            <w:tcBorders>
              <w:top w:val="nil"/>
              <w:left w:val="nil"/>
              <w:bottom w:val="nil"/>
              <w:right w:val="nil"/>
            </w:tcBorders>
            <w:shd w:val="clear" w:color="auto" w:fill="auto"/>
          </w:tcPr>
          <w:p w14:paraId="3E4116D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33.96</w:t>
            </w:r>
          </w:p>
        </w:tc>
        <w:tc>
          <w:tcPr>
            <w:tcW w:w="270" w:type="pct"/>
            <w:tcBorders>
              <w:top w:val="nil"/>
              <w:left w:val="nil"/>
              <w:bottom w:val="nil"/>
              <w:right w:val="nil"/>
            </w:tcBorders>
            <w:shd w:val="clear" w:color="auto" w:fill="auto"/>
          </w:tcPr>
          <w:p w14:paraId="62150D8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42.91</w:t>
            </w:r>
          </w:p>
        </w:tc>
        <w:tc>
          <w:tcPr>
            <w:tcW w:w="270" w:type="pct"/>
            <w:tcBorders>
              <w:top w:val="nil"/>
              <w:left w:val="nil"/>
              <w:bottom w:val="nil"/>
              <w:right w:val="nil"/>
            </w:tcBorders>
            <w:shd w:val="clear" w:color="auto" w:fill="auto"/>
          </w:tcPr>
          <w:p w14:paraId="5CB466A1">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5.31</w:t>
            </w:r>
          </w:p>
        </w:tc>
        <w:tc>
          <w:tcPr>
            <w:tcW w:w="270" w:type="pct"/>
            <w:tcBorders>
              <w:top w:val="nil"/>
              <w:left w:val="nil"/>
              <w:bottom w:val="nil"/>
              <w:right w:val="nil"/>
            </w:tcBorders>
            <w:shd w:val="clear" w:color="auto" w:fill="auto"/>
          </w:tcPr>
          <w:p w14:paraId="0FD21AF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6.05</w:t>
            </w:r>
          </w:p>
        </w:tc>
        <w:tc>
          <w:tcPr>
            <w:tcW w:w="270" w:type="pct"/>
            <w:tcBorders>
              <w:top w:val="nil"/>
              <w:left w:val="nil"/>
              <w:bottom w:val="nil"/>
              <w:right w:val="nil"/>
            </w:tcBorders>
            <w:shd w:val="clear" w:color="auto" w:fill="auto"/>
          </w:tcPr>
          <w:p w14:paraId="0A620FF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7.56</w:t>
            </w:r>
          </w:p>
        </w:tc>
        <w:tc>
          <w:tcPr>
            <w:tcW w:w="270" w:type="pct"/>
            <w:tcBorders>
              <w:top w:val="nil"/>
              <w:left w:val="nil"/>
              <w:bottom w:val="nil"/>
              <w:right w:val="nil"/>
            </w:tcBorders>
            <w:shd w:val="clear" w:color="auto" w:fill="auto"/>
          </w:tcPr>
          <w:p w14:paraId="6F0C199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9.11</w:t>
            </w:r>
          </w:p>
        </w:tc>
        <w:tc>
          <w:tcPr>
            <w:tcW w:w="270" w:type="pct"/>
            <w:tcBorders>
              <w:top w:val="nil"/>
              <w:left w:val="nil"/>
              <w:bottom w:val="nil"/>
              <w:right w:val="nil"/>
            </w:tcBorders>
            <w:shd w:val="clear" w:color="auto" w:fill="auto"/>
          </w:tcPr>
          <w:p w14:paraId="3E3F07B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44.45</w:t>
            </w:r>
          </w:p>
        </w:tc>
        <w:tc>
          <w:tcPr>
            <w:tcW w:w="270" w:type="pct"/>
            <w:tcBorders>
              <w:top w:val="nil"/>
              <w:left w:val="nil"/>
              <w:bottom w:val="nil"/>
              <w:right w:val="nil"/>
            </w:tcBorders>
            <w:shd w:val="clear" w:color="auto" w:fill="auto"/>
          </w:tcPr>
          <w:p w14:paraId="1318623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56.66</w:t>
            </w:r>
          </w:p>
        </w:tc>
        <w:tc>
          <w:tcPr>
            <w:tcW w:w="270" w:type="pct"/>
            <w:tcBorders>
              <w:top w:val="nil"/>
              <w:left w:val="nil"/>
              <w:bottom w:val="nil"/>
              <w:right w:val="nil"/>
            </w:tcBorders>
            <w:shd w:val="clear" w:color="auto" w:fill="auto"/>
          </w:tcPr>
          <w:p w14:paraId="297D4E5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41.93</w:t>
            </w:r>
          </w:p>
        </w:tc>
        <w:tc>
          <w:tcPr>
            <w:tcW w:w="270" w:type="pct"/>
            <w:tcBorders>
              <w:top w:val="nil"/>
              <w:left w:val="nil"/>
              <w:bottom w:val="nil"/>
              <w:right w:val="nil"/>
            </w:tcBorders>
            <w:shd w:val="clear" w:color="auto" w:fill="auto"/>
          </w:tcPr>
          <w:p w14:paraId="473368C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51.49</w:t>
            </w:r>
          </w:p>
        </w:tc>
      </w:tr>
      <w:tr w14:paraId="449DFE9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single" w:color="auto" w:sz="4" w:space="0"/>
              <w:right w:val="nil"/>
              <w:tl2br w:val="nil"/>
              <w:tr2bl w:val="nil"/>
            </w:tcBorders>
            <w:shd w:val="clear" w:color="auto" w:fill="auto"/>
          </w:tcPr>
          <w:p w14:paraId="62593C47">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N</w:t>
            </w:r>
            <w:r>
              <w:rPr>
                <w:rFonts w:ascii="Times New Roman" w:hAnsi="Times New Roman" w:eastAsia="Calibri" w:cs="Times New Roman"/>
                <w:b w:val="0"/>
                <w:bCs w:val="0"/>
                <w:kern w:val="0"/>
                <w:sz w:val="20"/>
                <w:szCs w:val="24"/>
                <w:vertAlign w:val="subscript"/>
                <w:lang w:val="en-US" w:eastAsia="en-IN" w:bidi="hi-IN"/>
                <w14:ligatures w14:val="none"/>
              </w:rPr>
              <w:t xml:space="preserve">3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75% RDN (Inorganic)+25% Vermicompost</w:t>
            </w:r>
          </w:p>
        </w:tc>
        <w:tc>
          <w:tcPr>
            <w:tcW w:w="270" w:type="pct"/>
            <w:tcBorders>
              <w:top w:val="nil"/>
              <w:left w:val="nil"/>
              <w:bottom w:val="single" w:color="auto" w:sz="4" w:space="0"/>
              <w:right w:val="nil"/>
            </w:tcBorders>
            <w:shd w:val="clear" w:color="auto" w:fill="auto"/>
          </w:tcPr>
          <w:p w14:paraId="146A6AF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37.18</w:t>
            </w:r>
          </w:p>
        </w:tc>
        <w:tc>
          <w:tcPr>
            <w:tcW w:w="270" w:type="pct"/>
            <w:tcBorders>
              <w:top w:val="nil"/>
              <w:left w:val="nil"/>
              <w:bottom w:val="single" w:color="auto" w:sz="4" w:space="0"/>
              <w:right w:val="nil"/>
            </w:tcBorders>
            <w:shd w:val="clear" w:color="auto" w:fill="auto"/>
          </w:tcPr>
          <w:p w14:paraId="5196C3F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45.69</w:t>
            </w:r>
          </w:p>
        </w:tc>
        <w:tc>
          <w:tcPr>
            <w:tcW w:w="270" w:type="pct"/>
            <w:tcBorders>
              <w:top w:val="nil"/>
              <w:left w:val="nil"/>
              <w:bottom w:val="single" w:color="auto" w:sz="4" w:space="0"/>
              <w:right w:val="nil"/>
            </w:tcBorders>
            <w:shd w:val="clear" w:color="auto" w:fill="auto"/>
          </w:tcPr>
          <w:p w14:paraId="1FE9086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31.31</w:t>
            </w:r>
          </w:p>
        </w:tc>
        <w:tc>
          <w:tcPr>
            <w:tcW w:w="270" w:type="pct"/>
            <w:tcBorders>
              <w:top w:val="nil"/>
              <w:left w:val="nil"/>
              <w:bottom w:val="single" w:color="auto" w:sz="4" w:space="0"/>
              <w:right w:val="nil"/>
            </w:tcBorders>
            <w:shd w:val="clear" w:color="auto" w:fill="auto"/>
          </w:tcPr>
          <w:p w14:paraId="49F4A5FF">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40.14</w:t>
            </w:r>
          </w:p>
        </w:tc>
        <w:tc>
          <w:tcPr>
            <w:tcW w:w="270" w:type="pct"/>
            <w:tcBorders>
              <w:top w:val="nil"/>
              <w:left w:val="nil"/>
              <w:bottom w:val="single" w:color="auto" w:sz="4" w:space="0"/>
              <w:right w:val="nil"/>
            </w:tcBorders>
            <w:shd w:val="clear" w:color="auto" w:fill="auto"/>
          </w:tcPr>
          <w:p w14:paraId="4990F92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4.97</w:t>
            </w:r>
          </w:p>
        </w:tc>
        <w:tc>
          <w:tcPr>
            <w:tcW w:w="270" w:type="pct"/>
            <w:tcBorders>
              <w:top w:val="nil"/>
              <w:left w:val="nil"/>
              <w:bottom w:val="single" w:color="auto" w:sz="4" w:space="0"/>
              <w:right w:val="nil"/>
            </w:tcBorders>
            <w:shd w:val="clear" w:color="auto" w:fill="auto"/>
          </w:tcPr>
          <w:p w14:paraId="59B3655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5.71</w:t>
            </w:r>
          </w:p>
        </w:tc>
        <w:tc>
          <w:tcPr>
            <w:tcW w:w="270" w:type="pct"/>
            <w:tcBorders>
              <w:top w:val="nil"/>
              <w:left w:val="nil"/>
              <w:bottom w:val="single" w:color="auto" w:sz="4" w:space="0"/>
              <w:right w:val="nil"/>
            </w:tcBorders>
            <w:shd w:val="clear" w:color="auto" w:fill="auto"/>
          </w:tcPr>
          <w:p w14:paraId="5243DDC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6.93</w:t>
            </w:r>
          </w:p>
        </w:tc>
        <w:tc>
          <w:tcPr>
            <w:tcW w:w="270" w:type="pct"/>
            <w:tcBorders>
              <w:top w:val="nil"/>
              <w:left w:val="nil"/>
              <w:bottom w:val="single" w:color="auto" w:sz="4" w:space="0"/>
              <w:right w:val="nil"/>
            </w:tcBorders>
            <w:shd w:val="clear" w:color="auto" w:fill="auto"/>
          </w:tcPr>
          <w:p w14:paraId="10A0CC7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8.60</w:t>
            </w:r>
          </w:p>
        </w:tc>
        <w:tc>
          <w:tcPr>
            <w:tcW w:w="270" w:type="pct"/>
            <w:tcBorders>
              <w:top w:val="nil"/>
              <w:left w:val="nil"/>
              <w:bottom w:val="single" w:color="auto" w:sz="4" w:space="0"/>
              <w:right w:val="nil"/>
            </w:tcBorders>
            <w:shd w:val="clear" w:color="auto" w:fill="auto"/>
          </w:tcPr>
          <w:p w14:paraId="03D1375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41.36</w:t>
            </w:r>
          </w:p>
        </w:tc>
        <w:tc>
          <w:tcPr>
            <w:tcW w:w="270" w:type="pct"/>
            <w:tcBorders>
              <w:top w:val="nil"/>
              <w:left w:val="nil"/>
              <w:bottom w:val="single" w:color="auto" w:sz="4" w:space="0"/>
              <w:right w:val="nil"/>
            </w:tcBorders>
            <w:shd w:val="clear" w:color="auto" w:fill="auto"/>
          </w:tcPr>
          <w:p w14:paraId="0C44E85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52.71</w:t>
            </w:r>
          </w:p>
        </w:tc>
        <w:tc>
          <w:tcPr>
            <w:tcW w:w="270" w:type="pct"/>
            <w:tcBorders>
              <w:top w:val="nil"/>
              <w:left w:val="nil"/>
              <w:bottom w:val="single" w:color="auto" w:sz="4" w:space="0"/>
              <w:right w:val="nil"/>
            </w:tcBorders>
            <w:shd w:val="clear" w:color="auto" w:fill="auto"/>
          </w:tcPr>
          <w:p w14:paraId="4A91FC0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39.26</w:t>
            </w:r>
          </w:p>
        </w:tc>
        <w:tc>
          <w:tcPr>
            <w:tcW w:w="270" w:type="pct"/>
            <w:tcBorders>
              <w:top w:val="nil"/>
              <w:left w:val="nil"/>
              <w:bottom w:val="single" w:color="auto" w:sz="4" w:space="0"/>
              <w:right w:val="nil"/>
            </w:tcBorders>
            <w:shd w:val="clear" w:color="auto" w:fill="auto"/>
          </w:tcPr>
          <w:p w14:paraId="5D7DF7F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48.29</w:t>
            </w:r>
          </w:p>
        </w:tc>
      </w:tr>
      <w:tr w14:paraId="05E332D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single" w:color="auto" w:sz="4" w:space="0"/>
              <w:left w:val="nil"/>
              <w:bottom w:val="nil"/>
              <w:right w:val="nil"/>
              <w:tl2br w:val="nil"/>
              <w:tr2bl w:val="nil"/>
            </w:tcBorders>
            <w:shd w:val="clear" w:color="auto" w:fill="auto"/>
          </w:tcPr>
          <w:p w14:paraId="7C3CD479">
            <w:pPr>
              <w:spacing w:before="40" w:after="40" w:line="240" w:lineRule="auto"/>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SEm±</w:t>
            </w:r>
          </w:p>
        </w:tc>
        <w:tc>
          <w:tcPr>
            <w:tcW w:w="270" w:type="pct"/>
            <w:tcBorders>
              <w:top w:val="single" w:color="auto" w:sz="4" w:space="0"/>
              <w:left w:val="nil"/>
              <w:bottom w:val="nil"/>
              <w:right w:val="nil"/>
            </w:tcBorders>
            <w:shd w:val="clear" w:color="auto" w:fill="auto"/>
          </w:tcPr>
          <w:p w14:paraId="44B01C3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1.28</w:t>
            </w:r>
          </w:p>
        </w:tc>
        <w:tc>
          <w:tcPr>
            <w:tcW w:w="270" w:type="pct"/>
            <w:tcBorders>
              <w:top w:val="single" w:color="auto" w:sz="4" w:space="0"/>
              <w:left w:val="nil"/>
              <w:bottom w:val="nil"/>
              <w:right w:val="nil"/>
            </w:tcBorders>
            <w:shd w:val="clear" w:color="auto" w:fill="auto"/>
          </w:tcPr>
          <w:p w14:paraId="333675E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1.72</w:t>
            </w:r>
          </w:p>
        </w:tc>
        <w:tc>
          <w:tcPr>
            <w:tcW w:w="270" w:type="pct"/>
            <w:tcBorders>
              <w:top w:val="single" w:color="auto" w:sz="4" w:space="0"/>
              <w:left w:val="nil"/>
              <w:bottom w:val="nil"/>
              <w:right w:val="nil"/>
            </w:tcBorders>
            <w:shd w:val="clear" w:color="auto" w:fill="auto"/>
          </w:tcPr>
          <w:p w14:paraId="4B56845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0.78</w:t>
            </w:r>
          </w:p>
        </w:tc>
        <w:tc>
          <w:tcPr>
            <w:tcW w:w="270" w:type="pct"/>
            <w:tcBorders>
              <w:top w:val="single" w:color="auto" w:sz="4" w:space="0"/>
              <w:left w:val="nil"/>
              <w:bottom w:val="nil"/>
              <w:right w:val="nil"/>
            </w:tcBorders>
            <w:shd w:val="clear" w:color="auto" w:fill="auto"/>
          </w:tcPr>
          <w:p w14:paraId="51202B3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1.05</w:t>
            </w:r>
          </w:p>
        </w:tc>
        <w:tc>
          <w:tcPr>
            <w:tcW w:w="270" w:type="pct"/>
            <w:tcBorders>
              <w:top w:val="single" w:color="auto" w:sz="4" w:space="0"/>
              <w:left w:val="nil"/>
              <w:bottom w:val="nil"/>
              <w:right w:val="nil"/>
            </w:tcBorders>
            <w:shd w:val="clear" w:color="auto" w:fill="auto"/>
          </w:tcPr>
          <w:p w14:paraId="5A26B18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0.16</w:t>
            </w:r>
          </w:p>
        </w:tc>
        <w:tc>
          <w:tcPr>
            <w:tcW w:w="270" w:type="pct"/>
            <w:tcBorders>
              <w:top w:val="single" w:color="auto" w:sz="4" w:space="0"/>
              <w:left w:val="nil"/>
              <w:bottom w:val="nil"/>
              <w:right w:val="nil"/>
            </w:tcBorders>
            <w:shd w:val="clear" w:color="auto" w:fill="auto"/>
          </w:tcPr>
          <w:p w14:paraId="1974512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0.17</w:t>
            </w:r>
          </w:p>
        </w:tc>
        <w:tc>
          <w:tcPr>
            <w:tcW w:w="270" w:type="pct"/>
            <w:tcBorders>
              <w:top w:val="single" w:color="auto" w:sz="4" w:space="0"/>
              <w:left w:val="nil"/>
              <w:bottom w:val="nil"/>
              <w:right w:val="nil"/>
            </w:tcBorders>
            <w:shd w:val="clear" w:color="auto" w:fill="auto"/>
          </w:tcPr>
          <w:p w14:paraId="1E59C38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0.22</w:t>
            </w:r>
          </w:p>
        </w:tc>
        <w:tc>
          <w:tcPr>
            <w:tcW w:w="270" w:type="pct"/>
            <w:tcBorders>
              <w:top w:val="single" w:color="auto" w:sz="4" w:space="0"/>
              <w:left w:val="nil"/>
              <w:bottom w:val="nil"/>
              <w:right w:val="nil"/>
            </w:tcBorders>
            <w:shd w:val="clear" w:color="auto" w:fill="auto"/>
          </w:tcPr>
          <w:p w14:paraId="74AE9F4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0.28</w:t>
            </w:r>
          </w:p>
        </w:tc>
        <w:tc>
          <w:tcPr>
            <w:tcW w:w="270" w:type="pct"/>
            <w:tcBorders>
              <w:top w:val="single" w:color="auto" w:sz="4" w:space="0"/>
              <w:left w:val="nil"/>
              <w:bottom w:val="nil"/>
              <w:right w:val="nil"/>
            </w:tcBorders>
            <w:shd w:val="clear" w:color="auto" w:fill="auto"/>
          </w:tcPr>
          <w:p w14:paraId="6A2252F1">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1.30</w:t>
            </w:r>
          </w:p>
        </w:tc>
        <w:tc>
          <w:tcPr>
            <w:tcW w:w="270" w:type="pct"/>
            <w:tcBorders>
              <w:top w:val="single" w:color="auto" w:sz="4" w:space="0"/>
              <w:left w:val="nil"/>
              <w:bottom w:val="nil"/>
              <w:right w:val="nil"/>
            </w:tcBorders>
            <w:shd w:val="clear" w:color="auto" w:fill="auto"/>
          </w:tcPr>
          <w:p w14:paraId="41D4DF1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1.86</w:t>
            </w:r>
          </w:p>
        </w:tc>
        <w:tc>
          <w:tcPr>
            <w:tcW w:w="270" w:type="pct"/>
            <w:tcBorders>
              <w:top w:val="single" w:color="auto" w:sz="4" w:space="0"/>
              <w:left w:val="nil"/>
              <w:bottom w:val="nil"/>
              <w:right w:val="nil"/>
            </w:tcBorders>
            <w:shd w:val="clear" w:color="auto" w:fill="auto"/>
          </w:tcPr>
          <w:p w14:paraId="1E7E37C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0.89</w:t>
            </w:r>
          </w:p>
        </w:tc>
        <w:tc>
          <w:tcPr>
            <w:tcW w:w="270" w:type="pct"/>
            <w:tcBorders>
              <w:top w:val="single" w:color="auto" w:sz="4" w:space="0"/>
              <w:left w:val="nil"/>
              <w:bottom w:val="nil"/>
              <w:right w:val="nil"/>
            </w:tcBorders>
            <w:shd w:val="clear" w:color="auto" w:fill="auto"/>
          </w:tcPr>
          <w:p w14:paraId="6B2F051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1.24</w:t>
            </w:r>
          </w:p>
        </w:tc>
      </w:tr>
      <w:tr w14:paraId="4A2DDE7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single" w:color="auto" w:sz="4" w:space="0"/>
              <w:right w:val="nil"/>
              <w:tl2br w:val="nil"/>
              <w:tr2bl w:val="nil"/>
            </w:tcBorders>
            <w:shd w:val="clear" w:color="auto" w:fill="auto"/>
          </w:tcPr>
          <w:p w14:paraId="78229375">
            <w:pPr>
              <w:spacing w:before="40" w:after="40" w:line="240" w:lineRule="auto"/>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CD (P=0.05)</w:t>
            </w:r>
          </w:p>
        </w:tc>
        <w:tc>
          <w:tcPr>
            <w:tcW w:w="270" w:type="pct"/>
            <w:tcBorders>
              <w:top w:val="nil"/>
              <w:left w:val="nil"/>
              <w:bottom w:val="single" w:color="auto" w:sz="4" w:space="0"/>
              <w:right w:val="nil"/>
            </w:tcBorders>
            <w:shd w:val="clear" w:color="auto" w:fill="auto"/>
          </w:tcPr>
          <w:p w14:paraId="617FED8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4.44</w:t>
            </w:r>
          </w:p>
        </w:tc>
        <w:tc>
          <w:tcPr>
            <w:tcW w:w="270" w:type="pct"/>
            <w:tcBorders>
              <w:top w:val="nil"/>
              <w:left w:val="nil"/>
              <w:bottom w:val="single" w:color="auto" w:sz="4" w:space="0"/>
              <w:right w:val="nil"/>
            </w:tcBorders>
            <w:shd w:val="clear" w:color="auto" w:fill="auto"/>
          </w:tcPr>
          <w:p w14:paraId="03C8685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5.96</w:t>
            </w:r>
          </w:p>
        </w:tc>
        <w:tc>
          <w:tcPr>
            <w:tcW w:w="270" w:type="pct"/>
            <w:tcBorders>
              <w:top w:val="nil"/>
              <w:left w:val="nil"/>
              <w:bottom w:val="single" w:color="auto" w:sz="4" w:space="0"/>
              <w:right w:val="nil"/>
            </w:tcBorders>
            <w:shd w:val="clear" w:color="auto" w:fill="auto"/>
          </w:tcPr>
          <w:p w14:paraId="3A5723E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2.69</w:t>
            </w:r>
          </w:p>
        </w:tc>
        <w:tc>
          <w:tcPr>
            <w:tcW w:w="270" w:type="pct"/>
            <w:tcBorders>
              <w:top w:val="nil"/>
              <w:left w:val="nil"/>
              <w:bottom w:val="single" w:color="auto" w:sz="4" w:space="0"/>
              <w:right w:val="nil"/>
            </w:tcBorders>
            <w:shd w:val="clear" w:color="auto" w:fill="auto"/>
          </w:tcPr>
          <w:p w14:paraId="3C09100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3.65</w:t>
            </w:r>
          </w:p>
        </w:tc>
        <w:tc>
          <w:tcPr>
            <w:tcW w:w="270" w:type="pct"/>
            <w:tcBorders>
              <w:top w:val="nil"/>
              <w:left w:val="nil"/>
              <w:bottom w:val="single" w:color="auto" w:sz="4" w:space="0"/>
              <w:right w:val="nil"/>
            </w:tcBorders>
            <w:shd w:val="clear" w:color="auto" w:fill="auto"/>
          </w:tcPr>
          <w:p w14:paraId="42B90F2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0.56</w:t>
            </w:r>
          </w:p>
        </w:tc>
        <w:tc>
          <w:tcPr>
            <w:tcW w:w="270" w:type="pct"/>
            <w:tcBorders>
              <w:top w:val="nil"/>
              <w:left w:val="nil"/>
              <w:bottom w:val="single" w:color="auto" w:sz="4" w:space="0"/>
              <w:right w:val="nil"/>
            </w:tcBorders>
            <w:shd w:val="clear" w:color="auto" w:fill="auto"/>
          </w:tcPr>
          <w:p w14:paraId="5087E60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0.59</w:t>
            </w:r>
          </w:p>
        </w:tc>
        <w:tc>
          <w:tcPr>
            <w:tcW w:w="270" w:type="pct"/>
            <w:tcBorders>
              <w:top w:val="nil"/>
              <w:left w:val="nil"/>
              <w:bottom w:val="single" w:color="auto" w:sz="4" w:space="0"/>
              <w:right w:val="nil"/>
            </w:tcBorders>
            <w:shd w:val="clear" w:color="auto" w:fill="auto"/>
          </w:tcPr>
          <w:p w14:paraId="0890424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0.75</w:t>
            </w:r>
          </w:p>
        </w:tc>
        <w:tc>
          <w:tcPr>
            <w:tcW w:w="270" w:type="pct"/>
            <w:tcBorders>
              <w:top w:val="nil"/>
              <w:left w:val="nil"/>
              <w:bottom w:val="single" w:color="auto" w:sz="4" w:space="0"/>
              <w:right w:val="nil"/>
            </w:tcBorders>
            <w:shd w:val="clear" w:color="auto" w:fill="auto"/>
          </w:tcPr>
          <w:p w14:paraId="214A9BC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0.96</w:t>
            </w:r>
          </w:p>
        </w:tc>
        <w:tc>
          <w:tcPr>
            <w:tcW w:w="270" w:type="pct"/>
            <w:tcBorders>
              <w:top w:val="nil"/>
              <w:left w:val="nil"/>
              <w:bottom w:val="single" w:color="auto" w:sz="4" w:space="0"/>
              <w:right w:val="nil"/>
            </w:tcBorders>
            <w:shd w:val="clear" w:color="auto" w:fill="auto"/>
          </w:tcPr>
          <w:p w14:paraId="46478EF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4.50</w:t>
            </w:r>
          </w:p>
        </w:tc>
        <w:tc>
          <w:tcPr>
            <w:tcW w:w="270" w:type="pct"/>
            <w:tcBorders>
              <w:top w:val="nil"/>
              <w:left w:val="nil"/>
              <w:bottom w:val="single" w:color="auto" w:sz="4" w:space="0"/>
              <w:right w:val="nil"/>
            </w:tcBorders>
            <w:shd w:val="clear" w:color="auto" w:fill="auto"/>
          </w:tcPr>
          <w:p w14:paraId="424479D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6.44</w:t>
            </w:r>
          </w:p>
        </w:tc>
        <w:tc>
          <w:tcPr>
            <w:tcW w:w="270" w:type="pct"/>
            <w:tcBorders>
              <w:top w:val="nil"/>
              <w:left w:val="nil"/>
              <w:bottom w:val="single" w:color="auto" w:sz="4" w:space="0"/>
              <w:right w:val="nil"/>
            </w:tcBorders>
            <w:shd w:val="clear" w:color="auto" w:fill="auto"/>
          </w:tcPr>
          <w:p w14:paraId="5803EED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3.06</w:t>
            </w:r>
          </w:p>
        </w:tc>
        <w:tc>
          <w:tcPr>
            <w:tcW w:w="270" w:type="pct"/>
            <w:tcBorders>
              <w:top w:val="nil"/>
              <w:left w:val="nil"/>
              <w:bottom w:val="single" w:color="auto" w:sz="4" w:space="0"/>
              <w:right w:val="nil"/>
            </w:tcBorders>
            <w:shd w:val="clear" w:color="auto" w:fill="auto"/>
          </w:tcPr>
          <w:p w14:paraId="29EED35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4.27</w:t>
            </w:r>
          </w:p>
        </w:tc>
      </w:tr>
      <w:tr w14:paraId="5C641F4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5000" w:type="pct"/>
            <w:gridSpan w:val="13"/>
            <w:tcBorders>
              <w:top w:val="single" w:color="auto" w:sz="4" w:space="0"/>
              <w:left w:val="nil"/>
              <w:bottom w:val="single" w:color="auto" w:sz="4" w:space="0"/>
              <w:right w:val="nil"/>
              <w:tl2br w:val="nil"/>
              <w:tr2bl w:val="nil"/>
            </w:tcBorders>
            <w:shd w:val="clear" w:color="auto" w:fill="auto"/>
          </w:tcPr>
          <w:p w14:paraId="5CBD11E3">
            <w:pPr>
              <w:spacing w:before="40" w:after="40" w:line="240" w:lineRule="auto"/>
              <w:rPr>
                <w:rFonts w:ascii="Times New Roman" w:hAnsi="Times New Roman" w:eastAsia="Calibri" w:cs="Times New Roman"/>
                <w:b w:val="0"/>
                <w:bCs w:val="0"/>
                <w:kern w:val="0"/>
                <w:sz w:val="24"/>
                <w:szCs w:val="24"/>
                <w:lang w:val="en-IN"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Weed management</w:t>
            </w:r>
          </w:p>
        </w:tc>
      </w:tr>
      <w:tr w14:paraId="1FE8E51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single" w:color="auto" w:sz="4" w:space="0"/>
              <w:left w:val="nil"/>
              <w:bottom w:val="nil"/>
              <w:right w:val="nil"/>
              <w:tl2br w:val="nil"/>
              <w:tr2bl w:val="nil"/>
            </w:tcBorders>
            <w:shd w:val="clear" w:color="auto" w:fill="auto"/>
          </w:tcPr>
          <w:p w14:paraId="0811FE7B">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0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Weedy check</w:t>
            </w:r>
          </w:p>
        </w:tc>
        <w:tc>
          <w:tcPr>
            <w:tcW w:w="270" w:type="pct"/>
            <w:tcBorders>
              <w:top w:val="single" w:color="auto" w:sz="4" w:space="0"/>
              <w:left w:val="nil"/>
              <w:bottom w:val="nil"/>
              <w:right w:val="nil"/>
            </w:tcBorders>
            <w:shd w:val="clear" w:color="auto" w:fill="auto"/>
          </w:tcPr>
          <w:p w14:paraId="355C73E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68.92</w:t>
            </w:r>
          </w:p>
        </w:tc>
        <w:tc>
          <w:tcPr>
            <w:tcW w:w="270" w:type="pct"/>
            <w:tcBorders>
              <w:top w:val="single" w:color="auto" w:sz="4" w:space="0"/>
              <w:left w:val="nil"/>
              <w:bottom w:val="nil"/>
              <w:right w:val="nil"/>
            </w:tcBorders>
            <w:shd w:val="clear" w:color="auto" w:fill="auto"/>
          </w:tcPr>
          <w:p w14:paraId="36D80A4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84.50</w:t>
            </w:r>
          </w:p>
        </w:tc>
        <w:tc>
          <w:tcPr>
            <w:tcW w:w="270" w:type="pct"/>
            <w:tcBorders>
              <w:top w:val="single" w:color="auto" w:sz="4" w:space="0"/>
              <w:left w:val="nil"/>
              <w:bottom w:val="nil"/>
              <w:right w:val="nil"/>
            </w:tcBorders>
            <w:shd w:val="clear" w:color="auto" w:fill="auto"/>
          </w:tcPr>
          <w:p w14:paraId="190E8AE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54.45</w:t>
            </w:r>
          </w:p>
        </w:tc>
        <w:tc>
          <w:tcPr>
            <w:tcW w:w="270" w:type="pct"/>
            <w:tcBorders>
              <w:top w:val="single" w:color="auto" w:sz="4" w:space="0"/>
              <w:left w:val="nil"/>
              <w:bottom w:val="nil"/>
              <w:right w:val="nil"/>
            </w:tcBorders>
            <w:shd w:val="clear" w:color="auto" w:fill="auto"/>
          </w:tcPr>
          <w:p w14:paraId="5DF37C3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72.12</w:t>
            </w:r>
          </w:p>
        </w:tc>
        <w:tc>
          <w:tcPr>
            <w:tcW w:w="270" w:type="pct"/>
            <w:tcBorders>
              <w:top w:val="single" w:color="auto" w:sz="4" w:space="0"/>
              <w:left w:val="nil"/>
              <w:bottom w:val="nil"/>
              <w:right w:val="nil"/>
            </w:tcBorders>
            <w:shd w:val="clear" w:color="auto" w:fill="auto"/>
          </w:tcPr>
          <w:p w14:paraId="60F1EC1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9.68</w:t>
            </w:r>
          </w:p>
        </w:tc>
        <w:tc>
          <w:tcPr>
            <w:tcW w:w="270" w:type="pct"/>
            <w:tcBorders>
              <w:top w:val="single" w:color="auto" w:sz="4" w:space="0"/>
              <w:left w:val="nil"/>
              <w:bottom w:val="nil"/>
              <w:right w:val="nil"/>
            </w:tcBorders>
            <w:shd w:val="clear" w:color="auto" w:fill="auto"/>
          </w:tcPr>
          <w:p w14:paraId="3BFB874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10.57</w:t>
            </w:r>
          </w:p>
        </w:tc>
        <w:tc>
          <w:tcPr>
            <w:tcW w:w="270" w:type="pct"/>
            <w:tcBorders>
              <w:top w:val="single" w:color="auto" w:sz="4" w:space="0"/>
              <w:left w:val="nil"/>
              <w:bottom w:val="nil"/>
              <w:right w:val="nil"/>
            </w:tcBorders>
            <w:shd w:val="clear" w:color="auto" w:fill="auto"/>
          </w:tcPr>
          <w:p w14:paraId="3B815C8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12.46</w:t>
            </w:r>
          </w:p>
        </w:tc>
        <w:tc>
          <w:tcPr>
            <w:tcW w:w="270" w:type="pct"/>
            <w:tcBorders>
              <w:top w:val="single" w:color="auto" w:sz="4" w:space="0"/>
              <w:left w:val="nil"/>
              <w:bottom w:val="nil"/>
              <w:right w:val="nil"/>
            </w:tcBorders>
            <w:shd w:val="clear" w:color="auto" w:fill="auto"/>
          </w:tcPr>
          <w:p w14:paraId="6CC66CB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15.32</w:t>
            </w:r>
          </w:p>
        </w:tc>
        <w:tc>
          <w:tcPr>
            <w:tcW w:w="270" w:type="pct"/>
            <w:tcBorders>
              <w:top w:val="single" w:color="auto" w:sz="4" w:space="0"/>
              <w:left w:val="nil"/>
              <w:bottom w:val="nil"/>
              <w:right w:val="nil"/>
            </w:tcBorders>
            <w:shd w:val="clear" w:color="auto" w:fill="auto"/>
          </w:tcPr>
          <w:p w14:paraId="1344CC7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76.16</w:t>
            </w:r>
          </w:p>
        </w:tc>
        <w:tc>
          <w:tcPr>
            <w:tcW w:w="270" w:type="pct"/>
            <w:tcBorders>
              <w:top w:val="single" w:color="auto" w:sz="4" w:space="0"/>
              <w:left w:val="nil"/>
              <w:bottom w:val="nil"/>
              <w:right w:val="nil"/>
            </w:tcBorders>
            <w:shd w:val="clear" w:color="auto" w:fill="auto"/>
          </w:tcPr>
          <w:p w14:paraId="5164EF5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94.27</w:t>
            </w:r>
          </w:p>
        </w:tc>
        <w:tc>
          <w:tcPr>
            <w:tcW w:w="270" w:type="pct"/>
            <w:tcBorders>
              <w:top w:val="single" w:color="auto" w:sz="4" w:space="0"/>
              <w:left w:val="nil"/>
              <w:bottom w:val="nil"/>
              <w:right w:val="nil"/>
            </w:tcBorders>
            <w:shd w:val="clear" w:color="auto" w:fill="auto"/>
          </w:tcPr>
          <w:p w14:paraId="283E849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67.75</w:t>
            </w:r>
          </w:p>
        </w:tc>
        <w:tc>
          <w:tcPr>
            <w:tcW w:w="270" w:type="pct"/>
            <w:tcBorders>
              <w:top w:val="single" w:color="auto" w:sz="4" w:space="0"/>
              <w:left w:val="nil"/>
              <w:bottom w:val="nil"/>
              <w:right w:val="nil"/>
            </w:tcBorders>
            <w:shd w:val="clear" w:color="auto" w:fill="auto"/>
          </w:tcPr>
          <w:p w14:paraId="01727B1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83.82</w:t>
            </w:r>
          </w:p>
        </w:tc>
      </w:tr>
      <w:tr w14:paraId="00ED89A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nil"/>
              <w:right w:val="nil"/>
              <w:tl2br w:val="nil"/>
              <w:tr2bl w:val="nil"/>
            </w:tcBorders>
            <w:shd w:val="clear" w:color="auto" w:fill="auto"/>
          </w:tcPr>
          <w:p w14:paraId="44A984FD">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1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Two hand weeding (20 and 40 DAS)</w:t>
            </w:r>
          </w:p>
        </w:tc>
        <w:tc>
          <w:tcPr>
            <w:tcW w:w="270" w:type="pct"/>
            <w:tcBorders>
              <w:top w:val="nil"/>
              <w:left w:val="nil"/>
              <w:bottom w:val="nil"/>
              <w:right w:val="nil"/>
            </w:tcBorders>
            <w:shd w:val="clear" w:color="auto" w:fill="auto"/>
          </w:tcPr>
          <w:p w14:paraId="365FB6E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15.40</w:t>
            </w:r>
          </w:p>
        </w:tc>
        <w:tc>
          <w:tcPr>
            <w:tcW w:w="270" w:type="pct"/>
            <w:tcBorders>
              <w:top w:val="nil"/>
              <w:left w:val="nil"/>
              <w:bottom w:val="nil"/>
              <w:right w:val="nil"/>
            </w:tcBorders>
            <w:shd w:val="clear" w:color="auto" w:fill="auto"/>
          </w:tcPr>
          <w:p w14:paraId="10F803E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18.11</w:t>
            </w:r>
          </w:p>
        </w:tc>
        <w:tc>
          <w:tcPr>
            <w:tcW w:w="270" w:type="pct"/>
            <w:tcBorders>
              <w:top w:val="nil"/>
              <w:left w:val="nil"/>
              <w:bottom w:val="nil"/>
              <w:right w:val="nil"/>
            </w:tcBorders>
            <w:shd w:val="clear" w:color="auto" w:fill="auto"/>
          </w:tcPr>
          <w:p w14:paraId="15B960F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13.16</w:t>
            </w:r>
          </w:p>
        </w:tc>
        <w:tc>
          <w:tcPr>
            <w:tcW w:w="270" w:type="pct"/>
            <w:tcBorders>
              <w:top w:val="nil"/>
              <w:left w:val="nil"/>
              <w:bottom w:val="nil"/>
              <w:right w:val="nil"/>
            </w:tcBorders>
            <w:shd w:val="clear" w:color="auto" w:fill="auto"/>
          </w:tcPr>
          <w:p w14:paraId="03C9031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16.06</w:t>
            </w:r>
          </w:p>
        </w:tc>
        <w:tc>
          <w:tcPr>
            <w:tcW w:w="270" w:type="pct"/>
            <w:tcBorders>
              <w:top w:val="nil"/>
              <w:left w:val="nil"/>
              <w:bottom w:val="nil"/>
              <w:right w:val="nil"/>
            </w:tcBorders>
            <w:shd w:val="clear" w:color="auto" w:fill="auto"/>
          </w:tcPr>
          <w:p w14:paraId="5187BD9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1.82</w:t>
            </w:r>
          </w:p>
        </w:tc>
        <w:tc>
          <w:tcPr>
            <w:tcW w:w="270" w:type="pct"/>
            <w:tcBorders>
              <w:top w:val="nil"/>
              <w:left w:val="nil"/>
              <w:bottom w:val="nil"/>
              <w:right w:val="nil"/>
            </w:tcBorders>
            <w:shd w:val="clear" w:color="auto" w:fill="auto"/>
          </w:tcPr>
          <w:p w14:paraId="5F81A4A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2.19</w:t>
            </w:r>
          </w:p>
        </w:tc>
        <w:tc>
          <w:tcPr>
            <w:tcW w:w="270" w:type="pct"/>
            <w:tcBorders>
              <w:top w:val="nil"/>
              <w:left w:val="nil"/>
              <w:bottom w:val="nil"/>
              <w:right w:val="nil"/>
            </w:tcBorders>
            <w:shd w:val="clear" w:color="auto" w:fill="auto"/>
          </w:tcPr>
          <w:p w14:paraId="0B9636C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2.70</w:t>
            </w:r>
          </w:p>
        </w:tc>
        <w:tc>
          <w:tcPr>
            <w:tcW w:w="270" w:type="pct"/>
            <w:tcBorders>
              <w:top w:val="nil"/>
              <w:left w:val="nil"/>
              <w:bottom w:val="nil"/>
              <w:right w:val="nil"/>
            </w:tcBorders>
            <w:shd w:val="clear" w:color="auto" w:fill="auto"/>
          </w:tcPr>
          <w:p w14:paraId="1CBFDB7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3.34</w:t>
            </w:r>
          </w:p>
        </w:tc>
        <w:tc>
          <w:tcPr>
            <w:tcW w:w="270" w:type="pct"/>
            <w:tcBorders>
              <w:top w:val="nil"/>
              <w:left w:val="nil"/>
              <w:bottom w:val="nil"/>
              <w:right w:val="nil"/>
            </w:tcBorders>
            <w:shd w:val="clear" w:color="auto" w:fill="auto"/>
          </w:tcPr>
          <w:p w14:paraId="07532B0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17.18</w:t>
            </w:r>
          </w:p>
        </w:tc>
        <w:tc>
          <w:tcPr>
            <w:tcW w:w="270" w:type="pct"/>
            <w:tcBorders>
              <w:top w:val="nil"/>
              <w:left w:val="nil"/>
              <w:bottom w:val="nil"/>
              <w:right w:val="nil"/>
            </w:tcBorders>
            <w:shd w:val="clear" w:color="auto" w:fill="auto"/>
          </w:tcPr>
          <w:p w14:paraId="1CA6EB1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22.37</w:t>
            </w:r>
          </w:p>
        </w:tc>
        <w:tc>
          <w:tcPr>
            <w:tcW w:w="270" w:type="pct"/>
            <w:tcBorders>
              <w:top w:val="nil"/>
              <w:left w:val="nil"/>
              <w:bottom w:val="nil"/>
              <w:right w:val="nil"/>
            </w:tcBorders>
            <w:shd w:val="clear" w:color="auto" w:fill="auto"/>
          </w:tcPr>
          <w:p w14:paraId="4A9482C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16.77</w:t>
            </w:r>
          </w:p>
        </w:tc>
        <w:tc>
          <w:tcPr>
            <w:tcW w:w="270" w:type="pct"/>
            <w:tcBorders>
              <w:top w:val="nil"/>
              <w:left w:val="nil"/>
              <w:bottom w:val="nil"/>
              <w:right w:val="nil"/>
            </w:tcBorders>
            <w:shd w:val="clear" w:color="auto" w:fill="auto"/>
          </w:tcPr>
          <w:p w14:paraId="3E69EE7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20.32</w:t>
            </w:r>
          </w:p>
        </w:tc>
      </w:tr>
      <w:tr w14:paraId="4DBE41D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nil"/>
              <w:right w:val="nil"/>
              <w:tl2br w:val="nil"/>
              <w:tr2bl w:val="nil"/>
            </w:tcBorders>
            <w:shd w:val="clear" w:color="auto" w:fill="auto"/>
          </w:tcPr>
          <w:p w14:paraId="33C7416F">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2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i/>
                <w:iCs/>
                <w:kern w:val="0"/>
                <w:sz w:val="20"/>
                <w:szCs w:val="24"/>
                <w:lang w:val="en-US" w:eastAsia="en-IN" w:bidi="hi-IN"/>
                <w14:ligatures w14:val="none"/>
              </w:rPr>
              <w:t>Sesbania</w:t>
            </w:r>
            <w:r>
              <w:rPr>
                <w:rFonts w:ascii="Times New Roman" w:hAnsi="Times New Roman" w:eastAsia="Calibri" w:cs="Times New Roman"/>
                <w:b w:val="0"/>
                <w:bCs w:val="0"/>
                <w:kern w:val="0"/>
                <w:sz w:val="20"/>
                <w:szCs w:val="24"/>
                <w:lang w:val="en-US" w:eastAsia="en-IN" w:bidi="hi-IN"/>
                <w14:ligatures w14:val="none"/>
              </w:rPr>
              <w:t xml:space="preserve"> up to 30 days (30 DAS 2,4-D 0.5 kg </w:t>
            </w:r>
            <w:r>
              <w:rPr>
                <w:rFonts w:ascii="Times New Roman" w:hAnsi="Times New Roman" w:eastAsia="Calibri" w:cs="Times New Roman"/>
                <w:b w:val="0"/>
                <w:bCs w:val="0"/>
                <w:i/>
                <w:iCs/>
                <w:kern w:val="0"/>
                <w:sz w:val="20"/>
                <w:szCs w:val="24"/>
                <w:lang w:val="en-US" w:eastAsia="en-IN" w:bidi="hi-IN"/>
                <w14:ligatures w14:val="none"/>
              </w:rPr>
              <w:t>a.i.</w:t>
            </w:r>
            <w:r>
              <w:rPr>
                <w:rFonts w:ascii="Times New Roman" w:hAnsi="Times New Roman" w:eastAsia="Calibri" w:cs="Times New Roman"/>
                <w:b w:val="0"/>
                <w:bCs w:val="0"/>
                <w:kern w:val="0"/>
                <w:sz w:val="20"/>
                <w:szCs w:val="24"/>
                <w:lang w:val="en-US" w:eastAsia="en-IN" w:bidi="hi-IN"/>
                <w14:ligatures w14:val="none"/>
              </w:rPr>
              <w:t xml:space="preserve">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w:t>
            </w:r>
          </w:p>
        </w:tc>
        <w:tc>
          <w:tcPr>
            <w:tcW w:w="270" w:type="pct"/>
            <w:tcBorders>
              <w:top w:val="nil"/>
              <w:left w:val="nil"/>
              <w:bottom w:val="nil"/>
              <w:right w:val="nil"/>
            </w:tcBorders>
            <w:shd w:val="clear" w:color="auto" w:fill="auto"/>
          </w:tcPr>
          <w:p w14:paraId="7E2610C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42.10</w:t>
            </w:r>
          </w:p>
        </w:tc>
        <w:tc>
          <w:tcPr>
            <w:tcW w:w="270" w:type="pct"/>
            <w:tcBorders>
              <w:top w:val="nil"/>
              <w:left w:val="nil"/>
              <w:bottom w:val="nil"/>
              <w:right w:val="nil"/>
            </w:tcBorders>
            <w:shd w:val="clear" w:color="auto" w:fill="auto"/>
          </w:tcPr>
          <w:p w14:paraId="155E4BE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51.08</w:t>
            </w:r>
          </w:p>
        </w:tc>
        <w:tc>
          <w:tcPr>
            <w:tcW w:w="270" w:type="pct"/>
            <w:tcBorders>
              <w:top w:val="nil"/>
              <w:left w:val="nil"/>
              <w:bottom w:val="nil"/>
              <w:right w:val="nil"/>
            </w:tcBorders>
            <w:shd w:val="clear" w:color="auto" w:fill="auto"/>
          </w:tcPr>
          <w:p w14:paraId="5D93394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37.63</w:t>
            </w:r>
          </w:p>
        </w:tc>
        <w:tc>
          <w:tcPr>
            <w:tcW w:w="270" w:type="pct"/>
            <w:tcBorders>
              <w:top w:val="nil"/>
              <w:left w:val="nil"/>
              <w:bottom w:val="nil"/>
              <w:right w:val="nil"/>
            </w:tcBorders>
            <w:shd w:val="clear" w:color="auto" w:fill="auto"/>
          </w:tcPr>
          <w:p w14:paraId="740960D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47.27</w:t>
            </w:r>
          </w:p>
        </w:tc>
        <w:tc>
          <w:tcPr>
            <w:tcW w:w="270" w:type="pct"/>
            <w:tcBorders>
              <w:top w:val="nil"/>
              <w:left w:val="nil"/>
              <w:bottom w:val="nil"/>
              <w:right w:val="nil"/>
            </w:tcBorders>
            <w:shd w:val="clear" w:color="auto" w:fill="auto"/>
          </w:tcPr>
          <w:p w14:paraId="26D5D2B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5.46</w:t>
            </w:r>
          </w:p>
        </w:tc>
        <w:tc>
          <w:tcPr>
            <w:tcW w:w="270" w:type="pct"/>
            <w:tcBorders>
              <w:top w:val="nil"/>
              <w:left w:val="nil"/>
              <w:bottom w:val="nil"/>
              <w:right w:val="nil"/>
            </w:tcBorders>
            <w:shd w:val="clear" w:color="auto" w:fill="auto"/>
          </w:tcPr>
          <w:p w14:paraId="74021EA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6.45</w:t>
            </w:r>
          </w:p>
        </w:tc>
        <w:tc>
          <w:tcPr>
            <w:tcW w:w="270" w:type="pct"/>
            <w:tcBorders>
              <w:top w:val="nil"/>
              <w:left w:val="nil"/>
              <w:bottom w:val="nil"/>
              <w:right w:val="nil"/>
            </w:tcBorders>
            <w:shd w:val="clear" w:color="auto" w:fill="auto"/>
          </w:tcPr>
          <w:p w14:paraId="105FF5BF">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8.32</w:t>
            </w:r>
          </w:p>
        </w:tc>
        <w:tc>
          <w:tcPr>
            <w:tcW w:w="270" w:type="pct"/>
            <w:tcBorders>
              <w:top w:val="nil"/>
              <w:left w:val="nil"/>
              <w:bottom w:val="nil"/>
              <w:right w:val="nil"/>
            </w:tcBorders>
            <w:shd w:val="clear" w:color="auto" w:fill="auto"/>
          </w:tcPr>
          <w:p w14:paraId="4C634FA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9.96</w:t>
            </w:r>
          </w:p>
        </w:tc>
        <w:tc>
          <w:tcPr>
            <w:tcW w:w="270" w:type="pct"/>
            <w:tcBorders>
              <w:top w:val="nil"/>
              <w:left w:val="nil"/>
              <w:bottom w:val="nil"/>
              <w:right w:val="nil"/>
            </w:tcBorders>
            <w:shd w:val="clear" w:color="auto" w:fill="auto"/>
          </w:tcPr>
          <w:p w14:paraId="18F41E3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46.75</w:t>
            </w:r>
          </w:p>
        </w:tc>
        <w:tc>
          <w:tcPr>
            <w:tcW w:w="270" w:type="pct"/>
            <w:tcBorders>
              <w:top w:val="nil"/>
              <w:left w:val="nil"/>
              <w:bottom w:val="nil"/>
              <w:right w:val="nil"/>
            </w:tcBorders>
            <w:shd w:val="clear" w:color="auto" w:fill="auto"/>
          </w:tcPr>
          <w:p w14:paraId="6837648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58.66</w:t>
            </w:r>
          </w:p>
        </w:tc>
        <w:tc>
          <w:tcPr>
            <w:tcW w:w="270" w:type="pct"/>
            <w:tcBorders>
              <w:top w:val="nil"/>
              <w:left w:val="nil"/>
              <w:bottom w:val="nil"/>
              <w:right w:val="nil"/>
            </w:tcBorders>
            <w:shd w:val="clear" w:color="auto" w:fill="auto"/>
          </w:tcPr>
          <w:p w14:paraId="3017FB9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47.07</w:t>
            </w:r>
          </w:p>
        </w:tc>
        <w:tc>
          <w:tcPr>
            <w:tcW w:w="270" w:type="pct"/>
            <w:tcBorders>
              <w:top w:val="nil"/>
              <w:left w:val="nil"/>
              <w:bottom w:val="nil"/>
              <w:right w:val="nil"/>
            </w:tcBorders>
            <w:shd w:val="clear" w:color="auto" w:fill="auto"/>
          </w:tcPr>
          <w:p w14:paraId="231A947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56.34</w:t>
            </w:r>
          </w:p>
        </w:tc>
      </w:tr>
      <w:tr w14:paraId="693D1C0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nil"/>
              <w:right w:val="nil"/>
              <w:tl2br w:val="nil"/>
              <w:tr2bl w:val="nil"/>
            </w:tcBorders>
            <w:shd w:val="clear" w:color="auto" w:fill="auto"/>
          </w:tcPr>
          <w:p w14:paraId="16F0C02E">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3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Wheat residue as mulch (4 t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fb bispyribac sodium 25 g a.i.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xml:space="preserve"> (2-4 leaf stage of weed)                                                             </w:t>
            </w:r>
          </w:p>
        </w:tc>
        <w:tc>
          <w:tcPr>
            <w:tcW w:w="270" w:type="pct"/>
            <w:tcBorders>
              <w:top w:val="nil"/>
              <w:left w:val="nil"/>
              <w:bottom w:val="nil"/>
              <w:right w:val="nil"/>
            </w:tcBorders>
            <w:shd w:val="clear" w:color="auto" w:fill="auto"/>
          </w:tcPr>
          <w:p w14:paraId="2D096DD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24.98</w:t>
            </w:r>
          </w:p>
        </w:tc>
        <w:tc>
          <w:tcPr>
            <w:tcW w:w="270" w:type="pct"/>
            <w:tcBorders>
              <w:top w:val="nil"/>
              <w:left w:val="nil"/>
              <w:bottom w:val="nil"/>
              <w:right w:val="nil"/>
            </w:tcBorders>
            <w:shd w:val="clear" w:color="auto" w:fill="auto"/>
          </w:tcPr>
          <w:p w14:paraId="5DC7B5B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29.47</w:t>
            </w:r>
          </w:p>
        </w:tc>
        <w:tc>
          <w:tcPr>
            <w:tcW w:w="270" w:type="pct"/>
            <w:tcBorders>
              <w:top w:val="nil"/>
              <w:left w:val="nil"/>
              <w:bottom w:val="nil"/>
              <w:right w:val="nil"/>
            </w:tcBorders>
            <w:shd w:val="clear" w:color="auto" w:fill="auto"/>
          </w:tcPr>
          <w:p w14:paraId="5193C4F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21.61</w:t>
            </w:r>
          </w:p>
        </w:tc>
        <w:tc>
          <w:tcPr>
            <w:tcW w:w="270" w:type="pct"/>
            <w:tcBorders>
              <w:top w:val="nil"/>
              <w:left w:val="nil"/>
              <w:bottom w:val="nil"/>
              <w:right w:val="nil"/>
            </w:tcBorders>
            <w:shd w:val="clear" w:color="auto" w:fill="auto"/>
          </w:tcPr>
          <w:p w14:paraId="2CF7FF2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25.42</w:t>
            </w:r>
          </w:p>
        </w:tc>
        <w:tc>
          <w:tcPr>
            <w:tcW w:w="270" w:type="pct"/>
            <w:tcBorders>
              <w:top w:val="nil"/>
              <w:left w:val="nil"/>
              <w:bottom w:val="nil"/>
              <w:right w:val="nil"/>
            </w:tcBorders>
            <w:shd w:val="clear" w:color="auto" w:fill="auto"/>
          </w:tcPr>
          <w:p w14:paraId="4103BF86">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3.07</w:t>
            </w:r>
          </w:p>
        </w:tc>
        <w:tc>
          <w:tcPr>
            <w:tcW w:w="270" w:type="pct"/>
            <w:tcBorders>
              <w:top w:val="nil"/>
              <w:left w:val="nil"/>
              <w:bottom w:val="nil"/>
              <w:right w:val="nil"/>
            </w:tcBorders>
            <w:shd w:val="clear" w:color="auto" w:fill="auto"/>
          </w:tcPr>
          <w:p w14:paraId="47D7616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3.64</w:t>
            </w:r>
          </w:p>
        </w:tc>
        <w:tc>
          <w:tcPr>
            <w:tcW w:w="270" w:type="pct"/>
            <w:tcBorders>
              <w:top w:val="nil"/>
              <w:left w:val="nil"/>
              <w:bottom w:val="nil"/>
              <w:right w:val="nil"/>
            </w:tcBorders>
            <w:shd w:val="clear" w:color="auto" w:fill="auto"/>
          </w:tcPr>
          <w:p w14:paraId="2CC0919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4.63</w:t>
            </w:r>
          </w:p>
        </w:tc>
        <w:tc>
          <w:tcPr>
            <w:tcW w:w="270" w:type="pct"/>
            <w:tcBorders>
              <w:top w:val="nil"/>
              <w:left w:val="nil"/>
              <w:bottom w:val="nil"/>
              <w:right w:val="nil"/>
            </w:tcBorders>
            <w:shd w:val="clear" w:color="auto" w:fill="auto"/>
          </w:tcPr>
          <w:p w14:paraId="729D701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5.46</w:t>
            </w:r>
          </w:p>
        </w:tc>
        <w:tc>
          <w:tcPr>
            <w:tcW w:w="270" w:type="pct"/>
            <w:tcBorders>
              <w:top w:val="nil"/>
              <w:left w:val="nil"/>
              <w:bottom w:val="nil"/>
              <w:right w:val="nil"/>
            </w:tcBorders>
            <w:shd w:val="clear" w:color="auto" w:fill="auto"/>
          </w:tcPr>
          <w:p w14:paraId="1CE3263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27.67</w:t>
            </w:r>
          </w:p>
        </w:tc>
        <w:tc>
          <w:tcPr>
            <w:tcW w:w="270" w:type="pct"/>
            <w:tcBorders>
              <w:top w:val="nil"/>
              <w:left w:val="nil"/>
              <w:bottom w:val="nil"/>
              <w:right w:val="nil"/>
            </w:tcBorders>
            <w:shd w:val="clear" w:color="auto" w:fill="auto"/>
          </w:tcPr>
          <w:p w14:paraId="513CB98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35.78</w:t>
            </w:r>
          </w:p>
        </w:tc>
        <w:tc>
          <w:tcPr>
            <w:tcW w:w="270" w:type="pct"/>
            <w:tcBorders>
              <w:top w:val="nil"/>
              <w:left w:val="nil"/>
              <w:bottom w:val="nil"/>
              <w:right w:val="nil"/>
            </w:tcBorders>
            <w:shd w:val="clear" w:color="auto" w:fill="auto"/>
          </w:tcPr>
          <w:p w14:paraId="21A5814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27.19</w:t>
            </w:r>
          </w:p>
        </w:tc>
        <w:tc>
          <w:tcPr>
            <w:tcW w:w="270" w:type="pct"/>
            <w:tcBorders>
              <w:top w:val="nil"/>
              <w:left w:val="nil"/>
              <w:bottom w:val="nil"/>
              <w:right w:val="nil"/>
            </w:tcBorders>
            <w:shd w:val="clear" w:color="auto" w:fill="auto"/>
          </w:tcPr>
          <w:p w14:paraId="655E2EFA">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31.73</w:t>
            </w:r>
          </w:p>
        </w:tc>
      </w:tr>
      <w:tr w14:paraId="5AEAB8B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single" w:color="auto" w:sz="4" w:space="0"/>
              <w:right w:val="nil"/>
              <w:tl2br w:val="nil"/>
              <w:tr2bl w:val="nil"/>
            </w:tcBorders>
            <w:shd w:val="clear" w:color="auto" w:fill="auto"/>
          </w:tcPr>
          <w:p w14:paraId="68688E35">
            <w:pPr>
              <w:spacing w:before="40" w:after="40" w:line="240" w:lineRule="auto"/>
              <w:ind w:left="432" w:hanging="432"/>
              <w:jc w:val="both"/>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0"/>
                <w:szCs w:val="24"/>
                <w:lang w:val="en-US" w:eastAsia="en-IN" w:bidi="hi-IN"/>
                <w14:ligatures w14:val="none"/>
              </w:rPr>
              <w:t>W</w:t>
            </w:r>
            <w:r>
              <w:rPr>
                <w:rFonts w:ascii="Times New Roman" w:hAnsi="Times New Roman" w:eastAsia="Calibri" w:cs="Times New Roman"/>
                <w:b w:val="0"/>
                <w:bCs w:val="0"/>
                <w:kern w:val="0"/>
                <w:sz w:val="20"/>
                <w:szCs w:val="24"/>
                <w:vertAlign w:val="subscript"/>
                <w:lang w:val="en-US" w:eastAsia="en-IN" w:bidi="hi-IN"/>
                <w14:ligatures w14:val="none"/>
              </w:rPr>
              <w:t xml:space="preserve">4 </w:t>
            </w:r>
            <w:r>
              <w:rPr>
                <w:rFonts w:ascii="Times New Roman" w:hAnsi="Times New Roman" w:eastAsia="Calibri" w:cs="Times New Roman"/>
                <w:b w:val="0"/>
                <w:bCs w:val="0"/>
                <w:kern w:val="0"/>
                <w:sz w:val="20"/>
                <w:szCs w:val="24"/>
                <w:lang w:val="en-US" w:eastAsia="en-IN" w:bidi="hi-IN"/>
                <w14:ligatures w14:val="none"/>
              </w:rPr>
              <w:t>-</w:t>
            </w:r>
            <w:r>
              <w:rPr>
                <w:rFonts w:ascii="Times New Roman" w:hAnsi="Times New Roman" w:eastAsia="Calibri" w:cs="Times New Roman"/>
                <w:b w:val="0"/>
                <w:bCs w:val="0"/>
                <w:kern w:val="0"/>
                <w:sz w:val="20"/>
                <w:szCs w:val="24"/>
                <w:lang w:val="en-US" w:eastAsia="en-IN" w:bidi="hi-IN"/>
                <w14:ligatures w14:val="none"/>
              </w:rPr>
              <w:tab/>
            </w:r>
            <w:r>
              <w:rPr>
                <w:rFonts w:ascii="Times New Roman" w:hAnsi="Times New Roman" w:eastAsia="Calibri" w:cs="Times New Roman"/>
                <w:b w:val="0"/>
                <w:bCs w:val="0"/>
                <w:kern w:val="0"/>
                <w:sz w:val="20"/>
                <w:szCs w:val="24"/>
                <w:lang w:val="en-US" w:eastAsia="en-IN" w:bidi="hi-IN"/>
                <w14:ligatures w14:val="none"/>
              </w:rPr>
              <w:t>Pendimethalin 1 kg a.i.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xml:space="preserve"> </w:t>
            </w:r>
            <w:r>
              <w:rPr>
                <w:rFonts w:ascii="Times New Roman" w:hAnsi="Times New Roman" w:eastAsia="Calibri" w:cs="Times New Roman"/>
                <w:b w:val="0"/>
                <w:bCs w:val="0"/>
                <w:i/>
                <w:iCs/>
                <w:kern w:val="0"/>
                <w:sz w:val="20"/>
                <w:szCs w:val="24"/>
                <w:lang w:val="en-US" w:eastAsia="en-IN" w:bidi="hi-IN"/>
                <w14:ligatures w14:val="none"/>
              </w:rPr>
              <w:t>fb</w:t>
            </w:r>
            <w:r>
              <w:rPr>
                <w:rFonts w:ascii="Times New Roman" w:hAnsi="Times New Roman" w:eastAsia="Calibri" w:cs="Times New Roman"/>
                <w:b w:val="0"/>
                <w:bCs w:val="0"/>
                <w:kern w:val="0"/>
                <w:sz w:val="20"/>
                <w:szCs w:val="24"/>
                <w:lang w:val="en-US" w:eastAsia="en-IN" w:bidi="hi-IN"/>
                <w14:ligatures w14:val="none"/>
              </w:rPr>
              <w:t xml:space="preserve"> bispyribac sodium 25 g a.i. ha</w:t>
            </w:r>
            <w:r>
              <w:rPr>
                <w:rFonts w:ascii="Times New Roman" w:hAnsi="Times New Roman" w:eastAsia="Calibri" w:cs="Times New Roman"/>
                <w:b w:val="0"/>
                <w:bCs w:val="0"/>
                <w:kern w:val="0"/>
                <w:sz w:val="20"/>
                <w:szCs w:val="24"/>
                <w:vertAlign w:val="superscript"/>
                <w:lang w:val="en-US" w:eastAsia="en-IN" w:bidi="hi-IN"/>
                <w14:ligatures w14:val="none"/>
              </w:rPr>
              <w:t>-1</w:t>
            </w:r>
            <w:r>
              <w:rPr>
                <w:rFonts w:ascii="Times New Roman" w:hAnsi="Times New Roman" w:eastAsia="Calibri" w:cs="Times New Roman"/>
                <w:b w:val="0"/>
                <w:bCs w:val="0"/>
                <w:kern w:val="0"/>
                <w:sz w:val="20"/>
                <w:szCs w:val="24"/>
                <w:lang w:val="en-US" w:eastAsia="en-IN" w:bidi="hi-IN"/>
                <w14:ligatures w14:val="none"/>
              </w:rPr>
              <w:t xml:space="preserve"> (2-4 leaf stage of weed)                                                  </w:t>
            </w:r>
          </w:p>
        </w:tc>
        <w:tc>
          <w:tcPr>
            <w:tcW w:w="270" w:type="pct"/>
            <w:tcBorders>
              <w:top w:val="nil"/>
              <w:left w:val="nil"/>
              <w:bottom w:val="single" w:color="auto" w:sz="4" w:space="0"/>
              <w:right w:val="nil"/>
            </w:tcBorders>
            <w:shd w:val="clear" w:color="auto" w:fill="auto"/>
          </w:tcPr>
          <w:p w14:paraId="0E246F6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26.60</w:t>
            </w:r>
          </w:p>
        </w:tc>
        <w:tc>
          <w:tcPr>
            <w:tcW w:w="270" w:type="pct"/>
            <w:tcBorders>
              <w:top w:val="nil"/>
              <w:left w:val="nil"/>
              <w:bottom w:val="single" w:color="auto" w:sz="4" w:space="0"/>
              <w:right w:val="nil"/>
            </w:tcBorders>
            <w:shd w:val="clear" w:color="auto" w:fill="auto"/>
          </w:tcPr>
          <w:p w14:paraId="26D2AEB1">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31.65</w:t>
            </w:r>
          </w:p>
        </w:tc>
        <w:tc>
          <w:tcPr>
            <w:tcW w:w="270" w:type="pct"/>
            <w:tcBorders>
              <w:top w:val="nil"/>
              <w:left w:val="nil"/>
              <w:bottom w:val="single" w:color="auto" w:sz="4" w:space="0"/>
              <w:right w:val="nil"/>
            </w:tcBorders>
            <w:shd w:val="clear" w:color="auto" w:fill="auto"/>
          </w:tcPr>
          <w:p w14:paraId="7B8481D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23.15</w:t>
            </w:r>
          </w:p>
        </w:tc>
        <w:tc>
          <w:tcPr>
            <w:tcW w:w="270" w:type="pct"/>
            <w:tcBorders>
              <w:top w:val="nil"/>
              <w:left w:val="nil"/>
              <w:bottom w:val="single" w:color="auto" w:sz="4" w:space="0"/>
              <w:right w:val="nil"/>
            </w:tcBorders>
            <w:shd w:val="clear" w:color="auto" w:fill="auto"/>
          </w:tcPr>
          <w:p w14:paraId="2575B7C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27.45</w:t>
            </w:r>
          </w:p>
        </w:tc>
        <w:tc>
          <w:tcPr>
            <w:tcW w:w="270" w:type="pct"/>
            <w:tcBorders>
              <w:top w:val="nil"/>
              <w:left w:val="nil"/>
              <w:bottom w:val="single" w:color="auto" w:sz="4" w:space="0"/>
              <w:right w:val="nil"/>
            </w:tcBorders>
            <w:shd w:val="clear" w:color="auto" w:fill="auto"/>
          </w:tcPr>
          <w:p w14:paraId="3018EAD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3.41</w:t>
            </w:r>
          </w:p>
        </w:tc>
        <w:tc>
          <w:tcPr>
            <w:tcW w:w="270" w:type="pct"/>
            <w:tcBorders>
              <w:top w:val="nil"/>
              <w:left w:val="nil"/>
              <w:bottom w:val="single" w:color="auto" w:sz="4" w:space="0"/>
              <w:right w:val="nil"/>
            </w:tcBorders>
            <w:shd w:val="clear" w:color="auto" w:fill="auto"/>
          </w:tcPr>
          <w:p w14:paraId="46F64339">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4.01</w:t>
            </w:r>
          </w:p>
        </w:tc>
        <w:tc>
          <w:tcPr>
            <w:tcW w:w="270" w:type="pct"/>
            <w:tcBorders>
              <w:top w:val="nil"/>
              <w:left w:val="nil"/>
              <w:bottom w:val="single" w:color="auto" w:sz="4" w:space="0"/>
              <w:right w:val="nil"/>
            </w:tcBorders>
            <w:shd w:val="clear" w:color="auto" w:fill="auto"/>
          </w:tcPr>
          <w:p w14:paraId="707DCAFB">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5.06</w:t>
            </w:r>
          </w:p>
        </w:tc>
        <w:tc>
          <w:tcPr>
            <w:tcW w:w="270" w:type="pct"/>
            <w:tcBorders>
              <w:top w:val="nil"/>
              <w:left w:val="nil"/>
              <w:bottom w:val="single" w:color="auto" w:sz="4" w:space="0"/>
              <w:right w:val="nil"/>
            </w:tcBorders>
            <w:shd w:val="clear" w:color="auto" w:fill="auto"/>
          </w:tcPr>
          <w:p w14:paraId="24E0E0E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5.95</w:t>
            </w:r>
          </w:p>
        </w:tc>
        <w:tc>
          <w:tcPr>
            <w:tcW w:w="270" w:type="pct"/>
            <w:tcBorders>
              <w:top w:val="nil"/>
              <w:left w:val="nil"/>
              <w:bottom w:val="single" w:color="auto" w:sz="4" w:space="0"/>
              <w:right w:val="nil"/>
            </w:tcBorders>
            <w:shd w:val="clear" w:color="auto" w:fill="auto"/>
          </w:tcPr>
          <w:p w14:paraId="62205F4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29.56</w:t>
            </w:r>
          </w:p>
        </w:tc>
        <w:tc>
          <w:tcPr>
            <w:tcW w:w="270" w:type="pct"/>
            <w:tcBorders>
              <w:top w:val="nil"/>
              <w:left w:val="nil"/>
              <w:bottom w:val="single" w:color="auto" w:sz="4" w:space="0"/>
              <w:right w:val="nil"/>
            </w:tcBorders>
            <w:shd w:val="clear" w:color="auto" w:fill="auto"/>
          </w:tcPr>
          <w:p w14:paraId="0EF3CF1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38.04</w:t>
            </w:r>
          </w:p>
        </w:tc>
        <w:tc>
          <w:tcPr>
            <w:tcW w:w="270" w:type="pct"/>
            <w:tcBorders>
              <w:top w:val="nil"/>
              <w:left w:val="nil"/>
              <w:bottom w:val="single" w:color="auto" w:sz="4" w:space="0"/>
              <w:right w:val="nil"/>
            </w:tcBorders>
            <w:shd w:val="clear" w:color="auto" w:fill="auto"/>
          </w:tcPr>
          <w:p w14:paraId="3A5D0E0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29.15</w:t>
            </w:r>
          </w:p>
        </w:tc>
        <w:tc>
          <w:tcPr>
            <w:tcW w:w="270" w:type="pct"/>
            <w:tcBorders>
              <w:top w:val="nil"/>
              <w:left w:val="nil"/>
              <w:bottom w:val="single" w:color="auto" w:sz="4" w:space="0"/>
              <w:right w:val="nil"/>
            </w:tcBorders>
            <w:shd w:val="clear" w:color="auto" w:fill="auto"/>
          </w:tcPr>
          <w:p w14:paraId="1EEF3C5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33.97</w:t>
            </w:r>
          </w:p>
        </w:tc>
      </w:tr>
      <w:tr w14:paraId="2F445FE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single" w:color="auto" w:sz="4" w:space="0"/>
              <w:left w:val="nil"/>
              <w:bottom w:val="nil"/>
              <w:right w:val="nil"/>
              <w:tl2br w:val="nil"/>
              <w:tr2bl w:val="nil"/>
            </w:tcBorders>
            <w:shd w:val="clear" w:color="auto" w:fill="auto"/>
          </w:tcPr>
          <w:p w14:paraId="79BDEA0C">
            <w:pPr>
              <w:spacing w:before="40" w:after="40" w:line="240" w:lineRule="auto"/>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SEm±</w:t>
            </w:r>
          </w:p>
        </w:tc>
        <w:tc>
          <w:tcPr>
            <w:tcW w:w="270" w:type="pct"/>
            <w:tcBorders>
              <w:top w:val="single" w:color="auto" w:sz="4" w:space="0"/>
              <w:left w:val="nil"/>
              <w:bottom w:val="nil"/>
              <w:right w:val="nil"/>
            </w:tcBorders>
            <w:shd w:val="clear" w:color="auto" w:fill="auto"/>
          </w:tcPr>
          <w:p w14:paraId="05C8C1D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1.22</w:t>
            </w:r>
          </w:p>
        </w:tc>
        <w:tc>
          <w:tcPr>
            <w:tcW w:w="270" w:type="pct"/>
            <w:tcBorders>
              <w:top w:val="single" w:color="auto" w:sz="4" w:space="0"/>
              <w:left w:val="nil"/>
              <w:bottom w:val="nil"/>
              <w:right w:val="nil"/>
            </w:tcBorders>
            <w:shd w:val="clear" w:color="auto" w:fill="auto"/>
          </w:tcPr>
          <w:p w14:paraId="01C0920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1.49</w:t>
            </w:r>
          </w:p>
        </w:tc>
        <w:tc>
          <w:tcPr>
            <w:tcW w:w="270" w:type="pct"/>
            <w:tcBorders>
              <w:top w:val="single" w:color="auto" w:sz="4" w:space="0"/>
              <w:left w:val="nil"/>
              <w:bottom w:val="nil"/>
              <w:right w:val="nil"/>
            </w:tcBorders>
            <w:shd w:val="clear" w:color="auto" w:fill="auto"/>
          </w:tcPr>
          <w:p w14:paraId="53AF9A65">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0.84</w:t>
            </w:r>
          </w:p>
        </w:tc>
        <w:tc>
          <w:tcPr>
            <w:tcW w:w="270" w:type="pct"/>
            <w:tcBorders>
              <w:top w:val="single" w:color="auto" w:sz="4" w:space="0"/>
              <w:left w:val="nil"/>
              <w:bottom w:val="nil"/>
              <w:right w:val="nil"/>
            </w:tcBorders>
            <w:shd w:val="clear" w:color="auto" w:fill="auto"/>
          </w:tcPr>
          <w:p w14:paraId="12C2EBD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1.12</w:t>
            </w:r>
          </w:p>
        </w:tc>
        <w:tc>
          <w:tcPr>
            <w:tcW w:w="270" w:type="pct"/>
            <w:tcBorders>
              <w:top w:val="single" w:color="auto" w:sz="4" w:space="0"/>
              <w:left w:val="nil"/>
              <w:bottom w:val="nil"/>
              <w:right w:val="nil"/>
            </w:tcBorders>
            <w:shd w:val="clear" w:color="auto" w:fill="auto"/>
          </w:tcPr>
          <w:p w14:paraId="5ADE44B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0.12</w:t>
            </w:r>
          </w:p>
        </w:tc>
        <w:tc>
          <w:tcPr>
            <w:tcW w:w="270" w:type="pct"/>
            <w:tcBorders>
              <w:top w:val="single" w:color="auto" w:sz="4" w:space="0"/>
              <w:left w:val="nil"/>
              <w:bottom w:val="nil"/>
              <w:right w:val="nil"/>
            </w:tcBorders>
            <w:shd w:val="clear" w:color="auto" w:fill="auto"/>
          </w:tcPr>
          <w:p w14:paraId="1BFFD1E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0.13</w:t>
            </w:r>
          </w:p>
        </w:tc>
        <w:tc>
          <w:tcPr>
            <w:tcW w:w="270" w:type="pct"/>
            <w:tcBorders>
              <w:top w:val="single" w:color="auto" w:sz="4" w:space="0"/>
              <w:left w:val="nil"/>
              <w:bottom w:val="nil"/>
              <w:right w:val="nil"/>
            </w:tcBorders>
            <w:shd w:val="clear" w:color="auto" w:fill="auto"/>
          </w:tcPr>
          <w:p w14:paraId="4023D96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0.17</w:t>
            </w:r>
          </w:p>
        </w:tc>
        <w:tc>
          <w:tcPr>
            <w:tcW w:w="270" w:type="pct"/>
            <w:tcBorders>
              <w:top w:val="single" w:color="auto" w:sz="4" w:space="0"/>
              <w:left w:val="nil"/>
              <w:bottom w:val="nil"/>
              <w:right w:val="nil"/>
            </w:tcBorders>
            <w:shd w:val="clear" w:color="auto" w:fill="auto"/>
          </w:tcPr>
          <w:p w14:paraId="3A57A8B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0.21</w:t>
            </w:r>
          </w:p>
        </w:tc>
        <w:tc>
          <w:tcPr>
            <w:tcW w:w="270" w:type="pct"/>
            <w:tcBorders>
              <w:top w:val="single" w:color="auto" w:sz="4" w:space="0"/>
              <w:left w:val="nil"/>
              <w:bottom w:val="nil"/>
              <w:right w:val="nil"/>
            </w:tcBorders>
            <w:shd w:val="clear" w:color="auto" w:fill="auto"/>
          </w:tcPr>
          <w:p w14:paraId="4FEF868F">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1.23</w:t>
            </w:r>
          </w:p>
        </w:tc>
        <w:tc>
          <w:tcPr>
            <w:tcW w:w="270" w:type="pct"/>
            <w:tcBorders>
              <w:top w:val="single" w:color="auto" w:sz="4" w:space="0"/>
              <w:left w:val="nil"/>
              <w:bottom w:val="nil"/>
              <w:right w:val="nil"/>
            </w:tcBorders>
            <w:shd w:val="clear" w:color="auto" w:fill="auto"/>
          </w:tcPr>
          <w:p w14:paraId="330A0A3F">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1.53</w:t>
            </w:r>
          </w:p>
        </w:tc>
        <w:tc>
          <w:tcPr>
            <w:tcW w:w="270" w:type="pct"/>
            <w:tcBorders>
              <w:top w:val="single" w:color="auto" w:sz="4" w:space="0"/>
              <w:left w:val="nil"/>
              <w:bottom w:val="nil"/>
              <w:right w:val="nil"/>
            </w:tcBorders>
            <w:shd w:val="clear" w:color="auto" w:fill="auto"/>
          </w:tcPr>
          <w:p w14:paraId="2337D4C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0.93</w:t>
            </w:r>
          </w:p>
        </w:tc>
        <w:tc>
          <w:tcPr>
            <w:tcW w:w="270" w:type="pct"/>
            <w:tcBorders>
              <w:top w:val="single" w:color="auto" w:sz="4" w:space="0"/>
              <w:left w:val="nil"/>
              <w:bottom w:val="nil"/>
              <w:right w:val="nil"/>
            </w:tcBorders>
            <w:shd w:val="clear" w:color="auto" w:fill="auto"/>
          </w:tcPr>
          <w:p w14:paraId="2FE996A1">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1.21</w:t>
            </w:r>
          </w:p>
        </w:tc>
      </w:tr>
      <w:tr w14:paraId="68FD831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nil"/>
              <w:right w:val="nil"/>
              <w:tl2br w:val="nil"/>
              <w:tr2bl w:val="nil"/>
            </w:tcBorders>
            <w:shd w:val="clear" w:color="auto" w:fill="auto"/>
          </w:tcPr>
          <w:p w14:paraId="6D1FEA58">
            <w:pPr>
              <w:spacing w:before="40" w:after="40" w:line="240" w:lineRule="auto"/>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CD (P=0.05)</w:t>
            </w:r>
          </w:p>
        </w:tc>
        <w:tc>
          <w:tcPr>
            <w:tcW w:w="270" w:type="pct"/>
            <w:tcBorders>
              <w:top w:val="nil"/>
              <w:left w:val="nil"/>
              <w:bottom w:val="nil"/>
              <w:right w:val="nil"/>
            </w:tcBorders>
            <w:shd w:val="clear" w:color="auto" w:fill="auto"/>
          </w:tcPr>
          <w:p w14:paraId="7C6E327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3.53</w:t>
            </w:r>
          </w:p>
        </w:tc>
        <w:tc>
          <w:tcPr>
            <w:tcW w:w="270" w:type="pct"/>
            <w:tcBorders>
              <w:top w:val="nil"/>
              <w:left w:val="nil"/>
              <w:bottom w:val="nil"/>
              <w:right w:val="nil"/>
            </w:tcBorders>
            <w:shd w:val="clear" w:color="auto" w:fill="auto"/>
          </w:tcPr>
          <w:p w14:paraId="2A931337">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4.30</w:t>
            </w:r>
          </w:p>
        </w:tc>
        <w:tc>
          <w:tcPr>
            <w:tcW w:w="270" w:type="pct"/>
            <w:tcBorders>
              <w:top w:val="nil"/>
              <w:left w:val="nil"/>
              <w:bottom w:val="nil"/>
              <w:right w:val="nil"/>
            </w:tcBorders>
            <w:shd w:val="clear" w:color="auto" w:fill="auto"/>
          </w:tcPr>
          <w:p w14:paraId="6754F4E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2.41</w:t>
            </w:r>
          </w:p>
        </w:tc>
        <w:tc>
          <w:tcPr>
            <w:tcW w:w="270" w:type="pct"/>
            <w:tcBorders>
              <w:top w:val="nil"/>
              <w:left w:val="nil"/>
              <w:bottom w:val="nil"/>
              <w:right w:val="nil"/>
            </w:tcBorders>
            <w:shd w:val="clear" w:color="auto" w:fill="auto"/>
          </w:tcPr>
          <w:p w14:paraId="4145210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3.22</w:t>
            </w:r>
          </w:p>
        </w:tc>
        <w:tc>
          <w:tcPr>
            <w:tcW w:w="270" w:type="pct"/>
            <w:tcBorders>
              <w:top w:val="nil"/>
              <w:left w:val="nil"/>
              <w:bottom w:val="nil"/>
              <w:right w:val="nil"/>
            </w:tcBorders>
            <w:shd w:val="clear" w:color="auto" w:fill="auto"/>
          </w:tcPr>
          <w:p w14:paraId="14111031">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0.34</w:t>
            </w:r>
          </w:p>
        </w:tc>
        <w:tc>
          <w:tcPr>
            <w:tcW w:w="270" w:type="pct"/>
            <w:tcBorders>
              <w:top w:val="nil"/>
              <w:left w:val="nil"/>
              <w:bottom w:val="nil"/>
              <w:right w:val="nil"/>
            </w:tcBorders>
            <w:shd w:val="clear" w:color="auto" w:fill="auto"/>
          </w:tcPr>
          <w:p w14:paraId="6DA6EAEF">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0.37</w:t>
            </w:r>
          </w:p>
        </w:tc>
        <w:tc>
          <w:tcPr>
            <w:tcW w:w="270" w:type="pct"/>
            <w:tcBorders>
              <w:top w:val="nil"/>
              <w:left w:val="nil"/>
              <w:bottom w:val="nil"/>
              <w:right w:val="nil"/>
            </w:tcBorders>
            <w:shd w:val="clear" w:color="auto" w:fill="auto"/>
          </w:tcPr>
          <w:p w14:paraId="378FC97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0.48</w:t>
            </w:r>
          </w:p>
        </w:tc>
        <w:tc>
          <w:tcPr>
            <w:tcW w:w="270" w:type="pct"/>
            <w:tcBorders>
              <w:top w:val="nil"/>
              <w:left w:val="nil"/>
              <w:bottom w:val="nil"/>
              <w:right w:val="nil"/>
            </w:tcBorders>
            <w:shd w:val="clear" w:color="auto" w:fill="auto"/>
          </w:tcPr>
          <w:p w14:paraId="222F95D8">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0.61</w:t>
            </w:r>
          </w:p>
        </w:tc>
        <w:tc>
          <w:tcPr>
            <w:tcW w:w="270" w:type="pct"/>
            <w:tcBorders>
              <w:top w:val="nil"/>
              <w:left w:val="nil"/>
              <w:bottom w:val="nil"/>
              <w:right w:val="nil"/>
            </w:tcBorders>
            <w:shd w:val="clear" w:color="auto" w:fill="auto"/>
          </w:tcPr>
          <w:p w14:paraId="1694563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3.55</w:t>
            </w:r>
          </w:p>
        </w:tc>
        <w:tc>
          <w:tcPr>
            <w:tcW w:w="270" w:type="pct"/>
            <w:tcBorders>
              <w:top w:val="nil"/>
              <w:left w:val="nil"/>
              <w:bottom w:val="nil"/>
              <w:right w:val="nil"/>
            </w:tcBorders>
            <w:shd w:val="clear" w:color="auto" w:fill="auto"/>
          </w:tcPr>
          <w:p w14:paraId="53BD22A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4.40</w:t>
            </w:r>
          </w:p>
        </w:tc>
        <w:tc>
          <w:tcPr>
            <w:tcW w:w="270" w:type="pct"/>
            <w:tcBorders>
              <w:top w:val="nil"/>
              <w:left w:val="nil"/>
              <w:bottom w:val="nil"/>
              <w:right w:val="nil"/>
            </w:tcBorders>
            <w:shd w:val="clear" w:color="auto" w:fill="auto"/>
          </w:tcPr>
          <w:p w14:paraId="19E8096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2.69</w:t>
            </w:r>
          </w:p>
        </w:tc>
        <w:tc>
          <w:tcPr>
            <w:tcW w:w="270" w:type="pct"/>
            <w:tcBorders>
              <w:top w:val="nil"/>
              <w:left w:val="nil"/>
              <w:bottom w:val="nil"/>
              <w:right w:val="nil"/>
            </w:tcBorders>
            <w:shd w:val="clear" w:color="auto" w:fill="auto"/>
          </w:tcPr>
          <w:p w14:paraId="75BCD9D4">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3.48</w:t>
            </w:r>
          </w:p>
        </w:tc>
      </w:tr>
      <w:tr w14:paraId="54C9E34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765" w:type="pct"/>
            <w:tcBorders>
              <w:top w:val="nil"/>
              <w:left w:val="nil"/>
              <w:bottom w:val="single" w:color="auto" w:sz="4" w:space="0"/>
              <w:right w:val="nil"/>
              <w:tl2br w:val="nil"/>
              <w:tr2bl w:val="nil"/>
            </w:tcBorders>
            <w:shd w:val="clear" w:color="auto" w:fill="auto"/>
          </w:tcPr>
          <w:p w14:paraId="6099F020">
            <w:pPr>
              <w:spacing w:before="40" w:after="40" w:line="240" w:lineRule="auto"/>
              <w:rPr>
                <w:rFonts w:ascii="Times New Roman" w:hAnsi="Times New Roman" w:eastAsia="Calibri" w:cs="Times New Roman"/>
                <w:b w:val="0"/>
                <w:bCs w:val="0"/>
                <w:kern w:val="0"/>
                <w:sz w:val="24"/>
                <w:szCs w:val="24"/>
                <w:lang w:val="en-US" w:eastAsia="en-IN" w:bidi="hi-IN"/>
                <w14:ligatures w14:val="none"/>
              </w:rPr>
            </w:pPr>
            <w:r>
              <w:rPr>
                <w:rFonts w:ascii="Times New Roman" w:hAnsi="Times New Roman" w:eastAsia="Calibri" w:cs="Times New Roman"/>
                <w:b w:val="0"/>
                <w:bCs w:val="0"/>
                <w:kern w:val="0"/>
                <w:sz w:val="24"/>
                <w:szCs w:val="24"/>
                <w:lang w:val="en-US" w:eastAsia="en-IN" w:bidi="hi-IN"/>
                <w14:ligatures w14:val="none"/>
              </w:rPr>
              <w:t>Interaction</w:t>
            </w:r>
          </w:p>
        </w:tc>
        <w:tc>
          <w:tcPr>
            <w:tcW w:w="270" w:type="pct"/>
            <w:tcBorders>
              <w:top w:val="nil"/>
              <w:left w:val="nil"/>
              <w:bottom w:val="single" w:color="auto" w:sz="4" w:space="0"/>
              <w:right w:val="nil"/>
            </w:tcBorders>
            <w:shd w:val="clear" w:color="auto" w:fill="auto"/>
          </w:tcPr>
          <w:p w14:paraId="0C9DEA5F">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213503D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09E069C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0147C78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39BD2DC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2992E313">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031E076E">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320FAAED">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1E1D272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5F731672">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5D30FE1C">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c>
          <w:tcPr>
            <w:tcW w:w="270" w:type="pct"/>
            <w:tcBorders>
              <w:top w:val="nil"/>
              <w:left w:val="nil"/>
              <w:bottom w:val="single" w:color="auto" w:sz="4" w:space="0"/>
              <w:right w:val="nil"/>
            </w:tcBorders>
            <w:shd w:val="clear" w:color="auto" w:fill="auto"/>
          </w:tcPr>
          <w:p w14:paraId="3B916B30">
            <w:pPr>
              <w:spacing w:before="40" w:after="40" w:line="240" w:lineRule="auto"/>
              <w:jc w:val="center"/>
              <w:rPr>
                <w:rFonts w:ascii="Times New Roman" w:hAnsi="Times New Roman" w:eastAsia="Calibri" w:cs="Times New Roman"/>
                <w:kern w:val="0"/>
                <w:sz w:val="24"/>
                <w:szCs w:val="24"/>
                <w:lang w:val="en-US" w:eastAsia="en-IN" w:bidi="hi-IN"/>
                <w14:ligatures w14:val="none"/>
              </w:rPr>
            </w:pPr>
            <w:r>
              <w:rPr>
                <w:rFonts w:ascii="Times New Roman" w:hAnsi="Times New Roman" w:eastAsia="Calibri" w:cs="Times New Roman"/>
                <w:kern w:val="0"/>
                <w:sz w:val="24"/>
                <w:szCs w:val="24"/>
                <w:lang w:val="en-US" w:eastAsia="en-IN" w:bidi="hi-IN"/>
                <w14:ligatures w14:val="none"/>
              </w:rPr>
              <w:t>NS</w:t>
            </w:r>
          </w:p>
        </w:tc>
      </w:tr>
    </w:tbl>
    <w:p w14:paraId="4260E659">
      <w:pPr>
        <w:pStyle w:val="15"/>
        <w:spacing w:before="100" w:beforeAutospacing="1" w:after="100" w:afterAutospacing="1"/>
        <w:jc w:val="both"/>
        <w:rPr>
          <w:rFonts w:ascii="Times New Roman" w:hAnsi="Times New Roman" w:cs="Times New Roman"/>
        </w:rPr>
        <w:sectPr>
          <w:pgSz w:w="16838" w:h="11906" w:orient="landscape"/>
          <w:pgMar w:top="2160" w:right="1440" w:bottom="1440" w:left="1440" w:header="1440" w:footer="1008" w:gutter="0"/>
          <w:cols w:space="708" w:num="1"/>
          <w:docGrid w:linePitch="360" w:charSpace="0"/>
        </w:sectPr>
      </w:pPr>
    </w:p>
    <w:p w14:paraId="16A42985">
      <w:pPr>
        <w:pStyle w:val="15"/>
        <w:spacing w:before="100" w:beforeAutospacing="1" w:after="100" w:afterAutospacing="1"/>
        <w:jc w:val="both"/>
        <w:rPr>
          <w:rFonts w:ascii="Times New Roman" w:hAnsi="Times New Roman" w:cs="Times New Roman"/>
          <w:color w:val="auto"/>
        </w:rPr>
      </w:pPr>
      <w:r>
        <w:rPr>
          <w:rFonts w:ascii="Times New Roman" w:hAnsi="Times New Roman" w:cs="Times New Roman"/>
          <w:b/>
          <w:bCs/>
          <w:szCs w:val="28"/>
        </w:rPr>
        <w:t>REFERENCES</w:t>
      </w:r>
    </w:p>
    <w:p w14:paraId="041277BF">
      <w:pPr>
        <w:pStyle w:val="18"/>
        <w:keepLines/>
        <w:shd w:val="clear" w:color="auto" w:fill="FFFFFF"/>
        <w:spacing w:after="0" w:afterAutospacing="0"/>
        <w:ind w:left="720" w:hanging="720"/>
        <w:jc w:val="both"/>
        <w:rPr>
          <w:rFonts w:eastAsiaTheme="minorHAnsi"/>
          <w:kern w:val="24"/>
        </w:rPr>
      </w:pPr>
      <w:r>
        <w:rPr>
          <w:rFonts w:eastAsiaTheme="minorHAnsi"/>
          <w:kern w:val="24"/>
        </w:rPr>
        <w:t xml:space="preserve">Abeysekera, ASK, Management of </w:t>
      </w:r>
      <w:r>
        <w:rPr>
          <w:rFonts w:eastAsiaTheme="minorHAnsi"/>
          <w:i/>
          <w:iCs/>
          <w:kern w:val="24"/>
        </w:rPr>
        <w:t xml:space="preserve">Echinochloa </w:t>
      </w:r>
      <w:r>
        <w:rPr>
          <w:rFonts w:eastAsiaTheme="minorHAnsi"/>
          <w:kern w:val="24"/>
        </w:rPr>
        <w:t xml:space="preserve">spp in rice in Sri Lanka, p1, In: Paper presented at the FAO workshop on </w:t>
      </w:r>
      <w:r>
        <w:rPr>
          <w:rFonts w:eastAsiaTheme="minorHAnsi"/>
          <w:i/>
          <w:iCs/>
          <w:kern w:val="24"/>
        </w:rPr>
        <w:t xml:space="preserve">Echinochloa </w:t>
      </w:r>
      <w:r>
        <w:rPr>
          <w:rFonts w:eastAsiaTheme="minorHAnsi"/>
          <w:kern w:val="24"/>
        </w:rPr>
        <w:t>spp. control, Beijing, China, 2001.</w:t>
      </w:r>
    </w:p>
    <w:p w14:paraId="538892CF">
      <w:pPr>
        <w:pStyle w:val="18"/>
        <w:keepLines/>
        <w:shd w:val="clear" w:color="auto" w:fill="FFFFFF"/>
        <w:spacing w:after="0" w:afterAutospacing="0"/>
        <w:ind w:left="720" w:hanging="720"/>
        <w:jc w:val="both"/>
        <w:rPr>
          <w:rFonts w:eastAsia="Calibri"/>
        </w:rPr>
      </w:pPr>
      <w:r>
        <w:rPr>
          <w:rFonts w:eastAsia="Calibri"/>
        </w:rPr>
        <w:t xml:space="preserve">Ampong-Nyarko K and De Datta, SK, Effect of light and nitrogen and their interaction on the dynamics of rice-wheat competition, </w:t>
      </w:r>
      <w:r>
        <w:rPr>
          <w:rFonts w:eastAsia="Calibri"/>
          <w:i/>
          <w:iCs/>
        </w:rPr>
        <w:t>Weed Research,</w:t>
      </w:r>
      <w:r>
        <w:rPr>
          <w:rFonts w:eastAsia="Calibri"/>
        </w:rPr>
        <w:t xml:space="preserve"> </w:t>
      </w:r>
      <w:r>
        <w:rPr>
          <w:rFonts w:eastAsia="Calibri"/>
          <w:b/>
          <w:i/>
        </w:rPr>
        <w:t>33</w:t>
      </w:r>
      <w:r>
        <w:rPr>
          <w:rFonts w:eastAsia="Calibri"/>
        </w:rPr>
        <w:t>(1), 1–8, 1993.</w:t>
      </w:r>
    </w:p>
    <w:p w14:paraId="3974E06C">
      <w:pPr>
        <w:pStyle w:val="18"/>
        <w:keepLines/>
        <w:shd w:val="clear" w:color="auto" w:fill="FFFFFF"/>
        <w:spacing w:after="0" w:afterAutospacing="0"/>
        <w:ind w:left="720" w:hanging="720"/>
        <w:jc w:val="both"/>
        <w:rPr>
          <w:rFonts w:eastAsia="Calibri"/>
        </w:rPr>
      </w:pPr>
      <w:r>
        <w:rPr>
          <w:rFonts w:eastAsia="Calibri"/>
        </w:rPr>
        <w:t>Borah, D, Ghosh, M and Ghosh, DC, Effect of nutrient management practices on weed infestation, crop productivity and economics of rainfed upland rice (</w:t>
      </w:r>
      <w:r>
        <w:rPr>
          <w:rFonts w:eastAsia="Calibri"/>
          <w:i/>
          <w:iCs/>
        </w:rPr>
        <w:t>Oryza sativa</w:t>
      </w:r>
      <w:r>
        <w:rPr>
          <w:rFonts w:eastAsia="Calibri"/>
        </w:rPr>
        <w:t xml:space="preserve"> L.) in Arunachal Pradesh, </w:t>
      </w:r>
      <w:r>
        <w:rPr>
          <w:rFonts w:eastAsia="Calibri"/>
          <w:i/>
          <w:iCs/>
        </w:rPr>
        <w:t>Int J Bio-res Env Agril Sci,</w:t>
      </w:r>
      <w:r>
        <w:rPr>
          <w:rFonts w:eastAsia="Calibri"/>
        </w:rPr>
        <w:t xml:space="preserve"> </w:t>
      </w:r>
      <w:r>
        <w:rPr>
          <w:rFonts w:eastAsia="Calibri"/>
          <w:b/>
          <w:bCs/>
          <w:i/>
          <w:iCs/>
        </w:rPr>
        <w:t>1</w:t>
      </w:r>
      <w:r>
        <w:rPr>
          <w:rFonts w:eastAsia="Calibri"/>
        </w:rPr>
        <w:t>, 77-83, 2015.</w:t>
      </w:r>
    </w:p>
    <w:p w14:paraId="53D2652D">
      <w:pPr>
        <w:pStyle w:val="18"/>
        <w:keepLines/>
        <w:shd w:val="clear" w:color="auto" w:fill="FFFFFF"/>
        <w:spacing w:after="0" w:afterAutospacing="0"/>
        <w:ind w:left="720" w:hanging="720"/>
        <w:jc w:val="both"/>
      </w:pPr>
      <w:r>
        <w:t xml:space="preserve">Brar, HS and Bhullar, MS, Nutrient uptake by direct seeded rice and associated weeds as influenced by sowing date, variety and weed control, </w:t>
      </w:r>
      <w:r>
        <w:rPr>
          <w:i/>
          <w:iCs/>
        </w:rPr>
        <w:t>Indian Journal of Agricultural Research,</w:t>
      </w:r>
      <w:r>
        <w:t xml:space="preserve"> </w:t>
      </w:r>
      <w:r>
        <w:rPr>
          <w:b/>
          <w:i/>
        </w:rPr>
        <w:t>47</w:t>
      </w:r>
      <w:r>
        <w:t>(4), 353-358, 2013.</w:t>
      </w:r>
    </w:p>
    <w:p w14:paraId="4980564D">
      <w:pPr>
        <w:pStyle w:val="18"/>
        <w:keepLines/>
        <w:shd w:val="clear" w:color="auto" w:fill="FFFFFF"/>
        <w:spacing w:after="0" w:afterAutospacing="0"/>
        <w:ind w:left="720" w:hanging="720"/>
        <w:jc w:val="both"/>
      </w:pPr>
      <w:r>
        <w:t xml:space="preserve">Chauhan BS, Weed ecology and weed management strategies for dry-seeded rice in Asia, </w:t>
      </w:r>
      <w:r>
        <w:rPr>
          <w:i/>
          <w:iCs/>
        </w:rPr>
        <w:t xml:space="preserve">Weed Technology, </w:t>
      </w:r>
      <w:r>
        <w:rPr>
          <w:b/>
          <w:bCs/>
          <w:i/>
          <w:iCs/>
        </w:rPr>
        <w:t>26</w:t>
      </w:r>
      <w:r>
        <w:t>, 1-13, 2012b.</w:t>
      </w:r>
    </w:p>
    <w:p w14:paraId="5B7B917A">
      <w:pPr>
        <w:pStyle w:val="18"/>
        <w:keepLines/>
        <w:shd w:val="clear" w:color="auto" w:fill="FFFFFF"/>
        <w:spacing w:after="0" w:afterAutospacing="0"/>
        <w:ind w:left="720" w:hanging="720"/>
        <w:jc w:val="both"/>
      </w:pPr>
      <w:r>
        <w:t xml:space="preserve">Chauhan, BS and Abugho, SB, Effect of crop residue on seedling emergence and growth of selected weed species in a sprinkler-irrigated zero-till dry-seeded rice system, </w:t>
      </w:r>
      <w:r>
        <w:rPr>
          <w:i/>
          <w:iCs/>
        </w:rPr>
        <w:t>Weed Science</w:t>
      </w:r>
      <w:r>
        <w:t xml:space="preserve">, </w:t>
      </w:r>
      <w:r>
        <w:rPr>
          <w:b/>
          <w:bCs/>
          <w:i/>
          <w:iCs/>
        </w:rPr>
        <w:t>61</w:t>
      </w:r>
      <w:r>
        <w:t>, 403-409, 2013.</w:t>
      </w:r>
    </w:p>
    <w:p w14:paraId="2E88D66E">
      <w:pPr>
        <w:pStyle w:val="18"/>
        <w:keepLines/>
        <w:shd w:val="clear" w:color="auto" w:fill="FFFFFF"/>
        <w:spacing w:after="0" w:afterAutospacing="0"/>
        <w:ind w:left="720" w:hanging="720"/>
        <w:jc w:val="both"/>
      </w:pPr>
      <w:r>
        <w:t xml:space="preserve">Chauhan, BŠ and Johnson, DE, Implications of narrow crop row spacing and delayed </w:t>
      </w:r>
      <w:r>
        <w:rPr>
          <w:i/>
          <w:iCs/>
        </w:rPr>
        <w:t>Echinochloa colona</w:t>
      </w:r>
      <w:r>
        <w:t xml:space="preserve"> and </w:t>
      </w:r>
      <w:r>
        <w:rPr>
          <w:i/>
          <w:iCs/>
        </w:rPr>
        <w:t>Echinochloa crus-galli</w:t>
      </w:r>
      <w:r>
        <w:t xml:space="preserve"> emergence for weed growth and crop yield loss in aerobic rice, </w:t>
      </w:r>
      <w:r>
        <w:rPr>
          <w:i/>
          <w:iCs/>
        </w:rPr>
        <w:t>Field Crops Res</w:t>
      </w:r>
      <w:r>
        <w:t xml:space="preserve">, </w:t>
      </w:r>
      <w:r>
        <w:rPr>
          <w:b/>
          <w:bCs/>
          <w:i/>
          <w:iCs/>
        </w:rPr>
        <w:t>117</w:t>
      </w:r>
      <w:r>
        <w:t>, 177-182, 2010b.</w:t>
      </w:r>
    </w:p>
    <w:p w14:paraId="5296FD05">
      <w:pPr>
        <w:keepLines/>
        <w:autoSpaceDE w:val="0"/>
        <w:autoSpaceDN w:val="0"/>
        <w:adjustRightInd w:val="0"/>
        <w:spacing w:before="100" w:beforeAutospacing="1" w:after="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Chongtham, SK, Singh, RP, Singh, RK, Lhungdim, J and Ahmad, I, Effect of crop establishment methods and weed management practices on weeds, growth and yield of direct-seeded rice, </w:t>
      </w:r>
      <w:r>
        <w:rPr>
          <w:rFonts w:ascii="Times New Roman" w:hAnsi="Times New Roman" w:cs="Times New Roman"/>
          <w:i/>
          <w:iCs/>
          <w:sz w:val="24"/>
          <w:szCs w:val="24"/>
          <w:shd w:val="clear" w:color="auto" w:fill="FFFFFF"/>
        </w:rPr>
        <w:t>Research on Crops</w:t>
      </w:r>
      <w:r>
        <w:rPr>
          <w:rFonts w:ascii="Times New Roman" w:hAnsi="Times New Roman" w:cs="Times New Roman"/>
          <w:sz w:val="24"/>
          <w:szCs w:val="24"/>
          <w:shd w:val="clear" w:color="auto" w:fill="FFFFFF"/>
        </w:rPr>
        <w:t>, </w:t>
      </w:r>
      <w:r>
        <w:rPr>
          <w:rFonts w:ascii="Times New Roman" w:hAnsi="Times New Roman" w:cs="Times New Roman"/>
          <w:b/>
          <w:bCs/>
          <w:i/>
          <w:iCs/>
          <w:sz w:val="24"/>
          <w:szCs w:val="24"/>
          <w:shd w:val="clear" w:color="auto" w:fill="FFFFFF"/>
        </w:rPr>
        <w:t>16</w:t>
      </w:r>
      <w:r>
        <w:rPr>
          <w:rFonts w:ascii="Times New Roman" w:hAnsi="Times New Roman" w:cs="Times New Roman"/>
          <w:sz w:val="24"/>
          <w:szCs w:val="24"/>
          <w:shd w:val="clear" w:color="auto" w:fill="FFFFFF"/>
        </w:rPr>
        <w:t>, 21-26, 2015.</w:t>
      </w:r>
    </w:p>
    <w:p w14:paraId="05759877">
      <w:pPr>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eastAsia="Calibri" w:cs="Times New Roman"/>
          <w:sz w:val="24"/>
          <w:szCs w:val="24"/>
        </w:rPr>
        <w:t xml:space="preserve">Choubey, NK, Tripathi, RS, Ghosh, BC and Kolhe, SS, Influence of fertilizer and weed management practices on weed growth and yield of direct-seeded upland rice, </w:t>
      </w:r>
      <w:r>
        <w:rPr>
          <w:rFonts w:ascii="Times New Roman" w:hAnsi="Times New Roman" w:eastAsia="Calibri" w:cs="Times New Roman"/>
          <w:i/>
          <w:iCs/>
          <w:sz w:val="24"/>
          <w:szCs w:val="24"/>
        </w:rPr>
        <w:t>Oryza</w:t>
      </w:r>
      <w:r>
        <w:rPr>
          <w:rFonts w:ascii="Times New Roman" w:hAnsi="Times New Roman" w:eastAsia="Calibri" w:cs="Times New Roman"/>
          <w:sz w:val="24"/>
          <w:szCs w:val="24"/>
        </w:rPr>
        <w:t xml:space="preserve">, </w:t>
      </w:r>
      <w:r>
        <w:rPr>
          <w:rFonts w:ascii="Times New Roman" w:hAnsi="Times New Roman" w:eastAsia="Calibri" w:cs="Times New Roman"/>
          <w:b/>
          <w:bCs/>
          <w:i/>
          <w:iCs/>
          <w:sz w:val="24"/>
          <w:szCs w:val="24"/>
        </w:rPr>
        <w:t>35</w:t>
      </w:r>
      <w:r>
        <w:rPr>
          <w:rFonts w:ascii="Times New Roman" w:hAnsi="Times New Roman" w:eastAsia="Calibri" w:cs="Times New Roman"/>
          <w:sz w:val="24"/>
          <w:szCs w:val="24"/>
        </w:rPr>
        <w:t>, 154-158, 1998.</w:t>
      </w:r>
    </w:p>
    <w:p w14:paraId="0B66B313">
      <w:pPr>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CRRI-Central Rice Research Institute-Indian Council of Agricultural Research, Vision 2050, Cuttack, Odisha, India, 2013.</w:t>
      </w:r>
    </w:p>
    <w:p w14:paraId="7DF088F6">
      <w:pPr>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FAO, 2017, Rice Market Monitor, December 2017, XX(4).</w:t>
      </w:r>
    </w:p>
    <w:p w14:paraId="0FC333E4">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Fazil, K, Das, TK, Nath, CP, Nazir, R and Samim, M, Nitrogen and weed management effects on weeds and yield of barley in Kandahar, Afghanistan, 2022.</w:t>
      </w:r>
    </w:p>
    <w:p w14:paraId="4EAA624E">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Ghosheh, HZ, Holshouser, DL and Chandler, JM, The critical period of Johnson grass (</w:t>
      </w:r>
      <w:r>
        <w:rPr>
          <w:rFonts w:ascii="Times New Roman" w:hAnsi="Times New Roman" w:cs="Times New Roman"/>
          <w:i/>
          <w:sz w:val="24"/>
          <w:szCs w:val="24"/>
        </w:rPr>
        <w:t>Sorghum halepense</w:t>
      </w:r>
      <w:r>
        <w:rPr>
          <w:rFonts w:ascii="Times New Roman" w:hAnsi="Times New Roman" w:cs="Times New Roman"/>
          <w:sz w:val="24"/>
          <w:szCs w:val="24"/>
        </w:rPr>
        <w:t>) control in field corn (</w:t>
      </w:r>
      <w:r>
        <w:rPr>
          <w:rFonts w:ascii="Times New Roman" w:hAnsi="Times New Roman" w:cs="Times New Roman"/>
          <w:i/>
          <w:sz w:val="24"/>
          <w:szCs w:val="24"/>
        </w:rPr>
        <w:t>Zea mays</w:t>
      </w:r>
      <w:r>
        <w:rPr>
          <w:rFonts w:ascii="Times New Roman" w:hAnsi="Times New Roman" w:cs="Times New Roman"/>
          <w:sz w:val="24"/>
          <w:szCs w:val="24"/>
        </w:rPr>
        <w:t xml:space="preserve">), </w:t>
      </w:r>
      <w:r>
        <w:rPr>
          <w:rFonts w:ascii="Times New Roman" w:hAnsi="Times New Roman" w:cs="Times New Roman"/>
          <w:i/>
          <w:iCs/>
          <w:sz w:val="24"/>
          <w:szCs w:val="24"/>
        </w:rPr>
        <w:t>Weed Science</w:t>
      </w:r>
      <w:r>
        <w:rPr>
          <w:rFonts w:ascii="Times New Roman" w:hAnsi="Times New Roman" w:cs="Times New Roman"/>
          <w:sz w:val="24"/>
          <w:szCs w:val="24"/>
        </w:rPr>
        <w:t xml:space="preserve">, </w:t>
      </w:r>
      <w:r>
        <w:rPr>
          <w:rFonts w:ascii="Times New Roman" w:hAnsi="Times New Roman" w:cs="Times New Roman"/>
          <w:b/>
          <w:i/>
          <w:sz w:val="24"/>
          <w:szCs w:val="24"/>
        </w:rPr>
        <w:t>44</w:t>
      </w:r>
      <w:r>
        <w:rPr>
          <w:rFonts w:ascii="Times New Roman" w:hAnsi="Times New Roman" w:cs="Times New Roman"/>
          <w:sz w:val="24"/>
          <w:szCs w:val="24"/>
        </w:rPr>
        <w:t>(4), 944-947, 1996.</w:t>
      </w:r>
    </w:p>
    <w:p w14:paraId="798A382D">
      <w:pPr>
        <w:keepLines/>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Gill, GS and Kumar, Weed index- A new method for reporting weed control trials, </w:t>
      </w:r>
      <w:r>
        <w:rPr>
          <w:rFonts w:ascii="Times New Roman" w:hAnsi="Times New Roman" w:cs="Times New Roman"/>
          <w:i/>
          <w:iCs/>
          <w:sz w:val="24"/>
          <w:szCs w:val="24"/>
        </w:rPr>
        <w:t>Indian Journal of Agronomy</w:t>
      </w:r>
      <w:r>
        <w:rPr>
          <w:rFonts w:ascii="Times New Roman" w:hAnsi="Times New Roman" w:cs="Times New Roman"/>
          <w:sz w:val="24"/>
          <w:szCs w:val="24"/>
        </w:rPr>
        <w:t xml:space="preserve">, </w:t>
      </w:r>
      <w:r>
        <w:rPr>
          <w:rFonts w:ascii="Times New Roman" w:hAnsi="Times New Roman" w:cs="Times New Roman"/>
          <w:b/>
          <w:bCs/>
          <w:i/>
          <w:iCs/>
          <w:sz w:val="24"/>
          <w:szCs w:val="24"/>
        </w:rPr>
        <w:t>14</w:t>
      </w:r>
      <w:r>
        <w:rPr>
          <w:rFonts w:ascii="Times New Roman" w:hAnsi="Times New Roman" w:cs="Times New Roman"/>
          <w:sz w:val="24"/>
          <w:szCs w:val="24"/>
        </w:rPr>
        <w:t>, 96-98, 1969.</w:t>
      </w:r>
    </w:p>
    <w:p w14:paraId="469A217D">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GOI 2018, </w:t>
      </w:r>
      <w:r>
        <w:rPr>
          <w:rFonts w:ascii="Times New Roman" w:hAnsi="Times New Roman" w:cs="Times New Roman"/>
          <w:i/>
          <w:iCs/>
          <w:sz w:val="24"/>
          <w:szCs w:val="24"/>
        </w:rPr>
        <w:t>Annual Report 2017-18</w:t>
      </w:r>
      <w:r>
        <w:rPr>
          <w:rFonts w:ascii="Times New Roman" w:hAnsi="Times New Roman" w:cs="Times New Roman"/>
          <w:sz w:val="24"/>
          <w:szCs w:val="24"/>
        </w:rPr>
        <w:t>, Department of Agriculture, Cooperation and Farmers Welfare, Govt of India, New Delhi.</w:t>
      </w:r>
    </w:p>
    <w:p w14:paraId="22039E17">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Jackson, ML, Soil Chemical Analysis, Prentice Hall of India Pvt. Ltd., New Delhi, 498, 1973.</w:t>
      </w:r>
    </w:p>
    <w:p w14:paraId="7FD49E7C">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J, Singh, D, Singh, B, Singh, R, Panwar, S and Gupta, AK, Sowing time and weed management practices to enhance yield of direct-seeded rice,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w:t>
      </w:r>
      <w:r>
        <w:rPr>
          <w:rFonts w:ascii="Times New Roman" w:hAnsi="Times New Roman" w:cs="Times New Roman"/>
          <w:b/>
          <w:bCs/>
          <w:i/>
          <w:iCs/>
          <w:sz w:val="24"/>
          <w:szCs w:val="24"/>
        </w:rPr>
        <w:t>44</w:t>
      </w:r>
      <w:r>
        <w:rPr>
          <w:rFonts w:ascii="Times New Roman" w:hAnsi="Times New Roman" w:cs="Times New Roman"/>
          <w:sz w:val="24"/>
          <w:szCs w:val="24"/>
        </w:rPr>
        <w:t>, 207–209, 2012.</w:t>
      </w:r>
    </w:p>
    <w:p w14:paraId="1AD0FBDA">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Malecka, I and Blecharczyk, A, Effect of tillage systems, mulches and nitrogen fertilization on spring barley (</w:t>
      </w:r>
      <w:r>
        <w:rPr>
          <w:rFonts w:ascii="Times New Roman" w:hAnsi="Times New Roman" w:cs="Times New Roman"/>
          <w:i/>
          <w:iCs/>
          <w:sz w:val="24"/>
          <w:szCs w:val="24"/>
        </w:rPr>
        <w:t>Hordeum vulgare</w:t>
      </w:r>
      <w:r>
        <w:rPr>
          <w:rFonts w:ascii="Times New Roman" w:hAnsi="Times New Roman" w:cs="Times New Roman"/>
          <w:sz w:val="24"/>
          <w:szCs w:val="24"/>
        </w:rPr>
        <w:t xml:space="preserve">), </w:t>
      </w:r>
      <w:r>
        <w:rPr>
          <w:rFonts w:ascii="Times New Roman" w:hAnsi="Times New Roman" w:cs="Times New Roman"/>
          <w:i/>
          <w:iCs/>
          <w:sz w:val="24"/>
          <w:szCs w:val="24"/>
        </w:rPr>
        <w:t>Agronomy Research,</w:t>
      </w:r>
      <w:r>
        <w:rPr>
          <w:rFonts w:ascii="Times New Roman" w:hAnsi="Times New Roman" w:cs="Times New Roman"/>
          <w:sz w:val="24"/>
          <w:szCs w:val="24"/>
        </w:rPr>
        <w:t xml:space="preserve"> </w:t>
      </w:r>
      <w:r>
        <w:rPr>
          <w:rFonts w:ascii="Times New Roman" w:hAnsi="Times New Roman" w:cs="Times New Roman"/>
          <w:b/>
          <w:bCs/>
          <w:i/>
          <w:iCs/>
          <w:sz w:val="24"/>
          <w:szCs w:val="24"/>
        </w:rPr>
        <w:t>6</w:t>
      </w:r>
      <w:r>
        <w:rPr>
          <w:rFonts w:ascii="Times New Roman" w:hAnsi="Times New Roman" w:cs="Times New Roman"/>
          <w:sz w:val="24"/>
          <w:szCs w:val="24"/>
        </w:rPr>
        <w:t>, 517-529, 2008.</w:t>
      </w:r>
    </w:p>
    <w:p w14:paraId="5E5A96F6">
      <w:pPr>
        <w:keepLines/>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Mani, VS, Chakraborty, TK and Gautam, KC, Double hedge weed killers in peas, </w:t>
      </w:r>
      <w:r>
        <w:rPr>
          <w:rFonts w:ascii="Times New Roman" w:hAnsi="Times New Roman" w:cs="Times New Roman"/>
          <w:i/>
          <w:iCs/>
          <w:sz w:val="24"/>
          <w:szCs w:val="24"/>
        </w:rPr>
        <w:t>Indian Farming</w:t>
      </w:r>
      <w:r>
        <w:rPr>
          <w:rFonts w:ascii="Times New Roman" w:hAnsi="Times New Roman" w:cs="Times New Roman"/>
          <w:sz w:val="24"/>
          <w:szCs w:val="24"/>
        </w:rPr>
        <w:t xml:space="preserve">, </w:t>
      </w:r>
      <w:r>
        <w:rPr>
          <w:rFonts w:ascii="Times New Roman" w:hAnsi="Times New Roman" w:cs="Times New Roman"/>
          <w:b/>
          <w:bCs/>
          <w:i/>
          <w:iCs/>
          <w:sz w:val="24"/>
          <w:szCs w:val="24"/>
        </w:rPr>
        <w:t>26</w:t>
      </w:r>
      <w:r>
        <w:rPr>
          <w:rFonts w:ascii="Times New Roman" w:hAnsi="Times New Roman" w:cs="Times New Roman"/>
          <w:sz w:val="24"/>
          <w:szCs w:val="24"/>
        </w:rPr>
        <w:t>, 80-83, 1973.</w:t>
      </w:r>
    </w:p>
    <w:p w14:paraId="545E411E">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Mishra, MM, Dash, R and Mishra, M, Weed persistence, crop resistance and phytotonic effects of herbicides in direct-seeded rice,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w:t>
      </w:r>
      <w:r>
        <w:rPr>
          <w:rFonts w:ascii="Times New Roman" w:hAnsi="Times New Roman" w:cs="Times New Roman"/>
          <w:b/>
          <w:bCs/>
          <w:i/>
          <w:iCs/>
          <w:sz w:val="24"/>
          <w:szCs w:val="24"/>
        </w:rPr>
        <w:t>48</w:t>
      </w:r>
      <w:r>
        <w:rPr>
          <w:rFonts w:ascii="Times New Roman" w:hAnsi="Times New Roman" w:cs="Times New Roman"/>
          <w:sz w:val="24"/>
          <w:szCs w:val="24"/>
        </w:rPr>
        <w:t>, 13–16, 2016.</w:t>
      </w:r>
    </w:p>
    <w:p w14:paraId="3EF50F5D">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Mukherjee, D, Weed management in rice, </w:t>
      </w:r>
      <w:r>
        <w:rPr>
          <w:rFonts w:ascii="Times New Roman" w:hAnsi="Times New Roman" w:cs="Times New Roman"/>
          <w:i/>
          <w:sz w:val="24"/>
          <w:szCs w:val="24"/>
        </w:rPr>
        <w:t>Agriculture Today</w:t>
      </w:r>
      <w:r>
        <w:rPr>
          <w:rFonts w:ascii="Times New Roman" w:hAnsi="Times New Roman" w:cs="Times New Roman"/>
          <w:i/>
          <w:iCs/>
          <w:sz w:val="24"/>
          <w:szCs w:val="24"/>
        </w:rPr>
        <w:t xml:space="preserve">, </w:t>
      </w:r>
      <w:r>
        <w:rPr>
          <w:rFonts w:ascii="Times New Roman" w:hAnsi="Times New Roman" w:cs="Times New Roman"/>
          <w:b/>
          <w:bCs/>
          <w:i/>
          <w:sz w:val="24"/>
          <w:szCs w:val="24"/>
        </w:rPr>
        <w:t>11</w:t>
      </w:r>
      <w:r>
        <w:rPr>
          <w:rFonts w:ascii="Times New Roman" w:hAnsi="Times New Roman" w:cs="Times New Roman"/>
          <w:sz w:val="24"/>
          <w:szCs w:val="24"/>
        </w:rPr>
        <w:t>, 26-27, 2004.</w:t>
      </w:r>
    </w:p>
    <w:p w14:paraId="5A5B391A">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Oerke, EC and Dehne, HW, Safeguarding production losses in major crops and the role of crop protection, </w:t>
      </w:r>
      <w:r>
        <w:rPr>
          <w:rFonts w:ascii="Times New Roman" w:hAnsi="Times New Roman" w:cs="Times New Roman"/>
          <w:i/>
          <w:sz w:val="24"/>
          <w:szCs w:val="24"/>
        </w:rPr>
        <w:t>Crop Protection</w:t>
      </w:r>
      <w:r>
        <w:rPr>
          <w:rFonts w:ascii="Times New Roman" w:hAnsi="Times New Roman" w:cs="Times New Roman"/>
          <w:b/>
          <w:bCs/>
          <w:iCs/>
          <w:sz w:val="24"/>
          <w:szCs w:val="24"/>
        </w:rPr>
        <w:t xml:space="preserve">, </w:t>
      </w:r>
      <w:r>
        <w:rPr>
          <w:rFonts w:ascii="Times New Roman" w:hAnsi="Times New Roman" w:cs="Times New Roman"/>
          <w:b/>
          <w:bCs/>
          <w:i/>
          <w:sz w:val="24"/>
          <w:szCs w:val="24"/>
        </w:rPr>
        <w:t>23</w:t>
      </w:r>
      <w:r>
        <w:rPr>
          <w:rFonts w:ascii="Times New Roman" w:hAnsi="Times New Roman" w:cs="Times New Roman"/>
          <w:sz w:val="24"/>
          <w:szCs w:val="24"/>
        </w:rPr>
        <w:t>(4), 275-285, 2004.</w:t>
      </w:r>
    </w:p>
    <w:p w14:paraId="78AA7DDF">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Saravanane, P, Mala, S and Chellamuthu, V, Integrated weed management in aerobic rice,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w:t>
      </w:r>
      <w:r>
        <w:rPr>
          <w:rFonts w:ascii="Times New Roman" w:hAnsi="Times New Roman" w:cs="Times New Roman"/>
          <w:b/>
          <w:bCs/>
          <w:i/>
          <w:iCs/>
          <w:sz w:val="24"/>
          <w:szCs w:val="24"/>
        </w:rPr>
        <w:t>48</w:t>
      </w:r>
      <w:r>
        <w:rPr>
          <w:rFonts w:ascii="Times New Roman" w:hAnsi="Times New Roman" w:cs="Times New Roman"/>
          <w:sz w:val="24"/>
          <w:szCs w:val="24"/>
        </w:rPr>
        <w:t>, 152-154, 2016.</w:t>
      </w:r>
    </w:p>
    <w:p w14:paraId="3FABD5A3">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V, Jat, ML, Ganie, ZA, Chauhan, BS, and Gupta, RK, Herbicide options for effective weed management in dry direct-seeded rice under scented rice-wheat rotation of western Indo-Gangetic Plains, </w:t>
      </w:r>
      <w:r>
        <w:rPr>
          <w:rFonts w:ascii="Times New Roman" w:hAnsi="Times New Roman" w:cs="Times New Roman"/>
          <w:i/>
          <w:iCs/>
          <w:sz w:val="24"/>
          <w:szCs w:val="24"/>
        </w:rPr>
        <w:t>Crop Protection</w:t>
      </w:r>
      <w:r>
        <w:rPr>
          <w:rFonts w:ascii="Times New Roman" w:hAnsi="Times New Roman" w:cs="Times New Roman"/>
          <w:sz w:val="24"/>
          <w:szCs w:val="24"/>
        </w:rPr>
        <w:t xml:space="preserve">, </w:t>
      </w:r>
      <w:r>
        <w:rPr>
          <w:rFonts w:ascii="Times New Roman" w:hAnsi="Times New Roman" w:cs="Times New Roman"/>
          <w:b/>
          <w:bCs/>
          <w:i/>
          <w:iCs/>
          <w:sz w:val="24"/>
          <w:szCs w:val="24"/>
        </w:rPr>
        <w:t>81</w:t>
      </w:r>
      <w:r>
        <w:rPr>
          <w:rFonts w:ascii="Times New Roman" w:hAnsi="Times New Roman" w:cs="Times New Roman"/>
          <w:sz w:val="24"/>
          <w:szCs w:val="24"/>
        </w:rPr>
        <w:t>, 168-176, 2016.</w:t>
      </w:r>
    </w:p>
    <w:p w14:paraId="3E2FB158">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Suria, JASM, Juraimi, AS, Rahman, MM, Man, AB and Selamat, A, Efficacy and economics of different herbicides in aerobic rice system, </w:t>
      </w:r>
      <w:r>
        <w:rPr>
          <w:rFonts w:ascii="Times New Roman" w:hAnsi="Times New Roman" w:cs="Times New Roman"/>
          <w:i/>
          <w:iCs/>
          <w:sz w:val="24"/>
          <w:szCs w:val="24"/>
        </w:rPr>
        <w:t>African Journal of Biotechnology</w:t>
      </w:r>
      <w:r>
        <w:rPr>
          <w:rFonts w:ascii="Times New Roman" w:hAnsi="Times New Roman" w:cs="Times New Roman"/>
          <w:sz w:val="24"/>
          <w:szCs w:val="24"/>
        </w:rPr>
        <w:t xml:space="preserve">, </w:t>
      </w:r>
      <w:r>
        <w:rPr>
          <w:rFonts w:ascii="Times New Roman" w:hAnsi="Times New Roman" w:cs="Times New Roman"/>
          <w:b/>
          <w:bCs/>
          <w:i/>
          <w:iCs/>
          <w:sz w:val="24"/>
          <w:szCs w:val="24"/>
        </w:rPr>
        <w:t>10</w:t>
      </w:r>
      <w:r>
        <w:rPr>
          <w:rFonts w:ascii="Times New Roman" w:hAnsi="Times New Roman" w:cs="Times New Roman"/>
          <w:sz w:val="24"/>
          <w:szCs w:val="24"/>
        </w:rPr>
        <w:t>, 8007-8022, 2011.</w:t>
      </w:r>
    </w:p>
    <w:p w14:paraId="46B362B9">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Teasdale, JR and Möhler, CL, Light transmittance, soil temperature, and soil moisture under residue of hairy vetch and rye, </w:t>
      </w:r>
      <w:r>
        <w:rPr>
          <w:rFonts w:ascii="Times New Roman" w:hAnsi="Times New Roman" w:cs="Times New Roman"/>
          <w:i/>
          <w:iCs/>
          <w:sz w:val="24"/>
          <w:szCs w:val="24"/>
          <w:shd w:val="clear" w:color="auto" w:fill="FFFFFF"/>
        </w:rPr>
        <w:t>Agronomy Journal</w:t>
      </w:r>
      <w:r>
        <w:rPr>
          <w:rFonts w:ascii="Times New Roman" w:hAnsi="Times New Roman" w:cs="Times New Roman"/>
          <w:sz w:val="24"/>
          <w:szCs w:val="24"/>
          <w:shd w:val="clear" w:color="auto" w:fill="FFFFFF"/>
        </w:rPr>
        <w:t>, </w:t>
      </w:r>
      <w:r>
        <w:rPr>
          <w:rFonts w:ascii="Times New Roman" w:hAnsi="Times New Roman" w:cs="Times New Roman"/>
          <w:b/>
          <w:bCs/>
          <w:i/>
          <w:iCs/>
          <w:sz w:val="24"/>
          <w:szCs w:val="24"/>
          <w:shd w:val="clear" w:color="auto" w:fill="FFFFFF"/>
        </w:rPr>
        <w:t>85</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673-680, 1993. </w:t>
      </w:r>
    </w:p>
    <w:p w14:paraId="6ADF204E">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Woolley, BL, Michales, TE, Hall, MR and Swanton, CJ, The critical period of weed control in white bean (</w:t>
      </w:r>
      <w:r>
        <w:rPr>
          <w:rFonts w:ascii="Times New Roman" w:hAnsi="Times New Roman" w:cs="Times New Roman"/>
          <w:i/>
          <w:sz w:val="24"/>
          <w:szCs w:val="24"/>
        </w:rPr>
        <w:t>Phaseolus vulgaris</w:t>
      </w:r>
      <w:r>
        <w:rPr>
          <w:rFonts w:ascii="Times New Roman" w:hAnsi="Times New Roman" w:cs="Times New Roman"/>
          <w:sz w:val="24"/>
          <w:szCs w:val="24"/>
        </w:rPr>
        <w:t xml:space="preserve">), </w:t>
      </w:r>
      <w:r>
        <w:rPr>
          <w:rFonts w:ascii="Times New Roman" w:hAnsi="Times New Roman" w:cs="Times New Roman"/>
          <w:i/>
          <w:iCs/>
          <w:sz w:val="24"/>
          <w:szCs w:val="24"/>
        </w:rPr>
        <w:t>Weed Science</w:t>
      </w:r>
      <w:r>
        <w:rPr>
          <w:rFonts w:ascii="Times New Roman" w:hAnsi="Times New Roman" w:cs="Times New Roman"/>
          <w:sz w:val="24"/>
          <w:szCs w:val="24"/>
        </w:rPr>
        <w:t xml:space="preserve">, </w:t>
      </w:r>
      <w:r>
        <w:rPr>
          <w:rFonts w:ascii="Times New Roman" w:hAnsi="Times New Roman" w:cs="Times New Roman"/>
          <w:b/>
          <w:i/>
          <w:sz w:val="24"/>
          <w:szCs w:val="24"/>
        </w:rPr>
        <w:t>41</w:t>
      </w:r>
      <w:r>
        <w:rPr>
          <w:rFonts w:ascii="Times New Roman" w:hAnsi="Times New Roman" w:cs="Times New Roman"/>
          <w:sz w:val="24"/>
          <w:szCs w:val="24"/>
        </w:rPr>
        <w:t>,180-181, 1993.</w:t>
      </w:r>
    </w:p>
    <w:p w14:paraId="0CE74D05">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Yogananda, SB, Thimmegowda, P and Shruthi, GK, Sequential application of pre-and post-emergence herbicides for control of complex weed flora in dry direct-seeded rice under Cauvery command area of Karnataka, </w:t>
      </w:r>
      <w:r>
        <w:rPr>
          <w:rFonts w:ascii="Times New Roman" w:hAnsi="Times New Roman" w:cs="Times New Roman"/>
          <w:b/>
          <w:bCs/>
          <w:i/>
          <w:iCs/>
          <w:sz w:val="24"/>
          <w:szCs w:val="24"/>
        </w:rPr>
        <w:t>51</w:t>
      </w:r>
      <w:r>
        <w:rPr>
          <w:rFonts w:ascii="Times New Roman" w:hAnsi="Times New Roman" w:cs="Times New Roman"/>
          <w:sz w:val="24"/>
          <w:szCs w:val="24"/>
        </w:rPr>
        <w:t>, 111-115, 2019.</w:t>
      </w:r>
    </w:p>
    <w:p w14:paraId="054BF72E">
      <w:pPr>
        <w:pStyle w:val="18"/>
        <w:keepLines/>
        <w:shd w:val="clear" w:color="auto" w:fill="FFFFFF"/>
        <w:ind w:left="720" w:hanging="720"/>
        <w:jc w:val="both"/>
        <w:rPr>
          <w:lang w:val="en-IN"/>
        </w:rPr>
      </w:pPr>
    </w:p>
    <w:sectPr>
      <w:pgSz w:w="11906" w:h="16838"/>
      <w:pgMar w:top="2160" w:right="1440" w:bottom="1440" w:left="2160" w:header="1440" w:footer="10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urshotam singh" w:date="2025-04-06T21:32:15Z" w:initials="">
    <w:p w14:paraId="56B320D8">
      <w:pPr>
        <w:pStyle w:val="8"/>
        <w:rPr>
          <w:rFonts w:hint="default"/>
          <w:lang w:val="en-US"/>
        </w:rPr>
      </w:pPr>
      <w:r>
        <w:rPr>
          <w:rFonts w:hint="default"/>
          <w:lang w:val="en-US"/>
        </w:rPr>
        <w:t>delete</w:t>
      </w:r>
    </w:p>
  </w:comment>
  <w:comment w:id="1" w:author="Purshotam singh" w:date="2025-04-06T21:32:39Z" w:initials="">
    <w:p w14:paraId="65A41587">
      <w:pPr>
        <w:pStyle w:val="8"/>
        <w:rPr>
          <w:rFonts w:hint="default"/>
          <w:lang w:val="en-US"/>
        </w:rPr>
      </w:pPr>
      <w:r>
        <w:rPr>
          <w:rFonts w:hint="default"/>
          <w:lang w:val="en-US"/>
        </w:rPr>
        <w:t>delete</w:t>
      </w:r>
    </w:p>
  </w:comment>
  <w:comment w:id="2" w:author="Purshotam singh" w:date="2025-04-06T21:38:30Z" w:initials="">
    <w:p w14:paraId="644737DE">
      <w:pPr>
        <w:pStyle w:val="8"/>
        <w:rPr>
          <w:rFonts w:hint="default"/>
          <w:lang w:val="en-US"/>
        </w:rPr>
      </w:pPr>
      <w:r>
        <w:rPr>
          <w:rFonts w:hint="default"/>
          <w:lang w:val="en-US"/>
        </w:rPr>
        <w:t>as</w:t>
      </w:r>
    </w:p>
  </w:comment>
  <w:comment w:id="3" w:author="Purshotam singh" w:date="2025-04-06T21:45:25Z" w:initials="">
    <w:p w14:paraId="309EFFDD">
      <w:pPr>
        <w:pStyle w:val="8"/>
        <w:rPr>
          <w:rFonts w:hint="default"/>
          <w:lang w:val="en-US"/>
        </w:rPr>
      </w:pPr>
      <w:r>
        <w:rPr>
          <w:rFonts w:hint="default"/>
          <w:lang w:val="en-US"/>
        </w:rPr>
        <w:t>Avoid the use of this word</w:t>
      </w:r>
    </w:p>
  </w:comment>
  <w:comment w:id="4" w:author="Purshotam singh" w:date="2025-04-06T21:46:13Z" w:initials="">
    <w:p w14:paraId="3C26A9BF">
      <w:pPr>
        <w:pStyle w:val="8"/>
      </w:pPr>
      <w:r>
        <w:rPr>
          <w:rFonts w:hint="default"/>
          <w:lang w:val="en-US"/>
        </w:rPr>
        <w:t>Avoid the use of this word</w:t>
      </w:r>
    </w:p>
  </w:comment>
  <w:comment w:id="5" w:author="Purshotam singh" w:date="2025-04-06T21:48:26Z" w:initials="">
    <w:p w14:paraId="1BF2CBC7">
      <w:pPr>
        <w:pStyle w:val="8"/>
      </w:pPr>
      <w:r>
        <w:rPr>
          <w:rFonts w:hint="default"/>
          <w:lang w:val="en-US"/>
        </w:rPr>
        <w:t>Avoid the use of this word</w:t>
      </w:r>
    </w:p>
  </w:comment>
  <w:comment w:id="6" w:author="Purshotam singh" w:date="2025-04-06T21:49:52Z" w:initials="">
    <w:p w14:paraId="4259B20E">
      <w:pPr>
        <w:pStyle w:val="8"/>
        <w:rPr>
          <w:rFonts w:hint="default"/>
          <w:lang w:val="en-US"/>
        </w:rPr>
      </w:pPr>
      <w:r>
        <w:rPr>
          <w:rFonts w:hint="default"/>
          <w:lang w:val="en-US"/>
        </w:rPr>
        <w:t>to</w:t>
      </w:r>
    </w:p>
  </w:comment>
  <w:comment w:id="7" w:author="Purshotam singh" w:date="2025-04-06T21:55:48Z" w:initials="">
    <w:p w14:paraId="63D40899">
      <w:pPr>
        <w:pStyle w:val="8"/>
        <w:rPr>
          <w:rFonts w:hint="default"/>
          <w:lang w:val="en-US"/>
        </w:rPr>
      </w:pPr>
      <w:r>
        <w:rPr>
          <w:rFonts w:hint="default"/>
          <w:lang w:val="en-US"/>
        </w:rPr>
        <w:t>From where is this copied</w:t>
      </w:r>
    </w:p>
  </w:comment>
  <w:comment w:id="8" w:author="Purshotam singh" w:date="2025-04-06T21:56:26Z" w:initials="">
    <w:p w14:paraId="394E87B7">
      <w:pPr>
        <w:pStyle w:val="8"/>
        <w:rPr>
          <w:rFonts w:hint="default"/>
          <w:lang w:val="en-US"/>
        </w:rPr>
      </w:pPr>
      <w:r>
        <w:rPr>
          <w:rFonts w:hint="default"/>
          <w:lang w:val="en-US"/>
        </w:rPr>
        <w:t>From where tis comes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B320D8" w15:done="0"/>
  <w15:commentEx w15:paraId="65A41587" w15:done="0"/>
  <w15:commentEx w15:paraId="644737DE" w15:done="0"/>
  <w15:commentEx w15:paraId="309EFFDD" w15:done="0"/>
  <w15:commentEx w15:paraId="3C26A9BF" w15:done="0"/>
  <w15:commentEx w15:paraId="1BF2CBC7" w15:done="0"/>
  <w15:commentEx w15:paraId="4259B20E" w15:done="0"/>
  <w15:commentEx w15:paraId="63D40899" w15:done="0"/>
  <w15:commentEx w15:paraId="394E87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6A080">
    <w:pPr>
      <w:pStyle w:val="10"/>
      <w:jc w:val="center"/>
      <w:rPr>
        <w:rFonts w:ascii="Times New Roman" w:hAnsi="Times New Roman"/>
        <w:sz w:val="24"/>
      </w:rPr>
    </w:pPr>
    <w:r>
      <w:rPr>
        <w:rFonts w:ascii="Times New Roman" w:hAnsi="Times New Roman"/>
        <w:sz w:val="24"/>
      </w:rPr>
      <w:t>~</w:t>
    </w:r>
    <w:sdt>
      <w:sdtPr>
        <w:rPr>
          <w:rFonts w:ascii="Times New Roman" w:hAnsi="Times New Roman"/>
          <w:sz w:val="24"/>
        </w:rPr>
        <w:id w:val="-1940509746"/>
        <w:docPartObj>
          <w:docPartGallery w:val="AutoText"/>
        </w:docPartObj>
      </w:sdtPr>
      <w:sdtEndPr>
        <w:rPr>
          <w:rFonts w:ascii="Times New Roman" w:hAnsi="Times New Roman"/>
          <w:sz w:val="24"/>
        </w:rPr>
      </w:sdtEnd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r>
          <w:rPr>
            <w:rFonts w:ascii="Times New Roman" w:hAnsi="Times New Roman"/>
            <w:sz w:val="24"/>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CF6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63C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93DC">
    <w:pPr>
      <w:pStyle w:val="11"/>
    </w:pPr>
    <w:r>
      <w:pict>
        <v:shape id="PowerPlusWaterMarkObject965300330" o:spid="_x0000_s2051"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0C0D">
    <w:pPr>
      <w:pStyle w:val="11"/>
    </w:pPr>
    <w:r>
      <w:pict>
        <v:shape id="PowerPlusWaterMarkObject965300329" o:spid="_x0000_s2050"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F0D6A">
    <w:pPr>
      <w:pStyle w:val="11"/>
    </w:pPr>
    <w:r>
      <w:pict>
        <v:shape id="PowerPlusWaterMarkObject965300328" o:spid="_x0000_s2049"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urshotam singh">
    <w15:presenceInfo w15:providerId="WPS Office" w15:userId="1823192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96"/>
    <w:rsid w:val="000033F3"/>
    <w:rsid w:val="00007D85"/>
    <w:rsid w:val="000300AF"/>
    <w:rsid w:val="00031E45"/>
    <w:rsid w:val="00032EC1"/>
    <w:rsid w:val="00036D7B"/>
    <w:rsid w:val="00045D20"/>
    <w:rsid w:val="00063AE1"/>
    <w:rsid w:val="000649D8"/>
    <w:rsid w:val="000728CB"/>
    <w:rsid w:val="00095C96"/>
    <w:rsid w:val="00095E01"/>
    <w:rsid w:val="000B78C9"/>
    <w:rsid w:val="000C17FF"/>
    <w:rsid w:val="00102337"/>
    <w:rsid w:val="0011795D"/>
    <w:rsid w:val="00125B25"/>
    <w:rsid w:val="00161663"/>
    <w:rsid w:val="00182CAA"/>
    <w:rsid w:val="0018343A"/>
    <w:rsid w:val="00214760"/>
    <w:rsid w:val="0021544E"/>
    <w:rsid w:val="00232EE7"/>
    <w:rsid w:val="00273241"/>
    <w:rsid w:val="002A22BE"/>
    <w:rsid w:val="002D6369"/>
    <w:rsid w:val="002E53C5"/>
    <w:rsid w:val="002E7888"/>
    <w:rsid w:val="00300AA6"/>
    <w:rsid w:val="00333185"/>
    <w:rsid w:val="00340DA9"/>
    <w:rsid w:val="00345FDF"/>
    <w:rsid w:val="00370896"/>
    <w:rsid w:val="003A54AC"/>
    <w:rsid w:val="003E4FD8"/>
    <w:rsid w:val="003F20CE"/>
    <w:rsid w:val="004860CD"/>
    <w:rsid w:val="004A52D9"/>
    <w:rsid w:val="004A6B17"/>
    <w:rsid w:val="004A7734"/>
    <w:rsid w:val="004D38C2"/>
    <w:rsid w:val="00504882"/>
    <w:rsid w:val="00515671"/>
    <w:rsid w:val="00533423"/>
    <w:rsid w:val="005424D5"/>
    <w:rsid w:val="00547CD3"/>
    <w:rsid w:val="00551311"/>
    <w:rsid w:val="00573B51"/>
    <w:rsid w:val="0057699F"/>
    <w:rsid w:val="00590B67"/>
    <w:rsid w:val="006201C6"/>
    <w:rsid w:val="006232A9"/>
    <w:rsid w:val="00660E21"/>
    <w:rsid w:val="00667211"/>
    <w:rsid w:val="00670A32"/>
    <w:rsid w:val="00680952"/>
    <w:rsid w:val="00690A24"/>
    <w:rsid w:val="0069414D"/>
    <w:rsid w:val="006964E5"/>
    <w:rsid w:val="006A14B9"/>
    <w:rsid w:val="006A228F"/>
    <w:rsid w:val="006A433F"/>
    <w:rsid w:val="006B266E"/>
    <w:rsid w:val="006F05B5"/>
    <w:rsid w:val="00722D07"/>
    <w:rsid w:val="007518A5"/>
    <w:rsid w:val="00764665"/>
    <w:rsid w:val="00773F17"/>
    <w:rsid w:val="00795CC1"/>
    <w:rsid w:val="007E3A2A"/>
    <w:rsid w:val="007F644B"/>
    <w:rsid w:val="008510AF"/>
    <w:rsid w:val="00875EDD"/>
    <w:rsid w:val="00882AB4"/>
    <w:rsid w:val="00893962"/>
    <w:rsid w:val="008B79A9"/>
    <w:rsid w:val="00907639"/>
    <w:rsid w:val="00944C5C"/>
    <w:rsid w:val="009601B6"/>
    <w:rsid w:val="00960A89"/>
    <w:rsid w:val="00972941"/>
    <w:rsid w:val="009753DB"/>
    <w:rsid w:val="00980C0B"/>
    <w:rsid w:val="009B62DD"/>
    <w:rsid w:val="009C13E4"/>
    <w:rsid w:val="009F295D"/>
    <w:rsid w:val="00A023B4"/>
    <w:rsid w:val="00A06460"/>
    <w:rsid w:val="00A71E8A"/>
    <w:rsid w:val="00A940D9"/>
    <w:rsid w:val="00AA7025"/>
    <w:rsid w:val="00AC2D8B"/>
    <w:rsid w:val="00AE2A45"/>
    <w:rsid w:val="00AF5DFD"/>
    <w:rsid w:val="00B14413"/>
    <w:rsid w:val="00B2270F"/>
    <w:rsid w:val="00B34AD8"/>
    <w:rsid w:val="00B42B14"/>
    <w:rsid w:val="00B756D6"/>
    <w:rsid w:val="00B838C6"/>
    <w:rsid w:val="00BA34C5"/>
    <w:rsid w:val="00BD5F99"/>
    <w:rsid w:val="00BE09C2"/>
    <w:rsid w:val="00BE4C46"/>
    <w:rsid w:val="00BF7978"/>
    <w:rsid w:val="00C00C50"/>
    <w:rsid w:val="00C43DB0"/>
    <w:rsid w:val="00C57E0D"/>
    <w:rsid w:val="00C60279"/>
    <w:rsid w:val="00C65A9C"/>
    <w:rsid w:val="00C711E0"/>
    <w:rsid w:val="00CA053C"/>
    <w:rsid w:val="00CA2A3C"/>
    <w:rsid w:val="00CC1591"/>
    <w:rsid w:val="00CD5326"/>
    <w:rsid w:val="00CF2C17"/>
    <w:rsid w:val="00D20499"/>
    <w:rsid w:val="00D21C02"/>
    <w:rsid w:val="00D23CAB"/>
    <w:rsid w:val="00D3757B"/>
    <w:rsid w:val="00D61E98"/>
    <w:rsid w:val="00D63560"/>
    <w:rsid w:val="00D70130"/>
    <w:rsid w:val="00D70A47"/>
    <w:rsid w:val="00D718AD"/>
    <w:rsid w:val="00D731A1"/>
    <w:rsid w:val="00D975A7"/>
    <w:rsid w:val="00DA45E2"/>
    <w:rsid w:val="00DB77C5"/>
    <w:rsid w:val="00DC4498"/>
    <w:rsid w:val="00DF1E5D"/>
    <w:rsid w:val="00DF35FF"/>
    <w:rsid w:val="00E0189C"/>
    <w:rsid w:val="00E216E1"/>
    <w:rsid w:val="00E25EFF"/>
    <w:rsid w:val="00E413C9"/>
    <w:rsid w:val="00E54240"/>
    <w:rsid w:val="00E550E7"/>
    <w:rsid w:val="00E56B46"/>
    <w:rsid w:val="00E56F31"/>
    <w:rsid w:val="00E67DB0"/>
    <w:rsid w:val="00E80420"/>
    <w:rsid w:val="00E8052D"/>
    <w:rsid w:val="00E923FA"/>
    <w:rsid w:val="00EA3C13"/>
    <w:rsid w:val="00EA6C4C"/>
    <w:rsid w:val="00EB09B7"/>
    <w:rsid w:val="00EC079C"/>
    <w:rsid w:val="00EF6657"/>
    <w:rsid w:val="00F07B5C"/>
    <w:rsid w:val="00F111F2"/>
    <w:rsid w:val="00F4018B"/>
    <w:rsid w:val="00F605C1"/>
    <w:rsid w:val="00F63A19"/>
    <w:rsid w:val="00F65316"/>
    <w:rsid w:val="00F7305C"/>
    <w:rsid w:val="00F8004B"/>
    <w:rsid w:val="00F8103D"/>
    <w:rsid w:val="00F8141C"/>
    <w:rsid w:val="00F8421C"/>
    <w:rsid w:val="00F92B45"/>
    <w:rsid w:val="00FC49ED"/>
    <w:rsid w:val="00FC6B67"/>
    <w:rsid w:val="00FD6846"/>
    <w:rsid w:val="00FE2128"/>
    <w:rsid w:val="00FE6463"/>
    <w:rsid w:val="213A498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5"/>
    <w:semiHidden/>
    <w:unhideWhenUsed/>
    <w:qFormat/>
    <w:uiPriority w:val="99"/>
    <w:pPr>
      <w:spacing w:after="0" w:line="240" w:lineRule="auto"/>
    </w:pPr>
    <w:rPr>
      <w:rFonts w:ascii="Tahoma" w:hAnsi="Tahoma" w:cs="Tahoma"/>
      <w:sz w:val="16"/>
      <w:szCs w:val="16"/>
    </w:rPr>
  </w:style>
  <w:style w:type="paragraph" w:styleId="5">
    <w:name w:val="Body Text"/>
    <w:basedOn w:val="1"/>
    <w:link w:val="16"/>
    <w:unhideWhenUsed/>
    <w:qFormat/>
    <w:uiPriority w:val="1"/>
    <w:pPr>
      <w:widowControl w:val="0"/>
      <w:autoSpaceDE w:val="0"/>
      <w:autoSpaceDN w:val="0"/>
      <w:spacing w:after="0" w:line="240" w:lineRule="auto"/>
    </w:pPr>
    <w:rPr>
      <w:rFonts w:ascii="Times New Roman" w:hAnsi="Times New Roman" w:eastAsia="Times New Roman" w:cs="Times New Roman"/>
      <w:kern w:val="0"/>
      <w:sz w:val="25"/>
      <w:szCs w:val="25"/>
      <w:lang w:val="en-US"/>
      <w14:ligatures w14:val="none"/>
    </w:rPr>
  </w:style>
  <w:style w:type="paragraph" w:styleId="6">
    <w:name w:val="caption"/>
    <w:basedOn w:val="1"/>
    <w:next w:val="1"/>
    <w:unhideWhenUsed/>
    <w:qFormat/>
    <w:uiPriority w:val="35"/>
    <w:pPr>
      <w:spacing w:after="0" w:line="360" w:lineRule="auto"/>
      <w:jc w:val="center"/>
    </w:pPr>
    <w:rPr>
      <w:rFonts w:ascii="Times New Roman" w:hAnsi="Times New Roman" w:eastAsia="Times New Roman" w:cs="Times New Roman"/>
      <w:b/>
      <w:bCs/>
      <w:color w:val="000000" w:themeColor="text1"/>
      <w:kern w:val="0"/>
      <w:sz w:val="24"/>
      <w:lang w:val="en-US"/>
      <w14:textFill>
        <w14:solidFill>
          <w14:schemeClr w14:val="tx1"/>
        </w14:solidFill>
      </w14:textFill>
      <w14:ligatures w14:val="none"/>
    </w:rPr>
  </w:style>
  <w:style w:type="character" w:styleId="7">
    <w:name w:val="annotation reference"/>
    <w:basedOn w:val="2"/>
    <w:semiHidden/>
    <w:unhideWhenUsed/>
    <w:uiPriority w:val="99"/>
    <w:rPr>
      <w:sz w:val="16"/>
      <w:szCs w:val="16"/>
    </w:rPr>
  </w:style>
  <w:style w:type="paragraph" w:styleId="8">
    <w:name w:val="annotation text"/>
    <w:basedOn w:val="1"/>
    <w:link w:val="20"/>
    <w:semiHidden/>
    <w:unhideWhenUsed/>
    <w:uiPriority w:val="99"/>
    <w:pPr>
      <w:spacing w:line="240" w:lineRule="auto"/>
    </w:pPr>
    <w:rPr>
      <w:sz w:val="20"/>
      <w:szCs w:val="20"/>
    </w:rPr>
  </w:style>
  <w:style w:type="paragraph" w:styleId="9">
    <w:name w:val="annotation subject"/>
    <w:basedOn w:val="8"/>
    <w:next w:val="8"/>
    <w:link w:val="21"/>
    <w:semiHidden/>
    <w:unhideWhenUsed/>
    <w:uiPriority w:val="99"/>
    <w:rPr>
      <w:b/>
      <w:bCs/>
    </w:rPr>
  </w:style>
  <w:style w:type="paragraph" w:styleId="10">
    <w:name w:val="footer"/>
    <w:basedOn w:val="1"/>
    <w:link w:val="24"/>
    <w:unhideWhenUsed/>
    <w:uiPriority w:val="99"/>
    <w:pPr>
      <w:tabs>
        <w:tab w:val="center" w:pos="4513"/>
        <w:tab w:val="right" w:pos="9026"/>
      </w:tabs>
      <w:spacing w:after="0" w:line="240" w:lineRule="auto"/>
    </w:pPr>
  </w:style>
  <w:style w:type="paragraph" w:styleId="11">
    <w:name w:val="header"/>
    <w:basedOn w:val="1"/>
    <w:link w:val="23"/>
    <w:unhideWhenUsed/>
    <w:uiPriority w:val="99"/>
    <w:pPr>
      <w:tabs>
        <w:tab w:val="center" w:pos="4513"/>
        <w:tab w:val="right" w:pos="9026"/>
      </w:tabs>
      <w:spacing w:after="0" w:line="240" w:lineRule="auto"/>
    </w:pPr>
  </w:style>
  <w:style w:type="character" w:styleId="12">
    <w:name w:val="Hyperlink"/>
    <w:basedOn w:val="2"/>
    <w:unhideWhenUsed/>
    <w:uiPriority w:val="99"/>
    <w:rPr>
      <w:color w:val="0000FF"/>
      <w:u w:val="single"/>
    </w:rPr>
  </w:style>
  <w:style w:type="table" w:styleId="13">
    <w:name w:val="Table Grid"/>
    <w:basedOn w:val="14"/>
    <w:qFormat/>
    <w:uiPriority w:val="39"/>
    <w:pPr>
      <w:spacing w:after="0" w:line="240" w:lineRule="auto"/>
    </w:pPr>
    <w:rPr>
      <w:rFonts w:ascii="Calibri" w:hAnsi="Calibri" w:eastAsia="Calibri" w:cs="Times New Roman"/>
      <w:kern w:val="0"/>
      <w:sz w:val="20"/>
      <w:szCs w:val="20"/>
      <w:lang w:val="en-US" w:eastAsia="en-IN" w:bidi="hi-IN"/>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styleId="14">
    <w:name w:val="Table Grid 2"/>
    <w:basedOn w:val="3"/>
    <w:semiHidden/>
    <w:unhideWhenUsed/>
    <w:qFormat/>
    <w:uiPriority w:val="99"/>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paragraph" w:customStyle="1" w:styleId="15">
    <w:name w:val="Default"/>
    <w:link w:val="17"/>
    <w:qFormat/>
    <w:uiPriority w:val="0"/>
    <w:pPr>
      <w:autoSpaceDE w:val="0"/>
      <w:autoSpaceDN w:val="0"/>
      <w:adjustRightInd w:val="0"/>
      <w:spacing w:after="0" w:line="240" w:lineRule="auto"/>
    </w:pPr>
    <w:rPr>
      <w:rFonts w:ascii="Arial" w:hAnsi="Arial" w:cs="Arial" w:eastAsiaTheme="minorHAnsi"/>
      <w:color w:val="000000"/>
      <w:kern w:val="0"/>
      <w:sz w:val="24"/>
      <w:szCs w:val="24"/>
      <w:lang w:val="en-IN" w:eastAsia="en-US" w:bidi="ar-SA"/>
      <w14:ligatures w14:val="standardContextual"/>
    </w:rPr>
  </w:style>
  <w:style w:type="character" w:customStyle="1" w:styleId="16">
    <w:name w:val="Body Text Char"/>
    <w:basedOn w:val="2"/>
    <w:link w:val="5"/>
    <w:uiPriority w:val="1"/>
    <w:rPr>
      <w:rFonts w:ascii="Times New Roman" w:hAnsi="Times New Roman" w:eastAsia="Times New Roman" w:cs="Times New Roman"/>
      <w:kern w:val="0"/>
      <w:sz w:val="25"/>
      <w:szCs w:val="25"/>
      <w:lang w:val="en-US"/>
      <w14:ligatures w14:val="none"/>
    </w:rPr>
  </w:style>
  <w:style w:type="character" w:customStyle="1" w:styleId="17">
    <w:name w:val="Default Char"/>
    <w:link w:val="15"/>
    <w:uiPriority w:val="0"/>
    <w:rPr>
      <w:rFonts w:ascii="Arial" w:hAnsi="Arial" w:cs="Arial"/>
      <w:color w:val="000000"/>
      <w:kern w:val="0"/>
      <w:sz w:val="24"/>
      <w:szCs w:val="24"/>
    </w:rPr>
  </w:style>
  <w:style w:type="paragraph" w:customStyle="1" w:styleId="18">
    <w:name w:val="author"/>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val="en-US"/>
      <w14:ligatures w14:val="none"/>
    </w:rPr>
  </w:style>
  <w:style w:type="paragraph" w:styleId="19">
    <w:name w:val="List Paragraph"/>
    <w:basedOn w:val="1"/>
    <w:qFormat/>
    <w:uiPriority w:val="34"/>
    <w:pPr>
      <w:ind w:left="720"/>
      <w:contextualSpacing/>
    </w:pPr>
  </w:style>
  <w:style w:type="character" w:customStyle="1" w:styleId="20">
    <w:name w:val="Comment Text Char"/>
    <w:basedOn w:val="2"/>
    <w:link w:val="8"/>
    <w:semiHidden/>
    <w:uiPriority w:val="99"/>
    <w:rPr>
      <w:sz w:val="20"/>
      <w:szCs w:val="20"/>
    </w:rPr>
  </w:style>
  <w:style w:type="character" w:customStyle="1" w:styleId="21">
    <w:name w:val="Comment Subject Char"/>
    <w:basedOn w:val="20"/>
    <w:link w:val="9"/>
    <w:semiHidden/>
    <w:uiPriority w:val="99"/>
    <w:rPr>
      <w:b/>
      <w:bCs/>
      <w:sz w:val="20"/>
      <w:szCs w:val="20"/>
    </w:rPr>
  </w:style>
  <w:style w:type="paragraph" w:customStyle="1" w:styleId="22">
    <w:name w:val="html-x"/>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customStyle="1" w:styleId="23">
    <w:name w:val="Header Char"/>
    <w:basedOn w:val="2"/>
    <w:link w:val="11"/>
    <w:uiPriority w:val="99"/>
  </w:style>
  <w:style w:type="character" w:customStyle="1" w:styleId="24">
    <w:name w:val="Footer Char"/>
    <w:basedOn w:val="2"/>
    <w:link w:val="10"/>
    <w:uiPriority w:val="99"/>
  </w:style>
  <w:style w:type="character" w:customStyle="1" w:styleId="25">
    <w:name w:val="Balloon Text Char"/>
    <w:basedOn w:val="2"/>
    <w:link w:val="4"/>
    <w:semiHidden/>
    <w:qFormat/>
    <w:uiPriority w:val="99"/>
    <w:rPr>
      <w:rFonts w:ascii="Tahoma" w:hAnsi="Tahoma" w:cs="Tahoma"/>
      <w:sz w:val="16"/>
      <w:szCs w:val="16"/>
    </w:rPr>
  </w:style>
  <w:style w:type="character" w:customStyle="1" w:styleId="2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76DDA-9370-4C60-A016-1433750E55CE}">
  <ds:schemaRefs/>
</ds:datastoreItem>
</file>

<file path=docProps/app.xml><?xml version="1.0" encoding="utf-8"?>
<Properties xmlns="http://schemas.openxmlformats.org/officeDocument/2006/extended-properties" xmlns:vt="http://schemas.openxmlformats.org/officeDocument/2006/docPropsVTypes">
  <Template>Normal</Template>
  <Pages>13</Pages>
  <Words>4155</Words>
  <Characters>23686</Characters>
  <Lines>197</Lines>
  <Paragraphs>55</Paragraphs>
  <TotalTime>26</TotalTime>
  <ScaleCrop>false</ScaleCrop>
  <LinksUpToDate>false</LinksUpToDate>
  <CharactersWithSpaces>27786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2023-06-05T02:15:00Z</dcterms:created>
  <dc:creator>Shiv Poojan</dc:creator>
  <cp:lastModifiedBy>Purshotam singh</cp:lastModifiedBy>
  <cp:lastPrinted>2023-06-13T05:18:00Z</cp:lastPrinted>
  <dcterms:modified xsi:type="dcterms:W3CDTF">2025-04-06T16:26:52Z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F0779F77CBE54C18B3C8B77A93DBB58E_12</vt:lpwstr>
  </property>
</Properties>
</file>