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theme/theme1.xml" ContentType="application/vnd.openxmlformats-officedocument.theme+xml"/>
  <Override PartName="/word/charts/chart3.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drawings/drawing2.xml" ContentType="application/vnd.openxmlformats-officedocument.drawingml.chartshap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docProps/custom.xml" ContentType="application/vnd.openxmlformats-officedocument.custom-properties+xml"/>
  <Override PartName="/word/header2.xml" ContentType="application/vnd.openxmlformats-officedocument.wordprocessingml.header+xml"/>
  <Override PartName="/word/comments.xml" ContentType="application/vnd.openxmlformats-officedocument.wordprocessingml.comments+xml"/>
  <Override PartName="/word/charts/chart2.xml" ContentType="application/vnd.openxmlformats-officedocument.drawingml.chart+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jc w:val="center"/>
        <w:rPr>
          <w:b/>
        </w:rPr>
      </w:pPr>
      <w:bookmarkStart w:id="0" w:name="_Hlk149568846"/>
      <w:r>
        <w:rPr>
          <w:b/>
        </w:rPr>
        <w:t>Effect of planting dates and methods associated with weather parameters</w:t>
      </w:r>
      <w:r>
        <w:rPr>
          <w:b/>
        </w:rPr>
        <w:t xml:space="preserve"> </w:t>
      </w:r>
      <w:r>
        <w:rPr>
          <w:b/>
        </w:rPr>
        <w:t xml:space="preserve">on incidence of rice </w:t>
      </w:r>
      <w:r>
        <w:rPr>
          <w:b/>
        </w:rPr>
        <w:t xml:space="preserve">yellow </w:t>
      </w:r>
      <w:r>
        <w:rPr>
          <w:b/>
        </w:rPr>
        <w:t>stem borer</w:t>
      </w:r>
      <w:r>
        <w:rPr>
          <w:b/>
        </w:rPr>
        <w:t xml:space="preserve"> (</w:t>
      </w:r>
      <w:r>
        <w:rPr>
          <w:b/>
          <w:i/>
        </w:rPr>
        <w:t>Scirpophaga</w:t>
      </w:r>
      <w:r>
        <w:rPr>
          <w:b/>
          <w:i/>
        </w:rPr>
        <w:t xml:space="preserve"> </w:t>
      </w:r>
      <w:r>
        <w:rPr>
          <w:b/>
          <w:i/>
        </w:rPr>
        <w:t>incertulas</w:t>
      </w:r>
      <w:r>
        <w:rPr>
          <w:b/>
        </w:rPr>
        <w:t xml:space="preserve"> Walker) and</w:t>
      </w:r>
      <w:r>
        <w:rPr>
          <w:b/>
        </w:rPr>
        <w:t xml:space="preserve"> </w:t>
      </w:r>
      <w:r>
        <w:rPr>
          <w:b/>
        </w:rPr>
        <w:t xml:space="preserve">leaf folder </w:t>
      </w:r>
      <w:r>
        <w:rPr>
          <w:b/>
        </w:rPr>
        <w:t>(</w:t>
      </w:r>
      <w:r>
        <w:rPr>
          <w:b/>
          <w:i/>
        </w:rPr>
        <w:t>Cnaphalocroc</w:t>
      </w:r>
      <w:r>
        <w:rPr>
          <w:b/>
          <w:i/>
        </w:rPr>
        <w:t>is</w:t>
      </w:r>
      <w:r>
        <w:rPr>
          <w:b/>
          <w:i/>
        </w:rPr>
        <w:t xml:space="preserve"> </w:t>
      </w:r>
      <w:r>
        <w:rPr>
          <w:b/>
          <w:i/>
        </w:rPr>
        <w:t>medinalis</w:t>
      </w:r>
      <w:r>
        <w:rPr>
          <w:b/>
          <w:i/>
        </w:rPr>
        <w:t xml:space="preserve"> </w:t>
      </w:r>
      <w:r>
        <w:rPr>
          <w:b/>
        </w:rPr>
        <w:t>Guenee</w:t>
      </w:r>
      <w:r>
        <w:rPr>
          <w:b/>
        </w:rPr>
        <w:t>) in B</w:t>
      </w:r>
      <w:r>
        <w:rPr>
          <w:b/>
        </w:rPr>
        <w:t>ihar</w:t>
      </w:r>
    </w:p>
    <w:p>
      <w:pPr>
        <w:pStyle w:val="style4097"/>
        <w:jc w:val="center"/>
        <w:rPr>
          <w:b/>
        </w:rPr>
      </w:pPr>
    </w:p>
    <w:bookmarkEnd w:id="0"/>
    <w:p>
      <w:pPr>
        <w:pStyle w:val="style4097"/>
        <w:jc w:val="both"/>
        <w:rPr>
          <w:bCs/>
        </w:rPr>
      </w:pPr>
    </w:p>
    <w:bookmarkStart w:id="1" w:name="_GoBack"/>
    <w:bookmarkEnd w:id="1"/>
    <w:p>
      <w:pPr>
        <w:pStyle w:val="style4097"/>
        <w:jc w:val="both"/>
        <w:rPr>
          <w:bCs/>
        </w:rPr>
      </w:pPr>
    </w:p>
    <w:p>
      <w:pPr>
        <w:pStyle w:val="style4097"/>
        <w:jc w:val="center"/>
        <w:rPr>
          <w:b/>
          <w:bCs/>
        </w:rPr>
      </w:pPr>
      <w:r>
        <w:rPr>
          <w:b/>
          <w:bCs/>
        </w:rPr>
        <w:t>ABSTRACT</w:t>
      </w:r>
    </w:p>
    <w:p>
      <w:pPr>
        <w:pStyle w:val="style4097"/>
        <w:jc w:val="both"/>
        <w:rPr>
          <w:b/>
          <w:bCs/>
        </w:rPr>
      </w:pPr>
    </w:p>
    <w:p>
      <w:pPr>
        <w:pStyle w:val="style0"/>
        <w:spacing w:lineRule="auto" w:line="48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The incidence of rice pests like the rice </w:t>
      </w:r>
      <w:r>
        <w:rPr>
          <w:rFonts w:ascii="Times New Roman" w:cs="Times New Roman" w:hAnsi="Times New Roman"/>
          <w:bCs/>
          <w:sz w:val="24"/>
          <w:szCs w:val="24"/>
        </w:rPr>
        <w:t xml:space="preserve">yellow </w:t>
      </w:r>
      <w:r>
        <w:rPr>
          <w:rFonts w:ascii="Times New Roman" w:cs="Times New Roman" w:hAnsi="Times New Roman"/>
          <w:bCs/>
          <w:sz w:val="24"/>
          <w:szCs w:val="24"/>
        </w:rPr>
        <w:t>stem borer (</w:t>
      </w:r>
      <w:r>
        <w:rPr>
          <w:rFonts w:ascii="Times New Roman" w:cs="Times New Roman" w:hAnsi="Times New Roman"/>
          <w:bCs/>
          <w:i/>
          <w:iCs/>
          <w:sz w:val="24"/>
          <w:szCs w:val="24"/>
        </w:rPr>
        <w:t>Scirpophaga</w:t>
      </w:r>
      <w:r>
        <w:rPr>
          <w:rFonts w:ascii="Times New Roman" w:cs="Times New Roman" w:hAnsi="Times New Roman"/>
          <w:bCs/>
          <w:i/>
          <w:iCs/>
          <w:sz w:val="24"/>
          <w:szCs w:val="24"/>
        </w:rPr>
        <w:t xml:space="preserve"> </w:t>
      </w:r>
      <w:r>
        <w:rPr>
          <w:rFonts w:ascii="Times New Roman" w:cs="Times New Roman" w:hAnsi="Times New Roman"/>
          <w:bCs/>
          <w:i/>
          <w:iCs/>
          <w:sz w:val="24"/>
          <w:szCs w:val="24"/>
        </w:rPr>
        <w:t>incertulas</w:t>
      </w:r>
      <w:r>
        <w:rPr>
          <w:rFonts w:ascii="Times New Roman" w:cs="Times New Roman" w:hAnsi="Times New Roman"/>
          <w:bCs/>
          <w:sz w:val="24"/>
          <w:szCs w:val="24"/>
        </w:rPr>
        <w:t xml:space="preserve"> Walker) and the rice leaf folder (</w:t>
      </w:r>
      <w:r>
        <w:rPr>
          <w:rFonts w:ascii="Times New Roman" w:cs="Times New Roman" w:hAnsi="Times New Roman"/>
          <w:bCs/>
          <w:i/>
          <w:iCs/>
          <w:sz w:val="24"/>
          <w:szCs w:val="24"/>
        </w:rPr>
        <w:t>Cnaphalocrocis</w:t>
      </w:r>
      <w:r>
        <w:rPr>
          <w:rFonts w:ascii="Times New Roman" w:cs="Times New Roman" w:hAnsi="Times New Roman"/>
          <w:bCs/>
          <w:i/>
          <w:iCs/>
          <w:sz w:val="24"/>
          <w:szCs w:val="24"/>
        </w:rPr>
        <w:t xml:space="preserve"> </w:t>
      </w:r>
      <w:r>
        <w:rPr>
          <w:rFonts w:ascii="Times New Roman" w:cs="Times New Roman" w:hAnsi="Times New Roman"/>
          <w:bCs/>
          <w:i/>
          <w:iCs/>
          <w:sz w:val="24"/>
          <w:szCs w:val="24"/>
        </w:rPr>
        <w:t>medinalis</w:t>
      </w:r>
      <w:r>
        <w:rPr>
          <w:rFonts w:ascii="Times New Roman" w:cs="Times New Roman" w:hAnsi="Times New Roman"/>
          <w:bCs/>
          <w:sz w:val="24"/>
          <w:szCs w:val="24"/>
        </w:rPr>
        <w:t xml:space="preserve"> </w:t>
      </w:r>
      <w:r>
        <w:rPr>
          <w:rFonts w:ascii="Times New Roman" w:cs="Times New Roman" w:hAnsi="Times New Roman"/>
          <w:bCs/>
          <w:sz w:val="24"/>
          <w:szCs w:val="24"/>
        </w:rPr>
        <w:t>Guenee</w:t>
      </w:r>
      <w:r>
        <w:rPr>
          <w:rFonts w:ascii="Times New Roman" w:cs="Times New Roman" w:hAnsi="Times New Roman"/>
          <w:bCs/>
          <w:sz w:val="24"/>
          <w:szCs w:val="24"/>
        </w:rPr>
        <w:t xml:space="preserve">) can be influenced by a variety of factors, including planting dates, planting methods, and weather parameters. </w:t>
      </w:r>
      <w:r>
        <w:rPr>
          <w:rFonts w:ascii="Times New Roman" w:cs="Times New Roman" w:hAnsi="Times New Roman"/>
          <w:bCs/>
          <w:sz w:val="24"/>
          <w:szCs w:val="24"/>
        </w:rPr>
        <w:t>The planting dates were categorized as early planting (</w:t>
      </w:r>
      <w:r>
        <w:rPr>
          <w:rFonts w:ascii="Times New Roman" w:cs="Times New Roman" w:hAnsi="Times New Roman"/>
          <w:bCs/>
          <w:sz w:val="24"/>
          <w:szCs w:val="24"/>
        </w:rPr>
        <w:t>15</w:t>
      </w:r>
      <w:r>
        <w:rPr>
          <w:rFonts w:ascii="Times New Roman" w:cs="Times New Roman" w:hAnsi="Times New Roman"/>
          <w:bCs/>
          <w:sz w:val="24"/>
          <w:szCs w:val="24"/>
          <w:vertAlign w:val="superscript"/>
        </w:rPr>
        <w:t>th</w:t>
      </w:r>
      <w:r>
        <w:rPr>
          <w:rFonts w:ascii="Times New Roman" w:cs="Times New Roman" w:hAnsi="Times New Roman"/>
          <w:bCs/>
          <w:sz w:val="24"/>
          <w:szCs w:val="24"/>
        </w:rPr>
        <w:t xml:space="preserve"> June</w:t>
      </w:r>
      <w:r>
        <w:rPr>
          <w:rFonts w:ascii="Times New Roman" w:cs="Times New Roman" w:hAnsi="Times New Roman"/>
          <w:bCs/>
          <w:sz w:val="24"/>
          <w:szCs w:val="24"/>
        </w:rPr>
        <w:t xml:space="preserve">), </w:t>
      </w:r>
      <w:r>
        <w:rPr>
          <w:rFonts w:ascii="Times New Roman" w:cs="Times New Roman" w:hAnsi="Times New Roman"/>
          <w:bCs/>
          <w:sz w:val="24"/>
          <w:szCs w:val="24"/>
        </w:rPr>
        <w:t>timely</w:t>
      </w:r>
      <w:r>
        <w:rPr>
          <w:rFonts w:ascii="Times New Roman" w:cs="Times New Roman" w:hAnsi="Times New Roman"/>
          <w:bCs/>
          <w:sz w:val="24"/>
          <w:szCs w:val="24"/>
        </w:rPr>
        <w:t xml:space="preserve"> planting (</w:t>
      </w:r>
      <w:r>
        <w:rPr>
          <w:rFonts w:ascii="Times New Roman" w:cs="Times New Roman" w:hAnsi="Times New Roman"/>
          <w:bCs/>
          <w:sz w:val="24"/>
          <w:szCs w:val="24"/>
        </w:rPr>
        <w:t>5</w:t>
      </w:r>
      <w:r>
        <w:rPr>
          <w:rFonts w:ascii="Times New Roman" w:cs="Times New Roman" w:hAnsi="Times New Roman"/>
          <w:bCs/>
          <w:sz w:val="24"/>
          <w:szCs w:val="24"/>
          <w:vertAlign w:val="superscript"/>
        </w:rPr>
        <w:t>th</w:t>
      </w:r>
      <w:r>
        <w:rPr>
          <w:rFonts w:ascii="Times New Roman" w:cs="Times New Roman" w:hAnsi="Times New Roman"/>
          <w:bCs/>
          <w:sz w:val="24"/>
          <w:szCs w:val="24"/>
        </w:rPr>
        <w:t xml:space="preserve"> July</w:t>
      </w:r>
      <w:r>
        <w:rPr>
          <w:rFonts w:ascii="Times New Roman" w:cs="Times New Roman" w:hAnsi="Times New Roman"/>
          <w:bCs/>
          <w:sz w:val="24"/>
          <w:szCs w:val="24"/>
        </w:rPr>
        <w:t>) and late planting (</w:t>
      </w:r>
      <w:r>
        <w:rPr>
          <w:rFonts w:ascii="Times New Roman" w:cs="Times New Roman" w:hAnsi="Times New Roman"/>
          <w:bCs/>
          <w:sz w:val="24"/>
          <w:szCs w:val="24"/>
        </w:rPr>
        <w:t>25</w:t>
      </w:r>
      <w:r>
        <w:rPr>
          <w:rFonts w:ascii="Times New Roman" w:cs="Times New Roman" w:hAnsi="Times New Roman"/>
          <w:bCs/>
          <w:sz w:val="24"/>
          <w:szCs w:val="24"/>
          <w:vertAlign w:val="superscript"/>
        </w:rPr>
        <w:t>th</w:t>
      </w:r>
      <w:r>
        <w:rPr>
          <w:rFonts w:ascii="Times New Roman" w:cs="Times New Roman" w:hAnsi="Times New Roman"/>
          <w:bCs/>
          <w:sz w:val="24"/>
          <w:szCs w:val="24"/>
        </w:rPr>
        <w:t xml:space="preserve"> July</w:t>
      </w:r>
      <w:r>
        <w:rPr>
          <w:rFonts w:ascii="Times New Roman" w:cs="Times New Roman" w:hAnsi="Times New Roman"/>
          <w:bCs/>
          <w:sz w:val="24"/>
          <w:szCs w:val="24"/>
        </w:rPr>
        <w:t>) at 20 days</w:t>
      </w:r>
      <w:r>
        <w:rPr>
          <w:rFonts w:ascii="Times New Roman" w:cs="Times New Roman" w:hAnsi="Times New Roman"/>
          <w:bCs/>
          <w:sz w:val="24"/>
          <w:szCs w:val="24"/>
        </w:rPr>
        <w:t xml:space="preserve"> </w:t>
      </w:r>
      <w:r>
        <w:rPr>
          <w:rFonts w:ascii="Times New Roman" w:cs="Times New Roman" w:hAnsi="Times New Roman"/>
          <w:bCs/>
          <w:sz w:val="24"/>
          <w:szCs w:val="24"/>
        </w:rPr>
        <w:t xml:space="preserve">intervals. </w:t>
      </w:r>
      <w:r>
        <w:rPr>
          <w:rFonts w:ascii="Times New Roman" w:cs="Times New Roman" w:hAnsi="Times New Roman"/>
          <w:bCs/>
          <w:sz w:val="24"/>
          <w:szCs w:val="24"/>
        </w:rPr>
        <w:t xml:space="preserve">The early transplanted rice crops had the lower pest incidence recording </w:t>
      </w:r>
      <w:r>
        <w:rPr>
          <w:rFonts w:ascii="Times New Roman" w:cs="Times New Roman" w:hAnsi="Times New Roman"/>
          <w:bCs/>
          <w:sz w:val="24"/>
          <w:szCs w:val="24"/>
        </w:rPr>
        <w:t>12.39</w:t>
      </w:r>
      <w:r>
        <w:rPr>
          <w:rFonts w:ascii="Times New Roman" w:cs="Times New Roman" w:hAnsi="Times New Roman"/>
          <w:bCs/>
          <w:sz w:val="24"/>
          <w:szCs w:val="24"/>
        </w:rPr>
        <w:t xml:space="preserve"> per cent dead hearts</w:t>
      </w:r>
      <w:r>
        <w:rPr>
          <w:rFonts w:ascii="Times New Roman" w:cs="Times New Roman" w:hAnsi="Times New Roman"/>
          <w:bCs/>
          <w:sz w:val="24"/>
          <w:szCs w:val="24"/>
        </w:rPr>
        <w:t>/white ear</w:t>
      </w:r>
      <w:r>
        <w:rPr>
          <w:rFonts w:ascii="Times New Roman" w:cs="Times New Roman" w:hAnsi="Times New Roman"/>
          <w:bCs/>
          <w:sz w:val="24"/>
          <w:szCs w:val="24"/>
        </w:rPr>
        <w:t xml:space="preserve"> </w:t>
      </w:r>
      <w:r>
        <w:rPr>
          <w:rFonts w:ascii="Times New Roman" w:cs="Times New Roman" w:hAnsi="Times New Roman"/>
          <w:bCs/>
          <w:sz w:val="24"/>
          <w:szCs w:val="24"/>
        </w:rPr>
        <w:t xml:space="preserve">due to yellow stem borer and 7.49 percent Leaf damage </w:t>
      </w:r>
      <w:r>
        <w:rPr>
          <w:rFonts w:ascii="Times New Roman" w:cs="Times New Roman" w:hAnsi="Times New Roman"/>
          <w:bCs/>
          <w:sz w:val="24"/>
          <w:szCs w:val="24"/>
        </w:rPr>
        <w:t xml:space="preserve">due to incidence of rice leaf folder as compared to late transplanted rice crop which recorded </w:t>
      </w:r>
      <w:r>
        <w:rPr>
          <w:rFonts w:ascii="Times New Roman" w:cs="Times New Roman" w:hAnsi="Times New Roman"/>
          <w:bCs/>
          <w:sz w:val="24"/>
          <w:szCs w:val="24"/>
        </w:rPr>
        <w:t>21.75</w:t>
      </w:r>
      <w:r>
        <w:rPr>
          <w:rFonts w:ascii="Times New Roman" w:cs="Times New Roman" w:hAnsi="Times New Roman"/>
          <w:bCs/>
          <w:sz w:val="24"/>
          <w:szCs w:val="24"/>
        </w:rPr>
        <w:t xml:space="preserve"> per cent DH</w:t>
      </w:r>
      <w:r>
        <w:rPr>
          <w:rFonts w:ascii="Times New Roman" w:cs="Times New Roman" w:hAnsi="Times New Roman"/>
          <w:bCs/>
          <w:sz w:val="24"/>
          <w:szCs w:val="24"/>
        </w:rPr>
        <w:t>/WE</w:t>
      </w:r>
      <w:r>
        <w:rPr>
          <w:rFonts w:ascii="Times New Roman" w:cs="Times New Roman" w:hAnsi="Times New Roman"/>
          <w:bCs/>
          <w:sz w:val="24"/>
          <w:szCs w:val="24"/>
        </w:rPr>
        <w:t xml:space="preserve"> </w:t>
      </w:r>
      <w:r>
        <w:rPr>
          <w:rFonts w:ascii="Times New Roman" w:cs="Times New Roman" w:hAnsi="Times New Roman"/>
          <w:bCs/>
          <w:sz w:val="24"/>
          <w:szCs w:val="24"/>
        </w:rPr>
        <w:t>(Dead Heart/White Ear)</w:t>
      </w:r>
      <w:r>
        <w:rPr>
          <w:rFonts w:ascii="Times New Roman" w:cs="Times New Roman" w:hAnsi="Times New Roman"/>
          <w:bCs/>
          <w:sz w:val="24"/>
          <w:szCs w:val="24"/>
        </w:rPr>
        <w:t xml:space="preserve"> due to incidence of yellow stem borer and </w:t>
      </w:r>
      <w:r>
        <w:rPr>
          <w:rFonts w:ascii="Times New Roman" w:cs="Times New Roman" w:hAnsi="Times New Roman"/>
          <w:bCs/>
          <w:sz w:val="24"/>
          <w:szCs w:val="24"/>
        </w:rPr>
        <w:t>13.91</w:t>
      </w:r>
      <w:r>
        <w:rPr>
          <w:rFonts w:ascii="Times New Roman" w:cs="Times New Roman" w:hAnsi="Times New Roman"/>
          <w:bCs/>
          <w:sz w:val="24"/>
          <w:szCs w:val="24"/>
        </w:rPr>
        <w:t xml:space="preserve"> per</w:t>
      </w:r>
      <w:r>
        <w:rPr>
          <w:rFonts w:ascii="Times New Roman" w:cs="Times New Roman" w:hAnsi="Times New Roman"/>
          <w:bCs/>
          <w:sz w:val="24"/>
          <w:szCs w:val="24"/>
        </w:rPr>
        <w:t>cent DL</w:t>
      </w:r>
      <w:r>
        <w:rPr>
          <w:rFonts w:ascii="Times New Roman" w:cs="Times New Roman" w:hAnsi="Times New Roman"/>
          <w:bCs/>
          <w:sz w:val="24"/>
          <w:szCs w:val="24"/>
        </w:rPr>
        <w:t xml:space="preserve"> </w:t>
      </w:r>
      <w:r>
        <w:rPr>
          <w:rFonts w:ascii="Times New Roman" w:cs="Times New Roman" w:hAnsi="Times New Roman"/>
          <w:bCs/>
          <w:sz w:val="24"/>
          <w:szCs w:val="24"/>
        </w:rPr>
        <w:t>(Damaged Leaves)</w:t>
      </w:r>
      <w:r>
        <w:rPr>
          <w:rFonts w:ascii="Times New Roman" w:cs="Times New Roman" w:hAnsi="Times New Roman"/>
          <w:bCs/>
          <w:sz w:val="24"/>
          <w:szCs w:val="24"/>
        </w:rPr>
        <w:t xml:space="preserve"> </w:t>
      </w:r>
      <w:r>
        <w:rPr>
          <w:rFonts w:ascii="Times New Roman" w:cs="Times New Roman" w:hAnsi="Times New Roman"/>
          <w:bCs/>
          <w:sz w:val="24"/>
          <w:szCs w:val="24"/>
        </w:rPr>
        <w:t>due to rice leaf folder.</w:t>
      </w:r>
      <w:r>
        <w:rPr>
          <w:rFonts w:ascii="Times New Roman" w:cs="Times New Roman" w:hAnsi="Times New Roman"/>
          <w:bCs/>
          <w:sz w:val="24"/>
          <w:szCs w:val="24"/>
        </w:rPr>
        <w:t xml:space="preserve"> </w:t>
      </w:r>
      <w:r>
        <w:rPr>
          <w:rFonts w:ascii="Times New Roman" w:hAnsi="Times New Roman"/>
          <w:bCs/>
          <w:sz w:val="24"/>
          <w:szCs w:val="24"/>
        </w:rPr>
        <w:t>Mean percentage of tiller damage was significantly higher in puddled direct seed</w:t>
      </w:r>
      <w:r>
        <w:rPr>
          <w:rFonts w:ascii="Times New Roman" w:hAnsi="Times New Roman"/>
          <w:bCs/>
          <w:sz w:val="24"/>
          <w:szCs w:val="24"/>
        </w:rPr>
        <w:t>ing</w:t>
      </w:r>
      <w:r>
        <w:rPr>
          <w:rFonts w:ascii="Times New Roman" w:hAnsi="Times New Roman"/>
          <w:bCs/>
          <w:sz w:val="24"/>
          <w:szCs w:val="24"/>
        </w:rPr>
        <w:t xml:space="preserve"> (14.67%)</w:t>
      </w:r>
      <w:r>
        <w:rPr>
          <w:rFonts w:ascii="Times New Roman" w:hAnsi="Times New Roman"/>
          <w:bCs/>
          <w:sz w:val="24"/>
          <w:szCs w:val="24"/>
        </w:rPr>
        <w:t xml:space="preserve"> as compared to direct seeding </w:t>
      </w:r>
      <w:r>
        <w:rPr>
          <w:rFonts w:ascii="Times New Roman" w:hAnsi="Times New Roman"/>
          <w:bCs/>
          <w:sz w:val="24"/>
          <w:szCs w:val="24"/>
        </w:rPr>
        <w:t xml:space="preserve">(11.77%) </w:t>
      </w:r>
      <w:r>
        <w:rPr>
          <w:rFonts w:ascii="Times New Roman" w:hAnsi="Times New Roman"/>
          <w:bCs/>
          <w:sz w:val="24"/>
          <w:szCs w:val="24"/>
        </w:rPr>
        <w:t xml:space="preserve">followed by </w:t>
      </w:r>
      <w:r>
        <w:rPr>
          <w:rFonts w:ascii="Times New Roman" w:hAnsi="Times New Roman"/>
          <w:bCs/>
          <w:sz w:val="24"/>
          <w:szCs w:val="24"/>
        </w:rPr>
        <w:t xml:space="preserve">timely </w:t>
      </w:r>
      <w:r>
        <w:rPr>
          <w:rFonts w:ascii="Times New Roman" w:hAnsi="Times New Roman"/>
          <w:bCs/>
          <w:sz w:val="24"/>
          <w:szCs w:val="24"/>
        </w:rPr>
        <w:t>transplanting</w:t>
      </w:r>
      <w:r>
        <w:rPr>
          <w:rFonts w:ascii="Times New Roman" w:hAnsi="Times New Roman"/>
          <w:bCs/>
          <w:sz w:val="24"/>
          <w:szCs w:val="24"/>
        </w:rPr>
        <w:t xml:space="preserve"> (4.40%) whereas the incidence of leaf folder in different planting </w:t>
      </w:r>
      <w:r>
        <w:rPr>
          <w:rFonts w:ascii="Times New Roman" w:hAnsi="Times New Roman"/>
          <w:bCs/>
          <w:sz w:val="24"/>
          <w:szCs w:val="24"/>
        </w:rPr>
        <w:t>methods mean</w:t>
      </w:r>
      <w:r>
        <w:rPr>
          <w:rFonts w:ascii="Times New Roman" w:hAnsi="Times New Roman"/>
          <w:bCs/>
          <w:sz w:val="24"/>
          <w:szCs w:val="24"/>
        </w:rPr>
        <w:t xml:space="preserve"> percentage leave damage was significantly higher in</w:t>
      </w:r>
      <w:r>
        <w:rPr>
          <w:rFonts w:ascii="Times New Roman" w:hAnsi="Times New Roman"/>
          <w:bCs/>
          <w:sz w:val="24"/>
          <w:szCs w:val="24"/>
        </w:rPr>
        <w:t xml:space="preserve"> </w:t>
      </w:r>
      <w:r>
        <w:rPr>
          <w:rFonts w:ascii="Times New Roman" w:hAnsi="Times New Roman"/>
          <w:bCs/>
          <w:sz w:val="24"/>
          <w:szCs w:val="24"/>
        </w:rPr>
        <w:t>timely</w:t>
      </w:r>
      <w:r>
        <w:rPr>
          <w:rFonts w:ascii="Times New Roman" w:hAnsi="Times New Roman"/>
          <w:bCs/>
          <w:sz w:val="24"/>
          <w:szCs w:val="24"/>
        </w:rPr>
        <w:t xml:space="preserve"> t</w:t>
      </w:r>
      <w:r>
        <w:rPr>
          <w:rFonts w:ascii="Times New Roman" w:hAnsi="Times New Roman"/>
          <w:bCs/>
          <w:sz w:val="24"/>
          <w:szCs w:val="24"/>
        </w:rPr>
        <w:t>ransplanting</w:t>
      </w:r>
      <w:r>
        <w:rPr>
          <w:rFonts w:ascii="Times New Roman" w:hAnsi="Times New Roman"/>
          <w:bCs/>
          <w:sz w:val="24"/>
          <w:szCs w:val="24"/>
        </w:rPr>
        <w:t xml:space="preserve"> (15.39%) as compared to direct seeding (12.83</w:t>
      </w:r>
      <w:r>
        <w:rPr>
          <w:rFonts w:ascii="Times New Roman" w:hAnsi="Times New Roman"/>
          <w:bCs/>
          <w:sz w:val="24"/>
          <w:szCs w:val="24"/>
        </w:rPr>
        <w:t>%) followed</w:t>
      </w:r>
      <w:r>
        <w:rPr>
          <w:rFonts w:ascii="Times New Roman" w:hAnsi="Times New Roman"/>
          <w:bCs/>
          <w:sz w:val="24"/>
          <w:szCs w:val="24"/>
        </w:rPr>
        <w:t xml:space="preserve"> by puddled direct seed</w:t>
      </w:r>
      <w:r>
        <w:rPr>
          <w:rFonts w:ascii="Times New Roman" w:hAnsi="Times New Roman"/>
          <w:bCs/>
          <w:sz w:val="24"/>
          <w:szCs w:val="24"/>
        </w:rPr>
        <w:t>ing</w:t>
      </w:r>
      <w:r>
        <w:rPr>
          <w:rFonts w:ascii="Times New Roman" w:hAnsi="Times New Roman"/>
          <w:bCs/>
          <w:sz w:val="24"/>
          <w:szCs w:val="24"/>
        </w:rPr>
        <w:t xml:space="preserve"> (11.72%)</w:t>
      </w:r>
      <w:r>
        <w:rPr>
          <w:rFonts w:ascii="Times New Roman" w:hAnsi="Times New Roman"/>
          <w:bCs/>
          <w:sz w:val="24"/>
          <w:szCs w:val="24"/>
        </w:rPr>
        <w:t xml:space="preserve">. </w:t>
      </w:r>
      <w:r>
        <w:rPr>
          <w:rFonts w:ascii="Times New Roman" w:cs="Times New Roman" w:hAnsi="Times New Roman"/>
          <w:sz w:val="24"/>
          <w:szCs w:val="24"/>
        </w:rPr>
        <w:t>Maximum and minimum temperature, wind speed and morning relative humidity had a negative effect on stem borer per cent dead heart and white ear head and leaf folder concerned, maximum temperature, morning relative humidity, evening relative humidity and rainfall had positive correlation at different planting dates whereas, maximum and minimum temperature, evening relative humidity had a positive effect on stem borer per cent dead heart and white ear head and leaf folder concerned, maximum temperature and morning relative humidity and evening relative humidity had positive correlation at different planting methods.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Cs/>
          <w:sz w:val="24"/>
          <w:szCs w:val="24"/>
        </w:rPr>
        <w:t>The</w:t>
      </w:r>
      <w:r>
        <w:rPr>
          <w:rFonts w:ascii="Times New Roman" w:cs="Times New Roman" w:hAnsi="Times New Roman"/>
          <w:bCs/>
          <w:sz w:val="24"/>
          <w:szCs w:val="24"/>
        </w:rPr>
        <w:t xml:space="preserve"> findings of the study reveal that</w:t>
      </w:r>
      <w:r>
        <w:rPr>
          <w:rFonts w:ascii="Times New Roman" w:cs="Times New Roman" w:hAnsi="Times New Roman"/>
          <w:bCs/>
          <w:sz w:val="24"/>
          <w:szCs w:val="24"/>
        </w:rPr>
        <w:t xml:space="preserve"> </w:t>
      </w:r>
      <w:r>
        <w:rPr>
          <w:rFonts w:ascii="Times New Roman" w:cs="Times New Roman" w:hAnsi="Times New Roman"/>
          <w:bCs/>
          <w:sz w:val="24"/>
          <w:szCs w:val="24"/>
        </w:rPr>
        <w:t xml:space="preserve">the planting dates </w:t>
      </w:r>
      <w:r>
        <w:rPr>
          <w:rFonts w:ascii="Times New Roman" w:cs="Times New Roman" w:hAnsi="Times New Roman"/>
          <w:bCs/>
          <w:sz w:val="24"/>
          <w:szCs w:val="24"/>
        </w:rPr>
        <w:t xml:space="preserve">and </w:t>
      </w:r>
      <w:r>
        <w:rPr>
          <w:rFonts w:ascii="Times New Roman" w:cs="Times New Roman" w:hAnsi="Times New Roman"/>
          <w:bCs/>
          <w:sz w:val="24"/>
          <w:szCs w:val="24"/>
        </w:rPr>
        <w:t xml:space="preserve">methods </w:t>
      </w:r>
      <w:r>
        <w:rPr>
          <w:rFonts w:ascii="Times New Roman" w:cs="Times New Roman" w:hAnsi="Times New Roman"/>
          <w:bCs/>
          <w:sz w:val="24"/>
          <w:szCs w:val="24"/>
        </w:rPr>
        <w:t xml:space="preserve">influenced greatly to the magnitude of pest incidence in rice crop. </w:t>
      </w:r>
      <w:r>
        <w:rPr>
          <w:rFonts w:ascii="Times New Roman" w:cs="Times New Roman" w:hAnsi="Times New Roman"/>
          <w:sz w:val="24"/>
          <w:szCs w:val="24"/>
        </w:rPr>
        <w:t xml:space="preserve">The research findings of the study reveal that early </w:t>
      </w:r>
      <w:r>
        <w:rPr>
          <w:rFonts w:ascii="Times New Roman" w:cs="Times New Roman" w:hAnsi="Times New Roman"/>
          <w:sz w:val="24"/>
          <w:szCs w:val="24"/>
        </w:rPr>
        <w:t xml:space="preserve">and normal transplanting </w:t>
      </w:r>
      <w:r>
        <w:rPr>
          <w:rFonts w:ascii="Times New Roman" w:cs="Times New Roman" w:hAnsi="Times New Roman"/>
          <w:sz w:val="24"/>
          <w:szCs w:val="24"/>
        </w:rPr>
        <w:t xml:space="preserve">can reduce the insect pest incidence in the rice crop, particularly, rice stem borer and rice leaf folder and farmers can harvest a good yield. It is obvious that delayed transplanting </w:t>
      </w:r>
      <w:r>
        <w:rPr>
          <w:rFonts w:ascii="Times New Roman" w:cs="Times New Roman" w:hAnsi="Times New Roman"/>
          <w:sz w:val="24"/>
          <w:szCs w:val="24"/>
        </w:rPr>
        <w:t>and other methods of transplanting</w:t>
      </w:r>
      <w:r>
        <w:rPr>
          <w:rFonts w:ascii="Times New Roman" w:cs="Times New Roman" w:hAnsi="Times New Roman"/>
          <w:sz w:val="24"/>
          <w:szCs w:val="24"/>
        </w:rPr>
        <w:t xml:space="preserve"> would have more</w:t>
      </w:r>
      <w:r>
        <w:rPr>
          <w:rFonts w:ascii="Times New Roman" w:cs="Times New Roman" w:hAnsi="Times New Roman"/>
          <w:sz w:val="24"/>
          <w:szCs w:val="24"/>
        </w:rPr>
        <w:t xml:space="preserve"> </w:t>
      </w:r>
      <w:r>
        <w:rPr>
          <w:rFonts w:ascii="Times New Roman" w:cs="Times New Roman" w:hAnsi="Times New Roman"/>
          <w:sz w:val="24"/>
          <w:szCs w:val="24"/>
        </w:rPr>
        <w:t>severe pest incidence and there by the huge grain yield losses</w:t>
      </w:r>
      <w:bookmarkStart w:id="2" w:name="_Hlk149568995"/>
      <w:r>
        <w:rPr>
          <w:rFonts w:ascii="Times New Roman" w:cs="Times New Roman" w:hAnsi="Times New Roman"/>
          <w:sz w:val="24"/>
          <w:szCs w:val="24"/>
        </w:rPr>
        <w:t xml:space="preserve">. </w:t>
      </w:r>
      <w:bookmarkEnd w:id="2"/>
    </w:p>
    <w:p>
      <w:pPr>
        <w:pStyle w:val="style4097"/>
        <w:spacing w:lineRule="auto" w:line="480"/>
        <w:jc w:val="both"/>
        <w:rPr/>
      </w:pPr>
      <w:r>
        <w:rPr>
          <w:b/>
          <w:bCs/>
          <w:i/>
        </w:rPr>
        <w:t>Keywords</w:t>
      </w:r>
      <w:r>
        <w:rPr>
          <w:b/>
          <w:bCs/>
        </w:rPr>
        <w:t xml:space="preserve">: </w:t>
      </w:r>
      <w:r>
        <w:rPr>
          <w:bCs/>
        </w:rPr>
        <w:t>Rice,</w:t>
      </w:r>
      <w:r>
        <w:rPr>
          <w:bCs/>
        </w:rPr>
        <w:t xml:space="preserve"> </w:t>
      </w:r>
      <w:r>
        <w:t xml:space="preserve">Effect of planting dates, Pest incidence, Rice stem borer, Rice leaf folder </w:t>
      </w:r>
    </w:p>
    <w:p>
      <w:pPr>
        <w:pStyle w:val="style179"/>
        <w:numPr>
          <w:ilvl w:val="0"/>
          <w:numId w:val="1"/>
        </w:numPr>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after="0" w:lineRule="auto" w:line="480"/>
        <w:ind w:firstLine="720"/>
        <w:jc w:val="both"/>
        <w:rPr/>
      </w:pPr>
      <w:r>
        <w:rPr>
          <w:rFonts w:ascii="Times New Roman" w:cs="Times New Roman" w:hAnsi="Times New Roman"/>
          <w:sz w:val="24"/>
          <w:szCs w:val="24"/>
        </w:rPr>
        <w:t>Rice (</w:t>
      </w:r>
      <w:r>
        <w:rPr>
          <w:rFonts w:ascii="Times New Roman" w:cs="Times New Roman" w:hAnsi="Times New Roman"/>
          <w:i/>
          <w:iCs/>
          <w:sz w:val="24"/>
          <w:szCs w:val="24"/>
        </w:rPr>
        <w:t xml:space="preserve">Oryza sativa </w:t>
      </w:r>
      <w:r>
        <w:rPr>
          <w:rFonts w:ascii="Times New Roman" w:cs="Times New Roman" w:hAnsi="Times New Roman"/>
          <w:sz w:val="24"/>
          <w:szCs w:val="24"/>
        </w:rPr>
        <w:t xml:space="preserve">L.) is the most important and staple food for the Asian subcontinent including </w:t>
      </w:r>
      <w:r>
        <w:rPr>
          <w:rFonts w:ascii="Times New Roman" w:cs="Times New Roman" w:hAnsi="Times New Roman"/>
          <w:sz w:val="24"/>
          <w:szCs w:val="24"/>
        </w:rPr>
        <w:t>a large proportion of India’s population especially for the eastern and southern regions</w:t>
      </w:r>
      <w:r>
        <w:rPr>
          <w:rFonts w:ascii="Times New Roman" w:cs="Times New Roman" w:hAnsi="Times New Roman"/>
          <w:sz w:val="24"/>
          <w:szCs w:val="24"/>
        </w:rPr>
        <w:t xml:space="preserve"> (Civan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w:t>
      </w:r>
      <w:r>
        <w:rPr>
          <w:rFonts w:ascii="Times New Roman" w:cs="Times New Roman" w:hAnsi="Times New Roman"/>
          <w:sz w:val="24"/>
          <w:szCs w:val="24"/>
        </w:rPr>
        <w:t xml:space="preserve">. </w:t>
      </w:r>
      <w:r>
        <w:rPr>
          <w:rFonts w:ascii="Times New Roman" w:cs="Times New Roman" w:hAnsi="Times New Roman"/>
          <w:sz w:val="24"/>
          <w:szCs w:val="24"/>
        </w:rPr>
        <w:t>India is a major producer of rice in the world, responsible for around 20% of the total world’s rice production</w:t>
      </w:r>
      <w:r>
        <w:rPr>
          <w:rFonts w:ascii="Times New Roman" w:cs="Times New Roman" w:hAnsi="Times New Roman"/>
          <w:sz w:val="24"/>
          <w:szCs w:val="24"/>
        </w:rPr>
        <w:t xml:space="preserve"> (</w:t>
      </w:r>
      <w:r>
        <w:rPr>
          <w:rFonts w:ascii="Times New Roman" w:cs="Times New Roman" w:hAnsi="Times New Roman"/>
          <w:sz w:val="24"/>
          <w:szCs w:val="24"/>
        </w:rPr>
        <w:t>Muthayya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2014)</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country ranks first worldwide in area under rice cultivation, while it ranks second in production, consumption and exportation after China</w:t>
      </w:r>
      <w:r>
        <w:rPr>
          <w:rFonts w:ascii="Times New Roman" w:cs="Times New Roman" w:hAnsi="Times New Roman"/>
          <w:sz w:val="24"/>
          <w:szCs w:val="24"/>
        </w:rPr>
        <w:t xml:space="preserve"> (</w:t>
      </w:r>
      <w:r>
        <w:rPr>
          <w:rFonts w:ascii="Times New Roman" w:cs="Times New Roman" w:hAnsi="Times New Roman"/>
          <w:sz w:val="24"/>
          <w:szCs w:val="24"/>
        </w:rPr>
        <w:t>Bandumula</w:t>
      </w:r>
      <w:r>
        <w:rPr>
          <w:rFonts w:ascii="Times New Roman" w:cs="Times New Roman" w:hAnsi="Times New Roman"/>
          <w:sz w:val="24"/>
          <w:szCs w:val="24"/>
        </w:rPr>
        <w:t>, 2018)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India grows rice in 43.79 million </w:t>
      </w:r>
      <w:r>
        <w:rPr>
          <w:rFonts w:ascii="Times New Roman" w:cs="Times New Roman" w:hAnsi="Times New Roman"/>
          <w:sz w:val="24"/>
          <w:szCs w:val="24"/>
        </w:rPr>
        <w:t>hectare</w:t>
      </w:r>
      <w:r>
        <w:rPr>
          <w:rFonts w:ascii="Times New Roman" w:cs="Times New Roman" w:hAnsi="Times New Roman"/>
          <w:sz w:val="24"/>
          <w:szCs w:val="24"/>
        </w:rPr>
        <w:t xml:space="preserve"> with production of 116.42 million ton</w:t>
      </w:r>
      <w:r>
        <w:rPr>
          <w:rFonts w:ascii="Times New Roman" w:cs="Times New Roman" w:hAnsi="Times New Roman"/>
          <w:sz w:val="24"/>
          <w:szCs w:val="24"/>
        </w:rPr>
        <w:t>n</w:t>
      </w:r>
      <w:r>
        <w:rPr>
          <w:rFonts w:ascii="Times New Roman" w:cs="Times New Roman" w:hAnsi="Times New Roman"/>
          <w:sz w:val="24"/>
          <w:szCs w:val="24"/>
        </w:rPr>
        <w:t>es and the productivity of 2659 kg per hectare</w:t>
      </w:r>
      <w:r>
        <w:rPr>
          <w:rFonts w:ascii="Times New Roman" w:cs="Times New Roman" w:hAnsi="Times New Roman"/>
          <w:sz w:val="24"/>
          <w:szCs w:val="24"/>
        </w:rPr>
        <w:t xml:space="preserve"> (Dash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The world food grain production analysis shows the requirement of 137.29 million </w:t>
      </w:r>
      <w:r>
        <w:rPr>
          <w:rFonts w:ascii="Times New Roman" w:cs="Times New Roman" w:hAnsi="Times New Roman"/>
          <w:sz w:val="24"/>
          <w:szCs w:val="24"/>
        </w:rPr>
        <w:t>tonnes</w:t>
      </w:r>
      <w:r>
        <w:rPr>
          <w:rFonts w:ascii="Times New Roman" w:cs="Times New Roman" w:hAnsi="Times New Roman"/>
          <w:sz w:val="24"/>
          <w:szCs w:val="24"/>
        </w:rPr>
        <w:t xml:space="preserve"> rice to cater the food supply to 1.51 billion worlds’ population by the end of years 2030-3</w:t>
      </w:r>
      <w:r>
        <w:rPr>
          <w:rFonts w:ascii="Times New Roman" w:cs="Times New Roman" w:hAnsi="Times New Roman"/>
          <w:sz w:val="24"/>
          <w:szCs w:val="24"/>
        </w:rPr>
        <w:t>1(</w:t>
      </w:r>
      <w:r>
        <w:rPr>
          <w:rFonts w:ascii="Times New Roman" w:cs="Times New Roman" w:hAnsi="Times New Roman"/>
          <w:sz w:val="24"/>
          <w:szCs w:val="24"/>
        </w:rPr>
        <w:t>Mohidem</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w:t>
      </w:r>
      <w:r>
        <w:rPr>
          <w:rFonts w:ascii="Times New Roman" w:cs="Times New Roman" w:hAnsi="Times New Roman"/>
          <w:sz w:val="24"/>
          <w:szCs w:val="24"/>
        </w:rPr>
        <w:t>Insect pest scenario in rice continues to be dynamic and of immense significance</w:t>
      </w:r>
      <w:r>
        <w:rPr>
          <w:rFonts w:ascii="Times New Roman" w:cs="Times New Roman" w:hAnsi="Times New Roman"/>
          <w:sz w:val="24"/>
          <w:szCs w:val="24"/>
        </w:rPr>
        <w:t xml:space="preserve"> (Ali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Changing climate and its concomitant effect on cropping systems add to cultivation woes of the rice farmers particularly in tackling the changing pest profiles</w:t>
      </w:r>
      <w:r>
        <w:rPr>
          <w:rFonts w:ascii="Times New Roman" w:cs="Times New Roman" w:hAnsi="Times New Roman"/>
          <w:sz w:val="24"/>
          <w:szCs w:val="24"/>
        </w:rPr>
        <w:t xml:space="preserve"> (</w:t>
      </w:r>
      <w:r>
        <w:rPr>
          <w:rFonts w:ascii="Times New Roman" w:cs="Times New Roman" w:hAnsi="Times New Roman"/>
          <w:sz w:val="24"/>
          <w:szCs w:val="24"/>
          <w:shd w:val="clear" w:color="auto" w:fill="ffffff"/>
        </w:rPr>
        <w:t xml:space="preserve">Bhatt </w:t>
      </w:r>
      <w:r>
        <w:rPr>
          <w:rFonts w:ascii="Times New Roman" w:cs="Times New Roman" w:hAnsi="Times New Roman"/>
          <w:i/>
          <w:iCs/>
          <w:sz w:val="24"/>
          <w:szCs w:val="24"/>
          <w:shd w:val="clear" w:color="auto" w:fill="ffffff"/>
        </w:rPr>
        <w:t>et al.,</w:t>
      </w:r>
      <w:r>
        <w:rPr>
          <w:rFonts w:ascii="Times New Roman" w:cs="Times New Roman" w:hAnsi="Times New Roman"/>
          <w:sz w:val="24"/>
          <w:szCs w:val="24"/>
          <w:shd w:val="clear" w:color="auto" w:fill="ffffff"/>
        </w:rPr>
        <w:t xml:space="preserve"> 2019)</w:t>
      </w:r>
      <w:r>
        <w:rPr>
          <w:rFonts w:ascii="Times New Roman" w:cs="Times New Roman" w:hAnsi="Times New Roman"/>
          <w:sz w:val="24"/>
          <w:szCs w:val="24"/>
        </w:rPr>
        <w:t>. The warm and humid climatic condition being conducive for many pests, form a major</w:t>
      </w:r>
      <w:r>
        <w:rPr>
          <w:rFonts w:ascii="Times New Roman" w:cs="Times New Roman" w:hAnsi="Times New Roman"/>
          <w:sz w:val="24"/>
          <w:szCs w:val="24"/>
        </w:rPr>
        <w:t xml:space="preserve"> </w:t>
      </w:r>
      <w:r>
        <w:rPr>
          <w:rFonts w:ascii="Times New Roman" w:cs="Times New Roman" w:hAnsi="Times New Roman"/>
          <w:sz w:val="24"/>
          <w:szCs w:val="24"/>
        </w:rPr>
        <w:t>constraint for increasing rice production in this ecosystem</w:t>
      </w:r>
      <w:r>
        <w:rPr>
          <w:rFonts w:ascii="Times New Roman" w:cs="Times New Roman" w:hAnsi="Times New Roman"/>
          <w:sz w:val="24"/>
          <w:szCs w:val="24"/>
        </w:rPr>
        <w:t xml:space="preserve"> (</w:t>
      </w:r>
      <w:r>
        <w:rPr>
          <w:rFonts w:ascii="Times New Roman" w:cs="Times New Roman" w:hAnsi="Times New Roman"/>
          <w:sz w:val="24"/>
          <w:szCs w:val="24"/>
        </w:rPr>
        <w:t>Uyeh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It is attacked by more than 100 insect pests at their different stages of growth and development</w:t>
      </w:r>
      <w:r>
        <w:rPr>
          <w:rFonts w:ascii="Times New Roman" w:cs="Times New Roman" w:hAnsi="Times New Roman"/>
          <w:sz w:val="24"/>
          <w:szCs w:val="24"/>
        </w:rPr>
        <w:t xml:space="preserve"> (</w:t>
      </w:r>
      <w:r>
        <w:rPr>
          <w:rFonts w:ascii="Times New Roman" w:cs="Times New Roman" w:hAnsi="Times New Roman"/>
          <w:sz w:val="24"/>
          <w:szCs w:val="24"/>
        </w:rPr>
        <w:t>Iamba</w:t>
      </w:r>
      <w:r>
        <w:rPr>
          <w:rFonts w:ascii="Times New Roman" w:cs="Times New Roman" w:hAnsi="Times New Roman"/>
          <w:sz w:val="24"/>
          <w:szCs w:val="24"/>
        </w:rPr>
        <w:t xml:space="preserve"> and </w:t>
      </w:r>
      <w:r>
        <w:rPr>
          <w:rFonts w:ascii="Times New Roman" w:cs="Times New Roman" w:hAnsi="Times New Roman"/>
          <w:sz w:val="24"/>
          <w:szCs w:val="24"/>
        </w:rPr>
        <w:t>Dono</w:t>
      </w:r>
      <w:r>
        <w:rPr>
          <w:rFonts w:ascii="Times New Roman" w:cs="Times New Roman" w:hAnsi="Times New Roman"/>
          <w:sz w:val="24"/>
          <w:szCs w:val="24"/>
        </w:rPr>
        <w:t>, 2021)</w:t>
      </w:r>
      <w:r>
        <w:rPr>
          <w:rFonts w:ascii="Times New Roman" w:cs="Times New Roman" w:hAnsi="Times New Roman"/>
          <w:sz w:val="24"/>
          <w:szCs w:val="24"/>
        </w:rPr>
        <w:t>. However,</w:t>
      </w:r>
      <w:r>
        <w:rPr>
          <w:rFonts w:ascii="Times New Roman" w:cs="Times New Roman" w:hAnsi="Times New Roman"/>
          <w:sz w:val="24"/>
          <w:szCs w:val="24"/>
        </w:rPr>
        <w:t xml:space="preserve"> </w:t>
      </w:r>
      <w:r>
        <w:rPr>
          <w:rFonts w:ascii="Times New Roman" w:cs="Times New Roman" w:hAnsi="Times New Roman"/>
          <w:sz w:val="24"/>
          <w:szCs w:val="24"/>
        </w:rPr>
        <w:t>few pests such as stem borer, plant hoppers and leaf folder have consistently posed</w:t>
      </w:r>
      <w:r>
        <w:rPr>
          <w:rFonts w:ascii="Times New Roman" w:cs="Times New Roman" w:hAnsi="Times New Roman"/>
          <w:sz w:val="24"/>
          <w:szCs w:val="24"/>
        </w:rPr>
        <w:t xml:space="preserve"> </w:t>
      </w:r>
      <w:r>
        <w:rPr>
          <w:rFonts w:ascii="Times New Roman" w:cs="Times New Roman" w:hAnsi="Times New Roman"/>
          <w:sz w:val="24"/>
          <w:szCs w:val="24"/>
        </w:rPr>
        <w:t xml:space="preserve">serious challenges in rice cultivation but in the </w:t>
      </w:r>
      <w:r>
        <w:rPr>
          <w:rFonts w:ascii="Times New Roman" w:cs="Times New Roman" w:hAnsi="Times New Roman"/>
          <w:sz w:val="24"/>
          <w:szCs w:val="24"/>
        </w:rPr>
        <w:t>agro</w:t>
      </w:r>
      <w:r>
        <w:rPr>
          <w:rFonts w:ascii="Times New Roman" w:cs="Times New Roman" w:hAnsi="Times New Roman"/>
          <w:sz w:val="24"/>
          <w:szCs w:val="24"/>
        </w:rPr>
        <w:t>-ecological situations of Bihar the yellow stem borer (</w:t>
      </w:r>
      <w:r>
        <w:rPr>
          <w:rFonts w:ascii="Times New Roman" w:cs="Times New Roman" w:hAnsi="Times New Roman"/>
          <w:i/>
          <w:sz w:val="24"/>
          <w:szCs w:val="24"/>
        </w:rPr>
        <w:t>Scirpophaga</w:t>
      </w:r>
      <w:r>
        <w:rPr>
          <w:rFonts w:ascii="Times New Roman" w:cs="Times New Roman" w:hAnsi="Times New Roman"/>
          <w:i/>
          <w:sz w:val="24"/>
          <w:szCs w:val="24"/>
        </w:rPr>
        <w:t xml:space="preserve"> </w:t>
      </w:r>
      <w:r>
        <w:rPr>
          <w:rFonts w:ascii="Times New Roman" w:cs="Times New Roman" w:hAnsi="Times New Roman"/>
          <w:i/>
          <w:sz w:val="24"/>
          <w:szCs w:val="24"/>
        </w:rPr>
        <w:t>incertulas</w:t>
      </w:r>
      <w:r>
        <w:rPr>
          <w:rFonts w:ascii="Times New Roman" w:cs="Times New Roman" w:hAnsi="Times New Roman"/>
          <w:sz w:val="24"/>
          <w:szCs w:val="24"/>
        </w:rPr>
        <w:t xml:space="preserve"> Walker) and</w:t>
      </w:r>
      <w:r>
        <w:rPr>
          <w:rFonts w:ascii="Times New Roman" w:cs="Times New Roman" w:hAnsi="Times New Roman"/>
          <w:sz w:val="24"/>
          <w:szCs w:val="24"/>
        </w:rPr>
        <w:t xml:space="preserve"> the </w:t>
      </w:r>
      <w:r>
        <w:rPr>
          <w:rFonts w:ascii="Times New Roman" w:cs="Times New Roman" w:hAnsi="Times New Roman"/>
          <w:sz w:val="24"/>
          <w:szCs w:val="24"/>
        </w:rPr>
        <w:t>rice leaf folder (</w:t>
      </w:r>
      <w:r>
        <w:rPr>
          <w:rFonts w:ascii="Times New Roman" w:cs="Times New Roman" w:hAnsi="Times New Roman"/>
          <w:i/>
          <w:sz w:val="24"/>
          <w:szCs w:val="24"/>
        </w:rPr>
        <w:t>Cnaphalocroc</w:t>
      </w:r>
      <w:r>
        <w:rPr>
          <w:rFonts w:ascii="Times New Roman" w:cs="Times New Roman" w:hAnsi="Times New Roman"/>
          <w:i/>
          <w:sz w:val="24"/>
          <w:szCs w:val="24"/>
        </w:rPr>
        <w:t>is</w:t>
      </w:r>
      <w:r>
        <w:rPr>
          <w:rFonts w:ascii="Times New Roman" w:cs="Times New Roman" w:hAnsi="Times New Roman"/>
          <w:i/>
          <w:sz w:val="24"/>
          <w:szCs w:val="24"/>
        </w:rPr>
        <w:t xml:space="preserve"> </w:t>
      </w:r>
      <w:r>
        <w:rPr>
          <w:rFonts w:ascii="Times New Roman" w:cs="Times New Roman" w:hAnsi="Times New Roman"/>
          <w:i/>
          <w:sz w:val="24"/>
          <w:szCs w:val="24"/>
        </w:rPr>
        <w:t>medinalis</w:t>
      </w:r>
      <w:r>
        <w:rPr>
          <w:rFonts w:ascii="Times New Roman" w:cs="Times New Roman" w:hAnsi="Times New Roman"/>
          <w:i/>
          <w:sz w:val="24"/>
          <w:szCs w:val="24"/>
        </w:rPr>
        <w:t xml:space="preserve"> </w:t>
      </w:r>
      <w:r>
        <w:rPr>
          <w:rFonts w:ascii="Times New Roman" w:cs="Times New Roman" w:hAnsi="Times New Roman"/>
          <w:sz w:val="24"/>
          <w:szCs w:val="24"/>
        </w:rPr>
        <w:t>Guenee</w:t>
      </w:r>
      <w:r>
        <w:rPr>
          <w:rFonts w:ascii="Times New Roman" w:cs="Times New Roman" w:hAnsi="Times New Roman"/>
          <w:sz w:val="24"/>
          <w:szCs w:val="24"/>
        </w:rPr>
        <w:t>) have been identified as the major threat to the rice crop causing substantial damage to the rice crop causing 18 to 40 per cent yield losses</w:t>
      </w:r>
      <w:r>
        <w:rPr>
          <w:rFonts w:ascii="Times New Roman" w:cs="Times New Roman" w:hAnsi="Times New Roman"/>
          <w:sz w:val="24"/>
          <w:szCs w:val="24"/>
        </w:rPr>
        <w:t xml:space="preserve"> </w:t>
      </w:r>
      <w:r>
        <w:rPr>
          <w:rFonts w:ascii="Times New Roman" w:cs="Times New Roman" w:hAnsi="Times New Roman"/>
          <w:sz w:val="24"/>
          <w:szCs w:val="24"/>
        </w:rPr>
        <w:t>(Singh and Singh, 2017)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As the area under cultivation is gradually being decreased and demand for enhanced production is increasing to </w:t>
      </w:r>
      <w:r>
        <w:rPr>
          <w:rFonts w:ascii="Times New Roman" w:cs="Times New Roman" w:hAnsi="Times New Roman"/>
          <w:sz w:val="24"/>
          <w:szCs w:val="24"/>
        </w:rPr>
        <w:t>make available</w:t>
      </w:r>
      <w:r>
        <w:rPr>
          <w:rFonts w:ascii="Times New Roman" w:cs="Times New Roman" w:hAnsi="Times New Roman"/>
          <w:sz w:val="24"/>
          <w:szCs w:val="24"/>
        </w:rPr>
        <w:t xml:space="preserve"> the food security to growing population, it is</w:t>
      </w:r>
      <w:r>
        <w:rPr>
          <w:rFonts w:ascii="Times New Roman" w:cs="Times New Roman" w:hAnsi="Times New Roman"/>
          <w:sz w:val="24"/>
          <w:szCs w:val="24"/>
        </w:rPr>
        <w:t xml:space="preserve"> </w:t>
      </w:r>
      <w:r>
        <w:rPr>
          <w:rFonts w:ascii="Times New Roman" w:cs="Times New Roman" w:hAnsi="Times New Roman"/>
          <w:sz w:val="24"/>
          <w:szCs w:val="24"/>
        </w:rPr>
        <w:t>therefore imperative to increase the production by using technology to the one hand and minimize the yield losses due to pest activities to the others</w:t>
      </w:r>
      <w:r>
        <w:rPr>
          <w:rFonts w:ascii="Times New Roman" w:cs="Times New Roman" w:hAnsi="Times New Roman"/>
          <w:sz w:val="24"/>
          <w:szCs w:val="24"/>
        </w:rPr>
        <w:t xml:space="preserve"> </w:t>
      </w:r>
      <w:r>
        <w:rPr>
          <w:rFonts w:ascii="Times New Roman" w:cs="Times New Roman" w:hAnsi="Times New Roman"/>
          <w:sz w:val="24"/>
          <w:szCs w:val="24"/>
        </w:rPr>
        <w:t>(Schneider and Asch, 2020)</w:t>
      </w:r>
      <w:r>
        <w:rPr>
          <w:rFonts w:ascii="Times New Roman" w:cs="Times New Roman" w:hAnsi="Times New Roman"/>
          <w:sz w:val="24"/>
          <w:szCs w:val="24"/>
        </w:rPr>
        <w:t>.</w:t>
      </w:r>
      <w:r>
        <w:rPr>
          <w:rFonts w:ascii="Times New Roman" w:cs="Times New Roman" w:hAnsi="Times New Roman"/>
          <w:sz w:val="24"/>
          <w:szCs w:val="24"/>
        </w:rPr>
        <w:t xml:space="preserve"> Manipulating the sowing or planting dates is one of the effective tools to restrict the insect pest from its harmful pest activities as the harmful effects of using pesticides for pest control have posing several threats to mankind and ecological repercussions. Keeping in view of above facts, the present investigation was undertaken.</w:t>
      </w:r>
    </w:p>
    <w:p>
      <w:pPr>
        <w:pStyle w:val="style157"/>
        <w:numPr>
          <w:ilvl w:val="0"/>
          <w:numId w:val="1"/>
        </w:numPr>
        <w:spacing w:lineRule="auto" w:line="360"/>
        <w:rPr>
          <w:rFonts w:ascii="Times New Roman" w:cs="Times New Roman" w:hAnsi="Times New Roman"/>
          <w:b/>
          <w:sz w:val="24"/>
          <w:szCs w:val="24"/>
        </w:rPr>
      </w:pPr>
      <w:r>
        <w:rPr>
          <w:rFonts w:ascii="Times New Roman" w:cs="Times New Roman" w:hAnsi="Times New Roman"/>
          <w:b/>
          <w:sz w:val="24"/>
          <w:szCs w:val="24"/>
        </w:rPr>
        <w:t>MATERIALS AND METHODS</w:t>
      </w:r>
    </w:p>
    <w:p>
      <w:pPr>
        <w:pStyle w:val="style4097"/>
        <w:spacing w:lineRule="auto" w:line="480"/>
        <w:ind w:firstLine="720"/>
        <w:jc w:val="both"/>
        <w:rPr>
          <w:rFonts w:eastAsia="宋体"/>
          <w:color w:val="auto"/>
        </w:rPr>
      </w:pPr>
      <w:r>
        <w:rPr>
          <w:color w:val="auto"/>
        </w:rPr>
        <w:t>The experiment was conducted at Rice research farm of RPCAU, Pusa in Randomized Block Design during the years 2019 and 2020 with</w:t>
      </w:r>
      <w:r>
        <w:rPr>
          <w:color w:val="auto"/>
        </w:rPr>
        <w:t xml:space="preserve"> rice variety ‘Rajendra Mahsuri </w:t>
      </w:r>
      <w:r>
        <w:rPr>
          <w:color w:val="auto"/>
        </w:rPr>
        <w:t>1’. The experimental site was located at</w:t>
      </w:r>
      <w:r>
        <w:rPr>
          <w:color w:val="auto"/>
        </w:rPr>
        <w:t xml:space="preserve"> </w:t>
      </w:r>
      <w:r>
        <w:rPr>
          <w:color w:val="auto"/>
        </w:rPr>
        <w:t>25.98</w:t>
      </w:r>
      <w:r>
        <w:rPr>
          <w:color w:val="auto"/>
          <w:vertAlign w:val="superscript"/>
        </w:rPr>
        <w:t xml:space="preserve">0 </w:t>
      </w:r>
      <w:r>
        <w:rPr>
          <w:color w:val="auto"/>
        </w:rPr>
        <w:t xml:space="preserve">N and 85.67 </w:t>
      </w:r>
      <w:r>
        <w:rPr>
          <w:color w:val="auto"/>
          <w:vertAlign w:val="superscript"/>
        </w:rPr>
        <w:t xml:space="preserve">0 </w:t>
      </w:r>
      <w:r>
        <w:rPr>
          <w:color w:val="auto"/>
        </w:rPr>
        <w:t>E with an altitude of 52.0 m above mean sea level. The climate of experimental site is sub-tropical characterized with moderate precipitation, hot and dry summer and cold winter with maximum yearly rainfall (about 90 %) received due to south-west monsoon during June to October and the months of December to February receiving occasional and light winter showers. April, May and June are the hottest months while December and January are the coldest. The temperature varies between 6</w:t>
      </w:r>
      <w:r>
        <w:rPr>
          <w:color w:val="auto"/>
          <w:vertAlign w:val="superscript"/>
        </w:rPr>
        <w:t>0</w:t>
      </w:r>
      <w:r>
        <w:rPr>
          <w:color w:val="auto"/>
        </w:rPr>
        <w:t>C</w:t>
      </w:r>
      <w:r>
        <w:rPr>
          <w:color w:val="auto"/>
        </w:rPr>
        <w:t xml:space="preserve"> </w:t>
      </w:r>
      <w:r>
        <w:rPr>
          <w:color w:val="auto"/>
        </w:rPr>
        <w:t>to 45</w:t>
      </w:r>
      <w:r>
        <w:rPr>
          <w:color w:val="auto"/>
          <w:vertAlign w:val="superscript"/>
        </w:rPr>
        <w:t>0</w:t>
      </w:r>
      <w:r>
        <w:rPr>
          <w:color w:val="auto"/>
        </w:rPr>
        <w:t>C with maximum in May</w:t>
      </w:r>
      <w:r>
        <w:rPr>
          <w:color w:val="auto"/>
        </w:rPr>
        <w:t xml:space="preserve"> </w:t>
      </w:r>
      <w:r>
        <w:rPr>
          <w:color w:val="auto"/>
        </w:rPr>
        <w:t>–</w:t>
      </w:r>
      <w:r>
        <w:rPr>
          <w:color w:val="auto"/>
        </w:rPr>
        <w:t xml:space="preserve"> June and minimum in December-</w:t>
      </w:r>
      <w:r>
        <w:rPr>
          <w:color w:val="auto"/>
        </w:rPr>
        <w:t>January</w:t>
      </w:r>
      <w:r>
        <w:rPr>
          <w:color w:val="auto"/>
        </w:rPr>
        <w:t xml:space="preserve"> </w:t>
      </w:r>
      <w:r>
        <w:rPr>
          <w:color w:val="auto"/>
        </w:rPr>
        <w:t>while the RH ranged from 60 percent to 93 percent. Field trial has been undertaken with three planting dates as early planting, normal planting and late planting at 20 days interval on an area of 500 m</w:t>
      </w:r>
      <w:r>
        <w:rPr>
          <w:color w:val="auto"/>
          <w:vertAlign w:val="superscript"/>
        </w:rPr>
        <w:t>2</w:t>
      </w:r>
      <w:r>
        <w:rPr>
          <w:color w:val="auto"/>
        </w:rPr>
        <w:t xml:space="preserve"> to assess the effect of planting dates on pest incidence. Each plot of planting dates has been divided into 10 sub plots of 50 m</w:t>
      </w:r>
      <w:r>
        <w:rPr>
          <w:color w:val="auto"/>
          <w:vertAlign w:val="superscript"/>
        </w:rPr>
        <w:t xml:space="preserve">2 </w:t>
      </w:r>
      <w:r>
        <w:rPr>
          <w:color w:val="auto"/>
        </w:rPr>
        <w:t>areas. The rice variety ‘Rajendra Mahsuri 1’ was sown at 20 days interval i.e. May 26</w:t>
      </w:r>
      <w:r>
        <w:rPr>
          <w:color w:val="auto"/>
          <w:vertAlign w:val="superscript"/>
        </w:rPr>
        <w:t>th</w:t>
      </w:r>
      <w:r>
        <w:rPr>
          <w:color w:val="auto"/>
        </w:rPr>
        <w:t>, June 15</w:t>
      </w:r>
      <w:r>
        <w:rPr>
          <w:color w:val="auto"/>
          <w:vertAlign w:val="superscript"/>
        </w:rPr>
        <w:t xml:space="preserve">th </w:t>
      </w:r>
      <w:r>
        <w:rPr>
          <w:color w:val="auto"/>
        </w:rPr>
        <w:t>and July 5</w:t>
      </w:r>
      <w:r>
        <w:rPr>
          <w:color w:val="auto"/>
          <w:vertAlign w:val="superscript"/>
        </w:rPr>
        <w:t>th</w:t>
      </w:r>
      <w:r>
        <w:rPr>
          <w:color w:val="auto"/>
        </w:rPr>
        <w:t xml:space="preserve"> and transplanted on June 15</w:t>
      </w:r>
      <w:r>
        <w:rPr>
          <w:color w:val="auto"/>
          <w:vertAlign w:val="superscript"/>
        </w:rPr>
        <w:t>th</w:t>
      </w:r>
      <w:r>
        <w:rPr>
          <w:color w:val="auto"/>
        </w:rPr>
        <w:t>, July 5</w:t>
      </w:r>
      <w:r>
        <w:rPr>
          <w:color w:val="auto"/>
          <w:vertAlign w:val="superscript"/>
        </w:rPr>
        <w:t>th</w:t>
      </w:r>
      <w:r>
        <w:rPr>
          <w:color w:val="auto"/>
        </w:rPr>
        <w:t xml:space="preserve"> and July 25</w:t>
      </w:r>
      <w:r>
        <w:rPr>
          <w:color w:val="auto"/>
          <w:vertAlign w:val="superscript"/>
        </w:rPr>
        <w:t>th</w:t>
      </w:r>
      <w:r>
        <w:rPr>
          <w:color w:val="auto"/>
        </w:rPr>
        <w:t xml:space="preserve"> in both the years respectively under Randomized Block Design with 10 replications (Sub plots)</w:t>
      </w:r>
      <w:r>
        <w:rPr>
          <w:color w:val="auto"/>
        </w:rPr>
        <w:t xml:space="preserve"> </w:t>
      </w:r>
      <w:r>
        <w:rPr>
          <w:color w:val="auto"/>
        </w:rPr>
        <w:t xml:space="preserve">at 20 </w:t>
      </w:r>
      <w:r>
        <w:rPr>
          <w:color w:val="auto"/>
        </w:rPr>
        <w:t xml:space="preserve">× </w:t>
      </w:r>
      <w:r>
        <w:rPr>
          <w:rFonts w:eastAsia="宋体"/>
          <w:color w:val="auto"/>
        </w:rPr>
        <w:t>15 cm spacing with two seedlings per hill. The recommended dose of fertilizer (N</w:t>
      </w:r>
      <w:r>
        <w:rPr>
          <w:rFonts w:eastAsia="宋体"/>
          <w:color w:val="auto"/>
        </w:rPr>
        <w:t>:P: K</w:t>
      </w:r>
      <w:r>
        <w:rPr>
          <w:rFonts w:eastAsia="宋体"/>
          <w:color w:val="auto"/>
        </w:rPr>
        <w:t>) i.e. 80:40:40 kg/ha was applied to the crop in two splits i.e. 50 % N, full dose of P</w:t>
      </w:r>
      <w:r>
        <w:rPr>
          <w:rFonts w:eastAsia="宋体"/>
          <w:color w:val="auto"/>
          <w:vertAlign w:val="subscript"/>
        </w:rPr>
        <w:t>2</w:t>
      </w:r>
      <w:r>
        <w:rPr>
          <w:rFonts w:eastAsia="宋体"/>
          <w:color w:val="auto"/>
        </w:rPr>
        <w:t>0</w:t>
      </w:r>
      <w:r>
        <w:rPr>
          <w:rFonts w:eastAsia="宋体"/>
          <w:color w:val="auto"/>
          <w:vertAlign w:val="subscript"/>
        </w:rPr>
        <w:t>5</w:t>
      </w:r>
      <w:r>
        <w:rPr>
          <w:rFonts w:eastAsia="宋体"/>
          <w:color w:val="auto"/>
        </w:rPr>
        <w:t xml:space="preserve"> and K</w:t>
      </w:r>
      <w:r>
        <w:rPr>
          <w:rFonts w:eastAsia="宋体"/>
          <w:color w:val="auto"/>
          <w:vertAlign w:val="subscript"/>
        </w:rPr>
        <w:t>2</w:t>
      </w:r>
      <w:r>
        <w:rPr>
          <w:rFonts w:eastAsia="宋体"/>
          <w:color w:val="auto"/>
        </w:rPr>
        <w:t>0 during final land preparation and remaining 50% N in two splits i.e. at the tillering stage and at the time of panicle initiation</w:t>
      </w:r>
      <w:r>
        <w:rPr>
          <w:rFonts w:eastAsia="宋体"/>
          <w:color w:val="auto"/>
        </w:rPr>
        <w:t>.</w:t>
      </w:r>
      <w:r>
        <w:rPr>
          <w:rFonts w:eastAsia="宋体"/>
          <w:color w:val="auto"/>
        </w:rPr>
        <w:t xml:space="preserve"> No chemical insecticides were used for allowing the pest and natural enemies to multiply. Observations were recorded</w:t>
      </w:r>
      <w:r>
        <w:rPr>
          <w:rFonts w:eastAsia="宋体"/>
          <w:color w:val="auto"/>
        </w:rPr>
        <w:t xml:space="preserve"> </w:t>
      </w:r>
      <w:r>
        <w:rPr>
          <w:color w:val="auto"/>
        </w:rPr>
        <w:t xml:space="preserve">in each sub plot taking 5 randomly selected hills to record the number of dead hearts per hill, number of silver shoots for rice stem borer and number of damaged leaves for rice leaf folder at an interval of 10 days after the first appearance of the pest and finally </w:t>
      </w:r>
      <w:r>
        <w:rPr>
          <w:rFonts w:eastAsia="宋体"/>
          <w:color w:val="auto"/>
        </w:rPr>
        <w:t xml:space="preserve">grain yield was worked out to </w:t>
      </w:r>
      <w:r>
        <w:rPr>
          <w:rFonts w:eastAsia="宋体"/>
          <w:color w:val="auto"/>
        </w:rPr>
        <w:t>assess</w:t>
      </w:r>
      <w:r>
        <w:rPr>
          <w:rFonts w:eastAsia="宋体"/>
          <w:color w:val="auto"/>
        </w:rPr>
        <w:t xml:space="preserve"> the impact of pest incidence on the yield of the crop at the time of crop harvest.</w:t>
      </w:r>
      <w:r>
        <w:rPr>
          <w:rFonts w:eastAsia="宋体"/>
          <w:color w:val="auto"/>
        </w:rPr>
        <w:t xml:space="preserve"> </w:t>
      </w:r>
      <w:r>
        <w:rPr>
          <w:rFonts w:eastAsia="宋体"/>
          <w:color w:val="auto"/>
        </w:rPr>
        <w:t xml:space="preserve"> </w:t>
      </w:r>
      <w:r>
        <w:rPr>
          <w:rFonts w:eastAsia="宋体"/>
          <w:color w:val="auto"/>
        </w:rPr>
        <w:t xml:space="preserve">Rice yellow stem borer </w:t>
      </w:r>
      <w:r>
        <w:rPr>
          <w:rFonts w:eastAsia="宋体"/>
          <w:color w:val="auto"/>
        </w:rPr>
        <w:t xml:space="preserve">and leaf folder </w:t>
      </w:r>
      <w:r>
        <w:rPr>
          <w:rFonts w:eastAsia="宋体"/>
          <w:color w:val="auto"/>
        </w:rPr>
        <w:t>damage assessment</w:t>
      </w:r>
      <w:r>
        <w:rPr>
          <w:rFonts w:eastAsia="宋体"/>
          <w:color w:val="auto"/>
        </w:rPr>
        <w:t xml:space="preserve"> </w:t>
      </w:r>
    </w:p>
    <w:p>
      <w:pPr>
        <w:pStyle w:val="style4097"/>
        <w:spacing w:lineRule="auto" w:line="480"/>
        <w:ind w:firstLine="720"/>
        <w:jc w:val="both"/>
        <w:rPr>
          <w:rFonts w:eastAsia="宋体"/>
          <w:color w:val="auto"/>
        </w:rPr>
      </w:pPr>
      <w:r>
        <w:rPr>
          <w:rFonts w:eastAsia="宋体"/>
          <w:color w:val="auto"/>
        </w:rPr>
        <w:t xml:space="preserve">% Dead </w:t>
      </w:r>
      <w:r>
        <w:rPr>
          <w:rFonts w:eastAsia="宋体"/>
          <w:color w:val="auto"/>
        </w:rPr>
        <w:t>h</w:t>
      </w:r>
      <w:r>
        <w:rPr>
          <w:rFonts w:eastAsia="宋体"/>
          <w:color w:val="auto"/>
        </w:rPr>
        <w:t>eart =</w:t>
      </w:r>
      <w:r>
        <w:rPr>
          <w:rFonts w:eastAsia="宋体"/>
          <w:color w:val="auto"/>
        </w:rPr>
        <w:t xml:space="preserve"> </w:t>
      </w:r>
      <w:r>
        <w:rPr>
          <w:rFonts w:eastAsia="宋体"/>
          <w:color w:val="auto"/>
        </w:rPr>
        <w:t>(Number of dead hearts)</w:t>
      </w:r>
      <w:r>
        <w:rPr>
          <w:rFonts w:eastAsia="宋体"/>
          <w:color w:val="auto"/>
        </w:rPr>
        <w:t xml:space="preserve"> </w:t>
      </w:r>
      <w:r>
        <w:rPr>
          <w:rFonts w:eastAsia="宋体"/>
          <w:color w:val="auto"/>
        </w:rPr>
        <w:t>/</w:t>
      </w:r>
      <w:r>
        <w:rPr>
          <w:rFonts w:eastAsia="宋体"/>
          <w:color w:val="auto"/>
        </w:rPr>
        <w:t xml:space="preserve"> </w:t>
      </w:r>
      <w:r>
        <w:rPr>
          <w:rFonts w:eastAsia="宋体"/>
          <w:color w:val="auto"/>
        </w:rPr>
        <w:t xml:space="preserve">(Number of total </w:t>
      </w:r>
      <w:r>
        <w:rPr>
          <w:rFonts w:eastAsia="宋体"/>
          <w:color w:val="auto"/>
        </w:rPr>
        <w:t>tillers) x</w:t>
      </w:r>
      <w:r>
        <w:rPr>
          <w:rFonts w:eastAsia="宋体"/>
          <w:color w:val="auto"/>
        </w:rPr>
        <w:t>100</w:t>
      </w:r>
    </w:p>
    <w:p>
      <w:pPr>
        <w:pStyle w:val="style4097"/>
        <w:spacing w:lineRule="auto" w:line="480"/>
        <w:ind w:firstLine="720"/>
        <w:jc w:val="both"/>
        <w:rPr>
          <w:rFonts w:eastAsia="宋体"/>
          <w:color w:val="auto"/>
        </w:rPr>
      </w:pPr>
      <w:r>
        <w:rPr>
          <w:rFonts w:eastAsia="宋体"/>
          <w:color w:val="auto"/>
        </w:rPr>
        <w:t xml:space="preserve">% </w:t>
      </w:r>
      <w:r>
        <w:rPr>
          <w:rFonts w:eastAsia="宋体"/>
          <w:color w:val="auto"/>
        </w:rPr>
        <w:t xml:space="preserve">White ear </w:t>
      </w:r>
      <w:r>
        <w:rPr>
          <w:rFonts w:eastAsia="宋体"/>
          <w:color w:val="auto"/>
        </w:rPr>
        <w:t>=</w:t>
      </w:r>
      <w:r>
        <w:rPr>
          <w:rFonts w:eastAsia="宋体"/>
          <w:color w:val="auto"/>
        </w:rPr>
        <w:t xml:space="preserve"> </w:t>
      </w:r>
      <w:r>
        <w:rPr>
          <w:rFonts w:eastAsia="宋体"/>
          <w:color w:val="auto"/>
        </w:rPr>
        <w:t xml:space="preserve">(Number of </w:t>
      </w:r>
      <w:r>
        <w:rPr>
          <w:rFonts w:eastAsia="宋体"/>
          <w:color w:val="auto"/>
        </w:rPr>
        <w:t>white ears</w:t>
      </w:r>
      <w:r>
        <w:rPr>
          <w:rFonts w:eastAsia="宋体"/>
          <w:color w:val="auto"/>
        </w:rPr>
        <w:t>)</w:t>
      </w:r>
      <w:r>
        <w:rPr>
          <w:rFonts w:eastAsia="宋体"/>
          <w:color w:val="auto"/>
        </w:rPr>
        <w:t xml:space="preserve"> </w:t>
      </w:r>
      <w:r>
        <w:rPr>
          <w:rFonts w:eastAsia="宋体"/>
          <w:color w:val="auto"/>
        </w:rPr>
        <w:t>/ (</w:t>
      </w:r>
      <w:r>
        <w:rPr>
          <w:rFonts w:eastAsia="宋体"/>
          <w:color w:val="auto"/>
        </w:rPr>
        <w:t xml:space="preserve">Number of total </w:t>
      </w:r>
      <w:r>
        <w:rPr>
          <w:rFonts w:eastAsia="宋体"/>
          <w:color w:val="auto"/>
        </w:rPr>
        <w:t>tillers) x</w:t>
      </w:r>
      <w:r>
        <w:rPr>
          <w:rFonts w:eastAsia="宋体"/>
          <w:color w:val="auto"/>
        </w:rPr>
        <w:t>100</w:t>
      </w:r>
    </w:p>
    <w:p>
      <w:pPr>
        <w:pStyle w:val="style4097"/>
        <w:ind w:firstLine="720"/>
        <w:rPr>
          <w:rFonts w:eastAsia="宋体"/>
          <w:color w:val="auto"/>
        </w:rPr>
      </w:pPr>
      <w:r>
        <w:rPr>
          <w:rFonts w:eastAsia="宋体"/>
          <w:color w:val="auto"/>
        </w:rPr>
        <w:t xml:space="preserve">% </w:t>
      </w:r>
      <w:r>
        <w:rPr>
          <w:rFonts w:eastAsia="宋体"/>
          <w:color w:val="auto"/>
        </w:rPr>
        <w:t>Leaf folder damage</w:t>
      </w:r>
      <w:r>
        <w:rPr>
          <w:rFonts w:eastAsia="宋体"/>
          <w:color w:val="auto"/>
        </w:rPr>
        <w:t xml:space="preserve"> = </w:t>
      </w:r>
      <w:r>
        <w:rPr>
          <w:rFonts w:eastAsia="宋体"/>
          <w:color w:val="auto"/>
        </w:rPr>
        <w:t xml:space="preserve">  </w:t>
      </w:r>
      <w:r>
        <w:rPr>
          <w:rFonts w:eastAsia="宋体"/>
          <w:color w:val="auto"/>
          <w:u w:val="single"/>
        </w:rPr>
        <w:t>Total number of damaged leaf/10 hills</w:t>
      </w:r>
      <w:r>
        <w:rPr>
          <w:rFonts w:eastAsia="宋体"/>
          <w:color w:val="auto"/>
          <w:u w:val="single"/>
        </w:rPr>
        <w:t>_________</w:t>
      </w:r>
      <w:r>
        <w:rPr>
          <w:rFonts w:eastAsia="宋体"/>
          <w:color w:val="auto"/>
        </w:rPr>
        <w:t xml:space="preserve">  </w:t>
      </w:r>
      <w:r>
        <w:rPr>
          <w:rFonts w:eastAsia="宋体"/>
          <w:color w:val="auto"/>
        </w:rPr>
        <w:t xml:space="preserve"> </w:t>
      </w:r>
      <w:r>
        <w:rPr>
          <w:rFonts w:eastAsia="宋体"/>
          <w:color w:val="auto"/>
        </w:rPr>
        <w:t>x100</w:t>
      </w:r>
    </w:p>
    <w:p>
      <w:pPr>
        <w:pStyle w:val="style4097"/>
        <w:ind w:firstLine="720"/>
        <w:jc w:val="both"/>
        <w:rPr>
          <w:rFonts w:eastAsia="宋体"/>
          <w:color w:val="auto"/>
        </w:rPr>
      </w:pPr>
      <w:r>
        <w:rPr>
          <w:rFonts w:eastAsia="宋体"/>
          <w:color w:val="auto"/>
        </w:rPr>
        <w:t xml:space="preserve">                                          Total number of leaves (damaged + healthy)/10 hills</w:t>
      </w:r>
    </w:p>
    <w:p>
      <w:pPr>
        <w:pStyle w:val="style4097"/>
        <w:ind w:firstLine="720"/>
        <w:jc w:val="both"/>
        <w:rPr>
          <w:rFonts w:eastAsia="宋体"/>
          <w:color w:val="auto"/>
        </w:rPr>
      </w:pPr>
    </w:p>
    <w:p>
      <w:pPr>
        <w:pStyle w:val="style4097"/>
        <w:spacing w:lineRule="auto" w:line="480"/>
        <w:ind w:firstLine="720"/>
        <w:jc w:val="both"/>
        <w:rPr>
          <w:rFonts w:eastAsia="宋体"/>
          <w:color w:val="000000"/>
        </w:rPr>
      </w:pPr>
      <w:r>
        <w:rPr>
          <w:rFonts w:eastAsia="宋体"/>
          <w:color w:val="000000"/>
        </w:rPr>
        <w:t xml:space="preserve">Influence of weather </w:t>
      </w:r>
      <w:r>
        <w:rPr>
          <w:rFonts w:eastAsia="宋体"/>
          <w:color w:val="000000"/>
        </w:rPr>
        <w:t>parametes</w:t>
      </w:r>
      <w:r>
        <w:rPr>
          <w:rFonts w:eastAsia="宋体"/>
          <w:color w:val="000000"/>
        </w:rPr>
        <w:t xml:space="preserve"> viz., mean maximum temperature (ºC), mean minimum temperature (ºC), mean morning relative humidity (%), mean evening relative humidity (%), average wind speed (Kmph), total rainfall (mm), total evaporation (mm) was correlated with the stem borer and leaf folder damage and they were </w:t>
      </w:r>
      <w:r>
        <w:rPr>
          <w:rFonts w:eastAsia="宋体"/>
          <w:color w:val="000000"/>
        </w:rPr>
        <w:t>analysed</w:t>
      </w:r>
      <w:r>
        <w:rPr>
          <w:rFonts w:eastAsia="宋体"/>
          <w:color w:val="000000"/>
        </w:rPr>
        <w:t xml:space="preserve"> using SPSS Package. Simple correlation was worked out and regression equation was developed between the ten weather parameters viz., maximum temperature (T max), minimum temperature (T min), morning relative humidity (MRH), evening relative humidity (ERH), windspeed (WS), sunshine rainfall (RF) and evaporation (EP) and stem borer and leaf folder damage per cent for different crop growth stages for different date of planting. </w:t>
      </w:r>
    </w:p>
    <w:p>
      <w:pPr>
        <w:pStyle w:val="style4097"/>
        <w:numPr>
          <w:ilvl w:val="0"/>
          <w:numId w:val="1"/>
        </w:numPr>
        <w:spacing w:lineRule="auto" w:line="480"/>
        <w:jc w:val="both"/>
        <w:rPr>
          <w:b/>
          <w:bCs/>
          <w:color w:val="auto"/>
        </w:rPr>
      </w:pPr>
      <w:r>
        <w:rPr>
          <w:b/>
          <w:bCs/>
          <w:color w:val="auto"/>
        </w:rPr>
        <w:t>RESULTS AND DISCUSSION</w:t>
      </w:r>
    </w:p>
    <w:p>
      <w:pPr>
        <w:pStyle w:val="style179"/>
        <w:numPr>
          <w:ilvl w:val="1"/>
          <w:numId w:val="1"/>
        </w:numPr>
        <w:spacing w:after="0" w:lineRule="auto" w:line="480"/>
        <w:jc w:val="both"/>
        <w:rPr>
          <w:rFonts w:ascii="Times New Roman" w:cs="Times New Roman" w:hAnsi="Times New Roman"/>
          <w:bCs/>
          <w:i/>
          <w:iCs/>
          <w:sz w:val="24"/>
          <w:szCs w:val="24"/>
        </w:rPr>
      </w:pPr>
      <w:r>
        <w:rPr>
          <w:rFonts w:ascii="Times New Roman" w:cs="Times New Roman" w:hAnsi="Times New Roman"/>
          <w:b/>
          <w:i/>
          <w:iCs/>
          <w:sz w:val="24"/>
          <w:szCs w:val="24"/>
        </w:rPr>
        <w:t>Effect of planting dates</w:t>
      </w:r>
      <w:r>
        <w:rPr>
          <w:rFonts w:ascii="Times New Roman" w:cs="Times New Roman" w:hAnsi="Times New Roman"/>
          <w:b/>
          <w:i/>
          <w:iCs/>
          <w:sz w:val="24"/>
          <w:szCs w:val="24"/>
        </w:rPr>
        <w:t xml:space="preserve"> </w:t>
      </w:r>
      <w:r>
        <w:rPr>
          <w:rFonts w:ascii="Times New Roman" w:cs="Times New Roman" w:hAnsi="Times New Roman"/>
          <w:b/>
          <w:i/>
          <w:iCs/>
          <w:sz w:val="24"/>
          <w:szCs w:val="24"/>
        </w:rPr>
        <w:t>on incidence of rice</w:t>
      </w:r>
      <w:r>
        <w:rPr>
          <w:rFonts w:ascii="Times New Roman" w:cs="Times New Roman" w:hAnsi="Times New Roman"/>
          <w:b/>
          <w:i/>
          <w:iCs/>
          <w:sz w:val="24"/>
          <w:szCs w:val="24"/>
        </w:rPr>
        <w:t xml:space="preserve"> yellow</w:t>
      </w:r>
      <w:r>
        <w:rPr>
          <w:rFonts w:ascii="Times New Roman" w:cs="Times New Roman" w:hAnsi="Times New Roman"/>
          <w:b/>
          <w:i/>
          <w:iCs/>
          <w:sz w:val="24"/>
          <w:szCs w:val="24"/>
        </w:rPr>
        <w:t xml:space="preserve"> stem borer and leaf folder</w:t>
      </w:r>
    </w:p>
    <w:p>
      <w:pPr>
        <w:pStyle w:val="style0"/>
        <w:spacing w:after="0" w:lineRule="auto" w:line="480"/>
        <w:ind w:firstLine="720"/>
        <w:jc w:val="both"/>
        <w:rPr>
          <w:rFonts w:ascii="Times New Roman" w:cs="Times New Roman" w:hAnsi="Times New Roman"/>
          <w:sz w:val="24"/>
          <w:szCs w:val="24"/>
        </w:rPr>
      </w:pPr>
      <w:r>
        <w:rPr>
          <w:rFonts w:ascii="Times New Roman" w:hAnsi="Times New Roman"/>
          <w:bCs/>
          <w:sz w:val="24"/>
          <w:szCs w:val="24"/>
        </w:rPr>
        <w:t xml:space="preserve">The studies on incidence of stem borer in different planting time in rice indicate that the total number of </w:t>
      </w:r>
      <w:r>
        <w:rPr>
          <w:rFonts w:ascii="Times New Roman" w:hAnsi="Times New Roman"/>
          <w:bCs/>
          <w:sz w:val="24"/>
          <w:szCs w:val="24"/>
        </w:rPr>
        <w:t>tillers</w:t>
      </w:r>
      <w:r>
        <w:rPr>
          <w:rFonts w:ascii="Times New Roman" w:hAnsi="Times New Roman"/>
          <w:bCs/>
          <w:sz w:val="24"/>
          <w:szCs w:val="24"/>
        </w:rPr>
        <w:t>, number of dead heart or white ear head and % of total tiller damage varied between 78.70 to 86.80, 8.00 to 11.70 and 9.56 to 14.11%, 77.10 to 86.20, 10.20 to 15.20 and 11.91 to 17.64%, 87.20 to 94.40, 14.50 to 20.90 and 15.36 to 24.02% (Table 1)</w:t>
      </w:r>
      <w:r>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
          <w:sz w:val="24"/>
          <w:szCs w:val="24"/>
        </w:rPr>
        <w:t>Figure 1</w:t>
      </w:r>
      <w:r>
        <w:rPr>
          <w:rFonts w:ascii="Times New Roman" w:hAnsi="Times New Roman"/>
          <w:bCs/>
          <w:sz w:val="24"/>
          <w:szCs w:val="24"/>
        </w:rPr>
        <w:t xml:space="preserve">) </w:t>
      </w:r>
      <w:r>
        <w:rPr>
          <w:rFonts w:ascii="Times New Roman" w:hAnsi="Times New Roman"/>
          <w:bCs/>
          <w:sz w:val="24"/>
          <w:szCs w:val="24"/>
        </w:rPr>
        <w:t xml:space="preserve">for early, timely and late planting respectively. </w:t>
      </w:r>
      <w:r>
        <w:rPr>
          <w:rFonts w:ascii="Times New Roman" w:hAnsi="Times New Roman"/>
          <w:bCs/>
          <w:sz w:val="24"/>
          <w:szCs w:val="24"/>
          <w:lang w:val="en-US"/>
        </w:rPr>
        <w:t xml:space="preserve">These studies further revealed significant differences in </w:t>
      </w:r>
      <w:r>
        <w:rPr>
          <w:rFonts w:ascii="Times New Roman" w:hAnsi="Times New Roman"/>
          <w:bCs/>
          <w:sz w:val="24"/>
          <w:szCs w:val="24"/>
        </w:rPr>
        <w:t>total number of tiller (</w:t>
      </w:r>
      <w:r>
        <w:rPr>
          <w:rFonts w:ascii="Times New Roman" w:hAnsi="Times New Roman"/>
          <w:i/>
          <w:iCs/>
          <w:sz w:val="24"/>
          <w:szCs w:val="24"/>
        </w:rPr>
        <w:t>F=98.70, 98.70, 13.70; df=2,8; P&lt;0.001</w:t>
      </w:r>
      <w:r>
        <w:rPr>
          <w:rFonts w:ascii="Times New Roman" w:hAnsi="Times New Roman"/>
          <w:bCs/>
          <w:sz w:val="24"/>
          <w:szCs w:val="24"/>
        </w:rPr>
        <w:t>), number of dead heart or white ear head (</w:t>
      </w:r>
      <w:r>
        <w:rPr>
          <w:rFonts w:ascii="Times New Roman" w:hAnsi="Times New Roman"/>
          <w:i/>
          <w:iCs/>
          <w:sz w:val="24"/>
          <w:szCs w:val="24"/>
        </w:rPr>
        <w:t>F=15.80, 18.90, 29.70; df=2,8; P&lt;0.001</w:t>
      </w:r>
      <w:r>
        <w:rPr>
          <w:rFonts w:ascii="Times New Roman" w:hAnsi="Times New Roman"/>
          <w:bCs/>
          <w:sz w:val="24"/>
          <w:szCs w:val="24"/>
        </w:rPr>
        <w:t>) and % of total tiller damage (</w:t>
      </w:r>
      <w:r>
        <w:rPr>
          <w:rFonts w:ascii="Times New Roman" w:hAnsi="Times New Roman"/>
          <w:i/>
          <w:iCs/>
          <w:sz w:val="24"/>
          <w:szCs w:val="24"/>
        </w:rPr>
        <w:t>F=17.80, 19.50, 35.80; df=2,8; P&lt;0.001</w:t>
      </w:r>
      <w:r>
        <w:rPr>
          <w:rFonts w:ascii="Times New Roman" w:hAnsi="Times New Roman"/>
          <w:bCs/>
          <w:sz w:val="24"/>
          <w:szCs w:val="24"/>
        </w:rPr>
        <w:t>) for early, timely and late planting of rice respectively. Highest % of DH was recorded in</w:t>
      </w:r>
      <w:r>
        <w:rPr>
          <w:rFonts w:ascii="Times New Roman" w:hAnsi="Times New Roman"/>
          <w:bCs/>
          <w:sz w:val="24"/>
          <w:szCs w:val="24"/>
        </w:rPr>
        <w:t xml:space="preserve"> </w:t>
      </w:r>
      <w:r>
        <w:rPr>
          <w:rFonts w:ascii="Times New Roman" w:hAnsi="Times New Roman"/>
          <w:bCs/>
          <w:sz w:val="24"/>
          <w:szCs w:val="24"/>
        </w:rPr>
        <w:t xml:space="preserve">early and late planting condition at 90 DAT But the </w:t>
      </w:r>
      <w:r>
        <w:rPr>
          <w:rFonts w:ascii="Times New Roman" w:hAnsi="Times New Roman"/>
          <w:bCs/>
          <w:sz w:val="24"/>
          <w:szCs w:val="24"/>
        </w:rPr>
        <w:t>percentage</w:t>
      </w:r>
      <w:r>
        <w:rPr>
          <w:rFonts w:ascii="Times New Roman" w:hAnsi="Times New Roman"/>
          <w:bCs/>
          <w:sz w:val="24"/>
          <w:szCs w:val="24"/>
        </w:rPr>
        <w:t xml:space="preserve"> </w:t>
      </w:r>
      <w:r>
        <w:rPr>
          <w:rFonts w:ascii="Times New Roman" w:hAnsi="Times New Roman"/>
          <w:bCs/>
          <w:sz w:val="24"/>
          <w:szCs w:val="24"/>
        </w:rPr>
        <w:t xml:space="preserve">of DH in timely planting at 50 DAT was 17.64%. The mean </w:t>
      </w:r>
      <w:r>
        <w:rPr>
          <w:rFonts w:ascii="Times New Roman" w:hAnsi="Times New Roman"/>
          <w:bCs/>
          <w:sz w:val="24"/>
          <w:szCs w:val="24"/>
        </w:rPr>
        <w:t xml:space="preserve">percentage </w:t>
      </w:r>
      <w:r>
        <w:rPr>
          <w:rFonts w:ascii="Times New Roman" w:hAnsi="Times New Roman"/>
          <w:bCs/>
          <w:sz w:val="24"/>
          <w:szCs w:val="24"/>
        </w:rPr>
        <w:t>of total damage of tiller was significantly higher in timely planting as compared to early planting and maximum in late planting. Furthermore, the incidence of leaf folder in different planting time in rice indicate that total number of leaves, number of damaged/5 hills and % leave damage varied from 329.20 to 330.90, 22.20 to 27.20 and 6.76 to 8.22%, 327.50 to 331.30, 32.10 to 40.10 and 9.80 to 12.10%, 330.30 to 340.80, 43.10 to 50.00 and 12.69 to 15.12% for early, timely and late planting respectively.</w:t>
      </w:r>
      <w:r>
        <w:rPr>
          <w:rFonts w:ascii="Times New Roman" w:hAnsi="Times New Roman"/>
          <w:bCs/>
          <w:sz w:val="24"/>
          <w:szCs w:val="24"/>
        </w:rPr>
        <w:t xml:space="preserve"> </w:t>
      </w:r>
      <w:r>
        <w:rPr>
          <w:rFonts w:ascii="Times New Roman" w:hAnsi="Times New Roman"/>
          <w:bCs/>
          <w:sz w:val="24"/>
          <w:szCs w:val="24"/>
          <w:lang w:val="en-US"/>
        </w:rPr>
        <w:t xml:space="preserve">These studies further revealed significant differences in </w:t>
      </w:r>
      <w:r>
        <w:rPr>
          <w:rFonts w:ascii="Times New Roman" w:hAnsi="Times New Roman"/>
          <w:bCs/>
          <w:sz w:val="24"/>
          <w:szCs w:val="24"/>
        </w:rPr>
        <w:t>total number of leaves (</w:t>
      </w:r>
      <w:r>
        <w:rPr>
          <w:rFonts w:ascii="Times New Roman" w:hAnsi="Times New Roman"/>
          <w:i/>
          <w:iCs/>
          <w:sz w:val="24"/>
          <w:szCs w:val="24"/>
        </w:rPr>
        <w:t>F=379.60, 394.30, 378.80; df=1,4; P&lt;0.001</w:t>
      </w:r>
      <w:r>
        <w:rPr>
          <w:rFonts w:ascii="Times New Roman" w:hAnsi="Times New Roman"/>
          <w:bCs/>
          <w:sz w:val="24"/>
          <w:szCs w:val="24"/>
        </w:rPr>
        <w:t>), number of damaged/5 hills (</w:t>
      </w:r>
      <w:r>
        <w:rPr>
          <w:rFonts w:ascii="Times New Roman" w:hAnsi="Times New Roman"/>
          <w:i/>
          <w:iCs/>
          <w:sz w:val="24"/>
          <w:szCs w:val="24"/>
        </w:rPr>
        <w:t>F=34.80, 67.50, 67.40; df=1,4; P&lt;0.001</w:t>
      </w:r>
      <w:r>
        <w:rPr>
          <w:rFonts w:ascii="Times New Roman" w:hAnsi="Times New Roman"/>
          <w:bCs/>
          <w:sz w:val="24"/>
          <w:szCs w:val="24"/>
        </w:rPr>
        <w:t>) and % leave damage (</w:t>
      </w:r>
      <w:r>
        <w:rPr>
          <w:rFonts w:ascii="Times New Roman" w:hAnsi="Times New Roman"/>
          <w:i/>
          <w:iCs/>
          <w:sz w:val="24"/>
          <w:szCs w:val="24"/>
        </w:rPr>
        <w:t>F=7.90, 54.30, 19.80; df=1,4; P&lt;0.001</w:t>
      </w:r>
      <w:r>
        <w:rPr>
          <w:rFonts w:ascii="Times New Roman" w:hAnsi="Times New Roman"/>
          <w:bCs/>
          <w:sz w:val="24"/>
          <w:szCs w:val="24"/>
        </w:rPr>
        <w:t>) for early, timely and late planting of rice respectively. Highest percentage of leave damage was reported at 50 DAT whereas lower in 30 DAT in early, timely and late planting. Mean percentage of damage leaf was significantly higher in late planting as compared to other two.</w:t>
      </w:r>
      <w:r>
        <w:rPr>
          <w:rFonts w:ascii="Times New Roman" w:hAnsi="Times New Roman"/>
          <w:bCs/>
          <w:sz w:val="24"/>
          <w:szCs w:val="24"/>
        </w:rPr>
        <w:t xml:space="preserve"> </w:t>
      </w:r>
      <w:r>
        <w:rPr>
          <w:rFonts w:ascii="Times New Roman" w:cs="Times New Roman" w:hAnsi="Times New Roman"/>
          <w:sz w:val="24"/>
          <w:szCs w:val="24"/>
        </w:rPr>
        <w:t xml:space="preserve">The present findings are almost in close conformity with the reports of earlier workers Khalid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(2015), </w:t>
      </w:r>
      <w:r>
        <w:rPr>
          <w:rFonts w:ascii="Times New Roman" w:cs="Times New Roman" w:hAnsi="Times New Roman"/>
          <w:sz w:val="24"/>
          <w:szCs w:val="24"/>
        </w:rPr>
        <w:t>Magunmder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i/>
          <w:iCs/>
          <w:sz w:val="24"/>
          <w:szCs w:val="24"/>
        </w:rPr>
        <w:t xml:space="preserve"> </w:t>
      </w:r>
      <w:r>
        <w:rPr>
          <w:rFonts w:ascii="Times New Roman" w:cs="Times New Roman" w:hAnsi="Times New Roman"/>
          <w:sz w:val="24"/>
          <w:szCs w:val="24"/>
        </w:rPr>
        <w:t>(2013), Prasad</w:t>
      </w:r>
      <w:r>
        <w:rPr>
          <w:rFonts w:ascii="Times New Roman" w:cs="Times New Roman" w:hAnsi="Times New Roman"/>
          <w:sz w:val="24"/>
          <w:szCs w:val="24"/>
        </w:rPr>
        <w:t xml:space="preserve"> </w:t>
      </w:r>
      <w:r>
        <w:rPr>
          <w:rFonts w:ascii="Times New Roman" w:cs="Times New Roman" w:hAnsi="Times New Roman"/>
          <w:sz w:val="24"/>
          <w:szCs w:val="24"/>
        </w:rPr>
        <w:t>(20</w:t>
      </w:r>
      <w:r>
        <w:rPr>
          <w:rFonts w:ascii="Times New Roman" w:cs="Times New Roman" w:hAnsi="Times New Roman"/>
          <w:sz w:val="24"/>
          <w:szCs w:val="24"/>
        </w:rPr>
        <w:t>20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Rani and </w:t>
      </w:r>
      <w:r>
        <w:rPr>
          <w:rFonts w:ascii="Times New Roman" w:cs="Times New Roman" w:hAnsi="Times New Roman"/>
          <w:sz w:val="24"/>
          <w:szCs w:val="24"/>
        </w:rPr>
        <w:t>pillai</w:t>
      </w:r>
      <w:r>
        <w:rPr>
          <w:rFonts w:ascii="Times New Roman" w:cs="Times New Roman" w:hAnsi="Times New Roman"/>
          <w:sz w:val="24"/>
          <w:szCs w:val="24"/>
        </w:rPr>
        <w:t xml:space="preserve"> (2012) </w:t>
      </w:r>
      <w:r>
        <w:rPr>
          <w:rFonts w:ascii="Times New Roman" w:cs="Times New Roman" w:hAnsi="Times New Roman"/>
          <w:sz w:val="24"/>
          <w:szCs w:val="24"/>
        </w:rPr>
        <w:t xml:space="preserve">and </w:t>
      </w:r>
      <w:r>
        <w:rPr>
          <w:rFonts w:ascii="Times New Roman" w:cs="Times New Roman" w:hAnsi="Times New Roman"/>
          <w:sz w:val="24"/>
          <w:szCs w:val="24"/>
        </w:rPr>
        <w:t xml:space="preserve">Shamim </w:t>
      </w:r>
      <w:r>
        <w:rPr>
          <w:rFonts w:ascii="Times New Roman" w:cs="Times New Roman" w:hAnsi="Times New Roman"/>
          <w:i/>
          <w:iCs/>
          <w:sz w:val="24"/>
          <w:szCs w:val="24"/>
        </w:rPr>
        <w:t>et</w:t>
      </w:r>
      <w:r>
        <w:rPr>
          <w:rFonts w:ascii="Times New Roman" w:cs="Times New Roman" w:hAnsi="Times New Roman"/>
          <w:i/>
          <w:iCs/>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(2009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at different </w:t>
      </w:r>
      <w:r>
        <w:rPr>
          <w:rFonts w:ascii="Times New Roman" w:cs="Times New Roman" w:hAnsi="Times New Roman"/>
          <w:sz w:val="24"/>
          <w:szCs w:val="24"/>
        </w:rPr>
        <w:t>agro</w:t>
      </w:r>
      <w:r>
        <w:rPr>
          <w:rFonts w:ascii="Times New Roman" w:cs="Times New Roman" w:hAnsi="Times New Roman"/>
          <w:sz w:val="24"/>
          <w:szCs w:val="24"/>
        </w:rPr>
        <w:t xml:space="preserve"> climatic locations. Rani and Pillai (201</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observed that pest activities in paddy crop </w:t>
      </w:r>
      <w:r>
        <w:rPr>
          <w:rFonts w:ascii="Times New Roman" w:cs="Times New Roman" w:hAnsi="Times New Roman"/>
          <w:sz w:val="24"/>
          <w:szCs w:val="24"/>
        </w:rPr>
        <w:t>are</w:t>
      </w:r>
      <w:r>
        <w:rPr>
          <w:rFonts w:ascii="Times New Roman" w:cs="Times New Roman" w:hAnsi="Times New Roman"/>
          <w:sz w:val="24"/>
          <w:szCs w:val="24"/>
        </w:rPr>
        <w:t xml:space="preserve"> influenced by the date of </w:t>
      </w:r>
      <w:r>
        <w:rPr>
          <w:rFonts w:ascii="Times New Roman" w:cs="Times New Roman" w:hAnsi="Times New Roman"/>
          <w:sz w:val="24"/>
          <w:szCs w:val="24"/>
        </w:rPr>
        <w:t>transplanting and early transplanted crops have less pest incidence might be due to reason that the susceptible growth stages of the crop might have completed before the occurrence of harmful stages of pest concerned. Litsinger</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i/>
          <w:iCs/>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(1987)</w:t>
      </w:r>
      <w:r>
        <w:rPr>
          <w:rFonts w:ascii="Times New Roman" w:cs="Times New Roman" w:hAnsi="Times New Roman"/>
          <w:sz w:val="24"/>
          <w:szCs w:val="24"/>
        </w:rPr>
        <w:t xml:space="preserve"> </w:t>
      </w:r>
      <w:r>
        <w:rPr>
          <w:rFonts w:ascii="Times New Roman" w:cs="Times New Roman" w:hAnsi="Times New Roman"/>
          <w:sz w:val="24"/>
          <w:szCs w:val="24"/>
        </w:rPr>
        <w:t xml:space="preserve">also had the similar observations and recorded higher pest incidence in late transplanted rice crops against those of early transplanted crops. Degree of stem borer infestation depended upon the planting time. Stem borer infestation at the first planting time was higher (average 37.90%) compared to those found at the second and third planting time, </w:t>
      </w:r>
      <w:r>
        <w:rPr>
          <w:rFonts w:ascii="Times New Roman" w:cs="Times New Roman" w:hAnsi="Times New Roman"/>
          <w:sz w:val="24"/>
          <w:szCs w:val="24"/>
        </w:rPr>
        <w:t>i.e.,</w:t>
      </w:r>
      <w:r>
        <w:rPr>
          <w:rFonts w:ascii="Times New Roman" w:cs="Times New Roman" w:hAnsi="Times New Roman"/>
          <w:sz w:val="24"/>
          <w:szCs w:val="24"/>
        </w:rPr>
        <w:t xml:space="preserve"> 0.65% and 0.54%, respectively (Suharto and </w:t>
      </w:r>
      <w:r>
        <w:rPr>
          <w:rFonts w:ascii="Times New Roman" w:cs="Times New Roman" w:hAnsi="Times New Roman"/>
          <w:sz w:val="24"/>
          <w:szCs w:val="24"/>
        </w:rPr>
        <w:t>Usyati</w:t>
      </w:r>
      <w:r>
        <w:rPr>
          <w:rFonts w:ascii="Times New Roman" w:cs="Times New Roman" w:hAnsi="Times New Roman"/>
          <w:sz w:val="24"/>
          <w:szCs w:val="24"/>
        </w:rPr>
        <w:t xml:space="preserve">, 2005). Shamim </w:t>
      </w:r>
      <w:r>
        <w:rPr>
          <w:rFonts w:ascii="Times New Roman" w:cs="Times New Roman" w:hAnsi="Times New Roman"/>
          <w:i/>
          <w:iCs/>
          <w:sz w:val="24"/>
          <w:szCs w:val="24"/>
        </w:rPr>
        <w:t>et</w:t>
      </w:r>
      <w:r>
        <w:rPr>
          <w:rFonts w:ascii="Times New Roman" w:cs="Times New Roman" w:hAnsi="Times New Roman"/>
          <w:i/>
          <w:iCs/>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(2009) recorded the higher infestation of green leaf hopper in late season during their study in Gujrat region. </w:t>
      </w:r>
      <w:r>
        <w:rPr>
          <w:rFonts w:ascii="Times New Roman" w:cs="Times New Roman" w:hAnsi="Times New Roman"/>
          <w:sz w:val="24"/>
          <w:szCs w:val="24"/>
        </w:rPr>
        <w:t>Magumnder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found that early planted rice crop had lower pest and natural enemies than later </w:t>
      </w:r>
      <w:r>
        <w:rPr>
          <w:rFonts w:ascii="Times New Roman" w:cs="Times New Roman" w:hAnsi="Times New Roman"/>
          <w:sz w:val="24"/>
          <w:szCs w:val="24"/>
        </w:rPr>
        <w:t>transplanted rice (after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August). </w:t>
      </w:r>
      <w:commentRangeStart w:id="1"/>
      <w:r>
        <w:rPr>
          <w:rFonts w:ascii="Times New Roman" w:cs="Times New Roman" w:hAnsi="Times New Roman"/>
          <w:sz w:val="24"/>
          <w:szCs w:val="24"/>
        </w:rPr>
        <w:t xml:space="preserve">Early transplanting was beneficial for reduction of damage caused by </w:t>
      </w:r>
      <w:r>
        <w:rPr>
          <w:rFonts w:ascii="Times New Roman" w:cs="Times New Roman" w:hAnsi="Times New Roman"/>
          <w:sz w:val="24"/>
          <w:szCs w:val="24"/>
        </w:rPr>
        <w:t>l</w:t>
      </w:r>
      <w:r>
        <w:rPr>
          <w:rFonts w:ascii="Times New Roman" w:cs="Times New Roman" w:hAnsi="Times New Roman"/>
          <w:sz w:val="24"/>
          <w:szCs w:val="24"/>
        </w:rPr>
        <w:t xml:space="preserve">eaf </w:t>
      </w:r>
      <w:r>
        <w:rPr>
          <w:rFonts w:ascii="Times New Roman" w:cs="Times New Roman" w:hAnsi="Times New Roman"/>
          <w:sz w:val="24"/>
          <w:szCs w:val="24"/>
        </w:rPr>
        <w:t>folder</w:t>
      </w:r>
      <w:r>
        <w:rPr>
          <w:rFonts w:ascii="Times New Roman" w:cs="Times New Roman" w:hAnsi="Times New Roman"/>
        </w:rPr>
        <w:t xml:space="preserve"> because it reduces the pressure of the leaf folder</w:t>
      </w:r>
      <w:r>
        <w:rPr>
          <w:rFonts w:ascii="Times New Roman" w:cs="Times New Roman" w:hAnsi="Times New Roman"/>
          <w:sz w:val="24"/>
          <w:szCs w:val="24"/>
        </w:rPr>
        <w:t>.</w:t>
      </w:r>
      <w:commentRangeEnd w:id="1"/>
      <w:r>
        <w:rPr/>
        <w:commentReference w:id="1"/>
      </w:r>
      <w:r>
        <w:rPr>
          <w:rFonts w:ascii="Times New Roman" w:cs="Times New Roman" w:hAnsi="Times New Roman"/>
          <w:sz w:val="24"/>
          <w:szCs w:val="24"/>
        </w:rPr>
        <w:t xml:space="preserve"> They also recorded higher grain yield in early transplanted rice crop’ field and lowest in crop planted</w:t>
      </w:r>
      <w:r>
        <w:rPr>
          <w:rFonts w:ascii="Times New Roman" w:cs="Times New Roman" w:hAnsi="Times New Roman"/>
          <w:sz w:val="24"/>
          <w:szCs w:val="24"/>
        </w:rPr>
        <w:t xml:space="preserve"> during the second fortnight of the August. Rajpoot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(2019)</w:t>
      </w:r>
      <w:r>
        <w:rPr>
          <w:rFonts w:ascii="Times New Roman" w:cs="Times New Roman" w:hAnsi="Times New Roman"/>
          <w:sz w:val="24"/>
          <w:szCs w:val="24"/>
        </w:rPr>
        <w:t xml:space="preserve"> </w:t>
      </w:r>
      <w:r>
        <w:rPr>
          <w:rFonts w:ascii="Times New Roman" w:cs="Times New Roman" w:hAnsi="Times New Roman"/>
          <w:sz w:val="24"/>
          <w:szCs w:val="24"/>
        </w:rPr>
        <w:t>studied that the early planting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July) was most effective to control incidence of yellow stem borer. </w:t>
      </w:r>
      <w:r>
        <w:rPr>
          <w:rFonts w:ascii="Times New Roman" w:cs="Times New Roman" w:hAnsi="Times New Roman"/>
          <w:sz w:val="24"/>
          <w:szCs w:val="24"/>
        </w:rPr>
        <w:t>Tetarwal</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i/>
          <w:iCs/>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(2014) observed that reduction of the population of brown plant hopper (</w:t>
      </w:r>
      <w:r>
        <w:rPr>
          <w:rFonts w:ascii="Times New Roman" w:cs="Times New Roman" w:hAnsi="Times New Roman"/>
          <w:i/>
          <w:iCs/>
          <w:sz w:val="24"/>
          <w:szCs w:val="24"/>
        </w:rPr>
        <w:t>Nilaparvata</w:t>
      </w:r>
      <w:r>
        <w:rPr>
          <w:rFonts w:ascii="Times New Roman" w:cs="Times New Roman" w:hAnsi="Times New Roman"/>
          <w:i/>
          <w:iCs/>
          <w:sz w:val="24"/>
          <w:szCs w:val="24"/>
        </w:rPr>
        <w:t xml:space="preserve"> </w:t>
      </w:r>
      <w:r>
        <w:rPr>
          <w:rFonts w:ascii="Times New Roman" w:cs="Times New Roman" w:hAnsi="Times New Roman"/>
          <w:i/>
          <w:iCs/>
          <w:sz w:val="24"/>
          <w:szCs w:val="24"/>
        </w:rPr>
        <w:t>lugens</w:t>
      </w:r>
      <w:r>
        <w:rPr>
          <w:rFonts w:ascii="Times New Roman" w:cs="Times New Roman" w:hAnsi="Times New Roman"/>
          <w:i/>
          <w:iCs/>
          <w:sz w:val="24"/>
          <w:szCs w:val="24"/>
        </w:rPr>
        <w:t xml:space="preserve"> </w:t>
      </w:r>
      <w:r>
        <w:rPr>
          <w:rFonts w:ascii="Times New Roman" w:cs="Times New Roman" w:hAnsi="Times New Roman"/>
          <w:sz w:val="24"/>
          <w:szCs w:val="24"/>
        </w:rPr>
        <w:t>Stal</w:t>
      </w:r>
      <w:r>
        <w:rPr>
          <w:rFonts w:ascii="Times New Roman" w:cs="Times New Roman" w:hAnsi="Times New Roman"/>
          <w:sz w:val="24"/>
          <w:szCs w:val="24"/>
        </w:rPr>
        <w:t>.) in early transplanted rice crop is due to presence of higher population of its predators in field. It is obvious from the findings of the present study and those of the earlier works that the early sowing and transplanting of rice crop would be more beneficial for getting crop yield.</w:t>
      </w:r>
    </w:p>
    <w:p>
      <w:pPr>
        <w:pStyle w:val="style179"/>
        <w:numPr>
          <w:ilvl w:val="1"/>
          <w:numId w:val="1"/>
        </w:numPr>
        <w:spacing w:after="0" w:lineRule="auto" w:line="480"/>
        <w:jc w:val="both"/>
        <w:rPr>
          <w:rFonts w:ascii="Times New Roman" w:cs="Times New Roman" w:hAnsi="Times New Roman"/>
          <w:bCs/>
          <w:i/>
          <w:iCs/>
          <w:sz w:val="24"/>
          <w:szCs w:val="24"/>
        </w:rPr>
      </w:pPr>
      <w:r>
        <w:rPr>
          <w:rFonts w:ascii="Times New Roman" w:cs="Times New Roman" w:hAnsi="Times New Roman"/>
          <w:b/>
          <w:i/>
          <w:iCs/>
          <w:sz w:val="24"/>
          <w:szCs w:val="24"/>
        </w:rPr>
        <w:t xml:space="preserve">Effect of planting methods on incidence of rice </w:t>
      </w:r>
      <w:r>
        <w:rPr>
          <w:rFonts w:ascii="Times New Roman" w:cs="Times New Roman" w:hAnsi="Times New Roman"/>
          <w:b/>
          <w:i/>
          <w:iCs/>
          <w:sz w:val="24"/>
          <w:szCs w:val="24"/>
        </w:rPr>
        <w:t xml:space="preserve">yellow </w:t>
      </w:r>
      <w:r>
        <w:rPr>
          <w:rFonts w:ascii="Times New Roman" w:cs="Times New Roman" w:hAnsi="Times New Roman"/>
          <w:b/>
          <w:i/>
          <w:iCs/>
          <w:sz w:val="24"/>
          <w:szCs w:val="24"/>
        </w:rPr>
        <w:t>stem borer and leaf folder</w:t>
      </w:r>
    </w:p>
    <w:p>
      <w:pPr>
        <w:pStyle w:val="style0"/>
        <w:spacing w:after="0" w:lineRule="auto" w:line="480"/>
        <w:ind w:firstLine="720"/>
        <w:jc w:val="both"/>
        <w:rPr>
          <w:rFonts w:ascii="Times New Roman" w:hAnsi="Times New Roman"/>
          <w:bCs/>
          <w:sz w:val="24"/>
          <w:szCs w:val="24"/>
        </w:rPr>
      </w:pPr>
      <w:r>
        <w:rPr>
          <w:rFonts w:ascii="Times New Roman" w:hAnsi="Times New Roman"/>
          <w:bCs/>
          <w:sz w:val="24"/>
          <w:szCs w:val="24"/>
        </w:rPr>
        <w:t>The studies on incidence of stem borer in different planting method in rice indicate that the total number of tiller, number of dead heart or white ear head and % of total tiller damage varied between 1.75 to 14.25, 0.00 to 1.75 and 0.00 to 20.20%, 1.50 to 11.25, 0.00 to 2.00 and 0.00 to 21.32%, 2.50 to 17.25,</w:t>
      </w:r>
      <w:r>
        <w:rPr>
          <w:rFonts w:ascii="Times New Roman" w:hAnsi="Times New Roman"/>
          <w:bCs/>
          <w:sz w:val="24"/>
          <w:szCs w:val="24"/>
        </w:rPr>
        <w:t xml:space="preserve"> 0.00 to 1.50 and 0.00 to 9.86%</w:t>
      </w:r>
      <w:r>
        <w:rPr>
          <w:rFonts w:ascii="Times New Roman" w:hAnsi="Times New Roman"/>
          <w:bCs/>
          <w:sz w:val="24"/>
          <w:szCs w:val="24"/>
        </w:rPr>
        <w:t xml:space="preserve"> (</w:t>
      </w:r>
      <w:r>
        <w:rPr>
          <w:rFonts w:ascii="Times New Roman" w:hAnsi="Times New Roman"/>
          <w:b/>
          <w:sz w:val="24"/>
          <w:szCs w:val="24"/>
        </w:rPr>
        <w:t>Table 2</w:t>
      </w:r>
      <w:r>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
          <w:sz w:val="24"/>
          <w:szCs w:val="24"/>
        </w:rPr>
        <w:t>Figure 2</w:t>
      </w:r>
      <w:r>
        <w:rPr>
          <w:rFonts w:ascii="Times New Roman" w:hAnsi="Times New Roman"/>
          <w:bCs/>
          <w:sz w:val="24"/>
          <w:szCs w:val="24"/>
        </w:rPr>
        <w:t xml:space="preserve">) </w:t>
      </w:r>
      <w:r>
        <w:rPr>
          <w:rFonts w:ascii="Times New Roman" w:hAnsi="Times New Roman"/>
          <w:bCs/>
          <w:sz w:val="24"/>
          <w:szCs w:val="24"/>
        </w:rPr>
        <w:t xml:space="preserve">for puddled direct seeding, direct seeding, normal transplanting of rice respectively. </w:t>
      </w:r>
      <w:r>
        <w:rPr>
          <w:rFonts w:ascii="Times New Roman" w:hAnsi="Times New Roman"/>
          <w:bCs/>
          <w:sz w:val="24"/>
          <w:szCs w:val="24"/>
          <w:lang w:val="en-US"/>
        </w:rPr>
        <w:t xml:space="preserve">These studies further </w:t>
      </w:r>
      <w:r>
        <w:rPr>
          <w:rFonts w:ascii="Times New Roman" w:hAnsi="Times New Roman"/>
          <w:bCs/>
          <w:sz w:val="24"/>
          <w:szCs w:val="24"/>
          <w:lang w:val="en-US"/>
        </w:rPr>
        <w:t xml:space="preserve">revealed significant differences in </w:t>
      </w:r>
      <w:r>
        <w:rPr>
          <w:rFonts w:ascii="Times New Roman" w:hAnsi="Times New Roman"/>
          <w:bCs/>
          <w:sz w:val="24"/>
          <w:szCs w:val="24"/>
        </w:rPr>
        <w:t>total number of tiller (</w:t>
      </w:r>
      <w:r>
        <w:rPr>
          <w:rFonts w:ascii="Times New Roman" w:hAnsi="Times New Roman"/>
          <w:i/>
          <w:iCs/>
          <w:sz w:val="24"/>
          <w:szCs w:val="24"/>
        </w:rPr>
        <w:t>F=34.70,17.50,27.60; df=6,24; P&lt;0.001</w:t>
      </w:r>
      <w:r>
        <w:rPr>
          <w:rFonts w:ascii="Times New Roman" w:hAnsi="Times New Roman"/>
          <w:bCs/>
          <w:sz w:val="24"/>
          <w:szCs w:val="24"/>
        </w:rPr>
        <w:t>), number of dead heart or white ear head (</w:t>
      </w:r>
      <w:r>
        <w:rPr>
          <w:rFonts w:ascii="Times New Roman" w:hAnsi="Times New Roman"/>
          <w:i/>
          <w:iCs/>
          <w:sz w:val="24"/>
          <w:szCs w:val="24"/>
        </w:rPr>
        <w:t>F=2.30,6.50,14.80; df=6,24; P&lt;0.001</w:t>
      </w:r>
      <w:r>
        <w:rPr>
          <w:rFonts w:ascii="Times New Roman" w:hAnsi="Times New Roman"/>
          <w:bCs/>
          <w:sz w:val="24"/>
          <w:szCs w:val="24"/>
        </w:rPr>
        <w:t>) and % of total tiller damage (</w:t>
      </w:r>
      <w:r>
        <w:rPr>
          <w:rFonts w:ascii="Times New Roman" w:hAnsi="Times New Roman"/>
          <w:i/>
          <w:iCs/>
          <w:sz w:val="24"/>
          <w:szCs w:val="24"/>
        </w:rPr>
        <w:t>F=37.90,37.40,13.70; df=6,24; P&lt;0.001</w:t>
      </w:r>
      <w:r>
        <w:rPr>
          <w:rFonts w:ascii="Times New Roman" w:hAnsi="Times New Roman"/>
          <w:bCs/>
          <w:sz w:val="24"/>
          <w:szCs w:val="24"/>
        </w:rPr>
        <w:t>) for puddled direct seeding, direct seeding, normal transplanting of rice respectively. Mean percentage of tiller damage was significantly higher in puddled direct seeding as compared to direct seeding followed by normal transplanting. Furthermore, the incidence of leaf folder in different planting method in rice indicate that total number of leaves, number of damaged/5 hills and % leave damage varied from 6.50 to 41.25, 0.00 to 6.00 and 0.00 to 20.14%, 5.75 to 33.00, 0.00 to 5.50 and 0.00 to 18.06, 8.75 to 67.50, 0.25 to 12.50 and 3.75 to 21.04% for puddled direct seeding, direct seeding, normal transplanting of rice respectively.</w:t>
      </w:r>
      <w:r>
        <w:rPr>
          <w:rFonts w:ascii="Times New Roman" w:hAnsi="Times New Roman"/>
          <w:bCs/>
          <w:sz w:val="24"/>
          <w:szCs w:val="24"/>
          <w:lang w:val="en-US"/>
        </w:rPr>
        <w:t xml:space="preserve">These studies further revealed significant differences in </w:t>
      </w:r>
      <w:r>
        <w:rPr>
          <w:rFonts w:ascii="Times New Roman" w:hAnsi="Times New Roman"/>
          <w:bCs/>
          <w:sz w:val="24"/>
          <w:szCs w:val="24"/>
        </w:rPr>
        <w:t>total number of tiller (</w:t>
      </w:r>
      <w:r>
        <w:rPr>
          <w:rFonts w:ascii="Times New Roman" w:hAnsi="Times New Roman"/>
          <w:i/>
          <w:iCs/>
          <w:sz w:val="24"/>
          <w:szCs w:val="24"/>
        </w:rPr>
        <w:t>F=36.50,19.30,29.40; df=6,24; P&lt;0.001</w:t>
      </w:r>
      <w:r>
        <w:rPr>
          <w:rFonts w:ascii="Times New Roman" w:hAnsi="Times New Roman"/>
          <w:bCs/>
          <w:sz w:val="24"/>
          <w:szCs w:val="24"/>
        </w:rPr>
        <w:t>), number of dead heart or white ear head (</w:t>
      </w:r>
      <w:r>
        <w:rPr>
          <w:rFonts w:ascii="Times New Roman" w:hAnsi="Times New Roman"/>
          <w:i/>
          <w:iCs/>
          <w:sz w:val="24"/>
          <w:szCs w:val="24"/>
        </w:rPr>
        <w:t>F=4.10,8.30,17.50; df=6,24; P&lt;0.001</w:t>
      </w:r>
      <w:r>
        <w:rPr>
          <w:rFonts w:ascii="Times New Roman" w:hAnsi="Times New Roman"/>
          <w:bCs/>
          <w:sz w:val="24"/>
          <w:szCs w:val="24"/>
        </w:rPr>
        <w:t>) and % of total tiller damage (</w:t>
      </w:r>
      <w:r>
        <w:rPr>
          <w:rFonts w:ascii="Times New Roman" w:hAnsi="Times New Roman"/>
          <w:i/>
          <w:iCs/>
          <w:sz w:val="24"/>
          <w:szCs w:val="24"/>
        </w:rPr>
        <w:t>F=39.70,39.20,15.50; df=6,24; P&lt;0.001</w:t>
      </w:r>
      <w:r>
        <w:rPr>
          <w:rFonts w:ascii="Times New Roman" w:hAnsi="Times New Roman"/>
          <w:bCs/>
          <w:sz w:val="24"/>
          <w:szCs w:val="24"/>
        </w:rPr>
        <w:t>) for puddled direct seeding, direct seeding, normal transplanting of rice respectively. Mean percentage of leaf damage was significantly higher in puddled direct seeding as compared to direct seeding followed by normal transplanting</w:t>
      </w:r>
      <w:r>
        <w:rPr>
          <w:rFonts w:ascii="Times New Roman" w:hAnsi="Times New Roman"/>
          <w:bCs/>
          <w:sz w:val="24"/>
          <w:szCs w:val="24"/>
        </w:rPr>
        <w:t xml:space="preserve"> </w:t>
      </w:r>
      <w:r>
        <w:rPr>
          <w:rFonts w:ascii="Times New Roman" w:hAnsi="Times New Roman"/>
          <w:bCs/>
          <w:sz w:val="24"/>
          <w:szCs w:val="24"/>
        </w:rPr>
        <w:t>Maximum (r = 0.13), minimum temperature (r = 0.12), evening relative humidity (r = -0. 28) had a positive effect on stem borer per cent dead heart and white ear head and leaf folder concerned, maximum temperature (r = 0.17), morning relative humidity (r = 0.57) and evening relative humidity (r =0.07) had positive correlation at different planting methods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Furthermore, Khalid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(2015) observed the incidence of rice stem borer on different seeding techniques (direct seeding on flat/ridges, transplanting on flat/ridges and parachute planting) in transplanted and direct wet-seeded rice. Adult moth appearance was counted 30, 45 and 60 days after sowing (DAS) while number of white heads per plant recorded 90 DAS. The lowest borers’ incidence was observed in transplanting and parachute planting after 30, 45 and 60 DAS. The paddy yield was higher (5.9 and 6.5 t ha</w:t>
      </w:r>
      <w:r>
        <w:rPr>
          <w:rFonts w:ascii="Times New Roman" w:cs="Times New Roman" w:hAnsi="Times New Roman"/>
          <w:sz w:val="24"/>
          <w:szCs w:val="24"/>
          <w:vertAlign w:val="superscript"/>
        </w:rPr>
        <w:t>-1</w:t>
      </w:r>
      <w:r>
        <w:rPr>
          <w:rFonts w:ascii="Times New Roman" w:cs="Times New Roman" w:hAnsi="Times New Roman"/>
          <w:sz w:val="24"/>
          <w:szCs w:val="24"/>
        </w:rPr>
        <w:t xml:space="preserve">) in transplanting on flat during both </w:t>
      </w:r>
      <w:r>
        <w:rPr>
          <w:rFonts w:ascii="Times New Roman" w:cs="Times New Roman" w:hAnsi="Times New Roman"/>
          <w:sz w:val="24"/>
          <w:szCs w:val="24"/>
        </w:rPr>
        <w:t>experimental years.</w:t>
      </w:r>
      <w:r>
        <w:rPr>
          <w:rFonts w:ascii="Times New Roman" w:cs="Times New Roman" w:hAnsi="Times New Roman"/>
          <w:sz w:val="24"/>
          <w:szCs w:val="24"/>
        </w:rPr>
        <w:t xml:space="preserve"> </w:t>
      </w:r>
      <w:r>
        <w:rPr>
          <w:rFonts w:ascii="Times New Roman" w:cs="Times New Roman" w:hAnsi="Times New Roman"/>
          <w:sz w:val="24"/>
          <w:szCs w:val="24"/>
        </w:rPr>
        <w:t xml:space="preserve">Kakde and Patel (2015) observed that the data on seasonal occurrence of rice leaf folder, </w:t>
      </w:r>
      <w:r>
        <w:rPr>
          <w:rFonts w:ascii="Times New Roman" w:cs="Times New Roman" w:hAnsi="Times New Roman"/>
          <w:i/>
          <w:sz w:val="24"/>
          <w:szCs w:val="24"/>
        </w:rPr>
        <w:t>Cnaphalocroc</w:t>
      </w:r>
      <w:r>
        <w:rPr>
          <w:rFonts w:ascii="Times New Roman" w:cs="Times New Roman" w:hAnsi="Times New Roman"/>
          <w:i/>
          <w:sz w:val="24"/>
          <w:szCs w:val="24"/>
        </w:rPr>
        <w:t>is</w:t>
      </w:r>
      <w:r>
        <w:rPr>
          <w:rFonts w:ascii="Times New Roman" w:cs="Times New Roman" w:hAnsi="Times New Roman"/>
          <w:i/>
          <w:sz w:val="24"/>
          <w:szCs w:val="24"/>
        </w:rPr>
        <w:t xml:space="preserve"> </w:t>
      </w:r>
      <w:r>
        <w:rPr>
          <w:rFonts w:ascii="Times New Roman" w:cs="Times New Roman" w:hAnsi="Times New Roman"/>
          <w:i/>
          <w:sz w:val="24"/>
          <w:szCs w:val="24"/>
        </w:rPr>
        <w:t>medinalis</w:t>
      </w:r>
      <w:r>
        <w:rPr>
          <w:rFonts w:ascii="Times New Roman" w:cs="Times New Roman" w:hAnsi="Times New Roman"/>
          <w:i/>
          <w:sz w:val="24"/>
          <w:szCs w:val="24"/>
        </w:rPr>
        <w:t xml:space="preserve"> </w:t>
      </w:r>
      <w:r>
        <w:rPr>
          <w:rFonts w:ascii="Times New Roman" w:cs="Times New Roman" w:hAnsi="Times New Roman"/>
          <w:sz w:val="24"/>
          <w:szCs w:val="24"/>
        </w:rPr>
        <w:t>Guenee</w:t>
      </w:r>
      <w:r>
        <w:rPr>
          <w:rFonts w:ascii="Times New Roman" w:cs="Times New Roman" w:hAnsi="Times New Roman"/>
          <w:sz w:val="24"/>
          <w:szCs w:val="24"/>
        </w:rPr>
        <w:t xml:space="preserve"> revealed that the peak level reached during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week of September (39</w:t>
      </w:r>
      <w:r>
        <w:rPr>
          <w:rFonts w:ascii="Times New Roman" w:cs="Times New Roman" w:hAnsi="Times New Roman"/>
          <w:sz w:val="24"/>
          <w:szCs w:val="24"/>
          <w:vertAlign w:val="superscript"/>
        </w:rPr>
        <w:t xml:space="preserve">th </w:t>
      </w:r>
      <w:r>
        <w:rPr>
          <w:rFonts w:ascii="Times New Roman" w:cs="Times New Roman" w:hAnsi="Times New Roman"/>
          <w:sz w:val="24"/>
          <w:szCs w:val="24"/>
        </w:rPr>
        <w:t>SMW) when leaf damage due to leaf folder was 2.30% under conventional method and 2.66% under SRI method.</w:t>
      </w:r>
    </w:p>
    <w:p>
      <w:pPr>
        <w:pStyle w:val="style179"/>
        <w:numPr>
          <w:ilvl w:val="1"/>
          <w:numId w:val="1"/>
        </w:numPr>
        <w:spacing w:after="0" w:lineRule="auto" w:line="480"/>
        <w:jc w:val="both"/>
        <w:rPr>
          <w:rFonts w:ascii="Times New Roman" w:hAnsi="Times New Roman"/>
          <w:b/>
          <w:i/>
          <w:sz w:val="24"/>
          <w:szCs w:val="24"/>
        </w:rPr>
      </w:pPr>
      <w:r>
        <w:rPr>
          <w:rFonts w:ascii="Times New Roman" w:hAnsi="Times New Roman"/>
          <w:b/>
          <w:i/>
          <w:sz w:val="24"/>
          <w:szCs w:val="24"/>
        </w:rPr>
        <w:t>Effect of weather parameters with different days after planting of rice</w:t>
      </w:r>
      <w:r>
        <w:rPr>
          <w:rFonts w:ascii="Times New Roman" w:hAnsi="Times New Roman"/>
          <w:b/>
          <w:i/>
          <w:sz w:val="24"/>
          <w:szCs w:val="24"/>
        </w:rPr>
        <w:t xml:space="preserve"> </w:t>
      </w:r>
      <w:r>
        <w:rPr>
          <w:rFonts w:ascii="Times New Roman" w:hAnsi="Times New Roman"/>
          <w:b/>
          <w:i/>
          <w:sz w:val="24"/>
          <w:szCs w:val="24"/>
        </w:rPr>
        <w:t xml:space="preserve">and their association of </w:t>
      </w:r>
      <w:r>
        <w:rPr>
          <w:rFonts w:ascii="Times New Roman" w:cs="Times New Roman" w:hAnsi="Times New Roman"/>
          <w:b/>
          <w:i/>
          <w:sz w:val="24"/>
          <w:szCs w:val="24"/>
        </w:rPr>
        <w:t>with</w:t>
      </w:r>
      <w:r>
        <w:rPr>
          <w:rFonts w:ascii="Times New Roman" w:cs="Times New Roman" w:hAnsi="Times New Roman"/>
          <w:b/>
          <w:i/>
          <w:sz w:val="24"/>
          <w:szCs w:val="24"/>
        </w:rPr>
        <w:t xml:space="preserve"> yellow</w:t>
      </w:r>
      <w:r>
        <w:rPr>
          <w:rFonts w:ascii="Times New Roman" w:cs="Times New Roman" w:hAnsi="Times New Roman"/>
          <w:b/>
          <w:i/>
          <w:sz w:val="24"/>
          <w:szCs w:val="24"/>
        </w:rPr>
        <w:t xml:space="preserve"> stem borer and leaf folder induced tiller and leaf folder damages</w:t>
      </w:r>
    </w:p>
    <w:p>
      <w:pPr>
        <w:pStyle w:val="style0"/>
        <w:spacing w:after="0" w:lineRule="auto" w:line="480"/>
        <w:ind w:firstLine="720"/>
        <w:jc w:val="both"/>
        <w:rPr>
          <w:rFonts w:ascii="Times New Roman" w:cs="Times New Roman" w:hAnsi="Times New Roman"/>
          <w:sz w:val="24"/>
          <w:szCs w:val="24"/>
        </w:rPr>
      </w:pPr>
      <w:r>
        <w:rPr>
          <w:rFonts w:ascii="Times New Roman" w:hAnsi="Times New Roman"/>
          <w:bCs/>
          <w:sz w:val="24"/>
          <w:szCs w:val="24"/>
        </w:rPr>
        <w:t>The studies on variation of weather parameters with days after planting in rice indicate that maximum and minimum temperature, morning and evening relative humidity, wind speed, rainfall and evaporation varied between 20.80 to 34.20</w:t>
      </w:r>
      <w:r>
        <w:rPr>
          <w:rFonts w:ascii="Times New Roman" w:cs="Times New Roman" w:hAnsi="Times New Roman"/>
          <w:bCs/>
          <w:sz w:val="24"/>
          <w:szCs w:val="24"/>
        </w:rPr>
        <w:t>°</w:t>
      </w:r>
      <w:r>
        <w:rPr>
          <w:rFonts w:ascii="Times New Roman" w:hAnsi="Times New Roman"/>
          <w:bCs/>
          <w:sz w:val="24"/>
          <w:szCs w:val="24"/>
        </w:rPr>
        <w:t>C and 23.50 to 28.80</w:t>
      </w:r>
      <w:r>
        <w:rPr>
          <w:rFonts w:ascii="Times New Roman" w:cs="Times New Roman" w:hAnsi="Times New Roman"/>
          <w:bCs/>
          <w:sz w:val="24"/>
          <w:szCs w:val="24"/>
        </w:rPr>
        <w:t>°C, 92.00 to 85.00% and 71.00 to 83.00%, 0.00 to 7.40 km/hr, 0.00 to 138.70 mm, 2.10 to 5.20 mm respectively (</w:t>
      </w:r>
      <w:r>
        <w:rPr>
          <w:rFonts w:ascii="Times New Roman" w:cs="Times New Roman" w:hAnsi="Times New Roman"/>
          <w:b/>
          <w:sz w:val="24"/>
          <w:szCs w:val="24"/>
        </w:rPr>
        <w:t>Table 3</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
          <w:sz w:val="24"/>
          <w:szCs w:val="24"/>
        </w:rPr>
        <w:t>Figure 3</w:t>
      </w:r>
      <w:r>
        <w:rPr>
          <w:rFonts w:ascii="Times New Roman" w:cs="Times New Roman" w:hAnsi="Times New Roman"/>
          <w:bCs/>
          <w:color w:val="000000"/>
          <w:sz w:val="24"/>
          <w:szCs w:val="24"/>
        </w:rPr>
        <w:t>)</w:t>
      </w:r>
      <w:r>
        <w:rPr>
          <w:rFonts w:ascii="Times New Roman" w:cs="Times New Roman" w:hAnsi="Times New Roman"/>
          <w:bCs/>
          <w:color w:val="000000"/>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lang w:val="en-US"/>
        </w:rPr>
        <w:t>These studies further revealed significant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differences in </w:t>
      </w:r>
      <w:r>
        <w:rPr>
          <w:rFonts w:ascii="Times New Roman" w:hAnsi="Times New Roman"/>
          <w:bCs/>
          <w:sz w:val="24"/>
          <w:szCs w:val="24"/>
        </w:rPr>
        <w:t>maximum (</w:t>
      </w:r>
      <w:r>
        <w:rPr>
          <w:rFonts w:ascii="Times New Roman" w:hAnsi="Times New Roman"/>
          <w:i/>
          <w:iCs/>
          <w:sz w:val="24"/>
          <w:szCs w:val="24"/>
        </w:rPr>
        <w:t>F=67.30; df=6,24; P&lt;0.001</w:t>
      </w:r>
      <w:r>
        <w:rPr>
          <w:rFonts w:ascii="Times New Roman" w:hAnsi="Times New Roman"/>
          <w:bCs/>
          <w:sz w:val="24"/>
          <w:szCs w:val="24"/>
        </w:rPr>
        <w:t>)  and minimum (</w:t>
      </w:r>
      <w:r>
        <w:rPr>
          <w:rFonts w:ascii="Times New Roman" w:hAnsi="Times New Roman"/>
          <w:i/>
          <w:iCs/>
          <w:sz w:val="24"/>
          <w:szCs w:val="24"/>
        </w:rPr>
        <w:t>F=36.70; df=6,24; P&lt;0.001</w:t>
      </w:r>
      <w:r>
        <w:rPr>
          <w:rFonts w:ascii="Times New Roman" w:hAnsi="Times New Roman"/>
          <w:bCs/>
          <w:sz w:val="24"/>
          <w:szCs w:val="24"/>
        </w:rPr>
        <w:t>)  temperature, morning (</w:t>
      </w:r>
      <w:r>
        <w:rPr>
          <w:rFonts w:ascii="Times New Roman" w:hAnsi="Times New Roman"/>
          <w:i/>
          <w:iCs/>
          <w:sz w:val="24"/>
          <w:szCs w:val="24"/>
        </w:rPr>
        <w:t>F=196.50; df=6,24; P&lt;0.001</w:t>
      </w:r>
      <w:r>
        <w:rPr>
          <w:rFonts w:ascii="Times New Roman" w:hAnsi="Times New Roman"/>
          <w:bCs/>
          <w:sz w:val="24"/>
          <w:szCs w:val="24"/>
        </w:rPr>
        <w:t>) and evening (</w:t>
      </w:r>
      <w:r>
        <w:rPr>
          <w:rFonts w:ascii="Times New Roman" w:hAnsi="Times New Roman"/>
          <w:i/>
          <w:iCs/>
          <w:sz w:val="24"/>
          <w:szCs w:val="24"/>
        </w:rPr>
        <w:t>F=87.70; df=6,24; P&lt;0.001</w:t>
      </w:r>
      <w:r>
        <w:rPr>
          <w:rFonts w:ascii="Times New Roman" w:hAnsi="Times New Roman"/>
          <w:bCs/>
          <w:sz w:val="24"/>
          <w:szCs w:val="24"/>
        </w:rPr>
        <w:t>)  relative humidity, wind speed (</w:t>
      </w:r>
      <w:r>
        <w:rPr>
          <w:rFonts w:ascii="Times New Roman" w:hAnsi="Times New Roman"/>
          <w:i/>
          <w:iCs/>
          <w:sz w:val="24"/>
          <w:szCs w:val="24"/>
        </w:rPr>
        <w:t>F=9.70; df=6,24; P&lt;0.001</w:t>
      </w:r>
      <w:r>
        <w:rPr>
          <w:rFonts w:ascii="Times New Roman" w:hAnsi="Times New Roman"/>
          <w:bCs/>
          <w:sz w:val="24"/>
          <w:szCs w:val="24"/>
        </w:rPr>
        <w:t>), rainfall (</w:t>
      </w:r>
      <w:r>
        <w:rPr>
          <w:rFonts w:ascii="Times New Roman" w:hAnsi="Times New Roman"/>
          <w:i/>
          <w:iCs/>
          <w:sz w:val="24"/>
          <w:szCs w:val="24"/>
        </w:rPr>
        <w:t>F=167.50; df=6,24; P&lt;0.001</w:t>
      </w:r>
      <w:r>
        <w:rPr>
          <w:rFonts w:ascii="Times New Roman" w:hAnsi="Times New Roman"/>
          <w:bCs/>
          <w:sz w:val="24"/>
          <w:szCs w:val="24"/>
        </w:rPr>
        <w:t>)  and evaporation (</w:t>
      </w:r>
      <w:r>
        <w:rPr>
          <w:rFonts w:ascii="Times New Roman" w:hAnsi="Times New Roman"/>
          <w:i/>
          <w:iCs/>
          <w:sz w:val="24"/>
          <w:szCs w:val="24"/>
        </w:rPr>
        <w:t>F=9.70; df=6,24; P&lt;0.001</w:t>
      </w:r>
      <w:r>
        <w:rPr>
          <w:rFonts w:ascii="Times New Roman" w:hAnsi="Times New Roman"/>
          <w:bCs/>
          <w:sz w:val="24"/>
          <w:szCs w:val="24"/>
        </w:rPr>
        <w:t xml:space="preserve">). </w:t>
      </w:r>
      <w:r>
        <w:rPr>
          <w:rFonts w:ascii="Times New Roman" w:cs="Times New Roman" w:hAnsi="Times New Roman"/>
          <w:sz w:val="24"/>
          <w:szCs w:val="24"/>
        </w:rPr>
        <w:t xml:space="preserve">The correlation analysis of </w:t>
      </w:r>
      <w:r>
        <w:rPr>
          <w:rFonts w:ascii="Times New Roman" w:cs="Times New Roman" w:hAnsi="Times New Roman"/>
          <w:sz w:val="24"/>
          <w:szCs w:val="24"/>
        </w:rPr>
        <w:t>various</w:t>
      </w:r>
      <w:r>
        <w:rPr>
          <w:rFonts w:ascii="Times New Roman" w:cs="Times New Roman" w:hAnsi="Times New Roman"/>
          <w:sz w:val="24"/>
          <w:szCs w:val="24"/>
        </w:rPr>
        <w:t xml:space="preserve"> weather parameters with stem borer induced tiller damage and leaf folder induced leaves damage revealed that under early planting and timely planting conditions (</w:t>
      </w:r>
      <w:r>
        <w:rPr>
          <w:rFonts w:ascii="Times New Roman" w:cs="Times New Roman" w:hAnsi="Times New Roman"/>
          <w:b/>
          <w:bCs/>
          <w:sz w:val="24"/>
          <w:szCs w:val="24"/>
        </w:rPr>
        <w:t>Table 4</w:t>
      </w:r>
      <w:r>
        <w:rPr>
          <w:rFonts w:ascii="Times New Roman" w:cs="Times New Roman" w:hAnsi="Times New Roman"/>
          <w:sz w:val="24"/>
          <w:szCs w:val="24"/>
        </w:rPr>
        <w:t xml:space="preserve">), </w:t>
      </w:r>
      <w:r>
        <w:rPr>
          <w:rFonts w:ascii="Times New Roman" w:cs="Times New Roman" w:hAnsi="Times New Roman"/>
          <w:sz w:val="24"/>
          <w:szCs w:val="24"/>
        </w:rPr>
        <w:t>m</w:t>
      </w:r>
      <w:r>
        <w:rPr>
          <w:rFonts w:ascii="Times New Roman" w:cs="Times New Roman" w:hAnsi="Times New Roman"/>
          <w:sz w:val="24"/>
          <w:szCs w:val="24"/>
        </w:rPr>
        <w:t>aximum (r = -0.63), minimum temperature (r = -0.70), wind speed (r = -0.80) and morning relative humidity (r = -0.67) had a negative effect on stem borer per cent dead heart and white ear head and leaf folder concerned, maximum temperature (r = 0.17), morning relative humidity (r = 0.57) and evening relative humidity (r = 1.00) and rainfall (r = 0.95) had positive correlation at different planting dates</w:t>
      </w:r>
      <w:r>
        <w:rPr>
          <w:rFonts w:ascii="Times New Roman" w:cs="Times New Roman" w:hAnsi="Times New Roman"/>
          <w:sz w:val="24"/>
          <w:szCs w:val="24"/>
        </w:rPr>
        <w:t xml:space="preserve">. Furthermore, rainfall was found to have positively significant relationship with stem borer damage and leaf folder damage under timely planting and late planting conditions. Moreover, the correlation analysis of stem borer and leaf folder </w:t>
      </w:r>
      <w:r>
        <w:rPr>
          <w:rFonts w:ascii="Times New Roman" w:cs="Times New Roman" w:hAnsi="Times New Roman"/>
          <w:sz w:val="24"/>
          <w:szCs w:val="24"/>
        </w:rPr>
        <w:t>damage under puddled direct seedling, direct seeding and normal transplanting conditions with diverse weather parameters also revealed that weather factors were significantly correlated with stem borer damage (</w:t>
      </w:r>
      <w:r>
        <w:rPr>
          <w:rFonts w:ascii="Times New Roman" w:cs="Times New Roman" w:hAnsi="Times New Roman"/>
          <w:b/>
          <w:bCs/>
          <w:sz w:val="24"/>
          <w:szCs w:val="24"/>
        </w:rPr>
        <w:t>Table 5</w:t>
      </w:r>
      <w:r>
        <w:rPr>
          <w:rFonts w:ascii="Times New Roman" w:cs="Times New Roman" w:hAnsi="Times New Roman"/>
          <w:sz w:val="24"/>
          <w:szCs w:val="24"/>
        </w:rPr>
        <w:t>), while, the association was found to be non-significant for leaf folder damage. Rainfall had significant and negative association with the stem borer damage under puddled direct seedling condition, but total evaporation had significant and negative association under normal transplanting conditions.</w:t>
      </w:r>
      <w:r>
        <w:rPr>
          <w:rFonts w:ascii="Times New Roman" w:cs="Times New Roman" w:hAnsi="Times New Roman"/>
          <w:sz w:val="24"/>
          <w:szCs w:val="24"/>
        </w:rPr>
        <w:t xml:space="preserve"> </w:t>
      </w:r>
      <w:r>
        <w:rPr>
          <w:rFonts w:ascii="Times New Roman" w:cs="Times New Roman" w:hAnsi="Times New Roman"/>
          <w:sz w:val="24"/>
          <w:szCs w:val="24"/>
        </w:rPr>
        <w:t xml:space="preserve">Baruah and Dutta (2020) revelled that </w:t>
      </w:r>
      <w:commentRangeStart w:id="2"/>
      <w:r>
        <w:rPr>
          <w:rFonts w:ascii="Times New Roman" w:cs="Times New Roman" w:hAnsi="Times New Roman"/>
          <w:sz w:val="24"/>
          <w:szCs w:val="24"/>
        </w:rPr>
        <w:t>Maximum temperature and morning relative humidity had a significant positive</w:t>
      </w:r>
      <w:commentRangeEnd w:id="2"/>
      <w:r>
        <w:rPr/>
        <w:commentReference w:id="2"/>
      </w:r>
      <w:r>
        <w:rPr>
          <w:rFonts w:ascii="Times New Roman" w:cs="Times New Roman" w:hAnsi="Times New Roman"/>
          <w:sz w:val="24"/>
          <w:szCs w:val="24"/>
        </w:rPr>
        <w:t xml:space="preserve"> effect on borer infestation as dead heart and white ear head. The variation in the planting times work as a means of cultural control by creating asynchrony between crop and insect pests’ phenology along with crop-weather-pest interaction help in developing forewarning system to warn the farmers in advance to avoid manageable yield loss by stem borer incidences. Furthermore, </w:t>
      </w:r>
      <w:r>
        <w:rPr>
          <w:rFonts w:ascii="Times New Roman" w:cs="Times New Roman" w:hAnsi="Times New Roman"/>
          <w:sz w:val="24"/>
          <w:szCs w:val="24"/>
        </w:rPr>
        <w:t>Jasrotia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 suggested that, </w:t>
      </w:r>
      <w:r>
        <w:rPr>
          <w:rFonts w:ascii="Times New Roman" w:cs="Times New Roman" w:hAnsi="Times New Roman"/>
          <w:sz w:val="24"/>
          <w:szCs w:val="24"/>
        </w:rPr>
        <w:t>yellow</w:t>
      </w:r>
      <w:r>
        <w:rPr>
          <w:rFonts w:ascii="Times New Roman" w:cs="Times New Roman" w:hAnsi="Times New Roman"/>
          <w:sz w:val="24"/>
          <w:szCs w:val="24"/>
        </w:rPr>
        <w:t xml:space="preserve"> stem borer infestation exhibited significant negative correlation with </w:t>
      </w:r>
      <w:commentRangeStart w:id="3"/>
      <w:r>
        <w:rPr>
          <w:rFonts w:ascii="Times New Roman" w:cs="Times New Roman" w:hAnsi="Times New Roman"/>
          <w:sz w:val="24"/>
          <w:szCs w:val="24"/>
        </w:rPr>
        <w:t>morning relative humidity, evening relative humidity and rainfall</w:t>
      </w:r>
      <w:commentRangeEnd w:id="3"/>
      <w:r>
        <w:rPr/>
        <w:commentReference w:id="3"/>
      </w:r>
      <w:r>
        <w:rPr>
          <w:rFonts w:ascii="Times New Roman" w:cs="Times New Roman" w:hAnsi="Times New Roman"/>
          <w:sz w:val="24"/>
          <w:szCs w:val="24"/>
        </w:rPr>
        <w:t>. The correlation of incidence of leaf folder damage was found to be significantly positive with maximum and minimum temperature. Other weather parameters showed a non-significant positive and negative relationship with the yellow stem borer and leaf folder population. The studies indicated the role of weather parameters on the abundance of yellow stem borer and leaf folder infestation in rice.</w:t>
      </w:r>
      <w:r>
        <w:rPr>
          <w:rFonts w:ascii="Times New Roman" w:cs="Times New Roman" w:hAnsi="Times New Roman"/>
          <w:sz w:val="24"/>
          <w:szCs w:val="24"/>
        </w:rPr>
        <w:t xml:space="preserve"> </w:t>
      </w:r>
    </w:p>
    <w:p>
      <w:pPr>
        <w:pStyle w:val="style4097"/>
        <w:spacing w:lineRule="auto" w:line="480"/>
        <w:rPr>
          <w:b/>
          <w:bCs/>
          <w:color w:val="auto"/>
        </w:rPr>
      </w:pPr>
    </w:p>
    <w:p>
      <w:pPr>
        <w:pStyle w:val="style4097"/>
        <w:numPr>
          <w:ilvl w:val="0"/>
          <w:numId w:val="1"/>
        </w:numPr>
        <w:spacing w:lineRule="auto" w:line="480"/>
        <w:rPr>
          <w:b/>
          <w:bCs/>
          <w:color w:val="auto"/>
        </w:rPr>
      </w:pPr>
      <w:r>
        <w:rPr>
          <w:b/>
          <w:bCs/>
          <w:color w:val="auto"/>
        </w:rPr>
        <w:t>CONCLUSION</w:t>
      </w:r>
    </w:p>
    <w:p>
      <w:pPr>
        <w:pStyle w:val="style0"/>
        <w:spacing w:lineRule="auto" w:line="480"/>
        <w:ind w:firstLine="360"/>
        <w:jc w:val="both"/>
        <w:rPr>
          <w:rFonts w:ascii="Times New Roman" w:cs="Times New Roman" w:hAnsi="Times New Roman"/>
          <w:sz w:val="24"/>
          <w:szCs w:val="24"/>
        </w:rPr>
      </w:pPr>
      <w:r>
        <w:rPr>
          <w:rFonts w:ascii="Times New Roman" w:cs="Times New Roman" w:hAnsi="Times New Roman"/>
          <w:sz w:val="24"/>
          <w:szCs w:val="24"/>
        </w:rPr>
        <w:t>The research findings on the basis two years experimentation and pooled data (2019 and 2020)</w:t>
      </w:r>
      <w:r>
        <w:rPr>
          <w:rFonts w:ascii="Times New Roman" w:cs="Times New Roman" w:hAnsi="Times New Roman"/>
          <w:sz w:val="24"/>
          <w:szCs w:val="24"/>
        </w:rPr>
        <w:t xml:space="preserve"> </w:t>
      </w:r>
      <w:r>
        <w:rPr>
          <w:rFonts w:ascii="Times New Roman" w:cs="Times New Roman" w:hAnsi="Times New Roman"/>
          <w:bCs/>
          <w:sz w:val="24"/>
          <w:szCs w:val="24"/>
        </w:rPr>
        <w:t>reveal that</w:t>
      </w:r>
      <w:r>
        <w:rPr>
          <w:rFonts w:ascii="Times New Roman" w:cs="Times New Roman" w:hAnsi="Times New Roman"/>
          <w:bCs/>
          <w:sz w:val="24"/>
          <w:szCs w:val="24"/>
        </w:rPr>
        <w:t xml:space="preserve"> </w:t>
      </w:r>
      <w:r>
        <w:rPr>
          <w:rFonts w:ascii="Times New Roman" w:cs="Times New Roman" w:hAnsi="Times New Roman"/>
          <w:bCs/>
          <w:sz w:val="24"/>
          <w:szCs w:val="24"/>
        </w:rPr>
        <w:t xml:space="preserve">the planting dates </w:t>
      </w:r>
      <w:r>
        <w:rPr>
          <w:rFonts w:ascii="Times New Roman" w:cs="Times New Roman" w:hAnsi="Times New Roman"/>
          <w:bCs/>
          <w:sz w:val="24"/>
          <w:szCs w:val="24"/>
        </w:rPr>
        <w:t xml:space="preserve">and methods </w:t>
      </w:r>
      <w:r>
        <w:rPr>
          <w:rFonts w:ascii="Times New Roman" w:cs="Times New Roman" w:hAnsi="Times New Roman"/>
          <w:bCs/>
          <w:sz w:val="24"/>
          <w:szCs w:val="24"/>
        </w:rPr>
        <w:t>influenced greatly to the magnitude of pest incidence in rice crop.</w:t>
      </w:r>
      <w:r>
        <w:rPr>
          <w:rFonts w:ascii="Times New Roman" w:cs="Times New Roman" w:hAnsi="Times New Roman"/>
          <w:bCs/>
          <w:sz w:val="24"/>
          <w:szCs w:val="24"/>
        </w:rPr>
        <w:t xml:space="preserve"> </w:t>
      </w:r>
      <w:r>
        <w:rPr>
          <w:rFonts w:ascii="Times New Roman" w:cs="Times New Roman" w:hAnsi="Times New Roman"/>
          <w:sz w:val="24"/>
          <w:szCs w:val="24"/>
        </w:rPr>
        <w:t xml:space="preserve">It is obvious from the study that early </w:t>
      </w:r>
      <w:r>
        <w:rPr>
          <w:rFonts w:ascii="Times New Roman" w:cs="Times New Roman" w:hAnsi="Times New Roman"/>
          <w:sz w:val="24"/>
          <w:szCs w:val="24"/>
        </w:rPr>
        <w:t xml:space="preserve">and normal </w:t>
      </w:r>
      <w:r>
        <w:rPr>
          <w:rFonts w:ascii="Times New Roman" w:cs="Times New Roman" w:hAnsi="Times New Roman"/>
          <w:sz w:val="24"/>
          <w:szCs w:val="24"/>
        </w:rPr>
        <w:t xml:space="preserve">transplanting of rice seedlings can reduce the insect pest attack on the rice crop, particularly, rice stem borer and rice leaf folder and farmers can harvest a good yield. Now it has also been confirmed that </w:t>
      </w:r>
      <w:r>
        <w:rPr>
          <w:rFonts w:ascii="Times New Roman" w:cs="Times New Roman" w:hAnsi="Times New Roman"/>
          <w:sz w:val="24"/>
          <w:szCs w:val="24"/>
        </w:rPr>
        <w:t>delayed and</w:t>
      </w:r>
      <w:r>
        <w:rPr>
          <w:rFonts w:ascii="Times New Roman" w:cs="Times New Roman" w:hAnsi="Times New Roman"/>
          <w:sz w:val="24"/>
          <w:szCs w:val="24"/>
        </w:rPr>
        <w:t xml:space="preserve"> other methods of </w:t>
      </w:r>
      <w:r>
        <w:rPr>
          <w:rFonts w:ascii="Times New Roman" w:cs="Times New Roman" w:hAnsi="Times New Roman"/>
          <w:sz w:val="24"/>
          <w:szCs w:val="24"/>
        </w:rPr>
        <w:t>transplanting (after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July or more) would have more chances of insect pest incidence and there by a huge grain yield loss. With the results of present findings conducted at the RPCAU, Pusa rice growing farmers of the Bihar </w:t>
      </w:r>
      <w:r>
        <w:rPr>
          <w:rFonts w:ascii="Times New Roman" w:cs="Times New Roman" w:hAnsi="Times New Roman"/>
          <w:sz w:val="24"/>
          <w:szCs w:val="24"/>
        </w:rPr>
        <w:t>Agro</w:t>
      </w:r>
      <w:r>
        <w:rPr>
          <w:rFonts w:ascii="Times New Roman" w:cs="Times New Roman" w:hAnsi="Times New Roman"/>
          <w:sz w:val="24"/>
          <w:szCs w:val="24"/>
        </w:rPr>
        <w:t xml:space="preserve">-climatic regions can produce higher yield with less incidence of insect pest on the rice crop which will also enable the farmers to grow early / timely wheat and others crop. This time management not only reduces the pest incidence of respective crops but also enabled farmers to harvest targeted yield which will helpful in doubling the farmer’s income. </w:t>
      </w:r>
      <w:r>
        <w:rPr>
          <w:rFonts w:ascii="Times New Roman" w:cs="Times New Roman" w:hAnsi="Times New Roman"/>
          <w:sz w:val="24"/>
          <w:szCs w:val="24"/>
        </w:rPr>
        <w:t>Among these parameters relative humidity and rainfall played major role which explained maximum variability on yellow stem borer and leaf folder incidence at different methods and planting dates.</w:t>
      </w:r>
    </w:p>
    <w:p>
      <w:pPr>
        <w:pStyle w:val="style0"/>
        <w:spacing w:after="0" w:lineRule="auto" w:line="480"/>
        <w:ind w:firstLine="720"/>
        <w:jc w:val="both"/>
        <w:rPr>
          <w:b/>
          <w:bCs/>
        </w:rPr>
      </w:pPr>
    </w:p>
    <w:p>
      <w:pPr>
        <w:pStyle w:val="style4097"/>
        <w:spacing w:lineRule="auto" w:line="360"/>
        <w:rPr>
          <w:b/>
          <w:bCs/>
        </w:rPr>
      </w:pPr>
      <w:r>
        <w:rPr>
          <w:b/>
          <w:bCs/>
        </w:rPr>
        <w:t>REFERENCES</w:t>
      </w:r>
    </w:p>
    <w:p>
      <w:pPr>
        <w:pStyle w:val="style4097"/>
        <w:ind w:hanging="426"/>
        <w:jc w:val="both"/>
        <w:rPr/>
      </w:pPr>
      <w:r>
        <w:rPr>
          <w:rFonts w:eastAsia="Times New Roman"/>
          <w:color w:val="0e101a"/>
        </w:rPr>
        <w:t xml:space="preserve">Ali, M. P., Nessa, B., Khatun, M. T., Salam, M. U., &amp; Kabir, M. S. (2021). A way forward to combat insect pest in rice. </w:t>
      </w:r>
      <w:r>
        <w:rPr>
          <w:rFonts w:eastAsia="Times New Roman"/>
          <w:i/>
          <w:iCs/>
          <w:color w:val="0e101a"/>
        </w:rPr>
        <w:t>Bangladesh Rice Journal</w:t>
      </w:r>
      <w:r>
        <w:rPr>
          <w:rFonts w:eastAsia="Times New Roman"/>
          <w:color w:val="0e101a"/>
        </w:rPr>
        <w:t xml:space="preserve">, </w:t>
      </w:r>
      <w:r>
        <w:rPr>
          <w:rFonts w:eastAsia="Times New Roman"/>
          <w:iCs/>
          <w:color w:val="0e101a"/>
        </w:rPr>
        <w:t>25</w:t>
      </w:r>
      <w:r>
        <w:rPr>
          <w:rFonts w:eastAsia="Times New Roman"/>
          <w:color w:val="0e101a"/>
        </w:rPr>
        <w:t xml:space="preserve">(1), 1–22. </w:t>
      </w:r>
      <w:r>
        <w:rPr/>
        <w:fldChar w:fldCharType="begin"/>
      </w:r>
      <w:r>
        <w:instrText xml:space="preserve"> HYPERLINK "https://doi.org/10.3329/brj.v25i1.55176" \t "_blank" </w:instrText>
      </w:r>
      <w:r>
        <w:rPr/>
        <w:fldChar w:fldCharType="separate"/>
      </w:r>
      <w:r>
        <w:rPr>
          <w:rFonts w:eastAsia="Times New Roman"/>
          <w:color w:val="0000ff"/>
          <w:u w:val="single"/>
        </w:rPr>
        <w:t>https://doi.org/10.3329/brj.v25i1.55176</w:t>
      </w:r>
      <w:r>
        <w:rPr/>
        <w:fldChar w:fldCharType="end"/>
      </w:r>
    </w:p>
    <w:p>
      <w:pPr>
        <w:pStyle w:val="style4097"/>
        <w:ind w:hanging="426"/>
        <w:jc w:val="both"/>
        <w:rPr>
          <w:b/>
          <w:bCs/>
        </w:rPr>
      </w:pPr>
    </w:p>
    <w:p>
      <w:pPr>
        <w:pStyle w:val="style0"/>
        <w:spacing w:after="0" w:lineRule="auto" w:line="240"/>
        <w:ind w:hanging="480"/>
        <w:jc w:val="both"/>
        <w:rPr/>
      </w:pPr>
      <w:r>
        <w:rPr>
          <w:rFonts w:ascii="Times New Roman" w:cs="Times New Roman" w:eastAsia="Times New Roman" w:hAnsi="Times New Roman"/>
          <w:color w:val="0e101a"/>
          <w:sz w:val="24"/>
          <w:szCs w:val="24"/>
        </w:rPr>
        <w:t>Bandumula</w:t>
      </w:r>
      <w:r>
        <w:rPr>
          <w:rFonts w:ascii="Times New Roman" w:cs="Times New Roman" w:eastAsia="Times New Roman" w:hAnsi="Times New Roman"/>
          <w:color w:val="0e101a"/>
          <w:sz w:val="24"/>
          <w:szCs w:val="24"/>
        </w:rPr>
        <w:t xml:space="preserve">, N. (2018). Rice production in Asia: Key to global food security. </w:t>
      </w:r>
      <w:r>
        <w:rPr>
          <w:rFonts w:ascii="Times New Roman" w:cs="Times New Roman" w:eastAsia="Times New Roman" w:hAnsi="Times New Roman"/>
          <w:i/>
          <w:iCs/>
          <w:color w:val="0e101a"/>
          <w:sz w:val="24"/>
          <w:szCs w:val="24"/>
        </w:rPr>
        <w:t>Proceedings of the National Academy of Sciences, India Section B</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88</w:t>
      </w:r>
      <w:r>
        <w:rPr>
          <w:rFonts w:ascii="Times New Roman" w:cs="Times New Roman" w:eastAsia="Times New Roman" w:hAnsi="Times New Roman"/>
          <w:color w:val="0e101a"/>
          <w:sz w:val="24"/>
          <w:szCs w:val="24"/>
        </w:rPr>
        <w:t xml:space="preserve">(4), 1323–1328. </w:t>
      </w:r>
      <w:r>
        <w:rPr/>
        <w:fldChar w:fldCharType="begin"/>
      </w:r>
      <w:r>
        <w:instrText xml:space="preserve"> HYPERLINK "https://doi.org/10.1007/s40011-017-0867-7" \t "_blank" </w:instrText>
      </w:r>
      <w:r>
        <w:rPr/>
        <w:fldChar w:fldCharType="separate"/>
      </w:r>
      <w:r>
        <w:rPr>
          <w:rFonts w:ascii="Times New Roman" w:cs="Times New Roman" w:eastAsia="Times New Roman" w:hAnsi="Times New Roman"/>
          <w:color w:val="0000ff"/>
          <w:sz w:val="24"/>
          <w:szCs w:val="24"/>
          <w:u w:val="single"/>
        </w:rPr>
        <w:t>https://doi.org/10.1007/s40011-017-0867-7</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 xml:space="preserve">Baruah, M., &amp; Dutta, B. C. (2020). Effect of planting dates on stem borer incidence and its natural enemies in relation to weather variables in rice ecosystem. </w:t>
      </w:r>
      <w:r>
        <w:rPr>
          <w:rFonts w:ascii="Times New Roman" w:cs="Times New Roman" w:eastAsia="Times New Roman" w:hAnsi="Times New Roman"/>
          <w:i/>
          <w:iCs/>
          <w:color w:val="0e101a"/>
          <w:sz w:val="24"/>
          <w:szCs w:val="24"/>
        </w:rPr>
        <w:t>Journal of Entomology and Zoology Studies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8</w:t>
      </w:r>
      <w:r>
        <w:rPr>
          <w:rFonts w:ascii="Times New Roman" w:cs="Times New Roman" w:eastAsia="Times New Roman" w:hAnsi="Times New Roman"/>
          <w:color w:val="0e101a"/>
          <w:sz w:val="24"/>
          <w:szCs w:val="24"/>
        </w:rPr>
        <w:t xml:space="preserve">(5), 1423–1427. </w:t>
      </w:r>
      <w:r>
        <w:rPr/>
        <w:fldChar w:fldCharType="begin"/>
      </w:r>
      <w:r>
        <w:instrText xml:space="preserve"> HYPERLINK "https://doi.org/10.22271/j.ento.2020.v8.i5t.7703" \t "_blank" </w:instrText>
      </w:r>
      <w:r>
        <w:rPr/>
        <w:fldChar w:fldCharType="separate"/>
      </w:r>
      <w:r>
        <w:rPr>
          <w:rFonts w:ascii="Times New Roman" w:cs="Times New Roman" w:eastAsia="Times New Roman" w:hAnsi="Times New Roman"/>
          <w:color w:val="0000ff"/>
          <w:sz w:val="24"/>
          <w:szCs w:val="24"/>
          <w:u w:val="single"/>
        </w:rPr>
        <w:t>https://doi.org/10.22271/j.ento.2020.v8.i5t.7703</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Bhatt, R., Kaur, R., &amp; Ghosh, A. (2019). Strategies to practice climate-smart agriculture to improve the livelihoods under the rice-wheat cropping system in South Asia. </w:t>
      </w:r>
      <w:r>
        <w:rPr>
          <w:rFonts w:ascii="Times New Roman" w:cs="Times New Roman" w:eastAsia="Times New Roman" w:hAnsi="Times New Roman"/>
          <w:i/>
          <w:iCs/>
          <w:color w:val="0e101a"/>
          <w:sz w:val="24"/>
          <w:szCs w:val="24"/>
        </w:rPr>
        <w:t>Sustainable management of soil and environment</w:t>
      </w:r>
      <w:r>
        <w:rPr>
          <w:rFonts w:ascii="Times New Roman" w:cs="Times New Roman" w:eastAsia="Times New Roman" w:hAnsi="Times New Roman"/>
          <w:color w:val="0e101a"/>
          <w:sz w:val="24"/>
          <w:szCs w:val="24"/>
        </w:rPr>
        <w:t>, 29–71.</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Civáň</w:t>
      </w:r>
      <w:r>
        <w:rPr>
          <w:rFonts w:ascii="Times New Roman" w:cs="Times New Roman" w:eastAsia="Times New Roman" w:hAnsi="Times New Roman"/>
          <w:color w:val="0e101a"/>
          <w:sz w:val="24"/>
          <w:szCs w:val="24"/>
        </w:rPr>
        <w:t xml:space="preserve">, P., Ali, S., Batista-Navarro, R., Drosou, K., </w:t>
      </w:r>
      <w:r>
        <w:rPr>
          <w:rFonts w:ascii="Times New Roman" w:cs="Times New Roman" w:eastAsia="Times New Roman" w:hAnsi="Times New Roman"/>
          <w:color w:val="0e101a"/>
          <w:sz w:val="24"/>
          <w:szCs w:val="24"/>
        </w:rPr>
        <w:t>Ihejieto</w:t>
      </w:r>
      <w:r>
        <w:rPr>
          <w:rFonts w:ascii="Times New Roman" w:cs="Times New Roman" w:eastAsia="Times New Roman" w:hAnsi="Times New Roman"/>
          <w:color w:val="0e101a"/>
          <w:sz w:val="24"/>
          <w:szCs w:val="24"/>
        </w:rPr>
        <w:t>, C., Chakraborty, D., Ray, A., Gladieux, P., &amp; Brown, T. A. (2019). Origin of the aromatic group of cultivated rice (</w:t>
      </w:r>
      <w:r>
        <w:rPr>
          <w:rFonts w:ascii="Times New Roman" w:cs="Times New Roman" w:eastAsia="Times New Roman" w:hAnsi="Times New Roman"/>
          <w:i/>
          <w:iCs/>
          <w:color w:val="0e101a"/>
          <w:sz w:val="24"/>
          <w:szCs w:val="24"/>
        </w:rPr>
        <w:t>Oryza sativa</w:t>
      </w:r>
      <w:r>
        <w:rPr>
          <w:rFonts w:ascii="Times New Roman" w:cs="Times New Roman" w:eastAsia="Times New Roman" w:hAnsi="Times New Roman"/>
          <w:color w:val="0e101a"/>
          <w:sz w:val="24"/>
          <w:szCs w:val="24"/>
        </w:rPr>
        <w:t xml:space="preserve"> L.) traced to the Indian subcontinent. </w:t>
      </w:r>
      <w:r>
        <w:rPr>
          <w:rFonts w:ascii="Times New Roman" w:cs="Times New Roman" w:eastAsia="Times New Roman" w:hAnsi="Times New Roman"/>
          <w:i/>
          <w:iCs/>
          <w:color w:val="0e101a"/>
          <w:sz w:val="24"/>
          <w:szCs w:val="24"/>
        </w:rPr>
        <w:t>Genome Biology and Evolution</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11</w:t>
      </w:r>
      <w:r>
        <w:rPr>
          <w:rFonts w:ascii="Times New Roman" w:cs="Times New Roman" w:eastAsia="Times New Roman" w:hAnsi="Times New Roman"/>
          <w:color w:val="0e101a"/>
          <w:sz w:val="24"/>
          <w:szCs w:val="24"/>
        </w:rPr>
        <w:t xml:space="preserve">(3), 832–843. </w:t>
      </w:r>
      <w:r>
        <w:rPr/>
        <w:fldChar w:fldCharType="begin"/>
      </w:r>
      <w:r>
        <w:instrText xml:space="preserve"> HYPERLINK "https://doi.org/10.1093/gbe/evz039" \t "_blank" </w:instrText>
      </w:r>
      <w:r>
        <w:rPr/>
        <w:fldChar w:fldCharType="separate"/>
      </w:r>
      <w:r>
        <w:rPr>
          <w:rFonts w:ascii="Times New Roman" w:cs="Times New Roman" w:eastAsia="Times New Roman" w:hAnsi="Times New Roman"/>
          <w:color w:val="0000ff"/>
          <w:sz w:val="24"/>
          <w:szCs w:val="24"/>
          <w:u w:val="single"/>
        </w:rPr>
        <w:t>https://doi.org/10.1093/gbe/evz039</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 xml:space="preserve">Dash, S. R., Das Routray, B. K., </w:t>
      </w:r>
      <w:r>
        <w:rPr>
          <w:rFonts w:ascii="Times New Roman" w:cs="Times New Roman" w:eastAsia="Times New Roman" w:hAnsi="Times New Roman"/>
          <w:color w:val="0e101a"/>
          <w:sz w:val="24"/>
          <w:szCs w:val="24"/>
          <w:bdr w:val="none" w:sz="0" w:space="0" w:color="auto" w:frame="true"/>
        </w:rPr>
        <w:t>H.</w:t>
      </w:r>
      <w:r>
        <w:rPr>
          <w:rFonts w:ascii="Times New Roman" w:cs="Times New Roman" w:eastAsia="Times New Roman" w:hAnsi="Times New Roman"/>
          <w:color w:val="0e101a"/>
          <w:sz w:val="24"/>
          <w:szCs w:val="24"/>
        </w:rPr>
        <w:t xml:space="preserve">, &amp; Behera, N. (2021). Performance of stress tolerant rice variety </w:t>
      </w:r>
      <w:r>
        <w:rPr>
          <w:rFonts w:ascii="Times New Roman" w:cs="Times New Roman" w:eastAsia="Times New Roman" w:hAnsi="Times New Roman"/>
          <w:color w:val="0e101a"/>
          <w:sz w:val="24"/>
          <w:szCs w:val="24"/>
          <w:bdr w:val="none" w:sz="0" w:space="0" w:color="auto" w:frame="true"/>
        </w:rPr>
        <w:t>swarnashreya</w:t>
      </w:r>
      <w:r>
        <w:rPr>
          <w:rFonts w:ascii="Times New Roman" w:cs="Times New Roman" w:eastAsia="Times New Roman" w:hAnsi="Times New Roman"/>
          <w:color w:val="0e101a"/>
          <w:sz w:val="24"/>
          <w:szCs w:val="24"/>
        </w:rPr>
        <w:t xml:space="preserve"> under rainfed drought-prone areas of South Eastern Ghat Zone of Odisha of India: Stress tolerant rice for rainfed drought-prone areas. </w:t>
      </w:r>
      <w:r>
        <w:rPr>
          <w:rFonts w:ascii="Times New Roman" w:cs="Times New Roman" w:eastAsia="Times New Roman" w:hAnsi="Times New Roman"/>
          <w:i/>
          <w:iCs/>
          <w:color w:val="0e101a"/>
          <w:sz w:val="24"/>
          <w:szCs w:val="24"/>
        </w:rPr>
        <w:t>Journal of Agriculture</w:t>
      </w:r>
      <w:r>
        <w:rPr>
          <w:rFonts w:ascii="Times New Roman" w:cs="Times New Roman" w:eastAsia="Times New Roman" w:hAnsi="Times New Roman"/>
          <w:i/>
          <w:iCs/>
          <w:color w:val="0e101a"/>
          <w:sz w:val="24"/>
          <w:szCs w:val="24"/>
        </w:rPr>
        <w:t xml:space="preserve"> </w:t>
      </w:r>
      <w:r>
        <w:rPr>
          <w:rFonts w:ascii="Times New Roman" w:cs="Times New Roman" w:eastAsia="Times New Roman" w:hAnsi="Times New Roman"/>
          <w:color w:val="0e101a"/>
          <w:sz w:val="24"/>
          <w:szCs w:val="24"/>
          <w:bdr w:val="none" w:sz="0" w:space="0" w:color="auto" w:frame="true"/>
        </w:rPr>
        <w:t>Search</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8</w:t>
      </w:r>
      <w:r>
        <w:rPr>
          <w:rFonts w:ascii="Times New Roman" w:cs="Times New Roman" w:eastAsia="Times New Roman" w:hAnsi="Times New Roman"/>
          <w:color w:val="0e101a"/>
          <w:sz w:val="24"/>
          <w:szCs w:val="24"/>
        </w:rPr>
        <w:t>(4), 360–363.</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Iamba</w:t>
      </w:r>
      <w:r>
        <w:rPr>
          <w:rFonts w:ascii="Times New Roman" w:cs="Times New Roman" w:eastAsia="Times New Roman" w:hAnsi="Times New Roman"/>
          <w:color w:val="0e101a"/>
          <w:sz w:val="24"/>
          <w:szCs w:val="24"/>
        </w:rPr>
        <w:t>, K., &amp;Dono, D. (2021). A review on brown planthopper (</w:t>
      </w:r>
      <w:r>
        <w:rPr>
          <w:rFonts w:ascii="Times New Roman" w:cs="Times New Roman" w:eastAsia="Times New Roman" w:hAnsi="Times New Roman"/>
          <w:i/>
          <w:iCs/>
          <w:color w:val="0e101a"/>
          <w:sz w:val="24"/>
          <w:szCs w:val="24"/>
        </w:rPr>
        <w:t>Nilaparvata</w:t>
      </w:r>
      <w:r>
        <w:rPr>
          <w:rFonts w:ascii="Times New Roman" w:cs="Times New Roman" w:eastAsia="Times New Roman" w:hAnsi="Times New Roman"/>
          <w:i/>
          <w:iCs/>
          <w:color w:val="0e101a"/>
          <w:sz w:val="24"/>
          <w:szCs w:val="24"/>
        </w:rPr>
        <w:t xml:space="preserve"> </w:t>
      </w:r>
      <w:r>
        <w:rPr>
          <w:rFonts w:ascii="Times New Roman" w:cs="Times New Roman" w:eastAsia="Times New Roman" w:hAnsi="Times New Roman"/>
          <w:i/>
          <w:iCs/>
          <w:color w:val="0e101a"/>
          <w:sz w:val="24"/>
          <w:szCs w:val="24"/>
        </w:rPr>
        <w:t>lugens</w:t>
      </w:r>
      <w:r>
        <w:rPr>
          <w:rFonts w:ascii="Times New Roman" w:cs="Times New Roman" w:eastAsia="Times New Roman" w:hAnsi="Times New Roman"/>
          <w:color w:val="0e101a"/>
          <w:sz w:val="24"/>
          <w:szCs w:val="24"/>
        </w:rPr>
        <w:t>Stål</w:t>
      </w:r>
      <w:r>
        <w:rPr>
          <w:rFonts w:ascii="Times New Roman" w:cs="Times New Roman" w:eastAsia="Times New Roman" w:hAnsi="Times New Roman"/>
          <w:color w:val="0e101a"/>
          <w:sz w:val="24"/>
          <w:szCs w:val="24"/>
        </w:rPr>
        <w:t xml:space="preserve">), a major pest of rice in Asia and Pacific. </w:t>
      </w:r>
      <w:r>
        <w:rPr>
          <w:rFonts w:ascii="Times New Roman" w:cs="Times New Roman" w:eastAsia="Times New Roman" w:hAnsi="Times New Roman"/>
          <w:i/>
          <w:iCs/>
          <w:color w:val="0e101a"/>
          <w:sz w:val="24"/>
          <w:szCs w:val="24"/>
        </w:rPr>
        <w:t>Asian Journal of Research in Crop Science</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6</w:t>
      </w:r>
      <w:r>
        <w:rPr>
          <w:rFonts w:ascii="Times New Roman" w:cs="Times New Roman" w:eastAsia="Times New Roman" w:hAnsi="Times New Roman"/>
          <w:color w:val="0e101a"/>
          <w:sz w:val="24"/>
          <w:szCs w:val="24"/>
        </w:rPr>
        <w:t xml:space="preserve">, 7–19. </w:t>
      </w:r>
      <w:r>
        <w:rPr/>
        <w:fldChar w:fldCharType="begin"/>
      </w:r>
      <w:r>
        <w:instrText xml:space="preserve"> HYPERLINK "https://doi.org/10.9734/ajrcs/2021/v6i430122" \t "_blank" </w:instrText>
      </w:r>
      <w:r>
        <w:rPr/>
        <w:fldChar w:fldCharType="separate"/>
      </w:r>
      <w:r>
        <w:rPr>
          <w:rFonts w:ascii="Times New Roman" w:cs="Times New Roman" w:eastAsia="Times New Roman" w:hAnsi="Times New Roman"/>
          <w:color w:val="0000ff"/>
          <w:sz w:val="24"/>
          <w:szCs w:val="24"/>
          <w:u w:val="single"/>
        </w:rPr>
        <w:t>https://doi.org/10.9734/ajrcs/2021/v6i430122</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Jasrotia</w:t>
      </w:r>
      <w:r>
        <w:rPr>
          <w:rFonts w:ascii="Times New Roman" w:cs="Times New Roman" w:eastAsia="Times New Roman" w:hAnsi="Times New Roman"/>
          <w:color w:val="0e101a"/>
          <w:sz w:val="24"/>
          <w:szCs w:val="24"/>
        </w:rPr>
        <w:t xml:space="preserve">, P., </w:t>
      </w:r>
      <w:r>
        <w:rPr>
          <w:rFonts w:ascii="Times New Roman" w:cs="Times New Roman" w:eastAsia="Times New Roman" w:hAnsi="Times New Roman"/>
          <w:color w:val="0e101a"/>
          <w:sz w:val="24"/>
          <w:szCs w:val="24"/>
        </w:rPr>
        <w:t>Khippal</w:t>
      </w:r>
      <w:r>
        <w:rPr>
          <w:rFonts w:ascii="Times New Roman" w:cs="Times New Roman" w:eastAsia="Times New Roman" w:hAnsi="Times New Roman"/>
          <w:color w:val="0e101a"/>
          <w:sz w:val="24"/>
          <w:szCs w:val="24"/>
        </w:rPr>
        <w:t>, A., Yadav, J., Kashyap, P. L., Kumar, S., &amp; Singh, G. P. (2019). Effect of weather variables on the incidence of yellow stem borer (</w:t>
      </w:r>
      <w:r>
        <w:rPr>
          <w:rFonts w:ascii="Times New Roman" w:cs="Times New Roman" w:eastAsia="Times New Roman" w:hAnsi="Times New Roman"/>
          <w:i/>
          <w:color w:val="0e101a"/>
          <w:sz w:val="24"/>
          <w:szCs w:val="24"/>
        </w:rPr>
        <w:t>Scirpophaga</w:t>
      </w:r>
      <w:r>
        <w:rPr>
          <w:rFonts w:ascii="Times New Roman" w:cs="Times New Roman" w:eastAsia="Times New Roman" w:hAnsi="Times New Roman"/>
          <w:i/>
          <w:color w:val="0e101a"/>
          <w:sz w:val="24"/>
          <w:szCs w:val="24"/>
        </w:rPr>
        <w:t xml:space="preserve"> </w:t>
      </w:r>
      <w:r>
        <w:rPr>
          <w:rFonts w:ascii="Times New Roman" w:cs="Times New Roman" w:eastAsia="Times New Roman" w:hAnsi="Times New Roman"/>
          <w:i/>
          <w:color w:val="0e101a"/>
          <w:sz w:val="24"/>
          <w:szCs w:val="24"/>
        </w:rPr>
        <w:t>incertulas</w:t>
      </w:r>
      <w:r>
        <w:rPr>
          <w:rFonts w:ascii="Times New Roman" w:cs="Times New Roman" w:eastAsia="Times New Roman" w:hAnsi="Times New Roman"/>
          <w:color w:val="0e101a"/>
          <w:sz w:val="24"/>
          <w:szCs w:val="24"/>
        </w:rPr>
        <w:t xml:space="preserve"> W.) and leaf folder (</w:t>
      </w:r>
      <w:r>
        <w:rPr>
          <w:rFonts w:ascii="Times New Roman" w:cs="Times New Roman" w:eastAsia="Times New Roman" w:hAnsi="Times New Roman"/>
          <w:i/>
          <w:color w:val="0e101a"/>
          <w:sz w:val="24"/>
          <w:szCs w:val="24"/>
        </w:rPr>
        <w:t>Cnaphalocrocis</w:t>
      </w:r>
      <w:r>
        <w:rPr>
          <w:rFonts w:ascii="Times New Roman" w:cs="Times New Roman" w:eastAsia="Times New Roman" w:hAnsi="Times New Roman"/>
          <w:i/>
          <w:color w:val="0e101a"/>
          <w:sz w:val="24"/>
          <w:szCs w:val="24"/>
        </w:rPr>
        <w:t xml:space="preserve"> </w:t>
      </w:r>
      <w:r>
        <w:rPr>
          <w:rFonts w:ascii="Times New Roman" w:cs="Times New Roman" w:eastAsia="Times New Roman" w:hAnsi="Times New Roman"/>
          <w:i/>
          <w:color w:val="0e101a"/>
          <w:sz w:val="24"/>
          <w:szCs w:val="24"/>
        </w:rPr>
        <w:t>medinalis</w:t>
      </w:r>
      <w:r>
        <w:rPr>
          <w:rFonts w:ascii="Times New Roman" w:cs="Times New Roman" w:eastAsia="Times New Roman" w:hAnsi="Times New Roman"/>
          <w:color w:val="0e101a"/>
          <w:sz w:val="24"/>
          <w:szCs w:val="24"/>
        </w:rPr>
        <w:t xml:space="preserve"> G.) in rice. </w:t>
      </w:r>
      <w:r>
        <w:rPr>
          <w:rFonts w:ascii="Times New Roman" w:cs="Times New Roman" w:eastAsia="Times New Roman" w:hAnsi="Times New Roman"/>
          <w:i/>
          <w:iCs/>
          <w:color w:val="0e101a"/>
          <w:sz w:val="24"/>
          <w:szCs w:val="24"/>
        </w:rPr>
        <w:t>Wheat and Barley Research</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11</w:t>
      </w:r>
      <w:r>
        <w:rPr>
          <w:rFonts w:ascii="Times New Roman" w:cs="Times New Roman" w:eastAsia="Times New Roman" w:hAnsi="Times New Roman"/>
          <w:color w:val="0e101a"/>
          <w:sz w:val="24"/>
          <w:szCs w:val="24"/>
        </w:rPr>
        <w:t xml:space="preserve">(3), 247–251. </w:t>
      </w:r>
      <w:r>
        <w:rPr/>
        <w:fldChar w:fldCharType="begin"/>
      </w:r>
      <w:r>
        <w:instrText xml:space="preserve"> HYPERLINK "https://doi.org/10.25174/2249-4065/2019/95416" \t "_blank" </w:instrText>
      </w:r>
      <w:r>
        <w:rPr/>
        <w:fldChar w:fldCharType="separate"/>
      </w:r>
      <w:r>
        <w:rPr>
          <w:rFonts w:ascii="Times New Roman" w:cs="Times New Roman" w:eastAsia="Times New Roman" w:hAnsi="Times New Roman"/>
          <w:color w:val="0000ff"/>
          <w:sz w:val="24"/>
          <w:szCs w:val="24"/>
          <w:u w:val="single"/>
        </w:rPr>
        <w:t>https://doi.org/10.25174/2249-4065/2019/95416</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 xml:space="preserve">Kakde, A. M., &amp; Patel, K. G. (2015). Seasonal incidence of rice leaf folder in relation to SRI and conventional methods of planting and its correlation with weather parameters. </w:t>
      </w:r>
      <w:r>
        <w:rPr>
          <w:rFonts w:ascii="Times New Roman" w:cs="Times New Roman" w:eastAsia="Times New Roman" w:hAnsi="Times New Roman"/>
          <w:i/>
          <w:iCs/>
          <w:color w:val="0e101a"/>
          <w:sz w:val="24"/>
          <w:szCs w:val="24"/>
        </w:rPr>
        <w:t>Plant Archives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15</w:t>
      </w:r>
      <w:r>
        <w:rPr>
          <w:rFonts w:ascii="Times New Roman" w:cs="Times New Roman" w:eastAsia="Times New Roman" w:hAnsi="Times New Roman"/>
          <w:color w:val="0e101a"/>
          <w:sz w:val="24"/>
          <w:szCs w:val="24"/>
        </w:rPr>
        <w:t>(1), 121–126.</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Khalid, A. O., Ahmed, M. M., Yassir, M. A., &amp; Atif, E. I. (2015). Influence of different sowing dates on growth and yield of direct seeded rice (</w:t>
      </w:r>
      <w:r>
        <w:rPr>
          <w:rFonts w:ascii="Times New Roman" w:cs="Times New Roman" w:eastAsia="Times New Roman" w:hAnsi="Times New Roman"/>
          <w:i/>
          <w:iCs/>
          <w:color w:val="0e101a"/>
          <w:sz w:val="24"/>
          <w:szCs w:val="24"/>
        </w:rPr>
        <w:t>Oryza sativa</w:t>
      </w:r>
      <w:r>
        <w:rPr>
          <w:rFonts w:ascii="Times New Roman" w:cs="Times New Roman" w:eastAsia="Times New Roman" w:hAnsi="Times New Roman"/>
          <w:color w:val="0e101a"/>
          <w:sz w:val="24"/>
          <w:szCs w:val="24"/>
        </w:rPr>
        <w:t xml:space="preserve"> L.) in semi-arid zone (Sudan). </w:t>
      </w:r>
      <w:r>
        <w:rPr>
          <w:rFonts w:ascii="Times New Roman" w:cs="Times New Roman" w:eastAsia="Times New Roman" w:hAnsi="Times New Roman"/>
          <w:i/>
          <w:iCs/>
          <w:color w:val="0e101a"/>
          <w:sz w:val="24"/>
          <w:szCs w:val="24"/>
          <w:bdr w:val="none" w:sz="0" w:space="0" w:color="auto" w:frame="true"/>
        </w:rPr>
        <w:t>Int. J. Agron. Agric. Res.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6</w:t>
      </w:r>
      <w:r>
        <w:rPr>
          <w:rFonts w:ascii="Times New Roman" w:cs="Times New Roman" w:eastAsia="Times New Roman" w:hAnsi="Times New Roman"/>
          <w:color w:val="0e101a"/>
          <w:sz w:val="24"/>
          <w:szCs w:val="24"/>
        </w:rPr>
        <w:t>(6), 38–48.</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Litsinger, J. A., Barrion, A. T. D., &amp;</w:t>
      </w:r>
      <w:r>
        <w:rPr>
          <w:rFonts w:ascii="Times New Roman" w:cs="Times New Roman" w:eastAsia="Times New Roman" w:hAnsi="Times New Roman"/>
          <w:color w:val="0e101a"/>
          <w:sz w:val="24"/>
          <w:szCs w:val="24"/>
          <w:bdr w:val="none" w:sz="0" w:space="0" w:color="auto" w:frame="true"/>
        </w:rPr>
        <w:t>Sockarana</w:t>
      </w:r>
      <w:r>
        <w:rPr>
          <w:rFonts w:ascii="Times New Roman" w:cs="Times New Roman" w:eastAsia="Times New Roman" w:hAnsi="Times New Roman"/>
          <w:color w:val="0e101a"/>
          <w:sz w:val="24"/>
          <w:szCs w:val="24"/>
        </w:rPr>
        <w:t>, J. (1987). Upland rice insect pests, their ecology, importance, and control</w:t>
      </w:r>
      <w:r>
        <w:rPr>
          <w:rFonts w:ascii="Times New Roman" w:cs="Times New Roman" w:eastAsia="Times New Roman" w:hAnsi="Times New Roman"/>
          <w:color w:val="0e101a"/>
          <w:sz w:val="24"/>
          <w:szCs w:val="24"/>
          <w:bdr w:val="none" w:sz="0" w:space="0" w:color="auto" w:frame="true"/>
        </w:rPr>
        <w:t xml:space="preserve">. Int. Rice Res. </w:t>
      </w:r>
      <w:r>
        <w:rPr>
          <w:rFonts w:ascii="Times New Roman" w:cs="Times New Roman" w:eastAsia="Times New Roman" w:hAnsi="Times New Roman"/>
          <w:color w:val="0e101a"/>
          <w:sz w:val="24"/>
          <w:szCs w:val="24"/>
          <w:bdr w:val="none" w:sz="0" w:space="0" w:color="auto" w:frame="true"/>
        </w:rPr>
        <w:t>Inst.</w:t>
      </w:r>
      <w:r>
        <w:rPr>
          <w:rFonts w:ascii="Times New Roman" w:cs="Times New Roman" w:eastAsia="Times New Roman" w:hAnsi="Times New Roman"/>
          <w:i/>
          <w:iCs/>
          <w:color w:val="0e101a"/>
          <w:sz w:val="24"/>
          <w:szCs w:val="24"/>
        </w:rPr>
        <w:t>Research</w:t>
      </w:r>
      <w:r>
        <w:rPr>
          <w:rFonts w:ascii="Times New Roman" w:cs="Times New Roman" w:eastAsia="Times New Roman" w:hAnsi="Times New Roman"/>
          <w:i/>
          <w:iCs/>
          <w:color w:val="0e101a"/>
          <w:sz w:val="24"/>
          <w:szCs w:val="24"/>
        </w:rPr>
        <w:t xml:space="preserve"> Paper Series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123</w:t>
      </w:r>
      <w:r>
        <w:rPr>
          <w:rFonts w:ascii="Times New Roman" w:cs="Times New Roman" w:eastAsia="Times New Roman" w:hAnsi="Times New Roman"/>
          <w:color w:val="0e101a"/>
          <w:sz w:val="24"/>
          <w:szCs w:val="24"/>
        </w:rPr>
        <w:t>, 25–26.</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bdr w:val="none" w:sz="0" w:space="0" w:color="auto" w:frame="true"/>
        </w:rPr>
        <w:t>Magunmder</w:t>
      </w:r>
      <w:r>
        <w:rPr>
          <w:rFonts w:ascii="Times New Roman" w:cs="Times New Roman" w:eastAsia="Times New Roman" w:hAnsi="Times New Roman"/>
          <w:color w:val="0e101a"/>
          <w:sz w:val="24"/>
          <w:szCs w:val="24"/>
        </w:rPr>
        <w:t>, S.K.G., ALI, M.P., Choudhury, T.R. and RAHIN, S.A. (2013)</w:t>
      </w:r>
      <w:r>
        <w:rPr>
          <w:rFonts w:ascii="Times New Roman" w:cs="Times New Roman" w:eastAsia="Times New Roman" w:hAnsi="Times New Roman"/>
          <w:color w:val="0e101a"/>
          <w:sz w:val="24"/>
          <w:szCs w:val="24"/>
          <w:bdr w:val="none" w:sz="0" w:space="0" w:color="auto" w:frame="true"/>
        </w:rPr>
        <w:t>. Effect of variety and transplanting date on the incidence of insect pests and their natural enemies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
          <w:iCs/>
          <w:color w:val="0e101a"/>
          <w:sz w:val="24"/>
          <w:szCs w:val="24"/>
          <w:bdr w:val="none" w:sz="0" w:space="0" w:color="auto" w:frame="true"/>
        </w:rPr>
        <w:t xml:space="preserve">World J. </w:t>
      </w:r>
      <w:r>
        <w:rPr>
          <w:rFonts w:ascii="Times New Roman" w:cs="Times New Roman" w:eastAsia="Times New Roman" w:hAnsi="Times New Roman"/>
          <w:i/>
          <w:iCs/>
          <w:color w:val="0e101a"/>
          <w:sz w:val="24"/>
          <w:szCs w:val="24"/>
          <w:bdr w:val="none" w:sz="0" w:space="0" w:color="auto" w:frame="true"/>
        </w:rPr>
        <w:t>Agrol</w:t>
      </w:r>
      <w:r>
        <w:rPr>
          <w:rFonts w:ascii="Times New Roman" w:cs="Times New Roman" w:eastAsia="Times New Roman" w:hAnsi="Times New Roman"/>
          <w:i/>
          <w:iCs/>
          <w:color w:val="0e101a"/>
          <w:sz w:val="24"/>
          <w:szCs w:val="24"/>
          <w:bdr w:val="none" w:sz="0" w:space="0" w:color="auto" w:frame="true"/>
        </w:rPr>
        <w:t>. Sci.</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w:t>
      </w:r>
      <w:r>
        <w:rPr>
          <w:rFonts w:ascii="Times New Roman" w:cs="Times New Roman" w:eastAsia="Times New Roman" w:hAnsi="Times New Roman"/>
          <w:color w:val="0e101a"/>
          <w:sz w:val="24"/>
          <w:szCs w:val="24"/>
        </w:rPr>
        <w:t>, 158–167.</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Mohidem</w:t>
      </w:r>
      <w:r>
        <w:rPr>
          <w:rFonts w:ascii="Times New Roman" w:cs="Times New Roman" w:eastAsia="Times New Roman" w:hAnsi="Times New Roman"/>
          <w:color w:val="0e101a"/>
          <w:sz w:val="24"/>
          <w:szCs w:val="24"/>
        </w:rPr>
        <w:t xml:space="preserve">, N. A., Hashim, N., Shamsudin, R., &amp; Che Man, H. (2022). Rice for food security: Revisiting its production, diversity, rice milling process and nutrient content. </w:t>
      </w:r>
      <w:r>
        <w:rPr>
          <w:rFonts w:ascii="Times New Roman" w:cs="Times New Roman" w:eastAsia="Times New Roman" w:hAnsi="Times New Roman"/>
          <w:i/>
          <w:iCs/>
          <w:color w:val="0e101a"/>
          <w:sz w:val="24"/>
          <w:szCs w:val="24"/>
        </w:rPr>
        <w:t>Agriculture</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12</w:t>
      </w:r>
      <w:r>
        <w:rPr>
          <w:rFonts w:ascii="Times New Roman" w:cs="Times New Roman" w:eastAsia="Times New Roman" w:hAnsi="Times New Roman"/>
          <w:color w:val="0e101a"/>
          <w:sz w:val="24"/>
          <w:szCs w:val="24"/>
        </w:rPr>
        <w:t xml:space="preserve">(6), 741. </w:t>
      </w:r>
      <w:r>
        <w:rPr/>
        <w:fldChar w:fldCharType="begin"/>
      </w:r>
      <w:r>
        <w:instrText xml:space="preserve"> HYPERLINK "https://doi.org/10.3390/agriculture12060741" \t "_blank" </w:instrText>
      </w:r>
      <w:r>
        <w:rPr/>
        <w:fldChar w:fldCharType="separate"/>
      </w:r>
      <w:r>
        <w:rPr>
          <w:rFonts w:ascii="Times New Roman" w:cs="Times New Roman" w:eastAsia="Times New Roman" w:hAnsi="Times New Roman"/>
          <w:color w:val="0000ff"/>
          <w:sz w:val="24"/>
          <w:szCs w:val="24"/>
          <w:u w:val="single"/>
        </w:rPr>
        <w:t>https://doi.org/10.3390/agriculture12060741</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Muthayya</w:t>
      </w:r>
      <w:r>
        <w:rPr>
          <w:rFonts w:ascii="Times New Roman" w:cs="Times New Roman" w:eastAsia="Times New Roman" w:hAnsi="Times New Roman"/>
          <w:color w:val="0e101a"/>
          <w:sz w:val="24"/>
          <w:szCs w:val="24"/>
        </w:rPr>
        <w:t xml:space="preserve">, S., Sugimoto, J. D., Montgomery, S., &amp; Maberly, G. F. (2014). An overview of global rice production, supply, trade, and consumption. </w:t>
      </w:r>
      <w:r>
        <w:rPr>
          <w:rFonts w:ascii="Times New Roman" w:cs="Times New Roman" w:eastAsia="Times New Roman" w:hAnsi="Times New Roman"/>
          <w:i/>
          <w:iCs/>
          <w:color w:val="0e101a"/>
          <w:sz w:val="24"/>
          <w:szCs w:val="24"/>
        </w:rPr>
        <w:t>Annals of the New York Academy of Sciences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1324</w:t>
      </w:r>
      <w:r>
        <w:rPr>
          <w:rFonts w:ascii="Times New Roman" w:cs="Times New Roman" w:eastAsia="Times New Roman" w:hAnsi="Times New Roman"/>
          <w:color w:val="0e101a"/>
          <w:sz w:val="24"/>
          <w:szCs w:val="24"/>
        </w:rPr>
        <w:t xml:space="preserve">(1), 7–14. </w:t>
      </w:r>
      <w:r>
        <w:rPr/>
        <w:fldChar w:fldCharType="begin"/>
      </w:r>
      <w:r>
        <w:instrText xml:space="preserve"> HYPERLINK "https://doi.org/10.1111/nyas.12540" \t "_blank" </w:instrText>
      </w:r>
      <w:r>
        <w:rPr/>
        <w:fldChar w:fldCharType="separate"/>
      </w:r>
      <w:r>
        <w:rPr>
          <w:rFonts w:ascii="Times New Roman" w:cs="Times New Roman" w:eastAsia="Times New Roman" w:hAnsi="Times New Roman"/>
          <w:color w:val="0000ff"/>
          <w:sz w:val="24"/>
          <w:szCs w:val="24"/>
          <w:u w:val="single"/>
        </w:rPr>
        <w:t>https://doi.org/10.1111/nyas.12540</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 xml:space="preserve">Prasad, R. (2020). Effect of different dates of rice transplanting on incidence and abundance of major insect pests and the crop yield. </w:t>
      </w:r>
      <w:r>
        <w:rPr>
          <w:rFonts w:ascii="Times New Roman" w:cs="Times New Roman" w:eastAsia="Times New Roman" w:hAnsi="Times New Roman"/>
          <w:i/>
          <w:iCs/>
          <w:color w:val="0e101a"/>
          <w:sz w:val="24"/>
          <w:szCs w:val="24"/>
          <w:bdr w:val="none" w:sz="0" w:space="0" w:color="auto" w:frame="true"/>
        </w:rPr>
        <w:t>Journal of Eco-Friendly Agriculture</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15</w:t>
      </w:r>
      <w:r>
        <w:rPr>
          <w:rFonts w:ascii="Times New Roman" w:cs="Times New Roman" w:eastAsia="Times New Roman" w:hAnsi="Times New Roman"/>
          <w:color w:val="0e101a"/>
          <w:sz w:val="24"/>
          <w:szCs w:val="24"/>
        </w:rPr>
        <w:t>(1), 67–69.</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Rajpoot, S. K. S., Prasad, V., Dixit, S., Verma, D. K., Giri, S. P., Maurya, M. L.</w:t>
      </w:r>
      <w:r>
        <w:rPr>
          <w:rFonts w:ascii="Times New Roman" w:cs="Times New Roman" w:eastAsia="Times New Roman" w:hAnsi="Times New Roman"/>
          <w:color w:val="0e101a"/>
          <w:sz w:val="24"/>
          <w:szCs w:val="24"/>
          <w:bdr w:val="none" w:sz="0" w:space="0" w:color="auto" w:frame="true"/>
        </w:rPr>
        <w:t xml:space="preserve">, </w:t>
      </w:r>
      <w:r>
        <w:rPr>
          <w:rFonts w:ascii="Times New Roman" w:cs="Times New Roman" w:eastAsia="Times New Roman" w:hAnsi="Times New Roman"/>
          <w:color w:val="0e101a"/>
          <w:sz w:val="24"/>
          <w:szCs w:val="24"/>
          <w:bdr w:val="none" w:sz="0" w:space="0" w:color="auto" w:frame="true"/>
        </w:rPr>
        <w:t xml:space="preserve">Singh, R. A. </w:t>
      </w:r>
      <w:r>
        <w:rPr>
          <w:rFonts w:ascii="Times New Roman" w:cs="Times New Roman" w:eastAsia="Times New Roman" w:hAnsi="Times New Roman"/>
          <w:color w:val="0e101a"/>
          <w:sz w:val="24"/>
          <w:szCs w:val="24"/>
          <w:bdr w:val="none" w:sz="0" w:space="0" w:color="auto" w:frame="true"/>
        </w:rPr>
        <w:t>&amp;</w:t>
      </w:r>
      <w:r>
        <w:rPr>
          <w:rFonts w:ascii="Times New Roman" w:cs="Times New Roman" w:eastAsia="Times New Roman" w:hAnsi="Times New Roman"/>
          <w:color w:val="0e101a"/>
          <w:sz w:val="24"/>
          <w:szCs w:val="24"/>
        </w:rPr>
        <w:t>Kumar, T.</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color w:val="0e101a"/>
          <w:sz w:val="24"/>
          <w:szCs w:val="24"/>
        </w:rPr>
        <w:t>(2019). Effect of planting dates on the population of rice stem borer (</w:t>
      </w:r>
      <w:r>
        <w:rPr>
          <w:rFonts w:ascii="Times New Roman" w:cs="Times New Roman" w:eastAsia="Times New Roman" w:hAnsi="Times New Roman"/>
          <w:i/>
          <w:color w:val="0e101a"/>
          <w:sz w:val="24"/>
          <w:szCs w:val="24"/>
        </w:rPr>
        <w:t>Scirpophaga</w:t>
      </w:r>
      <w:r>
        <w:rPr>
          <w:rFonts w:ascii="Times New Roman" w:cs="Times New Roman" w:eastAsia="Times New Roman" w:hAnsi="Times New Roman"/>
          <w:i/>
          <w:color w:val="0e101a"/>
          <w:sz w:val="24"/>
          <w:szCs w:val="24"/>
        </w:rPr>
        <w:t xml:space="preserve"> </w:t>
      </w:r>
      <w:r>
        <w:rPr>
          <w:rFonts w:ascii="Times New Roman" w:cs="Times New Roman" w:eastAsia="Times New Roman" w:hAnsi="Times New Roman"/>
          <w:i/>
          <w:color w:val="0e101a"/>
          <w:sz w:val="24"/>
          <w:szCs w:val="24"/>
        </w:rPr>
        <w:t>incertulas</w:t>
      </w:r>
      <w:r>
        <w:rPr>
          <w:rFonts w:ascii="Times New Roman" w:cs="Times New Roman" w:eastAsia="Times New Roman" w:hAnsi="Times New Roman"/>
          <w:color w:val="0e101a"/>
          <w:sz w:val="24"/>
          <w:szCs w:val="24"/>
        </w:rPr>
        <w:t xml:space="preserve"> Walker) in eastern Uttar Pradesh. </w:t>
      </w:r>
      <w:r>
        <w:rPr>
          <w:rFonts w:ascii="Times New Roman" w:cs="Times New Roman" w:eastAsia="Times New Roman" w:hAnsi="Times New Roman"/>
          <w:i/>
          <w:iCs/>
          <w:color w:val="0e101a"/>
          <w:sz w:val="24"/>
          <w:szCs w:val="24"/>
          <w:bdr w:val="none" w:sz="0" w:space="0" w:color="auto" w:frame="true"/>
        </w:rPr>
        <w:t>International Journal of Chemical Studies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6</w:t>
      </w:r>
      <w:r>
        <w:rPr>
          <w:rFonts w:ascii="Times New Roman" w:cs="Times New Roman" w:eastAsia="Times New Roman" w:hAnsi="Times New Roman"/>
          <w:color w:val="0e101a"/>
          <w:sz w:val="24"/>
          <w:szCs w:val="24"/>
        </w:rPr>
        <w:t>, 815–827.</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 xml:space="preserve">Rani, S. T., &amp; Pillai, R. (2012). Seasonal and varietal influence on pest and disease incidence in rice. </w:t>
      </w:r>
      <w:r>
        <w:rPr>
          <w:rFonts w:ascii="Times New Roman" w:cs="Times New Roman" w:eastAsia="Times New Roman" w:hAnsi="Times New Roman"/>
          <w:i/>
          <w:iCs/>
          <w:color w:val="0e101a"/>
          <w:sz w:val="24"/>
          <w:szCs w:val="24"/>
        </w:rPr>
        <w:t>Plant Archives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12</w:t>
      </w:r>
      <w:r>
        <w:rPr>
          <w:rFonts w:ascii="Times New Roman" w:cs="Times New Roman" w:eastAsia="Times New Roman" w:hAnsi="Times New Roman"/>
          <w:color w:val="0e101a"/>
          <w:sz w:val="24"/>
          <w:szCs w:val="24"/>
        </w:rPr>
        <w:t>, 201–204.</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 xml:space="preserve">Schneider, P., &amp; Asch, F. (2020). Rice production and food security in Asian Mega deltas—A review on characteristics, vulnerabilities and agricultural adaptation options to cope with climate change. </w:t>
      </w:r>
      <w:r>
        <w:rPr>
          <w:rFonts w:ascii="Times New Roman" w:cs="Times New Roman" w:eastAsia="Times New Roman" w:hAnsi="Times New Roman"/>
          <w:i/>
          <w:iCs/>
          <w:color w:val="0e101a"/>
          <w:sz w:val="24"/>
          <w:szCs w:val="24"/>
        </w:rPr>
        <w:t>Journal of Agronomy and Crop Science</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206</w:t>
      </w:r>
      <w:r>
        <w:rPr>
          <w:rFonts w:ascii="Times New Roman" w:cs="Times New Roman" w:eastAsia="Times New Roman" w:hAnsi="Times New Roman"/>
          <w:color w:val="0e101a"/>
          <w:sz w:val="24"/>
          <w:szCs w:val="24"/>
        </w:rPr>
        <w:t xml:space="preserve">(4), 491–503. </w:t>
      </w:r>
      <w:r>
        <w:rPr/>
        <w:fldChar w:fldCharType="begin"/>
      </w:r>
      <w:r>
        <w:instrText xml:space="preserve"> HYPERLINK "https://doi.org/10.1111/jac.12415" \t "_blank" </w:instrText>
      </w:r>
      <w:r>
        <w:rPr/>
        <w:fldChar w:fldCharType="separate"/>
      </w:r>
      <w:r>
        <w:rPr>
          <w:rFonts w:ascii="Times New Roman" w:cs="Times New Roman" w:eastAsia="Times New Roman" w:hAnsi="Times New Roman"/>
          <w:color w:val="0000ff"/>
          <w:sz w:val="24"/>
          <w:szCs w:val="24"/>
          <w:u w:val="single"/>
        </w:rPr>
        <w:t>https://doi.org/10.1111/jac.12415</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 xml:space="preserve">Shamim, M., Sheikh, A. M., Patel, V. J., </w:t>
      </w:r>
      <w:r>
        <w:rPr>
          <w:rFonts w:ascii="Times New Roman" w:cs="Times New Roman" w:eastAsia="Times New Roman" w:hAnsi="Times New Roman"/>
          <w:color w:val="0e101a"/>
          <w:sz w:val="24"/>
          <w:szCs w:val="24"/>
        </w:rPr>
        <w:t>Dodia</w:t>
      </w:r>
      <w:r>
        <w:rPr>
          <w:rFonts w:ascii="Times New Roman" w:cs="Times New Roman" w:eastAsia="Times New Roman" w:hAnsi="Times New Roman"/>
          <w:color w:val="0e101a"/>
          <w:sz w:val="24"/>
          <w:szCs w:val="24"/>
        </w:rPr>
        <w:t xml:space="preserve">, J. F., Korat, D. M., &amp; Mehta, A. M. (2009). Effect of weather parameters on population dynamics of green leaf hopper and white backed plant </w:t>
      </w:r>
      <w:r>
        <w:rPr>
          <w:rFonts w:ascii="Times New Roman" w:cs="Times New Roman" w:eastAsia="Times New Roman" w:hAnsi="Times New Roman"/>
          <w:color w:val="0e101a"/>
          <w:sz w:val="24"/>
          <w:szCs w:val="24"/>
        </w:rPr>
        <w:t xml:space="preserve">hopper in paddy grown in middle Gujarat region. </w:t>
      </w:r>
      <w:r>
        <w:rPr>
          <w:rFonts w:ascii="Times New Roman" w:cs="Times New Roman" w:eastAsia="Times New Roman" w:hAnsi="Times New Roman"/>
          <w:i/>
          <w:iCs/>
          <w:color w:val="0e101a"/>
          <w:sz w:val="24"/>
          <w:szCs w:val="24"/>
        </w:rPr>
        <w:t>Journal of Agrometeorology</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11</w:t>
      </w:r>
      <w:r>
        <w:rPr>
          <w:rFonts w:ascii="Times New Roman" w:cs="Times New Roman" w:eastAsia="Times New Roman" w:hAnsi="Times New Roman"/>
          <w:color w:val="0e101a"/>
          <w:sz w:val="24"/>
          <w:szCs w:val="24"/>
        </w:rPr>
        <w:t xml:space="preserve">(2), 172–174. </w:t>
      </w:r>
      <w:r>
        <w:rPr/>
        <w:fldChar w:fldCharType="begin"/>
      </w:r>
      <w:r>
        <w:instrText xml:space="preserve"> HYPERLINK "https://doi.org/10.54386/jam.v11i2.1247" \t "_blank" </w:instrText>
      </w:r>
      <w:r>
        <w:rPr/>
        <w:fldChar w:fldCharType="separate"/>
      </w:r>
      <w:r>
        <w:rPr>
          <w:rFonts w:ascii="Times New Roman" w:cs="Times New Roman" w:eastAsia="Times New Roman" w:hAnsi="Times New Roman"/>
          <w:color w:val="0000ff"/>
          <w:sz w:val="24"/>
          <w:szCs w:val="24"/>
          <w:u w:val="single"/>
        </w:rPr>
        <w:t>https://doi.org/10.54386/jam.v11i2.1247</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 xml:space="preserve">Singh, S., &amp; Singh, B. K. (2017). Survey and fortnightly observation to find out major insect pests of rice crop (Oryza sativa) in Patna district of Bihar. </w:t>
      </w:r>
      <w:r>
        <w:rPr>
          <w:rFonts w:ascii="Times New Roman" w:cs="Times New Roman" w:eastAsia="Times New Roman" w:hAnsi="Times New Roman"/>
          <w:i/>
          <w:iCs/>
          <w:color w:val="0e101a"/>
          <w:sz w:val="24"/>
          <w:szCs w:val="24"/>
        </w:rPr>
        <w:t>Journal of Entomology and Zoology Studies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5</w:t>
      </w:r>
      <w:r>
        <w:rPr>
          <w:rFonts w:ascii="Times New Roman" w:cs="Times New Roman" w:eastAsia="Times New Roman" w:hAnsi="Times New Roman"/>
          <w:color w:val="0e101a"/>
          <w:sz w:val="24"/>
          <w:szCs w:val="24"/>
        </w:rPr>
        <w:t>(1), 766–769.</w:t>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Suharto, H., &amp;</w:t>
      </w:r>
      <w:r>
        <w:rPr>
          <w:rFonts w:ascii="Times New Roman" w:cs="Times New Roman" w:eastAsia="Times New Roman" w:hAnsi="Times New Roman"/>
          <w:color w:val="0e101a"/>
          <w:sz w:val="24"/>
          <w:szCs w:val="24"/>
        </w:rPr>
        <w:t>Usyati</w:t>
      </w:r>
      <w:r>
        <w:rPr>
          <w:rFonts w:ascii="Times New Roman" w:cs="Times New Roman" w:eastAsia="Times New Roman" w:hAnsi="Times New Roman"/>
          <w:color w:val="0e101a"/>
          <w:sz w:val="24"/>
          <w:szCs w:val="24"/>
        </w:rPr>
        <w:t xml:space="preserve">, N. (2005). The stem borer infestation on rice cultivars at three planting times. </w:t>
      </w:r>
      <w:r>
        <w:rPr>
          <w:rFonts w:ascii="Times New Roman" w:cs="Times New Roman" w:eastAsia="Times New Roman" w:hAnsi="Times New Roman"/>
          <w:i/>
          <w:iCs/>
          <w:color w:val="0e101a"/>
          <w:sz w:val="24"/>
          <w:szCs w:val="24"/>
        </w:rPr>
        <w:t>Indonesian Journal of Agricultural Science</w:t>
      </w:r>
      <w:r>
        <w:rPr>
          <w:rFonts w:ascii="Times New Roman" w:cs="Times New Roman" w:eastAsia="Times New Roman" w:hAnsi="Times New Roman"/>
          <w:color w:val="0e101a"/>
          <w:sz w:val="24"/>
          <w:szCs w:val="24"/>
        </w:rPr>
        <w:t xml:space="preserve">, 6(2). </w:t>
      </w:r>
      <w:r>
        <w:rPr/>
        <w:fldChar w:fldCharType="begin"/>
      </w:r>
      <w:r>
        <w:instrText xml:space="preserve"> HYPERLINK "https://doi.org/10.21082/ijas.v6n2.2005.p39-45" \t "_blank" </w:instrText>
      </w:r>
      <w:r>
        <w:rPr/>
        <w:fldChar w:fldCharType="separate"/>
      </w:r>
      <w:r>
        <w:rPr>
          <w:rFonts w:ascii="Times New Roman" w:cs="Times New Roman" w:eastAsia="Times New Roman" w:hAnsi="Times New Roman"/>
          <w:color w:val="0000ff"/>
          <w:sz w:val="24"/>
          <w:szCs w:val="24"/>
          <w:u w:val="single"/>
        </w:rPr>
        <w:t>https://doi.org/10.21082/ijas.v6n2.2005.p39-45</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pPr>
      <w:r>
        <w:rPr>
          <w:rFonts w:ascii="Times New Roman" w:cs="Times New Roman" w:eastAsia="Times New Roman" w:hAnsi="Times New Roman"/>
          <w:color w:val="0e101a"/>
          <w:sz w:val="24"/>
          <w:szCs w:val="24"/>
        </w:rPr>
        <w:t>Tetarwal</w:t>
      </w:r>
      <w:r>
        <w:rPr>
          <w:rFonts w:ascii="Times New Roman" w:cs="Times New Roman" w:eastAsia="Times New Roman" w:hAnsi="Times New Roman"/>
          <w:color w:val="0e101a"/>
          <w:sz w:val="24"/>
          <w:szCs w:val="24"/>
        </w:rPr>
        <w:t xml:space="preserve">, A. S., Ram, L., Singh, R., &amp; Jat, M. K. (2014). </w:t>
      </w:r>
      <w:r>
        <w:rPr>
          <w:rFonts w:ascii="Times New Roman" w:cs="Times New Roman" w:eastAsia="Times New Roman" w:hAnsi="Times New Roman"/>
          <w:color w:val="0e101a"/>
          <w:sz w:val="24"/>
          <w:szCs w:val="24"/>
          <w:bdr w:val="none" w:sz="0" w:space="0" w:color="auto" w:frame="true"/>
        </w:rPr>
        <w:t xml:space="preserve">Effect of variety and planting date of rice on population of natural enemies of brown plant hopper, </w:t>
      </w:r>
      <w:r>
        <w:rPr>
          <w:rFonts w:ascii="Times New Roman" w:cs="Times New Roman" w:eastAsia="Times New Roman" w:hAnsi="Times New Roman"/>
          <w:i/>
          <w:iCs/>
          <w:color w:val="0e101a"/>
          <w:sz w:val="24"/>
          <w:szCs w:val="24"/>
          <w:bdr w:val="none" w:sz="0" w:space="0" w:color="auto" w:frame="true"/>
        </w:rPr>
        <w:t>Nilaparvata</w:t>
      </w:r>
      <w:r>
        <w:rPr>
          <w:rFonts w:ascii="Times New Roman" w:cs="Times New Roman" w:eastAsia="Times New Roman" w:hAnsi="Times New Roman"/>
          <w:i/>
          <w:iCs/>
          <w:color w:val="0e101a"/>
          <w:sz w:val="24"/>
          <w:szCs w:val="24"/>
          <w:bdr w:val="none" w:sz="0" w:space="0" w:color="auto" w:frame="true"/>
        </w:rPr>
        <w:t xml:space="preserve"> </w:t>
      </w:r>
      <w:r>
        <w:rPr>
          <w:rFonts w:ascii="Times New Roman" w:cs="Times New Roman" w:eastAsia="Times New Roman" w:hAnsi="Times New Roman"/>
          <w:i/>
          <w:iCs/>
          <w:color w:val="0e101a"/>
          <w:sz w:val="24"/>
          <w:szCs w:val="24"/>
          <w:bdr w:val="none" w:sz="0" w:space="0" w:color="auto" w:frame="true"/>
        </w:rPr>
        <w:t>lugens</w:t>
      </w:r>
      <w:r>
        <w:rPr>
          <w:rFonts w:ascii="Times New Roman" w:cs="Times New Roman" w:eastAsia="Times New Roman" w:hAnsi="Times New Roman"/>
          <w:color w:val="0e101a"/>
          <w:sz w:val="24"/>
          <w:szCs w:val="24"/>
          <w:bdr w:val="none" w:sz="0" w:space="0" w:color="auto" w:frame="true"/>
        </w:rPr>
        <w:t xml:space="preserve"> (</w:t>
      </w:r>
      <w:r>
        <w:rPr>
          <w:rFonts w:ascii="Times New Roman" w:cs="Times New Roman" w:eastAsia="Times New Roman" w:hAnsi="Times New Roman"/>
          <w:color w:val="0e101a"/>
          <w:sz w:val="24"/>
          <w:szCs w:val="24"/>
          <w:bdr w:val="none" w:sz="0" w:space="0" w:color="auto" w:frame="true"/>
        </w:rPr>
        <w:t>Stal</w:t>
      </w:r>
      <w:r>
        <w:rPr>
          <w:rFonts w:ascii="Times New Roman" w:cs="Times New Roman" w:eastAsia="Times New Roman" w:hAnsi="Times New Roman"/>
          <w:color w:val="0e101a"/>
          <w:sz w:val="24"/>
          <w:szCs w:val="24"/>
          <w:bdr w:val="none" w:sz="0" w:space="0" w:color="auto" w:frame="true"/>
        </w:rPr>
        <w:t>)</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
          <w:iCs/>
          <w:color w:val="0e101a"/>
          <w:sz w:val="24"/>
          <w:szCs w:val="24"/>
        </w:rPr>
        <w:t>Journal of Applied and Natural Science</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
          <w:iCs/>
          <w:color w:val="0e101a"/>
          <w:sz w:val="24"/>
          <w:szCs w:val="24"/>
        </w:rPr>
        <w:t>6</w:t>
      </w:r>
      <w:r>
        <w:rPr>
          <w:rFonts w:ascii="Times New Roman" w:cs="Times New Roman" w:eastAsia="Times New Roman" w:hAnsi="Times New Roman"/>
          <w:i/>
          <w:color w:val="0e101a"/>
          <w:sz w:val="24"/>
          <w:szCs w:val="24"/>
        </w:rPr>
        <w:t>(</w:t>
      </w:r>
      <w:r>
        <w:rPr>
          <w:rFonts w:ascii="Times New Roman" w:cs="Times New Roman" w:eastAsia="Times New Roman" w:hAnsi="Times New Roman"/>
          <w:color w:val="0e101a"/>
          <w:sz w:val="24"/>
          <w:szCs w:val="24"/>
        </w:rPr>
        <w:t xml:space="preserve">2), 409–415. </w:t>
      </w:r>
      <w:r>
        <w:rPr/>
        <w:fldChar w:fldCharType="begin"/>
      </w:r>
      <w:r>
        <w:instrText xml:space="preserve"> HYPERLINK "https://doi.org/10.31018/jans.v6i2.436" \t "_blank" </w:instrText>
      </w:r>
      <w:r>
        <w:rPr/>
        <w:fldChar w:fldCharType="separate"/>
      </w:r>
      <w:r>
        <w:rPr>
          <w:rFonts w:ascii="Times New Roman" w:cs="Times New Roman" w:eastAsia="Times New Roman" w:hAnsi="Times New Roman"/>
          <w:color w:val="0000ff"/>
          <w:sz w:val="24"/>
          <w:szCs w:val="24"/>
          <w:u w:val="single"/>
        </w:rPr>
        <w:t>https://doi.org/10.31018/jans.v6i2.436</w:t>
      </w:r>
      <w:r>
        <w:rPr/>
        <w:fldChar w:fldCharType="end"/>
      </w:r>
    </w:p>
    <w:p>
      <w:pPr>
        <w:pStyle w:val="style0"/>
        <w:spacing w:after="0" w:lineRule="auto" w:line="240"/>
        <w:ind w:hanging="480"/>
        <w:jc w:val="both"/>
        <w:rPr>
          <w:rFonts w:ascii="Times New Roman" w:cs="Times New Roman" w:eastAsia="Times New Roman" w:hAnsi="Times New Roman"/>
          <w:color w:val="0e101a"/>
          <w:sz w:val="24"/>
          <w:szCs w:val="24"/>
        </w:rPr>
      </w:pPr>
    </w:p>
    <w:p>
      <w:pPr>
        <w:pStyle w:val="style0"/>
        <w:spacing w:after="0" w:lineRule="auto" w:line="240"/>
        <w:ind w:hanging="480"/>
        <w:jc w:val="both"/>
        <w:rPr>
          <w:rFonts w:ascii="Times New Roman" w:cs="Times New Roman" w:eastAsia="Times New Roman" w:hAnsi="Times New Roman"/>
          <w:color w:val="0e101a"/>
          <w:sz w:val="24"/>
          <w:szCs w:val="24"/>
        </w:rPr>
      </w:pPr>
      <w:r>
        <w:rPr>
          <w:rFonts w:ascii="Times New Roman" w:cs="Times New Roman" w:eastAsia="Times New Roman" w:hAnsi="Times New Roman"/>
          <w:color w:val="0e101a"/>
          <w:sz w:val="24"/>
          <w:szCs w:val="24"/>
        </w:rPr>
        <w:t>Uyeh</w:t>
      </w:r>
      <w:r>
        <w:rPr>
          <w:rFonts w:ascii="Times New Roman" w:cs="Times New Roman" w:eastAsia="Times New Roman" w:hAnsi="Times New Roman"/>
          <w:color w:val="0e101a"/>
          <w:sz w:val="24"/>
          <w:szCs w:val="24"/>
        </w:rPr>
        <w:t xml:space="preserve">, D. D., </w:t>
      </w:r>
      <w:r>
        <w:rPr>
          <w:rFonts w:ascii="Times New Roman" w:cs="Times New Roman" w:eastAsia="Times New Roman" w:hAnsi="Times New Roman"/>
          <w:color w:val="0e101a"/>
          <w:sz w:val="24"/>
          <w:szCs w:val="24"/>
        </w:rPr>
        <w:t>Asem-</w:t>
      </w:r>
      <w:r>
        <w:rPr>
          <w:rFonts w:ascii="Times New Roman" w:cs="Times New Roman" w:eastAsia="Times New Roman" w:hAnsi="Times New Roman"/>
          <w:color w:val="0e101a"/>
          <w:sz w:val="24"/>
          <w:szCs w:val="24"/>
          <w:bdr w:val="none" w:sz="0" w:space="0" w:color="auto" w:frame="true"/>
        </w:rPr>
        <w:t>Hiablie</w:t>
      </w:r>
      <w:r>
        <w:rPr>
          <w:rFonts w:ascii="Times New Roman" w:cs="Times New Roman" w:eastAsia="Times New Roman" w:hAnsi="Times New Roman"/>
          <w:color w:val="0e101a"/>
          <w:sz w:val="24"/>
          <w:szCs w:val="24"/>
        </w:rPr>
        <w:t xml:space="preserve">, S., Park, T., Kim, K., Mikhaylov, A., Woo, S., &amp; Ha, Y. (2021). Could japonica rice be an alternative variety for increased global food security and climate change mitigation? </w:t>
      </w:r>
      <w:r>
        <w:rPr>
          <w:rFonts w:ascii="Times New Roman" w:cs="Times New Roman" w:eastAsia="Times New Roman" w:hAnsi="Times New Roman"/>
          <w:i/>
          <w:iCs/>
          <w:color w:val="0e101a"/>
          <w:sz w:val="24"/>
          <w:szCs w:val="24"/>
        </w:rPr>
        <w:t>Foods</w:t>
      </w:r>
      <w:r>
        <w:rPr>
          <w:rFonts w:ascii="Times New Roman" w:cs="Times New Roman" w:eastAsia="Times New Roman" w:hAnsi="Times New Roman"/>
          <w:color w:val="0e101a"/>
          <w:sz w:val="24"/>
          <w:szCs w:val="24"/>
        </w:rPr>
        <w:t xml:space="preserve">, </w:t>
      </w:r>
      <w:r>
        <w:rPr>
          <w:rFonts w:ascii="Times New Roman" w:cs="Times New Roman" w:eastAsia="Times New Roman" w:hAnsi="Times New Roman"/>
          <w:iCs/>
          <w:color w:val="0e101a"/>
          <w:sz w:val="24"/>
          <w:szCs w:val="24"/>
        </w:rPr>
        <w:t>10</w:t>
      </w:r>
      <w:r>
        <w:rPr>
          <w:rFonts w:ascii="Times New Roman" w:cs="Times New Roman" w:eastAsia="Times New Roman" w:hAnsi="Times New Roman"/>
          <w:color w:val="0e101a"/>
          <w:sz w:val="24"/>
          <w:szCs w:val="24"/>
        </w:rPr>
        <w:t xml:space="preserve">(8), 1869. </w:t>
      </w:r>
      <w:r>
        <w:rPr/>
        <w:fldChar w:fldCharType="begin"/>
      </w:r>
      <w:r>
        <w:instrText xml:space="preserve"> HYPERLINK "https://doi.org/10.3390/foods10081869" \t "_blank" </w:instrText>
      </w:r>
      <w:r>
        <w:rPr/>
        <w:fldChar w:fldCharType="separate"/>
      </w:r>
      <w:r>
        <w:rPr>
          <w:rFonts w:ascii="Times New Roman" w:cs="Times New Roman" w:eastAsia="Times New Roman" w:hAnsi="Times New Roman"/>
          <w:color w:val="0000ff"/>
          <w:sz w:val="24"/>
          <w:szCs w:val="24"/>
          <w:u w:val="single"/>
        </w:rPr>
        <w:t>https://doi.org/10.3390/foods10081869</w:t>
      </w:r>
      <w:r>
        <w:rPr/>
        <w:fldChar w:fldCharType="end"/>
      </w:r>
    </w:p>
    <w:p>
      <w:pPr>
        <w:pStyle w:val="style0"/>
        <w:rPr/>
        <w:sectPr>
          <w:headerReference w:type="even" r:id="rId4"/>
          <w:headerReference w:type="default" r:id="rId5"/>
          <w:footerReference w:type="even" r:id="rId6"/>
          <w:footerReference w:type="default" r:id="rId7"/>
          <w:headerReference w:type="first" r:id="rId8"/>
          <w:pgSz w:w="11906" w:h="16838" w:orient="portrait"/>
          <w:pgMar w:top="1440" w:right="1440" w:bottom="1440" w:left="1440" w:header="708" w:footer="708" w:gutter="0"/>
          <w:cols w:space="708"/>
          <w:docGrid w:linePitch="360"/>
        </w:sectPr>
      </w:pPr>
    </w:p>
    <w:tbl>
      <w:tblPr>
        <w:tblW w:w="13595" w:type="dxa"/>
        <w:tblInd w:w="93" w:type="dxa"/>
        <w:tblLook w:val="04A0" w:firstRow="1" w:lastRow="0" w:firstColumn="1" w:lastColumn="0" w:noHBand="0" w:noVBand="1"/>
      </w:tblPr>
      <w:tblGrid>
        <w:gridCol w:w="1367"/>
        <w:gridCol w:w="1198"/>
        <w:gridCol w:w="1713"/>
        <w:gridCol w:w="1165"/>
        <w:gridCol w:w="1198"/>
        <w:gridCol w:w="1713"/>
        <w:gridCol w:w="1165"/>
        <w:gridCol w:w="1198"/>
        <w:gridCol w:w="1713"/>
        <w:gridCol w:w="1165"/>
      </w:tblGrid>
      <w:tr>
        <w:trPr>
          <w:trHeight w:val="325" w:hRule="atLeast"/>
        </w:trPr>
        <w:tc>
          <w:tcPr>
            <w:tcW w:w="13595" w:type="dxa"/>
            <w:gridSpan w:val="10"/>
            <w:tcBorders>
              <w:top w:val="nil"/>
              <w:left w:val="nil"/>
              <w:bottom w:val="single" w:sz="4" w:space="0" w:color="auto"/>
              <w:right w:val="nil"/>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Table 1: </w:t>
            </w:r>
            <w:bookmarkStart w:id="3" w:name="_Hlk134434247"/>
            <w:r>
              <w:rPr>
                <w:rFonts w:ascii="Times New Roman" w:cs="Times New Roman" w:hAnsi="Times New Roman"/>
                <w:bCs/>
                <w:sz w:val="24"/>
                <w:szCs w:val="24"/>
              </w:rPr>
              <w:t>S</w:t>
            </w:r>
            <w:r>
              <w:rPr>
                <w:rFonts w:ascii="Times New Roman" w:cs="Times New Roman" w:hAnsi="Times New Roman"/>
                <w:bCs/>
                <w:sz w:val="24"/>
                <w:szCs w:val="24"/>
              </w:rPr>
              <w:t xml:space="preserve">tem borer and leaf folder damage mean during </w:t>
            </w:r>
            <w:r>
              <w:rPr>
                <w:rFonts w:ascii="Times New Roman" w:cs="Times New Roman" w:hAnsi="Times New Roman"/>
                <w:bCs/>
                <w:i/>
                <w:sz w:val="24"/>
                <w:szCs w:val="24"/>
              </w:rPr>
              <w:t>kharif</w:t>
            </w:r>
            <w:r>
              <w:rPr>
                <w:rFonts w:ascii="Times New Roman" w:cs="Times New Roman" w:hAnsi="Times New Roman"/>
                <w:bCs/>
                <w:i/>
                <w:sz w:val="24"/>
                <w:szCs w:val="24"/>
              </w:rPr>
              <w:t xml:space="preserve"> </w:t>
            </w:r>
            <w:r>
              <w:rPr>
                <w:rFonts w:ascii="Times New Roman" w:cs="Times New Roman" w:hAnsi="Times New Roman"/>
                <w:bCs/>
                <w:sz w:val="24"/>
                <w:szCs w:val="24"/>
              </w:rPr>
              <w:t>2019 and 2020 at different date of planting</w:t>
            </w:r>
            <w:bookmarkEnd w:id="3"/>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Stem Borer</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Early planting</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Timely planting</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Late planting</w:t>
            </w:r>
          </w:p>
        </w:tc>
      </w:tr>
      <w:tr>
        <w:tblPrEx/>
        <w:trPr>
          <w:trHeight w:val="650" w:hRule="atLeast"/>
        </w:trPr>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r>
      <w:tr>
        <w:tblPrEx/>
        <w:trPr>
          <w:trHeight w:val="325" w:hRule="atLeast"/>
        </w:trPr>
        <w:tc>
          <w:tcPr>
            <w:tcW w:w="1367" w:type="dxa"/>
            <w:vMerge w:val="continue"/>
            <w:tcBorders>
              <w:top w:val="nil"/>
              <w:left w:val="single" w:sz="4" w:space="0" w:color="auto"/>
              <w:bottom w:val="single" w:sz="4" w:space="0" w:color="000000"/>
              <w:right w:val="single" w:sz="4" w:space="0" w:color="auto"/>
            </w:tcBorders>
            <w:vAlign w:val="center"/>
            <w:hideMark/>
          </w:tcPr>
          <w:p>
            <w:pPr>
              <w:pStyle w:val="style0"/>
              <w:spacing w:after="0" w:lineRule="auto" w:line="240"/>
              <w:rPr>
                <w:rFonts w:ascii="Times New Roman" w:cs="Times New Roman" w:eastAsia="Times New Roman" w:hAnsi="Times New Roman"/>
                <w:sz w:val="24"/>
                <w:szCs w:val="24"/>
              </w:rPr>
            </w:pPr>
          </w:p>
        </w:tc>
        <w:tc>
          <w:tcPr>
            <w:tcW w:w="11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71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16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c>
          <w:tcPr>
            <w:tcW w:w="11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71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16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c>
          <w:tcPr>
            <w:tcW w:w="11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71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 5 hills</w:t>
            </w:r>
          </w:p>
        </w:tc>
        <w:tc>
          <w:tcPr>
            <w:tcW w:w="116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 DAT</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84.00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8.00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9.56</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85.60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10.20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11.91</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94.40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14.50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15.36</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50 DAT</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86.80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11.70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13.50</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86.20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15.20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17.64</w:t>
            </w:r>
          </w:p>
        </w:tc>
        <w:tc>
          <w:tcPr>
            <w:tcW w:w="119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87.20</w:t>
            </w:r>
          </w:p>
        </w:tc>
        <w:tc>
          <w:tcPr>
            <w:tcW w:w="1713"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20.90</w:t>
            </w:r>
          </w:p>
        </w:tc>
        <w:tc>
          <w:tcPr>
            <w:tcW w:w="1165"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24.02</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 DAT</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78.70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14.11</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77.10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13.50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17.55</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88.20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22.80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25.87</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Mean </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83.17</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10.27</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12.39</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82.97</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12.97</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15.70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89.93</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19.40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21.75</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 value</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98.70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17.80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98.70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18.90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19.50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13.70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29.70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35.80</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LSD</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2.60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Leaf folder</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Early planting</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Timely planting</w:t>
            </w:r>
          </w:p>
        </w:tc>
        <w:tc>
          <w:tcPr>
            <w:tcW w:w="4076"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Late planting</w:t>
            </w:r>
          </w:p>
        </w:tc>
      </w:tr>
      <w:tr>
        <w:tblPrEx/>
        <w:trPr>
          <w:trHeight w:val="1082" w:hRule="atLeast"/>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leaves/5hills</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leaves/5hills</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c>
          <w:tcPr>
            <w:tcW w:w="119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71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leaves/5hills</w:t>
            </w:r>
          </w:p>
        </w:tc>
        <w:tc>
          <w:tcPr>
            <w:tcW w:w="1165"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 DAT</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329.20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22.20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6.76</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327.50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9.80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340.80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43.10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12.69</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50 DAT</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330.90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27.20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8.22</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331.30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40.10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12.10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330.30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50.00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15.12</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Mean </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330.05</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24.70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7.49</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329.40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36.10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10.95</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335.55</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46.55</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13.91</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 value</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379.60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34.80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394.30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67.50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54.30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378.80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67.40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19.80</w:t>
            </w:r>
          </w:p>
        </w:tc>
      </w:tr>
      <w:tr>
        <w:tblPrEx/>
        <w:trPr>
          <w:trHeight w:val="325" w:hRule="atLeast"/>
        </w:trPr>
        <w:tc>
          <w:tcPr>
            <w:tcW w:w="1367"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LSD</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w:t>
            </w:r>
          </w:p>
        </w:tc>
        <w:tc>
          <w:tcPr>
            <w:tcW w:w="11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2.90</w:t>
            </w:r>
          </w:p>
        </w:tc>
        <w:tc>
          <w:tcPr>
            <w:tcW w:w="171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3.10</w:t>
            </w:r>
          </w:p>
        </w:tc>
        <w:tc>
          <w:tcPr>
            <w:tcW w:w="116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w:t>
            </w:r>
          </w:p>
        </w:tc>
      </w:tr>
    </w:tbl>
    <w:p>
      <w:pPr>
        <w:pStyle w:val="style0"/>
        <w:rPr/>
      </w:pPr>
    </w:p>
    <w:p>
      <w:pPr>
        <w:pStyle w:val="style0"/>
        <w:rPr/>
      </w:pPr>
    </w:p>
    <w:p>
      <w:pPr>
        <w:pStyle w:val="style0"/>
        <w:rPr/>
      </w:pPr>
    </w:p>
    <w:p>
      <w:pPr>
        <w:pStyle w:val="style0"/>
        <w:rPr/>
      </w:pPr>
      <w:r>
        <w:br w:type="page"/>
      </w:r>
    </w:p>
    <w:p>
      <w:pPr>
        <w:pStyle w:val="style0"/>
        <w:rPr/>
      </w:pPr>
      <w:r>
        <w:rPr>
          <w:noProof/>
        </w:rPr>
        <w:drawing>
          <wp:anchor distT="0" distB="0" distL="114300" distR="114300" simplePos="false" relativeHeight="3" behindDoc="true" locked="false" layoutInCell="true" allowOverlap="true">
            <wp:simplePos x="0" y="0"/>
            <wp:positionH relativeFrom="margin">
              <wp:align>left</wp:align>
            </wp:positionH>
            <wp:positionV relativeFrom="paragraph">
              <wp:posOffset>0</wp:posOffset>
            </wp:positionV>
            <wp:extent cx="6035040" cy="3043555"/>
            <wp:effectExtent l="0" t="0" r="3810" b="4445"/>
            <wp:wrapTight wrapText="bothSides">
              <wp:wrapPolygon edited="false">
                <wp:start x="0" y="0"/>
                <wp:lineTo x="0" y="21496"/>
                <wp:lineTo x="21545" y="21496"/>
                <wp:lineTo x="21545" y="0"/>
                <wp:lineTo x="0"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l="0" t="0" r="0" b="0"/>
                    <a:stretch/>
                  </pic:blipFill>
                  <pic:spPr>
                    <a:xfrm rot="0">
                      <a:off x="0" y="0"/>
                      <a:ext cx="6035040" cy="3043555"/>
                    </a:xfrm>
                    <a:prstGeom prst="rect"/>
                  </pic:spPr>
                </pic:pic>
              </a:graphicData>
            </a:graphic>
          </wp:anchor>
        </w:drawing>
      </w:r>
      <w:r>
        <w:rPr>
          <w:noProof/>
        </w:rPr>
        <w:drawing>
          <wp:inline distL="0" distT="0" distB="0" distR="0">
            <wp:extent cx="5974080" cy="3223260"/>
            <wp:effectExtent l="0" t="0" r="7620" b="0"/>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0" cstate="print"/>
                    <a:srcRect l="0" t="0" r="0" b="0"/>
                    <a:stretch/>
                  </pic:blipFill>
                  <pic:spPr>
                    <a:xfrm rot="0">
                      <a:off x="0" y="0"/>
                      <a:ext cx="5974080" cy="3223260"/>
                    </a:xfrm>
                    <a:prstGeom prst="rect"/>
                  </pic:spPr>
                </pic:pic>
              </a:graphicData>
            </a:graphic>
          </wp:inline>
        </w:drawing>
      </w:r>
    </w:p>
    <w:p>
      <w:pPr>
        <w:pStyle w:val="style0"/>
        <w:rPr/>
      </w:pPr>
    </w:p>
    <w:p>
      <w:pPr>
        <w:pStyle w:val="style0"/>
        <w:rPr/>
      </w:pPr>
    </w:p>
    <w:p>
      <w:pPr>
        <w:pStyle w:val="style0"/>
        <w:rPr/>
      </w:pPr>
    </w:p>
    <w:p>
      <w:pPr>
        <w:pStyle w:val="style0"/>
        <w:rPr/>
      </w:pPr>
    </w:p>
    <w:p>
      <w:pPr>
        <w:pStyle w:val="style0"/>
        <w:jc w:val="both"/>
        <w:rPr>
          <w:rFonts w:ascii="Times New Roman" w:cs="Times New Roman" w:hAnsi="Times New Roman"/>
          <w:sz w:val="24"/>
          <w:szCs w:val="24"/>
        </w:rPr>
      </w:pPr>
      <w:r>
        <w:rPr>
          <w:rFonts w:ascii="Times New Roman" w:cs="Times New Roman" w:hAnsi="Times New Roman"/>
          <w:b/>
          <w:bCs/>
          <w:sz w:val="24"/>
          <w:szCs w:val="24"/>
        </w:rPr>
        <w:t>Figure 1:</w:t>
      </w:r>
      <w:r>
        <w:rPr>
          <w:rFonts w:ascii="Times New Roman" w:cs="Times New Roman" w:hAnsi="Times New Roman"/>
          <w:sz w:val="24"/>
          <w:szCs w:val="24"/>
        </w:rPr>
        <w:t xml:space="preserve"> Representing Stem borer and leaf folder damage mean during kharif 2019 and 2020 at different date of planting. The results showing that late planting cause more damage in case of stem borer as well as leaf folder</w:t>
      </w:r>
      <w:r>
        <w:rPr>
          <w:rFonts w:ascii="Times New Roman" w:cs="Times New Roman" w:hAnsi="Times New Roman"/>
          <w:sz w:val="24"/>
          <w:szCs w:val="24"/>
        </w:rPr>
        <w:br w:type="page"/>
      </w:r>
    </w:p>
    <w:tbl>
      <w:tblPr>
        <w:tblpPr w:leftFromText="180" w:rightFromText="180" w:topFromText="0" w:bottomFromText="0" w:horzAnchor="margin" w:tblpXSpec="left" w:tblpY="-480"/>
        <w:tblW w:w="13660" w:type="dxa"/>
        <w:tblLook w:val="04A0" w:firstRow="1" w:lastRow="0" w:firstColumn="1" w:lastColumn="0" w:noHBand="0" w:noVBand="1"/>
      </w:tblPr>
      <w:tblGrid>
        <w:gridCol w:w="1736"/>
        <w:gridCol w:w="1231"/>
        <w:gridCol w:w="1582"/>
        <w:gridCol w:w="1268"/>
        <w:gridCol w:w="1171"/>
        <w:gridCol w:w="1582"/>
        <w:gridCol w:w="1267"/>
        <w:gridCol w:w="1237"/>
        <w:gridCol w:w="1319"/>
        <w:gridCol w:w="1267"/>
      </w:tblGrid>
      <w:tr>
        <w:trPr>
          <w:trHeight w:val="320" w:hRule="atLeast"/>
        </w:trPr>
        <w:tc>
          <w:tcPr>
            <w:tcW w:w="13660" w:type="dxa"/>
            <w:gridSpan w:val="10"/>
            <w:tcBorders>
              <w:top w:val="nil"/>
              <w:left w:val="nil"/>
              <w:bottom w:val="single" w:sz="4" w:space="0" w:color="auto"/>
              <w:right w:val="nil"/>
            </w:tcBorders>
            <w:shd w:val="clear" w:color="auto" w:fill="auto"/>
            <w:noWrap/>
            <w:vAlign w:val="bottom"/>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Table 2: </w:t>
            </w:r>
            <w:r>
              <w:rPr>
                <w:rFonts w:ascii="Times New Roman" w:cs="Times New Roman" w:hAnsi="Times New Roman"/>
                <w:bCs/>
                <w:sz w:val="24"/>
                <w:szCs w:val="24"/>
              </w:rPr>
              <w:t>S</w:t>
            </w:r>
            <w:r>
              <w:rPr>
                <w:rFonts w:ascii="Times New Roman" w:cs="Times New Roman" w:hAnsi="Times New Roman"/>
                <w:bCs/>
                <w:sz w:val="24"/>
                <w:szCs w:val="24"/>
              </w:rPr>
              <w:t xml:space="preserve">tem borer and leaf folder damage mean during </w:t>
            </w:r>
            <w:r>
              <w:rPr>
                <w:rFonts w:ascii="Times New Roman" w:cs="Times New Roman" w:hAnsi="Times New Roman"/>
                <w:bCs/>
                <w:i/>
                <w:sz w:val="24"/>
                <w:szCs w:val="24"/>
              </w:rPr>
              <w:t>kharif</w:t>
            </w:r>
            <w:r>
              <w:rPr>
                <w:rFonts w:ascii="Times New Roman" w:cs="Times New Roman" w:hAnsi="Times New Roman"/>
                <w:bCs/>
                <w:sz w:val="24"/>
                <w:szCs w:val="24"/>
              </w:rPr>
              <w:t>2019 and 2020 at different planting</w:t>
            </w:r>
            <w:r>
              <w:rPr>
                <w:rFonts w:ascii="Times New Roman" w:cs="Times New Roman" w:hAnsi="Times New Roman"/>
                <w:bCs/>
                <w:sz w:val="24"/>
                <w:szCs w:val="24"/>
              </w:rPr>
              <w:t xml:space="preserve"> methods</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Stem Borer</w:t>
            </w:r>
          </w:p>
        </w:tc>
        <w:tc>
          <w:tcPr>
            <w:tcW w:w="4081"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Puddled Direct Seedling</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Direct Seeding</w:t>
            </w:r>
          </w:p>
        </w:tc>
        <w:tc>
          <w:tcPr>
            <w:tcW w:w="3823" w:type="dxa"/>
            <w:gridSpan w:val="3"/>
            <w:tcBorders>
              <w:top w:val="single" w:sz="4" w:space="0" w:color="auto"/>
              <w:left w:val="nil"/>
              <w:bottom w:val="single" w:sz="4" w:space="0" w:color="auto"/>
              <w:right w:val="single" w:sz="4" w:space="0" w:color="000000"/>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Normal Transplanting</w:t>
            </w:r>
          </w:p>
        </w:tc>
      </w:tr>
      <w:tr>
        <w:tblPrEx/>
        <w:trPr>
          <w:trHeight w:val="640" w:hRule="atLeast"/>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w:t>
            </w:r>
          </w:p>
        </w:tc>
        <w:tc>
          <w:tcPr>
            <w:tcW w:w="12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26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c>
          <w:tcPr>
            <w:tcW w:w="117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c>
          <w:tcPr>
            <w:tcW w:w="123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Tiller</w:t>
            </w:r>
          </w:p>
        </w:tc>
        <w:tc>
          <w:tcPr>
            <w:tcW w:w="1319"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DH/WE</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Tiller damage</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 DAT</w:t>
            </w:r>
          </w:p>
        </w:tc>
        <w:tc>
          <w:tcPr>
            <w:tcW w:w="12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17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3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2.50</w:t>
            </w:r>
          </w:p>
        </w:tc>
        <w:tc>
          <w:tcPr>
            <w:tcW w:w="1319"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19.17</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8.57</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11.50</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45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8.75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1.25</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14.82</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14.66</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17.25</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3.57</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60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13.21</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11.00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1.25</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11.99</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16.25</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6.30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75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11.50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16.37</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13.00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12.44</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16.75</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9.86</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20.20</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1.25</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13.43</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16.75</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6.28</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 DAT</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18.95</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10.25</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21.32</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16.00</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0.75</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4.80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Mean</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8.54</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1.32</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14.67</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8.82</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1.14</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11.77</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13.86</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0.68</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4.40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 value</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34.70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2.30</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37.90</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6.50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37.40</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27.60</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14.80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13.70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LSD</w:t>
            </w:r>
          </w:p>
        </w:tc>
        <w:tc>
          <w:tcPr>
            <w:tcW w:w="123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3.20</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1.10</w:t>
            </w:r>
          </w:p>
        </w:tc>
        <w:tc>
          <w:tcPr>
            <w:tcW w:w="126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2.90</w:t>
            </w:r>
          </w:p>
        </w:tc>
        <w:tc>
          <w:tcPr>
            <w:tcW w:w="11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1.89</w:t>
            </w:r>
          </w:p>
        </w:tc>
        <w:tc>
          <w:tcPr>
            <w:tcW w:w="158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0.70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c>
          <w:tcPr>
            <w:tcW w:w="1319"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0.70</w:t>
            </w:r>
          </w:p>
        </w:tc>
        <w:tc>
          <w:tcPr>
            <w:tcW w:w="1267"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Leaf Folder</w:t>
            </w:r>
          </w:p>
        </w:tc>
        <w:tc>
          <w:tcPr>
            <w:tcW w:w="4081"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Puddled Direct Seedling</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Direct Seeding</w:t>
            </w:r>
          </w:p>
        </w:tc>
        <w:tc>
          <w:tcPr>
            <w:tcW w:w="3823" w:type="dxa"/>
            <w:gridSpan w:val="3"/>
            <w:tcBorders>
              <w:top w:val="single" w:sz="4" w:space="0" w:color="auto"/>
              <w:left w:val="nil"/>
              <w:bottom w:val="single" w:sz="4" w:space="0" w:color="auto"/>
              <w:right w:val="single" w:sz="4" w:space="0" w:color="000000"/>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Normal Transplanting</w:t>
            </w:r>
          </w:p>
        </w:tc>
      </w:tr>
      <w:tr>
        <w:tblPrEx/>
        <w:trPr>
          <w:trHeight w:val="585" w:hRule="atLeast"/>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w:t>
            </w:r>
          </w:p>
        </w:tc>
        <w:tc>
          <w:tcPr>
            <w:tcW w:w="12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leaves/hill</w:t>
            </w:r>
          </w:p>
        </w:tc>
        <w:tc>
          <w:tcPr>
            <w:tcW w:w="1268"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c>
          <w:tcPr>
            <w:tcW w:w="117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582"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leaves/hill</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c>
          <w:tcPr>
            <w:tcW w:w="123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Total Leaves</w:t>
            </w:r>
          </w:p>
        </w:tc>
        <w:tc>
          <w:tcPr>
            <w:tcW w:w="1319"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Damaged leaves/hill</w:t>
            </w:r>
          </w:p>
        </w:tc>
        <w:tc>
          <w:tcPr>
            <w:tcW w:w="1267"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Leaves damage</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 DAT</w:t>
            </w:r>
          </w:p>
        </w:tc>
        <w:tc>
          <w:tcPr>
            <w:tcW w:w="1231"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6.50</w:t>
            </w:r>
          </w:p>
        </w:tc>
        <w:tc>
          <w:tcPr>
            <w:tcW w:w="1582"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8"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171"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5.75</w:t>
            </w:r>
          </w:p>
        </w:tc>
        <w:tc>
          <w:tcPr>
            <w:tcW w:w="1582"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67"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37"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8.75</w:t>
            </w:r>
          </w:p>
        </w:tc>
        <w:tc>
          <w:tcPr>
            <w:tcW w:w="1319"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0.25</w:t>
            </w:r>
          </w:p>
        </w:tc>
        <w:tc>
          <w:tcPr>
            <w:tcW w:w="1267" w:type="dxa"/>
            <w:tcBorders>
              <w:top w:val="nil"/>
              <w:left w:val="nil"/>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3.57</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20.25</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2.75</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14.78</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17.28</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40.25</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6.75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17.72</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45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28.00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11.70</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31.00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13.16</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67.50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10.75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16.29</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60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41.25</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4.25</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10.82</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30.25</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11.74</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61.50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19.82</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75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31.50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6.00</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20.14</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33.00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5.50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18.06</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61.25</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12.50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21.04</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27.25</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3.50</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13.93</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25.50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13.32</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63.50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14.55</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 DAT</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30.50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3.25</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10.68</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27.50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16.28</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60.00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8.75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14.72</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Mean</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26.46</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3.25</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11.72</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24.43</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3.25</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12.83</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51.82</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8.57</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15.39</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 value</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36.50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4.10</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39.70</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19.30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8.30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39.20</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29.40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17.50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15.50</w:t>
            </w:r>
          </w:p>
        </w:tc>
      </w:tr>
      <w:tr>
        <w:tblPrEx/>
        <w:trPr>
          <w:trHeight w:val="320" w:hRule="atLeast"/>
        </w:trPr>
        <w:tc>
          <w:tcPr>
            <w:tcW w:w="1736" w:type="dxa"/>
            <w:tcBorders>
              <w:top w:val="nil"/>
              <w:left w:val="single" w:sz="4" w:space="0" w:color="auto"/>
              <w:bottom w:val="single" w:sz="4" w:space="0" w:color="auto"/>
              <w:right w:val="single" w:sz="4" w:space="0" w:color="auto"/>
            </w:tcBorders>
            <w:shd w:val="clear" w:color="auto" w:fill="auto"/>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LSD</w:t>
            </w:r>
          </w:p>
        </w:tc>
        <w:tc>
          <w:tcPr>
            <w:tcW w:w="123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1.30</w:t>
            </w:r>
          </w:p>
        </w:tc>
        <w:tc>
          <w:tcPr>
            <w:tcW w:w="126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2.10</w:t>
            </w:r>
          </w:p>
        </w:tc>
        <w:tc>
          <w:tcPr>
            <w:tcW w:w="117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w:t>
            </w:r>
          </w:p>
        </w:tc>
        <w:tc>
          <w:tcPr>
            <w:tcW w:w="158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3.60</w:t>
            </w:r>
          </w:p>
        </w:tc>
        <w:tc>
          <w:tcPr>
            <w:tcW w:w="123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1.60</w:t>
            </w:r>
          </w:p>
        </w:tc>
        <w:tc>
          <w:tcPr>
            <w:tcW w:w="1319"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0.90</w:t>
            </w:r>
          </w:p>
        </w:tc>
        <w:tc>
          <w:tcPr>
            <w:tcW w:w="1267"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1.70</w:t>
            </w:r>
          </w:p>
        </w:tc>
      </w:tr>
    </w:tbl>
    <w:p>
      <w:pPr>
        <w:pStyle w:val="style0"/>
        <w:spacing w:after="0" w:lineRule="auto" w:line="240"/>
        <w:rPr>
          <w:rFonts w:ascii="Times New Roman" w:cs="Times New Roman" w:eastAsia="Times New Roman" w:hAnsi="Times New Roman"/>
          <w:color w:val="000000"/>
          <w:sz w:val="24"/>
          <w:szCs w:val="24"/>
        </w:rPr>
      </w:pPr>
    </w:p>
    <w:p>
      <w:pPr>
        <w:pStyle w:val="style0"/>
        <w:tabs>
          <w:tab w:val="left" w:leader="none" w:pos="2720"/>
        </w:tabs>
        <w:rPr>
          <w:rFonts w:ascii="Times New Roman" w:cs="Times New Roman" w:eastAsia="Times New Roman" w:hAnsi="Times New Roman"/>
          <w:sz w:val="24"/>
          <w:szCs w:val="24"/>
        </w:rPr>
      </w:pPr>
      <w:r>
        <w:rPr>
          <w:rFonts w:ascii="Times New Roman" w:cs="Times New Roman" w:eastAsia="Times New Roman" w:hAnsi="Times New Roman"/>
          <w:sz w:val="24"/>
          <w:szCs w:val="24"/>
        </w:rPr>
        <w:tab/>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Figure 2: Depicting </w:t>
      </w:r>
      <w:r>
        <w:rPr>
          <w:rFonts w:ascii="Times New Roman" w:cs="Times New Roman" w:eastAsia="Times New Roman" w:hAnsi="Times New Roman"/>
          <w:sz w:val="24"/>
          <w:szCs w:val="24"/>
        </w:rPr>
        <w:t xml:space="preserve">Stem borer and leaf folder damage mean </w:t>
      </w:r>
      <w:r>
        <w:rPr>
          <w:rFonts w:ascii="Times New Roman" w:cs="Times New Roman" w:eastAsia="Times New Roman" w:hAnsi="Times New Roman"/>
          <w:sz w:val="24"/>
          <w:szCs w:val="24"/>
        </w:rPr>
        <w:t>during  kharif</w:t>
      </w:r>
      <w:r>
        <w:rPr>
          <w:rFonts w:ascii="Times New Roman" w:cs="Times New Roman" w:eastAsia="Times New Roman" w:hAnsi="Times New Roman"/>
          <w:sz w:val="24"/>
          <w:szCs w:val="24"/>
        </w:rPr>
        <w:t xml:space="preserve"> 2019 and 2020 at different planting methods</w:t>
      </w:r>
      <w:r>
        <w:rPr>
          <w:rFonts w:ascii="Times New Roman" w:cs="Times New Roman" w:eastAsia="Times New Roman" w:hAnsi="Times New Roman"/>
          <w:sz w:val="24"/>
          <w:szCs w:val="24"/>
        </w:rPr>
        <w:t xml:space="preserve">. The results showing that in case of stem borer puddled direct seedling cause more damage in comparison with direct seeding and normal transplanting. Where as in case </w:t>
      </w:r>
      <w:r>
        <w:rPr>
          <w:rFonts w:ascii="Times New Roman" w:cs="Times New Roman" w:eastAsia="Times New Roman" w:hAnsi="Times New Roman"/>
          <w:sz w:val="24"/>
          <w:szCs w:val="24"/>
        </w:rPr>
        <w:t>of leaf folder damage normal transplanting cause more damage in comparison with puddled direct seedling and direct seeding.</w:t>
      </w:r>
    </w:p>
    <w:p>
      <w:pPr>
        <w:pStyle w:val="style0"/>
        <w:tabs>
          <w:tab w:val="left" w:leader="none" w:pos="2720"/>
        </w:tabs>
        <w:rPr>
          <w:rFonts w:ascii="Times New Roman" w:cs="Times New Roman" w:eastAsia="Times New Roman" w:hAnsi="Times New Roman"/>
          <w:sz w:val="24"/>
          <w:szCs w:val="24"/>
        </w:rPr>
      </w:pPr>
      <w:r>
        <w:rPr>
          <w:noProof/>
        </w:rPr>
        <w:drawing>
          <wp:anchor distT="0" distB="0" distL="114300" distR="114300" simplePos="false" relativeHeight="4" behindDoc="true" locked="false" layoutInCell="true" allowOverlap="true">
            <wp:simplePos x="0" y="0"/>
            <wp:positionH relativeFrom="column">
              <wp:posOffset>0</wp:posOffset>
            </wp:positionH>
            <wp:positionV relativeFrom="paragraph">
              <wp:posOffset>8624</wp:posOffset>
            </wp:positionV>
            <wp:extent cx="6000750" cy="2314575"/>
            <wp:effectExtent l="0" t="0" r="0" b="0"/>
            <wp:wrapTight wrapText="bothSides">
              <wp:wrapPolygon edited="false">
                <wp:start x="0" y="0"/>
                <wp:lineTo x="0" y="21511"/>
                <wp:lineTo x="21531" y="21511"/>
                <wp:lineTo x="21531" y="0"/>
                <wp:lineTo x="0" y="0"/>
              </wp:wrapPolygon>
            </wp:wrapTight>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pPr>
      <w:r>
        <w:rPr>
          <w:noProof/>
        </w:rPr>
      </w:r>
      <w:r>
        <w:rPr>
          <w:noProof/>
        </w:rPr>
      </w:r>
      <w:r>
        <w:rPr>
          <w:noProof/>
        </w:rPr>
      </w:r>
      <w:r>
        <w:rPr>
          <w:noProof/>
        </w:rPr>
        <w:drawing>
          <wp:inline distL="114300" distT="0" distB="0" distR="114300">
            <wp:extent cx="6009640" cy="2743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r>
    </w:p>
    <w:p>
      <w:pPr>
        <w:pStyle w:val="style0"/>
        <w:tabs>
          <w:tab w:val="left" w:leader="none" w:pos="2720"/>
        </w:tabs>
        <w:rPr>
          <w:rFonts w:ascii="Times New Roman" w:cs="Times New Roman" w:eastAsia="Times New Roman" w:hAnsi="Times New Roman"/>
          <w:sz w:val="24"/>
          <w:szCs w:val="24"/>
        </w:rPr>
      </w:pPr>
    </w:p>
    <w:p>
      <w:pPr>
        <w:pStyle w:val="style0"/>
        <w:tabs>
          <w:tab w:val="left" w:leader="none" w:pos="2720"/>
        </w:tabs>
        <w:rPr>
          <w:rFonts w:ascii="Times New Roman" w:cs="Times New Roman" w:eastAsia="Times New Roman" w:hAnsi="Times New Roman"/>
          <w:sz w:val="24"/>
          <w:szCs w:val="24"/>
        </w:rPr>
        <w:sectPr>
          <w:pgSz w:w="16838" w:h="11906" w:orient="landscape"/>
          <w:pgMar w:top="1440" w:right="1440" w:bottom="709" w:left="1440" w:header="709" w:footer="709" w:gutter="0"/>
          <w:cols w:space="708"/>
          <w:docGrid w:linePitch="360"/>
        </w:sectPr>
      </w:pPr>
    </w:p>
    <w:bookmarkStart w:id="4" w:name="OLE_LINK1"/>
    <w:tbl>
      <w:tblPr>
        <w:tblW w:w="10742" w:type="dxa"/>
        <w:tblInd w:w="-850" w:type="dxa"/>
        <w:tblLook w:val="04A0" w:firstRow="1" w:lastRow="0" w:firstColumn="1" w:lastColumn="0" w:noHBand="0" w:noVBand="1"/>
      </w:tblPr>
      <w:tblGrid>
        <w:gridCol w:w="1630"/>
        <w:gridCol w:w="858"/>
        <w:gridCol w:w="858"/>
        <w:gridCol w:w="1263"/>
        <w:gridCol w:w="1205"/>
        <w:gridCol w:w="1698"/>
        <w:gridCol w:w="1484"/>
        <w:gridCol w:w="1746"/>
      </w:tblGrid>
      <w:tr>
        <w:trPr>
          <w:trHeight w:val="315" w:hRule="atLeast"/>
        </w:trPr>
        <w:tc>
          <w:tcPr>
            <w:tcW w:w="10742" w:type="dxa"/>
            <w:gridSpan w:val="8"/>
            <w:tcBorders>
              <w:top w:val="nil"/>
              <w:left w:val="nil"/>
              <w:bottom w:val="single" w:sz="4" w:space="0" w:color="auto"/>
              <w:right w:val="nil"/>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Table 3: </w:t>
            </w:r>
            <w:r>
              <w:rPr>
                <w:rFonts w:ascii="Times New Roman" w:cs="Times New Roman" w:eastAsia="Times New Roman" w:hAnsi="Times New Roman"/>
                <w:color w:val="000000"/>
                <w:sz w:val="24"/>
                <w:szCs w:val="24"/>
              </w:rPr>
              <w:t xml:space="preserve">Mean value of </w:t>
            </w:r>
            <w:r>
              <w:rPr>
                <w:rFonts w:ascii="Times New Roman" w:cs="Times New Roman" w:hAnsi="Times New Roman"/>
                <w:bCs/>
                <w:sz w:val="24"/>
                <w:szCs w:val="24"/>
              </w:rPr>
              <w:t xml:space="preserve">meteorological parameters </w:t>
            </w:r>
            <w:r>
              <w:rPr>
                <w:rFonts w:ascii="Times New Roman" w:cs="Times New Roman" w:hAnsi="Times New Roman"/>
                <w:bCs/>
                <w:sz w:val="24"/>
                <w:szCs w:val="24"/>
              </w:rPr>
              <w:t>during kharif</w:t>
            </w:r>
            <w:r>
              <w:rPr>
                <w:rFonts w:ascii="Times New Roman" w:cs="Times New Roman" w:hAnsi="Times New Roman"/>
                <w:bCs/>
                <w:iCs/>
                <w:sz w:val="24"/>
                <w:szCs w:val="24"/>
              </w:rPr>
              <w:t>2019 and 2020</w:t>
            </w:r>
          </w:p>
        </w:tc>
      </w:tr>
      <w:tr>
        <w:tblPrEx/>
        <w:trPr>
          <w:trHeight w:val="375" w:hRule="atLeast"/>
        </w:trPr>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Days</w:t>
            </w:r>
          </w:p>
        </w:tc>
        <w:tc>
          <w:tcPr>
            <w:tcW w:w="1716" w:type="dxa"/>
            <w:gridSpan w:val="2"/>
            <w:tcBorders>
              <w:top w:val="nil"/>
              <w:left w:val="nil"/>
              <w:bottom w:val="single" w:sz="4" w:space="0" w:color="auto"/>
              <w:right w:val="single" w:sz="4" w:space="0" w:color="000000"/>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Temperature (</w:t>
            </w:r>
            <w:r>
              <w:rPr>
                <w:rFonts w:ascii="Times New Roman" w:cs="Times New Roman" w:eastAsia="Times New Roman" w:hAnsi="Times New Roman"/>
                <w:color w:val="000000"/>
                <w:sz w:val="24"/>
                <w:szCs w:val="24"/>
                <w:vertAlign w:val="superscript"/>
              </w:rPr>
              <w:t>0</w:t>
            </w:r>
            <w:r>
              <w:rPr>
                <w:rFonts w:ascii="Times New Roman" w:cs="Times New Roman" w:eastAsia="Times New Roman" w:hAnsi="Times New Roman"/>
                <w:color w:val="000000"/>
                <w:sz w:val="24"/>
                <w:szCs w:val="24"/>
              </w:rPr>
              <w:t>C)</w:t>
            </w:r>
          </w:p>
        </w:tc>
        <w:tc>
          <w:tcPr>
            <w:tcW w:w="2468" w:type="dxa"/>
            <w:gridSpan w:val="2"/>
            <w:tcBorders>
              <w:top w:val="nil"/>
              <w:left w:val="nil"/>
              <w:bottom w:val="single" w:sz="4" w:space="0" w:color="auto"/>
              <w:right w:val="single" w:sz="4" w:space="0" w:color="000000"/>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Relative Humidity (%)</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Wind speed</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Rainfall </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Evaporation</w:t>
            </w:r>
          </w:p>
        </w:tc>
      </w:tr>
      <w:tr>
        <w:tblPrEx/>
        <w:trPr>
          <w:trHeight w:val="315" w:hRule="atLeast"/>
        </w:trPr>
        <w:tc>
          <w:tcPr>
            <w:tcW w:w="1630" w:type="dxa"/>
            <w:vMerge w:val="continue"/>
            <w:tcBorders>
              <w:top w:val="nil"/>
              <w:left w:val="single" w:sz="4" w:space="0" w:color="auto"/>
              <w:bottom w:val="single" w:sz="4" w:space="0" w:color="000000"/>
              <w:right w:val="single" w:sz="4" w:space="0" w:color="auto"/>
            </w:tcBorders>
            <w:vAlign w:val="center"/>
            <w:hideMark/>
          </w:tcPr>
          <w:p>
            <w:pPr>
              <w:pStyle w:val="style0"/>
              <w:spacing w:after="0" w:lineRule="auto" w:line="240"/>
              <w:rPr>
                <w:rFonts w:ascii="Times New Roman" w:cs="Times New Roman" w:eastAsia="Times New Roman" w:hAnsi="Times New Roman"/>
                <w:color w:val="000000"/>
                <w:sz w:val="24"/>
                <w:szCs w:val="24"/>
              </w:rPr>
            </w:pP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Max</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Min</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Morning</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Evening</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(Km/hr.)</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(mm)</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(mm)</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30.40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25.20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76.00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5.30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138.70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4.20</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34.20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27.00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87.00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71.00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7.40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4.90</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45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33.60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26.30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76.00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4.60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100.70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5.20</w:t>
            </w:r>
          </w:p>
        </w:tc>
      </w:tr>
      <w:tr>
        <w:tblPrEx/>
        <w:trPr>
          <w:trHeight w:val="312" w:hRule="atLeast"/>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50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34.00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26.50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76.00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5.30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8.20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4.70</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60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33.30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27.00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3.40</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75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31.00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24.00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78.00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78.20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2.10</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28.80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23.50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94.00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83.00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0.20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6.60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2.70</w:t>
            </w:r>
          </w:p>
        </w:tc>
      </w:tr>
      <w:tr>
        <w:tblPrEx/>
        <w:trPr>
          <w:trHeight w:val="285"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 DAT</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31.60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28.80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91.00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83.00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3.40</w:t>
            </w:r>
          </w:p>
        </w:tc>
      </w:tr>
      <w:tr>
        <w:tblPrEx/>
        <w:trPr>
          <w:trHeight w:val="285"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Mean</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32.19</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25.64</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90.29</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76.14</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4.34</w:t>
            </w:r>
          </w:p>
        </w:tc>
        <w:tc>
          <w:tcPr>
            <w:tcW w:w="1484"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47.89</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3.89</w:t>
            </w:r>
          </w:p>
        </w:tc>
      </w:tr>
      <w:tr>
        <w:tblPrEx/>
        <w:trPr>
          <w:trHeight w:val="289"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 value</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67.30</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36.70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196.50</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87.70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9.70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167.50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9.70</w:t>
            </w:r>
          </w:p>
        </w:tc>
      </w:tr>
      <w:tr>
        <w:tblPrEx/>
        <w:trPr>
          <w:trHeight w:val="315" w:hRule="atLeast"/>
        </w:trPr>
        <w:tc>
          <w:tcPr>
            <w:tcW w:w="16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LSD</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1.56</w:t>
            </w:r>
          </w:p>
        </w:tc>
        <w:tc>
          <w:tcPr>
            <w:tcW w:w="85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1.20</w:t>
            </w:r>
          </w:p>
        </w:tc>
        <w:tc>
          <w:tcPr>
            <w:tcW w:w="12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3.56</w:t>
            </w:r>
          </w:p>
        </w:tc>
        <w:tc>
          <w:tcPr>
            <w:tcW w:w="1205"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1.90</w:t>
            </w:r>
          </w:p>
        </w:tc>
        <w:tc>
          <w:tcPr>
            <w:tcW w:w="1698"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1.80</w:t>
            </w:r>
          </w:p>
        </w:tc>
        <w:tc>
          <w:tcPr>
            <w:tcW w:w="1484"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17.80</w:t>
            </w:r>
          </w:p>
        </w:tc>
        <w:tc>
          <w:tcPr>
            <w:tcW w:w="174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1.60</w:t>
            </w:r>
          </w:p>
        </w:tc>
      </w:tr>
      <w:bookmarkEnd w:id="4"/>
    </w:tbl>
    <w:p>
      <w:pPr>
        <w:pStyle w:val="style0"/>
        <w:tabs>
          <w:tab w:val="left" w:leader="none" w:pos="180"/>
        </w:tabs>
        <w:rPr>
          <w:rFonts w:ascii="Times New Roman" w:cs="Times New Roman" w:hAnsi="Times New Roman"/>
          <w:sz w:val="24"/>
          <w:szCs w:val="24"/>
        </w:rPr>
      </w:pPr>
    </w:p>
    <w:p>
      <w:pPr>
        <w:pStyle w:val="style0"/>
        <w:tabs>
          <w:tab w:val="left" w:leader="none" w:pos="180"/>
        </w:tabs>
        <w:rPr>
          <w:rFonts w:ascii="Times New Roman" w:cs="Times New Roman" w:hAnsi="Times New Roman"/>
          <w:sz w:val="24"/>
          <w:szCs w:val="24"/>
        </w:rPr>
      </w:pPr>
      <w:r>
        <w:rPr>
          <w:noProof/>
        </w:rPr>
        <w:drawing>
          <wp:anchor distT="0" distB="0" distL="114300" distR="114300" simplePos="false" relativeHeight="2" behindDoc="true" locked="false" layoutInCell="true" allowOverlap="true">
            <wp:simplePos x="0" y="0"/>
            <wp:positionH relativeFrom="column">
              <wp:posOffset>-476885</wp:posOffset>
            </wp:positionH>
            <wp:positionV relativeFrom="paragraph">
              <wp:posOffset>452755</wp:posOffset>
            </wp:positionV>
            <wp:extent cx="6738619" cy="4733290"/>
            <wp:effectExtent l="0" t="0" r="0" b="0"/>
            <wp:wrapTight wrapText="bothSides">
              <wp:wrapPolygon edited="false">
                <wp:start x="0" y="0"/>
                <wp:lineTo x="0" y="21559"/>
                <wp:lineTo x="21555" y="21559"/>
                <wp:lineTo x="21555" y="0"/>
                <wp:lineTo x="0" y="0"/>
              </wp:wrapPolygon>
            </wp:wrapTight>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cs="Times New Roman" w:hAnsi="Times New Roman"/>
          <w:sz w:val="24"/>
          <w:szCs w:val="24"/>
        </w:rPr>
        <w:t xml:space="preserve">Figure 3: Deciphering </w:t>
      </w:r>
      <w:r>
        <w:rPr>
          <w:rFonts w:ascii="Times New Roman" w:cs="Times New Roman" w:hAnsi="Times New Roman"/>
          <w:bCs/>
          <w:sz w:val="24"/>
          <w:szCs w:val="24"/>
        </w:rPr>
        <w:t>meteorological parameters during kharif</w:t>
      </w:r>
      <w:r>
        <w:rPr>
          <w:rFonts w:ascii="Times New Roman" w:cs="Times New Roman" w:hAnsi="Times New Roman"/>
          <w:bCs/>
          <w:iCs/>
          <w:sz w:val="24"/>
          <w:szCs w:val="24"/>
        </w:rPr>
        <w:t>2019 and 2020</w:t>
      </w:r>
      <w:r>
        <w:rPr>
          <w:rFonts w:ascii="Times New Roman" w:cs="Times New Roman" w:hAnsi="Times New Roman"/>
          <w:bCs/>
          <w:iCs/>
          <w:sz w:val="24"/>
          <w:szCs w:val="24"/>
        </w:rPr>
        <w:t xml:space="preserve"> in graphical manner</w:t>
      </w:r>
    </w:p>
    <w:p>
      <w:pPr>
        <w:pStyle w:val="style0"/>
        <w:tabs>
          <w:tab w:val="left" w:leader="none" w:pos="180"/>
        </w:tabs>
        <w:rPr>
          <w:rFonts w:ascii="Times New Roman" w:cs="Times New Roman" w:hAnsi="Times New Roman"/>
          <w:sz w:val="24"/>
          <w:szCs w:val="24"/>
        </w:rPr>
      </w:pPr>
    </w:p>
    <w:p>
      <w:pPr>
        <w:pStyle w:val="style0"/>
        <w:tabs>
          <w:tab w:val="left" w:leader="none" w:pos="180"/>
        </w:tabs>
        <w:rPr>
          <w:noProof/>
        </w:rPr>
      </w:pPr>
    </w:p>
    <w:p>
      <w:pPr>
        <w:pStyle w:val="style0"/>
        <w:tabs>
          <w:tab w:val="left" w:leader="none" w:pos="180"/>
        </w:tabs>
        <w:rPr>
          <w:rFonts w:ascii="Times New Roman" w:cs="Times New Roman" w:hAnsi="Times New Roman"/>
          <w:sz w:val="24"/>
          <w:szCs w:val="24"/>
        </w:rPr>
      </w:pPr>
      <w:r>
        <w:rPr>
          <w:rFonts w:ascii="Times New Roman" w:cs="Times New Roman" w:hAnsi="Times New Roman"/>
          <w:sz w:val="24"/>
          <w:szCs w:val="24"/>
        </w:rPr>
        <w:t>Table 4</w:t>
      </w:r>
      <w:r>
        <w:rPr>
          <w:rFonts w:ascii="Times New Roman" w:cs="Times New Roman" w:hAnsi="Times New Roman"/>
          <w:sz w:val="24"/>
          <w:szCs w:val="24"/>
        </w:rPr>
        <w:t>:</w:t>
      </w:r>
      <w:r>
        <w:rPr>
          <w:rFonts w:ascii="Times New Roman" w:cs="Times New Roman" w:hAnsi="Times New Roman"/>
          <w:bCs/>
          <w:sz w:val="23"/>
          <w:szCs w:val="23"/>
        </w:rPr>
        <w:t xml:space="preserve"> Correlation co-efficient of </w:t>
      </w:r>
      <w:r>
        <w:rPr>
          <w:rFonts w:ascii="Times New Roman" w:cs="Times New Roman" w:hAnsi="Times New Roman"/>
          <w:bCs/>
          <w:sz w:val="24"/>
          <w:szCs w:val="24"/>
        </w:rPr>
        <w:t xml:space="preserve">stem borer and leaf folder damage </w:t>
      </w:r>
      <w:r>
        <w:rPr>
          <w:rFonts w:ascii="Times New Roman" w:cs="Times New Roman" w:hAnsi="Times New Roman"/>
          <w:sz w:val="24"/>
          <w:szCs w:val="24"/>
        </w:rPr>
        <w:t xml:space="preserve">with meteorological parameters during </w:t>
      </w:r>
      <w:r>
        <w:rPr>
          <w:rFonts w:ascii="Times New Roman" w:cs="Times New Roman" w:hAnsi="Times New Roman"/>
          <w:bCs/>
          <w:i/>
          <w:sz w:val="24"/>
          <w:szCs w:val="24"/>
        </w:rPr>
        <w:t xml:space="preserve">kharif </w:t>
      </w:r>
      <w:r>
        <w:rPr>
          <w:rFonts w:ascii="Times New Roman" w:cs="Times New Roman" w:hAnsi="Times New Roman"/>
          <w:bCs/>
          <w:sz w:val="24"/>
          <w:szCs w:val="24"/>
        </w:rPr>
        <w:t>2019 and 2020 at different dates of planting</w:t>
      </w:r>
    </w:p>
    <w:tbl>
      <w:tblPr>
        <w:tblW w:w="9200" w:type="dxa"/>
        <w:tblCellMar>
          <w:left w:w="0" w:type="dxa"/>
          <w:right w:w="0" w:type="dxa"/>
        </w:tblCellMar>
        <w:tblLook w:val="04A0" w:firstRow="1" w:lastRow="0" w:firstColumn="1" w:lastColumn="0" w:noHBand="0" w:noVBand="1"/>
      </w:tblPr>
      <w:tblGrid>
        <w:gridCol w:w="1432"/>
        <w:gridCol w:w="1530"/>
        <w:gridCol w:w="1274"/>
        <w:gridCol w:w="1294"/>
        <w:gridCol w:w="1215"/>
        <w:gridCol w:w="1195"/>
        <w:gridCol w:w="1353"/>
      </w:tblGrid>
      <w:tr>
        <w:trPr>
          <w:trHeight w:val="288" w:hRule="atLeast"/>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Weather parameters</w:t>
            </w:r>
          </w:p>
        </w:tc>
        <w:tc>
          <w:tcPr>
            <w:tcW w:w="412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Stem borer damage tillers</w:t>
            </w:r>
          </w:p>
        </w:tc>
        <w:tc>
          <w:tcPr>
            <w:tcW w:w="378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Leaf folder damage leaves</w:t>
            </w:r>
          </w:p>
        </w:tc>
      </w:tr>
      <w:tr>
        <w:tblPrEx/>
        <w:trPr>
          <w:trHeight w:val="492" w:hRule="atLeast"/>
        </w:trPr>
        <w:tc>
          <w:tcPr>
            <w:tcW w:w="0" w:type="auto"/>
            <w:vMerge w:val="continue"/>
            <w:tcBorders>
              <w:top w:val="single" w:sz="4" w:space="0" w:color="auto"/>
              <w:left w:val="single" w:sz="4" w:space="0" w:color="auto"/>
              <w:bottom w:val="single" w:sz="4" w:space="0" w:color="000000"/>
              <w:right w:val="single" w:sz="4" w:space="0" w:color="auto"/>
            </w:tcBorders>
            <w:tcMar/>
            <w:vAlign w:val="center"/>
            <w:hideMark/>
          </w:tcPr>
          <w:p>
            <w:pPr>
              <w:pStyle w:val="style0"/>
              <w:jc w:val="center"/>
              <w:rPr>
                <w:rFonts w:ascii="Times New Roman" w:cs="Times New Roman" w:hAnsi="Times New Roman"/>
                <w:b/>
                <w:bCs/>
                <w:color w:val="000000"/>
                <w:sz w:val="24"/>
                <w:szCs w:val="24"/>
              </w:rPr>
            </w:pP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Early planting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Timely planting</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Late planting</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Early planting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Timely planting</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Late planting</w:t>
            </w:r>
          </w:p>
        </w:tc>
      </w:tr>
      <w:tr>
        <w:tblPrEx/>
        <w:trPr>
          <w:trHeight w:val="480"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Temperature (Maximum)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0.02</w:t>
            </w:r>
          </w:p>
        </w:tc>
      </w:tr>
      <w:tr>
        <w:tblPrEx/>
        <w:trPr>
          <w:trHeight w:val="480"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Temperature (Minimum)</w:t>
            </w:r>
          </w:p>
          <w:bookmarkStart w:id="5" w:name="_Hlk188352154"/>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-0.70</w:t>
            </w:r>
            <w:bookmarkEnd w:id="5"/>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-0.41</w:t>
            </w:r>
          </w:p>
        </w:tc>
      </w:tr>
      <w:tr>
        <w:tblPrEx/>
        <w:trPr>
          <w:trHeight w:val="288"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RH (Morning)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0.44</w:t>
            </w:r>
          </w:p>
        </w:tc>
      </w:tr>
      <w:tr>
        <w:tblPrEx/>
        <w:trPr>
          <w:trHeight w:val="288"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RH (Evening)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0.98</w:t>
            </w:r>
            <w:r>
              <w:rPr>
                <w:rFonts w:ascii="Times New Roman" w:cs="Times New Roman" w:hAnsi="Times New Roman"/>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0.97</w:t>
            </w:r>
          </w:p>
        </w:tc>
      </w:tr>
      <w:tr>
        <w:tblPrEx/>
        <w:trPr>
          <w:trHeight w:val="288"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Windspeed</w:t>
            </w:r>
          </w:p>
          <w:bookmarkStart w:id="6" w:name="_Hlk188352258"/>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-0.80</w:t>
            </w:r>
            <w:bookmarkEnd w:id="6"/>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-0.91</w:t>
            </w:r>
          </w:p>
        </w:tc>
      </w:tr>
      <w:tr>
        <w:tblPrEx/>
        <w:trPr>
          <w:trHeight w:val="288"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Rainfall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0.98*</w:t>
            </w:r>
          </w:p>
        </w:tc>
      </w:tr>
      <w:tr>
        <w:tblPrEx/>
        <w:trPr>
          <w:trHeight w:val="288" w:hRule="atLeast"/>
        </w:trPr>
        <w:tc>
          <w:tcPr>
            <w:tcW w:w="13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Evaporation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-0.81</w:t>
            </w:r>
          </w:p>
        </w:tc>
      </w:tr>
      <w:tr>
        <w:tblPrEx/>
        <w:trPr>
          <w:trHeight w:val="288"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jc w:val="center"/>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pPr>
              <w:pStyle w:val="style0"/>
              <w:rPr>
                <w:rFonts w:ascii="Times New Roman" w:cs="Times New Roman" w:hAnsi="Times New Roman"/>
                <w:sz w:val="24"/>
                <w:szCs w:val="24"/>
              </w:rPr>
            </w:pPr>
          </w:p>
        </w:tc>
      </w:tr>
    </w:tbl>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157"/>
        <w:rPr>
          <w:lang w:val="en-IN" w:eastAsia="en-IN"/>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Table </w:t>
      </w:r>
      <w:r>
        <w:rPr>
          <w:rFonts w:ascii="Times New Roman" w:cs="Times New Roman" w:hAnsi="Times New Roman"/>
          <w:sz w:val="24"/>
          <w:szCs w:val="24"/>
        </w:rPr>
        <w:t>5:</w:t>
      </w:r>
      <w:r>
        <w:rPr>
          <w:rFonts w:ascii="Times New Roman" w:cs="Times New Roman" w:hAnsi="Times New Roman"/>
          <w:sz w:val="24"/>
          <w:szCs w:val="24"/>
        </w:rPr>
        <w:t xml:space="preserve"> </w:t>
      </w:r>
      <w:r>
        <w:rPr>
          <w:rFonts w:ascii="Times New Roman" w:cs="Times New Roman" w:hAnsi="Times New Roman"/>
          <w:sz w:val="24"/>
          <w:szCs w:val="24"/>
        </w:rPr>
        <w:t xml:space="preserve">Correlation co-efficient of stem borer and leaf folder damage with meteorological parameters during </w:t>
      </w:r>
      <w:r>
        <w:rPr>
          <w:rFonts w:ascii="Times New Roman" w:cs="Times New Roman" w:hAnsi="Times New Roman"/>
          <w:i/>
          <w:sz w:val="24"/>
          <w:szCs w:val="24"/>
        </w:rPr>
        <w:t xml:space="preserve">kharif </w:t>
      </w:r>
      <w:r>
        <w:rPr>
          <w:rFonts w:ascii="Times New Roman" w:cs="Times New Roman" w:hAnsi="Times New Roman"/>
          <w:sz w:val="24"/>
          <w:szCs w:val="24"/>
        </w:rPr>
        <w:t>2019 and 2020at different planting methods</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2"/>
        <w:gridCol w:w="1345"/>
        <w:gridCol w:w="1147"/>
        <w:gridCol w:w="1530"/>
        <w:gridCol w:w="1126"/>
        <w:gridCol w:w="1092"/>
        <w:gridCol w:w="1530"/>
      </w:tblGrid>
      <w:tr>
        <w:trPr>
          <w:trHeight w:val="288" w:hRule="atLeast"/>
        </w:trPr>
        <w:tc>
          <w:tcPr>
            <w:tcW w:w="1390" w:type="dxa"/>
            <w:vMerge w:val="restart"/>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Weather parameters</w:t>
            </w:r>
          </w:p>
        </w:tc>
        <w:tc>
          <w:tcPr>
            <w:tcW w:w="0" w:type="auto"/>
            <w:gridSpan w:val="3"/>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Stem borer damage tillers</w:t>
            </w:r>
          </w:p>
        </w:tc>
        <w:tc>
          <w:tcPr>
            <w:tcW w:w="0" w:type="auto"/>
            <w:gridSpan w:val="3"/>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Leaf folder damage leaves</w:t>
            </w:r>
          </w:p>
        </w:tc>
      </w:tr>
      <w:tr>
        <w:tblPrEx/>
        <w:trPr>
          <w:trHeight w:val="340" w:hRule="atLeast"/>
        </w:trPr>
        <w:tc>
          <w:tcPr>
            <w:tcW w:w="0" w:type="auto"/>
            <w:vMerge w:val="continue"/>
            <w:tcBorders/>
            <w:tcMar/>
            <w:hideMark/>
          </w:tcPr>
          <w:p>
            <w:pPr>
              <w:pStyle w:val="style157"/>
              <w:jc w:val="center"/>
              <w:rPr>
                <w:rFonts w:ascii="Times New Roman" w:cs="Times New Roman" w:hAnsi="Times New Roman"/>
                <w:b/>
                <w:color w:val="000000"/>
                <w:sz w:val="24"/>
                <w:szCs w:val="24"/>
              </w:rPr>
            </w:pPr>
          </w:p>
        </w:tc>
        <w:tc>
          <w:tcPr>
            <w:tcW w:w="1386"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Puddled Direct Seedling</w:t>
            </w:r>
          </w:p>
        </w:tc>
        <w:tc>
          <w:tcPr>
            <w:tcW w:w="1173"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Direct Seeding</w:t>
            </w:r>
          </w:p>
        </w:tc>
        <w:tc>
          <w:tcPr>
            <w:tcW w:w="1498"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Normal Transplanting</w:t>
            </w:r>
          </w:p>
        </w:tc>
        <w:tc>
          <w:tcPr>
            <w:tcW w:w="1143"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Puddled Direct Seedling</w:t>
            </w:r>
          </w:p>
        </w:tc>
        <w:tc>
          <w:tcPr>
            <w:tcW w:w="1112"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Direct Seeding</w:t>
            </w:r>
          </w:p>
        </w:tc>
        <w:tc>
          <w:tcPr>
            <w:tcW w:w="1498"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Normal Transplanting</w:t>
            </w:r>
          </w:p>
        </w:tc>
      </w:tr>
      <w:tr>
        <w:tblPrEx/>
        <w:trPr>
          <w:trHeight w:val="480"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Temperature (Maximum)</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0.13</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0.09</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-0.31</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0.13</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0.30</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0.42</w:t>
            </w:r>
          </w:p>
        </w:tc>
      </w:tr>
      <w:tr>
        <w:tblPrEx/>
        <w:trPr>
          <w:trHeight w:val="480"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Temperature (Minimum)</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0.12</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0.40</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-0.35</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-0.20</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0.17</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0.08</w:t>
            </w:r>
          </w:p>
        </w:tc>
      </w:tr>
      <w:tr>
        <w:tblPrEx/>
        <w:trPr>
          <w:trHeight w:val="288"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RH (Morning)</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-0.04</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0.02</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0.21</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-0.03</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-0.15</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-0.42</w:t>
            </w:r>
          </w:p>
        </w:tc>
      </w:tr>
      <w:tr>
        <w:tblPrEx/>
        <w:trPr>
          <w:trHeight w:val="288"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RH (Evening)</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0.28</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0.53</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0.44</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0.07</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0.11</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-0.15</w:t>
            </w:r>
          </w:p>
        </w:tc>
      </w:tr>
      <w:tr>
        <w:tblPrEx/>
        <w:trPr>
          <w:trHeight w:val="288"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Windspeed</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-0.40</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-0.60</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-0.62</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-0.29</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-0.29</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-0.06</w:t>
            </w:r>
          </w:p>
        </w:tc>
      </w:tr>
      <w:tr>
        <w:tblPrEx/>
        <w:trPr>
          <w:trHeight w:val="288" w:hRule="atLeast"/>
        </w:trPr>
        <w:tc>
          <w:tcPr>
            <w:tcW w:w="1390" w:type="dxa"/>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Rainfall</w:t>
            </w:r>
          </w:p>
        </w:tc>
        <w:tc>
          <w:tcPr>
            <w:tcW w:w="0" w:type="auto"/>
            <w:tcBorders/>
            <w:shd w:val="clear" w:color="auto" w:fill="ffffff"/>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-0.76</w:t>
            </w:r>
            <w:r>
              <w:rPr>
                <w:rFonts w:ascii="Times New Roman" w:cs="Times New Roman" w:hAnsi="Times New Roman"/>
                <w:color w:val="000000"/>
                <w:sz w:val="24"/>
                <w:szCs w:val="24"/>
                <w:vertAlign w:val="superscript"/>
              </w:rPr>
              <w:t>*</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-0.57</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-0.21</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-0.44</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-0.62</w:t>
            </w:r>
          </w:p>
        </w:tc>
        <w:tc>
          <w:tcPr>
            <w:tcW w:w="0" w:type="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-0.55</w:t>
            </w:r>
          </w:p>
        </w:tc>
      </w:tr>
      <w:tr>
        <w:tblPrEx/>
        <w:trPr>
          <w:trHeight w:val="288" w:hRule="atLeast"/>
        </w:trPr>
        <w:tc>
          <w:tcPr>
            <w:tcW w:w="1390" w:type="dxa"/>
            <w:tcBorders>
              <w:bottom w:val="single" w:sz="4" w:space="0" w:color="auto"/>
            </w:tcBorders>
            <w:shd w:val="clear" w:color="auto" w:fill="auto"/>
            <w:tcMar>
              <w:top w:w="15" w:type="dxa"/>
              <w:left w:w="15" w:type="dxa"/>
              <w:bottom w:w="0" w:type="dxa"/>
              <w:right w:w="15" w:type="dxa"/>
            </w:tcMar>
            <w:hideMark/>
          </w:tcPr>
          <w:p>
            <w:pPr>
              <w:pStyle w:val="style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Evaporation</w:t>
            </w:r>
          </w:p>
        </w:tc>
        <w:tc>
          <w:tcPr>
            <w:tcW w:w="0" w:type="auto"/>
            <w:tcBorders>
              <w:bottom w:val="single" w:sz="4" w:space="0" w:color="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-0.23</w:t>
            </w:r>
          </w:p>
        </w:tc>
        <w:tc>
          <w:tcPr>
            <w:tcW w:w="0" w:type="auto"/>
            <w:tcBorders>
              <w:bottom w:val="single" w:sz="4" w:space="0" w:color="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-0.25</w:t>
            </w:r>
          </w:p>
        </w:tc>
        <w:tc>
          <w:tcPr>
            <w:tcW w:w="0" w:type="auto"/>
            <w:tcBorders>
              <w:bottom w:val="single" w:sz="4" w:space="0" w:color="auto"/>
            </w:tcBorders>
            <w:shd w:val="clear" w:color="auto" w:fill="ffffff"/>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-0.83</w:t>
            </w:r>
            <w:r>
              <w:rPr>
                <w:rFonts w:ascii="Times New Roman" w:cs="Times New Roman" w:hAnsi="Times New Roman"/>
                <w:color w:val="000000"/>
                <w:sz w:val="24"/>
                <w:szCs w:val="24"/>
                <w:vertAlign w:val="superscript"/>
              </w:rPr>
              <w:t>*</w:t>
            </w:r>
          </w:p>
        </w:tc>
        <w:tc>
          <w:tcPr>
            <w:tcW w:w="0" w:type="auto"/>
            <w:tcBorders>
              <w:bottom w:val="single" w:sz="4" w:space="0" w:color="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-0.41</w:t>
            </w:r>
          </w:p>
        </w:tc>
        <w:tc>
          <w:tcPr>
            <w:tcW w:w="0" w:type="auto"/>
            <w:tcBorders>
              <w:bottom w:val="single" w:sz="4" w:space="0" w:color="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-0.24</w:t>
            </w:r>
          </w:p>
        </w:tc>
        <w:tc>
          <w:tcPr>
            <w:tcW w:w="0" w:type="auto"/>
            <w:tcBorders>
              <w:bottom w:val="single" w:sz="4" w:space="0" w:color="auto"/>
            </w:tcBorders>
            <w:shd w:val="clear" w:color="auto" w:fill="auto"/>
            <w:noWrap/>
            <w:tcMar>
              <w:top w:w="15" w:type="dxa"/>
              <w:left w:w="15" w:type="dxa"/>
              <w:bottom w:w="0" w:type="dxa"/>
              <w:right w:w="15" w:type="dxa"/>
            </w:tcMar>
            <w:hideMark/>
          </w:tcPr>
          <w:p>
            <w:pPr>
              <w:pStyle w:val="style157"/>
              <w:jc w:val="center"/>
              <w:rPr>
                <w:rFonts w:ascii="Times New Roman" w:cs="Times New Roman" w:hAnsi="Times New Roman"/>
                <w:color w:val="000000"/>
                <w:sz w:val="24"/>
                <w:szCs w:val="24"/>
              </w:rPr>
            </w:pPr>
            <w:r>
              <w:rPr>
                <w:rFonts w:ascii="Times New Roman" w:cs="Times New Roman" w:hAnsi="Times New Roman"/>
                <w:color w:val="000000"/>
                <w:sz w:val="24"/>
                <w:szCs w:val="24"/>
              </w:rPr>
              <w:t>-0.28</w:t>
            </w:r>
          </w:p>
        </w:tc>
      </w:tr>
    </w:tbl>
    <w:p>
      <w:pPr>
        <w:pStyle w:val="style157"/>
        <w:rPr>
          <w:rFonts w:ascii="Times New Roman" w:cs="Times New Roman" w:hAnsi="Times New Roman"/>
          <w:color w:val="000000"/>
          <w:sz w:val="24"/>
          <w:szCs w:val="24"/>
        </w:rPr>
      </w:pPr>
      <w:r>
        <w:rPr>
          <w:rFonts w:ascii="Times New Roman" w:cs="Times New Roman" w:hAnsi="Times New Roman"/>
          <w:color w:val="000000"/>
          <w:sz w:val="24"/>
          <w:szCs w:val="24"/>
        </w:rPr>
        <w:t>*. Correlation is significant at the 0.05 level (2-tailed).</w:t>
      </w:r>
    </w:p>
    <w:p>
      <w:pPr>
        <w:pStyle w:val="style157"/>
        <w:rPr>
          <w:rFonts w:ascii="Times New Roman" w:cs="Times New Roman" w:hAnsi="Times New Roman"/>
          <w:color w:val="000000"/>
          <w:sz w:val="24"/>
          <w:szCs w:val="24"/>
        </w:rPr>
      </w:pPr>
      <w:r>
        <w:rPr>
          <w:rFonts w:ascii="Times New Roman" w:cs="Times New Roman" w:hAnsi="Times New Roman"/>
          <w:color w:val="000000"/>
          <w:sz w:val="24"/>
          <w:szCs w:val="24"/>
        </w:rPr>
        <w:t>**. Correlation is significant at the 0.01 level (2-tailed).</w:t>
      </w:r>
    </w:p>
    <w:p>
      <w:pPr>
        <w:pStyle w:val="style157"/>
        <w:rPr>
          <w:rFonts w:ascii="Times New Roman" w:cs="Times New Roman" w:hAnsi="Times New Roman"/>
          <w:color w:val="000000"/>
          <w:sz w:val="24"/>
          <w:szCs w:val="24"/>
        </w:rPr>
      </w:pPr>
    </w:p>
    <w:p>
      <w:pPr>
        <w:pStyle w:val="style157"/>
        <w:rPr>
          <w:rFonts w:ascii="Times New Roman" w:cs="Times New Roman" w:hAnsi="Times New Roman"/>
          <w:color w:val="000000"/>
          <w:sz w:val="24"/>
          <w:szCs w:val="24"/>
        </w:rPr>
      </w:pPr>
    </w:p>
    <w:p>
      <w:pPr>
        <w:pStyle w:val="style157"/>
        <w:rPr>
          <w:rFonts w:ascii="Times New Roman" w:cs="Times New Roman" w:hAnsi="Times New Roman"/>
          <w:color w:val="000000"/>
          <w:sz w:val="24"/>
          <w:szCs w:val="24"/>
        </w:rPr>
      </w:pPr>
    </w:p>
    <w:p>
      <w:pPr>
        <w:pStyle w:val="style157"/>
        <w:rPr>
          <w:rFonts w:ascii="Times New Roman" w:cs="Times New Roman" w:hAnsi="Times New Roman"/>
          <w:color w:val="000000"/>
          <w:sz w:val="24"/>
          <w:szCs w:val="24"/>
        </w:rPr>
      </w:pPr>
    </w:p>
    <w:sectPr>
      <w:pgSz w:w="11906" w:h="16838" w:orient="portrait"/>
      <w:pgMar w:top="1361" w:right="1440" w:bottom="1361" w:left="1440" w:header="709" w:footer="709"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Ameilia Zuliyanti Siregar" w:date="2025-03-24T23:09:00Z" w:initials="Ameilia Z">
    <w:p w14:paraId="1">
      <w:r>
        <w:rPr/>
        <w:annotationRef/>
      </w:r>
      <w:r>
        <w:t>Please added discussion about life cycles of pest related with environmental factors, especially time of planting and water level.</w:t>
      </w:r>
    </w:p>
  </w:comment>
  <w:comment w:id="2" w:author="Ameilia Zuliyanti Siregar" w:date="2025-03-24T23:11:00Z" w:initials="Ameilia Z">
    <w:p w14:paraId="2">
      <w:r>
        <w:rPr/>
        <w:annotationRef/>
      </w:r>
      <w:r>
        <w:t>Put the score of maximum temperature in the morning</w:t>
      </w:r>
    </w:p>
  </w:comment>
  <w:comment w:id="3" w:author="Ameilia Zuliyanti Siregar" w:date="2025-03-24T23:12:00Z" w:initials="Ameilia Z">
    <w:p w14:paraId="3">
      <w:r>
        <w:rPr/>
        <w:annotationRef/>
      </w:r>
      <w:r>
        <w:t>put the score for suitable to grow up insects in environmental systems.</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obje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o:OLEObject Type="EMBED" ProgID="Excel.Chart.8" ShapeID="4098" DrawAspect="Content" ObjectID="0" r:id="rId1"/>
      </w:obje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908CF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nsid w:val="00000001"/>
    <w:multiLevelType w:val="multilevel"/>
    <w:tmpl w:val="5E4E3C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eastAsia="Calibri" w:hAnsi="Times New Roman"/>
      <w:color w:val="000000"/>
      <w:sz w:val="24"/>
      <w:szCs w:val="24"/>
      <w:lang w:val="en-US" w:eastAsia="en-US"/>
    </w:rPr>
  </w:style>
  <w:style w:type="paragraph" w:styleId="style157">
    <w:name w:val="No Spacing"/>
    <w:next w:val="style157"/>
    <w:qFormat/>
    <w:uiPriority w:val="1"/>
    <w:pPr>
      <w:spacing w:after="0" w:lineRule="auto" w:line="240"/>
    </w:pPr>
    <w:rPr>
      <w:lang w:val="en-US" w:eastAsia="en-US"/>
    </w:rPr>
  </w:style>
  <w:style w:type="character" w:customStyle="1" w:styleId="style4098">
    <w:name w:val="A2"/>
    <w:next w:val="style4098"/>
    <w:uiPriority w:val="99"/>
    <w:rPr>
      <w:rFonts w:cs="Calibri"/>
      <w:color w:val="000000"/>
      <w:sz w:val="20"/>
      <w:szCs w:val="20"/>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463a0f69-55e1-4741-93a2-d16e288def0d"/>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fd4e8c6a-27e9-4779-8d2c-ab86e849f714"/>
    <w:basedOn w:val="style65"/>
    <w:next w:val="style4100"/>
    <w:link w:val="style32"/>
    <w:uiPriority w:val="99"/>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customStyle="1" w:styleId="style4102">
    <w:name w:val="Unresolved Mention"/>
    <w:basedOn w:val="style65"/>
    <w:next w:val="style4102"/>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3.xml"/><Relationship Id="rId11" Type="http://schemas.openxmlformats.org/officeDocument/2006/relationships/chart" Target="charts/chart1.xml"/><Relationship Id="rId22" Type="http://schemas.openxmlformats.org/officeDocument/2006/relationships/customXml" Target="../customXml/item5.xml"/><Relationship Id="rId10" Type="http://schemas.openxmlformats.org/officeDocument/2006/relationships/image" Target="media/image2.png"/><Relationship Id="rId21" Type="http://schemas.openxmlformats.org/officeDocument/2006/relationships/customXml" Target="../customXml/item4.xml"/><Relationship Id="rId13" Type="http://schemas.openxmlformats.org/officeDocument/2006/relationships/chart" Target="charts/chart3.xml"/><Relationship Id="rId12" Type="http://schemas.openxmlformats.org/officeDocument/2006/relationships/chart" Target="charts/chart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image" Target="media/image1.png"/><Relationship Id="rId15" Type="http://schemas.openxmlformats.org/officeDocument/2006/relationships/fontTable" Target="fontTable.xml"/><Relationship Id="rId14" Type="http://schemas.openxmlformats.org/officeDocument/2006/relationships/styles" Target="styles.xml"/><Relationship Id="rId17" Type="http://schemas.openxmlformats.org/officeDocument/2006/relationships/theme" Target="theme/theme1.xml"/><Relationship Id="rId16" Type="http://schemas.openxmlformats.org/officeDocument/2006/relationships/settings" Target="settings.xml"/><Relationship Id="rId5" Type="http://schemas.openxmlformats.org/officeDocument/2006/relationships/header" Target="header2.xml"/><Relationship Id="rId19" Type="http://schemas.openxmlformats.org/officeDocument/2006/relationships/customXml" Target="../customXml/item2.xml"/><Relationship Id="rId6" Type="http://schemas.openxmlformats.org/officeDocument/2006/relationships/footer" Target="footer3.xml"/><Relationship Id="rId18"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header" Target="header5.xml"/></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s>
</file>

<file path=word/charts/_rels/chart1.xml.rels><?xml version="1.0" encoding="UTF-8"?>
<Relationships xmlns="http://schemas.openxmlformats.org/package/2006/relationships"><Relationship Id="rId1" Type="http://schemas.openxmlformats.org/officeDocument/2006/relationships/oleObject" TargetMode="External" Target="Book1"/><Relationship Id="rId2" Type="http://schemas.openxmlformats.org/officeDocument/2006/relationships/chartUserShapes" Target="../drawings/drawing2.xml"/></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IN"/>
          </a:p>
        </c:rich>
      </c:tx>
      <c:overlay val="0"/>
      <c:spPr>
        <a:noFill/>
        <a:ln>
          <a:noFill/>
        </a:ln>
        <a:effectLst/>
      </c:spPr>
    </c:title>
    <c:autoTitleDeleted val="0"/>
    <c:plotArea>
      <c:layout/>
      <c:barChart>
        <c:barDir val="col"/>
        <c:grouping val="clustered"/>
        <c:varyColors val="0"/>
        <c:ser>
          <c:idx val="0"/>
          <c:order val="0"/>
          <c:tx>
            <c:strRef>
              <c:f>Sheet2!$G$10</c:f>
              <c:strCache>
                <c:ptCount val="1"/>
                <c:pt idx="0">
                  <c:v>15 DAT</c:v>
                </c:pt>
              </c:strCache>
            </c:strRef>
          </c:tx>
          <c:spPr>
            <a:solidFill>
              <a:schemeClr val="accent1"/>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Sheet2!$H$10:$P$10</c:f>
              <c:numCache>
                <c:formatCode>General</c:formatCode>
                <c:ptCount val="9"/>
                <c:pt idx="0">
                  <c:v>1.75000000000000</c:v>
                </c:pt>
                <c:pt idx="1">
                  <c:v>0.0</c:v>
                </c:pt>
                <c:pt idx="2">
                  <c:v>0.0</c:v>
                </c:pt>
                <c:pt idx="3">
                  <c:v>1.5</c:v>
                </c:pt>
                <c:pt idx="4">
                  <c:v>0.0</c:v>
                </c:pt>
                <c:pt idx="5">
                  <c:v>0.0</c:v>
                </c:pt>
                <c:pt idx="6">
                  <c:v>2.5</c:v>
                </c:pt>
                <c:pt idx="7">
                  <c:v>0.0</c:v>
                </c:pt>
                <c:pt idx="8">
                  <c:v>0.0</c:v>
                </c:pt>
              </c:numCache>
            </c:numRef>
          </c:val>
        </c:ser>
        <c:ser>
          <c:idx val="1"/>
          <c:order val="1"/>
          <c:tx>
            <c:strRef>
              <c:f>Sheet2!$G$11</c:f>
              <c:strCache>
                <c:ptCount val="1"/>
                <c:pt idx="0">
                  <c:v>30 DAT</c:v>
                </c:pt>
              </c:strCache>
            </c:strRef>
          </c:tx>
          <c:spPr>
            <a:solidFill>
              <a:schemeClr val="accent2"/>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Sheet2!$H$11:$P$11</c:f>
              <c:numCache>
                <c:formatCode>General</c:formatCode>
                <c:ptCount val="9"/>
                <c:pt idx="0">
                  <c:v>5.25</c:v>
                </c:pt>
                <c:pt idx="1">
                  <c:v>1.0</c:v>
                </c:pt>
                <c:pt idx="2">
                  <c:v>19.1700000000000</c:v>
                </c:pt>
                <c:pt idx="3">
                  <c:v>5.25</c:v>
                </c:pt>
                <c:pt idx="4">
                  <c:v>0.5</c:v>
                </c:pt>
                <c:pt idx="5">
                  <c:v>8.57</c:v>
                </c:pt>
                <c:pt idx="6">
                  <c:v>11.5</c:v>
                </c:pt>
                <c:pt idx="7">
                  <c:v>0.0</c:v>
                </c:pt>
                <c:pt idx="8">
                  <c:v>0.0</c:v>
                </c:pt>
              </c:numCache>
            </c:numRef>
          </c:val>
        </c:ser>
        <c:ser>
          <c:idx val="2"/>
          <c:order val="2"/>
          <c:tx>
            <c:strRef>
              <c:f>Sheet2!$G$12</c:f>
              <c:strCache>
                <c:ptCount val="1"/>
                <c:pt idx="0">
                  <c:v>45 DAT</c:v>
                </c:pt>
              </c:strCache>
            </c:strRef>
          </c:tx>
          <c:spPr>
            <a:solidFill>
              <a:schemeClr val="accent3"/>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Sheet2!$H$12:$P$12</c:f>
              <c:numCache>
                <c:formatCode>General</c:formatCode>
                <c:ptCount val="9"/>
                <c:pt idx="0">
                  <c:v>8.75</c:v>
                </c:pt>
                <c:pt idx="1">
                  <c:v>1.25</c:v>
                </c:pt>
                <c:pt idx="2">
                  <c:v>14.82</c:v>
                </c:pt>
                <c:pt idx="3">
                  <c:v>11.25</c:v>
                </c:pt>
                <c:pt idx="4">
                  <c:v>1.5</c:v>
                </c:pt>
                <c:pt idx="5">
                  <c:v>14.66</c:v>
                </c:pt>
                <c:pt idx="6">
                  <c:v>17.25</c:v>
                </c:pt>
                <c:pt idx="7">
                  <c:v>0.5</c:v>
                </c:pt>
                <c:pt idx="8">
                  <c:v>3.57</c:v>
                </c:pt>
              </c:numCache>
            </c:numRef>
          </c:val>
        </c:ser>
        <c:ser>
          <c:idx val="3"/>
          <c:order val="3"/>
          <c:tx>
            <c:strRef>
              <c:f>Sheet2!$G$13</c:f>
              <c:strCache>
                <c:ptCount val="1"/>
                <c:pt idx="0">
                  <c:v>60 DAT</c:v>
                </c:pt>
              </c:strCache>
            </c:strRef>
          </c:tx>
          <c:spPr>
            <a:solidFill>
              <a:schemeClr val="accent4"/>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Sheet2!$H$13:$P$13</c:f>
              <c:numCache>
                <c:formatCode>General</c:formatCode>
                <c:ptCount val="9"/>
                <c:pt idx="0">
                  <c:v>14.25</c:v>
                </c:pt>
                <c:pt idx="1">
                  <c:v>1.75000000000000</c:v>
                </c:pt>
                <c:pt idx="2">
                  <c:v>13.21</c:v>
                </c:pt>
                <c:pt idx="3">
                  <c:v>11.0</c:v>
                </c:pt>
                <c:pt idx="4">
                  <c:v>1.25</c:v>
                </c:pt>
                <c:pt idx="5">
                  <c:v>11.99</c:v>
                </c:pt>
                <c:pt idx="6">
                  <c:v>16.25</c:v>
                </c:pt>
                <c:pt idx="7">
                  <c:v>1.0</c:v>
                </c:pt>
                <c:pt idx="8">
                  <c:v>6.3</c:v>
                </c:pt>
              </c:numCache>
            </c:numRef>
          </c:val>
        </c:ser>
        <c:ser>
          <c:idx val="4"/>
          <c:order val="4"/>
          <c:tx>
            <c:strRef>
              <c:f>Sheet2!$G$14</c:f>
              <c:strCache>
                <c:ptCount val="1"/>
                <c:pt idx="0">
                  <c:v>75 DAT</c:v>
                </c:pt>
              </c:strCache>
            </c:strRef>
          </c:tx>
          <c:spPr>
            <a:solidFill>
              <a:schemeClr val="accent5"/>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Sheet2!$H$14:$P$14</c:f>
              <c:numCache>
                <c:formatCode>General</c:formatCode>
                <c:ptCount val="9"/>
                <c:pt idx="0">
                  <c:v>11.5</c:v>
                </c:pt>
                <c:pt idx="1">
                  <c:v>1.75000000000000</c:v>
                </c:pt>
                <c:pt idx="2">
                  <c:v>16.37</c:v>
                </c:pt>
                <c:pt idx="3">
                  <c:v>13.0</c:v>
                </c:pt>
                <c:pt idx="4">
                  <c:v>1.5</c:v>
                </c:pt>
                <c:pt idx="5">
                  <c:v>12.44</c:v>
                </c:pt>
                <c:pt idx="6">
                  <c:v>16.75</c:v>
                </c:pt>
                <c:pt idx="7">
                  <c:v>1.5</c:v>
                </c:pt>
                <c:pt idx="8">
                  <c:v>9.86000000000000</c:v>
                </c:pt>
              </c:numCache>
            </c:numRef>
          </c:val>
        </c:ser>
        <c:ser>
          <c:idx val="5"/>
          <c:order val="5"/>
          <c:tx>
            <c:strRef>
              <c:f>Sheet2!$G$15</c:f>
              <c:strCache>
                <c:ptCount val="1"/>
                <c:pt idx="0">
                  <c:v>90 DAT</c:v>
                </c:pt>
              </c:strCache>
            </c:strRef>
          </c:tx>
          <c:spPr>
            <a:solidFill>
              <a:schemeClr val="accent6"/>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Sheet2!$H$15:$P$15</c:f>
              <c:numCache>
                <c:formatCode>General</c:formatCode>
                <c:ptCount val="9"/>
                <c:pt idx="0">
                  <c:v>9.0</c:v>
                </c:pt>
                <c:pt idx="1">
                  <c:v>1.75000000000000</c:v>
                </c:pt>
                <c:pt idx="2">
                  <c:v>20.2</c:v>
                </c:pt>
                <c:pt idx="3">
                  <c:v>9.5</c:v>
                </c:pt>
                <c:pt idx="4">
                  <c:v>1.25</c:v>
                </c:pt>
                <c:pt idx="5">
                  <c:v>13.43</c:v>
                </c:pt>
                <c:pt idx="6">
                  <c:v>16.75</c:v>
                </c:pt>
                <c:pt idx="7">
                  <c:v>1.0</c:v>
                </c:pt>
                <c:pt idx="8">
                  <c:v>6.28</c:v>
                </c:pt>
              </c:numCache>
            </c:numRef>
          </c:val>
        </c:ser>
        <c:ser>
          <c:idx val="6"/>
          <c:order val="6"/>
          <c:tx>
            <c:strRef>
              <c:f>Sheet2!$G$16</c:f>
              <c:strCache>
                <c:ptCount val="1"/>
                <c:pt idx="0">
                  <c:v>105 DAT</c:v>
                </c:pt>
              </c:strCache>
            </c:strRef>
          </c:tx>
          <c:spPr>
            <a:solidFill>
              <a:schemeClr val="accent1">
                <a:lumMod val="60000"/>
              </a:schemeClr>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Sheet2!$H$16:$P$16</c:f>
              <c:numCache>
                <c:formatCode>General</c:formatCode>
                <c:ptCount val="9"/>
                <c:pt idx="0">
                  <c:v>9.25</c:v>
                </c:pt>
                <c:pt idx="1">
                  <c:v>1.75000000000000</c:v>
                </c:pt>
                <c:pt idx="2">
                  <c:v>18.95</c:v>
                </c:pt>
                <c:pt idx="3">
                  <c:v>10.25</c:v>
                </c:pt>
                <c:pt idx="4">
                  <c:v>2.0</c:v>
                </c:pt>
                <c:pt idx="5">
                  <c:v>21.32</c:v>
                </c:pt>
                <c:pt idx="6">
                  <c:v>16.0</c:v>
                </c:pt>
                <c:pt idx="7">
                  <c:v>0.750000000000001</c:v>
                </c:pt>
                <c:pt idx="8">
                  <c:v>4.8</c:v>
                </c:pt>
              </c:numCache>
            </c:numRef>
          </c:val>
        </c:ser>
        <c:ser>
          <c:idx val="7"/>
          <c:order val="7"/>
          <c:tx>
            <c:strRef>
              <c:f>Sheet2!$G$17</c:f>
              <c:strCache>
                <c:ptCount val="1"/>
                <c:pt idx="0">
                  <c:v>Mean</c:v>
                </c:pt>
              </c:strCache>
            </c:strRef>
          </c:tx>
          <c:spPr>
            <a:solidFill>
              <a:schemeClr val="accent2">
                <a:lumMod val="60000"/>
              </a:schemeClr>
            </a:solidFill>
            <a:ln>
              <a:noFill/>
            </a:ln>
            <a:effectLst/>
          </c:spPr>
          <c:invertIfNegative val="0"/>
          <c:cat>
            <c:multiLvlStrRef>
              <c:f>Sheet2!$H$8:$P$9</c:f>
              <c:multiLvlStrCache>
                <c:ptCount val="9"/>
                <c:lvl>
                  <c:pt idx="0">
                    <c:v>Total Tiller</c:v>
                  </c:pt>
                  <c:pt idx="1">
                    <c:v>DH/WE</c:v>
                  </c:pt>
                  <c:pt idx="2">
                    <c:v>% Tiller damage</c:v>
                  </c:pt>
                  <c:pt idx="3">
                    <c:v>Total Tiller</c:v>
                  </c:pt>
                  <c:pt idx="4">
                    <c:v>DH/WE</c:v>
                  </c:pt>
                  <c:pt idx="5">
                    <c:v>% Tiller damage</c:v>
                  </c:pt>
                  <c:pt idx="6">
                    <c:v>Total Tiller</c:v>
                  </c:pt>
                  <c:pt idx="7">
                    <c:v>DH/WE</c:v>
                  </c:pt>
                  <c:pt idx="8">
                    <c:v>% Tiller damage</c:v>
                  </c:pt>
                </c:lvl>
                <c:lvl>
                  <c:pt idx="0">
                    <c:v>Puddled Direct Seedling</c:v>
                  </c:pt>
                  <c:pt idx="3">
                    <c:v>Direct Seeding</c:v>
                  </c:pt>
                  <c:pt idx="6">
                    <c:v> Normal Transplanting</c:v>
                  </c:pt>
                </c:lvl>
              </c:multiLvlStrCache>
            </c:multiLvlStrRef>
          </c:cat>
          <c:val>
            <c:numRef>
              <c:f>Sheet2!$H$17:$P$17</c:f>
              <c:numCache>
                <c:formatCode>General</c:formatCode>
                <c:ptCount val="9"/>
                <c:pt idx="0">
                  <c:v>8.54000000000000</c:v>
                </c:pt>
                <c:pt idx="1">
                  <c:v>1.32</c:v>
                </c:pt>
                <c:pt idx="2">
                  <c:v>14.67</c:v>
                </c:pt>
                <c:pt idx="3">
                  <c:v>8.82</c:v>
                </c:pt>
                <c:pt idx="4">
                  <c:v>1.14000000000000</c:v>
                </c:pt>
                <c:pt idx="5">
                  <c:v>11.77</c:v>
                </c:pt>
                <c:pt idx="6">
                  <c:v>13.8600000000000</c:v>
                </c:pt>
                <c:pt idx="7">
                  <c:v>0.680000000000001</c:v>
                </c:pt>
                <c:pt idx="8">
                  <c:v>4.4</c:v>
                </c:pt>
              </c:numCache>
            </c:numRef>
          </c:val>
        </c:ser>
        <c:dLbls>
          <c:showLegendKey val="0"/>
          <c:showVal val="0"/>
          <c:showCatName val="0"/>
          <c:showSerName val="0"/>
          <c:showPercent val="0"/>
          <c:showBubbleSize val="0"/>
        </c:dLbls>
        <c:gapWidth val="219"/>
        <c:overlap val="-27"/>
        <c:axId val="53704192"/>
        <c:axId val="53773440"/>
      </c:barChart>
      <c:catAx>
        <c:axId val="5370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773440"/>
        <c:crosses val="autoZero"/>
        <c:auto val="1"/>
        <c:lblAlgn val="ctr"/>
        <c:lblOffset val="100"/>
        <c:noMultiLvlLbl val="0"/>
      </c:catAx>
      <c:valAx>
        <c:axId val="5377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70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Leaf</a:t>
            </a:r>
            <a:r>
              <a:rPr lang="en-IN" baseline="0"/>
              <a:t> folder damage at different planting methods</a:t>
            </a:r>
            <a:endParaRPr lang="en-IN"/>
          </a:p>
        </c:rich>
      </c:tx>
      <c:overlay val="0"/>
      <c:spPr>
        <a:noFill/>
        <a:ln>
          <a:noFill/>
        </a:ln>
        <a:effectLst/>
      </c:spPr>
    </c:title>
    <c:autoTitleDeleted val="0"/>
    <c:plotArea>
      <c:layout>
        <c:manualLayout>
          <c:layoutTarget val="inner"/>
          <c:xMode val="edge"/>
          <c:yMode val="edge"/>
          <c:x val="0.07389926850859618"/>
          <c:y val="0.17171296296296298"/>
          <c:w val="0.9261007314914038"/>
          <c:h val="0.48682086614173226"/>
        </c:manualLayout>
      </c:layout>
      <c:barChart>
        <c:barDir val="col"/>
        <c:grouping val="clustered"/>
        <c:varyColors val="0"/>
        <c:ser>
          <c:idx val="0"/>
          <c:order val="0"/>
          <c:tx>
            <c:strRef>
              <c:f>Sheet2!$G$22</c:f>
              <c:strCache>
                <c:ptCount val="1"/>
                <c:pt idx="0">
                  <c:v>15 DAT</c:v>
                </c:pt>
              </c:strCache>
            </c:strRef>
          </c:tx>
          <c:spPr>
            <a:solidFill>
              <a:schemeClr val="accent1"/>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Sheet2!$H$22:$P$22</c:f>
              <c:numCache>
                <c:formatCode>General</c:formatCode>
                <c:ptCount val="9"/>
                <c:pt idx="0">
                  <c:v>6.5</c:v>
                </c:pt>
                <c:pt idx="1">
                  <c:v>0.0</c:v>
                </c:pt>
                <c:pt idx="2">
                  <c:v>0.0</c:v>
                </c:pt>
                <c:pt idx="3">
                  <c:v>5.75</c:v>
                </c:pt>
                <c:pt idx="4">
                  <c:v>0.0</c:v>
                </c:pt>
                <c:pt idx="5">
                  <c:v>0.0</c:v>
                </c:pt>
                <c:pt idx="6">
                  <c:v>8.75</c:v>
                </c:pt>
                <c:pt idx="7">
                  <c:v>0.25</c:v>
                </c:pt>
                <c:pt idx="8">
                  <c:v>3.57</c:v>
                </c:pt>
              </c:numCache>
            </c:numRef>
          </c:val>
        </c:ser>
        <c:ser>
          <c:idx val="1"/>
          <c:order val="1"/>
          <c:tx>
            <c:strRef>
              <c:f>Sheet2!$G$23</c:f>
              <c:strCache>
                <c:ptCount val="1"/>
                <c:pt idx="0">
                  <c:v>30 DAT</c:v>
                </c:pt>
              </c:strCache>
            </c:strRef>
          </c:tx>
          <c:spPr>
            <a:solidFill>
              <a:schemeClr val="accent2"/>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Sheet2!$H$23:$P$23</c:f>
              <c:numCache>
                <c:formatCode>General</c:formatCode>
                <c:ptCount val="9"/>
                <c:pt idx="0">
                  <c:v>20.25</c:v>
                </c:pt>
                <c:pt idx="1">
                  <c:v>2.75</c:v>
                </c:pt>
                <c:pt idx="2">
                  <c:v>14.78</c:v>
                </c:pt>
                <c:pt idx="3">
                  <c:v>18.0</c:v>
                </c:pt>
                <c:pt idx="4">
                  <c:v>3.0</c:v>
                </c:pt>
                <c:pt idx="5">
                  <c:v>17.2800000000000</c:v>
                </c:pt>
                <c:pt idx="6">
                  <c:v>40.25</c:v>
                </c:pt>
                <c:pt idx="7">
                  <c:v>6.75</c:v>
                </c:pt>
                <c:pt idx="8">
                  <c:v>17.72</c:v>
                </c:pt>
              </c:numCache>
            </c:numRef>
          </c:val>
        </c:ser>
        <c:ser>
          <c:idx val="2"/>
          <c:order val="2"/>
          <c:tx>
            <c:strRef>
              <c:f>Sheet2!$G$24</c:f>
              <c:strCache>
                <c:ptCount val="1"/>
                <c:pt idx="0">
                  <c:v>45 DAT</c:v>
                </c:pt>
              </c:strCache>
            </c:strRef>
          </c:tx>
          <c:spPr>
            <a:solidFill>
              <a:schemeClr val="accent3"/>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Sheet2!$H$24:$P$24</c:f>
              <c:numCache>
                <c:formatCode>General</c:formatCode>
                <c:ptCount val="9"/>
                <c:pt idx="0">
                  <c:v>28.0</c:v>
                </c:pt>
                <c:pt idx="1">
                  <c:v>3.0</c:v>
                </c:pt>
                <c:pt idx="2">
                  <c:v>11.7</c:v>
                </c:pt>
                <c:pt idx="3">
                  <c:v>31.0</c:v>
                </c:pt>
                <c:pt idx="4">
                  <c:v>3.75</c:v>
                </c:pt>
                <c:pt idx="5">
                  <c:v>13.16</c:v>
                </c:pt>
                <c:pt idx="6">
                  <c:v>67.5</c:v>
                </c:pt>
                <c:pt idx="7">
                  <c:v>10.75</c:v>
                </c:pt>
                <c:pt idx="8">
                  <c:v>16.29</c:v>
                </c:pt>
              </c:numCache>
            </c:numRef>
          </c:val>
        </c:ser>
        <c:ser>
          <c:idx val="3"/>
          <c:order val="3"/>
          <c:tx>
            <c:strRef>
              <c:f>Sheet2!$G$25</c:f>
              <c:strCache>
                <c:ptCount val="1"/>
                <c:pt idx="0">
                  <c:v>60 DAT</c:v>
                </c:pt>
              </c:strCache>
            </c:strRef>
          </c:tx>
          <c:spPr>
            <a:solidFill>
              <a:schemeClr val="accent4"/>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Sheet2!$H$25:$P$25</c:f>
              <c:numCache>
                <c:formatCode>General</c:formatCode>
                <c:ptCount val="9"/>
                <c:pt idx="0">
                  <c:v>41.25</c:v>
                </c:pt>
                <c:pt idx="1">
                  <c:v>4.25</c:v>
                </c:pt>
                <c:pt idx="2">
                  <c:v>10.82</c:v>
                </c:pt>
                <c:pt idx="3">
                  <c:v>30.25</c:v>
                </c:pt>
                <c:pt idx="4">
                  <c:v>3.25</c:v>
                </c:pt>
                <c:pt idx="5">
                  <c:v>11.74</c:v>
                </c:pt>
                <c:pt idx="6">
                  <c:v>61.5</c:v>
                </c:pt>
                <c:pt idx="7">
                  <c:v>12.0</c:v>
                </c:pt>
                <c:pt idx="8">
                  <c:v>19.82</c:v>
                </c:pt>
              </c:numCache>
            </c:numRef>
          </c:val>
        </c:ser>
        <c:ser>
          <c:idx val="4"/>
          <c:order val="4"/>
          <c:tx>
            <c:strRef>
              <c:f>Sheet2!$G$26</c:f>
              <c:strCache>
                <c:ptCount val="1"/>
                <c:pt idx="0">
                  <c:v>75 DAT</c:v>
                </c:pt>
              </c:strCache>
            </c:strRef>
          </c:tx>
          <c:spPr>
            <a:solidFill>
              <a:schemeClr val="accent5"/>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Sheet2!$H$26:$P$26</c:f>
              <c:numCache>
                <c:formatCode>General</c:formatCode>
                <c:ptCount val="9"/>
                <c:pt idx="0">
                  <c:v>31.5</c:v>
                </c:pt>
                <c:pt idx="1">
                  <c:v>6.0</c:v>
                </c:pt>
                <c:pt idx="2">
                  <c:v>20.14</c:v>
                </c:pt>
                <c:pt idx="3">
                  <c:v>33.0</c:v>
                </c:pt>
                <c:pt idx="4">
                  <c:v>5.5</c:v>
                </c:pt>
                <c:pt idx="5">
                  <c:v>18.06</c:v>
                </c:pt>
                <c:pt idx="6">
                  <c:v>61.25</c:v>
                </c:pt>
                <c:pt idx="7">
                  <c:v>12.5</c:v>
                </c:pt>
                <c:pt idx="8">
                  <c:v>21.04</c:v>
                </c:pt>
              </c:numCache>
            </c:numRef>
          </c:val>
        </c:ser>
        <c:ser>
          <c:idx val="5"/>
          <c:order val="5"/>
          <c:tx>
            <c:strRef>
              <c:f>Sheet2!$G$27</c:f>
              <c:strCache>
                <c:ptCount val="1"/>
                <c:pt idx="0">
                  <c:v>90 DAT</c:v>
                </c:pt>
              </c:strCache>
            </c:strRef>
          </c:tx>
          <c:spPr>
            <a:solidFill>
              <a:schemeClr val="accent6"/>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Sheet2!$H$27:$P$27</c:f>
              <c:numCache>
                <c:formatCode>General</c:formatCode>
                <c:ptCount val="9"/>
                <c:pt idx="0">
                  <c:v>27.25</c:v>
                </c:pt>
                <c:pt idx="1">
                  <c:v>3.5</c:v>
                </c:pt>
                <c:pt idx="2">
                  <c:v>13.93</c:v>
                </c:pt>
                <c:pt idx="3">
                  <c:v>25.5</c:v>
                </c:pt>
                <c:pt idx="4">
                  <c:v>3.5</c:v>
                </c:pt>
                <c:pt idx="5">
                  <c:v>13.32</c:v>
                </c:pt>
                <c:pt idx="6">
                  <c:v>63.5</c:v>
                </c:pt>
                <c:pt idx="7">
                  <c:v>9.0</c:v>
                </c:pt>
                <c:pt idx="8">
                  <c:v>14.55</c:v>
                </c:pt>
              </c:numCache>
            </c:numRef>
          </c:val>
        </c:ser>
        <c:ser>
          <c:idx val="6"/>
          <c:order val="6"/>
          <c:tx>
            <c:strRef>
              <c:f>Sheet2!$G$28</c:f>
              <c:strCache>
                <c:ptCount val="1"/>
                <c:pt idx="0">
                  <c:v>105 DAT</c:v>
                </c:pt>
              </c:strCache>
            </c:strRef>
          </c:tx>
          <c:spPr>
            <a:solidFill>
              <a:schemeClr val="accent1">
                <a:lumMod val="60000"/>
              </a:schemeClr>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Sheet2!$H$28:$P$28</c:f>
              <c:numCache>
                <c:formatCode>General</c:formatCode>
                <c:ptCount val="9"/>
                <c:pt idx="0">
                  <c:v>30.5</c:v>
                </c:pt>
                <c:pt idx="1">
                  <c:v>3.25</c:v>
                </c:pt>
                <c:pt idx="2">
                  <c:v>10.68</c:v>
                </c:pt>
                <c:pt idx="3">
                  <c:v>27.5</c:v>
                </c:pt>
                <c:pt idx="4">
                  <c:v>3.75</c:v>
                </c:pt>
                <c:pt idx="5">
                  <c:v>16.2800000000000</c:v>
                </c:pt>
                <c:pt idx="6">
                  <c:v>60.0</c:v>
                </c:pt>
                <c:pt idx="7">
                  <c:v>8.75</c:v>
                </c:pt>
                <c:pt idx="8">
                  <c:v>14.72</c:v>
                </c:pt>
              </c:numCache>
            </c:numRef>
          </c:val>
        </c:ser>
        <c:ser>
          <c:idx val="7"/>
          <c:order val="7"/>
          <c:tx>
            <c:strRef>
              <c:f>Sheet2!$G$29</c:f>
              <c:strCache>
                <c:ptCount val="1"/>
                <c:pt idx="0">
                  <c:v>Mean</c:v>
                </c:pt>
              </c:strCache>
            </c:strRef>
          </c:tx>
          <c:spPr>
            <a:solidFill>
              <a:schemeClr val="accent2">
                <a:lumMod val="60000"/>
              </a:schemeClr>
            </a:solidFill>
            <a:ln>
              <a:noFill/>
            </a:ln>
            <a:effectLst/>
          </c:spPr>
          <c:invertIfNegative val="0"/>
          <c:cat>
            <c:multiLvlStrRef>
              <c:f>Sheet2!$H$20:$P$21</c:f>
              <c:multiLvlStrCache>
                <c:ptCount val="9"/>
                <c:lvl>
                  <c:pt idx="0">
                    <c:v>Total leaves</c:v>
                  </c:pt>
                  <c:pt idx="1">
                    <c:v>Damaged leaves/hill</c:v>
                  </c:pt>
                  <c:pt idx="2">
                    <c:v>% Leaves damage</c:v>
                  </c:pt>
                  <c:pt idx="3">
                    <c:v>Total leaves</c:v>
                  </c:pt>
                  <c:pt idx="4">
                    <c:v>Damaged leaves/hill</c:v>
                  </c:pt>
                  <c:pt idx="5">
                    <c:v>% Leaves damage</c:v>
                  </c:pt>
                  <c:pt idx="6">
                    <c:v>Total Leaves</c:v>
                  </c:pt>
                  <c:pt idx="7">
                    <c:v>Damaged leaves/hill</c:v>
                  </c:pt>
                  <c:pt idx="8">
                    <c:v>% Leaves damage</c:v>
                  </c:pt>
                </c:lvl>
                <c:lvl>
                  <c:pt idx="0">
                    <c:v>Puddled Direct Seedling</c:v>
                  </c:pt>
                  <c:pt idx="3">
                    <c:v>Direct Seeding</c:v>
                  </c:pt>
                  <c:pt idx="6">
                    <c:v> Normal Transplanting</c:v>
                  </c:pt>
                </c:lvl>
              </c:multiLvlStrCache>
            </c:multiLvlStrRef>
          </c:cat>
          <c:val>
            <c:numRef>
              <c:f>Sheet2!$H$29:$P$29</c:f>
              <c:numCache>
                <c:formatCode>General</c:formatCode>
                <c:ptCount val="9"/>
                <c:pt idx="0">
                  <c:v>26.4600000000000</c:v>
                </c:pt>
                <c:pt idx="1">
                  <c:v>3.25</c:v>
                </c:pt>
                <c:pt idx="2">
                  <c:v>11.72</c:v>
                </c:pt>
                <c:pt idx="3">
                  <c:v>24.43</c:v>
                </c:pt>
                <c:pt idx="4">
                  <c:v>3.25</c:v>
                </c:pt>
                <c:pt idx="5">
                  <c:v>12.83</c:v>
                </c:pt>
                <c:pt idx="6">
                  <c:v>51.82</c:v>
                </c:pt>
                <c:pt idx="7">
                  <c:v>8.57</c:v>
                </c:pt>
                <c:pt idx="8">
                  <c:v>15.39</c:v>
                </c:pt>
              </c:numCache>
            </c:numRef>
          </c:val>
        </c:ser>
        <c:dLbls>
          <c:showLegendKey val="0"/>
          <c:showVal val="0"/>
          <c:showCatName val="0"/>
          <c:showSerName val="0"/>
          <c:showPercent val="0"/>
          <c:showBubbleSize val="0"/>
        </c:dLbls>
        <c:gapWidth val="219"/>
        <c:overlap val="-27"/>
        <c:axId val="51192960"/>
        <c:axId val="51194496"/>
      </c:barChart>
      <c:catAx>
        <c:axId val="5119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194496"/>
        <c:crosses val="autoZero"/>
        <c:auto val="1"/>
        <c:lblAlgn val="ctr"/>
        <c:lblOffset val="100"/>
        <c:noMultiLvlLbl val="0"/>
      </c:catAx>
      <c:valAx>
        <c:axId val="5119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19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defTabSz="914400" eaLnBrk="1" fontAlgn="auto" hangingPunct="1" indent="0" latinLnBrk="0" lvl="0" marL="0" marR="0" rtl="0">
              <a:lnSpc>
                <a:spcPct val="100000"/>
              </a:lnSpc>
              <a:spcBef>
                <a:spcPts val="0"/>
              </a:spcBef>
              <a:spcAft>
                <a:spcPts val="0"/>
              </a:spcAft>
              <a:buClrTx/>
              <a:buSzTx/>
              <a:buFontTx/>
              <a:buNone/>
              <a:tabLst/>
              <a:defRPr lang="en-US" sz="1400" b="0" i="0" u="none" strike="noStrike" kern="1200" spc="0" baseline="0">
                <a:solidFill>
                  <a:sysClr val="windowText" lastClr="000000">
                    <a:lumMod val="65000"/>
                    <a:lumOff val="35000"/>
                  </a:sysClr>
                </a:solidFill>
                <a:latin typeface="+mn-lt"/>
                <a:ea typeface="+mn-ea"/>
                <a:cs typeface="+mn-cs"/>
              </a:defRPr>
            </a:pPr>
            <a:r>
              <a:rPr lang="en-IN"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Meteorological parameters during  </a:t>
            </a:r>
            <a:r>
              <a:rPr lang="en-IN"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kharif </a:t>
            </a:r>
            <a:r>
              <a:rPr lang="en-IN"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2019 and 2020</a:t>
            </a:r>
            <a:endParaRPr lang="en-IN" sz="14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layout>
        <c:manualLayout>
          <c:xMode val="edge"/>
          <c:yMode val="edge"/>
          <c:x val="0.159547058596568"/>
          <c:y val="0.030234361300490786"/>
        </c:manualLayout>
      </c:layout>
      <c:overlay val="0"/>
      <c:spPr>
        <a:noFill/>
        <a:ln>
          <a:noFill/>
        </a:ln>
        <a:effectLst/>
      </c:spPr>
    </c:title>
    <c:autoTitleDeleted val="0"/>
    <c:view3D>
      <c:rotX val="15"/>
      <c:rotY val="20"/>
      <c:rAngAx val="0"/>
    </c:view3D>
    <c:plotArea>
      <c:layout/>
      <c:barChart>
        <c:barDir val="col"/>
        <c:grouping val="clustered"/>
        <c:varyColors val="0"/>
        <c:ser>
          <c:idx val="0"/>
          <c:order val="0"/>
          <c:tx>
            <c:strRef>
              <c:f>Sheet1!$K$11:$K$12</c:f>
              <c:strCache>
                <c:ptCount val="2"/>
                <c:pt idx="0">
                  <c:v>Temperature (0C)</c:v>
                </c:pt>
                <c:pt idx="1">
                  <c:v>Max</c:v>
                </c:pt>
              </c:strCache>
            </c:strRef>
          </c:tx>
          <c:spPr>
            <a:solidFill>
              <a:schemeClr val="accent1"/>
            </a:solidFill>
            <a:ln>
              <a:noFill/>
            </a:ln>
            <a:effectLst/>
          </c:spPr>
          <c:invertIfNegative val="0"/>
          <c:dLbls>
            <c:delete val="1"/>
          </c:dLbls>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Sheet1!$K$13:$K$20</c:f>
              <c:numCache>
                <c:formatCode>General</c:formatCode>
                <c:ptCount val="8"/>
                <c:pt idx="0">
                  <c:v>30.4</c:v>
                </c:pt>
                <c:pt idx="1">
                  <c:v>34.2</c:v>
                </c:pt>
                <c:pt idx="2">
                  <c:v>33.6</c:v>
                </c:pt>
                <c:pt idx="3">
                  <c:v>34.0</c:v>
                </c:pt>
                <c:pt idx="4">
                  <c:v>33.3</c:v>
                </c:pt>
                <c:pt idx="5">
                  <c:v>31.0</c:v>
                </c:pt>
                <c:pt idx="6">
                  <c:v>28.8</c:v>
                </c:pt>
                <c:pt idx="7">
                  <c:v>31.6</c:v>
                </c:pt>
              </c:numCache>
            </c:numRef>
          </c:val>
        </c:ser>
        <c:ser>
          <c:idx val="1"/>
          <c:order val="1"/>
          <c:tx>
            <c:strRef>
              <c:f>Sheet1!$L$11:$L$12</c:f>
              <c:strCache>
                <c:ptCount val="2"/>
                <c:pt idx="0">
                  <c:v>Temperature (0C)</c:v>
                </c:pt>
                <c:pt idx="1">
                  <c:v>Min</c:v>
                </c:pt>
              </c:strCache>
            </c:strRef>
          </c:tx>
          <c:spPr>
            <a:solidFill>
              <a:schemeClr val="accent2"/>
            </a:solidFill>
            <a:ln>
              <a:noFill/>
            </a:ln>
            <a:effectLst/>
          </c:spPr>
          <c:invertIfNegative val="0"/>
          <c:dLbls>
            <c:delete val="1"/>
          </c:dLbls>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Sheet1!$L$13:$L$20</c:f>
              <c:numCache>
                <c:formatCode>General</c:formatCode>
                <c:ptCount val="8"/>
                <c:pt idx="0">
                  <c:v>25.2</c:v>
                </c:pt>
                <c:pt idx="1">
                  <c:v>27.0</c:v>
                </c:pt>
                <c:pt idx="2">
                  <c:v>26.3</c:v>
                </c:pt>
                <c:pt idx="3">
                  <c:v>26.5</c:v>
                </c:pt>
                <c:pt idx="4">
                  <c:v>27.0</c:v>
                </c:pt>
                <c:pt idx="5">
                  <c:v>24.0</c:v>
                </c:pt>
                <c:pt idx="6">
                  <c:v>23.5</c:v>
                </c:pt>
                <c:pt idx="7">
                  <c:v>28.8</c:v>
                </c:pt>
              </c:numCache>
            </c:numRef>
          </c:val>
        </c:ser>
        <c:ser>
          <c:idx val="2"/>
          <c:order val="2"/>
          <c:tx>
            <c:strRef>
              <c:f>Sheet1!$M$11:$M$12</c:f>
              <c:strCache>
                <c:ptCount val="2"/>
                <c:pt idx="0">
                  <c:v>Relative Humidity (%)</c:v>
                </c:pt>
                <c:pt idx="1">
                  <c:v>Morning</c:v>
                </c:pt>
              </c:strCache>
            </c:strRef>
          </c:tx>
          <c:spPr>
            <a:solidFill>
              <a:schemeClr val="accent3"/>
            </a:solidFill>
            <a:ln>
              <a:noFill/>
            </a:ln>
            <a:effectLst/>
          </c:spPr>
          <c:invertIfNegative val="0"/>
          <c:dLbls>
            <c:delete val="1"/>
          </c:dLbls>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Sheet1!$M$13:$M$20</c:f>
              <c:numCache>
                <c:formatCode>General</c:formatCode>
                <c:ptCount val="8"/>
                <c:pt idx="0">
                  <c:v>92.0</c:v>
                </c:pt>
                <c:pt idx="1">
                  <c:v>87.0</c:v>
                </c:pt>
                <c:pt idx="2">
                  <c:v>90.0</c:v>
                </c:pt>
                <c:pt idx="3">
                  <c:v>92.0</c:v>
                </c:pt>
                <c:pt idx="4">
                  <c:v>85.0</c:v>
                </c:pt>
                <c:pt idx="5">
                  <c:v>92.0</c:v>
                </c:pt>
                <c:pt idx="6">
                  <c:v>94.0</c:v>
                </c:pt>
                <c:pt idx="7">
                  <c:v>91.0</c:v>
                </c:pt>
              </c:numCache>
            </c:numRef>
          </c:val>
        </c:ser>
        <c:ser>
          <c:idx val="3"/>
          <c:order val="3"/>
          <c:tx>
            <c:strRef>
              <c:f>Sheet1!$N$11:$N$12</c:f>
              <c:strCache>
                <c:ptCount val="2"/>
                <c:pt idx="0">
                  <c:v>Relative Humidity (%)</c:v>
                </c:pt>
                <c:pt idx="1">
                  <c:v>Evening</c:v>
                </c:pt>
              </c:strCache>
            </c:strRef>
          </c:tx>
          <c:spPr>
            <a:solidFill>
              <a:schemeClr val="accent4"/>
            </a:solidFill>
            <a:ln>
              <a:noFill/>
            </a:ln>
            <a:effectLst/>
          </c:spPr>
          <c:invertIfNegative val="0"/>
          <c:dLbls>
            <c:delete val="1"/>
          </c:dLbls>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Sheet1!$N$13:$N$20</c:f>
              <c:numCache>
                <c:formatCode>General</c:formatCode>
                <c:ptCount val="8"/>
                <c:pt idx="0">
                  <c:v>76.0</c:v>
                </c:pt>
                <c:pt idx="1">
                  <c:v>71.0</c:v>
                </c:pt>
                <c:pt idx="2">
                  <c:v>76.0</c:v>
                </c:pt>
                <c:pt idx="3">
                  <c:v>76.0</c:v>
                </c:pt>
                <c:pt idx="4">
                  <c:v>73.0</c:v>
                </c:pt>
                <c:pt idx="5">
                  <c:v>78.0</c:v>
                </c:pt>
                <c:pt idx="6">
                  <c:v>83.0</c:v>
                </c:pt>
                <c:pt idx="7">
                  <c:v>83.0</c:v>
                </c:pt>
              </c:numCache>
            </c:numRef>
          </c:val>
        </c:ser>
        <c:dLbls>
          <c:showLegendKey val="0"/>
          <c:showVal val="1"/>
          <c:showCatName val="0"/>
          <c:showSerName val="0"/>
          <c:showPercent val="0"/>
          <c:showBubbleSize val="0"/>
        </c:dLbls>
        <c:gapWidth val="247"/>
        <c:axId val="51245440"/>
        <c:axId val="51246976"/>
      </c:barChart>
      <c:lineChart>
        <c:grouping val="standard"/>
        <c:varyColors val="0"/>
        <c:ser>
          <c:idx val="4"/>
          <c:order val="4"/>
          <c:tx>
            <c:strRef>
              <c:f>Sheet1!$O$11:$O$12</c:f>
              <c:strCache>
                <c:ptCount val="2"/>
                <c:pt idx="0">
                  <c:v>Wind speed</c:v>
                </c:pt>
                <c:pt idx="1">
                  <c:v>(Km/hr.)</c:v>
                </c:pt>
              </c:strCache>
            </c:strRef>
          </c:tx>
          <c:spPr>
            <a:ln w="28575" cap="rnd">
              <a:solidFill>
                <a:schemeClr val="accent5"/>
              </a:solidFill>
              <a:round/>
            </a:ln>
            <a:effectLst/>
          </c:spPr>
          <c:marker>
            <c:symbol val="none"/>
          </c:marker>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Sheet1!$O$13:$O$20</c:f>
              <c:numCache>
                <c:formatCode>General</c:formatCode>
                <c:ptCount val="8"/>
                <c:pt idx="0">
                  <c:v>5.3</c:v>
                </c:pt>
                <c:pt idx="1">
                  <c:v>7.4</c:v>
                </c:pt>
                <c:pt idx="2">
                  <c:v>4.6</c:v>
                </c:pt>
                <c:pt idx="3">
                  <c:v>5.3</c:v>
                </c:pt>
                <c:pt idx="4">
                  <c:v>6.1</c:v>
                </c:pt>
                <c:pt idx="5">
                  <c:v>1.5</c:v>
                </c:pt>
                <c:pt idx="6">
                  <c:v>0.2</c:v>
                </c:pt>
                <c:pt idx="7">
                  <c:v>0.0</c:v>
                </c:pt>
              </c:numCache>
            </c:numRef>
          </c:val>
          <c:smooth val="0"/>
        </c:ser>
        <c:ser>
          <c:idx val="5"/>
          <c:order val="5"/>
          <c:tx>
            <c:strRef>
              <c:f>Sheet1!$P$11:$P$12</c:f>
              <c:strCache>
                <c:ptCount val="2"/>
                <c:pt idx="0">
                  <c:v>Rainfall </c:v>
                </c:pt>
                <c:pt idx="1">
                  <c:v>(mm)</c:v>
                </c:pt>
              </c:strCache>
            </c:strRef>
          </c:tx>
          <c:spPr>
            <a:ln w="28575" cap="rnd">
              <a:solidFill>
                <a:schemeClr val="accent6"/>
              </a:solidFill>
              <a:round/>
            </a:ln>
            <a:effectLst/>
          </c:spPr>
          <c:marker>
            <c:symbol val="none"/>
          </c:marker>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Sheet1!$P$13:$P$20</c:f>
              <c:numCache>
                <c:formatCode>General</c:formatCode>
                <c:ptCount val="8"/>
                <c:pt idx="0">
                  <c:v>138.7</c:v>
                </c:pt>
                <c:pt idx="1">
                  <c:v>2.8</c:v>
                </c:pt>
                <c:pt idx="2">
                  <c:v>100.7</c:v>
                </c:pt>
                <c:pt idx="3">
                  <c:v>8.2</c:v>
                </c:pt>
                <c:pt idx="4">
                  <c:v>0.0</c:v>
                </c:pt>
                <c:pt idx="5">
                  <c:v>78.2</c:v>
                </c:pt>
                <c:pt idx="6">
                  <c:v>6.6</c:v>
                </c:pt>
                <c:pt idx="7">
                  <c:v>0.0</c:v>
                </c:pt>
              </c:numCache>
            </c:numRef>
          </c:val>
          <c:smooth val="0"/>
        </c:ser>
        <c:ser>
          <c:idx val="6"/>
          <c:order val="6"/>
          <c:tx>
            <c:strRef>
              <c:f>Sheet1!$Q$11:$Q$12</c:f>
              <c:strCache>
                <c:ptCount val="2"/>
                <c:pt idx="0">
                  <c:v>Evaporation</c:v>
                </c:pt>
                <c:pt idx="1">
                  <c:v>(mm)</c:v>
                </c:pt>
              </c:strCache>
            </c:strRef>
          </c:tx>
          <c:spPr>
            <a:ln w="28575" cap="rnd">
              <a:solidFill>
                <a:schemeClr val="accent1">
                  <a:lumMod val="60000"/>
                </a:schemeClr>
              </a:solidFill>
              <a:round/>
            </a:ln>
            <a:effectLst/>
          </c:spPr>
          <c:marker>
            <c:symbol val="none"/>
          </c:marker>
          <c:cat>
            <c:strRef>
              <c:f>Sheet1!$J$13:$J$20</c:f>
              <c:strCache>
                <c:ptCount val="8"/>
                <c:pt idx="0">
                  <c:v>15 DAT</c:v>
                </c:pt>
                <c:pt idx="1">
                  <c:v>30 DAT</c:v>
                </c:pt>
                <c:pt idx="2">
                  <c:v>45 DAT</c:v>
                </c:pt>
                <c:pt idx="3">
                  <c:v>50 DAT</c:v>
                </c:pt>
                <c:pt idx="4">
                  <c:v>60 DAT</c:v>
                </c:pt>
                <c:pt idx="5">
                  <c:v>75 DAT</c:v>
                </c:pt>
                <c:pt idx="6">
                  <c:v>90 DAT</c:v>
                </c:pt>
                <c:pt idx="7">
                  <c:v>105 DAT</c:v>
                </c:pt>
              </c:strCache>
            </c:strRef>
          </c:cat>
          <c:val>
            <c:numRef>
              <c:f>Sheet1!$Q$13:$Q$20</c:f>
              <c:numCache>
                <c:formatCode>General</c:formatCode>
                <c:ptCount val="8"/>
                <c:pt idx="0">
                  <c:v>4.2</c:v>
                </c:pt>
                <c:pt idx="1">
                  <c:v>4.9</c:v>
                </c:pt>
                <c:pt idx="2">
                  <c:v>5.2</c:v>
                </c:pt>
                <c:pt idx="3">
                  <c:v>4.7</c:v>
                </c:pt>
                <c:pt idx="4">
                  <c:v>3.4</c:v>
                </c:pt>
                <c:pt idx="5">
                  <c:v>2.1</c:v>
                </c:pt>
                <c:pt idx="6">
                  <c:v>2.7</c:v>
                </c:pt>
                <c:pt idx="7">
                  <c:v>3.4</c:v>
                </c:pt>
              </c:numCache>
            </c:numRef>
          </c:val>
          <c:smooth val="0"/>
        </c:ser>
        <c:dLbls>
          <c:showLegendKey val="0"/>
          <c:showVal val="0"/>
          <c:showCatName val="0"/>
          <c:showSerName val="0"/>
          <c:showPercent val="0"/>
          <c:showBubbleSize val="0"/>
        </c:dLbls>
        <c:marker val="1"/>
        <c:smooth val="0"/>
        <c:axId val="51262592"/>
        <c:axId val="51248512"/>
      </c:lineChart>
      <c:catAx>
        <c:axId val="512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246976"/>
        <c:crosses val="autoZero"/>
        <c:auto val="1"/>
        <c:lblAlgn val="ctr"/>
        <c:lblOffset val="100"/>
        <c:noMultiLvlLbl val="0"/>
      </c:catAx>
      <c:valAx>
        <c:axId val="512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245440"/>
        <c:crosses val="autoZero"/>
        <c:crossBetween val="between"/>
      </c:valAx>
      <c:valAx>
        <c:axId val="5124851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262592"/>
        <c:crosses val="max"/>
        <c:crossBetween val="between"/>
      </c:valAx>
      <c:catAx>
        <c:axId val="51262592"/>
        <c:scaling>
          <c:orientation val="minMax"/>
        </c:scaling>
        <c:delete val="1"/>
        <c:axPos val="b"/>
        <c:numFmt formatCode="General" sourceLinked="1"/>
        <c:majorTickMark val="none"/>
        <c:minorTickMark val="none"/>
        <c:tickLblPos val="nextTo"/>
        <c:crossAx val="512485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_rels/drawing2.xml.rels><?xml version="1.0" encoding="UTF-8"?>
<Relationships xmlns="http://schemas.openxmlformats.org/package/2006/relationships"><Relationship Id="rId1" Type="http://schemas.openxmlformats.org/officeDocument/2006/relationships/image" Target="../media/image0.emf"/></Relationships>
</file>

<file path=word/drawings/drawing2.xml><?xml version="1.0" encoding="utf-8"?>
<c:userShapes xmlns:c="http://schemas.openxmlformats.org/drawingml/2006/chart">
  <cdr:relSizeAnchor xmlns:cdr="http://schemas.openxmlformats.org/drawingml/2006/chartDrawing">
    <cdr:from>
      <cdr:x>0.11631</cdr:x>
      <cdr:y>0.03519</cdr:y>
    </cdr:from>
    <cdr:to>
      <cdr:x>0.92243</cdr:x>
      <cdr:y>0.17362</cdr:y>
    </cdr:to>
    <cdr:pic>
      <cdr:nvPicPr>
        <cdr:cNvPr id="2" name="chart">
          <a:extLst xmlns:a="http://schemas.openxmlformats.org/drawingml/2006/main">
            <a:ext uri="{FF2B5EF4-FFF2-40B4-BE49-F238E27FC236}">
              <a16:creationId xmlns:a16="http://schemas.microsoft.com/office/drawing/2014/main" id="{E02541C3-07F7-AE74-3565-2A45D6D77EC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86740" y="91440"/>
          <a:ext cx="4066384" cy="3596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41F202E-8B19-483B-871E-DA3B635B7D27}">
  <ds:schemaRefs>
    <ds:schemaRef ds:uri="http://schemas.openxmlformats.org/officeDocument/2006/bibliography"/>
  </ds:schemaRefs>
</ds:datastoreItem>
</file>

<file path=customXml/itemProps2.xml><?xml version="1.0" encoding="utf-8"?>
<ds:datastoreItem xmlns:ds="http://schemas.openxmlformats.org/officeDocument/2006/customXml" ds:itemID="{69a0fd6b-af33-4db1-90a8-cba4d835ddcb}">
  <ds:schemaRefs>
    <ds:schemaRef ds:uri="http://www.wps.cn/android/officeDocument/2013/mofficeCustomData"/>
  </ds:schemaRefs>
</ds:datastoreItem>
</file>

<file path=customXml/itemProps3.xml><?xml version="1.0" encoding="utf-8"?>
<ds:datastoreItem xmlns:ds="http://schemas.openxmlformats.org/officeDocument/2006/customXml" ds:itemID="{4df4be89-ec5d-41dd-a803-74bf3b9772ed}">
  <ds:schemaRefs>
    <ds:schemaRef ds:uri="http://www.wps.cn/android/officeDocument/2013/mofficeCustomData"/>
  </ds:schemaRefs>
</ds:datastoreItem>
</file>

<file path=customXml/itemProps4.xml><?xml version="1.0" encoding="utf-8"?>
<ds:datastoreItem xmlns:ds="http://schemas.openxmlformats.org/officeDocument/2006/customXml" ds:itemID="{e0aaefd3-83f3-42e0-976e-47880dbc74c9}">
  <ds:schemaRefs>
    <ds:schemaRef ds:uri="http://www.wps.cn/android/officeDocument/2013/mofficeCustomData"/>
  </ds:schemaRefs>
</ds:datastoreItem>
</file>

<file path=customXml/itemProps5.xml><?xml version="1.0" encoding="utf-8"?>
<ds:datastoreItem xmlns:ds="http://schemas.openxmlformats.org/officeDocument/2006/customXml" ds:itemID="{7c200ebf-175e-4ce1-a5cd-52b45002bce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Words>5063</Words>
  <Pages>21</Pages>
  <Characters>26981</Characters>
  <Application>WPS Office</Application>
  <DocSecurity>0</DocSecurity>
  <Paragraphs>817</Paragraphs>
  <ScaleCrop>false</ScaleCrop>
  <Company>Hewlett-Packard Company</Company>
  <LinksUpToDate>false</LinksUpToDate>
  <CharactersWithSpaces>31444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2025-01-21T05:35:00Z</dcterms:created>
  <dc:creator>user</dc:creator>
  <lastModifiedBy>SM-A235F</lastModifiedBy>
  <lastPrinted>2023-09-02T10:01:00Z</lastPrinted>
  <dcterms:modified xsi:type="dcterms:W3CDTF">2025-03-24T16:12:23Z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66df14ee393d4c3ea422204574d8f230</vt:lpwstr>
  </property>
</Properties>
</file>