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B20972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B2097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20972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B20972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2097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2097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B014627" w:rsidR="0000007A" w:rsidRPr="00B20972" w:rsidRDefault="00942434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B20972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B20972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B2097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2097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92DAF07" w:rsidR="0000007A" w:rsidRPr="00B20972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209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209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B209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1302B" w:rsidRPr="00B209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5127</w:t>
            </w:r>
          </w:p>
        </w:tc>
      </w:tr>
      <w:tr w:rsidR="0000007A" w:rsidRPr="00B20972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B2097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2097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0A0715C" w:rsidR="0000007A" w:rsidRPr="00B20972" w:rsidRDefault="0094243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B2097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Membrane Lipid Replacement with </w:t>
            </w:r>
            <w:proofErr w:type="spellStart"/>
            <w:r w:rsidRPr="00B20972">
              <w:rPr>
                <w:rFonts w:ascii="Arial" w:hAnsi="Arial" w:cs="Arial"/>
                <w:b/>
                <w:sz w:val="20"/>
                <w:szCs w:val="20"/>
                <w:lang w:val="en-GB"/>
              </w:rPr>
              <w:t>Glycerolphospholipids</w:t>
            </w:r>
            <w:proofErr w:type="spellEnd"/>
            <w:r w:rsidRPr="00B2097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Slowly Reduces Self-Reported Symptom Severities in Chemically Exposed Gulf War Veterans</w:t>
            </w:r>
          </w:p>
        </w:tc>
      </w:tr>
      <w:tr w:rsidR="00CF0BBB" w:rsidRPr="00B20972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B2097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2097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7D8AA70" w:rsidR="00CF0BBB" w:rsidRPr="00B20972" w:rsidRDefault="0094243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20972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B20972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B20972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B20972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63CD6BCB" w14:textId="0FFEAA9E" w:rsidR="00626025" w:rsidRPr="00B20972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20972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B20972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B20972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B20972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B20972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20972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13C4E628" w:rsidR="00E03C32" w:rsidRDefault="00942434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94243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Translational Medicine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94243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2022, 2, 164–173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41F3FF36" w:rsidR="00E03C32" w:rsidRPr="007B54A4" w:rsidRDefault="00942434" w:rsidP="0094243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hyperlink r:id="rId8" w:history="1">
                    <w:r w:rsidRPr="00CD6AE0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https://doi.org/10.3390/ijtm2020014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B20972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B20972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B20972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B20972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B2097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2097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2097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B2097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20972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B2097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B2097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20972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B20972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97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B20972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B2097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20972">
              <w:rPr>
                <w:rFonts w:ascii="Arial" w:hAnsi="Arial" w:cs="Arial"/>
                <w:lang w:val="en-GB"/>
              </w:rPr>
              <w:t>Author’s Feedback</w:t>
            </w:r>
            <w:r w:rsidRPr="00B2097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2097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E55592" w:rsidRPr="00B20972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E55592" w:rsidRPr="00B20972" w:rsidRDefault="00E55592" w:rsidP="00E5559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209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E55592" w:rsidRPr="00B20972" w:rsidRDefault="00E55592" w:rsidP="00E55592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5DF51CD" w:rsidR="00E55592" w:rsidRPr="00B20972" w:rsidRDefault="00E55592" w:rsidP="00E5559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20972">
              <w:rPr>
                <w:rFonts w:ascii="Arial" w:hAnsi="Arial" w:cs="Arial"/>
                <w:sz w:val="20"/>
                <w:szCs w:val="20"/>
                <w:lang w:eastAsia="en-IN"/>
              </w:rPr>
              <w:t xml:space="preserve">This study investigates the potential of Membrane Lipid Replacement (MLR) with </w:t>
            </w:r>
            <w:proofErr w:type="spellStart"/>
            <w:r w:rsidRPr="00B20972">
              <w:rPr>
                <w:rFonts w:ascii="Arial" w:hAnsi="Arial" w:cs="Arial"/>
                <w:sz w:val="20"/>
                <w:szCs w:val="20"/>
                <w:lang w:eastAsia="en-IN"/>
              </w:rPr>
              <w:t>glycerolphospholipids</w:t>
            </w:r>
            <w:proofErr w:type="spellEnd"/>
            <w:r w:rsidRPr="00B20972">
              <w:rPr>
                <w:rFonts w:ascii="Arial" w:hAnsi="Arial" w:cs="Arial"/>
                <w:sz w:val="20"/>
                <w:szCs w:val="20"/>
                <w:lang w:eastAsia="en-IN"/>
              </w:rPr>
              <w:t xml:space="preserve"> to alleviate symptoms in Gulf War veterans suffering from </w:t>
            </w:r>
            <w:proofErr w:type="gramStart"/>
            <w:r w:rsidRPr="00B20972">
              <w:rPr>
                <w:rFonts w:ascii="Arial" w:hAnsi="Arial" w:cs="Arial"/>
                <w:sz w:val="20"/>
                <w:szCs w:val="20"/>
                <w:lang w:eastAsia="en-IN"/>
              </w:rPr>
              <w:t>Gulf  War</w:t>
            </w:r>
            <w:proofErr w:type="gramEnd"/>
            <w:r w:rsidRPr="00B20972">
              <w:rPr>
                <w:rFonts w:ascii="Arial" w:hAnsi="Arial" w:cs="Arial"/>
                <w:sz w:val="20"/>
                <w:szCs w:val="20"/>
                <w:lang w:eastAsia="en-IN"/>
              </w:rPr>
              <w:t xml:space="preserve"> Illness (GWI). </w:t>
            </w:r>
            <w:r w:rsidRPr="00B20972">
              <w:rPr>
                <w:rFonts w:ascii="Arial" w:hAnsi="Arial" w:cs="Arial"/>
                <w:sz w:val="20"/>
                <w:szCs w:val="20"/>
              </w:rPr>
              <w:t>This research holds significant clinical importance as it tackles a difficult-to-manage health condition for which effective treatments are scarce. The study investigates a new therapeutic strategy, and the observed decreases in symptom intensity offer encouraging preliminary results.</w:t>
            </w:r>
          </w:p>
        </w:tc>
        <w:tc>
          <w:tcPr>
            <w:tcW w:w="1523" w:type="pct"/>
          </w:tcPr>
          <w:p w14:paraId="462A339C" w14:textId="77777777" w:rsidR="00E55592" w:rsidRPr="00B20972" w:rsidRDefault="00E55592" w:rsidP="00E5559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55592" w:rsidRPr="00B20972" w14:paraId="0D8B5B2C" w14:textId="77777777" w:rsidTr="00E55592">
        <w:trPr>
          <w:trHeight w:val="512"/>
        </w:trPr>
        <w:tc>
          <w:tcPr>
            <w:tcW w:w="1265" w:type="pct"/>
            <w:noWrap/>
          </w:tcPr>
          <w:p w14:paraId="21CBA5FE" w14:textId="77777777" w:rsidR="00E55592" w:rsidRPr="00B20972" w:rsidRDefault="00E55592" w:rsidP="00E5559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209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E55592" w:rsidRPr="00B20972" w:rsidRDefault="00E55592" w:rsidP="00E5559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209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E55592" w:rsidRPr="00B20972" w:rsidRDefault="00E55592" w:rsidP="00E55592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351C6E4" w:rsidR="00E55592" w:rsidRPr="00B20972" w:rsidRDefault="00E55592" w:rsidP="00E5559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20972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E55592" w:rsidRPr="00B20972" w:rsidRDefault="00E55592" w:rsidP="00E5559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55592" w:rsidRPr="00B20972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E55592" w:rsidRPr="00B20972" w:rsidRDefault="00E55592" w:rsidP="00E55592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2097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E55592" w:rsidRPr="00B20972" w:rsidRDefault="00E55592" w:rsidP="00E55592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347F31E" w14:textId="77777777" w:rsidR="00E55592" w:rsidRPr="00B20972" w:rsidRDefault="00E55592" w:rsidP="00E55592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Style w:val="Strong"/>
                <w:rFonts w:ascii="Arial" w:eastAsia="MS Mincho" w:hAnsi="Arial" w:cs="Arial"/>
                <w:b w:val="0"/>
                <w:sz w:val="20"/>
                <w:szCs w:val="20"/>
              </w:rPr>
            </w:pPr>
            <w:r w:rsidRPr="00B20972">
              <w:rPr>
                <w:rStyle w:val="Strong"/>
                <w:rFonts w:ascii="Arial" w:eastAsia="MS Mincho" w:hAnsi="Arial" w:cs="Arial"/>
                <w:b w:val="0"/>
                <w:sz w:val="20"/>
                <w:szCs w:val="20"/>
              </w:rPr>
              <w:t>There are limited conclusions due to initial stage and has potential for Bias from Non-Blinded Approach.</w:t>
            </w:r>
          </w:p>
          <w:p w14:paraId="0A469B05" w14:textId="77777777" w:rsidR="00E55592" w:rsidRPr="00B20972" w:rsidRDefault="00E55592" w:rsidP="00E55592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972">
              <w:rPr>
                <w:rStyle w:val="Strong"/>
                <w:rFonts w:ascii="Arial" w:eastAsia="MS Mincho" w:hAnsi="Arial" w:cs="Arial"/>
                <w:b w:val="0"/>
                <w:sz w:val="20"/>
                <w:szCs w:val="20"/>
              </w:rPr>
              <w:t>Study r</w:t>
            </w:r>
            <w:r w:rsidRPr="00B20972">
              <w:rPr>
                <w:rFonts w:ascii="Arial" w:hAnsi="Arial" w:cs="Arial"/>
                <w:sz w:val="20"/>
                <w:szCs w:val="20"/>
              </w:rPr>
              <w:t>elies on participants' own assessments of their symptoms introduces the possibility of personal biases affecting the data.</w:t>
            </w:r>
          </w:p>
          <w:p w14:paraId="0FB7E83A" w14:textId="77777777" w:rsidR="00E55592" w:rsidRPr="00B20972" w:rsidRDefault="00E55592" w:rsidP="00E5559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E55592" w:rsidRPr="00B20972" w:rsidRDefault="00E55592" w:rsidP="00E5559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55592" w:rsidRPr="00B20972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E55592" w:rsidRPr="00B20972" w:rsidRDefault="00E55592" w:rsidP="00E5559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209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51B5CF7B" w14:textId="77777777" w:rsidR="00E55592" w:rsidRPr="00B20972" w:rsidRDefault="00E55592" w:rsidP="00E55592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972">
              <w:rPr>
                <w:rFonts w:ascii="Arial" w:hAnsi="Arial" w:cs="Arial"/>
                <w:sz w:val="20"/>
                <w:szCs w:val="20"/>
              </w:rPr>
              <w:t xml:space="preserve">The absence of a comparison group makes it impossible to definitively say that the observed improvements were due to the MLR supplement alone. </w:t>
            </w:r>
          </w:p>
          <w:p w14:paraId="46E57228" w14:textId="77777777" w:rsidR="00E55592" w:rsidRPr="00B20972" w:rsidRDefault="00E55592" w:rsidP="00E55592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972">
              <w:rPr>
                <w:rFonts w:ascii="Arial" w:hAnsi="Arial" w:cs="Arial"/>
                <w:sz w:val="20"/>
                <w:szCs w:val="20"/>
              </w:rPr>
              <w:t>A larger group of participants would provide more statistically reliable and widely applicable results.</w:t>
            </w:r>
          </w:p>
          <w:p w14:paraId="22157D3B" w14:textId="77777777" w:rsidR="00E55592" w:rsidRPr="00B20972" w:rsidRDefault="00E55592" w:rsidP="00E55592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972">
              <w:rPr>
                <w:rFonts w:ascii="Arial" w:hAnsi="Arial" w:cs="Arial"/>
                <w:sz w:val="20"/>
                <w:szCs w:val="20"/>
              </w:rPr>
              <w:t xml:space="preserve">It lacks concrete, measured data to confirm this proposed process. </w:t>
            </w:r>
          </w:p>
          <w:p w14:paraId="2B5A7721" w14:textId="60D191ED" w:rsidR="00E55592" w:rsidRPr="00B20972" w:rsidRDefault="00E55592" w:rsidP="00E55592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972">
              <w:rPr>
                <w:rFonts w:ascii="Arial" w:hAnsi="Arial" w:cs="Arial"/>
                <w:sz w:val="20"/>
                <w:szCs w:val="20"/>
              </w:rPr>
              <w:t>The study's exclusive use of male participants limits the ability to apply the results to female.</w:t>
            </w:r>
          </w:p>
        </w:tc>
        <w:tc>
          <w:tcPr>
            <w:tcW w:w="1523" w:type="pct"/>
          </w:tcPr>
          <w:p w14:paraId="4898F764" w14:textId="77777777" w:rsidR="00E55592" w:rsidRPr="00B20972" w:rsidRDefault="00E55592" w:rsidP="00E5559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55592" w:rsidRPr="00B20972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E55592" w:rsidRPr="00B20972" w:rsidRDefault="00E55592" w:rsidP="00E5559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209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E55592" w:rsidRPr="00B20972" w:rsidRDefault="00E55592" w:rsidP="00E5559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2097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73816CED" w14:textId="77777777" w:rsidR="00E55592" w:rsidRPr="00B20972" w:rsidRDefault="00E55592" w:rsidP="00E5559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972">
              <w:rPr>
                <w:rFonts w:ascii="Arial" w:hAnsi="Arial" w:cs="Arial"/>
                <w:sz w:val="20"/>
                <w:szCs w:val="20"/>
              </w:rPr>
              <w:t>Some references touch on the complexities of GWI, the chapter would benefit from a more thorough discussion of the illness's epidemiology, pathophysiology, and diagnostic challenges.</w:t>
            </w:r>
          </w:p>
          <w:p w14:paraId="24FE0567" w14:textId="5C5CE9C7" w:rsidR="00E55592" w:rsidRPr="00B20972" w:rsidRDefault="00E55592" w:rsidP="00E5559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972">
              <w:rPr>
                <w:rFonts w:ascii="Arial" w:hAnsi="Arial" w:cs="Arial"/>
                <w:sz w:val="20"/>
                <w:szCs w:val="20"/>
              </w:rPr>
              <w:t xml:space="preserve">While older references may still be relevant, the chapter should include more recent studies. </w:t>
            </w:r>
          </w:p>
        </w:tc>
        <w:tc>
          <w:tcPr>
            <w:tcW w:w="1523" w:type="pct"/>
          </w:tcPr>
          <w:p w14:paraId="40220055" w14:textId="77777777" w:rsidR="00E55592" w:rsidRPr="00B20972" w:rsidRDefault="00E55592" w:rsidP="00E5559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55592" w:rsidRPr="00B20972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E55592" w:rsidRPr="00B20972" w:rsidRDefault="00E55592" w:rsidP="00E5559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E55592" w:rsidRPr="00B20972" w:rsidRDefault="00E55592" w:rsidP="00E55592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2097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E55592" w:rsidRPr="00B20972" w:rsidRDefault="00E55592" w:rsidP="00E5559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222BDD8" w14:textId="77777777" w:rsidR="00E55592" w:rsidRPr="00B20972" w:rsidRDefault="00E55592" w:rsidP="00E5559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72B7FDD" w14:textId="54C51C55" w:rsidR="00E55592" w:rsidRPr="00B20972" w:rsidRDefault="00E55592" w:rsidP="00E5559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0972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149A6CEF" w14:textId="77777777" w:rsidR="00E55592" w:rsidRPr="00B20972" w:rsidRDefault="00E55592" w:rsidP="00E5559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E55592" w:rsidRPr="00B20972" w:rsidRDefault="00E55592" w:rsidP="00E5559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55592" w:rsidRPr="00B20972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E55592" w:rsidRPr="00B20972" w:rsidRDefault="00E55592" w:rsidP="00E55592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2097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2097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2097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E55592" w:rsidRPr="00B20972" w:rsidRDefault="00E55592" w:rsidP="00E5559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32CCB9B1" w:rsidR="00E55592" w:rsidRPr="00B20972" w:rsidRDefault="00E55592" w:rsidP="00E5559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0972">
              <w:rPr>
                <w:rFonts w:ascii="Arial" w:hAnsi="Arial" w:cs="Arial"/>
                <w:sz w:val="20"/>
                <w:szCs w:val="20"/>
              </w:rPr>
              <w:t xml:space="preserve">The lack of a comparison group, such as those receiving a placebo or standard treatment, makes it impossible to definitively attribute </w:t>
            </w:r>
            <w:proofErr w:type="gramStart"/>
            <w:r w:rsidRPr="00B20972">
              <w:rPr>
                <w:rFonts w:ascii="Arial" w:hAnsi="Arial" w:cs="Arial"/>
                <w:sz w:val="20"/>
                <w:szCs w:val="20"/>
              </w:rPr>
              <w:t>symptom  improvements</w:t>
            </w:r>
            <w:proofErr w:type="gramEnd"/>
            <w:r w:rsidRPr="00B20972">
              <w:rPr>
                <w:rFonts w:ascii="Arial" w:hAnsi="Arial" w:cs="Arial"/>
                <w:sz w:val="20"/>
                <w:szCs w:val="20"/>
              </w:rPr>
              <w:t xml:space="preserve"> to MLR The study's small group of 16 participants restricts the applicability of the findings to the broader GWI population. A more standardized diagnosis protocol would strengthen the </w:t>
            </w:r>
            <w:proofErr w:type="spellStart"/>
            <w:proofErr w:type="gramStart"/>
            <w:r w:rsidRPr="00B20972">
              <w:rPr>
                <w:rFonts w:ascii="Arial" w:hAnsi="Arial" w:cs="Arial"/>
                <w:sz w:val="20"/>
                <w:szCs w:val="20"/>
              </w:rPr>
              <w:t>study.The</w:t>
            </w:r>
            <w:proofErr w:type="spellEnd"/>
            <w:proofErr w:type="gramEnd"/>
            <w:r w:rsidRPr="00B20972">
              <w:rPr>
                <w:rFonts w:ascii="Arial" w:hAnsi="Arial" w:cs="Arial"/>
                <w:sz w:val="20"/>
                <w:szCs w:val="20"/>
              </w:rPr>
              <w:t xml:space="preserve"> six-month study duration may not be sufficient to assess the long-term effectiveness and safety of MLR for GWI. Longer follow-up studies are needed to determine if symptom improvements are sustained and to monitor for long-term adverse effects.</w:t>
            </w:r>
          </w:p>
        </w:tc>
        <w:tc>
          <w:tcPr>
            <w:tcW w:w="1523" w:type="pct"/>
          </w:tcPr>
          <w:p w14:paraId="465E098E" w14:textId="77777777" w:rsidR="00E55592" w:rsidRPr="00B20972" w:rsidRDefault="00E55592" w:rsidP="00E5559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B2097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pPr w:leftFromText="180" w:rightFromText="180" w:vertAnchor="text" w:horzAnchor="margin" w:tblpY="-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B20972" w:rsidRPr="00B20972" w14:paraId="542E44FD" w14:textId="77777777" w:rsidTr="00B20972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0295D" w14:textId="77777777" w:rsidR="00B20972" w:rsidRPr="00B20972" w:rsidRDefault="00B20972" w:rsidP="00B209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20972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20972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6AF7527" w14:textId="77777777" w:rsidR="00B20972" w:rsidRPr="00B20972" w:rsidRDefault="00B20972" w:rsidP="00B209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20972" w:rsidRPr="00B20972" w14:paraId="389BA9E4" w14:textId="77777777" w:rsidTr="00B20972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9865D" w14:textId="77777777" w:rsidR="00B20972" w:rsidRPr="00B20972" w:rsidRDefault="00B20972" w:rsidP="00B209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45935" w14:textId="77777777" w:rsidR="00B20972" w:rsidRPr="00B20972" w:rsidRDefault="00B20972" w:rsidP="00B2097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20972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4D1EFB4D" w14:textId="77777777" w:rsidR="00B20972" w:rsidRPr="00B20972" w:rsidRDefault="00B20972" w:rsidP="00B2097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20972">
              <w:rPr>
                <w:rFonts w:ascii="Arial" w:hAnsi="Arial" w:cs="Arial"/>
                <w:lang w:val="en-GB"/>
              </w:rPr>
              <w:t>Author’s comment</w:t>
            </w:r>
            <w:r w:rsidRPr="00B2097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20972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B20972" w:rsidRPr="00B20972" w14:paraId="4615080A" w14:textId="77777777" w:rsidTr="00B20972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15F67" w14:textId="77777777" w:rsidR="00B20972" w:rsidRPr="00B20972" w:rsidRDefault="00B20972" w:rsidP="00B209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2097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945C882" w14:textId="77777777" w:rsidR="00B20972" w:rsidRPr="00B20972" w:rsidRDefault="00B20972" w:rsidP="00B209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A181E" w14:textId="77777777" w:rsidR="00B20972" w:rsidRPr="00B20972" w:rsidRDefault="00B20972" w:rsidP="00B209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2097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2097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2097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2AEBF82A" w14:textId="77777777" w:rsidR="00B20972" w:rsidRPr="00B20972" w:rsidRDefault="00B20972" w:rsidP="00B209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99C1EC0" w14:textId="77777777" w:rsidR="00B20972" w:rsidRPr="00B20972" w:rsidRDefault="00B20972" w:rsidP="00B209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35548E22" w14:textId="77777777" w:rsidR="00B20972" w:rsidRPr="00B20972" w:rsidRDefault="00B20972" w:rsidP="00B2097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7DD74CA" w14:textId="77777777" w:rsidR="00B20972" w:rsidRPr="00B20972" w:rsidRDefault="00B20972" w:rsidP="00B2097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5D612F8" w14:textId="77777777" w:rsidR="00B20972" w:rsidRPr="00B20972" w:rsidRDefault="00B20972" w:rsidP="00B2097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0A286AB" w14:textId="77777777" w:rsidR="00B20972" w:rsidRPr="00B20972" w:rsidRDefault="00B20972" w:rsidP="00B209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8207741" w14:textId="77777777" w:rsidR="00F1171E" w:rsidRPr="00B2097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CC78557" w14:textId="77777777" w:rsidR="00B20972" w:rsidRPr="00951146" w:rsidRDefault="00B20972" w:rsidP="00B2097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951146">
        <w:rPr>
          <w:rFonts w:ascii="Arial" w:hAnsi="Arial" w:cs="Arial"/>
          <w:b/>
          <w:u w:val="single"/>
        </w:rPr>
        <w:lastRenderedPageBreak/>
        <w:t>Reviewer details:</w:t>
      </w:r>
    </w:p>
    <w:p w14:paraId="6D53459A" w14:textId="77777777" w:rsidR="00B20972" w:rsidRDefault="00B20972" w:rsidP="00B20972">
      <w:r w:rsidRPr="00951146">
        <w:rPr>
          <w:rFonts w:ascii="Arial" w:hAnsi="Arial" w:cs="Arial"/>
          <w:b/>
          <w:color w:val="000000"/>
          <w:sz w:val="20"/>
          <w:szCs w:val="20"/>
        </w:rPr>
        <w:t>Rahul Choudhury, BCDA College of Pharmacy and Technology, India</w:t>
      </w:r>
    </w:p>
    <w:p w14:paraId="1B0E4DC5" w14:textId="77777777" w:rsidR="00F1171E" w:rsidRPr="00B2097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B2097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B2097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B2097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B2097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B2097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B2097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B2097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B2097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8DC05A4" w14:textId="77777777" w:rsidR="004C3DF1" w:rsidRPr="00B20972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B20972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E1770" w14:textId="77777777" w:rsidR="00103BD6" w:rsidRPr="0000007A" w:rsidRDefault="00103BD6" w:rsidP="0099583E">
      <w:r>
        <w:separator/>
      </w:r>
    </w:p>
  </w:endnote>
  <w:endnote w:type="continuationSeparator" w:id="0">
    <w:p w14:paraId="3CA15E83" w14:textId="77777777" w:rsidR="00103BD6" w:rsidRPr="0000007A" w:rsidRDefault="00103BD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D5917" w14:textId="77777777" w:rsidR="00103BD6" w:rsidRPr="0000007A" w:rsidRDefault="00103BD6" w:rsidP="0099583E">
      <w:r>
        <w:separator/>
      </w:r>
    </w:p>
  </w:footnote>
  <w:footnote w:type="continuationSeparator" w:id="0">
    <w:p w14:paraId="74E7DD63" w14:textId="77777777" w:rsidR="00103BD6" w:rsidRPr="0000007A" w:rsidRDefault="00103BD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85B8C"/>
    <w:multiLevelType w:val="hybridMultilevel"/>
    <w:tmpl w:val="84F071D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70711F"/>
    <w:multiLevelType w:val="hybridMultilevel"/>
    <w:tmpl w:val="E9DEA45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DD3B70"/>
    <w:multiLevelType w:val="hybridMultilevel"/>
    <w:tmpl w:val="0322AAF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5441994">
    <w:abstractNumId w:val="5"/>
  </w:num>
  <w:num w:numId="2" w16cid:durableId="1390376290">
    <w:abstractNumId w:val="8"/>
  </w:num>
  <w:num w:numId="3" w16cid:durableId="1169516469">
    <w:abstractNumId w:val="7"/>
  </w:num>
  <w:num w:numId="4" w16cid:durableId="859196176">
    <w:abstractNumId w:val="9"/>
  </w:num>
  <w:num w:numId="5" w16cid:durableId="1494563821">
    <w:abstractNumId w:val="6"/>
  </w:num>
  <w:num w:numId="6" w16cid:durableId="1418097269">
    <w:abstractNumId w:val="0"/>
  </w:num>
  <w:num w:numId="7" w16cid:durableId="1613900423">
    <w:abstractNumId w:val="2"/>
  </w:num>
  <w:num w:numId="8" w16cid:durableId="1659117078">
    <w:abstractNumId w:val="12"/>
  </w:num>
  <w:num w:numId="9" w16cid:durableId="1457875456">
    <w:abstractNumId w:val="10"/>
  </w:num>
  <w:num w:numId="10" w16cid:durableId="1289583435">
    <w:abstractNumId w:val="4"/>
  </w:num>
  <w:num w:numId="11" w16cid:durableId="1578318622">
    <w:abstractNumId w:val="1"/>
  </w:num>
  <w:num w:numId="12" w16cid:durableId="518083492">
    <w:abstractNumId w:val="11"/>
  </w:num>
  <w:num w:numId="13" w16cid:durableId="1863543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3BD6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1302B"/>
    <w:rsid w:val="00421DBF"/>
    <w:rsid w:val="0042465A"/>
    <w:rsid w:val="00424E68"/>
    <w:rsid w:val="00435B36"/>
    <w:rsid w:val="00442B24"/>
    <w:rsid w:val="004430CD"/>
    <w:rsid w:val="0044519B"/>
    <w:rsid w:val="00452F40"/>
    <w:rsid w:val="00457AB1"/>
    <w:rsid w:val="00457BC0"/>
    <w:rsid w:val="00457BD1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06640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106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34BB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434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C6EF4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4432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0972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0344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5592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633D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55592"/>
    <w:rPr>
      <w:b/>
      <w:bCs/>
    </w:rPr>
  </w:style>
  <w:style w:type="paragraph" w:customStyle="1" w:styleId="Affiliation">
    <w:name w:val="Affiliation"/>
    <w:basedOn w:val="Normal"/>
    <w:rsid w:val="00B20972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ijtm20200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107</cp:revision>
  <dcterms:created xsi:type="dcterms:W3CDTF">2023-08-30T09:21:00Z</dcterms:created>
  <dcterms:modified xsi:type="dcterms:W3CDTF">2025-04-05T10:59:00Z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