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1CEA" w14:textId="77777777" w:rsidR="0077383D" w:rsidRPr="0042486A" w:rsidRDefault="0077383D">
      <w:pPr>
        <w:pStyle w:val="BodyText"/>
        <w:spacing w:before="99"/>
        <w:rPr>
          <w:rFonts w:ascii="Abadi" w:hAnsi="Abadi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7383D" w:rsidRPr="0042486A" w14:paraId="07CD9555" w14:textId="77777777">
        <w:trPr>
          <w:trHeight w:val="290"/>
        </w:trPr>
        <w:tc>
          <w:tcPr>
            <w:tcW w:w="5168" w:type="dxa"/>
          </w:tcPr>
          <w:p w14:paraId="6E8EFABF" w14:textId="77777777" w:rsidR="0077383D" w:rsidRPr="0042486A" w:rsidRDefault="00844A87">
            <w:pPr>
              <w:pStyle w:val="TableParagraph"/>
              <w:spacing w:line="229" w:lineRule="exact"/>
              <w:ind w:left="95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Journal</w:t>
            </w:r>
            <w:r w:rsidRPr="0042486A">
              <w:rPr>
                <w:rFonts w:ascii="Abadi" w:hAnsi="Abadi"/>
                <w:spacing w:val="-1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E3664FF" w14:textId="77777777" w:rsidR="0077383D" w:rsidRPr="0042486A" w:rsidRDefault="00844A87">
            <w:pPr>
              <w:pStyle w:val="TableParagraph"/>
              <w:spacing w:before="26"/>
              <w:ind w:left="107"/>
              <w:rPr>
                <w:rFonts w:ascii="Abadi" w:hAnsi="Abadi"/>
                <w:b/>
                <w:sz w:val="20"/>
                <w:szCs w:val="20"/>
              </w:rPr>
            </w:pPr>
            <w:hyperlink r:id="rId6">
              <w:r w:rsidRPr="0042486A">
                <w:rPr>
                  <w:rFonts w:ascii="Abadi" w:hAnsi="Abadi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2486A">
                <w:rPr>
                  <w:rFonts w:ascii="Abadi" w:hAnsi="Abadi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2486A">
                <w:rPr>
                  <w:rFonts w:ascii="Abadi" w:hAnsi="Abadi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2486A">
                <w:rPr>
                  <w:rFonts w:ascii="Abadi" w:hAnsi="Abadi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2486A">
                <w:rPr>
                  <w:rFonts w:ascii="Abadi" w:hAnsi="Abadi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2486A">
                <w:rPr>
                  <w:rFonts w:ascii="Abadi" w:hAnsi="Abadi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2486A">
                <w:rPr>
                  <w:rFonts w:ascii="Abadi" w:hAnsi="Abadi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2486A">
                <w:rPr>
                  <w:rFonts w:ascii="Abadi" w:hAnsi="Abadi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2486A">
                <w:rPr>
                  <w:rFonts w:ascii="Abadi" w:hAnsi="Abadi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42486A">
                <w:rPr>
                  <w:rFonts w:ascii="Abadi" w:hAnsi="Abadi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2486A">
                <w:rPr>
                  <w:rFonts w:ascii="Abadi" w:hAnsi="Abadi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77383D" w:rsidRPr="0042486A" w14:paraId="50E0303A" w14:textId="77777777">
        <w:trPr>
          <w:trHeight w:val="290"/>
        </w:trPr>
        <w:tc>
          <w:tcPr>
            <w:tcW w:w="5168" w:type="dxa"/>
          </w:tcPr>
          <w:p w14:paraId="74E699BE" w14:textId="77777777" w:rsidR="0077383D" w:rsidRPr="0042486A" w:rsidRDefault="00844A87">
            <w:pPr>
              <w:pStyle w:val="TableParagraph"/>
              <w:spacing w:line="229" w:lineRule="exact"/>
              <w:ind w:left="95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Manuscript</w:t>
            </w:r>
            <w:r w:rsidRPr="0042486A">
              <w:rPr>
                <w:rFonts w:ascii="Abadi" w:hAnsi="Abadi"/>
                <w:spacing w:val="-1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DA5133F" w14:textId="77777777" w:rsidR="0077383D" w:rsidRPr="0042486A" w:rsidRDefault="00844A87">
            <w:pPr>
              <w:pStyle w:val="TableParagraph"/>
              <w:spacing w:before="26"/>
              <w:ind w:left="10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Ms_AJRIZ_134844</w:t>
            </w:r>
          </w:p>
        </w:tc>
      </w:tr>
      <w:tr w:rsidR="0077383D" w:rsidRPr="0042486A" w14:paraId="03BF402E" w14:textId="77777777">
        <w:trPr>
          <w:trHeight w:val="650"/>
        </w:trPr>
        <w:tc>
          <w:tcPr>
            <w:tcW w:w="5168" w:type="dxa"/>
          </w:tcPr>
          <w:p w14:paraId="43A700D4" w14:textId="77777777" w:rsidR="0077383D" w:rsidRPr="0042486A" w:rsidRDefault="00844A87">
            <w:pPr>
              <w:pStyle w:val="TableParagraph"/>
              <w:spacing w:line="229" w:lineRule="exact"/>
              <w:ind w:left="95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Title</w:t>
            </w:r>
            <w:r w:rsidRPr="0042486A">
              <w:rPr>
                <w:rFonts w:ascii="Abadi" w:hAnsi="Abadi"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8D7A419" w14:textId="77777777" w:rsidR="0077383D" w:rsidRPr="0042486A" w:rsidRDefault="00844A87">
            <w:pPr>
              <w:pStyle w:val="TableParagraph"/>
              <w:spacing w:before="206"/>
              <w:ind w:left="10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Synergistic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Effects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Insecticides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and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Wetting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Agents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on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Mango</w:t>
            </w:r>
            <w:r w:rsidRPr="0042486A">
              <w:rPr>
                <w:rFonts w:ascii="Abadi" w:hAnsi="Abadi"/>
                <w:b/>
                <w:spacing w:val="-1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Mealybug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(</w:t>
            </w:r>
            <w:proofErr w:type="spellStart"/>
            <w:r w:rsidRPr="0042486A">
              <w:rPr>
                <w:rFonts w:ascii="Abadi" w:hAnsi="Abadi"/>
                <w:b/>
                <w:sz w:val="20"/>
                <w:szCs w:val="20"/>
              </w:rPr>
              <w:t>Drosicha</w:t>
            </w:r>
            <w:proofErr w:type="spellEnd"/>
            <w:r w:rsidRPr="0042486A">
              <w:rPr>
                <w:rFonts w:ascii="Abadi" w:hAnsi="Abad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2486A">
              <w:rPr>
                <w:rFonts w:ascii="Abadi" w:hAnsi="Abadi"/>
                <w:b/>
                <w:sz w:val="20"/>
                <w:szCs w:val="20"/>
              </w:rPr>
              <w:t>mangiferae</w:t>
            </w:r>
            <w:proofErr w:type="spellEnd"/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Green)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Management</w:t>
            </w:r>
          </w:p>
        </w:tc>
      </w:tr>
      <w:tr w:rsidR="0077383D" w:rsidRPr="0042486A" w14:paraId="2A220052" w14:textId="77777777">
        <w:trPr>
          <w:trHeight w:val="333"/>
        </w:trPr>
        <w:tc>
          <w:tcPr>
            <w:tcW w:w="5168" w:type="dxa"/>
          </w:tcPr>
          <w:p w14:paraId="5B0DEA2B" w14:textId="77777777" w:rsidR="0077383D" w:rsidRPr="0042486A" w:rsidRDefault="00844A87">
            <w:pPr>
              <w:pStyle w:val="TableParagraph"/>
              <w:spacing w:line="229" w:lineRule="exact"/>
              <w:ind w:left="95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Type</w:t>
            </w:r>
            <w:r w:rsidRPr="0042486A">
              <w:rPr>
                <w:rFonts w:ascii="Abadi" w:hAnsi="Abadi"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FDD5C12" w14:textId="77777777" w:rsidR="0077383D" w:rsidRPr="0042486A" w:rsidRDefault="00844A87">
            <w:pPr>
              <w:pStyle w:val="TableParagraph"/>
              <w:spacing w:before="47"/>
              <w:ind w:left="10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Original</w:t>
            </w:r>
            <w:r w:rsidRPr="0042486A">
              <w:rPr>
                <w:rFonts w:ascii="Abadi" w:hAnsi="Abadi"/>
                <w:b/>
                <w:spacing w:val="-9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Research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08494C3" w14:textId="77777777" w:rsidR="0077383D" w:rsidRPr="0042486A" w:rsidRDefault="0077383D">
      <w:pPr>
        <w:pStyle w:val="BodyText"/>
        <w:spacing w:before="10"/>
        <w:rPr>
          <w:rFonts w:ascii="Abadi" w:hAnsi="Abadi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77383D" w:rsidRPr="0042486A" w14:paraId="685E9D99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94BB4A9" w14:textId="77777777" w:rsidR="0077383D" w:rsidRPr="0042486A" w:rsidRDefault="00844A87">
            <w:pPr>
              <w:pStyle w:val="TableParagraph"/>
              <w:spacing w:line="221" w:lineRule="exact"/>
              <w:ind w:left="112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2486A">
              <w:rPr>
                <w:rFonts w:ascii="Abadi" w:hAnsi="Abadi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7383D" w:rsidRPr="0042486A" w14:paraId="090327F1" w14:textId="77777777">
        <w:trPr>
          <w:trHeight w:val="964"/>
        </w:trPr>
        <w:tc>
          <w:tcPr>
            <w:tcW w:w="5352" w:type="dxa"/>
          </w:tcPr>
          <w:p w14:paraId="10D0D2AC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62ECD07" w14:textId="77777777" w:rsidR="0077383D" w:rsidRPr="0042486A" w:rsidRDefault="00844A87">
            <w:pPr>
              <w:pStyle w:val="TableParagraph"/>
              <w:spacing w:line="228" w:lineRule="exact"/>
              <w:ind w:left="108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Reviewer’s</w:t>
            </w:r>
            <w:r w:rsidRPr="0042486A">
              <w:rPr>
                <w:rFonts w:ascii="Abadi" w:hAnsi="Abadi"/>
                <w:b/>
                <w:spacing w:val="-1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comment</w:t>
            </w:r>
          </w:p>
          <w:p w14:paraId="3C7C5664" w14:textId="77777777" w:rsidR="0077383D" w:rsidRPr="0042486A" w:rsidRDefault="00844A87">
            <w:pPr>
              <w:pStyle w:val="TableParagraph"/>
              <w:ind w:left="108" w:right="13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2486A">
              <w:rPr>
                <w:rFonts w:ascii="Abadi" w:hAnsi="Abadi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2486A">
              <w:rPr>
                <w:rFonts w:ascii="Abadi" w:hAnsi="Abadi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2486A">
              <w:rPr>
                <w:rFonts w:ascii="Abadi" w:hAnsi="Abadi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2486A">
              <w:rPr>
                <w:rFonts w:ascii="Abadi" w:hAnsi="Abadi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2486A">
              <w:rPr>
                <w:rFonts w:ascii="Abadi" w:hAnsi="Abadi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2486A">
              <w:rPr>
                <w:rFonts w:ascii="Abadi" w:hAnsi="Abadi"/>
                <w:b/>
                <w:color w:val="00000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090B13CC" w14:textId="77777777" w:rsidR="0077383D" w:rsidRPr="0042486A" w:rsidRDefault="00844A87">
            <w:pPr>
              <w:pStyle w:val="TableParagraph"/>
              <w:ind w:left="109" w:right="170"/>
              <w:rPr>
                <w:rFonts w:ascii="Abadi" w:hAnsi="Abadi"/>
                <w:i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 xml:space="preserve">Author’s Feedback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(Please correct the manuscript and highlight that part in</w:t>
            </w:r>
            <w:r w:rsidRPr="0042486A">
              <w:rPr>
                <w:rFonts w:ascii="Abadi" w:hAnsi="Abadi"/>
                <w:i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manuscript.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It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mandatory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that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authors</w:t>
            </w:r>
            <w:r w:rsidRPr="0042486A">
              <w:rPr>
                <w:rFonts w:ascii="Abadi" w:hAnsi="Abadi"/>
                <w:i/>
                <w:spacing w:val="-1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should</w:t>
            </w:r>
            <w:r w:rsidRPr="0042486A">
              <w:rPr>
                <w:rFonts w:ascii="Abadi" w:hAnsi="Abadi"/>
                <w:i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write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his/her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 xml:space="preserve">feedback </w:t>
            </w:r>
            <w:r w:rsidRPr="0042486A">
              <w:rPr>
                <w:rFonts w:ascii="Abadi" w:hAnsi="Abadi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7383D" w:rsidRPr="0042486A" w14:paraId="15A7E649" w14:textId="77777777">
        <w:trPr>
          <w:trHeight w:val="1264"/>
        </w:trPr>
        <w:tc>
          <w:tcPr>
            <w:tcW w:w="5352" w:type="dxa"/>
          </w:tcPr>
          <w:p w14:paraId="5920102E" w14:textId="77777777" w:rsidR="0077383D" w:rsidRPr="0042486A" w:rsidRDefault="00844A87">
            <w:pPr>
              <w:pStyle w:val="TableParagraph"/>
              <w:ind w:left="467" w:right="199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Please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write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few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sentences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regarding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E19A76D" w14:textId="77777777" w:rsidR="0077383D" w:rsidRPr="0042486A" w:rsidRDefault="00844A87">
            <w:pPr>
              <w:pStyle w:val="TableParagraph"/>
              <w:spacing w:line="237" w:lineRule="auto"/>
              <w:ind w:left="108" w:right="137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Topic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under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study</w:t>
            </w:r>
            <w:r w:rsidRPr="0042486A">
              <w:rPr>
                <w:rFonts w:ascii="Abadi" w:hAnsi="Abadi"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very</w:t>
            </w:r>
            <w:r w:rsidRPr="0042486A">
              <w:rPr>
                <w:rFonts w:ascii="Abadi" w:hAnsi="Abadi"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good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and</w:t>
            </w:r>
            <w:r w:rsidRPr="0042486A">
              <w:rPr>
                <w:rFonts w:ascii="Abadi" w:hAnsi="Abadi"/>
                <w:spacing w:val="-1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farmer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oriented.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As</w:t>
            </w:r>
            <w:r w:rsidRPr="0042486A">
              <w:rPr>
                <w:rFonts w:ascii="Abadi" w:hAnsi="Abadi"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efficacy</w:t>
            </w:r>
            <w:r w:rsidRPr="0042486A">
              <w:rPr>
                <w:rFonts w:ascii="Abadi" w:hAnsi="Abadi"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insecticides against</w:t>
            </w:r>
            <w:r w:rsidRPr="0042486A">
              <w:rPr>
                <w:rFonts w:ascii="Abadi" w:hAnsi="Abadi"/>
                <w:spacing w:val="-1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mealybug</w:t>
            </w:r>
            <w:r w:rsidRPr="0042486A">
              <w:rPr>
                <w:rFonts w:ascii="Abadi" w:hAnsi="Abadi"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directly related to wetting agents used. Due to waxy coating, insecticides are failed to control all mealybug species.</w:t>
            </w:r>
          </w:p>
        </w:tc>
        <w:tc>
          <w:tcPr>
            <w:tcW w:w="6444" w:type="dxa"/>
          </w:tcPr>
          <w:p w14:paraId="7938DDF5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0F7B7BD1" w14:textId="77777777">
        <w:trPr>
          <w:trHeight w:val="1262"/>
        </w:trPr>
        <w:tc>
          <w:tcPr>
            <w:tcW w:w="5352" w:type="dxa"/>
          </w:tcPr>
          <w:p w14:paraId="653A2FBF" w14:textId="77777777" w:rsidR="0077383D" w:rsidRPr="0042486A" w:rsidRDefault="00844A87">
            <w:pPr>
              <w:pStyle w:val="TableParagraph"/>
              <w:spacing w:line="228" w:lineRule="exact"/>
              <w:ind w:left="46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title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article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suitable?</w:t>
            </w:r>
          </w:p>
          <w:p w14:paraId="04469931" w14:textId="77777777" w:rsidR="0077383D" w:rsidRPr="0042486A" w:rsidRDefault="00844A87">
            <w:pPr>
              <w:pStyle w:val="TableParagraph"/>
              <w:ind w:left="46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(If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not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please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suggest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an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alternative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36FA85F" w14:textId="77777777" w:rsidR="0077383D" w:rsidRPr="0042486A" w:rsidRDefault="00844A87">
            <w:pPr>
              <w:pStyle w:val="TableParagraph"/>
              <w:spacing w:line="228" w:lineRule="exact"/>
              <w:ind w:left="468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Yes.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It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14:paraId="0D9B0780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19976FDD" w14:textId="77777777">
        <w:trPr>
          <w:trHeight w:val="1262"/>
        </w:trPr>
        <w:tc>
          <w:tcPr>
            <w:tcW w:w="5352" w:type="dxa"/>
          </w:tcPr>
          <w:p w14:paraId="0F49AAE4" w14:textId="77777777" w:rsidR="0077383D" w:rsidRPr="0042486A" w:rsidRDefault="00844A87">
            <w:pPr>
              <w:pStyle w:val="TableParagraph"/>
              <w:ind w:left="467" w:right="199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Is the abstract of the article comprehensive? Do you suggest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addition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(or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deletion)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some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points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in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82D9584" w14:textId="77777777" w:rsidR="0077383D" w:rsidRPr="0042486A" w:rsidRDefault="00844A87">
            <w:pPr>
              <w:pStyle w:val="TableParagraph"/>
              <w:spacing w:line="228" w:lineRule="exact"/>
              <w:ind w:left="468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Needs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4" w:type="dxa"/>
          </w:tcPr>
          <w:p w14:paraId="27CDB4A2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4F60F9C5" w14:textId="77777777">
        <w:trPr>
          <w:trHeight w:val="705"/>
        </w:trPr>
        <w:tc>
          <w:tcPr>
            <w:tcW w:w="5352" w:type="dxa"/>
          </w:tcPr>
          <w:p w14:paraId="61AB2FEC" w14:textId="77777777" w:rsidR="0077383D" w:rsidRPr="0042486A" w:rsidRDefault="00844A87">
            <w:pPr>
              <w:pStyle w:val="TableParagraph"/>
              <w:ind w:left="467" w:right="199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manuscript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scientifically,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correct?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Please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 xml:space="preserve">write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F5A6B3D" w14:textId="77777777" w:rsidR="0077383D" w:rsidRPr="0042486A" w:rsidRDefault="00844A87">
            <w:pPr>
              <w:pStyle w:val="TableParagraph"/>
              <w:spacing w:line="223" w:lineRule="exact"/>
              <w:ind w:left="108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Yes.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It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14:paraId="4AD102B0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0733B2B0" w14:textId="77777777">
        <w:trPr>
          <w:trHeight w:val="702"/>
        </w:trPr>
        <w:tc>
          <w:tcPr>
            <w:tcW w:w="5352" w:type="dxa"/>
          </w:tcPr>
          <w:p w14:paraId="565AE09E" w14:textId="77777777" w:rsidR="0077383D" w:rsidRPr="0042486A" w:rsidRDefault="00844A87">
            <w:pPr>
              <w:pStyle w:val="TableParagraph"/>
              <w:spacing w:line="230" w:lineRule="exact"/>
              <w:ind w:left="467" w:right="199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Are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references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sufficient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and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recent?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If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you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767F65F" w14:textId="77777777" w:rsidR="0077383D" w:rsidRPr="0042486A" w:rsidRDefault="00844A87">
            <w:pPr>
              <w:pStyle w:val="TableParagraph"/>
              <w:spacing w:line="223" w:lineRule="exact"/>
              <w:ind w:left="108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4" w:type="dxa"/>
          </w:tcPr>
          <w:p w14:paraId="6A6386B5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1DEACC68" w14:textId="77777777">
        <w:trPr>
          <w:trHeight w:val="688"/>
        </w:trPr>
        <w:tc>
          <w:tcPr>
            <w:tcW w:w="5352" w:type="dxa"/>
          </w:tcPr>
          <w:p w14:paraId="655AB0C0" w14:textId="77777777" w:rsidR="0077383D" w:rsidRPr="0042486A" w:rsidRDefault="00844A87">
            <w:pPr>
              <w:pStyle w:val="TableParagraph"/>
              <w:ind w:left="467" w:right="199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language/English</w:t>
            </w:r>
            <w:r w:rsidRPr="0042486A">
              <w:rPr>
                <w:rFonts w:ascii="Abadi" w:hAnsi="Abadi"/>
                <w:b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quality</w:t>
            </w:r>
            <w:r w:rsidRPr="0042486A">
              <w:rPr>
                <w:rFonts w:ascii="Abadi" w:hAnsi="Abadi"/>
                <w:b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of</w:t>
            </w:r>
            <w:r w:rsidRPr="0042486A">
              <w:rPr>
                <w:rFonts w:ascii="Abadi" w:hAnsi="Abadi"/>
                <w:b/>
                <w:spacing w:val="-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article</w:t>
            </w:r>
            <w:r w:rsidRPr="0042486A">
              <w:rPr>
                <w:rFonts w:ascii="Abadi" w:hAnsi="Abadi"/>
                <w:b/>
                <w:spacing w:val="-6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33B9309" w14:textId="77777777" w:rsidR="0077383D" w:rsidRPr="0042486A" w:rsidRDefault="00844A87">
            <w:pPr>
              <w:pStyle w:val="TableParagraph"/>
              <w:spacing w:line="223" w:lineRule="exact"/>
              <w:ind w:left="108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sz w:val="20"/>
                <w:szCs w:val="20"/>
              </w:rPr>
              <w:t>It</w:t>
            </w:r>
            <w:r w:rsidRPr="0042486A">
              <w:rPr>
                <w:rFonts w:ascii="Abadi" w:hAnsi="Abadi"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4" w:type="dxa"/>
          </w:tcPr>
          <w:p w14:paraId="7F849F93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  <w:tr w:rsidR="0077383D" w:rsidRPr="0042486A" w14:paraId="4FC8954C" w14:textId="77777777">
        <w:trPr>
          <w:trHeight w:val="1180"/>
        </w:trPr>
        <w:tc>
          <w:tcPr>
            <w:tcW w:w="5352" w:type="dxa"/>
          </w:tcPr>
          <w:p w14:paraId="53B06AF3" w14:textId="77777777" w:rsidR="0077383D" w:rsidRPr="0042486A" w:rsidRDefault="00844A87">
            <w:pPr>
              <w:pStyle w:val="TableParagraph"/>
              <w:spacing w:line="225" w:lineRule="exact"/>
              <w:ind w:left="107"/>
              <w:rPr>
                <w:rFonts w:ascii="Abadi" w:hAnsi="Abadi"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2486A">
              <w:rPr>
                <w:rFonts w:ascii="Abadi" w:hAnsi="Abadi"/>
                <w:b/>
                <w:spacing w:val="18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203DCD2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6444" w:type="dxa"/>
          </w:tcPr>
          <w:p w14:paraId="593B3762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</w:tbl>
    <w:p w14:paraId="5D14779F" w14:textId="77777777" w:rsidR="0077383D" w:rsidRPr="0042486A" w:rsidRDefault="0077383D">
      <w:pPr>
        <w:pStyle w:val="TableParagraph"/>
        <w:rPr>
          <w:rFonts w:ascii="Abadi" w:hAnsi="Abadi"/>
          <w:sz w:val="20"/>
          <w:szCs w:val="20"/>
        </w:rPr>
        <w:sectPr w:rsidR="0077383D" w:rsidRPr="0042486A">
          <w:headerReference w:type="default" r:id="rId7"/>
          <w:footerReference w:type="default" r:id="rId8"/>
          <w:pgSz w:w="23820" w:h="16840" w:orient="landscape"/>
          <w:pgMar w:top="1820" w:right="0" w:bottom="880" w:left="1275" w:header="1280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77383D" w:rsidRPr="0042486A" w14:paraId="67C5976D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53E07FE" w14:textId="77777777" w:rsidR="0077383D" w:rsidRPr="0042486A" w:rsidRDefault="00844A87">
            <w:pPr>
              <w:pStyle w:val="TableParagraph"/>
              <w:spacing w:line="221" w:lineRule="exact"/>
              <w:ind w:left="112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42486A">
              <w:rPr>
                <w:rFonts w:ascii="Abadi" w:hAnsi="Abadi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2486A">
              <w:rPr>
                <w:rFonts w:ascii="Abadi" w:hAnsi="Abadi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7383D" w:rsidRPr="0042486A" w14:paraId="13D53594" w14:textId="77777777">
        <w:trPr>
          <w:trHeight w:val="935"/>
        </w:trPr>
        <w:tc>
          <w:tcPr>
            <w:tcW w:w="6831" w:type="dxa"/>
          </w:tcPr>
          <w:p w14:paraId="224F300E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8643" w:type="dxa"/>
          </w:tcPr>
          <w:p w14:paraId="52F33B70" w14:textId="77777777" w:rsidR="0077383D" w:rsidRPr="0042486A" w:rsidRDefault="00844A87">
            <w:pPr>
              <w:pStyle w:val="TableParagraph"/>
              <w:spacing w:line="228" w:lineRule="exact"/>
              <w:ind w:left="108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Reviewer’s</w:t>
            </w:r>
            <w:r w:rsidRPr="0042486A">
              <w:rPr>
                <w:rFonts w:ascii="Abadi" w:hAnsi="Abadi"/>
                <w:b/>
                <w:spacing w:val="-10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83C13EC" w14:textId="77777777" w:rsidR="0077383D" w:rsidRPr="0042486A" w:rsidRDefault="00844A87">
            <w:pPr>
              <w:pStyle w:val="TableParagraph"/>
              <w:ind w:left="5" w:right="125"/>
              <w:rPr>
                <w:rFonts w:ascii="Abadi" w:hAnsi="Abadi"/>
                <w:i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 xml:space="preserve">Author’s comment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(if agreed with the reviewer, correct the manuscript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and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highlight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that</w:t>
            </w:r>
            <w:r w:rsidRPr="0042486A">
              <w:rPr>
                <w:rFonts w:ascii="Abadi" w:hAnsi="Abadi"/>
                <w:i/>
                <w:spacing w:val="-7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part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in</w:t>
            </w:r>
            <w:r w:rsidRPr="0042486A">
              <w:rPr>
                <w:rFonts w:ascii="Abadi" w:hAnsi="Abadi"/>
                <w:i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the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manuscript.</w:t>
            </w:r>
            <w:r w:rsidRPr="0042486A">
              <w:rPr>
                <w:rFonts w:ascii="Abadi" w:hAnsi="Abadi"/>
                <w:i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It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is</w:t>
            </w:r>
            <w:r w:rsidRPr="0042486A">
              <w:rPr>
                <w:rFonts w:ascii="Abadi" w:hAnsi="Abadi"/>
                <w:i/>
                <w:spacing w:val="-5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77383D" w:rsidRPr="0042486A" w14:paraId="6761AFFD" w14:textId="77777777">
        <w:trPr>
          <w:trHeight w:val="918"/>
        </w:trPr>
        <w:tc>
          <w:tcPr>
            <w:tcW w:w="6831" w:type="dxa"/>
          </w:tcPr>
          <w:p w14:paraId="7575375E" w14:textId="77777777" w:rsidR="0077383D" w:rsidRPr="0042486A" w:rsidRDefault="00844A87">
            <w:pPr>
              <w:pStyle w:val="TableParagraph"/>
              <w:spacing w:before="228"/>
              <w:ind w:left="107"/>
              <w:rPr>
                <w:rFonts w:ascii="Abadi" w:hAnsi="Abadi"/>
                <w:b/>
                <w:sz w:val="20"/>
                <w:szCs w:val="20"/>
              </w:rPr>
            </w:pPr>
            <w:r w:rsidRPr="0042486A">
              <w:rPr>
                <w:rFonts w:ascii="Abadi" w:hAnsi="Abadi"/>
                <w:b/>
                <w:sz w:val="20"/>
                <w:szCs w:val="20"/>
              </w:rPr>
              <w:t>Are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there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ethical</w:t>
            </w:r>
            <w:r w:rsidRPr="0042486A">
              <w:rPr>
                <w:rFonts w:ascii="Abadi" w:hAnsi="Abadi"/>
                <w:b/>
                <w:spacing w:val="-3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issues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in</w:t>
            </w:r>
            <w:r w:rsidRPr="0042486A">
              <w:rPr>
                <w:rFonts w:ascii="Abadi" w:hAnsi="Abadi"/>
                <w:b/>
                <w:spacing w:val="-4"/>
                <w:sz w:val="20"/>
                <w:szCs w:val="20"/>
              </w:rPr>
              <w:t xml:space="preserve"> </w:t>
            </w:r>
            <w:r w:rsidRPr="0042486A">
              <w:rPr>
                <w:rFonts w:ascii="Abadi" w:hAnsi="Abadi"/>
                <w:b/>
                <w:sz w:val="20"/>
                <w:szCs w:val="20"/>
              </w:rPr>
              <w:t>this</w:t>
            </w:r>
            <w:r w:rsidRPr="0042486A">
              <w:rPr>
                <w:rFonts w:ascii="Abadi" w:hAnsi="Abadi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2CDA11BA" w14:textId="3AEB4B82" w:rsidR="0077383D" w:rsidRPr="0042486A" w:rsidRDefault="0077383D">
            <w:pPr>
              <w:pStyle w:val="TableParagraph"/>
              <w:spacing w:before="108"/>
              <w:ind w:left="108"/>
              <w:rPr>
                <w:rFonts w:ascii="Abadi" w:hAnsi="Abadi"/>
                <w:i/>
                <w:sz w:val="20"/>
                <w:szCs w:val="20"/>
              </w:rPr>
            </w:pPr>
          </w:p>
        </w:tc>
        <w:tc>
          <w:tcPr>
            <w:tcW w:w="5678" w:type="dxa"/>
          </w:tcPr>
          <w:p w14:paraId="44E6DAB8" w14:textId="77777777" w:rsidR="0077383D" w:rsidRPr="0042486A" w:rsidRDefault="0077383D">
            <w:pPr>
              <w:pStyle w:val="TableParagraph"/>
              <w:rPr>
                <w:rFonts w:ascii="Abadi" w:hAnsi="Abadi"/>
                <w:sz w:val="20"/>
                <w:szCs w:val="20"/>
              </w:rPr>
            </w:pPr>
          </w:p>
        </w:tc>
      </w:tr>
    </w:tbl>
    <w:p w14:paraId="31BA36BA" w14:textId="77777777" w:rsidR="00844A87" w:rsidRPr="0042486A" w:rsidRDefault="00844A87">
      <w:pPr>
        <w:rPr>
          <w:rFonts w:ascii="Abadi" w:hAnsi="Abadi"/>
          <w:sz w:val="20"/>
          <w:szCs w:val="20"/>
        </w:rPr>
      </w:pPr>
    </w:p>
    <w:p w14:paraId="326A94D2" w14:textId="77777777" w:rsidR="00B4677D" w:rsidRPr="0042486A" w:rsidRDefault="00B4677D" w:rsidP="00B4677D">
      <w:pPr>
        <w:rPr>
          <w:rFonts w:ascii="Abadi" w:hAnsi="Abadi" w:cs="Arial"/>
          <w:b/>
          <w:sz w:val="20"/>
          <w:szCs w:val="20"/>
          <w:u w:val="single"/>
        </w:rPr>
      </w:pPr>
      <w:bookmarkStart w:id="0" w:name="_Hlk195267455"/>
      <w:r w:rsidRPr="0042486A">
        <w:rPr>
          <w:rFonts w:ascii="Abadi" w:hAnsi="Abadi" w:cs="Arial"/>
          <w:b/>
          <w:sz w:val="20"/>
          <w:szCs w:val="20"/>
          <w:u w:val="single"/>
        </w:rPr>
        <w:t>Reviewer Details:</w:t>
      </w:r>
    </w:p>
    <w:bookmarkEnd w:id="0"/>
    <w:p w14:paraId="357B964C" w14:textId="77777777" w:rsidR="00B4677D" w:rsidRPr="0042486A" w:rsidRDefault="00B4677D">
      <w:pPr>
        <w:rPr>
          <w:rFonts w:ascii="Abadi" w:hAnsi="Abadi"/>
          <w:sz w:val="20"/>
          <w:szCs w:val="20"/>
        </w:rPr>
      </w:pPr>
    </w:p>
    <w:p w14:paraId="779A5DF2" w14:textId="17E9FA4F" w:rsidR="00B4677D" w:rsidRPr="0042486A" w:rsidRDefault="00B4677D">
      <w:pPr>
        <w:rPr>
          <w:rFonts w:ascii="Abadi" w:hAnsi="Abadi"/>
          <w:b/>
          <w:bCs/>
          <w:sz w:val="20"/>
          <w:szCs w:val="20"/>
        </w:rPr>
      </w:pPr>
      <w:r w:rsidRPr="0042486A">
        <w:rPr>
          <w:rFonts w:ascii="Abadi" w:hAnsi="Abadi" w:cs="Calibri"/>
          <w:b/>
          <w:bCs/>
          <w:color w:val="000000"/>
          <w:sz w:val="20"/>
          <w:szCs w:val="20"/>
        </w:rPr>
        <w:t>Sachin Mahadev Chavan</w:t>
      </w:r>
      <w:r w:rsidRPr="0042486A">
        <w:rPr>
          <w:rFonts w:ascii="Abadi" w:hAnsi="Abadi" w:cs="Calibri"/>
          <w:b/>
          <w:bCs/>
          <w:color w:val="000000"/>
          <w:sz w:val="20"/>
          <w:szCs w:val="20"/>
        </w:rPr>
        <w:t xml:space="preserve">, </w:t>
      </w:r>
      <w:r w:rsidRPr="0042486A">
        <w:rPr>
          <w:rFonts w:ascii="Abadi" w:hAnsi="Abadi" w:cs="Calibri"/>
          <w:b/>
          <w:bCs/>
          <w:color w:val="000000"/>
          <w:sz w:val="20"/>
          <w:szCs w:val="20"/>
        </w:rPr>
        <w:t>Navsari Agricultural University,</w:t>
      </w:r>
      <w:r w:rsidRPr="0042486A">
        <w:rPr>
          <w:rFonts w:ascii="Abadi" w:hAnsi="Abadi" w:cs="Calibri"/>
          <w:b/>
          <w:bCs/>
          <w:color w:val="000000"/>
          <w:sz w:val="20"/>
          <w:szCs w:val="20"/>
        </w:rPr>
        <w:t xml:space="preserve"> </w:t>
      </w:r>
      <w:r w:rsidRPr="0042486A">
        <w:rPr>
          <w:rFonts w:ascii="Abadi" w:hAnsi="Abadi" w:cs="Calibri"/>
          <w:b/>
          <w:bCs/>
          <w:color w:val="000000"/>
          <w:sz w:val="20"/>
          <w:szCs w:val="20"/>
        </w:rPr>
        <w:t>India</w:t>
      </w:r>
    </w:p>
    <w:sectPr w:rsidR="00B4677D" w:rsidRPr="0042486A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3A1A" w14:textId="77777777" w:rsidR="007D5AAD" w:rsidRDefault="007D5AAD">
      <w:r>
        <w:separator/>
      </w:r>
    </w:p>
  </w:endnote>
  <w:endnote w:type="continuationSeparator" w:id="0">
    <w:p w14:paraId="5FC86086" w14:textId="77777777" w:rsidR="007D5AAD" w:rsidRDefault="007D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D8EB" w14:textId="77777777" w:rsidR="0077383D" w:rsidRDefault="00844A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CD3C1AC" wp14:editId="72B9BFB8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2F757" w14:textId="77777777" w:rsidR="0077383D" w:rsidRDefault="00844A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3C1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28A2F757" w14:textId="77777777" w:rsidR="0077383D" w:rsidRDefault="00844A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AFCE6AF" wp14:editId="332AB6B2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15657" w14:textId="77777777" w:rsidR="0077383D" w:rsidRDefault="00844A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CE6AF"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48F15657" w14:textId="77777777" w:rsidR="0077383D" w:rsidRDefault="00844A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8AF8C74" wp14:editId="51AC040C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A7324" w14:textId="77777777" w:rsidR="0077383D" w:rsidRDefault="00844A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F8C74"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68AA7324" w14:textId="77777777" w:rsidR="0077383D" w:rsidRDefault="00844A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F242C41" wp14:editId="39C2A908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6DD42" w14:textId="77777777" w:rsidR="0077383D" w:rsidRDefault="00844A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42C41"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7D06DD42" w14:textId="77777777" w:rsidR="0077383D" w:rsidRDefault="00844A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882A" w14:textId="77777777" w:rsidR="007D5AAD" w:rsidRDefault="007D5AAD">
      <w:r>
        <w:separator/>
      </w:r>
    </w:p>
  </w:footnote>
  <w:footnote w:type="continuationSeparator" w:id="0">
    <w:p w14:paraId="4AAFFDA7" w14:textId="77777777" w:rsidR="007D5AAD" w:rsidRDefault="007D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C2BC" w14:textId="77777777" w:rsidR="0077383D" w:rsidRDefault="00844A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4BC59CA" wp14:editId="08CD737A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B7590" w14:textId="77777777" w:rsidR="0077383D" w:rsidRDefault="00844A8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C59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7BDB7590" w14:textId="77777777" w:rsidR="0077383D" w:rsidRDefault="00844A8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83D"/>
    <w:rsid w:val="00191337"/>
    <w:rsid w:val="003C7AE5"/>
    <w:rsid w:val="0042486A"/>
    <w:rsid w:val="005D5E74"/>
    <w:rsid w:val="006F18A5"/>
    <w:rsid w:val="0077383D"/>
    <w:rsid w:val="007D5AAD"/>
    <w:rsid w:val="007F42B3"/>
    <w:rsid w:val="00844A87"/>
    <w:rsid w:val="00B4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43A2"/>
  <w15:docId w15:val="{CEFC3E8B-9ECE-4B83-B161-27D091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z.com/index.php/AJRI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5</cp:revision>
  <dcterms:created xsi:type="dcterms:W3CDTF">2025-04-18T09:58:00Z</dcterms:created>
  <dcterms:modified xsi:type="dcterms:W3CDTF">2025-04-23T10:44:00Z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2010</vt:lpwstr>
  </property>
</Properties>
</file>