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23EE" w14:textId="77777777" w:rsidR="00FC14F1" w:rsidRDefault="00FC14F1" w:rsidP="00FC14F1">
      <w:pPr>
        <w:spacing w:line="240" w:lineRule="auto"/>
        <w:jc w:val="right"/>
        <w:rPr>
          <w:rFonts w:ascii="Arial" w:eastAsia="Times New Roman" w:hAnsi="Arial" w:cs="Arial"/>
          <w:b/>
          <w:bCs/>
          <w:iCs/>
          <w:kern w:val="28"/>
          <w:sz w:val="36"/>
          <w:szCs w:val="20"/>
        </w:rPr>
      </w:pPr>
      <w:r w:rsidRPr="00FC14F1">
        <w:rPr>
          <w:rFonts w:ascii="Arial" w:eastAsia="Times New Roman" w:hAnsi="Arial" w:cs="Arial"/>
          <w:b/>
          <w:bCs/>
          <w:iCs/>
          <w:kern w:val="28"/>
          <w:sz w:val="36"/>
          <w:szCs w:val="20"/>
        </w:rPr>
        <w:t>I</w:t>
      </w:r>
      <w:r w:rsidR="00874114" w:rsidRPr="00FC14F1">
        <w:rPr>
          <w:rFonts w:ascii="Arial" w:eastAsia="Times New Roman" w:hAnsi="Arial" w:cs="Arial"/>
          <w:b/>
          <w:bCs/>
          <w:iCs/>
          <w:kern w:val="28"/>
          <w:sz w:val="36"/>
          <w:szCs w:val="20"/>
        </w:rPr>
        <w:t>solation</w:t>
      </w:r>
      <w:r w:rsidR="005377C7">
        <w:rPr>
          <w:rFonts w:ascii="Arial" w:eastAsia="Times New Roman" w:hAnsi="Arial" w:cs="Arial"/>
          <w:b/>
          <w:bCs/>
          <w:iCs/>
          <w:kern w:val="28"/>
          <w:sz w:val="36"/>
          <w:szCs w:val="20"/>
        </w:rPr>
        <w:t xml:space="preserve"> o</w:t>
      </w:r>
      <w:r w:rsidR="00874114" w:rsidRPr="00FC14F1">
        <w:rPr>
          <w:rFonts w:ascii="Arial" w:eastAsia="Times New Roman" w:hAnsi="Arial" w:cs="Arial"/>
          <w:b/>
          <w:bCs/>
          <w:iCs/>
          <w:kern w:val="28"/>
          <w:sz w:val="36"/>
          <w:szCs w:val="20"/>
        </w:rPr>
        <w:t>f</w:t>
      </w:r>
      <w:r w:rsidRPr="00FC14F1">
        <w:rPr>
          <w:rFonts w:ascii="Arial" w:eastAsia="Times New Roman" w:hAnsi="Arial" w:cs="Arial"/>
          <w:b/>
          <w:bCs/>
          <w:iCs/>
          <w:kern w:val="28"/>
          <w:sz w:val="36"/>
          <w:szCs w:val="20"/>
        </w:rPr>
        <w:t xml:space="preserve"> H</w:t>
      </w:r>
      <w:r w:rsidR="00874114" w:rsidRPr="00FC14F1">
        <w:rPr>
          <w:rFonts w:ascii="Arial" w:eastAsia="Times New Roman" w:hAnsi="Arial" w:cs="Arial"/>
          <w:b/>
          <w:bCs/>
          <w:iCs/>
          <w:kern w:val="28"/>
          <w:sz w:val="36"/>
          <w:szCs w:val="20"/>
        </w:rPr>
        <w:t>istamine</w:t>
      </w:r>
      <w:r w:rsidRPr="00FC14F1">
        <w:rPr>
          <w:rFonts w:ascii="Arial" w:eastAsia="Times New Roman" w:hAnsi="Arial" w:cs="Arial"/>
          <w:b/>
          <w:bCs/>
          <w:iCs/>
          <w:kern w:val="28"/>
          <w:sz w:val="36"/>
          <w:szCs w:val="20"/>
        </w:rPr>
        <w:t xml:space="preserve"> P</w:t>
      </w:r>
      <w:r w:rsidR="00874114" w:rsidRPr="00874114">
        <w:rPr>
          <w:rFonts w:ascii="Arial" w:eastAsia="Times New Roman" w:hAnsi="Arial" w:cs="Arial"/>
          <w:b/>
          <w:bCs/>
          <w:iCs/>
          <w:kern w:val="28"/>
          <w:sz w:val="32"/>
          <w:szCs w:val="18"/>
        </w:rPr>
        <w:t>roducing</w:t>
      </w:r>
      <w:r w:rsidRPr="00FC14F1">
        <w:rPr>
          <w:rFonts w:ascii="Arial" w:eastAsia="Times New Roman" w:hAnsi="Arial" w:cs="Arial"/>
          <w:b/>
          <w:bCs/>
          <w:iCs/>
          <w:kern w:val="28"/>
          <w:sz w:val="36"/>
          <w:szCs w:val="20"/>
        </w:rPr>
        <w:t xml:space="preserve"> B</w:t>
      </w:r>
      <w:r w:rsidR="00874114" w:rsidRPr="00FC14F1">
        <w:rPr>
          <w:rFonts w:ascii="Arial" w:eastAsia="Times New Roman" w:hAnsi="Arial" w:cs="Arial"/>
          <w:b/>
          <w:bCs/>
          <w:iCs/>
          <w:kern w:val="28"/>
          <w:sz w:val="36"/>
          <w:szCs w:val="20"/>
        </w:rPr>
        <w:t>acteria</w:t>
      </w:r>
      <w:r w:rsidR="008F196F">
        <w:rPr>
          <w:rFonts w:ascii="Arial" w:eastAsia="Times New Roman" w:hAnsi="Arial" w:cs="Arial"/>
          <w:b/>
          <w:bCs/>
          <w:iCs/>
          <w:kern w:val="28"/>
          <w:sz w:val="36"/>
          <w:szCs w:val="20"/>
        </w:rPr>
        <w:t xml:space="preserve"> (</w:t>
      </w:r>
      <w:r w:rsidR="00BB05A4" w:rsidRPr="0007573D">
        <w:rPr>
          <w:rFonts w:ascii="Arial" w:eastAsia="Times New Roman" w:hAnsi="Arial" w:cs="Arial"/>
          <w:b/>
          <w:bCs/>
          <w:i/>
          <w:kern w:val="28"/>
          <w:sz w:val="36"/>
          <w:szCs w:val="20"/>
        </w:rPr>
        <w:t>Escherichia coli</w:t>
      </w:r>
      <w:r w:rsidR="008F196F">
        <w:rPr>
          <w:rFonts w:ascii="Arial" w:eastAsia="Times New Roman" w:hAnsi="Arial" w:cs="Arial"/>
          <w:b/>
          <w:bCs/>
          <w:iCs/>
          <w:kern w:val="28"/>
          <w:sz w:val="36"/>
          <w:szCs w:val="20"/>
        </w:rPr>
        <w:t>)</w:t>
      </w:r>
      <w:r w:rsidRPr="00FC14F1">
        <w:rPr>
          <w:rFonts w:ascii="Arial" w:eastAsia="Times New Roman" w:hAnsi="Arial" w:cs="Arial"/>
          <w:b/>
          <w:bCs/>
          <w:iCs/>
          <w:kern w:val="28"/>
          <w:sz w:val="36"/>
          <w:szCs w:val="20"/>
        </w:rPr>
        <w:t xml:space="preserve"> F</w:t>
      </w:r>
      <w:r w:rsidR="00874114" w:rsidRPr="00FC14F1">
        <w:rPr>
          <w:rFonts w:ascii="Arial" w:eastAsia="Times New Roman" w:hAnsi="Arial" w:cs="Arial"/>
          <w:b/>
          <w:bCs/>
          <w:iCs/>
          <w:kern w:val="28"/>
          <w:sz w:val="36"/>
          <w:szCs w:val="20"/>
        </w:rPr>
        <w:t>rom</w:t>
      </w:r>
      <w:r w:rsidR="005377C7">
        <w:rPr>
          <w:rFonts w:ascii="Arial" w:eastAsia="Times New Roman" w:hAnsi="Arial" w:cs="Arial"/>
          <w:b/>
          <w:bCs/>
          <w:iCs/>
          <w:kern w:val="28"/>
          <w:sz w:val="36"/>
          <w:szCs w:val="20"/>
        </w:rPr>
        <w:t xml:space="preserve"> </w:t>
      </w:r>
      <w:r w:rsidR="009B77F9" w:rsidRPr="009B77F9">
        <w:rPr>
          <w:rFonts w:ascii="Arial" w:eastAsia="Times New Roman" w:hAnsi="Arial" w:cs="Arial"/>
          <w:b/>
          <w:bCs/>
          <w:i/>
          <w:iCs/>
          <w:kern w:val="28"/>
          <w:sz w:val="36"/>
          <w:szCs w:val="20"/>
        </w:rPr>
        <w:t>Penaeus monodon</w:t>
      </w:r>
      <w:r w:rsidRPr="00FC14F1">
        <w:rPr>
          <w:rFonts w:ascii="Arial" w:eastAsia="Times New Roman" w:hAnsi="Arial" w:cs="Arial"/>
          <w:b/>
          <w:bCs/>
          <w:iCs/>
          <w:kern w:val="28"/>
          <w:sz w:val="36"/>
          <w:szCs w:val="20"/>
        </w:rPr>
        <w:t xml:space="preserve"> (T</w:t>
      </w:r>
      <w:r w:rsidR="00874114" w:rsidRPr="00FC14F1">
        <w:rPr>
          <w:rFonts w:ascii="Arial" w:eastAsia="Times New Roman" w:hAnsi="Arial" w:cs="Arial"/>
          <w:b/>
          <w:bCs/>
          <w:iCs/>
          <w:kern w:val="28"/>
          <w:sz w:val="36"/>
          <w:szCs w:val="20"/>
        </w:rPr>
        <w:t xml:space="preserve">iger </w:t>
      </w:r>
      <w:r w:rsidRPr="00FC14F1">
        <w:rPr>
          <w:rFonts w:ascii="Arial" w:eastAsia="Times New Roman" w:hAnsi="Arial" w:cs="Arial"/>
          <w:b/>
          <w:bCs/>
          <w:iCs/>
          <w:kern w:val="28"/>
          <w:sz w:val="36"/>
          <w:szCs w:val="20"/>
        </w:rPr>
        <w:t>PRAWNS)</w:t>
      </w:r>
      <w:r w:rsidR="00E964BF">
        <w:rPr>
          <w:rFonts w:ascii="Arial" w:eastAsia="Times New Roman" w:hAnsi="Arial" w:cs="Arial"/>
          <w:b/>
          <w:bCs/>
          <w:iCs/>
          <w:kern w:val="28"/>
          <w:sz w:val="36"/>
          <w:szCs w:val="20"/>
        </w:rPr>
        <w:t xml:space="preserve"> And Its Control Measures Using </w:t>
      </w:r>
      <w:proofErr w:type="gramStart"/>
      <w:r w:rsidR="00E964BF">
        <w:rPr>
          <w:rFonts w:ascii="Arial" w:eastAsia="Times New Roman" w:hAnsi="Arial" w:cs="Arial"/>
          <w:b/>
          <w:bCs/>
          <w:iCs/>
          <w:kern w:val="28"/>
          <w:sz w:val="36"/>
          <w:szCs w:val="20"/>
        </w:rPr>
        <w:t>Plant  Extracts</w:t>
      </w:r>
      <w:proofErr w:type="gramEnd"/>
    </w:p>
    <w:p w14:paraId="60F16013" w14:textId="77777777" w:rsidR="00114529" w:rsidRDefault="00114529" w:rsidP="00D52823">
      <w:pPr>
        <w:spacing w:line="240" w:lineRule="auto"/>
        <w:jc w:val="right"/>
        <w:rPr>
          <w:rFonts w:ascii="Arial" w:eastAsia="Times New Roman" w:hAnsi="Arial" w:cs="Arial"/>
          <w:i/>
          <w:kern w:val="28"/>
          <w:sz w:val="24"/>
          <w:szCs w:val="24"/>
        </w:rPr>
      </w:pPr>
    </w:p>
    <w:p w14:paraId="13D01AC7" w14:textId="00641FAE" w:rsidR="00A461D8" w:rsidRDefault="00FC7611" w:rsidP="00D52823">
      <w:pPr>
        <w:spacing w:line="240" w:lineRule="auto"/>
        <w:jc w:val="right"/>
        <w:rPr>
          <w:rFonts w:ascii="Arial" w:eastAsia="Times New Roman" w:hAnsi="Arial" w:cs="Arial"/>
          <w:i/>
          <w:kern w:val="28"/>
          <w:sz w:val="24"/>
          <w:szCs w:val="24"/>
        </w:rPr>
      </w:pPr>
      <w:r>
        <w:rPr>
          <w:rFonts w:ascii="Arial" w:hAnsi="Arial" w:cs="Arial"/>
          <w:noProof/>
          <w:lang w:eastAsia="en-IN" w:bidi="ml-IN"/>
        </w:rPr>
        <mc:AlternateContent>
          <mc:Choice Requires="wps">
            <w:drawing>
              <wp:inline distT="0" distB="0" distL="0" distR="0" wp14:anchorId="0BD5EF61" wp14:editId="20A8A239">
                <wp:extent cx="5804535" cy="635"/>
                <wp:effectExtent l="9525" t="17780" r="15240" b="10795"/>
                <wp:docPr id="56369198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AD8F18" id="_x0000_t32" coordsize="21600,21600" o:spt="32" o:oned="t" path="m,l21600,21600e" filled="f">
                <v:path arrowok="t" fillok="f" o:connecttype="none"/>
                <o:lock v:ext="edit" shapetype="t"/>
              </v:shapetype>
              <v:shape id="Straight Arrow Connector 1" o:spid="_x0000_s1026" type="#_x0000_t32" style="width:457.0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quAEAAFcDAAAOAAAAZHJzL2Uyb0RvYy54bWysU8Fu2zAMvQ/YPwi6L3a6ZeiMOD2k6y7d&#10;FqDdBzCSbAuTRYFUYufvJ6lJVmy3YT4IlEg+Pj7S67t5dOJoiC36Vi4XtRTGK9TW96388fzw7lYK&#10;juA1OPSmlSfD8m7z9s16Co25wQGdNiQSiOdmCq0cYgxNVbEazAi8wGB8cnZII8R0pb7SBFNCH111&#10;U9cfqwlJB0JlmNPr/YtTbgp+1xkVv3cdmyhcKxO3WE4q5z6f1WYNTU8QBqvONOAfWIxgfSp6hbqH&#10;COJA9i+o0SpCxi4uFI4Vdp1VpvSQulnWf3TzNEAwpZckDoerTPz/YNW349bvKFNXs38Kj6h+svC4&#10;HcD3phB4PoU0uGWWqpoCN9eUfOGwI7GfvqJOMXCIWFSYOxozZOpPzEXs01VsM0eh0uPqtv6wer+S&#10;Ql18FTSXxEAcvxgcRTZayZHA9kPcovdppEjLUgaOjxwzLWguCbmqxwfrXJms82JK3D/Vq7pkMDqr&#10;szfHMfX7rSNxhLwc5StNJs/rMMKD1wVtMKA/n+0I1r3YqbrzZ22yHHn3uNmjPu3oolmaXqF53rS8&#10;Hq/vJfv3/7D5BQAA//8DAFBLAwQUAAYACAAAACEAEhOPudcAAAACAQAADwAAAGRycy9kb3ducmV2&#10;LnhtbEyPwWrDMBBE74X+g9hCLqWRHUpwHMuhFHrqoW6SD1hbW9vEWhlLjtW/r9JLexlYZph5WxyC&#10;GcSVJtdbVpCuExDEjdU9twrOp7enDITzyBoHy6Tgmxwcyvu7AnNtF/6k69G3Ipawy1FB5/2YS+ma&#10;jgy6tR2Jo/dlJ4M+nlMr9YRLLDeD3CTJVhrsOS50ONJrR83lOBsF4WPLPlRZqBee3132WAU0lVKr&#10;h/CyB+Ep+L8w3PAjOpSRqbYzaycGBfER/6vR26XPKYj6FpJlIf+jlz8AAAD//wMAUEsBAi0AFAAG&#10;AAgAAAAhALaDOJL+AAAA4QEAABMAAAAAAAAAAAAAAAAAAAAAAFtDb250ZW50X1R5cGVzXS54bWxQ&#10;SwECLQAUAAYACAAAACEAOP0h/9YAAACUAQAACwAAAAAAAAAAAAAAAAAvAQAAX3JlbHMvLnJlbHNQ&#10;SwECLQAUAAYACAAAACEAVvtmargBAABXAwAADgAAAAAAAAAAAAAAAAAuAgAAZHJzL2Uyb0RvYy54&#10;bWxQSwECLQAUAAYACAAAACEAEhOPudcAAAACAQAADwAAAAAAAAAAAAAAAAASBAAAZHJzL2Rvd25y&#10;ZXYueG1sUEsFBgAAAAAEAAQA8wAAABYFAAAAAA==&#10;" strokeweight="1.5pt">
                <w10:anchorlock/>
              </v:shape>
            </w:pict>
          </mc:Fallback>
        </mc:AlternateContent>
      </w:r>
    </w:p>
    <w:p w14:paraId="319FED6E" w14:textId="77777777" w:rsidR="00107A2C" w:rsidRPr="0003035D" w:rsidRDefault="00107A2C" w:rsidP="00107A2C">
      <w:pPr>
        <w:spacing w:line="240" w:lineRule="auto"/>
        <w:jc w:val="both"/>
        <w:rPr>
          <w:rFonts w:ascii="Arial" w:eastAsia="Times New Roman" w:hAnsi="Arial" w:cs="Arial"/>
          <w:b/>
          <w:bCs/>
          <w:iCs/>
          <w:kern w:val="28"/>
        </w:rPr>
      </w:pPr>
      <w:r w:rsidRPr="0003035D">
        <w:rPr>
          <w:rFonts w:ascii="Arial" w:eastAsia="Times New Roman" w:hAnsi="Arial" w:cs="Arial"/>
          <w:b/>
          <w:bCs/>
          <w:iCs/>
          <w:kern w:val="28"/>
        </w:rPr>
        <w:t>ABSTRACT</w:t>
      </w:r>
    </w:p>
    <w:p w14:paraId="5F646415" w14:textId="77777777" w:rsidR="0003035D" w:rsidRPr="0003035D" w:rsidRDefault="0003035D" w:rsidP="0003035D">
      <w:pPr>
        <w:spacing w:line="240" w:lineRule="auto"/>
        <w:jc w:val="both"/>
        <w:rPr>
          <w:rFonts w:ascii="Arial" w:eastAsia="Times New Roman" w:hAnsi="Arial" w:cs="Arial"/>
          <w:iCs/>
          <w:kern w:val="28"/>
          <w:sz w:val="20"/>
          <w:szCs w:val="20"/>
        </w:rPr>
      </w:pPr>
      <w:r w:rsidRPr="0003035D">
        <w:rPr>
          <w:rFonts w:ascii="Arial" w:eastAsia="Times New Roman" w:hAnsi="Arial" w:cs="Arial"/>
          <w:b/>
          <w:bCs/>
          <w:iCs/>
          <w:kern w:val="28"/>
          <w:sz w:val="20"/>
          <w:szCs w:val="20"/>
        </w:rPr>
        <w:t xml:space="preserve">Aims: </w:t>
      </w:r>
      <w:r w:rsidRPr="0003035D">
        <w:rPr>
          <w:rFonts w:ascii="Arial" w:eastAsia="Times New Roman" w:hAnsi="Arial" w:cs="Arial"/>
          <w:iCs/>
          <w:kern w:val="28"/>
          <w:sz w:val="20"/>
          <w:szCs w:val="20"/>
        </w:rPr>
        <w:t xml:space="preserve">The study aims to isolate, molecularly identify, and estimate histamine-producing bacteria from </w:t>
      </w:r>
      <w:r w:rsidR="009B77F9" w:rsidRPr="009B77F9">
        <w:rPr>
          <w:rFonts w:ascii="Arial" w:eastAsia="Times New Roman" w:hAnsi="Arial" w:cs="Arial"/>
          <w:i/>
          <w:iCs/>
          <w:kern w:val="28"/>
          <w:sz w:val="20"/>
          <w:szCs w:val="20"/>
        </w:rPr>
        <w:t>Penaeus</w:t>
      </w:r>
      <w:r w:rsidR="00FA1873">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Pr="0003035D">
        <w:rPr>
          <w:rFonts w:ascii="Arial" w:eastAsia="Times New Roman" w:hAnsi="Arial" w:cs="Arial"/>
          <w:iCs/>
          <w:kern w:val="28"/>
          <w:sz w:val="20"/>
          <w:szCs w:val="20"/>
        </w:rPr>
        <w:t xml:space="preserve"> (tiger prawns) and evaluate their antibiotic resistance and histamine degradation potential using plant extracts.</w:t>
      </w:r>
    </w:p>
    <w:p w14:paraId="296072A4" w14:textId="77777777" w:rsidR="0003035D" w:rsidRPr="0003035D" w:rsidRDefault="0003035D" w:rsidP="0003035D">
      <w:pPr>
        <w:spacing w:line="240" w:lineRule="auto"/>
        <w:jc w:val="both"/>
        <w:rPr>
          <w:rFonts w:ascii="Arial" w:eastAsia="Times New Roman" w:hAnsi="Arial" w:cs="Arial"/>
          <w:iCs/>
          <w:kern w:val="28"/>
          <w:sz w:val="20"/>
          <w:szCs w:val="20"/>
        </w:rPr>
      </w:pPr>
      <w:r w:rsidRPr="0003035D">
        <w:rPr>
          <w:rFonts w:ascii="Arial" w:eastAsia="Times New Roman" w:hAnsi="Arial" w:cs="Arial"/>
          <w:b/>
          <w:bCs/>
          <w:iCs/>
          <w:kern w:val="28"/>
          <w:sz w:val="20"/>
          <w:szCs w:val="20"/>
        </w:rPr>
        <w:t xml:space="preserve">Study Design: </w:t>
      </w:r>
      <w:r w:rsidRPr="0003035D">
        <w:rPr>
          <w:rFonts w:ascii="Arial" w:eastAsia="Times New Roman" w:hAnsi="Arial" w:cs="Arial"/>
          <w:iCs/>
          <w:kern w:val="28"/>
          <w:sz w:val="20"/>
          <w:szCs w:val="20"/>
        </w:rPr>
        <w:t xml:space="preserve">Experimental study involving microbiological, molecular, and chromatographic techniques to </w:t>
      </w:r>
      <w:proofErr w:type="spellStart"/>
      <w:r w:rsidRPr="0003035D">
        <w:rPr>
          <w:rFonts w:ascii="Arial" w:eastAsia="Times New Roman" w:hAnsi="Arial" w:cs="Arial"/>
          <w:iCs/>
          <w:kern w:val="28"/>
          <w:sz w:val="20"/>
          <w:szCs w:val="20"/>
        </w:rPr>
        <w:t>analyze</w:t>
      </w:r>
      <w:proofErr w:type="spellEnd"/>
      <w:r w:rsidRPr="0003035D">
        <w:rPr>
          <w:rFonts w:ascii="Arial" w:eastAsia="Times New Roman" w:hAnsi="Arial" w:cs="Arial"/>
          <w:iCs/>
          <w:kern w:val="28"/>
          <w:sz w:val="20"/>
          <w:szCs w:val="20"/>
        </w:rPr>
        <w:t xml:space="preserve"> bacterial presence and histamine production.</w:t>
      </w:r>
    </w:p>
    <w:p w14:paraId="741ABE77" w14:textId="77777777" w:rsidR="0003035D" w:rsidRDefault="0003035D" w:rsidP="0003035D">
      <w:pPr>
        <w:spacing w:line="240" w:lineRule="auto"/>
        <w:jc w:val="both"/>
        <w:rPr>
          <w:rFonts w:ascii="Arial" w:eastAsia="Times New Roman" w:hAnsi="Arial" w:cs="Arial"/>
          <w:iCs/>
          <w:kern w:val="28"/>
          <w:sz w:val="20"/>
          <w:szCs w:val="20"/>
        </w:rPr>
      </w:pPr>
      <w:r>
        <w:rPr>
          <w:rFonts w:ascii="Arial" w:eastAsia="Times New Roman" w:hAnsi="Arial" w:cs="Arial"/>
          <w:b/>
          <w:bCs/>
          <w:iCs/>
          <w:kern w:val="28"/>
          <w:sz w:val="20"/>
          <w:szCs w:val="20"/>
        </w:rPr>
        <w:t xml:space="preserve">Methodology: </w:t>
      </w:r>
      <w:r w:rsidRPr="0003035D">
        <w:rPr>
          <w:rFonts w:ascii="Arial" w:eastAsia="Times New Roman" w:hAnsi="Arial" w:cs="Arial"/>
          <w:iCs/>
          <w:kern w:val="28"/>
          <w:sz w:val="20"/>
          <w:szCs w:val="20"/>
        </w:rPr>
        <w:t>Samples were processed using specific agar media (Cetrimide, TCBS, MacConkey, etc.) followed by streaking, broth culturing, and antibiotic susceptibility testing through the disc diffusion method.</w:t>
      </w:r>
      <w:r w:rsidR="00FA1873">
        <w:rPr>
          <w:rFonts w:ascii="Arial" w:eastAsia="Times New Roman" w:hAnsi="Arial" w:cs="Arial"/>
          <w:iCs/>
          <w:kern w:val="28"/>
          <w:sz w:val="20"/>
          <w:szCs w:val="20"/>
        </w:rPr>
        <w:t xml:space="preserve"> </w:t>
      </w:r>
      <w:r w:rsidRPr="0003035D">
        <w:rPr>
          <w:rFonts w:ascii="Arial" w:eastAsia="Times New Roman" w:hAnsi="Arial" w:cs="Arial"/>
          <w:iCs/>
          <w:kern w:val="28"/>
          <w:sz w:val="20"/>
          <w:szCs w:val="20"/>
        </w:rPr>
        <w:t xml:space="preserve">Bacterial DNA was extracted, amplified using PCR, and sequenced for 16S rRNA identification. Gel electrophoresis confirmed DNA presence, and the bacterial strain was identified as </w:t>
      </w:r>
      <w:r w:rsidRPr="0003035D">
        <w:rPr>
          <w:rFonts w:ascii="Arial" w:eastAsia="Times New Roman" w:hAnsi="Arial" w:cs="Arial"/>
          <w:i/>
          <w:kern w:val="28"/>
          <w:sz w:val="20"/>
          <w:szCs w:val="20"/>
        </w:rPr>
        <w:t>E. coli</w:t>
      </w:r>
      <w:r w:rsidRPr="0003035D">
        <w:rPr>
          <w:rFonts w:ascii="Arial" w:eastAsia="Times New Roman" w:hAnsi="Arial" w:cs="Arial"/>
          <w:iCs/>
          <w:kern w:val="28"/>
          <w:sz w:val="20"/>
          <w:szCs w:val="20"/>
        </w:rPr>
        <w:t xml:space="preserve"> (NCBI accession number PV156073).</w:t>
      </w:r>
      <w:r w:rsidR="00FA1873">
        <w:rPr>
          <w:rFonts w:ascii="Arial" w:eastAsia="Times New Roman" w:hAnsi="Arial" w:cs="Arial"/>
          <w:iCs/>
          <w:kern w:val="28"/>
          <w:sz w:val="20"/>
          <w:szCs w:val="20"/>
        </w:rPr>
        <w:t xml:space="preserve"> </w:t>
      </w:r>
      <w:r w:rsidRPr="0003035D">
        <w:rPr>
          <w:rFonts w:ascii="Arial" w:eastAsia="Times New Roman" w:hAnsi="Arial" w:cs="Arial"/>
          <w:iCs/>
          <w:kern w:val="28"/>
          <w:sz w:val="20"/>
          <w:szCs w:val="20"/>
        </w:rPr>
        <w:t xml:space="preserve">Histamine was extracted and quantified using Thin Layer Chromatography (TLC), UV spectrophotometry, and High-Performance Liquid Chromatography (HPLC). </w:t>
      </w:r>
    </w:p>
    <w:p w14:paraId="4109C09C" w14:textId="77777777" w:rsidR="0003035D" w:rsidRDefault="00A461D8" w:rsidP="0003035D">
      <w:pPr>
        <w:spacing w:line="240" w:lineRule="auto"/>
        <w:jc w:val="both"/>
        <w:rPr>
          <w:rFonts w:ascii="Arial" w:eastAsia="Times New Roman" w:hAnsi="Arial" w:cs="Arial"/>
          <w:iCs/>
          <w:kern w:val="28"/>
          <w:sz w:val="20"/>
          <w:szCs w:val="20"/>
        </w:rPr>
      </w:pPr>
      <w:r w:rsidRPr="00A461D8">
        <w:rPr>
          <w:rFonts w:ascii="Arial" w:eastAsia="Times New Roman" w:hAnsi="Arial" w:cs="Arial"/>
          <w:b/>
          <w:bCs/>
          <w:iCs/>
          <w:kern w:val="28"/>
          <w:sz w:val="20"/>
          <w:szCs w:val="20"/>
        </w:rPr>
        <w:t>Results:</w:t>
      </w:r>
      <w:r w:rsidR="00FA1873">
        <w:rPr>
          <w:rFonts w:ascii="Arial" w:eastAsia="Times New Roman" w:hAnsi="Arial" w:cs="Arial"/>
          <w:b/>
          <w:bCs/>
          <w:iCs/>
          <w:kern w:val="28"/>
          <w:sz w:val="20"/>
          <w:szCs w:val="20"/>
        </w:rPr>
        <w:t xml:space="preserve"> </w:t>
      </w:r>
      <w:r w:rsidRPr="00A461D8">
        <w:rPr>
          <w:rFonts w:ascii="Arial" w:eastAsia="Times New Roman" w:hAnsi="Arial" w:cs="Arial"/>
          <w:iCs/>
          <w:kern w:val="28"/>
          <w:sz w:val="20"/>
          <w:szCs w:val="20"/>
        </w:rPr>
        <w:t xml:space="preserve">Bacterial isolates obtained from </w:t>
      </w:r>
      <w:r w:rsidR="009B77F9" w:rsidRPr="009B77F9">
        <w:rPr>
          <w:rFonts w:ascii="Arial" w:eastAsia="Times New Roman" w:hAnsi="Arial" w:cs="Arial"/>
          <w:i/>
          <w:iCs/>
          <w:kern w:val="28"/>
          <w:sz w:val="20"/>
          <w:szCs w:val="20"/>
        </w:rPr>
        <w:t>Penaeus</w:t>
      </w:r>
      <w:r w:rsidR="00FA1873">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Pr="00A461D8">
        <w:rPr>
          <w:rFonts w:ascii="Arial" w:eastAsia="Times New Roman" w:hAnsi="Arial" w:cs="Arial"/>
          <w:iCs/>
          <w:kern w:val="28"/>
          <w:sz w:val="20"/>
          <w:szCs w:val="20"/>
        </w:rPr>
        <w:t xml:space="preserve"> exhibited varying degrees of antibiotic resistance, with inhibition zones ranging from 22-26 mm for levofloxacin, 28-29 mm for ciprofloxacin, and 19-26 mm for amikacin. The presence of histamine-producing bacteria was confirmed through TLC analysis, which showed RF values of 0.6575 and 0.726. UV spectrophotometric analysis further estimated histamine levels, with optical densities of 0.640 in bacterial cultures and 0.625 in raw fish samples. HPLC and FTIR analyses validated the presence of histamine in bacterial supernatants. Additionally, plant extracts from </w:t>
      </w:r>
      <w:r w:rsidRPr="00A461D8">
        <w:rPr>
          <w:rFonts w:ascii="Arial" w:eastAsia="Times New Roman" w:hAnsi="Arial" w:cs="Arial"/>
          <w:i/>
          <w:iCs/>
          <w:kern w:val="28"/>
          <w:sz w:val="20"/>
          <w:szCs w:val="20"/>
        </w:rPr>
        <w:t xml:space="preserve">Annona muricata, Jatropha </w:t>
      </w:r>
      <w:proofErr w:type="spellStart"/>
      <w:r w:rsidRPr="00A461D8">
        <w:rPr>
          <w:rFonts w:ascii="Arial" w:eastAsia="Times New Roman" w:hAnsi="Arial" w:cs="Arial"/>
          <w:i/>
          <w:iCs/>
          <w:kern w:val="28"/>
          <w:sz w:val="20"/>
          <w:szCs w:val="20"/>
        </w:rPr>
        <w:t>curcas</w:t>
      </w:r>
      <w:proofErr w:type="spellEnd"/>
      <w:r w:rsidRPr="00A461D8">
        <w:rPr>
          <w:rFonts w:ascii="Arial" w:eastAsia="Times New Roman" w:hAnsi="Arial" w:cs="Arial"/>
          <w:i/>
          <w:iCs/>
          <w:kern w:val="28"/>
          <w:sz w:val="20"/>
          <w:szCs w:val="20"/>
        </w:rPr>
        <w:t>,</w:t>
      </w:r>
      <w:r w:rsidRPr="00A461D8">
        <w:rPr>
          <w:rFonts w:ascii="Arial" w:eastAsia="Times New Roman" w:hAnsi="Arial" w:cs="Arial"/>
          <w:iCs/>
          <w:kern w:val="28"/>
          <w:sz w:val="20"/>
          <w:szCs w:val="20"/>
        </w:rPr>
        <w:t xml:space="preserve"> and </w:t>
      </w:r>
      <w:r w:rsidRPr="00A461D8">
        <w:rPr>
          <w:rFonts w:ascii="Arial" w:eastAsia="Times New Roman" w:hAnsi="Arial" w:cs="Arial"/>
          <w:i/>
          <w:iCs/>
          <w:kern w:val="28"/>
          <w:sz w:val="20"/>
          <w:szCs w:val="20"/>
        </w:rPr>
        <w:t xml:space="preserve">Cestrum </w:t>
      </w:r>
      <w:proofErr w:type="spellStart"/>
      <w:r w:rsidRPr="00A461D8">
        <w:rPr>
          <w:rFonts w:ascii="Arial" w:eastAsia="Times New Roman" w:hAnsi="Arial" w:cs="Arial"/>
          <w:i/>
          <w:iCs/>
          <w:kern w:val="28"/>
          <w:sz w:val="20"/>
          <w:szCs w:val="20"/>
        </w:rPr>
        <w:t>nocturnum</w:t>
      </w:r>
      <w:proofErr w:type="spellEnd"/>
      <w:r w:rsidRPr="00A461D8">
        <w:rPr>
          <w:rFonts w:ascii="Arial" w:eastAsia="Times New Roman" w:hAnsi="Arial" w:cs="Arial"/>
          <w:iCs/>
          <w:kern w:val="28"/>
          <w:sz w:val="20"/>
          <w:szCs w:val="20"/>
        </w:rPr>
        <w:t xml:space="preserve"> exhibited notable antimicrobial properties, with flavonoid content analysis indicating a potential role in histamine </w:t>
      </w:r>
      <w:commentRangeStart w:id="0"/>
      <w:r w:rsidRPr="00A461D8">
        <w:rPr>
          <w:rFonts w:ascii="Arial" w:eastAsia="Times New Roman" w:hAnsi="Arial" w:cs="Arial"/>
          <w:iCs/>
          <w:kern w:val="28"/>
          <w:sz w:val="20"/>
          <w:szCs w:val="20"/>
        </w:rPr>
        <w:t>degradation</w:t>
      </w:r>
      <w:commentRangeEnd w:id="0"/>
      <w:r w:rsidR="006E19A0">
        <w:rPr>
          <w:rStyle w:val="CommentReference"/>
        </w:rPr>
        <w:commentReference w:id="0"/>
      </w:r>
      <w:r w:rsidRPr="00A461D8">
        <w:rPr>
          <w:rFonts w:ascii="Arial" w:eastAsia="Times New Roman" w:hAnsi="Arial" w:cs="Arial"/>
          <w:iCs/>
          <w:kern w:val="28"/>
          <w:sz w:val="20"/>
          <w:szCs w:val="20"/>
        </w:rPr>
        <w:t>.</w:t>
      </w:r>
    </w:p>
    <w:p w14:paraId="2E2EF15F" w14:textId="77777777" w:rsidR="00A461D8" w:rsidRDefault="00A461D8" w:rsidP="0003035D">
      <w:pPr>
        <w:spacing w:line="240" w:lineRule="auto"/>
        <w:jc w:val="both"/>
        <w:rPr>
          <w:rFonts w:ascii="Arial" w:eastAsia="Times New Roman" w:hAnsi="Arial" w:cs="Arial"/>
          <w:iCs/>
          <w:kern w:val="28"/>
          <w:sz w:val="20"/>
          <w:szCs w:val="20"/>
        </w:rPr>
      </w:pPr>
      <w:r w:rsidRPr="00A461D8">
        <w:rPr>
          <w:rFonts w:ascii="Arial" w:eastAsia="Times New Roman" w:hAnsi="Arial" w:cs="Arial"/>
          <w:b/>
          <w:bCs/>
          <w:iCs/>
          <w:kern w:val="28"/>
          <w:sz w:val="20"/>
          <w:szCs w:val="20"/>
        </w:rPr>
        <w:t>Conclusion:</w:t>
      </w:r>
      <w:r w:rsidR="003C12B7">
        <w:rPr>
          <w:rFonts w:ascii="Arial" w:eastAsia="Times New Roman" w:hAnsi="Arial" w:cs="Arial"/>
          <w:b/>
          <w:bCs/>
          <w:iCs/>
          <w:kern w:val="28"/>
          <w:sz w:val="20"/>
          <w:szCs w:val="20"/>
        </w:rPr>
        <w:t xml:space="preserve"> </w:t>
      </w:r>
      <w:r w:rsidRPr="00A461D8">
        <w:rPr>
          <w:rFonts w:ascii="Arial" w:eastAsia="Times New Roman" w:hAnsi="Arial" w:cs="Arial"/>
          <w:iCs/>
          <w:kern w:val="28"/>
          <w:sz w:val="20"/>
          <w:szCs w:val="20"/>
        </w:rPr>
        <w:t>The study successfully identified histamine-producing</w:t>
      </w:r>
      <w:r w:rsidR="003C12B7">
        <w:rPr>
          <w:rFonts w:ascii="Arial" w:eastAsia="Times New Roman" w:hAnsi="Arial" w:cs="Arial"/>
          <w:iCs/>
          <w:kern w:val="28"/>
          <w:sz w:val="20"/>
          <w:szCs w:val="20"/>
        </w:rPr>
        <w:t xml:space="preserve"> </w:t>
      </w:r>
      <w:r w:rsidRPr="00A461D8">
        <w:rPr>
          <w:rFonts w:ascii="Arial" w:eastAsia="Times New Roman" w:hAnsi="Arial" w:cs="Arial"/>
          <w:i/>
          <w:iCs/>
          <w:kern w:val="28"/>
          <w:sz w:val="20"/>
          <w:szCs w:val="20"/>
        </w:rPr>
        <w:t>E. coli</w:t>
      </w:r>
      <w:r w:rsidRPr="00A461D8">
        <w:rPr>
          <w:rFonts w:ascii="Arial" w:eastAsia="Times New Roman" w:hAnsi="Arial" w:cs="Arial"/>
          <w:iCs/>
          <w:kern w:val="28"/>
          <w:sz w:val="20"/>
          <w:szCs w:val="20"/>
        </w:rPr>
        <w:t xml:space="preserve"> in tiger prawns, highlighting potential health risks. Antibiotic resistance patterns and histamine quantification suggest contamination risks in seafood. Plant-based extracts demonstrated potential in mitigating histamine-related allergic reactions, paving the way for natural therapeutic interventions.</w:t>
      </w:r>
    </w:p>
    <w:p w14:paraId="59EE950A" w14:textId="77777777" w:rsidR="00D52823" w:rsidRDefault="00A461D8" w:rsidP="00A461D8">
      <w:pPr>
        <w:spacing w:line="240" w:lineRule="auto"/>
        <w:jc w:val="both"/>
        <w:rPr>
          <w:rFonts w:ascii="Arial" w:eastAsia="Times New Roman" w:hAnsi="Arial" w:cs="Arial"/>
          <w:i/>
          <w:iCs/>
          <w:kern w:val="28"/>
          <w:sz w:val="20"/>
          <w:szCs w:val="20"/>
        </w:rPr>
      </w:pPr>
      <w:proofErr w:type="gramStart"/>
      <w:r w:rsidRPr="00A461D8">
        <w:rPr>
          <w:rFonts w:ascii="Arial" w:eastAsia="Times New Roman" w:hAnsi="Arial" w:cs="Arial"/>
          <w:i/>
          <w:iCs/>
          <w:kern w:val="28"/>
          <w:sz w:val="20"/>
          <w:szCs w:val="20"/>
          <w:lang w:val="en-US"/>
        </w:rPr>
        <w:t>Keywords:</w:t>
      </w:r>
      <w:r>
        <w:rPr>
          <w:rFonts w:ascii="Arial" w:eastAsia="Times New Roman" w:hAnsi="Arial" w:cs="Arial"/>
          <w:i/>
          <w:iCs/>
          <w:kern w:val="28"/>
          <w:sz w:val="20"/>
          <w:szCs w:val="20"/>
        </w:rPr>
        <w:t>Histamine</w:t>
      </w:r>
      <w:proofErr w:type="gramEnd"/>
      <w:r>
        <w:rPr>
          <w:rFonts w:ascii="Arial" w:eastAsia="Times New Roman" w:hAnsi="Arial" w:cs="Arial"/>
          <w:i/>
          <w:iCs/>
          <w:kern w:val="28"/>
          <w:sz w:val="20"/>
          <w:szCs w:val="20"/>
        </w:rPr>
        <w:t>-producing bacteria, A</w:t>
      </w:r>
      <w:r w:rsidRPr="00A461D8">
        <w:rPr>
          <w:rFonts w:ascii="Arial" w:eastAsia="Times New Roman" w:hAnsi="Arial" w:cs="Arial"/>
          <w:i/>
          <w:iCs/>
          <w:kern w:val="28"/>
          <w:sz w:val="20"/>
          <w:szCs w:val="20"/>
        </w:rPr>
        <w:t xml:space="preserve">ntibiotic resistance, </w:t>
      </w:r>
      <w:r w:rsidR="009B77F9" w:rsidRPr="009B77F9">
        <w:rPr>
          <w:rFonts w:ascii="Arial" w:eastAsia="Times New Roman" w:hAnsi="Arial" w:cs="Arial"/>
          <w:i/>
          <w:iCs/>
          <w:kern w:val="28"/>
          <w:sz w:val="20"/>
          <w:szCs w:val="20"/>
        </w:rPr>
        <w:t>Penaeus</w:t>
      </w:r>
      <w:r w:rsidR="003C12B7">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Pr>
          <w:rFonts w:ascii="Arial" w:eastAsia="Times New Roman" w:hAnsi="Arial" w:cs="Arial"/>
          <w:i/>
          <w:iCs/>
          <w:kern w:val="28"/>
          <w:sz w:val="20"/>
          <w:szCs w:val="20"/>
        </w:rPr>
        <w:t>, Plant extracts, A</w:t>
      </w:r>
      <w:r w:rsidRPr="00A461D8">
        <w:rPr>
          <w:rFonts w:ascii="Arial" w:eastAsia="Times New Roman" w:hAnsi="Arial" w:cs="Arial"/>
          <w:i/>
          <w:iCs/>
          <w:kern w:val="28"/>
          <w:sz w:val="20"/>
          <w:szCs w:val="20"/>
        </w:rPr>
        <w:t>ntimicrobial activity.</w:t>
      </w:r>
    </w:p>
    <w:p w14:paraId="30D87E12" w14:textId="77777777" w:rsidR="002A64E0" w:rsidRDefault="002A64E0" w:rsidP="002E7ADF">
      <w:pPr>
        <w:pStyle w:val="ListParagraph"/>
        <w:numPr>
          <w:ilvl w:val="0"/>
          <w:numId w:val="1"/>
        </w:numPr>
        <w:spacing w:line="240" w:lineRule="auto"/>
        <w:rPr>
          <w:rFonts w:ascii="Arial" w:hAnsi="Arial" w:cs="Arial"/>
          <w:b/>
          <w:bCs/>
        </w:rPr>
        <w:sectPr w:rsidR="002A64E0" w:rsidSect="00DE48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C693F6B" w14:textId="77777777" w:rsidR="002E7ADF" w:rsidRPr="002E7ADF" w:rsidRDefault="002E7ADF" w:rsidP="002E7ADF">
      <w:pPr>
        <w:pStyle w:val="ListParagraph"/>
        <w:numPr>
          <w:ilvl w:val="0"/>
          <w:numId w:val="1"/>
        </w:numPr>
        <w:spacing w:line="240" w:lineRule="auto"/>
        <w:rPr>
          <w:rFonts w:ascii="Arial" w:eastAsia="Times New Roman" w:hAnsi="Arial" w:cs="Arial"/>
          <w:b/>
          <w:bCs/>
          <w:i/>
          <w:iCs/>
          <w:kern w:val="28"/>
          <w:sz w:val="20"/>
          <w:szCs w:val="20"/>
        </w:rPr>
      </w:pPr>
      <w:r w:rsidRPr="002E7ADF">
        <w:rPr>
          <w:rFonts w:ascii="Arial" w:hAnsi="Arial" w:cs="Arial"/>
          <w:b/>
          <w:bCs/>
        </w:rPr>
        <w:t xml:space="preserve"> INTRODUCTION</w:t>
      </w:r>
    </w:p>
    <w:p w14:paraId="6CB2E5A1" w14:textId="77777777" w:rsidR="00F51E8E" w:rsidRDefault="00F51E8E" w:rsidP="00F51E8E">
      <w:pPr>
        <w:spacing w:line="240" w:lineRule="auto"/>
        <w:jc w:val="both"/>
        <w:rPr>
          <w:rFonts w:ascii="Arial" w:eastAsia="Times New Roman" w:hAnsi="Arial" w:cs="Arial"/>
          <w:kern w:val="28"/>
          <w:sz w:val="20"/>
          <w:szCs w:val="20"/>
        </w:rPr>
      </w:pPr>
      <w:commentRangeStart w:id="1"/>
      <w:r w:rsidRPr="00F51E8E">
        <w:rPr>
          <w:rFonts w:ascii="Arial" w:eastAsia="Times New Roman" w:hAnsi="Arial" w:cs="Arial"/>
          <w:kern w:val="28"/>
          <w:sz w:val="20"/>
          <w:szCs w:val="20"/>
        </w:rPr>
        <w:t>Seafood is a vital source of protein and essential nutrient</w:t>
      </w:r>
      <w:commentRangeEnd w:id="1"/>
      <w:r w:rsidR="00AF5373">
        <w:rPr>
          <w:rStyle w:val="CommentReference"/>
        </w:rPr>
        <w:commentReference w:id="1"/>
      </w:r>
      <w:r w:rsidRPr="00F51E8E">
        <w:rPr>
          <w:rFonts w:ascii="Arial" w:eastAsia="Times New Roman" w:hAnsi="Arial" w:cs="Arial"/>
          <w:kern w:val="28"/>
          <w:sz w:val="20"/>
          <w:szCs w:val="20"/>
        </w:rPr>
        <w:t xml:space="preserve">s, widely consumed across the globe. However, its perishable nature makes it prone to bacterial contamination, posing serious risks to food safety. One of the most concerning risks is histamine fish poisoning, which occurs due to the accumulation of histamine in seafood, particularly in scombroid fish and crustaceans such as </w:t>
      </w:r>
      <w:r w:rsidR="009B77F9" w:rsidRPr="009B77F9">
        <w:rPr>
          <w:rFonts w:ascii="Arial" w:eastAsia="Times New Roman" w:hAnsi="Arial" w:cs="Arial"/>
          <w:i/>
          <w:iCs/>
          <w:kern w:val="28"/>
          <w:sz w:val="20"/>
          <w:szCs w:val="20"/>
        </w:rPr>
        <w:t>Penaeus</w:t>
      </w:r>
      <w:r w:rsidR="003C12B7">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00C81981">
        <w:rPr>
          <w:rFonts w:ascii="Arial" w:eastAsia="Times New Roman" w:hAnsi="Arial" w:cs="Arial"/>
          <w:kern w:val="28"/>
          <w:sz w:val="20"/>
          <w:szCs w:val="20"/>
        </w:rPr>
        <w:t xml:space="preserve"> (tiger prawns) (</w:t>
      </w:r>
      <w:commentRangeStart w:id="2"/>
      <w:r w:rsidR="00C81981">
        <w:rPr>
          <w:rFonts w:ascii="Arial" w:eastAsia="Times New Roman" w:hAnsi="Arial" w:cs="Arial"/>
          <w:kern w:val="28"/>
          <w:sz w:val="20"/>
          <w:szCs w:val="20"/>
        </w:rPr>
        <w:t xml:space="preserve">Lehane </w:t>
      </w:r>
      <w:commentRangeEnd w:id="2"/>
      <w:r w:rsidR="006E19A0">
        <w:rPr>
          <w:rStyle w:val="CommentReference"/>
        </w:rPr>
        <w:commentReference w:id="2"/>
      </w:r>
      <w:r w:rsidR="00C81981">
        <w:rPr>
          <w:rFonts w:ascii="Arial" w:eastAsia="Times New Roman" w:hAnsi="Arial" w:cs="Arial"/>
          <w:kern w:val="28"/>
          <w:sz w:val="20"/>
          <w:szCs w:val="20"/>
        </w:rPr>
        <w:t>and</w:t>
      </w:r>
      <w:r w:rsidR="003C12B7">
        <w:rPr>
          <w:rFonts w:ascii="Arial" w:eastAsia="Times New Roman" w:hAnsi="Arial" w:cs="Arial"/>
          <w:kern w:val="28"/>
          <w:sz w:val="20"/>
          <w:szCs w:val="20"/>
        </w:rPr>
        <w:t xml:space="preserve"> </w:t>
      </w:r>
      <w:r w:rsidRPr="00F51E8E">
        <w:rPr>
          <w:rFonts w:ascii="Arial" w:eastAsia="Times New Roman" w:hAnsi="Arial" w:cs="Arial"/>
          <w:kern w:val="28"/>
          <w:sz w:val="20"/>
          <w:szCs w:val="20"/>
        </w:rPr>
        <w:t xml:space="preserve">Olley, 2000). Histamine poisoning is associated with various symptoms such as headaches, flushing, nausea, and abdominal pain, resulting from the decarboxylation of histidine by histamine-producing bacteria. Consequently, effective detection, identification, and control of these bacteria are essential for ensuring seafood </w:t>
      </w:r>
      <w:proofErr w:type="spellStart"/>
      <w:proofErr w:type="gramStart"/>
      <w:r w:rsidRPr="00F51E8E">
        <w:rPr>
          <w:rFonts w:ascii="Arial" w:eastAsia="Times New Roman" w:hAnsi="Arial" w:cs="Arial"/>
          <w:kern w:val="28"/>
          <w:sz w:val="20"/>
          <w:szCs w:val="20"/>
        </w:rPr>
        <w:t>safety.Histamine</w:t>
      </w:r>
      <w:proofErr w:type="spellEnd"/>
      <w:proofErr w:type="gramEnd"/>
      <w:r w:rsidRPr="00F51E8E">
        <w:rPr>
          <w:rFonts w:ascii="Arial" w:eastAsia="Times New Roman" w:hAnsi="Arial" w:cs="Arial"/>
          <w:kern w:val="28"/>
          <w:sz w:val="20"/>
          <w:szCs w:val="20"/>
        </w:rPr>
        <w:t xml:space="preserve"> production in seafood is primarily attributed to bacteria belonging to species such as </w:t>
      </w:r>
      <w:proofErr w:type="spellStart"/>
      <w:r w:rsidRPr="00F51E8E">
        <w:rPr>
          <w:rFonts w:ascii="Arial" w:eastAsia="Times New Roman" w:hAnsi="Arial" w:cs="Arial"/>
          <w:i/>
          <w:iCs/>
          <w:kern w:val="28"/>
          <w:sz w:val="20"/>
          <w:szCs w:val="20"/>
        </w:rPr>
        <w:t>Morganella</w:t>
      </w:r>
      <w:proofErr w:type="spellEnd"/>
      <w:r w:rsidR="003C12B7">
        <w:rPr>
          <w:rFonts w:ascii="Arial" w:eastAsia="Times New Roman" w:hAnsi="Arial" w:cs="Arial"/>
          <w:i/>
          <w:iCs/>
          <w:kern w:val="28"/>
          <w:sz w:val="20"/>
          <w:szCs w:val="20"/>
        </w:rPr>
        <w:t xml:space="preserve"> </w:t>
      </w:r>
      <w:r w:rsidRPr="00F51E8E">
        <w:rPr>
          <w:rFonts w:ascii="Arial" w:eastAsia="Times New Roman" w:hAnsi="Arial" w:cs="Arial"/>
          <w:i/>
          <w:iCs/>
          <w:kern w:val="28"/>
          <w:sz w:val="20"/>
          <w:szCs w:val="20"/>
        </w:rPr>
        <w:t>morganii, Klebsiella</w:t>
      </w:r>
      <w:r w:rsidR="003C12B7">
        <w:rPr>
          <w:rFonts w:ascii="Arial" w:eastAsia="Times New Roman" w:hAnsi="Arial" w:cs="Arial"/>
          <w:i/>
          <w:iCs/>
          <w:kern w:val="28"/>
          <w:sz w:val="20"/>
          <w:szCs w:val="20"/>
        </w:rPr>
        <w:t xml:space="preserve"> </w:t>
      </w:r>
      <w:r w:rsidRPr="00F51E8E">
        <w:rPr>
          <w:rFonts w:ascii="Arial" w:eastAsia="Times New Roman" w:hAnsi="Arial" w:cs="Arial"/>
          <w:i/>
          <w:iCs/>
          <w:kern w:val="28"/>
          <w:sz w:val="20"/>
          <w:szCs w:val="20"/>
        </w:rPr>
        <w:t xml:space="preserve">pneumoniae, Escherichia coli, and </w:t>
      </w:r>
      <w:proofErr w:type="spellStart"/>
      <w:r w:rsidRPr="00F51E8E">
        <w:rPr>
          <w:rFonts w:ascii="Arial" w:eastAsia="Times New Roman" w:hAnsi="Arial" w:cs="Arial"/>
          <w:i/>
          <w:iCs/>
          <w:kern w:val="28"/>
          <w:sz w:val="20"/>
          <w:szCs w:val="20"/>
        </w:rPr>
        <w:t>Photobacteriumdamselae</w:t>
      </w:r>
      <w:proofErr w:type="spellEnd"/>
      <w:r w:rsidRPr="00F51E8E">
        <w:rPr>
          <w:rFonts w:ascii="Arial" w:eastAsia="Times New Roman" w:hAnsi="Arial" w:cs="Arial"/>
          <w:kern w:val="28"/>
          <w:sz w:val="20"/>
          <w:szCs w:val="20"/>
        </w:rPr>
        <w:t xml:space="preserve">. These bacteria produce the enzyme histidine decarboxylase, which </w:t>
      </w:r>
      <w:proofErr w:type="spellStart"/>
      <w:r w:rsidRPr="00F51E8E">
        <w:rPr>
          <w:rFonts w:ascii="Arial" w:eastAsia="Times New Roman" w:hAnsi="Arial" w:cs="Arial"/>
          <w:kern w:val="28"/>
          <w:sz w:val="20"/>
          <w:szCs w:val="20"/>
        </w:rPr>
        <w:t>catalyzes</w:t>
      </w:r>
      <w:proofErr w:type="spellEnd"/>
      <w:r w:rsidRPr="00F51E8E">
        <w:rPr>
          <w:rFonts w:ascii="Arial" w:eastAsia="Times New Roman" w:hAnsi="Arial" w:cs="Arial"/>
          <w:kern w:val="28"/>
          <w:sz w:val="20"/>
          <w:szCs w:val="20"/>
        </w:rPr>
        <w:t xml:space="preserve"> the conversion of histidine to histamine under improper storage conditions (Kanki</w:t>
      </w:r>
      <w:r w:rsidR="003C12B7">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F51E8E">
        <w:rPr>
          <w:rFonts w:ascii="Arial" w:eastAsia="Times New Roman" w:hAnsi="Arial" w:cs="Arial"/>
          <w:kern w:val="28"/>
          <w:sz w:val="20"/>
          <w:szCs w:val="20"/>
        </w:rPr>
        <w:t xml:space="preserve"> 2004). When histamine levels exceed permissible </w:t>
      </w:r>
      <w:r w:rsidRPr="00F51E8E">
        <w:rPr>
          <w:rFonts w:ascii="Arial" w:eastAsia="Times New Roman" w:hAnsi="Arial" w:cs="Arial"/>
          <w:kern w:val="28"/>
          <w:sz w:val="20"/>
          <w:szCs w:val="20"/>
        </w:rPr>
        <w:lastRenderedPageBreak/>
        <w:t>limits, they can induce toxic effects, even after cooking or freezing, making seafood monitoring crucial. Previous studies have highlighted that bacterial contamination in seafood is closely linked to unhygienic handling, improper storage conditions, and bacterial growth during distribution and processing (Vinci &amp;</w:t>
      </w:r>
      <w:r w:rsidR="003C12B7">
        <w:rPr>
          <w:rFonts w:ascii="Arial" w:eastAsia="Times New Roman" w:hAnsi="Arial" w:cs="Arial"/>
          <w:kern w:val="28"/>
          <w:sz w:val="20"/>
          <w:szCs w:val="20"/>
        </w:rPr>
        <w:t xml:space="preserve"> </w:t>
      </w:r>
      <w:r w:rsidRPr="00F51E8E">
        <w:rPr>
          <w:rFonts w:ascii="Arial" w:eastAsia="Times New Roman" w:hAnsi="Arial" w:cs="Arial"/>
          <w:kern w:val="28"/>
          <w:sz w:val="20"/>
          <w:szCs w:val="20"/>
        </w:rPr>
        <w:t>Antonelli, 2002).</w:t>
      </w:r>
    </w:p>
    <w:p w14:paraId="262031C6" w14:textId="77777777" w:rsidR="00F51E8E" w:rsidRP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 xml:space="preserve">In addition to histamine production, antibiotic resistance among histamine-producing bacteria presents a major concern in seafood safety. In aquaculture systems, antibiotics are widely used to control bacterial infections and enhance shrimp growth. However, excessive antibiotic usage has contributed to the emergence of multidrug-resistant (MDR) strains, complicating disease management and increasing the risk of resistance gene transfer to human pathogens (Cabello </w:t>
      </w:r>
      <w:r w:rsidR="009B77F9" w:rsidRPr="009B77F9">
        <w:rPr>
          <w:rFonts w:ascii="Arial" w:eastAsia="Times New Roman" w:hAnsi="Arial" w:cs="Arial"/>
          <w:i/>
          <w:iCs/>
          <w:kern w:val="28"/>
          <w:sz w:val="20"/>
          <w:szCs w:val="20"/>
        </w:rPr>
        <w:t>et al.,</w:t>
      </w:r>
      <w:r w:rsidRPr="00F51E8E">
        <w:rPr>
          <w:rFonts w:ascii="Arial" w:eastAsia="Times New Roman" w:hAnsi="Arial" w:cs="Arial"/>
          <w:kern w:val="28"/>
          <w:sz w:val="20"/>
          <w:szCs w:val="20"/>
        </w:rPr>
        <w:t xml:space="preserve"> 2013). The presence of MDR strains such as </w:t>
      </w:r>
      <w:r w:rsidRPr="00C81981">
        <w:rPr>
          <w:rFonts w:ascii="Arial" w:eastAsia="Times New Roman" w:hAnsi="Arial" w:cs="Arial"/>
          <w:i/>
          <w:iCs/>
          <w:kern w:val="28"/>
          <w:sz w:val="20"/>
          <w:szCs w:val="20"/>
        </w:rPr>
        <w:t>Escherichia coli and Klebsiella</w:t>
      </w:r>
      <w:r w:rsidR="00DE47FE">
        <w:rPr>
          <w:rFonts w:ascii="Arial" w:eastAsia="Times New Roman" w:hAnsi="Arial" w:cs="Arial"/>
          <w:i/>
          <w:iCs/>
          <w:kern w:val="28"/>
          <w:sz w:val="20"/>
          <w:szCs w:val="20"/>
        </w:rPr>
        <w:t xml:space="preserve"> </w:t>
      </w:r>
      <w:r w:rsidRPr="00C81981">
        <w:rPr>
          <w:rFonts w:ascii="Arial" w:eastAsia="Times New Roman" w:hAnsi="Arial" w:cs="Arial"/>
          <w:i/>
          <w:iCs/>
          <w:kern w:val="28"/>
          <w:sz w:val="20"/>
          <w:szCs w:val="20"/>
        </w:rPr>
        <w:t>pneumoniae</w:t>
      </w:r>
      <w:r w:rsidRPr="00F51E8E">
        <w:rPr>
          <w:rFonts w:ascii="Arial" w:eastAsia="Times New Roman" w:hAnsi="Arial" w:cs="Arial"/>
          <w:kern w:val="28"/>
          <w:sz w:val="20"/>
          <w:szCs w:val="20"/>
        </w:rPr>
        <w:t xml:space="preserve"> in seafood emphasizes </w:t>
      </w:r>
      <w:commentRangeStart w:id="3"/>
      <w:r w:rsidRPr="00F51E8E">
        <w:rPr>
          <w:rFonts w:ascii="Arial" w:eastAsia="Times New Roman" w:hAnsi="Arial" w:cs="Arial"/>
          <w:kern w:val="28"/>
          <w:sz w:val="20"/>
          <w:szCs w:val="20"/>
        </w:rPr>
        <w:t>the urgent need for effective monitoring and control strategies</w:t>
      </w:r>
      <w:commentRangeEnd w:id="3"/>
      <w:r w:rsidR="00AF5373">
        <w:rPr>
          <w:rStyle w:val="CommentReference"/>
        </w:rPr>
        <w:commentReference w:id="3"/>
      </w:r>
      <w:r w:rsidRPr="00F51E8E">
        <w:rPr>
          <w:rFonts w:ascii="Arial" w:eastAsia="Times New Roman" w:hAnsi="Arial" w:cs="Arial"/>
          <w:kern w:val="28"/>
          <w:sz w:val="20"/>
          <w:szCs w:val="20"/>
        </w:rPr>
        <w:t>.</w:t>
      </w:r>
      <w:r w:rsidR="00DE47FE">
        <w:rPr>
          <w:rFonts w:ascii="Arial" w:eastAsia="Times New Roman" w:hAnsi="Arial" w:cs="Arial"/>
          <w:kern w:val="28"/>
          <w:sz w:val="20"/>
          <w:szCs w:val="20"/>
        </w:rPr>
        <w:t xml:space="preserve"> </w:t>
      </w:r>
      <w:r w:rsidRPr="00F51E8E">
        <w:rPr>
          <w:rFonts w:ascii="Arial" w:eastAsia="Times New Roman" w:hAnsi="Arial" w:cs="Arial"/>
          <w:kern w:val="28"/>
          <w:sz w:val="20"/>
          <w:szCs w:val="20"/>
        </w:rPr>
        <w:t>Natural antimicrobial agents have gained attention as promising alternatives for controlling bacterial contamination in seafood. Plant extracts are known to possess bioactive compounds with strong antibacterial properties that can effectively inhibit histamine-producing bacteria (</w:t>
      </w:r>
      <w:r w:rsidR="00C81981">
        <w:rPr>
          <w:rFonts w:ascii="Arial" w:eastAsia="Times New Roman" w:hAnsi="Arial" w:cs="Arial"/>
          <w:kern w:val="28"/>
          <w:sz w:val="20"/>
          <w:szCs w:val="20"/>
        </w:rPr>
        <w:t>Khullar</w:t>
      </w:r>
      <w:r w:rsidR="00DE47FE">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00C81981">
        <w:rPr>
          <w:rFonts w:ascii="Arial" w:eastAsia="Times New Roman" w:hAnsi="Arial" w:cs="Arial"/>
          <w:kern w:val="28"/>
          <w:sz w:val="20"/>
          <w:szCs w:val="20"/>
        </w:rPr>
        <w:t xml:space="preserve"> 2023</w:t>
      </w:r>
      <w:r w:rsidRPr="00F51E8E">
        <w:rPr>
          <w:rFonts w:ascii="Arial" w:eastAsia="Times New Roman" w:hAnsi="Arial" w:cs="Arial"/>
          <w:kern w:val="28"/>
          <w:sz w:val="20"/>
          <w:szCs w:val="20"/>
        </w:rPr>
        <w:t xml:space="preserve">). Extracts from plants such as </w:t>
      </w:r>
      <w:r w:rsidRPr="00C81981">
        <w:rPr>
          <w:rFonts w:ascii="Arial" w:eastAsia="Times New Roman" w:hAnsi="Arial" w:cs="Arial"/>
          <w:i/>
          <w:iCs/>
          <w:kern w:val="28"/>
          <w:sz w:val="20"/>
          <w:szCs w:val="20"/>
        </w:rPr>
        <w:t xml:space="preserve">Annona muricata, Jatropha </w:t>
      </w:r>
      <w:proofErr w:type="spellStart"/>
      <w:r w:rsidRPr="00C81981">
        <w:rPr>
          <w:rFonts w:ascii="Arial" w:eastAsia="Times New Roman" w:hAnsi="Arial" w:cs="Arial"/>
          <w:i/>
          <w:iCs/>
          <w:kern w:val="28"/>
          <w:sz w:val="20"/>
          <w:szCs w:val="20"/>
        </w:rPr>
        <w:t>curcas</w:t>
      </w:r>
      <w:proofErr w:type="spellEnd"/>
      <w:r w:rsidRPr="00C81981">
        <w:rPr>
          <w:rFonts w:ascii="Arial" w:eastAsia="Times New Roman" w:hAnsi="Arial" w:cs="Arial"/>
          <w:i/>
          <w:iCs/>
          <w:kern w:val="28"/>
          <w:sz w:val="20"/>
          <w:szCs w:val="20"/>
        </w:rPr>
        <w:t xml:space="preserve">, and Cestrum </w:t>
      </w:r>
      <w:proofErr w:type="spellStart"/>
      <w:r w:rsidRPr="00C81981">
        <w:rPr>
          <w:rFonts w:ascii="Arial" w:eastAsia="Times New Roman" w:hAnsi="Arial" w:cs="Arial"/>
          <w:i/>
          <w:iCs/>
          <w:kern w:val="28"/>
          <w:sz w:val="20"/>
          <w:szCs w:val="20"/>
        </w:rPr>
        <w:t>nocturnum</w:t>
      </w:r>
      <w:proofErr w:type="spellEnd"/>
      <w:r w:rsidRPr="00F51E8E">
        <w:rPr>
          <w:rFonts w:ascii="Arial" w:eastAsia="Times New Roman" w:hAnsi="Arial" w:cs="Arial"/>
          <w:kern w:val="28"/>
          <w:sz w:val="20"/>
          <w:szCs w:val="20"/>
        </w:rPr>
        <w:t xml:space="preserve"> have been widely studied for their antimicrobial, anti-inflammatory, and antioxidant properties. These plant-based treatments provide a natural, eco-friendly alternative to synthetic antibiotics and can play a significant role in improving seafood quality and safety.</w:t>
      </w:r>
    </w:p>
    <w:p w14:paraId="3C223C24" w14:textId="77777777" w:rsidR="00F51E8E" w:rsidRP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Molecular techniques such as 16S rRNA sequencing and PCR methods offer high specificity and accuracy in detecting bacterial species associated with histamine production (</w:t>
      </w:r>
      <w:proofErr w:type="spellStart"/>
      <w:r w:rsidR="00C81981">
        <w:rPr>
          <w:rFonts w:ascii="Arial" w:hAnsi="Arial" w:cs="Arial"/>
          <w:color w:val="222222"/>
          <w:sz w:val="20"/>
          <w:szCs w:val="20"/>
          <w:shd w:val="clear" w:color="auto" w:fill="FFFFFF"/>
        </w:rPr>
        <w:t>Wongsariya</w:t>
      </w:r>
      <w:proofErr w:type="spellEnd"/>
      <w:r w:rsidR="00DE47FE">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C81981">
        <w:rPr>
          <w:rFonts w:ascii="Arial" w:eastAsia="Times New Roman" w:hAnsi="Arial" w:cs="Arial"/>
          <w:kern w:val="28"/>
          <w:sz w:val="20"/>
          <w:szCs w:val="20"/>
        </w:rPr>
        <w:t xml:space="preserve"> 2013</w:t>
      </w:r>
      <w:r w:rsidRPr="00F51E8E">
        <w:rPr>
          <w:rFonts w:ascii="Arial" w:eastAsia="Times New Roman" w:hAnsi="Arial" w:cs="Arial"/>
          <w:kern w:val="28"/>
          <w:sz w:val="20"/>
          <w:szCs w:val="20"/>
        </w:rPr>
        <w:t>). Additionally, gel electrophoresis facilitates precise DNA profiling, ensuring accurate confirmation of bacterial identity. Such molecular tools are essential for studying bacterial contamination in seafood and formulating targeted intervention strategies.</w:t>
      </w:r>
      <w:r w:rsidR="00DE47FE">
        <w:rPr>
          <w:rFonts w:ascii="Arial" w:eastAsia="Times New Roman" w:hAnsi="Arial" w:cs="Arial"/>
          <w:kern w:val="28"/>
          <w:sz w:val="20"/>
          <w:szCs w:val="20"/>
        </w:rPr>
        <w:t xml:space="preserve"> </w:t>
      </w:r>
      <w:r w:rsidRPr="00F51E8E">
        <w:rPr>
          <w:rFonts w:ascii="Arial" w:eastAsia="Times New Roman" w:hAnsi="Arial" w:cs="Arial"/>
          <w:kern w:val="28"/>
          <w:sz w:val="20"/>
          <w:szCs w:val="20"/>
        </w:rPr>
        <w:t xml:space="preserve">For effective detection of histamine in seafood products, various analytical techniques are employed. </w:t>
      </w:r>
      <w:commentRangeStart w:id="4"/>
      <w:r w:rsidRPr="00F51E8E">
        <w:rPr>
          <w:rFonts w:ascii="Arial" w:eastAsia="Times New Roman" w:hAnsi="Arial" w:cs="Arial"/>
          <w:kern w:val="28"/>
          <w:sz w:val="20"/>
          <w:szCs w:val="20"/>
        </w:rPr>
        <w:t>Thin Layer Chromatography (TLC), High-Performance Liquid Chromatography (HPLC), and</w:t>
      </w:r>
      <w:commentRangeEnd w:id="4"/>
      <w:r w:rsidR="00AF5373">
        <w:rPr>
          <w:rStyle w:val="CommentReference"/>
        </w:rPr>
        <w:commentReference w:id="4"/>
      </w:r>
      <w:r w:rsidRPr="00F51E8E">
        <w:rPr>
          <w:rFonts w:ascii="Arial" w:eastAsia="Times New Roman" w:hAnsi="Arial" w:cs="Arial"/>
          <w:kern w:val="28"/>
          <w:sz w:val="20"/>
          <w:szCs w:val="20"/>
        </w:rPr>
        <w:t xml:space="preserve"> UV-visible spectrophotometry are well-established methods for histamine estimation. TLC provides qualitative data for identifying histamine bands, while HPLC offers precise quantification, enabling accurate assessment of histamine levels in seafood products (Vinci &amp;Antonelli, 2002). The combination of these techniques has proven effective in ensuring reliable histamine detection and enhancing seafood safety standards.</w:t>
      </w:r>
    </w:p>
    <w:p w14:paraId="086A084C" w14:textId="77777777" w:rsid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In addition to histamine detection, integrating remedial strategies such as the use of plant-based interventions has shown promising results. Studies have demonstrated that certain plant extracts can reduce histamine levels by inhibiting bacterial growth and promoting histamine degradation. These natural remedies provide a sustainable solution for managing bacterial contamination in seafood while minimizing the risks of antibiotic resistance (</w:t>
      </w:r>
      <w:r w:rsidR="00C81981">
        <w:rPr>
          <w:rFonts w:ascii="Arial" w:eastAsia="Times New Roman" w:hAnsi="Arial" w:cs="Arial"/>
          <w:kern w:val="28"/>
          <w:sz w:val="20"/>
          <w:szCs w:val="20"/>
        </w:rPr>
        <w:t>Khullar</w:t>
      </w:r>
      <w:r w:rsidR="008B59E1">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00C81981">
        <w:rPr>
          <w:rFonts w:ascii="Arial" w:eastAsia="Times New Roman" w:hAnsi="Arial" w:cs="Arial"/>
          <w:kern w:val="28"/>
          <w:sz w:val="20"/>
          <w:szCs w:val="20"/>
        </w:rPr>
        <w:t xml:space="preserve"> 2023</w:t>
      </w:r>
      <w:proofErr w:type="gramStart"/>
      <w:r w:rsidRPr="00F51E8E">
        <w:rPr>
          <w:rFonts w:ascii="Arial" w:eastAsia="Times New Roman" w:hAnsi="Arial" w:cs="Arial"/>
          <w:kern w:val="28"/>
          <w:sz w:val="20"/>
          <w:szCs w:val="20"/>
        </w:rPr>
        <w:t>).This</w:t>
      </w:r>
      <w:proofErr w:type="gramEnd"/>
      <w:r w:rsidRPr="00F51E8E">
        <w:rPr>
          <w:rFonts w:ascii="Arial" w:eastAsia="Times New Roman" w:hAnsi="Arial" w:cs="Arial"/>
          <w:kern w:val="28"/>
          <w:sz w:val="20"/>
          <w:szCs w:val="20"/>
        </w:rPr>
        <w:t xml:space="preserve"> study aims to investigate the presence of histamine-produci</w:t>
      </w:r>
      <w:r>
        <w:rPr>
          <w:rFonts w:ascii="Arial" w:eastAsia="Times New Roman" w:hAnsi="Arial" w:cs="Arial"/>
          <w:kern w:val="28"/>
          <w:sz w:val="20"/>
          <w:szCs w:val="20"/>
        </w:rPr>
        <w:t xml:space="preserve">ng bacteria in </w:t>
      </w:r>
      <w:r w:rsidR="009B77F9" w:rsidRPr="009B77F9">
        <w:rPr>
          <w:rFonts w:ascii="Arial" w:eastAsia="Times New Roman" w:hAnsi="Arial" w:cs="Arial"/>
          <w:i/>
          <w:iCs/>
          <w:kern w:val="28"/>
          <w:sz w:val="20"/>
          <w:szCs w:val="20"/>
        </w:rPr>
        <w:t>Penaeus</w:t>
      </w:r>
      <w:r w:rsidR="00DE47FE">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Pr>
          <w:rFonts w:ascii="Arial" w:eastAsia="Times New Roman" w:hAnsi="Arial" w:cs="Arial"/>
          <w:kern w:val="28"/>
          <w:sz w:val="20"/>
          <w:szCs w:val="20"/>
        </w:rPr>
        <w:t xml:space="preserve">, </w:t>
      </w:r>
      <w:r w:rsidRPr="00F51E8E">
        <w:rPr>
          <w:rFonts w:ascii="Arial" w:eastAsia="Times New Roman" w:hAnsi="Arial" w:cs="Arial"/>
          <w:kern w:val="28"/>
          <w:sz w:val="20"/>
          <w:szCs w:val="20"/>
        </w:rPr>
        <w:t>assess their antibiotic resistance profiles, and evaluate the antimicrobial potential of selected plant extracts. By combining molecular identification techniques, chromatographic analysis, and natural antimicrobial strategies, this research seeks to enhance seafood safety protocols and provide innovative solutions for reducing histamine-related health risks.</w:t>
      </w:r>
    </w:p>
    <w:p w14:paraId="66CD0F91" w14:textId="77777777" w:rsidR="002A64E0" w:rsidRDefault="002A64E0" w:rsidP="00F51E8E">
      <w:pPr>
        <w:pStyle w:val="ListParagraph"/>
        <w:numPr>
          <w:ilvl w:val="0"/>
          <w:numId w:val="1"/>
        </w:numPr>
        <w:spacing w:line="240" w:lineRule="auto"/>
        <w:jc w:val="both"/>
        <w:rPr>
          <w:rFonts w:ascii="Arial" w:eastAsia="Times New Roman" w:hAnsi="Arial" w:cs="Arial"/>
          <w:b/>
          <w:bCs/>
          <w:kern w:val="28"/>
        </w:rPr>
        <w:sectPr w:rsidR="002A64E0" w:rsidSect="00DE4889">
          <w:type w:val="continuous"/>
          <w:pgSz w:w="11906" w:h="16838"/>
          <w:pgMar w:top="1440" w:right="1440" w:bottom="1440" w:left="1440" w:header="708" w:footer="708" w:gutter="0"/>
          <w:cols w:space="708"/>
          <w:docGrid w:linePitch="360"/>
        </w:sectPr>
      </w:pPr>
    </w:p>
    <w:p w14:paraId="63DB2436" w14:textId="77777777" w:rsidR="00144C3B" w:rsidRDefault="00144C3B" w:rsidP="00144C3B">
      <w:pPr>
        <w:spacing w:line="240" w:lineRule="auto"/>
        <w:jc w:val="both"/>
        <w:rPr>
          <w:rFonts w:ascii="Arial" w:eastAsia="Times New Roman" w:hAnsi="Arial" w:cs="Arial"/>
          <w:b/>
          <w:bCs/>
          <w:kern w:val="28"/>
        </w:rPr>
      </w:pPr>
    </w:p>
    <w:p w14:paraId="69091317" w14:textId="77777777" w:rsidR="00DE4889" w:rsidRPr="00144C3B" w:rsidRDefault="00DE4889" w:rsidP="00144C3B">
      <w:pPr>
        <w:spacing w:line="240" w:lineRule="auto"/>
        <w:jc w:val="both"/>
        <w:rPr>
          <w:rFonts w:ascii="Arial" w:eastAsia="Times New Roman" w:hAnsi="Arial" w:cs="Arial"/>
          <w:b/>
          <w:bCs/>
          <w:kern w:val="28"/>
        </w:rPr>
      </w:pPr>
    </w:p>
    <w:p w14:paraId="1C2E53A4" w14:textId="77777777" w:rsidR="00F51E8E" w:rsidRDefault="00F51E8E" w:rsidP="00F51E8E">
      <w:pPr>
        <w:pStyle w:val="ListParagraph"/>
        <w:numPr>
          <w:ilvl w:val="0"/>
          <w:numId w:val="1"/>
        </w:numPr>
        <w:spacing w:line="240" w:lineRule="auto"/>
        <w:jc w:val="both"/>
        <w:rPr>
          <w:rFonts w:ascii="Arial" w:eastAsia="Times New Roman" w:hAnsi="Arial" w:cs="Arial"/>
          <w:b/>
          <w:bCs/>
          <w:kern w:val="28"/>
        </w:rPr>
      </w:pPr>
      <w:r>
        <w:rPr>
          <w:rFonts w:ascii="Arial" w:eastAsia="Times New Roman" w:hAnsi="Arial" w:cs="Arial"/>
          <w:b/>
          <w:bCs/>
          <w:kern w:val="28"/>
        </w:rPr>
        <w:t>MATERIALS AND METHODS</w:t>
      </w:r>
    </w:p>
    <w:p w14:paraId="384B7ED7" w14:textId="77777777" w:rsidR="00F51E8E" w:rsidRDefault="00F51E8E" w:rsidP="00F51E8E">
      <w:pPr>
        <w:pStyle w:val="ListParagraph"/>
        <w:spacing w:line="240" w:lineRule="auto"/>
        <w:ind w:left="360"/>
        <w:jc w:val="both"/>
        <w:rPr>
          <w:rFonts w:ascii="Arial" w:eastAsia="Times New Roman" w:hAnsi="Arial" w:cs="Arial"/>
          <w:b/>
          <w:bCs/>
          <w:kern w:val="28"/>
        </w:rPr>
      </w:pPr>
    </w:p>
    <w:p w14:paraId="434DC3CA" w14:textId="77777777" w:rsidR="00F51E8E" w:rsidRPr="00F51E8E" w:rsidRDefault="00F51E8E" w:rsidP="00F51E8E">
      <w:pPr>
        <w:pStyle w:val="ListParagraph"/>
        <w:numPr>
          <w:ilvl w:val="1"/>
          <w:numId w:val="1"/>
        </w:numPr>
        <w:spacing w:line="240" w:lineRule="auto"/>
        <w:ind w:left="720"/>
        <w:rPr>
          <w:rFonts w:ascii="Arial" w:eastAsia="Times New Roman" w:hAnsi="Arial" w:cs="Arial"/>
          <w:b/>
          <w:bCs/>
          <w:kern w:val="28"/>
        </w:rPr>
      </w:pPr>
      <w:r w:rsidRPr="00F51E8E">
        <w:rPr>
          <w:rFonts w:ascii="Arial" w:eastAsia="Times New Roman" w:hAnsi="Arial" w:cs="Arial"/>
          <w:b/>
          <w:bCs/>
          <w:kern w:val="28"/>
        </w:rPr>
        <w:t>Collection of Samples</w:t>
      </w:r>
    </w:p>
    <w:p w14:paraId="195CF361" w14:textId="77777777" w:rsid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 xml:space="preserve">Fresh </w:t>
      </w:r>
      <w:r w:rsidR="009B77F9" w:rsidRPr="009B77F9">
        <w:rPr>
          <w:rFonts w:ascii="Arial" w:eastAsia="Times New Roman" w:hAnsi="Arial" w:cs="Arial"/>
          <w:i/>
          <w:iCs/>
          <w:kern w:val="28"/>
          <w:sz w:val="20"/>
          <w:szCs w:val="20"/>
        </w:rPr>
        <w:t>Penaeus</w:t>
      </w:r>
      <w:r w:rsidR="008B59E1">
        <w:rPr>
          <w:rFonts w:ascii="Arial" w:eastAsia="Times New Roman" w:hAnsi="Arial" w:cs="Arial"/>
          <w:i/>
          <w:iCs/>
          <w:kern w:val="28"/>
          <w:sz w:val="20"/>
          <w:szCs w:val="20"/>
        </w:rPr>
        <w:t xml:space="preserve"> </w:t>
      </w:r>
      <w:r w:rsidR="009B77F9" w:rsidRPr="009B77F9">
        <w:rPr>
          <w:rFonts w:ascii="Arial" w:eastAsia="Times New Roman" w:hAnsi="Arial" w:cs="Arial"/>
          <w:i/>
          <w:iCs/>
          <w:kern w:val="28"/>
          <w:sz w:val="20"/>
          <w:szCs w:val="20"/>
        </w:rPr>
        <w:t>monodon</w:t>
      </w:r>
      <w:r w:rsidRPr="00F51E8E">
        <w:rPr>
          <w:rFonts w:ascii="Arial" w:eastAsia="Times New Roman" w:hAnsi="Arial" w:cs="Arial"/>
          <w:kern w:val="28"/>
          <w:sz w:val="20"/>
          <w:szCs w:val="20"/>
        </w:rPr>
        <w:t xml:space="preserve"> (tiger prawns) samples were collected from the </w:t>
      </w:r>
      <w:proofErr w:type="spellStart"/>
      <w:r w:rsidRPr="00F51E8E">
        <w:rPr>
          <w:rFonts w:ascii="Arial" w:eastAsia="Times New Roman" w:hAnsi="Arial" w:cs="Arial"/>
          <w:kern w:val="28"/>
          <w:sz w:val="20"/>
          <w:szCs w:val="20"/>
        </w:rPr>
        <w:t>Ukkadam</w:t>
      </w:r>
      <w:proofErr w:type="spellEnd"/>
      <w:r w:rsidRPr="00F51E8E">
        <w:rPr>
          <w:rFonts w:ascii="Arial" w:eastAsia="Times New Roman" w:hAnsi="Arial" w:cs="Arial"/>
          <w:kern w:val="28"/>
          <w:sz w:val="20"/>
          <w:szCs w:val="20"/>
        </w:rPr>
        <w:t xml:space="preserve"> fish market in Coimbatore, Tamil Nadu, India. The prawns were sourced from the </w:t>
      </w:r>
      <w:proofErr w:type="spellStart"/>
      <w:r w:rsidRPr="00F51E8E">
        <w:rPr>
          <w:rFonts w:ascii="Arial" w:eastAsia="Times New Roman" w:hAnsi="Arial" w:cs="Arial"/>
          <w:kern w:val="28"/>
          <w:sz w:val="20"/>
          <w:szCs w:val="20"/>
        </w:rPr>
        <w:t>Thoothukudi</w:t>
      </w:r>
      <w:proofErr w:type="spellEnd"/>
      <w:r w:rsidRPr="00F51E8E">
        <w:rPr>
          <w:rFonts w:ascii="Arial" w:eastAsia="Times New Roman" w:hAnsi="Arial" w:cs="Arial"/>
          <w:kern w:val="28"/>
          <w:sz w:val="20"/>
          <w:szCs w:val="20"/>
        </w:rPr>
        <w:t xml:space="preserve"> coastal region, known for its rich seafood availability. Upon collection, the prawns were cleaned, and the edible muscle region was separated for analysis</w:t>
      </w:r>
      <w:r w:rsidR="00C81981">
        <w:rPr>
          <w:rFonts w:ascii="Arial" w:eastAsia="Times New Roman" w:hAnsi="Arial" w:cs="Arial"/>
          <w:kern w:val="28"/>
          <w:sz w:val="20"/>
          <w:szCs w:val="20"/>
        </w:rPr>
        <w:t>.</w:t>
      </w:r>
      <w:r w:rsidRPr="00F51E8E">
        <w:rPr>
          <w:rFonts w:ascii="Arial" w:eastAsia="Times New Roman" w:hAnsi="Arial" w:cs="Arial"/>
          <w:kern w:val="28"/>
          <w:sz w:val="20"/>
          <w:szCs w:val="20"/>
        </w:rPr>
        <w:t xml:space="preserve"> The sample collection followed appropriate hygienic protocols to minimize contamination </w:t>
      </w:r>
    </w:p>
    <w:p w14:paraId="1DF17F4C" w14:textId="77777777" w:rsidR="00F51E8E" w:rsidRPr="00F51E8E" w:rsidRDefault="00F51E8E" w:rsidP="00F51E8E">
      <w:pPr>
        <w:pStyle w:val="ListParagraph"/>
        <w:numPr>
          <w:ilvl w:val="1"/>
          <w:numId w:val="1"/>
        </w:numPr>
        <w:spacing w:line="240" w:lineRule="auto"/>
        <w:ind w:left="720"/>
        <w:rPr>
          <w:rFonts w:ascii="Arial" w:eastAsia="Times New Roman" w:hAnsi="Arial" w:cs="Arial"/>
          <w:b/>
          <w:bCs/>
          <w:kern w:val="28"/>
        </w:rPr>
      </w:pPr>
      <w:r>
        <w:rPr>
          <w:rFonts w:ascii="Arial" w:eastAsia="Times New Roman" w:hAnsi="Arial" w:cs="Arial"/>
          <w:b/>
          <w:bCs/>
          <w:kern w:val="28"/>
        </w:rPr>
        <w:t>Isolation of Histamine producing bacteria from the sample</w:t>
      </w:r>
    </w:p>
    <w:p w14:paraId="54AD3CC8" w14:textId="77777777" w:rsidR="00F51E8E" w:rsidRDefault="00F51E8E" w:rsidP="00F51E8E">
      <w:pPr>
        <w:spacing w:line="240" w:lineRule="auto"/>
        <w:jc w:val="both"/>
        <w:rPr>
          <w:rFonts w:ascii="Arial" w:eastAsia="Times New Roman" w:hAnsi="Arial" w:cs="Arial"/>
          <w:kern w:val="28"/>
          <w:sz w:val="20"/>
          <w:szCs w:val="20"/>
        </w:rPr>
      </w:pPr>
      <w:r w:rsidRPr="00F51E8E">
        <w:rPr>
          <w:rFonts w:ascii="Arial" w:eastAsia="Times New Roman" w:hAnsi="Arial" w:cs="Arial"/>
          <w:kern w:val="28"/>
          <w:sz w:val="20"/>
          <w:szCs w:val="20"/>
        </w:rPr>
        <w:t>A selective culture medium was prepared to isolate and identify histamine-producing bacteria. Peptone broth was prepared by dissolving 0.45 g of peptone in 50 mL of distilled water in a conical flask. The solution was sterilized in an autoclave at 121°C for 15 minutes</w:t>
      </w:r>
      <w:r>
        <w:rPr>
          <w:rFonts w:ascii="Arial" w:eastAsia="Times New Roman" w:hAnsi="Arial" w:cs="Arial"/>
          <w:kern w:val="28"/>
          <w:sz w:val="20"/>
          <w:szCs w:val="20"/>
        </w:rPr>
        <w:t xml:space="preserve">. </w:t>
      </w:r>
      <w:r w:rsidRPr="00F51E8E">
        <w:rPr>
          <w:rFonts w:ascii="Arial" w:eastAsia="Times New Roman" w:hAnsi="Arial" w:cs="Arial"/>
          <w:kern w:val="28"/>
          <w:sz w:val="20"/>
          <w:szCs w:val="20"/>
        </w:rPr>
        <w:t xml:space="preserve">The prepared prawn muscle tissue was </w:t>
      </w:r>
      <w:r w:rsidRPr="00F51E8E">
        <w:rPr>
          <w:rFonts w:ascii="Arial" w:eastAsia="Times New Roman" w:hAnsi="Arial" w:cs="Arial"/>
          <w:kern w:val="28"/>
          <w:sz w:val="20"/>
          <w:szCs w:val="20"/>
        </w:rPr>
        <w:lastRenderedPageBreak/>
        <w:t xml:space="preserve">crushed into a fine paste using a sterile mortar and pestle. The paste was then transferred into the prepared peptone broth. The inoculated broth was incubated in an orbital shaker at 120 rpm for 24–48 hours at 37°C to facilitate bacterial growth (Tsai </w:t>
      </w:r>
      <w:r w:rsidR="009B77F9" w:rsidRPr="009B77F9">
        <w:rPr>
          <w:rFonts w:ascii="Arial" w:eastAsia="Times New Roman" w:hAnsi="Arial" w:cs="Arial"/>
          <w:i/>
          <w:iCs/>
          <w:kern w:val="28"/>
          <w:sz w:val="20"/>
          <w:szCs w:val="20"/>
        </w:rPr>
        <w:t>et al.,</w:t>
      </w:r>
      <w:r w:rsidRPr="00F51E8E">
        <w:rPr>
          <w:rFonts w:ascii="Arial" w:eastAsia="Times New Roman" w:hAnsi="Arial" w:cs="Arial"/>
          <w:kern w:val="28"/>
          <w:sz w:val="20"/>
          <w:szCs w:val="20"/>
        </w:rPr>
        <w:t xml:space="preserve"> 2005).</w:t>
      </w:r>
    </w:p>
    <w:p w14:paraId="1501AB03" w14:textId="77777777" w:rsidR="00E328FD" w:rsidRPr="00E328FD" w:rsidRDefault="00E328FD" w:rsidP="00E328FD">
      <w:pPr>
        <w:pStyle w:val="ListParagraph"/>
        <w:numPr>
          <w:ilvl w:val="1"/>
          <w:numId w:val="1"/>
        </w:numPr>
        <w:spacing w:line="240" w:lineRule="auto"/>
        <w:ind w:left="720"/>
        <w:rPr>
          <w:rFonts w:ascii="Arial" w:eastAsia="Times New Roman" w:hAnsi="Arial" w:cs="Arial"/>
          <w:b/>
          <w:bCs/>
          <w:kern w:val="28"/>
        </w:rPr>
      </w:pPr>
      <w:r w:rsidRPr="00E328FD">
        <w:rPr>
          <w:rFonts w:ascii="Arial" w:eastAsia="Times New Roman" w:hAnsi="Arial" w:cs="Arial"/>
          <w:b/>
          <w:bCs/>
          <w:kern w:val="28"/>
        </w:rPr>
        <w:t>Specification of Bacteria</w:t>
      </w:r>
    </w:p>
    <w:p w14:paraId="7C0A4A35" w14:textId="77777777" w:rsidR="00A461D8" w:rsidRDefault="00E328FD" w:rsidP="00A461D8">
      <w:pPr>
        <w:spacing w:line="240" w:lineRule="auto"/>
        <w:jc w:val="both"/>
        <w:rPr>
          <w:rFonts w:ascii="Arial" w:eastAsia="Times New Roman" w:hAnsi="Arial" w:cs="Arial"/>
          <w:kern w:val="28"/>
          <w:sz w:val="20"/>
          <w:szCs w:val="20"/>
        </w:rPr>
      </w:pPr>
      <w:r w:rsidRPr="00E328FD">
        <w:rPr>
          <w:rFonts w:ascii="Arial" w:eastAsia="Times New Roman" w:hAnsi="Arial" w:cs="Arial"/>
          <w:kern w:val="28"/>
          <w:sz w:val="20"/>
          <w:szCs w:val="20"/>
        </w:rPr>
        <w:t>To identify bacterial strains, various selective agar media</w:t>
      </w:r>
      <w:r>
        <w:rPr>
          <w:rFonts w:ascii="Arial" w:eastAsia="Times New Roman" w:hAnsi="Arial" w:cs="Arial"/>
          <w:kern w:val="28"/>
          <w:sz w:val="20"/>
          <w:szCs w:val="20"/>
        </w:rPr>
        <w:t xml:space="preserve"> were prepared, including Cetrimide</w:t>
      </w:r>
      <w:r w:rsidR="008B59E1">
        <w:rPr>
          <w:rFonts w:ascii="Arial" w:eastAsia="Times New Roman" w:hAnsi="Arial" w:cs="Arial"/>
          <w:kern w:val="28"/>
          <w:sz w:val="20"/>
          <w:szCs w:val="20"/>
        </w:rPr>
        <w:t xml:space="preserve"> </w:t>
      </w:r>
      <w:r w:rsidRPr="00E328FD">
        <w:rPr>
          <w:rFonts w:ascii="Arial" w:eastAsia="Times New Roman" w:hAnsi="Arial" w:cs="Arial"/>
          <w:kern w:val="28"/>
          <w:sz w:val="20"/>
          <w:szCs w:val="20"/>
        </w:rPr>
        <w:t>medium Agar</w:t>
      </w:r>
      <w:r>
        <w:rPr>
          <w:rFonts w:ascii="Arial" w:eastAsia="Times New Roman" w:hAnsi="Arial" w:cs="Arial"/>
          <w:kern w:val="28"/>
          <w:sz w:val="20"/>
          <w:szCs w:val="20"/>
        </w:rPr>
        <w:t xml:space="preserve"> (46.7g/L)</w:t>
      </w:r>
      <w:r w:rsidRPr="00E328FD">
        <w:rPr>
          <w:rFonts w:ascii="Arial" w:eastAsia="Times New Roman" w:hAnsi="Arial" w:cs="Arial"/>
          <w:kern w:val="28"/>
          <w:sz w:val="20"/>
          <w:szCs w:val="20"/>
        </w:rPr>
        <w:t>, TCBS Agar</w:t>
      </w:r>
      <w:r>
        <w:rPr>
          <w:rFonts w:ascii="Arial" w:eastAsia="Times New Roman" w:hAnsi="Arial" w:cs="Arial"/>
          <w:kern w:val="28"/>
          <w:sz w:val="20"/>
          <w:szCs w:val="20"/>
        </w:rPr>
        <w:t xml:space="preserve"> (86 g/L)</w:t>
      </w:r>
      <w:r w:rsidRPr="00E328FD">
        <w:rPr>
          <w:rFonts w:ascii="Arial" w:eastAsia="Times New Roman" w:hAnsi="Arial" w:cs="Arial"/>
          <w:kern w:val="28"/>
          <w:sz w:val="20"/>
          <w:szCs w:val="20"/>
        </w:rPr>
        <w:t>, EMB Agar</w:t>
      </w:r>
      <w:r>
        <w:rPr>
          <w:rFonts w:ascii="Arial" w:eastAsia="Times New Roman" w:hAnsi="Arial" w:cs="Arial"/>
          <w:kern w:val="28"/>
          <w:sz w:val="20"/>
          <w:szCs w:val="20"/>
        </w:rPr>
        <w:t xml:space="preserve"> (46.7g/L)</w:t>
      </w:r>
      <w:r w:rsidRPr="00E328FD">
        <w:rPr>
          <w:rFonts w:ascii="Arial" w:eastAsia="Times New Roman" w:hAnsi="Arial" w:cs="Arial"/>
          <w:kern w:val="28"/>
          <w:sz w:val="20"/>
          <w:szCs w:val="20"/>
        </w:rPr>
        <w:t>, MacConkey Agar</w:t>
      </w:r>
      <w:r>
        <w:rPr>
          <w:rFonts w:ascii="Arial" w:eastAsia="Times New Roman" w:hAnsi="Arial" w:cs="Arial"/>
          <w:kern w:val="28"/>
          <w:sz w:val="20"/>
          <w:szCs w:val="20"/>
        </w:rPr>
        <w:t xml:space="preserve"> (35.96 g/L)</w:t>
      </w:r>
      <w:r w:rsidRPr="00E328FD">
        <w:rPr>
          <w:rFonts w:ascii="Arial" w:eastAsia="Times New Roman" w:hAnsi="Arial" w:cs="Arial"/>
          <w:kern w:val="28"/>
          <w:sz w:val="20"/>
          <w:szCs w:val="20"/>
        </w:rPr>
        <w:t>, and SS Agar</w:t>
      </w:r>
      <w:r>
        <w:rPr>
          <w:rFonts w:ascii="Arial" w:eastAsia="Times New Roman" w:hAnsi="Arial" w:cs="Arial"/>
          <w:kern w:val="28"/>
          <w:sz w:val="20"/>
          <w:szCs w:val="20"/>
        </w:rPr>
        <w:t xml:space="preserve"> (63.01 g/L)</w:t>
      </w:r>
      <w:r w:rsidRPr="00E328FD">
        <w:rPr>
          <w:rFonts w:ascii="Arial" w:eastAsia="Times New Roman" w:hAnsi="Arial" w:cs="Arial"/>
          <w:kern w:val="28"/>
          <w:sz w:val="20"/>
          <w:szCs w:val="20"/>
        </w:rPr>
        <w:t>. The following concentrations were prepared</w:t>
      </w:r>
      <w:r>
        <w:rPr>
          <w:rFonts w:ascii="Arial" w:eastAsia="Times New Roman" w:hAnsi="Arial" w:cs="Arial"/>
          <w:kern w:val="28"/>
          <w:sz w:val="20"/>
          <w:szCs w:val="20"/>
        </w:rPr>
        <w:t xml:space="preserve">. </w:t>
      </w:r>
      <w:r w:rsidRPr="00E328FD">
        <w:rPr>
          <w:rFonts w:ascii="Arial" w:eastAsia="Times New Roman" w:hAnsi="Arial" w:cs="Arial"/>
          <w:kern w:val="28"/>
          <w:sz w:val="20"/>
          <w:szCs w:val="20"/>
        </w:rPr>
        <w:t>The prepared agar media were sterilized in an autoclave at 121°C for 15 minutes. After cooling to approximately 45°C, each medium was poured into sterile Petri plates and allowed to so</w:t>
      </w:r>
      <w:r>
        <w:rPr>
          <w:rFonts w:ascii="Arial" w:eastAsia="Times New Roman" w:hAnsi="Arial" w:cs="Arial"/>
          <w:kern w:val="28"/>
          <w:sz w:val="20"/>
          <w:szCs w:val="20"/>
        </w:rPr>
        <w:t xml:space="preserve">lidify under aseptic conditions. </w:t>
      </w:r>
      <w:r w:rsidRPr="00E328FD">
        <w:rPr>
          <w:rFonts w:ascii="Arial" w:eastAsia="Times New Roman" w:hAnsi="Arial" w:cs="Arial"/>
          <w:kern w:val="28"/>
          <w:sz w:val="20"/>
          <w:szCs w:val="20"/>
        </w:rPr>
        <w:t>Following the preparation of agar plates, a small amount of bacterial culture was transferred onto each plate using a sterile inoculating loop. The streaking technique followed a zigzag pattern to ensure even distribution and clear bacterial colony formation. Plates were incubated at 37°C for 24 hours to allow bacterial growth (Andrews, 2001).</w:t>
      </w:r>
      <w:r w:rsidR="00FE5E94">
        <w:rPr>
          <w:rFonts w:ascii="Arial" w:eastAsia="Times New Roman" w:hAnsi="Arial" w:cs="Arial"/>
          <w:kern w:val="28"/>
          <w:sz w:val="20"/>
          <w:szCs w:val="20"/>
        </w:rPr>
        <w:t xml:space="preserve"> </w:t>
      </w:r>
      <w:r w:rsidRPr="00E328FD">
        <w:rPr>
          <w:rFonts w:ascii="Arial" w:eastAsia="Times New Roman" w:hAnsi="Arial" w:cs="Arial"/>
          <w:kern w:val="28"/>
          <w:sz w:val="20"/>
          <w:szCs w:val="20"/>
        </w:rPr>
        <w:t xml:space="preserve">Post-incubation, bacterial colonies were identified based on their characteristic growth patterns on selective media. Colonies displaying distinct growth on Cetrimide Agar, TCBS Agar, and MacConkey Agar were examined for histamine production potential </w:t>
      </w:r>
      <w:r>
        <w:rPr>
          <w:rFonts w:ascii="Arial" w:eastAsia="Times New Roman" w:hAnsi="Arial" w:cs="Arial"/>
          <w:kern w:val="28"/>
          <w:sz w:val="20"/>
          <w:szCs w:val="20"/>
        </w:rPr>
        <w:t xml:space="preserve">which was </w:t>
      </w:r>
      <w:r w:rsidR="006A39FE">
        <w:rPr>
          <w:rFonts w:ascii="Arial" w:eastAsia="Times New Roman" w:hAnsi="Arial" w:cs="Arial"/>
          <w:kern w:val="28"/>
          <w:sz w:val="20"/>
          <w:szCs w:val="20"/>
        </w:rPr>
        <w:t>sub cultured</w:t>
      </w:r>
      <w:r>
        <w:rPr>
          <w:rFonts w:ascii="Arial" w:eastAsia="Times New Roman" w:hAnsi="Arial" w:cs="Arial"/>
          <w:kern w:val="28"/>
          <w:sz w:val="20"/>
          <w:szCs w:val="20"/>
        </w:rPr>
        <w:t xml:space="preserve"> and </w:t>
      </w:r>
      <w:r w:rsidRPr="00E328FD">
        <w:rPr>
          <w:rFonts w:ascii="Arial" w:eastAsia="Times New Roman" w:hAnsi="Arial" w:cs="Arial"/>
          <w:kern w:val="28"/>
          <w:sz w:val="20"/>
          <w:szCs w:val="20"/>
        </w:rPr>
        <w:t>further subjected to mole</w:t>
      </w:r>
      <w:r>
        <w:rPr>
          <w:rFonts w:ascii="Arial" w:eastAsia="Times New Roman" w:hAnsi="Arial" w:cs="Arial"/>
          <w:kern w:val="28"/>
          <w:sz w:val="20"/>
          <w:szCs w:val="20"/>
        </w:rPr>
        <w:t>cular identification techniques.</w:t>
      </w:r>
    </w:p>
    <w:p w14:paraId="31CDD555" w14:textId="77777777" w:rsidR="00E328FD" w:rsidRPr="006A39FE" w:rsidRDefault="006A39FE" w:rsidP="006A39FE">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Antibiotic Susceptibility Test by Disc Diffusion Method</w:t>
      </w:r>
    </w:p>
    <w:p w14:paraId="407DDDF1" w14:textId="77777777" w:rsidR="006A39FE" w:rsidRDefault="006A39FE" w:rsidP="006A39FE">
      <w:pPr>
        <w:spacing w:line="240" w:lineRule="auto"/>
        <w:jc w:val="both"/>
        <w:rPr>
          <w:rFonts w:ascii="Arial" w:eastAsia="Times New Roman" w:hAnsi="Arial" w:cs="Arial"/>
          <w:kern w:val="28"/>
          <w:sz w:val="20"/>
          <w:szCs w:val="20"/>
        </w:rPr>
      </w:pPr>
      <w:r w:rsidRPr="006A39FE">
        <w:rPr>
          <w:rFonts w:ascii="Arial" w:eastAsia="Times New Roman" w:hAnsi="Arial" w:cs="Arial"/>
          <w:kern w:val="28"/>
          <w:sz w:val="20"/>
          <w:szCs w:val="20"/>
        </w:rPr>
        <w:t>The disc diffusion method was employed to confirm the bacterial strains and evaluate their antibiotic resistance, particularly in relation to histamine production</w:t>
      </w:r>
      <w:r w:rsidR="00E75A3B">
        <w:rPr>
          <w:rFonts w:ascii="Arial" w:eastAsia="Times New Roman" w:hAnsi="Arial" w:cs="Arial"/>
          <w:kern w:val="28"/>
          <w:sz w:val="20"/>
          <w:szCs w:val="20"/>
        </w:rPr>
        <w:t xml:space="preserve"> (</w:t>
      </w:r>
      <w:r w:rsidR="00E75A3B">
        <w:rPr>
          <w:rFonts w:ascii="Arial" w:hAnsi="Arial" w:cs="Arial"/>
          <w:color w:val="222222"/>
          <w:sz w:val="20"/>
          <w:szCs w:val="20"/>
          <w:shd w:val="clear" w:color="auto" w:fill="FFFFFF"/>
        </w:rPr>
        <w:t xml:space="preserve">Bauer </w:t>
      </w:r>
      <w:r w:rsidR="00E75A3B">
        <w:rPr>
          <w:rFonts w:ascii="Arial" w:hAnsi="Arial" w:cs="Arial"/>
          <w:i/>
          <w:iCs/>
          <w:color w:val="222222"/>
          <w:sz w:val="20"/>
          <w:szCs w:val="20"/>
          <w:shd w:val="clear" w:color="auto" w:fill="FFFFFF"/>
        </w:rPr>
        <w:t>et al.,</w:t>
      </w:r>
      <w:r w:rsidR="00E75A3B" w:rsidRPr="00E75A3B">
        <w:rPr>
          <w:rFonts w:ascii="Arial" w:hAnsi="Arial" w:cs="Arial"/>
          <w:color w:val="222222"/>
          <w:sz w:val="20"/>
          <w:szCs w:val="20"/>
          <w:shd w:val="clear" w:color="auto" w:fill="FFFFFF"/>
        </w:rPr>
        <w:t>1966</w:t>
      </w:r>
      <w:r w:rsidR="00E75A3B">
        <w:rPr>
          <w:rFonts w:ascii="Arial" w:eastAsia="Times New Roman" w:hAnsi="Arial" w:cs="Arial"/>
          <w:kern w:val="28"/>
          <w:sz w:val="20"/>
          <w:szCs w:val="20"/>
        </w:rPr>
        <w:t>)</w:t>
      </w:r>
      <w:r>
        <w:rPr>
          <w:rFonts w:ascii="Arial" w:eastAsia="Times New Roman" w:hAnsi="Arial" w:cs="Arial"/>
          <w:kern w:val="28"/>
          <w:sz w:val="20"/>
          <w:szCs w:val="20"/>
        </w:rPr>
        <w:t>. Nutrient agar media was used for the test</w:t>
      </w:r>
      <w:r w:rsidRPr="006A39FE">
        <w:rPr>
          <w:rFonts w:ascii="Arial" w:eastAsia="Times New Roman" w:hAnsi="Arial" w:cs="Arial"/>
          <w:kern w:val="28"/>
          <w:sz w:val="20"/>
          <w:szCs w:val="20"/>
        </w:rPr>
        <w:t>. The prepared media was sterilized in an autoclave at 121°C for 15 minutes. After cooling to approximately 45°C, the sterilized agar medium was poured into three sterile Petri plates and allowed to solidify under aseptic conditions.</w:t>
      </w:r>
      <w:r w:rsidR="008B59E1">
        <w:rPr>
          <w:rFonts w:ascii="Arial" w:eastAsia="Times New Roman" w:hAnsi="Arial" w:cs="Arial"/>
          <w:kern w:val="28"/>
          <w:sz w:val="20"/>
          <w:szCs w:val="20"/>
        </w:rPr>
        <w:t xml:space="preserve"> </w:t>
      </w:r>
      <w:r w:rsidRPr="006A39FE">
        <w:rPr>
          <w:rFonts w:ascii="Arial" w:eastAsia="Times New Roman" w:hAnsi="Arial" w:cs="Arial"/>
          <w:kern w:val="28"/>
          <w:sz w:val="20"/>
          <w:szCs w:val="20"/>
        </w:rPr>
        <w:t>Following solidification, the bacterial cultures identified as histamine producers were swabbed uniformly over the surface of each agar plate using a sterile cotton swab to ensure even bacterial distribution. Subsequently, selected antibiotic discs were carefully placed onto the agar plates to assess bacterial resistance. The antibiotics used in this study included Levofloxacin (2</w:t>
      </w:r>
      <w:r>
        <w:rPr>
          <w:rFonts w:ascii="Arial" w:eastAsia="Times New Roman" w:hAnsi="Arial" w:cs="Arial"/>
          <w:kern w:val="28"/>
          <w:sz w:val="20"/>
          <w:szCs w:val="20"/>
        </w:rPr>
        <w:t>0mcg), Penicillin-G (10 mcg</w:t>
      </w:r>
      <w:r w:rsidRPr="006A39FE">
        <w:rPr>
          <w:rFonts w:ascii="Arial" w:eastAsia="Times New Roman" w:hAnsi="Arial" w:cs="Arial"/>
          <w:kern w:val="28"/>
          <w:sz w:val="20"/>
          <w:szCs w:val="20"/>
        </w:rPr>
        <w:t>), Amikacin (30</w:t>
      </w:r>
      <w:r>
        <w:rPr>
          <w:rFonts w:ascii="Arial" w:eastAsia="Times New Roman" w:hAnsi="Arial" w:cs="Arial"/>
          <w:kern w:val="28"/>
          <w:sz w:val="20"/>
          <w:szCs w:val="20"/>
        </w:rPr>
        <w:t>mcg</w:t>
      </w:r>
      <w:r w:rsidRPr="006A39FE">
        <w:rPr>
          <w:rFonts w:ascii="Arial" w:eastAsia="Times New Roman" w:hAnsi="Arial" w:cs="Arial"/>
          <w:kern w:val="28"/>
          <w:sz w:val="20"/>
          <w:szCs w:val="20"/>
        </w:rPr>
        <w:t>), Vancomycin (30</w:t>
      </w:r>
      <w:r>
        <w:rPr>
          <w:rFonts w:ascii="Arial" w:eastAsia="Times New Roman" w:hAnsi="Arial" w:cs="Arial"/>
          <w:kern w:val="28"/>
          <w:sz w:val="20"/>
          <w:szCs w:val="20"/>
        </w:rPr>
        <w:t>mcg</w:t>
      </w:r>
      <w:r w:rsidRPr="006A39FE">
        <w:rPr>
          <w:rFonts w:ascii="Arial" w:eastAsia="Times New Roman" w:hAnsi="Arial" w:cs="Arial"/>
          <w:kern w:val="28"/>
          <w:sz w:val="20"/>
          <w:szCs w:val="20"/>
        </w:rPr>
        <w:t>), and Ciprofloxacin (5</w:t>
      </w:r>
      <w:r>
        <w:rPr>
          <w:rFonts w:ascii="Arial" w:eastAsia="Times New Roman" w:hAnsi="Arial" w:cs="Arial"/>
          <w:kern w:val="28"/>
          <w:sz w:val="20"/>
          <w:szCs w:val="20"/>
        </w:rPr>
        <w:t>mcg)</w:t>
      </w:r>
      <w:r w:rsidRPr="006A39FE">
        <w:rPr>
          <w:rFonts w:ascii="Arial" w:eastAsia="Times New Roman" w:hAnsi="Arial" w:cs="Arial"/>
          <w:kern w:val="28"/>
          <w:sz w:val="20"/>
          <w:szCs w:val="20"/>
        </w:rPr>
        <w:t>. The plates were subsequently incubated at 37°C for 24-48 hours to allow bacterial growth and antibiotic interaction.</w:t>
      </w:r>
      <w:r w:rsidR="008B59E1">
        <w:rPr>
          <w:rFonts w:ascii="Arial" w:eastAsia="Times New Roman" w:hAnsi="Arial" w:cs="Arial"/>
          <w:kern w:val="28"/>
          <w:sz w:val="20"/>
          <w:szCs w:val="20"/>
        </w:rPr>
        <w:t xml:space="preserve"> </w:t>
      </w:r>
      <w:r w:rsidRPr="006A39FE">
        <w:rPr>
          <w:rFonts w:ascii="Arial" w:eastAsia="Times New Roman" w:hAnsi="Arial" w:cs="Arial"/>
          <w:kern w:val="28"/>
          <w:sz w:val="20"/>
          <w:szCs w:val="20"/>
        </w:rPr>
        <w:t xml:space="preserve">Upon completion of the incubation period, the zones of inhibition were measured to assess bacterial susceptibility. </w:t>
      </w:r>
    </w:p>
    <w:p w14:paraId="37B84C01" w14:textId="77777777" w:rsidR="00085B02" w:rsidRDefault="00085B02" w:rsidP="00085B02">
      <w:pPr>
        <w:pStyle w:val="ListParagraph"/>
        <w:numPr>
          <w:ilvl w:val="1"/>
          <w:numId w:val="1"/>
        </w:numPr>
        <w:spacing w:line="240" w:lineRule="auto"/>
        <w:ind w:left="720"/>
        <w:rPr>
          <w:rFonts w:ascii="Arial" w:eastAsia="Times New Roman" w:hAnsi="Arial" w:cs="Arial"/>
          <w:b/>
          <w:bCs/>
          <w:kern w:val="28"/>
        </w:rPr>
      </w:pPr>
      <w:r w:rsidRPr="00085B02">
        <w:rPr>
          <w:rFonts w:ascii="Arial" w:eastAsia="Times New Roman" w:hAnsi="Arial" w:cs="Arial"/>
          <w:b/>
          <w:bCs/>
          <w:kern w:val="28"/>
        </w:rPr>
        <w:t>Molecular Identification of the Isolate</w:t>
      </w:r>
    </w:p>
    <w:p w14:paraId="344899F5" w14:textId="77777777" w:rsidR="00085B02" w:rsidRPr="00085B02" w:rsidRDefault="00085B02" w:rsidP="00085B02">
      <w:pPr>
        <w:pStyle w:val="ListParagraph"/>
        <w:spacing w:line="240" w:lineRule="auto"/>
        <w:rPr>
          <w:rFonts w:ascii="Arial" w:eastAsia="Times New Roman" w:hAnsi="Arial" w:cs="Arial"/>
          <w:b/>
          <w:bCs/>
          <w:kern w:val="28"/>
        </w:rPr>
      </w:pPr>
    </w:p>
    <w:p w14:paraId="60470C71" w14:textId="77777777" w:rsidR="00085B02" w:rsidRPr="008B59E1" w:rsidRDefault="00085B02" w:rsidP="00085B02">
      <w:pPr>
        <w:pStyle w:val="ListParagraph"/>
        <w:numPr>
          <w:ilvl w:val="2"/>
          <w:numId w:val="1"/>
        </w:numPr>
        <w:spacing w:line="240" w:lineRule="auto"/>
        <w:ind w:left="720"/>
        <w:jc w:val="both"/>
        <w:rPr>
          <w:rFonts w:ascii="Arial" w:eastAsia="Times New Roman" w:hAnsi="Arial" w:cs="Arial"/>
          <w:b/>
          <w:bCs/>
          <w:kern w:val="28"/>
          <w:sz w:val="20"/>
          <w:szCs w:val="20"/>
        </w:rPr>
      </w:pPr>
      <w:r w:rsidRPr="008B59E1">
        <w:rPr>
          <w:rFonts w:ascii="Arial" w:eastAsia="Times New Roman" w:hAnsi="Arial" w:cs="Arial"/>
          <w:b/>
          <w:bCs/>
          <w:kern w:val="28"/>
          <w:sz w:val="20"/>
          <w:szCs w:val="20"/>
        </w:rPr>
        <w:t>DNA Isolation</w:t>
      </w:r>
    </w:p>
    <w:p w14:paraId="20B52CFC" w14:textId="77777777" w:rsidR="009D69DF" w:rsidRDefault="00085B02" w:rsidP="00085B02">
      <w:pPr>
        <w:spacing w:line="240" w:lineRule="auto"/>
        <w:jc w:val="both"/>
        <w:rPr>
          <w:rFonts w:ascii="Arial" w:eastAsia="Times New Roman" w:hAnsi="Arial" w:cs="Arial"/>
          <w:kern w:val="28"/>
          <w:sz w:val="20"/>
          <w:szCs w:val="20"/>
        </w:rPr>
        <w:sectPr w:rsidR="009D69DF" w:rsidSect="00DE4889">
          <w:type w:val="continuous"/>
          <w:pgSz w:w="11906" w:h="16838"/>
          <w:pgMar w:top="1440" w:right="1440" w:bottom="1440" w:left="1440" w:header="708" w:footer="708" w:gutter="0"/>
          <w:cols w:space="708"/>
          <w:docGrid w:linePitch="360"/>
        </w:sectPr>
      </w:pPr>
      <w:r w:rsidRPr="00085B02">
        <w:rPr>
          <w:rFonts w:ascii="Arial" w:eastAsia="Times New Roman" w:hAnsi="Arial" w:cs="Arial"/>
          <w:kern w:val="28"/>
          <w:sz w:val="20"/>
          <w:szCs w:val="20"/>
        </w:rPr>
        <w:t>DNA extraction was performed using a modified protocol</w:t>
      </w:r>
      <w:r>
        <w:rPr>
          <w:rFonts w:ascii="Arial" w:eastAsia="Times New Roman" w:hAnsi="Arial" w:cs="Arial"/>
          <w:kern w:val="28"/>
          <w:sz w:val="20"/>
          <w:szCs w:val="20"/>
        </w:rPr>
        <w:t xml:space="preserve"> of Ramaswami</w:t>
      </w:r>
      <w:r w:rsidR="008B59E1">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Pr>
          <w:rFonts w:ascii="Arial" w:eastAsia="Times New Roman" w:hAnsi="Arial" w:cs="Arial"/>
          <w:kern w:val="28"/>
          <w:sz w:val="20"/>
          <w:szCs w:val="20"/>
        </w:rPr>
        <w:t xml:space="preserve"> (2018)</w:t>
      </w:r>
      <w:r w:rsidRPr="00085B02">
        <w:rPr>
          <w:rFonts w:ascii="Arial" w:eastAsia="Times New Roman" w:hAnsi="Arial" w:cs="Arial"/>
          <w:kern w:val="28"/>
          <w:sz w:val="20"/>
          <w:szCs w:val="20"/>
        </w:rPr>
        <w:t xml:space="preserve"> to ensure efficient recovery of bacterial genetic material. Approximately 2 mL of bacterial culture was transferred into sterile Eppendorf tubes and centrifuged at 5,000 rpm for 5 minutes to obtain a pellet. The resulting pellet was suspended in 500 µL of extraction buffer, followed by the addition of 10 µL of lysozyme to facilitate cell wall lysis. The suspension was thoroughly mixed and incubated at room temperature for 30 minutes to enhance the lysis process.</w:t>
      </w:r>
      <w:r w:rsidR="00882E66">
        <w:rPr>
          <w:rFonts w:ascii="Arial" w:eastAsia="Times New Roman" w:hAnsi="Arial" w:cs="Arial"/>
          <w:kern w:val="28"/>
          <w:sz w:val="20"/>
          <w:szCs w:val="20"/>
        </w:rPr>
        <w:t xml:space="preserve"> </w:t>
      </w:r>
      <w:r w:rsidRPr="00085B02">
        <w:rPr>
          <w:rFonts w:ascii="Arial" w:eastAsia="Times New Roman" w:hAnsi="Arial" w:cs="Arial"/>
          <w:kern w:val="28"/>
          <w:sz w:val="20"/>
          <w:szCs w:val="20"/>
        </w:rPr>
        <w:t xml:space="preserve">Following incubation, 150 µL of 10% sodium dodecyl </w:t>
      </w:r>
      <w:proofErr w:type="spellStart"/>
      <w:r w:rsidRPr="00085B02">
        <w:rPr>
          <w:rFonts w:ascii="Arial" w:eastAsia="Times New Roman" w:hAnsi="Arial" w:cs="Arial"/>
          <w:kern w:val="28"/>
          <w:sz w:val="20"/>
          <w:szCs w:val="20"/>
        </w:rPr>
        <w:t>sulfate</w:t>
      </w:r>
      <w:proofErr w:type="spellEnd"/>
      <w:r w:rsidRPr="00085B02">
        <w:rPr>
          <w:rFonts w:ascii="Arial" w:eastAsia="Times New Roman" w:hAnsi="Arial" w:cs="Arial"/>
          <w:kern w:val="28"/>
          <w:sz w:val="20"/>
          <w:szCs w:val="20"/>
        </w:rPr>
        <w:t xml:space="preserve"> (SDS) was added to the mixture, which was then incubated at 65°C for an additional 30 minutes. To extract the DNA, an equal volume of phenol-chloroform-isoamyl alcohol was introduced, and the sample was centrifuged at 10,000 rpm for 10 minutes. The aqueous phase containing DNA was carefully collected, and 0.2 volumes </w:t>
      </w:r>
    </w:p>
    <w:p w14:paraId="618B8288" w14:textId="77777777" w:rsidR="009D69DF" w:rsidRDefault="00085B02" w:rsidP="00085B02">
      <w:pPr>
        <w:spacing w:line="240" w:lineRule="auto"/>
        <w:jc w:val="both"/>
        <w:rPr>
          <w:rFonts w:ascii="Arial" w:eastAsia="Times New Roman" w:hAnsi="Arial" w:cs="Arial"/>
          <w:kern w:val="28"/>
          <w:sz w:val="20"/>
          <w:szCs w:val="20"/>
        </w:rPr>
        <w:sectPr w:rsidR="009D69DF" w:rsidSect="00DE4889">
          <w:type w:val="continuous"/>
          <w:pgSz w:w="11906" w:h="16838"/>
          <w:pgMar w:top="1440" w:right="1440" w:bottom="1440" w:left="1440" w:header="708" w:footer="708" w:gutter="0"/>
          <w:cols w:space="708"/>
          <w:docGrid w:linePitch="360"/>
        </w:sectPr>
      </w:pPr>
      <w:r w:rsidRPr="00085B02">
        <w:rPr>
          <w:rFonts w:ascii="Arial" w:eastAsia="Times New Roman" w:hAnsi="Arial" w:cs="Arial"/>
          <w:kern w:val="28"/>
          <w:sz w:val="20"/>
          <w:szCs w:val="20"/>
        </w:rPr>
        <w:t>of sodium acetate along with 5 volumes of isopropanol were added to precipitate the DNA. The sample was centrifuged again at 10,000 rpm for 10 minutes, resulting in a visible DNA pellet.</w:t>
      </w:r>
      <w:r w:rsidR="00FE5E94">
        <w:rPr>
          <w:rFonts w:ascii="Arial" w:eastAsia="Times New Roman" w:hAnsi="Arial" w:cs="Arial"/>
          <w:kern w:val="28"/>
          <w:sz w:val="20"/>
          <w:szCs w:val="20"/>
        </w:rPr>
        <w:t xml:space="preserve"> </w:t>
      </w:r>
      <w:r w:rsidRPr="00085B02">
        <w:rPr>
          <w:rFonts w:ascii="Arial" w:eastAsia="Times New Roman" w:hAnsi="Arial" w:cs="Arial"/>
          <w:kern w:val="28"/>
          <w:sz w:val="20"/>
          <w:szCs w:val="20"/>
        </w:rPr>
        <w:t>The pellet was washed with 500 µL of absolute ethanol, followed by 70% ethanol, and centrifuged at 5,000 rpm for 5 minutes to enhance DNA purity. The obtained pellet was air-dried to remove any residual ethanol. Finally, the dried pellet was dissolved in 40 µL of 1X TE buffer for preservation. DNA integrity was assessed through agarose gel electrophoresis to confirm successful extraction</w:t>
      </w:r>
    </w:p>
    <w:p w14:paraId="401B8415" w14:textId="77777777" w:rsidR="00085B02" w:rsidRPr="00085B02" w:rsidRDefault="00085B02" w:rsidP="00085B02">
      <w:pPr>
        <w:spacing w:line="240" w:lineRule="auto"/>
        <w:jc w:val="both"/>
        <w:rPr>
          <w:rFonts w:ascii="Arial" w:eastAsia="Times New Roman" w:hAnsi="Arial" w:cs="Arial"/>
          <w:kern w:val="28"/>
          <w:sz w:val="20"/>
          <w:szCs w:val="20"/>
        </w:rPr>
      </w:pPr>
      <w:r w:rsidRPr="00085B02">
        <w:rPr>
          <w:rFonts w:ascii="Arial" w:eastAsia="Times New Roman" w:hAnsi="Arial" w:cs="Arial"/>
          <w:kern w:val="28"/>
          <w:sz w:val="20"/>
          <w:szCs w:val="20"/>
        </w:rPr>
        <w:t>.</w:t>
      </w:r>
    </w:p>
    <w:p w14:paraId="7AA6E9F3" w14:textId="77777777" w:rsidR="009D69DF" w:rsidRDefault="009D69DF" w:rsidP="00085B02">
      <w:pPr>
        <w:pStyle w:val="ListParagraph"/>
        <w:numPr>
          <w:ilvl w:val="2"/>
          <w:numId w:val="1"/>
        </w:numPr>
        <w:spacing w:line="240" w:lineRule="auto"/>
        <w:ind w:left="720"/>
        <w:jc w:val="both"/>
        <w:rPr>
          <w:rFonts w:ascii="Arial" w:eastAsia="Times New Roman" w:hAnsi="Arial" w:cs="Arial"/>
          <w:b/>
          <w:bCs/>
          <w:kern w:val="28"/>
          <w:sz w:val="20"/>
          <w:szCs w:val="20"/>
          <w:u w:val="single"/>
        </w:rPr>
        <w:sectPr w:rsidR="009D69DF" w:rsidSect="00DE4889">
          <w:type w:val="continuous"/>
          <w:pgSz w:w="11906" w:h="16838"/>
          <w:pgMar w:top="1440" w:right="1440" w:bottom="1440" w:left="1440" w:header="708" w:footer="708" w:gutter="0"/>
          <w:cols w:space="708"/>
          <w:docGrid w:linePitch="360"/>
        </w:sectPr>
      </w:pPr>
    </w:p>
    <w:p w14:paraId="706A04B0" w14:textId="77777777" w:rsidR="00085B02" w:rsidRPr="00FE5E94" w:rsidRDefault="00085B02" w:rsidP="00085B02">
      <w:pPr>
        <w:pStyle w:val="ListParagraph"/>
        <w:numPr>
          <w:ilvl w:val="2"/>
          <w:numId w:val="1"/>
        </w:numPr>
        <w:spacing w:line="240" w:lineRule="auto"/>
        <w:ind w:left="720"/>
        <w:jc w:val="both"/>
        <w:rPr>
          <w:rFonts w:ascii="Arial" w:eastAsia="Times New Roman" w:hAnsi="Arial" w:cs="Arial"/>
          <w:b/>
          <w:bCs/>
          <w:kern w:val="28"/>
          <w:sz w:val="20"/>
          <w:szCs w:val="20"/>
        </w:rPr>
      </w:pPr>
      <w:r w:rsidRPr="00FE5E94">
        <w:rPr>
          <w:rFonts w:ascii="Arial" w:eastAsia="Times New Roman" w:hAnsi="Arial" w:cs="Arial"/>
          <w:b/>
          <w:bCs/>
          <w:kern w:val="28"/>
          <w:sz w:val="20"/>
          <w:szCs w:val="20"/>
        </w:rPr>
        <w:t>PCR Amplification</w:t>
      </w:r>
    </w:p>
    <w:p w14:paraId="2E42C60E" w14:textId="77777777" w:rsidR="00085B02" w:rsidRDefault="00085B02" w:rsidP="00085B02">
      <w:pPr>
        <w:spacing w:line="240" w:lineRule="auto"/>
        <w:jc w:val="both"/>
        <w:rPr>
          <w:rFonts w:ascii="Arial" w:eastAsia="Times New Roman" w:hAnsi="Arial" w:cs="Arial"/>
          <w:kern w:val="28"/>
          <w:sz w:val="20"/>
          <w:szCs w:val="20"/>
        </w:rPr>
      </w:pPr>
      <w:r w:rsidRPr="00085B02">
        <w:rPr>
          <w:rFonts w:ascii="Arial" w:eastAsia="Times New Roman" w:hAnsi="Arial" w:cs="Arial"/>
          <w:kern w:val="28"/>
          <w:sz w:val="20"/>
          <w:szCs w:val="20"/>
        </w:rPr>
        <w:lastRenderedPageBreak/>
        <w:t>Polymerase Chain Reaction (PCR) was conducted to amplify the 16S rRNA gene for bacterial identification. The reaction was carried out using specific primers: 16SF (5'-AGAGTTTGATCMTGGCTCAG-3') as the forward primer and 16SR (5'-ACGGYTACCTTGTTACGACTT-3') as the reverse primer. The PCR conditions included an initial denaturation step at 94°C for 5 minutes, followed by 35 cycles of denaturation at 94°C for 30 seconds, annealing at 55°C for 30 seconds, and extension at 72°C for 1.5 minutes. A final extension was performed at 72°C for 5 minutes to ensure complete amplification.</w:t>
      </w:r>
      <w:r w:rsidR="00FE5E94">
        <w:rPr>
          <w:rFonts w:ascii="Arial" w:eastAsia="Times New Roman" w:hAnsi="Arial" w:cs="Arial"/>
          <w:kern w:val="28"/>
          <w:sz w:val="20"/>
          <w:szCs w:val="20"/>
        </w:rPr>
        <w:t xml:space="preserve"> </w:t>
      </w:r>
      <w:r w:rsidRPr="00085B02">
        <w:rPr>
          <w:rFonts w:ascii="Arial" w:eastAsia="Times New Roman" w:hAnsi="Arial" w:cs="Arial"/>
          <w:kern w:val="28"/>
          <w:sz w:val="20"/>
          <w:szCs w:val="20"/>
        </w:rPr>
        <w:t>The amplified PCR products were separated by electrophoresis on a 1.5% agarose gel containing 0.5 µg/mL ethidium bromide and visualized under UV light using a Biotech Submarine Gel System. The purified 16S rRNA gene fragments were subsequently prepared for sequencing to enable accurate bacterial identification.</w:t>
      </w:r>
    </w:p>
    <w:p w14:paraId="52B4D323" w14:textId="77777777" w:rsidR="00B07B0D" w:rsidRDefault="00B07B0D" w:rsidP="00B07B0D">
      <w:pPr>
        <w:pStyle w:val="ListParagraph"/>
        <w:numPr>
          <w:ilvl w:val="1"/>
          <w:numId w:val="1"/>
        </w:numPr>
        <w:spacing w:line="240" w:lineRule="auto"/>
        <w:ind w:left="720"/>
        <w:rPr>
          <w:rFonts w:ascii="Arial" w:eastAsia="Times New Roman" w:hAnsi="Arial" w:cs="Arial"/>
          <w:b/>
          <w:bCs/>
          <w:kern w:val="28"/>
        </w:rPr>
      </w:pPr>
      <w:r w:rsidRPr="00B07B0D">
        <w:rPr>
          <w:rFonts w:ascii="Arial" w:eastAsia="Times New Roman" w:hAnsi="Arial" w:cs="Arial"/>
          <w:b/>
          <w:bCs/>
          <w:kern w:val="28"/>
        </w:rPr>
        <w:t>Qualitative method of Histamine estimation</w:t>
      </w:r>
    </w:p>
    <w:p w14:paraId="7E14CD90" w14:textId="77777777" w:rsidR="009D69DF" w:rsidRDefault="009D69DF" w:rsidP="00B07B0D">
      <w:pPr>
        <w:pStyle w:val="ListParagraph"/>
        <w:spacing w:line="240" w:lineRule="auto"/>
        <w:rPr>
          <w:rFonts w:ascii="Arial" w:eastAsia="Times New Roman" w:hAnsi="Arial" w:cs="Arial"/>
          <w:b/>
          <w:bCs/>
          <w:kern w:val="28"/>
        </w:rPr>
        <w:sectPr w:rsidR="009D69DF" w:rsidSect="00DE4889">
          <w:type w:val="continuous"/>
          <w:pgSz w:w="11906" w:h="16838"/>
          <w:pgMar w:top="1440" w:right="1440" w:bottom="1440" w:left="1440" w:header="708" w:footer="708" w:gutter="0"/>
          <w:cols w:space="708"/>
          <w:docGrid w:linePitch="360"/>
        </w:sectPr>
      </w:pPr>
    </w:p>
    <w:p w14:paraId="7F1F0412" w14:textId="77777777" w:rsidR="00B07B0D" w:rsidRDefault="00B07B0D" w:rsidP="00B07B0D">
      <w:pPr>
        <w:pStyle w:val="ListParagraph"/>
        <w:spacing w:line="240" w:lineRule="auto"/>
        <w:rPr>
          <w:rFonts w:ascii="Arial" w:eastAsia="Times New Roman" w:hAnsi="Arial" w:cs="Arial"/>
          <w:b/>
          <w:bCs/>
          <w:kern w:val="28"/>
        </w:rPr>
      </w:pPr>
    </w:p>
    <w:p w14:paraId="63EC22FE" w14:textId="77777777" w:rsidR="00063E3C" w:rsidRDefault="00063E3C" w:rsidP="00B07B0D">
      <w:pPr>
        <w:pStyle w:val="ListParagraph"/>
        <w:numPr>
          <w:ilvl w:val="2"/>
          <w:numId w:val="1"/>
        </w:numPr>
        <w:spacing w:line="240" w:lineRule="auto"/>
        <w:ind w:left="720"/>
        <w:rPr>
          <w:rFonts w:ascii="Arial" w:eastAsia="Times New Roman" w:hAnsi="Arial" w:cs="Arial"/>
          <w:b/>
          <w:bCs/>
          <w:kern w:val="28"/>
          <w:sz w:val="20"/>
          <w:szCs w:val="20"/>
          <w:u w:val="single"/>
        </w:rPr>
        <w:sectPr w:rsidR="00063E3C" w:rsidSect="00DE4889">
          <w:type w:val="continuous"/>
          <w:pgSz w:w="11906" w:h="16838"/>
          <w:pgMar w:top="1440" w:right="1440" w:bottom="1440" w:left="1440" w:header="708" w:footer="708" w:gutter="0"/>
          <w:cols w:space="708"/>
          <w:docGrid w:linePitch="360"/>
        </w:sectPr>
      </w:pPr>
    </w:p>
    <w:p w14:paraId="75075F3C" w14:textId="77777777" w:rsidR="00B07B0D" w:rsidRPr="00FE5E94" w:rsidRDefault="00B07B0D" w:rsidP="00B07B0D">
      <w:pPr>
        <w:pStyle w:val="ListParagraph"/>
        <w:numPr>
          <w:ilvl w:val="2"/>
          <w:numId w:val="1"/>
        </w:numPr>
        <w:spacing w:line="240" w:lineRule="auto"/>
        <w:ind w:left="720"/>
        <w:rPr>
          <w:rFonts w:ascii="Arial" w:eastAsia="Times New Roman" w:hAnsi="Arial" w:cs="Arial"/>
          <w:b/>
          <w:bCs/>
          <w:kern w:val="28"/>
          <w:sz w:val="20"/>
          <w:szCs w:val="20"/>
        </w:rPr>
      </w:pPr>
      <w:r w:rsidRPr="00FE5E94">
        <w:rPr>
          <w:rFonts w:ascii="Arial" w:eastAsia="Times New Roman" w:hAnsi="Arial" w:cs="Arial"/>
          <w:b/>
          <w:bCs/>
          <w:kern w:val="28"/>
          <w:sz w:val="20"/>
          <w:szCs w:val="20"/>
        </w:rPr>
        <w:t>Thin Layer Chromatography</w:t>
      </w:r>
    </w:p>
    <w:p w14:paraId="36DD6F64" w14:textId="77777777" w:rsidR="00045356" w:rsidRDefault="00045356" w:rsidP="00045356">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Thin Layer Chromatography (TLC) was employed to detect and quantify histamine content in bacterial extracts following a modified method adapted from Stahl (1969</w:t>
      </w:r>
      <w:proofErr w:type="gramStart"/>
      <w:r w:rsidRPr="00045356">
        <w:rPr>
          <w:rFonts w:ascii="Arial" w:eastAsia="Times New Roman" w:hAnsi="Arial" w:cs="Arial"/>
          <w:kern w:val="28"/>
          <w:sz w:val="20"/>
          <w:szCs w:val="20"/>
        </w:rPr>
        <w:t>).A</w:t>
      </w:r>
      <w:proofErr w:type="gramEnd"/>
      <w:r w:rsidRPr="00045356">
        <w:rPr>
          <w:rFonts w:ascii="Arial" w:eastAsia="Times New Roman" w:hAnsi="Arial" w:cs="Arial"/>
          <w:kern w:val="28"/>
          <w:sz w:val="20"/>
          <w:szCs w:val="20"/>
        </w:rPr>
        <w:t xml:space="preserve"> solvent system was prepared by combining 9 mL of acetone with 5 mL of 20% ammonium hydroxide in a clean beaker. The mixture was stirred thoroughly to ensure homogeneity. TLC plates were marked with baseline points for sample application.</w:t>
      </w:r>
      <w:r w:rsidR="00FE5E94">
        <w:rPr>
          <w:rFonts w:ascii="Arial" w:eastAsia="Times New Roman" w:hAnsi="Arial" w:cs="Arial"/>
          <w:kern w:val="28"/>
          <w:sz w:val="20"/>
          <w:szCs w:val="20"/>
        </w:rPr>
        <w:t xml:space="preserve"> </w:t>
      </w:r>
      <w:r w:rsidRPr="00045356">
        <w:rPr>
          <w:rFonts w:ascii="Arial" w:eastAsia="Times New Roman" w:hAnsi="Arial" w:cs="Arial"/>
          <w:kern w:val="28"/>
          <w:sz w:val="20"/>
          <w:szCs w:val="20"/>
        </w:rPr>
        <w:t>The extracted bacterial supernatant was carefully spotted onto the marked TLC plate 30 times using a micropipette to ensure consistent sample application. After drying, the TLC plate was placed in a developing chamber saturated with the prepared solvent system. Once the solvent front had travelled an appropriate distance, the plate was removed and allowed to air dry.</w:t>
      </w:r>
      <w:r w:rsidR="00FE5E94">
        <w:rPr>
          <w:rFonts w:ascii="Arial" w:eastAsia="Times New Roman" w:hAnsi="Arial" w:cs="Arial"/>
          <w:kern w:val="28"/>
          <w:sz w:val="20"/>
          <w:szCs w:val="20"/>
        </w:rPr>
        <w:t xml:space="preserve"> </w:t>
      </w:r>
      <w:r w:rsidRPr="00045356">
        <w:rPr>
          <w:rFonts w:ascii="Arial" w:eastAsia="Times New Roman" w:hAnsi="Arial" w:cs="Arial"/>
          <w:kern w:val="28"/>
          <w:sz w:val="20"/>
          <w:szCs w:val="20"/>
        </w:rPr>
        <w:t>To visualize the separated compounds, the dried TLC plate was sprayed with ninhydrin solution, a reagent that reacts with amines such as histamine. Distinct purple bands were observed, and the R</w:t>
      </w:r>
      <w:r w:rsidRPr="00FE5E94">
        <w:rPr>
          <w:rFonts w:ascii="Arial" w:eastAsia="Times New Roman" w:hAnsi="Arial" w:cs="Arial"/>
          <w:kern w:val="28"/>
          <w:sz w:val="20"/>
          <w:szCs w:val="20"/>
          <w:vertAlign w:val="subscript"/>
        </w:rPr>
        <w:t>f</w:t>
      </w:r>
      <w:r w:rsidRPr="00045356">
        <w:rPr>
          <w:rFonts w:ascii="Arial" w:eastAsia="Times New Roman" w:hAnsi="Arial" w:cs="Arial"/>
          <w:kern w:val="28"/>
          <w:sz w:val="20"/>
          <w:szCs w:val="20"/>
        </w:rPr>
        <w:t xml:space="preserve"> (Retention factor) values were calculated</w:t>
      </w:r>
      <w:r>
        <w:rPr>
          <w:rFonts w:ascii="Arial" w:eastAsia="Times New Roman" w:hAnsi="Arial" w:cs="Arial"/>
          <w:kern w:val="28"/>
          <w:sz w:val="20"/>
          <w:szCs w:val="20"/>
        </w:rPr>
        <w:t>.</w:t>
      </w:r>
    </w:p>
    <w:p w14:paraId="68072D10" w14:textId="77777777" w:rsidR="00045356" w:rsidRPr="00FE5E94" w:rsidRDefault="00045356" w:rsidP="00045356">
      <w:pPr>
        <w:pStyle w:val="ListParagraph"/>
        <w:numPr>
          <w:ilvl w:val="2"/>
          <w:numId w:val="1"/>
        </w:numPr>
        <w:spacing w:line="240" w:lineRule="auto"/>
        <w:ind w:left="720"/>
        <w:jc w:val="both"/>
        <w:rPr>
          <w:rFonts w:ascii="Arial" w:eastAsia="Times New Roman" w:hAnsi="Arial" w:cs="Arial"/>
          <w:b/>
          <w:bCs/>
          <w:kern w:val="28"/>
          <w:sz w:val="20"/>
          <w:szCs w:val="20"/>
        </w:rPr>
      </w:pPr>
      <w:r w:rsidRPr="00FE5E94">
        <w:rPr>
          <w:rFonts w:ascii="Arial" w:eastAsia="Times New Roman" w:hAnsi="Arial" w:cs="Arial"/>
          <w:b/>
          <w:bCs/>
          <w:kern w:val="28"/>
          <w:sz w:val="20"/>
          <w:szCs w:val="20"/>
        </w:rPr>
        <w:t>UV-Visible Spectrophotometric Analysis</w:t>
      </w:r>
    </w:p>
    <w:p w14:paraId="7658A191" w14:textId="77777777" w:rsidR="00045356" w:rsidRDefault="00045356" w:rsidP="00045356">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 xml:space="preserve">The UV-Visible spectrophotometric method was employed to assess the presence and concentration of histamine in bacterial extracts, following the method described by </w:t>
      </w:r>
      <w:proofErr w:type="spellStart"/>
      <w:r w:rsidR="00E75A3B">
        <w:rPr>
          <w:rFonts w:ascii="Arial" w:hAnsi="Arial" w:cs="Arial"/>
          <w:color w:val="222222"/>
          <w:sz w:val="20"/>
          <w:szCs w:val="20"/>
          <w:shd w:val="clear" w:color="auto" w:fill="FFFFFF"/>
        </w:rPr>
        <w:t>Moniente</w:t>
      </w:r>
      <w:proofErr w:type="spellEnd"/>
      <w:r w:rsidR="00FE5E94">
        <w:rPr>
          <w:rFonts w:ascii="Arial" w:hAnsi="Arial" w:cs="Arial"/>
          <w:color w:val="222222"/>
          <w:sz w:val="20"/>
          <w:szCs w:val="20"/>
          <w:shd w:val="clear" w:color="auto" w:fill="FFFFFF"/>
        </w:rPr>
        <w:t xml:space="preserve"> </w:t>
      </w:r>
      <w:r w:rsidRPr="00045356">
        <w:rPr>
          <w:rFonts w:ascii="Arial" w:eastAsia="Times New Roman" w:hAnsi="Arial" w:cs="Arial"/>
          <w:i/>
          <w:iCs/>
          <w:kern w:val="28"/>
          <w:sz w:val="20"/>
          <w:szCs w:val="20"/>
        </w:rPr>
        <w:t>et al</w:t>
      </w:r>
      <w:r w:rsidR="00E75A3B">
        <w:rPr>
          <w:rFonts w:ascii="Arial" w:eastAsia="Times New Roman" w:hAnsi="Arial" w:cs="Arial"/>
          <w:kern w:val="28"/>
          <w:sz w:val="20"/>
          <w:szCs w:val="20"/>
        </w:rPr>
        <w:t>. (202</w:t>
      </w:r>
      <w:r w:rsidRPr="00045356">
        <w:rPr>
          <w:rFonts w:ascii="Arial" w:eastAsia="Times New Roman" w:hAnsi="Arial" w:cs="Arial"/>
          <w:kern w:val="28"/>
          <w:sz w:val="20"/>
          <w:szCs w:val="20"/>
        </w:rPr>
        <w:t>2</w:t>
      </w:r>
      <w:proofErr w:type="gramStart"/>
      <w:r w:rsidRPr="00045356">
        <w:rPr>
          <w:rFonts w:ascii="Arial" w:eastAsia="Times New Roman" w:hAnsi="Arial" w:cs="Arial"/>
          <w:kern w:val="28"/>
          <w:sz w:val="20"/>
          <w:szCs w:val="20"/>
        </w:rPr>
        <w:t>).The</w:t>
      </w:r>
      <w:proofErr w:type="gramEnd"/>
      <w:r w:rsidRPr="00045356">
        <w:rPr>
          <w:rFonts w:ascii="Arial" w:eastAsia="Times New Roman" w:hAnsi="Arial" w:cs="Arial"/>
          <w:kern w:val="28"/>
          <w:sz w:val="20"/>
          <w:szCs w:val="20"/>
        </w:rPr>
        <w:t xml:space="preserve"> analysis was performed using a </w:t>
      </w:r>
      <w:proofErr w:type="spellStart"/>
      <w:r w:rsidRPr="00045356">
        <w:rPr>
          <w:rFonts w:ascii="Arial" w:eastAsia="Times New Roman" w:hAnsi="Arial" w:cs="Arial"/>
          <w:kern w:val="28"/>
          <w:sz w:val="20"/>
          <w:szCs w:val="20"/>
        </w:rPr>
        <w:t>Labtronic</w:t>
      </w:r>
      <w:r>
        <w:rPr>
          <w:rFonts w:ascii="Arial" w:eastAsia="Times New Roman" w:hAnsi="Arial" w:cs="Arial"/>
          <w:kern w:val="28"/>
          <w:sz w:val="20"/>
          <w:szCs w:val="20"/>
        </w:rPr>
        <w:t>s</w:t>
      </w:r>
      <w:proofErr w:type="spellEnd"/>
      <w:r w:rsidRPr="00045356">
        <w:rPr>
          <w:rFonts w:ascii="Arial" w:eastAsia="Times New Roman" w:hAnsi="Arial" w:cs="Arial"/>
          <w:kern w:val="28"/>
          <w:sz w:val="20"/>
          <w:szCs w:val="20"/>
        </w:rPr>
        <w:t xml:space="preserve"> LT 29</w:t>
      </w:r>
      <w:r>
        <w:rPr>
          <w:rFonts w:ascii="Arial" w:eastAsia="Times New Roman" w:hAnsi="Arial" w:cs="Arial"/>
          <w:kern w:val="28"/>
          <w:sz w:val="20"/>
          <w:szCs w:val="20"/>
        </w:rPr>
        <w:t xml:space="preserve">1 UV-Visible Spectrophotometer </w:t>
      </w:r>
      <w:r w:rsidRPr="00045356">
        <w:rPr>
          <w:rFonts w:ascii="Arial" w:eastAsia="Times New Roman" w:hAnsi="Arial" w:cs="Arial"/>
          <w:kern w:val="28"/>
          <w:sz w:val="20"/>
          <w:szCs w:val="20"/>
        </w:rPr>
        <w:t>The sample was scanned within the wavelength range of 200–400 nm to detect characteristic peaks corresponding to histamine absorption. The resulting spectrum was analysed to identify the peak wavelength and corresponding absorbance value, which confirmed the presence of histamine in the sample.</w:t>
      </w:r>
    </w:p>
    <w:p w14:paraId="413B20F3" w14:textId="77777777" w:rsidR="00045356" w:rsidRPr="00FE5E94" w:rsidRDefault="00045356" w:rsidP="00045356">
      <w:pPr>
        <w:pStyle w:val="ListParagraph"/>
        <w:numPr>
          <w:ilvl w:val="2"/>
          <w:numId w:val="1"/>
        </w:numPr>
        <w:spacing w:line="240" w:lineRule="auto"/>
        <w:ind w:left="720"/>
        <w:jc w:val="both"/>
        <w:rPr>
          <w:rFonts w:ascii="Arial" w:eastAsia="Times New Roman" w:hAnsi="Arial" w:cs="Arial"/>
          <w:b/>
          <w:bCs/>
          <w:kern w:val="28"/>
          <w:sz w:val="20"/>
          <w:szCs w:val="20"/>
        </w:rPr>
      </w:pPr>
      <w:r w:rsidRPr="00FE5E94">
        <w:rPr>
          <w:rFonts w:ascii="Arial" w:eastAsia="Times New Roman" w:hAnsi="Arial" w:cs="Arial"/>
          <w:b/>
          <w:bCs/>
          <w:kern w:val="28"/>
          <w:sz w:val="20"/>
          <w:szCs w:val="20"/>
        </w:rPr>
        <w:t>FTIR</w:t>
      </w:r>
    </w:p>
    <w:p w14:paraId="146BEC10" w14:textId="77777777" w:rsidR="00B07B0D" w:rsidRPr="00B07B0D" w:rsidRDefault="00045356" w:rsidP="00045356">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The Fourier Transform Infrared (FTIR) analysis of the histamine supernatant was performed using the KBr pellet method on a Shimadzu FTIR spectrophotometer, following the p</w:t>
      </w:r>
      <w:r w:rsidR="00E75A3B">
        <w:rPr>
          <w:rFonts w:ascii="Arial" w:eastAsia="Times New Roman" w:hAnsi="Arial" w:cs="Arial"/>
          <w:kern w:val="28"/>
          <w:sz w:val="20"/>
          <w:szCs w:val="20"/>
        </w:rPr>
        <w:t>rocedure outlined by Smith (2018</w:t>
      </w:r>
      <w:r w:rsidRPr="00045356">
        <w:rPr>
          <w:rFonts w:ascii="Arial" w:eastAsia="Times New Roman" w:hAnsi="Arial" w:cs="Arial"/>
          <w:kern w:val="28"/>
          <w:sz w:val="20"/>
          <w:szCs w:val="20"/>
        </w:rPr>
        <w:t xml:space="preserve">). To prepare the sample, the bacterial supernatant extract was first centrifuged at 5,000 rpm for 10 minutes to obtain a clear solution. The resulting supernatant was then subjected to </w:t>
      </w:r>
      <w:r w:rsidR="00E75A3B" w:rsidRPr="00045356">
        <w:rPr>
          <w:rFonts w:ascii="Arial" w:eastAsia="Times New Roman" w:hAnsi="Arial" w:cs="Arial"/>
          <w:kern w:val="28"/>
          <w:sz w:val="20"/>
          <w:szCs w:val="20"/>
        </w:rPr>
        <w:t>lyophilisation</w:t>
      </w:r>
      <w:r w:rsidRPr="00045356">
        <w:rPr>
          <w:rFonts w:ascii="Arial" w:eastAsia="Times New Roman" w:hAnsi="Arial" w:cs="Arial"/>
          <w:kern w:val="28"/>
          <w:sz w:val="20"/>
          <w:szCs w:val="20"/>
        </w:rPr>
        <w:t>, yielding a dry powdered sample. For KBr pellet preparation, approximately 1 mg of the dried histamine sample was carefully mixed with 100 mg of spectroscopic-grade potassium bromide (KBr) powder using a mortar and pestle to ensure uniform blending. The mixture was then compressed into a transparent pellet using a hydraulic press at a pressure of 10,000 psi.</w:t>
      </w:r>
      <w:r w:rsidR="00FE5E94">
        <w:rPr>
          <w:rFonts w:ascii="Arial" w:eastAsia="Times New Roman" w:hAnsi="Arial" w:cs="Arial"/>
          <w:kern w:val="28"/>
          <w:sz w:val="20"/>
          <w:szCs w:val="20"/>
        </w:rPr>
        <w:t xml:space="preserve"> </w:t>
      </w:r>
      <w:r w:rsidRPr="00045356">
        <w:rPr>
          <w:rFonts w:ascii="Arial" w:eastAsia="Times New Roman" w:hAnsi="Arial" w:cs="Arial"/>
          <w:kern w:val="28"/>
          <w:sz w:val="20"/>
          <w:szCs w:val="20"/>
        </w:rPr>
        <w:t xml:space="preserve">Following pellet formation, the sample was </w:t>
      </w:r>
      <w:r w:rsidR="00E75A3B" w:rsidRPr="00045356">
        <w:rPr>
          <w:rFonts w:ascii="Arial" w:eastAsia="Times New Roman" w:hAnsi="Arial" w:cs="Arial"/>
          <w:kern w:val="28"/>
          <w:sz w:val="20"/>
          <w:szCs w:val="20"/>
        </w:rPr>
        <w:t>analysed</w:t>
      </w:r>
      <w:r w:rsidRPr="00045356">
        <w:rPr>
          <w:rFonts w:ascii="Arial" w:eastAsia="Times New Roman" w:hAnsi="Arial" w:cs="Arial"/>
          <w:kern w:val="28"/>
          <w:sz w:val="20"/>
          <w:szCs w:val="20"/>
        </w:rPr>
        <w:t xml:space="preserve"> using the Shimadzu FTIR spectrophotometer. The spectral scan was conducted in the wave</w:t>
      </w:r>
      <w:r w:rsidR="00FE5E94">
        <w:rPr>
          <w:rFonts w:ascii="Arial" w:eastAsia="Times New Roman" w:hAnsi="Arial" w:cs="Arial"/>
          <w:kern w:val="28"/>
          <w:sz w:val="20"/>
          <w:szCs w:val="20"/>
        </w:rPr>
        <w:t xml:space="preserve"> length</w:t>
      </w:r>
      <w:r w:rsidRPr="00045356">
        <w:rPr>
          <w:rFonts w:ascii="Arial" w:eastAsia="Times New Roman" w:hAnsi="Arial" w:cs="Arial"/>
          <w:kern w:val="28"/>
          <w:sz w:val="20"/>
          <w:szCs w:val="20"/>
        </w:rPr>
        <w:t xml:space="preserve"> range of 4000–400 cm</w:t>
      </w:r>
      <w:r w:rsidRPr="00045356">
        <w:rPr>
          <w:rFonts w:ascii="Cambria Math" w:eastAsia="Times New Roman" w:hAnsi="Cambria Math" w:cs="Cambria Math"/>
          <w:kern w:val="28"/>
          <w:sz w:val="20"/>
          <w:szCs w:val="20"/>
        </w:rPr>
        <w:t>⁻</w:t>
      </w:r>
      <w:r w:rsidRPr="00045356">
        <w:rPr>
          <w:rFonts w:ascii="Arial" w:eastAsia="Times New Roman" w:hAnsi="Arial" w:cs="Arial"/>
          <w:kern w:val="28"/>
          <w:sz w:val="20"/>
          <w:szCs w:val="20"/>
        </w:rPr>
        <w:t>¹, targeting the identification of functional groups characteristic of histamine.</w:t>
      </w:r>
    </w:p>
    <w:p w14:paraId="0B4BD6DE" w14:textId="77777777" w:rsidR="009D69DF" w:rsidRDefault="009D69DF" w:rsidP="00B07B0D">
      <w:pPr>
        <w:pStyle w:val="ListParagraph"/>
        <w:numPr>
          <w:ilvl w:val="1"/>
          <w:numId w:val="1"/>
        </w:numPr>
        <w:spacing w:line="240" w:lineRule="auto"/>
        <w:ind w:left="720"/>
        <w:jc w:val="both"/>
        <w:rPr>
          <w:rFonts w:ascii="Arial" w:eastAsia="Times New Roman" w:hAnsi="Arial" w:cs="Arial"/>
          <w:b/>
          <w:bCs/>
          <w:kern w:val="28"/>
        </w:rPr>
        <w:sectPr w:rsidR="009D69DF" w:rsidSect="00DE4889">
          <w:type w:val="continuous"/>
          <w:pgSz w:w="11906" w:h="16838"/>
          <w:pgMar w:top="1440" w:right="1440" w:bottom="1440" w:left="1440" w:header="708" w:footer="708" w:gutter="0"/>
          <w:cols w:space="708"/>
          <w:docGrid w:linePitch="360"/>
        </w:sectPr>
      </w:pPr>
    </w:p>
    <w:p w14:paraId="777EA6D6" w14:textId="77777777" w:rsidR="00B07B0D" w:rsidRPr="00B07B0D" w:rsidRDefault="00B07B0D" w:rsidP="00B07B0D">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Quantitative e</w:t>
      </w:r>
      <w:r w:rsidRPr="00B07B0D">
        <w:rPr>
          <w:rFonts w:ascii="Arial" w:eastAsia="Times New Roman" w:hAnsi="Arial" w:cs="Arial"/>
          <w:b/>
          <w:bCs/>
          <w:kern w:val="28"/>
        </w:rPr>
        <w:t xml:space="preserve">stimation of </w:t>
      </w:r>
      <w:r>
        <w:rPr>
          <w:rFonts w:ascii="Arial" w:eastAsia="Times New Roman" w:hAnsi="Arial" w:cs="Arial"/>
          <w:b/>
          <w:bCs/>
          <w:kern w:val="28"/>
        </w:rPr>
        <w:t>Histamine by colorimetric method</w:t>
      </w:r>
    </w:p>
    <w:p w14:paraId="50D355AE" w14:textId="77777777" w:rsidR="00B07B0D" w:rsidRDefault="00B07B0D" w:rsidP="00B07B0D">
      <w:pPr>
        <w:spacing w:line="240" w:lineRule="auto"/>
        <w:jc w:val="both"/>
        <w:rPr>
          <w:rFonts w:ascii="Arial" w:eastAsia="Times New Roman" w:hAnsi="Arial" w:cs="Arial"/>
          <w:kern w:val="28"/>
          <w:sz w:val="20"/>
          <w:szCs w:val="20"/>
        </w:rPr>
      </w:pPr>
      <w:r w:rsidRPr="00B07B0D">
        <w:rPr>
          <w:rFonts w:ascii="Arial" w:eastAsia="Times New Roman" w:hAnsi="Arial" w:cs="Arial"/>
          <w:kern w:val="28"/>
          <w:sz w:val="20"/>
          <w:szCs w:val="20"/>
        </w:rPr>
        <w:t>The estimation of histidine was conducted using a modified method adapted from standard protocols for amino acid quantification (</w:t>
      </w:r>
      <w:r w:rsidR="00300F4E">
        <w:rPr>
          <w:rFonts w:ascii="Arial" w:hAnsi="Arial" w:cs="Arial"/>
          <w:color w:val="222222"/>
          <w:sz w:val="20"/>
          <w:szCs w:val="20"/>
          <w:shd w:val="clear" w:color="auto" w:fill="FFFFFF"/>
        </w:rPr>
        <w:t>Eggerth</w:t>
      </w:r>
      <w:r w:rsidR="000C5D17">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1933</w:t>
      </w:r>
      <w:proofErr w:type="gramStart"/>
      <w:r w:rsidRPr="00B07B0D">
        <w:rPr>
          <w:rFonts w:ascii="Arial" w:eastAsia="Times New Roman" w:hAnsi="Arial" w:cs="Arial"/>
          <w:kern w:val="28"/>
          <w:sz w:val="20"/>
          <w:szCs w:val="20"/>
        </w:rPr>
        <w:t>).A</w:t>
      </w:r>
      <w:proofErr w:type="gramEnd"/>
      <w:r w:rsidRPr="00B07B0D">
        <w:rPr>
          <w:rFonts w:ascii="Arial" w:eastAsia="Times New Roman" w:hAnsi="Arial" w:cs="Arial"/>
          <w:kern w:val="28"/>
          <w:sz w:val="20"/>
          <w:szCs w:val="20"/>
        </w:rPr>
        <w:t xml:space="preserve"> specialized broth was prepared by dissolving 0.25 g of tryptone, 0.25 g of yeast extract, 0.25 g of sodium chloride (NaCl), 0.05 g of calcium carbonate (</w:t>
      </w:r>
      <w:proofErr w:type="spellStart"/>
      <w:r w:rsidRPr="00B07B0D">
        <w:rPr>
          <w:rFonts w:ascii="Arial" w:eastAsia="Times New Roman" w:hAnsi="Arial" w:cs="Arial"/>
          <w:kern w:val="28"/>
          <w:sz w:val="20"/>
          <w:szCs w:val="20"/>
        </w:rPr>
        <w:t>CaCO</w:t>
      </w:r>
      <w:proofErr w:type="spellEnd"/>
      <w:r w:rsidRPr="00B07B0D">
        <w:rPr>
          <w:rFonts w:ascii="Cambria Math" w:eastAsia="Times New Roman" w:hAnsi="Cambria Math" w:cs="Cambria Math"/>
          <w:kern w:val="28"/>
          <w:sz w:val="20"/>
          <w:szCs w:val="20"/>
        </w:rPr>
        <w:t>₃</w:t>
      </w:r>
      <w:r w:rsidRPr="00B07B0D">
        <w:rPr>
          <w:rFonts w:ascii="Arial" w:eastAsia="Times New Roman" w:hAnsi="Arial" w:cs="Arial"/>
          <w:kern w:val="28"/>
          <w:sz w:val="20"/>
          <w:szCs w:val="20"/>
        </w:rPr>
        <w:t>), and 1.35 g of histidine in 50 mL of distilled water. The broth was thoroughly mixed and sterilized before further application.</w:t>
      </w:r>
      <w:r w:rsidR="000C5D17">
        <w:rPr>
          <w:rFonts w:ascii="Arial" w:eastAsia="Times New Roman" w:hAnsi="Arial" w:cs="Arial"/>
          <w:kern w:val="28"/>
          <w:sz w:val="20"/>
          <w:szCs w:val="20"/>
        </w:rPr>
        <w:t xml:space="preserve"> </w:t>
      </w:r>
      <w:r w:rsidRPr="00B07B0D">
        <w:rPr>
          <w:rFonts w:ascii="Arial" w:eastAsia="Times New Roman" w:hAnsi="Arial" w:cs="Arial"/>
          <w:kern w:val="28"/>
          <w:sz w:val="20"/>
          <w:szCs w:val="20"/>
        </w:rPr>
        <w:t>To determine histidine concentration, 5 mL of culture filtrate was collected and centrifuged at 5,000 rpm for 5 minutes to obtain a clear supernatant. From this supernatant, 1.0 mL was mixed with phosphate-buffered saline (PBS), followed by the addition of 0.5 mL of hydrogen peroxide (H</w:t>
      </w:r>
      <w:r w:rsidRPr="00B07B0D">
        <w:rPr>
          <w:rFonts w:ascii="Cambria Math" w:eastAsia="Times New Roman" w:hAnsi="Cambria Math" w:cs="Cambria Math"/>
          <w:kern w:val="28"/>
          <w:sz w:val="20"/>
          <w:szCs w:val="20"/>
        </w:rPr>
        <w:t>₂</w:t>
      </w:r>
      <w:r w:rsidRPr="00B07B0D">
        <w:rPr>
          <w:rFonts w:ascii="Arial" w:eastAsia="Times New Roman" w:hAnsi="Arial" w:cs="Arial"/>
          <w:kern w:val="28"/>
          <w:sz w:val="20"/>
          <w:szCs w:val="20"/>
        </w:rPr>
        <w:t>O</w:t>
      </w:r>
      <w:r w:rsidRPr="00B07B0D">
        <w:rPr>
          <w:rFonts w:ascii="Cambria Math" w:eastAsia="Times New Roman" w:hAnsi="Cambria Math" w:cs="Cambria Math"/>
          <w:kern w:val="28"/>
          <w:sz w:val="20"/>
          <w:szCs w:val="20"/>
        </w:rPr>
        <w:t>₂</w:t>
      </w:r>
      <w:r w:rsidRPr="00B07B0D">
        <w:rPr>
          <w:rFonts w:ascii="Arial" w:eastAsia="Times New Roman" w:hAnsi="Arial" w:cs="Arial"/>
          <w:kern w:val="28"/>
          <w:sz w:val="20"/>
          <w:szCs w:val="20"/>
        </w:rPr>
        <w:t xml:space="preserve">) and 0.1 mL of crystal violet reagent. The mixture was incubated at </w:t>
      </w:r>
      <w:r w:rsidRPr="00B07B0D">
        <w:rPr>
          <w:rFonts w:ascii="Arial" w:eastAsia="Times New Roman" w:hAnsi="Arial" w:cs="Arial"/>
          <w:kern w:val="28"/>
          <w:sz w:val="20"/>
          <w:szCs w:val="20"/>
        </w:rPr>
        <w:lastRenderedPageBreak/>
        <w:t xml:space="preserve">37°C for 15 to 30 minutes to allow the </w:t>
      </w:r>
      <w:proofErr w:type="spellStart"/>
      <w:r w:rsidRPr="00B07B0D">
        <w:rPr>
          <w:rFonts w:ascii="Arial" w:eastAsia="Times New Roman" w:hAnsi="Arial" w:cs="Arial"/>
          <w:kern w:val="28"/>
          <w:sz w:val="20"/>
          <w:szCs w:val="20"/>
        </w:rPr>
        <w:t>color</w:t>
      </w:r>
      <w:proofErr w:type="spellEnd"/>
      <w:r w:rsidRPr="00B07B0D">
        <w:rPr>
          <w:rFonts w:ascii="Arial" w:eastAsia="Times New Roman" w:hAnsi="Arial" w:cs="Arial"/>
          <w:kern w:val="28"/>
          <w:sz w:val="20"/>
          <w:szCs w:val="20"/>
        </w:rPr>
        <w:t xml:space="preserve"> reaction to develop.</w:t>
      </w:r>
      <w:r w:rsidR="00DE4889">
        <w:rPr>
          <w:rFonts w:ascii="Arial" w:eastAsia="Times New Roman" w:hAnsi="Arial" w:cs="Arial"/>
          <w:kern w:val="28"/>
          <w:sz w:val="20"/>
          <w:szCs w:val="20"/>
        </w:rPr>
        <w:t xml:space="preserve"> </w:t>
      </w:r>
      <w:r w:rsidRPr="00B07B0D">
        <w:rPr>
          <w:rFonts w:ascii="Arial" w:eastAsia="Times New Roman" w:hAnsi="Arial" w:cs="Arial"/>
          <w:kern w:val="28"/>
          <w:sz w:val="20"/>
          <w:szCs w:val="20"/>
        </w:rPr>
        <w:t>The optical density (O.D.) of the resulting solution was measured at 596 nm using a UV-Visible spectrophotometer.</w:t>
      </w:r>
    </w:p>
    <w:p w14:paraId="568ACA74" w14:textId="77777777" w:rsidR="00946A3F" w:rsidRDefault="00946A3F" w:rsidP="00946A3F">
      <w:pPr>
        <w:pStyle w:val="ListParagraph"/>
        <w:numPr>
          <w:ilvl w:val="1"/>
          <w:numId w:val="1"/>
        </w:numPr>
        <w:spacing w:line="240" w:lineRule="auto"/>
        <w:jc w:val="both"/>
        <w:rPr>
          <w:rFonts w:ascii="Arial" w:eastAsia="Times New Roman" w:hAnsi="Arial" w:cs="Arial"/>
          <w:b/>
          <w:bCs/>
          <w:kern w:val="28"/>
        </w:rPr>
      </w:pPr>
      <w:r>
        <w:rPr>
          <w:rFonts w:ascii="Arial" w:eastAsia="Times New Roman" w:hAnsi="Arial" w:cs="Arial"/>
          <w:b/>
          <w:bCs/>
          <w:kern w:val="28"/>
        </w:rPr>
        <w:t>HPLC Analysis o</w:t>
      </w:r>
      <w:r w:rsidR="00300F4E">
        <w:rPr>
          <w:rFonts w:ascii="Arial" w:eastAsia="Times New Roman" w:hAnsi="Arial" w:cs="Arial"/>
          <w:b/>
          <w:bCs/>
          <w:kern w:val="28"/>
        </w:rPr>
        <w:t>f</w:t>
      </w:r>
      <w:r>
        <w:rPr>
          <w:rFonts w:ascii="Arial" w:eastAsia="Times New Roman" w:hAnsi="Arial" w:cs="Arial"/>
          <w:b/>
          <w:bCs/>
          <w:kern w:val="28"/>
        </w:rPr>
        <w:t xml:space="preserve"> Histamine</w:t>
      </w:r>
    </w:p>
    <w:p w14:paraId="2585A09B" w14:textId="77777777" w:rsidR="00946A3F" w:rsidRDefault="00946A3F" w:rsidP="00946A3F">
      <w:pPr>
        <w:spacing w:line="240" w:lineRule="auto"/>
        <w:jc w:val="both"/>
        <w:rPr>
          <w:rFonts w:ascii="Arial" w:eastAsia="Times New Roman" w:hAnsi="Arial" w:cs="Arial"/>
          <w:kern w:val="28"/>
          <w:sz w:val="20"/>
          <w:szCs w:val="20"/>
        </w:rPr>
      </w:pPr>
      <w:r w:rsidRPr="00946A3F">
        <w:rPr>
          <w:rFonts w:ascii="Arial" w:eastAsia="Times New Roman" w:hAnsi="Arial" w:cs="Arial"/>
          <w:kern w:val="28"/>
          <w:sz w:val="20"/>
          <w:szCs w:val="20"/>
        </w:rPr>
        <w:t xml:space="preserve">The High-Performance Liquid Chromatography (HPLC) analysis of histamine was conducted following the method described by </w:t>
      </w:r>
      <w:proofErr w:type="spellStart"/>
      <w:r w:rsidR="00300F4E">
        <w:rPr>
          <w:rFonts w:ascii="Arial" w:hAnsi="Arial" w:cs="Arial"/>
          <w:color w:val="222222"/>
          <w:sz w:val="20"/>
          <w:szCs w:val="20"/>
          <w:shd w:val="clear" w:color="auto" w:fill="FFFFFF"/>
        </w:rPr>
        <w:t>Jinadasa</w:t>
      </w:r>
      <w:proofErr w:type="spellEnd"/>
      <w:r w:rsidR="00DE4889">
        <w:rPr>
          <w:rFonts w:ascii="Arial" w:hAnsi="Arial" w:cs="Arial"/>
          <w:color w:val="222222"/>
          <w:sz w:val="20"/>
          <w:szCs w:val="20"/>
          <w:shd w:val="clear" w:color="auto" w:fill="FFFFFF"/>
        </w:rPr>
        <w:t xml:space="preserve"> </w:t>
      </w:r>
      <w:r w:rsidRPr="00946A3F">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(2016</w:t>
      </w:r>
      <w:r w:rsidRPr="00946A3F">
        <w:rPr>
          <w:rFonts w:ascii="Arial" w:eastAsia="Times New Roman" w:hAnsi="Arial" w:cs="Arial"/>
          <w:kern w:val="28"/>
          <w:sz w:val="20"/>
          <w:szCs w:val="20"/>
        </w:rPr>
        <w:t>) with slight modifications. The bacterial culture supernatant was first centrifuged at 5,000 rpm for 10 minutes to obtain a clear supernatant. Subsequently, 500 µL of the collected supernatant was mixed with an equal volume (500 µL) of dichloromethane to facilitate the extraction of histamine. The mixture was thoroughly vortexed for 2 minutes to ensure proper phase separation. The resulting solution was carefully transferred to a clean vial and subjected to HPLC analysis.</w:t>
      </w:r>
      <w:r w:rsidR="00DE4889">
        <w:rPr>
          <w:rFonts w:ascii="Arial" w:eastAsia="Times New Roman" w:hAnsi="Arial" w:cs="Arial"/>
          <w:kern w:val="28"/>
          <w:sz w:val="20"/>
          <w:szCs w:val="20"/>
        </w:rPr>
        <w:t xml:space="preserve"> </w:t>
      </w:r>
      <w:r w:rsidRPr="00946A3F">
        <w:rPr>
          <w:rFonts w:ascii="Arial" w:eastAsia="Times New Roman" w:hAnsi="Arial" w:cs="Arial"/>
          <w:kern w:val="28"/>
          <w:sz w:val="20"/>
          <w:szCs w:val="20"/>
        </w:rPr>
        <w:t>The HPLC system (Shimadzu LC-20AD) was equipped with a reverse-phase column for optimal separation. The mobile phase consisted of methanol and 0.1% trifluoroacetic acid (TFA) in water (70:30 v/v), and the flow rate was maintained at 1.0 mL/min. Detection of histamine was achieved using a UV detector set at a wavelength of 220 nm, ensuring accurate identification and quantification. Injection volume for each sample was 20 µL, and the total run time was 20 minutes.</w:t>
      </w:r>
      <w:r w:rsidR="00DE4889">
        <w:rPr>
          <w:rFonts w:ascii="Arial" w:eastAsia="Times New Roman" w:hAnsi="Arial" w:cs="Arial"/>
          <w:kern w:val="28"/>
          <w:sz w:val="20"/>
          <w:szCs w:val="20"/>
        </w:rPr>
        <w:t xml:space="preserve"> </w:t>
      </w:r>
      <w:r w:rsidRPr="00946A3F">
        <w:rPr>
          <w:rFonts w:ascii="Arial" w:eastAsia="Times New Roman" w:hAnsi="Arial" w:cs="Arial"/>
          <w:kern w:val="28"/>
          <w:sz w:val="20"/>
          <w:szCs w:val="20"/>
        </w:rPr>
        <w:t>Histamine was identified by comparing the retention time of the sample peak with that of</w:t>
      </w:r>
      <w:r>
        <w:rPr>
          <w:rFonts w:ascii="Arial" w:eastAsia="Times New Roman" w:hAnsi="Arial" w:cs="Arial"/>
          <w:kern w:val="28"/>
          <w:sz w:val="20"/>
          <w:szCs w:val="20"/>
        </w:rPr>
        <w:t xml:space="preserve"> a standard histamine solution.</w:t>
      </w:r>
    </w:p>
    <w:p w14:paraId="126F1355" w14:textId="77777777" w:rsidR="00946A3F" w:rsidRPr="00946A3F" w:rsidRDefault="00946A3F" w:rsidP="00946A3F">
      <w:pPr>
        <w:pStyle w:val="ListParagraph"/>
        <w:numPr>
          <w:ilvl w:val="1"/>
          <w:numId w:val="1"/>
        </w:numPr>
        <w:spacing w:line="240" w:lineRule="auto"/>
        <w:ind w:left="720"/>
        <w:jc w:val="both"/>
        <w:rPr>
          <w:rFonts w:ascii="Arial" w:eastAsia="Times New Roman" w:hAnsi="Arial" w:cs="Arial"/>
          <w:kern w:val="28"/>
          <w:sz w:val="20"/>
          <w:szCs w:val="20"/>
        </w:rPr>
      </w:pPr>
      <w:r w:rsidRPr="00946A3F">
        <w:rPr>
          <w:rFonts w:ascii="Arial" w:eastAsia="Times New Roman" w:hAnsi="Arial" w:cs="Arial"/>
          <w:b/>
          <w:bCs/>
          <w:kern w:val="28"/>
        </w:rPr>
        <w:t xml:space="preserve">Remedial Measures </w:t>
      </w:r>
      <w:r w:rsidR="007D6D34">
        <w:rPr>
          <w:rFonts w:ascii="Arial" w:eastAsia="Times New Roman" w:hAnsi="Arial" w:cs="Arial"/>
          <w:b/>
          <w:bCs/>
          <w:kern w:val="28"/>
        </w:rPr>
        <w:t>for Allergic Resistance using Plant Extracts</w:t>
      </w:r>
    </w:p>
    <w:p w14:paraId="4A45601F" w14:textId="77777777" w:rsidR="00946A3F" w:rsidRPr="00946A3F" w:rsidRDefault="00946A3F" w:rsidP="00946A3F">
      <w:pPr>
        <w:spacing w:line="240" w:lineRule="auto"/>
        <w:jc w:val="both"/>
        <w:rPr>
          <w:rFonts w:ascii="Arial" w:eastAsia="Times New Roman" w:hAnsi="Arial" w:cs="Arial"/>
          <w:kern w:val="28"/>
          <w:sz w:val="20"/>
          <w:szCs w:val="20"/>
        </w:rPr>
      </w:pPr>
      <w:r w:rsidRPr="00946A3F">
        <w:rPr>
          <w:rFonts w:ascii="Arial" w:eastAsia="Times New Roman" w:hAnsi="Arial" w:cs="Arial"/>
          <w:kern w:val="28"/>
          <w:sz w:val="20"/>
          <w:szCs w:val="20"/>
        </w:rPr>
        <w:t xml:space="preserve">The study explored the potential remedial effects of plant extracts from </w:t>
      </w:r>
      <w:r w:rsidRPr="007D6D34">
        <w:rPr>
          <w:rFonts w:ascii="Arial" w:eastAsia="Times New Roman" w:hAnsi="Arial" w:cs="Arial"/>
          <w:i/>
          <w:iCs/>
          <w:kern w:val="28"/>
          <w:sz w:val="20"/>
          <w:szCs w:val="20"/>
        </w:rPr>
        <w:t>Annona muricata</w:t>
      </w:r>
      <w:r w:rsidRPr="00946A3F">
        <w:rPr>
          <w:rFonts w:ascii="Arial" w:eastAsia="Times New Roman" w:hAnsi="Arial" w:cs="Arial"/>
          <w:kern w:val="28"/>
          <w:sz w:val="20"/>
          <w:szCs w:val="20"/>
        </w:rPr>
        <w:t xml:space="preserve"> (Soursop), </w:t>
      </w:r>
      <w:r w:rsidRPr="007D6D34">
        <w:rPr>
          <w:rFonts w:ascii="Arial" w:eastAsia="Times New Roman" w:hAnsi="Arial" w:cs="Arial"/>
          <w:i/>
          <w:iCs/>
          <w:kern w:val="28"/>
          <w:sz w:val="20"/>
          <w:szCs w:val="20"/>
        </w:rPr>
        <w:t xml:space="preserve">Jatropha </w:t>
      </w:r>
      <w:proofErr w:type="spellStart"/>
      <w:r w:rsidRPr="007D6D34">
        <w:rPr>
          <w:rFonts w:ascii="Arial" w:eastAsia="Times New Roman" w:hAnsi="Arial" w:cs="Arial"/>
          <w:i/>
          <w:iCs/>
          <w:kern w:val="28"/>
          <w:sz w:val="20"/>
          <w:szCs w:val="20"/>
        </w:rPr>
        <w:t>curcas</w:t>
      </w:r>
      <w:proofErr w:type="spellEnd"/>
      <w:r w:rsidRPr="00946A3F">
        <w:rPr>
          <w:rFonts w:ascii="Arial" w:eastAsia="Times New Roman" w:hAnsi="Arial" w:cs="Arial"/>
          <w:kern w:val="28"/>
          <w:sz w:val="20"/>
          <w:szCs w:val="20"/>
        </w:rPr>
        <w:t xml:space="preserve">, and </w:t>
      </w:r>
      <w:r w:rsidRPr="007D6D34">
        <w:rPr>
          <w:rFonts w:ascii="Arial" w:eastAsia="Times New Roman" w:hAnsi="Arial" w:cs="Arial"/>
          <w:i/>
          <w:iCs/>
          <w:kern w:val="28"/>
          <w:sz w:val="20"/>
          <w:szCs w:val="20"/>
        </w:rPr>
        <w:t xml:space="preserve">Cestrum </w:t>
      </w:r>
      <w:proofErr w:type="spellStart"/>
      <w:r w:rsidRPr="007D6D34">
        <w:rPr>
          <w:rFonts w:ascii="Arial" w:eastAsia="Times New Roman" w:hAnsi="Arial" w:cs="Arial"/>
          <w:i/>
          <w:iCs/>
          <w:kern w:val="28"/>
          <w:sz w:val="20"/>
          <w:szCs w:val="20"/>
        </w:rPr>
        <w:t>nocturnum</w:t>
      </w:r>
      <w:proofErr w:type="spellEnd"/>
      <w:r w:rsidRPr="00946A3F">
        <w:rPr>
          <w:rFonts w:ascii="Arial" w:eastAsia="Times New Roman" w:hAnsi="Arial" w:cs="Arial"/>
          <w:kern w:val="28"/>
          <w:sz w:val="20"/>
          <w:szCs w:val="20"/>
        </w:rPr>
        <w:t xml:space="preserve"> (Night Flower Jasmine) due to their known antimicrobial, antibacterial, and anti-inflammatory properties. These plants were collected from the streets of </w:t>
      </w:r>
      <w:proofErr w:type="spellStart"/>
      <w:r w:rsidRPr="00946A3F">
        <w:rPr>
          <w:rFonts w:ascii="Arial" w:eastAsia="Times New Roman" w:hAnsi="Arial" w:cs="Arial"/>
          <w:kern w:val="28"/>
          <w:sz w:val="20"/>
          <w:szCs w:val="20"/>
        </w:rPr>
        <w:t>Ondipudur</w:t>
      </w:r>
      <w:proofErr w:type="spellEnd"/>
      <w:r w:rsidRPr="00946A3F">
        <w:rPr>
          <w:rFonts w:ascii="Arial" w:eastAsia="Times New Roman" w:hAnsi="Arial" w:cs="Arial"/>
          <w:kern w:val="28"/>
          <w:sz w:val="20"/>
          <w:szCs w:val="20"/>
        </w:rPr>
        <w:t>, Coimbatore. Approximately 10–20 leaves from each plant were gathered and thoroughly dried to facilitate the extraction process. The dried leaves were finely ground to obtain a uniform powder for subsequent analysis.</w:t>
      </w:r>
    </w:p>
    <w:p w14:paraId="62856099" w14:textId="77777777" w:rsidR="00946A3F" w:rsidRPr="007D6D34" w:rsidRDefault="007D6D34" w:rsidP="007D6D34">
      <w:pPr>
        <w:pStyle w:val="ListParagraph"/>
        <w:numPr>
          <w:ilvl w:val="1"/>
          <w:numId w:val="1"/>
        </w:numPr>
        <w:spacing w:line="240" w:lineRule="auto"/>
        <w:ind w:left="720"/>
        <w:jc w:val="both"/>
        <w:rPr>
          <w:rFonts w:ascii="Arial" w:eastAsia="Times New Roman" w:hAnsi="Arial" w:cs="Arial"/>
          <w:kern w:val="28"/>
        </w:rPr>
      </w:pPr>
      <w:r w:rsidRPr="007D6D34">
        <w:rPr>
          <w:rFonts w:ascii="Arial" w:eastAsia="Times New Roman" w:hAnsi="Arial" w:cs="Arial"/>
          <w:b/>
          <w:bCs/>
          <w:kern w:val="28"/>
        </w:rPr>
        <w:t xml:space="preserve">Total </w:t>
      </w:r>
      <w:r w:rsidR="00946A3F" w:rsidRPr="007D6D34">
        <w:rPr>
          <w:rFonts w:ascii="Arial" w:eastAsia="Times New Roman" w:hAnsi="Arial" w:cs="Arial"/>
          <w:b/>
          <w:bCs/>
          <w:kern w:val="28"/>
        </w:rPr>
        <w:t xml:space="preserve">Flavonoid </w:t>
      </w:r>
      <w:r w:rsidR="00DE4889">
        <w:rPr>
          <w:rFonts w:ascii="Arial" w:eastAsia="Times New Roman" w:hAnsi="Arial" w:cs="Arial"/>
          <w:b/>
          <w:bCs/>
          <w:kern w:val="28"/>
        </w:rPr>
        <w:t>content</w:t>
      </w:r>
    </w:p>
    <w:p w14:paraId="31D7B788" w14:textId="77777777" w:rsidR="00946A3F" w:rsidRDefault="00946A3F" w:rsidP="00946A3F">
      <w:pPr>
        <w:spacing w:line="240" w:lineRule="auto"/>
        <w:jc w:val="both"/>
        <w:rPr>
          <w:rFonts w:ascii="Arial" w:eastAsia="Times New Roman" w:hAnsi="Arial" w:cs="Arial"/>
          <w:kern w:val="28"/>
          <w:sz w:val="20"/>
          <w:szCs w:val="20"/>
        </w:rPr>
      </w:pPr>
      <w:r w:rsidRPr="00946A3F">
        <w:rPr>
          <w:rFonts w:ascii="Arial" w:eastAsia="Times New Roman" w:hAnsi="Arial" w:cs="Arial"/>
          <w:kern w:val="28"/>
          <w:sz w:val="20"/>
          <w:szCs w:val="20"/>
        </w:rPr>
        <w:t>The presence of quercetin, a bioactive compound known for its allergy-resistance properties, was assessed using a standard colorimetric method (</w:t>
      </w:r>
      <w:r w:rsidR="00300F4E">
        <w:rPr>
          <w:rFonts w:ascii="Arial" w:hAnsi="Arial" w:cs="Arial"/>
          <w:color w:val="222222"/>
          <w:sz w:val="20"/>
          <w:szCs w:val="20"/>
          <w:shd w:val="clear" w:color="auto" w:fill="FFFFFF"/>
        </w:rPr>
        <w:t>Saeed</w:t>
      </w:r>
      <w:r w:rsidR="00DE4889">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201</w:t>
      </w:r>
      <w:r w:rsidRPr="00946A3F">
        <w:rPr>
          <w:rFonts w:ascii="Arial" w:eastAsia="Times New Roman" w:hAnsi="Arial" w:cs="Arial"/>
          <w:kern w:val="28"/>
          <w:sz w:val="20"/>
          <w:szCs w:val="20"/>
        </w:rPr>
        <w:t xml:space="preserve">2). To perform the test, 1 mL of plant extract was taken in a test tube, followed by the addition of 0.1 mL of </w:t>
      </w:r>
      <w:proofErr w:type="spellStart"/>
      <w:r w:rsidRPr="00946A3F">
        <w:rPr>
          <w:rFonts w:ascii="Arial" w:eastAsia="Times New Roman" w:hAnsi="Arial" w:cs="Arial"/>
          <w:kern w:val="28"/>
          <w:sz w:val="20"/>
          <w:szCs w:val="20"/>
        </w:rPr>
        <w:t>AlCl</w:t>
      </w:r>
      <w:proofErr w:type="spellEnd"/>
      <w:r w:rsidRPr="00946A3F">
        <w:rPr>
          <w:rFonts w:ascii="Cambria Math" w:eastAsia="Times New Roman" w:hAnsi="Cambria Math" w:cs="Cambria Math"/>
          <w:kern w:val="28"/>
          <w:sz w:val="20"/>
          <w:szCs w:val="20"/>
        </w:rPr>
        <w:t>₃</w:t>
      </w:r>
      <w:r w:rsidRPr="00946A3F">
        <w:rPr>
          <w:rFonts w:ascii="Arial" w:eastAsia="Times New Roman" w:hAnsi="Arial" w:cs="Arial"/>
          <w:kern w:val="28"/>
          <w:sz w:val="20"/>
          <w:szCs w:val="20"/>
        </w:rPr>
        <w:t xml:space="preserve"> and 0.1 mL of potassium sodium tartrate. Next, 2.8 mL of distilled water was added to the solution. The mixture was incubated at room temperature for 30 minutes to allow the reaction to develop. After incubation, the optical density (OD) was measured at 419 nm using a UV-Visible spectrophotometer. The formation of a yellow coloration indicated the presence of quercetin, confirming the flavonoid content in the plant extracts.</w:t>
      </w:r>
    </w:p>
    <w:p w14:paraId="3BA8B01A" w14:textId="77777777" w:rsidR="007D6D34" w:rsidRPr="007D6D34" w:rsidRDefault="007D6D34" w:rsidP="007D6D34">
      <w:pPr>
        <w:pStyle w:val="ListParagraph"/>
        <w:numPr>
          <w:ilvl w:val="1"/>
          <w:numId w:val="1"/>
        </w:numPr>
        <w:spacing w:line="240" w:lineRule="auto"/>
        <w:ind w:left="720"/>
        <w:jc w:val="both"/>
        <w:rPr>
          <w:rFonts w:ascii="Arial" w:eastAsia="Times New Roman" w:hAnsi="Arial" w:cs="Arial"/>
          <w:b/>
          <w:bCs/>
          <w:kern w:val="28"/>
        </w:rPr>
      </w:pPr>
      <w:r w:rsidRPr="007D6D34">
        <w:rPr>
          <w:rFonts w:ascii="Arial" w:eastAsia="Times New Roman" w:hAnsi="Arial" w:cs="Arial"/>
          <w:b/>
          <w:bCs/>
          <w:kern w:val="28"/>
        </w:rPr>
        <w:t>Degradation of the Component Using Plant Extracts</w:t>
      </w:r>
    </w:p>
    <w:p w14:paraId="5178AB2A" w14:textId="77777777" w:rsidR="00CD2655" w:rsidRPr="00DE4889" w:rsidRDefault="00DE4889" w:rsidP="00DE4889">
      <w:pPr>
        <w:spacing w:line="240" w:lineRule="auto"/>
        <w:jc w:val="both"/>
        <w:rPr>
          <w:rFonts w:ascii="Arial" w:eastAsia="Times New Roman" w:hAnsi="Arial" w:cs="Arial"/>
          <w:bCs/>
          <w:kern w:val="28"/>
        </w:rPr>
      </w:pPr>
      <w:r w:rsidRPr="00DE4889">
        <w:rPr>
          <w:rFonts w:ascii="Arial" w:eastAsia="Times New Roman" w:hAnsi="Arial" w:cs="Arial"/>
          <w:bCs/>
          <w:kern w:val="28"/>
        </w:rPr>
        <w:t>The degradation study was conducted to evaluate the antimicrobial potential of selected plant extracts against bacterial growth (</w:t>
      </w:r>
      <w:proofErr w:type="spellStart"/>
      <w:r w:rsidRPr="00DE4889">
        <w:rPr>
          <w:rFonts w:ascii="Arial" w:eastAsia="Times New Roman" w:hAnsi="Arial" w:cs="Arial"/>
          <w:bCs/>
          <w:kern w:val="28"/>
        </w:rPr>
        <w:t>Snuossi</w:t>
      </w:r>
      <w:proofErr w:type="spellEnd"/>
      <w:r w:rsidRPr="00DE4889">
        <w:rPr>
          <w:rFonts w:ascii="Arial" w:eastAsia="Times New Roman" w:hAnsi="Arial" w:cs="Arial"/>
          <w:bCs/>
          <w:kern w:val="28"/>
        </w:rPr>
        <w:t xml:space="preserve"> </w:t>
      </w:r>
      <w:r w:rsidRPr="00DE4889">
        <w:rPr>
          <w:rFonts w:ascii="Arial" w:eastAsia="Times New Roman" w:hAnsi="Arial" w:cs="Arial"/>
          <w:bCs/>
          <w:i/>
          <w:kern w:val="28"/>
        </w:rPr>
        <w:t>et al</w:t>
      </w:r>
      <w:r w:rsidRPr="00DE4889">
        <w:rPr>
          <w:rFonts w:ascii="Arial" w:eastAsia="Times New Roman" w:hAnsi="Arial" w:cs="Arial"/>
          <w:bCs/>
          <w:kern w:val="28"/>
        </w:rPr>
        <w:t xml:space="preserve">., 2016). Initially, a 50 mL broth medium was prepared using 0.25 g tryptone, 0.25 g yeast extract, 0.25 g NaCl, and 0.05 g </w:t>
      </w:r>
      <w:proofErr w:type="spellStart"/>
      <w:r w:rsidRPr="00DE4889">
        <w:rPr>
          <w:rFonts w:ascii="Arial" w:eastAsia="Times New Roman" w:hAnsi="Arial" w:cs="Arial"/>
          <w:bCs/>
          <w:kern w:val="28"/>
        </w:rPr>
        <w:t>CaCO</w:t>
      </w:r>
      <w:proofErr w:type="spellEnd"/>
      <w:r w:rsidRPr="00DE4889">
        <w:rPr>
          <w:rFonts w:ascii="Cambria Math" w:eastAsia="Times New Roman" w:hAnsi="Cambria Math" w:cs="Cambria Math"/>
          <w:bCs/>
          <w:kern w:val="28"/>
        </w:rPr>
        <w:t>₃</w:t>
      </w:r>
      <w:r w:rsidRPr="00DE4889">
        <w:rPr>
          <w:rFonts w:ascii="Arial" w:eastAsia="Times New Roman" w:hAnsi="Arial" w:cs="Arial"/>
          <w:bCs/>
          <w:kern w:val="28"/>
        </w:rPr>
        <w:t>. The prepared broth was sterilized to ensure aseptic conditions. Following sterilization, 100 µL of bacterial culture was added to the broth, and the mixture was incubated for 24 hours to allow bacterial growth. After incubation, the culture was divided into four separate screw-capped bottles: a control containing 20 mL of the culture without plant extract, P1 containing 10 mL of the culture with 1 g of Ann</w:t>
      </w:r>
      <w:r w:rsidRPr="00DE4889">
        <w:rPr>
          <w:rFonts w:ascii="Arial" w:eastAsia="Times New Roman" w:hAnsi="Arial" w:cs="Arial"/>
          <w:bCs/>
          <w:i/>
          <w:kern w:val="28"/>
        </w:rPr>
        <w:t xml:space="preserve">ona muricata </w:t>
      </w:r>
      <w:r w:rsidRPr="00DE4889">
        <w:rPr>
          <w:rFonts w:ascii="Arial" w:eastAsia="Times New Roman" w:hAnsi="Arial" w:cs="Arial"/>
          <w:bCs/>
          <w:kern w:val="28"/>
        </w:rPr>
        <w:t xml:space="preserve">(Soursop) extract, P2 containing 10 mL of the culture with 1 g of </w:t>
      </w:r>
      <w:r w:rsidRPr="00DE4889">
        <w:rPr>
          <w:rFonts w:ascii="Arial" w:eastAsia="Times New Roman" w:hAnsi="Arial" w:cs="Arial"/>
          <w:bCs/>
          <w:i/>
          <w:kern w:val="28"/>
        </w:rPr>
        <w:t xml:space="preserve">Cestrum </w:t>
      </w:r>
      <w:proofErr w:type="spellStart"/>
      <w:r w:rsidRPr="00DE4889">
        <w:rPr>
          <w:rFonts w:ascii="Arial" w:eastAsia="Times New Roman" w:hAnsi="Arial" w:cs="Arial"/>
          <w:bCs/>
          <w:i/>
          <w:kern w:val="28"/>
        </w:rPr>
        <w:t>nocturnum</w:t>
      </w:r>
      <w:proofErr w:type="spellEnd"/>
      <w:r w:rsidRPr="00DE4889">
        <w:rPr>
          <w:rFonts w:ascii="Arial" w:eastAsia="Times New Roman" w:hAnsi="Arial" w:cs="Arial"/>
          <w:bCs/>
          <w:kern w:val="28"/>
        </w:rPr>
        <w:t xml:space="preserve"> (Night Flower Jasmine) extract, and P3 containing 10 mL of the culture with 1 g of </w:t>
      </w:r>
      <w:r w:rsidRPr="00DE4889">
        <w:rPr>
          <w:rFonts w:ascii="Arial" w:eastAsia="Times New Roman" w:hAnsi="Arial" w:cs="Arial"/>
          <w:bCs/>
          <w:i/>
          <w:kern w:val="28"/>
        </w:rPr>
        <w:t xml:space="preserve">Jatropha </w:t>
      </w:r>
      <w:proofErr w:type="spellStart"/>
      <w:r w:rsidRPr="00DE4889">
        <w:rPr>
          <w:rFonts w:ascii="Arial" w:eastAsia="Times New Roman" w:hAnsi="Arial" w:cs="Arial"/>
          <w:bCs/>
          <w:i/>
          <w:kern w:val="28"/>
        </w:rPr>
        <w:t>curcas</w:t>
      </w:r>
      <w:proofErr w:type="spellEnd"/>
      <w:r w:rsidRPr="00DE4889">
        <w:rPr>
          <w:rFonts w:ascii="Arial" w:eastAsia="Times New Roman" w:hAnsi="Arial" w:cs="Arial"/>
          <w:bCs/>
          <w:kern w:val="28"/>
        </w:rPr>
        <w:t xml:space="preserve"> extract. To assess the total viable count (TVC) of bacterial cells, four Petri plates were prepared by pouring 25 mL of sterilized nutrient agar into each plate. After the agar solidified, 5 µL of the corresponding plant extract mixed with bacterial culture was added onto the surface of each plate and spread plating method was carried out. The plates were left to dry under sterile conditions before incubation at 37°C for 24 hours. This incubation period allowed observation of bacterial growth patterns, enabling the evaluation of the antimicrobial efficacy of each plant extract.</w:t>
      </w:r>
    </w:p>
    <w:p w14:paraId="1D4B3C4F" w14:textId="77777777" w:rsidR="00DE4889" w:rsidRDefault="00DE4889" w:rsidP="00DE4889">
      <w:pPr>
        <w:spacing w:line="240" w:lineRule="auto"/>
        <w:jc w:val="both"/>
        <w:rPr>
          <w:rFonts w:ascii="Arial" w:eastAsia="Times New Roman" w:hAnsi="Arial" w:cs="Arial"/>
          <w:b/>
          <w:bCs/>
          <w:kern w:val="28"/>
        </w:rPr>
      </w:pPr>
    </w:p>
    <w:p w14:paraId="6A555234" w14:textId="77777777" w:rsidR="00DE4889" w:rsidRPr="00DE4889" w:rsidRDefault="00DE4889" w:rsidP="00DE4889">
      <w:pPr>
        <w:spacing w:line="240" w:lineRule="auto"/>
        <w:jc w:val="both"/>
        <w:rPr>
          <w:rFonts w:ascii="Arial" w:eastAsia="Times New Roman" w:hAnsi="Arial" w:cs="Arial"/>
          <w:b/>
          <w:bCs/>
          <w:kern w:val="28"/>
        </w:rPr>
        <w:sectPr w:rsidR="00DE4889" w:rsidRPr="00DE4889" w:rsidSect="00DE4889">
          <w:type w:val="continuous"/>
          <w:pgSz w:w="11906" w:h="16838"/>
          <w:pgMar w:top="1440" w:right="1440" w:bottom="1440" w:left="1440" w:header="708" w:footer="708" w:gutter="0"/>
          <w:cols w:space="708"/>
          <w:docGrid w:linePitch="360"/>
        </w:sectPr>
      </w:pPr>
    </w:p>
    <w:p w14:paraId="663F74DF" w14:textId="77777777" w:rsidR="00967177" w:rsidRPr="00967177" w:rsidRDefault="00967177" w:rsidP="00967177">
      <w:pPr>
        <w:pStyle w:val="ListParagraph"/>
        <w:numPr>
          <w:ilvl w:val="1"/>
          <w:numId w:val="1"/>
        </w:numPr>
        <w:spacing w:line="240" w:lineRule="auto"/>
        <w:ind w:left="720"/>
        <w:jc w:val="both"/>
        <w:rPr>
          <w:rFonts w:ascii="Arial" w:eastAsia="Times New Roman" w:hAnsi="Arial" w:cs="Arial"/>
          <w:b/>
          <w:bCs/>
          <w:kern w:val="28"/>
        </w:rPr>
      </w:pPr>
      <w:r w:rsidRPr="00967177">
        <w:rPr>
          <w:rFonts w:ascii="Arial" w:eastAsia="Times New Roman" w:hAnsi="Arial" w:cs="Arial"/>
          <w:b/>
          <w:bCs/>
          <w:kern w:val="28"/>
        </w:rPr>
        <w:lastRenderedPageBreak/>
        <w:t>Ointment and Product Formulation</w:t>
      </w:r>
    </w:p>
    <w:p w14:paraId="2B738301" w14:textId="77777777" w:rsidR="00967177" w:rsidRPr="00967177" w:rsidRDefault="00967177" w:rsidP="00967177">
      <w:pPr>
        <w:spacing w:line="240" w:lineRule="auto"/>
        <w:jc w:val="both"/>
        <w:rPr>
          <w:rFonts w:ascii="Arial" w:eastAsia="Times New Roman" w:hAnsi="Arial" w:cs="Arial"/>
          <w:kern w:val="28"/>
          <w:sz w:val="20"/>
          <w:szCs w:val="20"/>
        </w:rPr>
      </w:pPr>
      <w:r w:rsidRPr="00967177">
        <w:rPr>
          <w:rFonts w:ascii="Arial" w:eastAsia="Times New Roman" w:hAnsi="Arial" w:cs="Arial"/>
          <w:kern w:val="28"/>
          <w:sz w:val="20"/>
          <w:szCs w:val="20"/>
        </w:rPr>
        <w:t>The ointment formulation was prepared using plant extracts with potential antimicrobial and skin-protective properties</w:t>
      </w:r>
      <w:r>
        <w:rPr>
          <w:rFonts w:ascii="Arial" w:eastAsia="Times New Roman" w:hAnsi="Arial" w:cs="Arial"/>
          <w:kern w:val="28"/>
          <w:sz w:val="20"/>
          <w:szCs w:val="20"/>
        </w:rPr>
        <w:t xml:space="preserve"> (</w:t>
      </w:r>
      <w:r w:rsidR="00300F4E">
        <w:rPr>
          <w:rFonts w:ascii="Arial" w:hAnsi="Arial" w:cs="Arial"/>
          <w:color w:val="222222"/>
          <w:sz w:val="20"/>
          <w:szCs w:val="20"/>
          <w:shd w:val="clear" w:color="auto" w:fill="FFFFFF"/>
        </w:rPr>
        <w:t>Yassine</w:t>
      </w:r>
      <w:r w:rsidR="00DE4889">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300F4E">
        <w:rPr>
          <w:rFonts w:ascii="Arial" w:eastAsia="Times New Roman" w:hAnsi="Arial" w:cs="Arial"/>
          <w:kern w:val="28"/>
          <w:sz w:val="20"/>
          <w:szCs w:val="20"/>
        </w:rPr>
        <w:t xml:space="preserve"> 2020</w:t>
      </w:r>
      <w:r>
        <w:rPr>
          <w:rFonts w:ascii="Arial" w:eastAsia="Times New Roman" w:hAnsi="Arial" w:cs="Arial"/>
          <w:kern w:val="28"/>
          <w:sz w:val="20"/>
          <w:szCs w:val="20"/>
        </w:rPr>
        <w:t>)</w:t>
      </w:r>
      <w:r w:rsidRPr="00967177">
        <w:rPr>
          <w:rFonts w:ascii="Arial" w:eastAsia="Times New Roman" w:hAnsi="Arial" w:cs="Arial"/>
          <w:kern w:val="28"/>
          <w:sz w:val="20"/>
          <w:szCs w:val="20"/>
        </w:rPr>
        <w:t>. Initially, 1 g of powdered plant extract, obtained from three different plant species, was mixed with 30 mL of distilled water. This mixture was placed in an orbital shaker for 24 hours to ensure proper extraction of bioactive compounds. Following incubation, the extract was filtered using filter paper, yielding approximately 30 mL of filtrate.</w:t>
      </w:r>
      <w:r w:rsidR="00DE4889">
        <w:rPr>
          <w:rFonts w:ascii="Arial" w:eastAsia="Times New Roman" w:hAnsi="Arial" w:cs="Arial"/>
          <w:kern w:val="28"/>
          <w:sz w:val="20"/>
          <w:szCs w:val="20"/>
        </w:rPr>
        <w:t xml:space="preserve"> </w:t>
      </w:r>
      <w:r w:rsidRPr="00967177">
        <w:rPr>
          <w:rFonts w:ascii="Arial" w:eastAsia="Times New Roman" w:hAnsi="Arial" w:cs="Arial"/>
          <w:kern w:val="28"/>
          <w:sz w:val="20"/>
          <w:szCs w:val="20"/>
        </w:rPr>
        <w:t xml:space="preserve">For the ointment preparation, 0.5 mL of glycerol was added to the plant extract solution, and the mixture was stirred using a magnetic stirrer under mild heat for 1 hour. Next, 1% Carbopol was introduced to the mixture and stirred under the same conditions for an additional hour. Subsequently, 0.5% </w:t>
      </w:r>
      <w:proofErr w:type="spellStart"/>
      <w:r w:rsidRPr="00967177">
        <w:rPr>
          <w:rFonts w:ascii="Arial" w:eastAsia="Times New Roman" w:hAnsi="Arial" w:cs="Arial"/>
          <w:kern w:val="28"/>
          <w:sz w:val="20"/>
          <w:szCs w:val="20"/>
        </w:rPr>
        <w:t>gelatin</w:t>
      </w:r>
      <w:proofErr w:type="spellEnd"/>
      <w:r w:rsidRPr="00967177">
        <w:rPr>
          <w:rFonts w:ascii="Arial" w:eastAsia="Times New Roman" w:hAnsi="Arial" w:cs="Arial"/>
          <w:kern w:val="28"/>
          <w:sz w:val="20"/>
          <w:szCs w:val="20"/>
        </w:rPr>
        <w:t xml:space="preserve"> was added, followed by continuous stirring under heat to ensure uniform blending. After incubation overnight</w:t>
      </w:r>
      <w:r>
        <w:rPr>
          <w:rFonts w:ascii="Arial" w:eastAsia="Times New Roman" w:hAnsi="Arial" w:cs="Arial"/>
          <w:kern w:val="28"/>
          <w:sz w:val="20"/>
          <w:szCs w:val="20"/>
        </w:rPr>
        <w:t>, 18 mL of isopropanol and 1.5 ml</w:t>
      </w:r>
      <w:r w:rsidRPr="00967177">
        <w:rPr>
          <w:rFonts w:ascii="Arial" w:eastAsia="Times New Roman" w:hAnsi="Arial" w:cs="Arial"/>
          <w:kern w:val="28"/>
          <w:sz w:val="20"/>
          <w:szCs w:val="20"/>
        </w:rPr>
        <w:t xml:space="preserve"> of </w:t>
      </w:r>
      <w:r>
        <w:rPr>
          <w:rFonts w:ascii="Arial" w:eastAsia="Times New Roman" w:hAnsi="Arial" w:cs="Arial"/>
          <w:kern w:val="28"/>
          <w:sz w:val="20"/>
          <w:szCs w:val="20"/>
        </w:rPr>
        <w:t xml:space="preserve">Lavender essential oil </w:t>
      </w:r>
      <w:r w:rsidRPr="00967177">
        <w:rPr>
          <w:rFonts w:ascii="Arial" w:eastAsia="Times New Roman" w:hAnsi="Arial" w:cs="Arial"/>
          <w:kern w:val="28"/>
          <w:sz w:val="20"/>
          <w:szCs w:val="20"/>
        </w:rPr>
        <w:t>were added, and the mixture was stirred for another hour using the magnetic stirrer. Finally, 1 g of xanthan gum was added as a gelling agent to achieve the desired ointment consistency.</w:t>
      </w:r>
    </w:p>
    <w:p w14:paraId="097577BC" w14:textId="77777777" w:rsidR="00967177" w:rsidRPr="00967177" w:rsidRDefault="00967177" w:rsidP="00967177">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Antibacterial activity of the Prepared Formulation</w:t>
      </w:r>
    </w:p>
    <w:p w14:paraId="7A7F2DE0" w14:textId="77777777" w:rsidR="00967177" w:rsidRDefault="00967177" w:rsidP="00967177">
      <w:pPr>
        <w:spacing w:line="240" w:lineRule="auto"/>
        <w:jc w:val="both"/>
        <w:rPr>
          <w:rFonts w:ascii="Arial" w:eastAsia="Times New Roman" w:hAnsi="Arial" w:cs="Arial"/>
          <w:kern w:val="28"/>
          <w:sz w:val="20"/>
          <w:szCs w:val="20"/>
        </w:rPr>
      </w:pPr>
      <w:r w:rsidRPr="00967177">
        <w:rPr>
          <w:rFonts w:ascii="Arial" w:eastAsia="Times New Roman" w:hAnsi="Arial" w:cs="Arial"/>
          <w:kern w:val="28"/>
          <w:sz w:val="20"/>
          <w:szCs w:val="20"/>
        </w:rPr>
        <w:t>To evaluate the antimicrobial effectiveness of the formulated o</w:t>
      </w:r>
      <w:r>
        <w:rPr>
          <w:rFonts w:ascii="Arial" w:eastAsia="Times New Roman" w:hAnsi="Arial" w:cs="Arial"/>
          <w:kern w:val="28"/>
          <w:sz w:val="20"/>
          <w:szCs w:val="20"/>
        </w:rPr>
        <w:t xml:space="preserve">intment, the well diffusion </w:t>
      </w:r>
      <w:r w:rsidRPr="00967177">
        <w:rPr>
          <w:rFonts w:ascii="Arial" w:eastAsia="Times New Roman" w:hAnsi="Arial" w:cs="Arial"/>
          <w:kern w:val="28"/>
          <w:sz w:val="20"/>
          <w:szCs w:val="20"/>
        </w:rPr>
        <w:t>technique was employed. Nutrient agar was prepared by sterilization</w:t>
      </w:r>
      <w:r>
        <w:rPr>
          <w:rFonts w:ascii="Arial" w:eastAsia="Times New Roman" w:hAnsi="Arial" w:cs="Arial"/>
          <w:kern w:val="28"/>
          <w:sz w:val="20"/>
          <w:szCs w:val="20"/>
        </w:rPr>
        <w:t xml:space="preserve"> and poured to sterile </w:t>
      </w:r>
      <w:proofErr w:type="spellStart"/>
      <w:r>
        <w:rPr>
          <w:rFonts w:ascii="Arial" w:eastAsia="Times New Roman" w:hAnsi="Arial" w:cs="Arial"/>
          <w:kern w:val="28"/>
          <w:sz w:val="20"/>
          <w:szCs w:val="20"/>
        </w:rPr>
        <w:t>petriplates</w:t>
      </w:r>
      <w:proofErr w:type="spellEnd"/>
      <w:r>
        <w:rPr>
          <w:rFonts w:ascii="Arial" w:eastAsia="Times New Roman" w:hAnsi="Arial" w:cs="Arial"/>
          <w:kern w:val="28"/>
          <w:sz w:val="20"/>
          <w:szCs w:val="20"/>
        </w:rPr>
        <w:t xml:space="preserve"> for solidification</w:t>
      </w:r>
      <w:r w:rsidRPr="00967177">
        <w:rPr>
          <w:rFonts w:ascii="Arial" w:eastAsia="Times New Roman" w:hAnsi="Arial" w:cs="Arial"/>
          <w:kern w:val="28"/>
          <w:sz w:val="20"/>
          <w:szCs w:val="20"/>
        </w:rPr>
        <w:t>. After the agar solidified,</w:t>
      </w:r>
      <w:r>
        <w:rPr>
          <w:rFonts w:ascii="Arial" w:eastAsia="Times New Roman" w:hAnsi="Arial" w:cs="Arial"/>
          <w:kern w:val="28"/>
          <w:sz w:val="20"/>
          <w:szCs w:val="20"/>
        </w:rPr>
        <w:t>80</w:t>
      </w:r>
      <w:r>
        <w:rPr>
          <w:rFonts w:ascii="Calibri" w:eastAsia="Times New Roman" w:hAnsi="Calibri" w:cs="Calibri"/>
          <w:kern w:val="28"/>
          <w:sz w:val="20"/>
          <w:szCs w:val="20"/>
        </w:rPr>
        <w:t>μ</w:t>
      </w:r>
      <w:r>
        <w:rPr>
          <w:rFonts w:ascii="Arial" w:eastAsia="Times New Roman" w:hAnsi="Arial" w:cs="Arial"/>
          <w:kern w:val="28"/>
          <w:sz w:val="20"/>
          <w:szCs w:val="20"/>
        </w:rPr>
        <w:t>l of</w:t>
      </w:r>
      <w:r w:rsidRPr="00967177">
        <w:rPr>
          <w:rFonts w:ascii="Arial" w:eastAsia="Times New Roman" w:hAnsi="Arial" w:cs="Arial"/>
          <w:kern w:val="28"/>
          <w:sz w:val="20"/>
          <w:szCs w:val="20"/>
        </w:rPr>
        <w:t xml:space="preserve"> bacterial culture was added and spread uniformly over the agar surface using a sterile swab. Wells were created in the agar plates, and the formulated ointment was carefully introduced into these wells. The plates were incubated at 37°C for 24 hours, after which the zone of inhibition was observed and recorded to determine the antibacterial potential of the </w:t>
      </w:r>
      <w:commentRangeStart w:id="5"/>
      <w:r w:rsidRPr="00967177">
        <w:rPr>
          <w:rFonts w:ascii="Arial" w:eastAsia="Times New Roman" w:hAnsi="Arial" w:cs="Arial"/>
          <w:kern w:val="28"/>
          <w:sz w:val="20"/>
          <w:szCs w:val="20"/>
        </w:rPr>
        <w:t>ointment</w:t>
      </w:r>
      <w:commentRangeEnd w:id="5"/>
      <w:r w:rsidR="006E19A0">
        <w:rPr>
          <w:rStyle w:val="CommentReference"/>
        </w:rPr>
        <w:commentReference w:id="5"/>
      </w:r>
      <w:r w:rsidRPr="00967177">
        <w:rPr>
          <w:rFonts w:ascii="Arial" w:eastAsia="Times New Roman" w:hAnsi="Arial" w:cs="Arial"/>
          <w:kern w:val="28"/>
          <w:sz w:val="20"/>
          <w:szCs w:val="20"/>
        </w:rPr>
        <w:t>.</w:t>
      </w:r>
    </w:p>
    <w:p w14:paraId="203F046D" w14:textId="77777777" w:rsidR="006E19A0" w:rsidRDefault="006E19A0" w:rsidP="00967177">
      <w:pPr>
        <w:spacing w:line="240" w:lineRule="auto"/>
        <w:jc w:val="both"/>
        <w:rPr>
          <w:rFonts w:ascii="Arial" w:eastAsia="Times New Roman" w:hAnsi="Arial" w:cs="Arial"/>
          <w:kern w:val="28"/>
          <w:sz w:val="20"/>
          <w:szCs w:val="20"/>
        </w:rPr>
      </w:pPr>
    </w:p>
    <w:p w14:paraId="7C0FEE9F" w14:textId="77777777" w:rsidR="00967177" w:rsidRPr="008D7666" w:rsidRDefault="00967177" w:rsidP="008D7666">
      <w:pPr>
        <w:pStyle w:val="ListParagraph"/>
        <w:keepNext/>
        <w:numPr>
          <w:ilvl w:val="0"/>
          <w:numId w:val="1"/>
        </w:numPr>
        <w:spacing w:after="0" w:line="240" w:lineRule="auto"/>
        <w:jc w:val="both"/>
        <w:rPr>
          <w:rFonts w:ascii="Arial" w:eastAsia="Times New Roman" w:hAnsi="Arial" w:cs="Arial"/>
          <w:b/>
          <w:caps/>
          <w:szCs w:val="20"/>
          <w:lang w:val="en-US"/>
        </w:rPr>
      </w:pPr>
      <w:r w:rsidRPr="008D7666">
        <w:rPr>
          <w:rFonts w:ascii="Arial" w:eastAsia="Times New Roman" w:hAnsi="Arial" w:cs="Arial"/>
          <w:b/>
          <w:caps/>
          <w:szCs w:val="20"/>
          <w:lang w:val="en-US"/>
        </w:rPr>
        <w:t>results and discussion</w:t>
      </w:r>
    </w:p>
    <w:p w14:paraId="0A423A88" w14:textId="77777777" w:rsidR="00967177" w:rsidRPr="00967177" w:rsidRDefault="00967177" w:rsidP="00967177">
      <w:pPr>
        <w:spacing w:line="240" w:lineRule="auto"/>
        <w:jc w:val="both"/>
        <w:rPr>
          <w:rFonts w:ascii="Arial" w:eastAsia="Times New Roman" w:hAnsi="Arial" w:cs="Arial"/>
          <w:kern w:val="28"/>
          <w:sz w:val="20"/>
          <w:szCs w:val="20"/>
        </w:rPr>
      </w:pPr>
    </w:p>
    <w:p w14:paraId="29CC351F" w14:textId="77777777" w:rsidR="008D7666" w:rsidRPr="008D7666" w:rsidRDefault="008D7666" w:rsidP="008D7666">
      <w:pPr>
        <w:pStyle w:val="ListParagraph"/>
        <w:numPr>
          <w:ilvl w:val="1"/>
          <w:numId w:val="1"/>
        </w:numPr>
        <w:spacing w:line="240" w:lineRule="auto"/>
        <w:ind w:left="720"/>
        <w:rPr>
          <w:rFonts w:ascii="Arial" w:eastAsia="Times New Roman" w:hAnsi="Arial" w:cs="Arial"/>
          <w:b/>
          <w:bCs/>
          <w:kern w:val="28"/>
          <w:sz w:val="20"/>
          <w:szCs w:val="20"/>
        </w:rPr>
      </w:pPr>
      <w:r w:rsidRPr="008D7666">
        <w:rPr>
          <w:rFonts w:ascii="Arial" w:eastAsia="Times New Roman" w:hAnsi="Arial" w:cs="Arial"/>
          <w:b/>
          <w:bCs/>
          <w:kern w:val="28"/>
        </w:rPr>
        <w:t>Collection of Prawn Sample and Processing</w:t>
      </w:r>
    </w:p>
    <w:p w14:paraId="1A1EA534" w14:textId="77777777" w:rsidR="00515EE7"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 xml:space="preserve">The prawns used in this study were collected from the </w:t>
      </w:r>
      <w:proofErr w:type="spellStart"/>
      <w:r w:rsidRPr="008D7666">
        <w:rPr>
          <w:rFonts w:ascii="Arial" w:eastAsia="Times New Roman" w:hAnsi="Arial" w:cs="Arial"/>
          <w:kern w:val="28"/>
          <w:sz w:val="20"/>
          <w:szCs w:val="20"/>
        </w:rPr>
        <w:t>Thoothukudi</w:t>
      </w:r>
      <w:proofErr w:type="spellEnd"/>
      <w:r w:rsidRPr="008D7666">
        <w:rPr>
          <w:rFonts w:ascii="Arial" w:eastAsia="Times New Roman" w:hAnsi="Arial" w:cs="Arial"/>
          <w:kern w:val="28"/>
          <w:sz w:val="20"/>
          <w:szCs w:val="20"/>
        </w:rPr>
        <w:t xml:space="preserve"> district fish market located in </w:t>
      </w:r>
      <w:proofErr w:type="spellStart"/>
      <w:r w:rsidRPr="008D7666">
        <w:rPr>
          <w:rFonts w:ascii="Arial" w:eastAsia="Times New Roman" w:hAnsi="Arial" w:cs="Arial"/>
          <w:kern w:val="28"/>
          <w:sz w:val="20"/>
          <w:szCs w:val="20"/>
        </w:rPr>
        <w:t>Ukkadam</w:t>
      </w:r>
      <w:proofErr w:type="spellEnd"/>
      <w:r w:rsidRPr="008D7666">
        <w:rPr>
          <w:rFonts w:ascii="Arial" w:eastAsia="Times New Roman" w:hAnsi="Arial" w:cs="Arial"/>
          <w:kern w:val="28"/>
          <w:sz w:val="20"/>
          <w:szCs w:val="20"/>
        </w:rPr>
        <w:t>, Coimbatore, India. This region is known for its extensive seafood trade, which makes it a suitable site for obtaining marine species commonly linked to histamine production. Prawns, particularly those sourced from coastal areas, are prone to microbial contamination due to their perishable nature and protein-rich composition. Studies have indicated that seafood, especially crustaceans like prawns, can rapidly accumulate biogenic amines such as histamine under improper storage conditions (</w:t>
      </w:r>
      <w:proofErr w:type="spellStart"/>
      <w:r w:rsidR="00515EE7">
        <w:rPr>
          <w:rFonts w:ascii="Arial" w:hAnsi="Arial" w:cs="Arial"/>
          <w:color w:val="222222"/>
          <w:sz w:val="20"/>
          <w:szCs w:val="20"/>
          <w:shd w:val="clear" w:color="auto" w:fill="FFFFFF"/>
        </w:rPr>
        <w:t>Oktariani</w:t>
      </w:r>
      <w:proofErr w:type="spellEnd"/>
      <w:r w:rsidR="00DE4889">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515EE7">
        <w:rPr>
          <w:rFonts w:ascii="Arial" w:eastAsia="Times New Roman" w:hAnsi="Arial" w:cs="Arial"/>
          <w:kern w:val="28"/>
          <w:sz w:val="20"/>
          <w:szCs w:val="20"/>
        </w:rPr>
        <w:t xml:space="preserve"> 2022</w:t>
      </w:r>
      <w:proofErr w:type="gramStart"/>
      <w:r w:rsidRPr="008D7666">
        <w:rPr>
          <w:rFonts w:ascii="Arial" w:eastAsia="Times New Roman" w:hAnsi="Arial" w:cs="Arial"/>
          <w:kern w:val="28"/>
          <w:sz w:val="20"/>
          <w:szCs w:val="20"/>
        </w:rPr>
        <w:t>).The</w:t>
      </w:r>
      <w:proofErr w:type="gramEnd"/>
      <w:r w:rsidRPr="008D7666">
        <w:rPr>
          <w:rFonts w:ascii="Arial" w:eastAsia="Times New Roman" w:hAnsi="Arial" w:cs="Arial"/>
          <w:kern w:val="28"/>
          <w:sz w:val="20"/>
          <w:szCs w:val="20"/>
        </w:rPr>
        <w:t xml:space="preserve"> selection of the muscle region for analysis was strategic, as histamine and other biogenic amines tend to concentrate in protein-dense tissues. The muscle tissue provides an ideal medium for bacterial growth and subsequent histamine formation, primarily because decarboxylase-producing bacteria thrive in such nutrient-rich environments (</w:t>
      </w:r>
      <w:proofErr w:type="spellStart"/>
      <w:r w:rsidRPr="008D7666">
        <w:rPr>
          <w:rFonts w:ascii="Arial" w:eastAsia="Times New Roman" w:hAnsi="Arial" w:cs="Arial"/>
          <w:kern w:val="28"/>
          <w:sz w:val="20"/>
          <w:szCs w:val="20"/>
        </w:rPr>
        <w:t>Kanki</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2004). Moreover, bacterial strains such as </w:t>
      </w:r>
      <w:proofErr w:type="spellStart"/>
      <w:r w:rsidRPr="00515EE7">
        <w:rPr>
          <w:rFonts w:ascii="Arial" w:eastAsia="Times New Roman" w:hAnsi="Arial" w:cs="Arial"/>
          <w:i/>
          <w:iCs/>
          <w:kern w:val="28"/>
          <w:sz w:val="20"/>
          <w:szCs w:val="20"/>
        </w:rPr>
        <w:t>Morganella</w:t>
      </w:r>
      <w:proofErr w:type="spellEnd"/>
      <w:r w:rsidR="00DE4889">
        <w:rPr>
          <w:rFonts w:ascii="Arial" w:eastAsia="Times New Roman" w:hAnsi="Arial" w:cs="Arial"/>
          <w:i/>
          <w:iCs/>
          <w:kern w:val="28"/>
          <w:sz w:val="20"/>
          <w:szCs w:val="20"/>
        </w:rPr>
        <w:t xml:space="preserve"> </w:t>
      </w:r>
      <w:r w:rsidRPr="00515EE7">
        <w:rPr>
          <w:rFonts w:ascii="Arial" w:eastAsia="Times New Roman" w:hAnsi="Arial" w:cs="Arial"/>
          <w:i/>
          <w:iCs/>
          <w:kern w:val="28"/>
          <w:sz w:val="20"/>
          <w:szCs w:val="20"/>
        </w:rPr>
        <w:t xml:space="preserve">morganii, </w:t>
      </w:r>
      <w:proofErr w:type="gramStart"/>
      <w:r w:rsidRPr="00515EE7">
        <w:rPr>
          <w:rFonts w:ascii="Arial" w:eastAsia="Times New Roman" w:hAnsi="Arial" w:cs="Arial"/>
          <w:i/>
          <w:iCs/>
          <w:kern w:val="28"/>
          <w:sz w:val="20"/>
          <w:szCs w:val="20"/>
        </w:rPr>
        <w:t>Klebsiella</w:t>
      </w:r>
      <w:r w:rsidR="00DE4889">
        <w:rPr>
          <w:rFonts w:ascii="Arial" w:eastAsia="Times New Roman" w:hAnsi="Arial" w:cs="Arial"/>
          <w:i/>
          <w:iCs/>
          <w:kern w:val="28"/>
          <w:sz w:val="20"/>
          <w:szCs w:val="20"/>
        </w:rPr>
        <w:t xml:space="preserve">  </w:t>
      </w:r>
      <w:r w:rsidRPr="00515EE7">
        <w:rPr>
          <w:rFonts w:ascii="Arial" w:eastAsia="Times New Roman" w:hAnsi="Arial" w:cs="Arial"/>
          <w:i/>
          <w:iCs/>
          <w:kern w:val="28"/>
          <w:sz w:val="20"/>
          <w:szCs w:val="20"/>
        </w:rPr>
        <w:t>pneumoniae</w:t>
      </w:r>
      <w:proofErr w:type="gramEnd"/>
      <w:r w:rsidRPr="008D7666">
        <w:rPr>
          <w:rFonts w:ascii="Arial" w:eastAsia="Times New Roman" w:hAnsi="Arial" w:cs="Arial"/>
          <w:kern w:val="28"/>
          <w:sz w:val="20"/>
          <w:szCs w:val="20"/>
        </w:rPr>
        <w:t xml:space="preserve">, and </w:t>
      </w:r>
      <w:r w:rsidRPr="00515EE7">
        <w:rPr>
          <w:rFonts w:ascii="Arial" w:eastAsia="Times New Roman" w:hAnsi="Arial" w:cs="Arial"/>
          <w:i/>
          <w:iCs/>
          <w:kern w:val="28"/>
          <w:sz w:val="20"/>
          <w:szCs w:val="20"/>
        </w:rPr>
        <w:t>Photo</w:t>
      </w:r>
      <w:r w:rsidR="00DE4889">
        <w:rPr>
          <w:rFonts w:ascii="Arial" w:eastAsia="Times New Roman" w:hAnsi="Arial" w:cs="Arial"/>
          <w:i/>
          <w:iCs/>
          <w:kern w:val="28"/>
          <w:sz w:val="20"/>
          <w:szCs w:val="20"/>
        </w:rPr>
        <w:t xml:space="preserve"> </w:t>
      </w:r>
      <w:r w:rsidRPr="00515EE7">
        <w:rPr>
          <w:rFonts w:ascii="Arial" w:eastAsia="Times New Roman" w:hAnsi="Arial" w:cs="Arial"/>
          <w:i/>
          <w:iCs/>
          <w:kern w:val="28"/>
          <w:sz w:val="20"/>
          <w:szCs w:val="20"/>
        </w:rPr>
        <w:t>bacterium</w:t>
      </w:r>
      <w:r w:rsidR="00DE4889">
        <w:rPr>
          <w:rFonts w:ascii="Arial" w:eastAsia="Times New Roman" w:hAnsi="Arial" w:cs="Arial"/>
          <w:i/>
          <w:iCs/>
          <w:kern w:val="28"/>
          <w:sz w:val="20"/>
          <w:szCs w:val="20"/>
        </w:rPr>
        <w:t xml:space="preserve"> </w:t>
      </w:r>
      <w:proofErr w:type="spellStart"/>
      <w:r w:rsidRPr="00515EE7">
        <w:rPr>
          <w:rFonts w:ascii="Arial" w:eastAsia="Times New Roman" w:hAnsi="Arial" w:cs="Arial"/>
          <w:i/>
          <w:iCs/>
          <w:kern w:val="28"/>
          <w:sz w:val="20"/>
          <w:szCs w:val="20"/>
        </w:rPr>
        <w:t>damselae</w:t>
      </w:r>
      <w:proofErr w:type="spellEnd"/>
      <w:r w:rsidRPr="008D7666">
        <w:rPr>
          <w:rFonts w:ascii="Arial" w:eastAsia="Times New Roman" w:hAnsi="Arial" w:cs="Arial"/>
          <w:kern w:val="28"/>
          <w:sz w:val="20"/>
          <w:szCs w:val="20"/>
        </w:rPr>
        <w:t xml:space="preserve"> have been commonly linked to histamine accumulation in seafood products (</w:t>
      </w:r>
      <w:proofErr w:type="spellStart"/>
      <w:r w:rsidRPr="008D7666">
        <w:rPr>
          <w:rFonts w:ascii="Arial" w:eastAsia="Times New Roman" w:hAnsi="Arial" w:cs="Arial"/>
          <w:kern w:val="28"/>
          <w:sz w:val="20"/>
          <w:szCs w:val="20"/>
        </w:rPr>
        <w:t>Visciano</w:t>
      </w:r>
      <w:proofErr w:type="spellEnd"/>
      <w:r w:rsidR="00DE4889">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2014).Research further indicates that histamine poisoning incidents are frequently associated with scombroid fish species, yet non-scombroid species like prawns are also susceptible, particularly when subjected to te</w:t>
      </w:r>
      <w:r w:rsidR="00515EE7">
        <w:rPr>
          <w:rFonts w:ascii="Arial" w:eastAsia="Times New Roman" w:hAnsi="Arial" w:cs="Arial"/>
          <w:kern w:val="28"/>
          <w:sz w:val="20"/>
          <w:szCs w:val="20"/>
        </w:rPr>
        <w:t>mperature abuse during storage.</w:t>
      </w:r>
    </w:p>
    <w:p w14:paraId="24B4858C" w14:textId="77777777" w:rsidR="008D7666"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 xml:space="preserve">A peptone-based medium was prepared to facilitate the growth of histamine-producing bacteria. Peptone is widely recognized as an effective nitrogen source that supports the proliferation of various bacterial strains, especially those responsible for histamine production (Food and Agriculture Organization [FAO], 2013). Peptone media enhances bacterial growth by providing essential amino acids, carbon sources, and growth factors that stimulate enzyme activity involved in histamine biosynthesis (Feng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2016</w:t>
      </w:r>
      <w:proofErr w:type="gramStart"/>
      <w:r w:rsidRPr="008D7666">
        <w:rPr>
          <w:rFonts w:ascii="Arial" w:eastAsia="Times New Roman" w:hAnsi="Arial" w:cs="Arial"/>
          <w:kern w:val="28"/>
          <w:sz w:val="20"/>
          <w:szCs w:val="20"/>
        </w:rPr>
        <w:t>).Histamine</w:t>
      </w:r>
      <w:proofErr w:type="gramEnd"/>
      <w:r w:rsidRPr="008D7666">
        <w:rPr>
          <w:rFonts w:ascii="Arial" w:eastAsia="Times New Roman" w:hAnsi="Arial" w:cs="Arial"/>
          <w:kern w:val="28"/>
          <w:sz w:val="20"/>
          <w:szCs w:val="20"/>
        </w:rPr>
        <w:t xml:space="preserve">-forming bacteria such as </w:t>
      </w:r>
      <w:proofErr w:type="spellStart"/>
      <w:r w:rsidRPr="008D7666">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8D7666">
        <w:rPr>
          <w:rFonts w:ascii="Arial" w:eastAsia="Times New Roman" w:hAnsi="Arial" w:cs="Arial"/>
          <w:i/>
          <w:iCs/>
          <w:kern w:val="28"/>
          <w:sz w:val="20"/>
          <w:szCs w:val="20"/>
        </w:rPr>
        <w:t xml:space="preserve">morganii, Proteus vulgaris, and </w:t>
      </w:r>
      <w:proofErr w:type="spellStart"/>
      <w:r w:rsidRPr="008D7666">
        <w:rPr>
          <w:rFonts w:ascii="Arial" w:eastAsia="Times New Roman" w:hAnsi="Arial" w:cs="Arial"/>
          <w:i/>
          <w:iCs/>
          <w:kern w:val="28"/>
          <w:sz w:val="20"/>
          <w:szCs w:val="20"/>
        </w:rPr>
        <w:t>Enterobacteraerogenes</w:t>
      </w:r>
      <w:proofErr w:type="spellEnd"/>
      <w:r w:rsidRPr="008D7666">
        <w:rPr>
          <w:rFonts w:ascii="Arial" w:eastAsia="Times New Roman" w:hAnsi="Arial" w:cs="Arial"/>
          <w:kern w:val="28"/>
          <w:sz w:val="20"/>
          <w:szCs w:val="20"/>
        </w:rPr>
        <w:t xml:space="preserve"> demonstrate optimal growth in protein-enriched environments like peptone broth. Studies have confirmed that peptone-based media are effective in isolating bacteria capable of producing histamine via the decarboxylation of histidine, a common amino acid present in seafood (Lehane</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&amp;</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Olley, 2000).</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 xml:space="preserve">Additionally, peptone media creates </w:t>
      </w:r>
      <w:proofErr w:type="spellStart"/>
      <w:r w:rsidRPr="008D7666">
        <w:rPr>
          <w:rFonts w:ascii="Arial" w:eastAsia="Times New Roman" w:hAnsi="Arial" w:cs="Arial"/>
          <w:kern w:val="28"/>
          <w:sz w:val="20"/>
          <w:szCs w:val="20"/>
        </w:rPr>
        <w:t>favorable</w:t>
      </w:r>
      <w:proofErr w:type="spellEnd"/>
      <w:r w:rsidRPr="008D7666">
        <w:rPr>
          <w:rFonts w:ascii="Arial" w:eastAsia="Times New Roman" w:hAnsi="Arial" w:cs="Arial"/>
          <w:kern w:val="28"/>
          <w:sz w:val="20"/>
          <w:szCs w:val="20"/>
        </w:rPr>
        <w:t xml:space="preserve"> conditions for bacterial metabolism, supporting the expression of histidine decarboxylase genes. According to </w:t>
      </w:r>
      <w:r w:rsidR="00515EE7">
        <w:rPr>
          <w:rFonts w:ascii="Arial" w:hAnsi="Arial" w:cs="Arial"/>
          <w:color w:val="222222"/>
          <w:sz w:val="20"/>
          <w:szCs w:val="20"/>
          <w:shd w:val="clear" w:color="auto" w:fill="FFFFFF"/>
        </w:rPr>
        <w:t>Kobayashi</w:t>
      </w:r>
      <w:r w:rsidR="00CE0DBE">
        <w:rPr>
          <w:rFonts w:ascii="Arial" w:hAnsi="Arial" w:cs="Arial"/>
          <w:color w:val="222222"/>
          <w:sz w:val="20"/>
          <w:szCs w:val="20"/>
          <w:shd w:val="clear" w:color="auto" w:fill="FFFFFF"/>
        </w:rPr>
        <w:t xml:space="preserve"> </w:t>
      </w:r>
      <w:r w:rsidR="00515EE7" w:rsidRPr="00515EE7">
        <w:rPr>
          <w:rFonts w:ascii="Arial" w:eastAsia="Times New Roman" w:hAnsi="Arial" w:cs="Arial"/>
          <w:i/>
          <w:iCs/>
          <w:kern w:val="28"/>
          <w:sz w:val="20"/>
          <w:szCs w:val="20"/>
        </w:rPr>
        <w:t>et al.</w:t>
      </w:r>
      <w:r w:rsidR="00515EE7">
        <w:rPr>
          <w:rFonts w:ascii="Arial" w:eastAsia="Times New Roman" w:hAnsi="Arial" w:cs="Arial"/>
          <w:kern w:val="28"/>
          <w:sz w:val="20"/>
          <w:szCs w:val="20"/>
        </w:rPr>
        <w:t xml:space="preserve"> (2016</w:t>
      </w:r>
      <w:r w:rsidRPr="008D7666">
        <w:rPr>
          <w:rFonts w:ascii="Arial" w:eastAsia="Times New Roman" w:hAnsi="Arial" w:cs="Arial"/>
          <w:kern w:val="28"/>
          <w:sz w:val="20"/>
          <w:szCs w:val="20"/>
        </w:rPr>
        <w:t>), peptone-based media significantly enhances the detection of histamine-producing bacteria, particularly in seafood samples stored at elevated temperatures. This enrichment method is crucial for isolating target bacterial strains that actively contr</w:t>
      </w:r>
      <w:r>
        <w:rPr>
          <w:rFonts w:ascii="Arial" w:eastAsia="Times New Roman" w:hAnsi="Arial" w:cs="Arial"/>
          <w:kern w:val="28"/>
          <w:sz w:val="20"/>
          <w:szCs w:val="20"/>
        </w:rPr>
        <w:t xml:space="preserve">ibute to histamine accumulation. </w:t>
      </w:r>
      <w:r w:rsidRPr="008D7666">
        <w:rPr>
          <w:rFonts w:ascii="Arial" w:eastAsia="Times New Roman" w:hAnsi="Arial" w:cs="Arial"/>
          <w:kern w:val="28"/>
          <w:sz w:val="20"/>
          <w:szCs w:val="20"/>
        </w:rPr>
        <w:t xml:space="preserve">The prepared </w:t>
      </w:r>
      <w:r w:rsidRPr="008D7666">
        <w:rPr>
          <w:rFonts w:ascii="Arial" w:eastAsia="Times New Roman" w:hAnsi="Arial" w:cs="Arial"/>
          <w:kern w:val="28"/>
          <w:sz w:val="20"/>
          <w:szCs w:val="20"/>
        </w:rPr>
        <w:lastRenderedPageBreak/>
        <w:t>peptone medium, therefore, ensured optimal growth conditions for histamine-producing bacteria, aligning with established methods for food microbiological analysis (</w:t>
      </w:r>
      <w:r w:rsidR="00515EE7">
        <w:rPr>
          <w:rFonts w:ascii="Arial" w:hAnsi="Arial" w:cs="Arial"/>
          <w:color w:val="222222"/>
          <w:sz w:val="20"/>
          <w:szCs w:val="20"/>
          <w:shd w:val="clear" w:color="auto" w:fill="FFFFFF"/>
        </w:rPr>
        <w:t>Qasim</w:t>
      </w:r>
      <w:r w:rsidR="00515EE7">
        <w:rPr>
          <w:rFonts w:ascii="Arial" w:eastAsia="Times New Roman" w:hAnsi="Arial" w:cs="Arial"/>
          <w:i/>
          <w:iCs/>
          <w:kern w:val="28"/>
          <w:sz w:val="20"/>
          <w:szCs w:val="20"/>
        </w:rPr>
        <w:t xml:space="preserve">, </w:t>
      </w:r>
      <w:r w:rsidR="00515EE7">
        <w:rPr>
          <w:rFonts w:ascii="Arial" w:eastAsia="Times New Roman" w:hAnsi="Arial" w:cs="Arial"/>
          <w:kern w:val="28"/>
          <w:sz w:val="20"/>
          <w:szCs w:val="20"/>
        </w:rPr>
        <w:t>2023</w:t>
      </w:r>
      <w:r w:rsidRPr="008D7666">
        <w:rPr>
          <w:rFonts w:ascii="Arial" w:eastAsia="Times New Roman" w:hAnsi="Arial" w:cs="Arial"/>
          <w:kern w:val="28"/>
          <w:sz w:val="20"/>
          <w:szCs w:val="20"/>
        </w:rPr>
        <w:t>).</w:t>
      </w:r>
    </w:p>
    <w:p w14:paraId="3C74148A" w14:textId="77777777" w:rsidR="008D7666" w:rsidRPr="008D7666" w:rsidRDefault="008D7666" w:rsidP="008D7666">
      <w:pPr>
        <w:pStyle w:val="ListParagraph"/>
        <w:numPr>
          <w:ilvl w:val="1"/>
          <w:numId w:val="1"/>
        </w:numPr>
        <w:spacing w:line="240" w:lineRule="auto"/>
        <w:ind w:left="720"/>
        <w:rPr>
          <w:rFonts w:ascii="Arial" w:eastAsia="Times New Roman" w:hAnsi="Arial" w:cs="Arial"/>
          <w:b/>
          <w:bCs/>
          <w:kern w:val="28"/>
        </w:rPr>
      </w:pPr>
      <w:r w:rsidRPr="008D7666">
        <w:rPr>
          <w:rFonts w:ascii="Arial" w:eastAsia="Times New Roman" w:hAnsi="Arial" w:cs="Arial"/>
          <w:b/>
          <w:bCs/>
          <w:kern w:val="28"/>
        </w:rPr>
        <w:t>Specification of bacteria</w:t>
      </w:r>
    </w:p>
    <w:p w14:paraId="4C44D350" w14:textId="77777777" w:rsidR="008D7666" w:rsidRPr="008D7666"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 xml:space="preserve">Bacterial identification was performed using selective agar media to isolate and confirm histamine-producing species commonly found in seafood samples. Various selective media, including Citro-medium Agar, Thiosulfate-Citrate-Bile-Sucrose (TCBS) Agar, Eosin Methylene Blue (EMB) Agar, MacConkey Agar, and Salmonella-Shigella (SS) Agar, were prepared in appropriate concentrations to enhance bacterial growth and differentiation. Each of these agars offers unique properties that target specific bacterial strains associated with histamine </w:t>
      </w:r>
      <w:proofErr w:type="spellStart"/>
      <w:proofErr w:type="gramStart"/>
      <w:r w:rsidRPr="008D7666">
        <w:rPr>
          <w:rFonts w:ascii="Arial" w:eastAsia="Times New Roman" w:hAnsi="Arial" w:cs="Arial"/>
          <w:kern w:val="28"/>
          <w:sz w:val="20"/>
          <w:szCs w:val="20"/>
        </w:rPr>
        <w:t>formation.The</w:t>
      </w:r>
      <w:proofErr w:type="spellEnd"/>
      <w:proofErr w:type="gramEnd"/>
      <w:r w:rsidRPr="008D7666">
        <w:rPr>
          <w:rFonts w:ascii="Arial" w:eastAsia="Times New Roman" w:hAnsi="Arial" w:cs="Arial"/>
          <w:kern w:val="28"/>
          <w:sz w:val="20"/>
          <w:szCs w:val="20"/>
        </w:rPr>
        <w:t xml:space="preserve"> use of Citro-medium Agar is known for isolating </w:t>
      </w:r>
      <w:r w:rsidRPr="006C51F9">
        <w:rPr>
          <w:rFonts w:ascii="Arial" w:eastAsia="Times New Roman" w:hAnsi="Arial" w:cs="Arial"/>
          <w:i/>
          <w:iCs/>
          <w:kern w:val="28"/>
          <w:sz w:val="20"/>
          <w:szCs w:val="20"/>
        </w:rPr>
        <w:t>Citrobacter</w:t>
      </w:r>
      <w:r w:rsidRPr="008D7666">
        <w:rPr>
          <w:rFonts w:ascii="Arial" w:eastAsia="Times New Roman" w:hAnsi="Arial" w:cs="Arial"/>
          <w:kern w:val="28"/>
          <w:sz w:val="20"/>
          <w:szCs w:val="20"/>
        </w:rPr>
        <w:t xml:space="preserve"> species, which are opportunistic pathogens found in contaminated seafood (</w:t>
      </w:r>
      <w:proofErr w:type="spellStart"/>
      <w:r w:rsidRPr="008D7666">
        <w:rPr>
          <w:rFonts w:ascii="Arial" w:eastAsia="Times New Roman" w:hAnsi="Arial" w:cs="Arial"/>
          <w:kern w:val="28"/>
          <w:sz w:val="20"/>
          <w:szCs w:val="20"/>
        </w:rPr>
        <w:t>Ravishankar</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2002). TCBS Agar is selective for Vibrio species, particularly </w:t>
      </w:r>
      <w:r w:rsidRPr="002146D8">
        <w:rPr>
          <w:rFonts w:ascii="Arial" w:eastAsia="Times New Roman" w:hAnsi="Arial" w:cs="Arial"/>
          <w:i/>
          <w:iCs/>
          <w:kern w:val="28"/>
          <w:sz w:val="20"/>
          <w:szCs w:val="20"/>
        </w:rPr>
        <w:t>Vibrio parahaemolyticus</w:t>
      </w:r>
      <w:r w:rsidRPr="008D7666">
        <w:rPr>
          <w:rFonts w:ascii="Arial" w:eastAsia="Times New Roman" w:hAnsi="Arial" w:cs="Arial"/>
          <w:kern w:val="28"/>
          <w:sz w:val="20"/>
          <w:szCs w:val="20"/>
        </w:rPr>
        <w:t xml:space="preserve"> and </w:t>
      </w:r>
      <w:r w:rsidRPr="002146D8">
        <w:rPr>
          <w:rFonts w:ascii="Arial" w:eastAsia="Times New Roman" w:hAnsi="Arial" w:cs="Arial"/>
          <w:i/>
          <w:iCs/>
          <w:kern w:val="28"/>
          <w:sz w:val="20"/>
          <w:szCs w:val="20"/>
        </w:rPr>
        <w:t>Vibrio vulnificus</w:t>
      </w:r>
      <w:r w:rsidRPr="008D7666">
        <w:rPr>
          <w:rFonts w:ascii="Arial" w:eastAsia="Times New Roman" w:hAnsi="Arial" w:cs="Arial"/>
          <w:kern w:val="28"/>
          <w:sz w:val="20"/>
          <w:szCs w:val="20"/>
        </w:rPr>
        <w:t xml:space="preserve">, which have been linked to histamine production in marine environments (Su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2011). EMB Agar is commonly employed to isolate Gram-negative enteric bacteria such as </w:t>
      </w:r>
      <w:r w:rsidRPr="008D7666">
        <w:rPr>
          <w:rFonts w:ascii="Arial" w:eastAsia="Times New Roman" w:hAnsi="Arial" w:cs="Arial"/>
          <w:i/>
          <w:iCs/>
          <w:kern w:val="28"/>
          <w:sz w:val="20"/>
          <w:szCs w:val="20"/>
        </w:rPr>
        <w:t>Klebsiella</w:t>
      </w:r>
      <w:r w:rsidR="00CE0DBE">
        <w:rPr>
          <w:rFonts w:ascii="Arial" w:eastAsia="Times New Roman" w:hAnsi="Arial" w:cs="Arial"/>
          <w:i/>
          <w:iCs/>
          <w:kern w:val="28"/>
          <w:sz w:val="20"/>
          <w:szCs w:val="20"/>
        </w:rPr>
        <w:t xml:space="preserve"> </w:t>
      </w:r>
      <w:r w:rsidRPr="008D7666">
        <w:rPr>
          <w:rFonts w:ascii="Arial" w:eastAsia="Times New Roman" w:hAnsi="Arial" w:cs="Arial"/>
          <w:i/>
          <w:iCs/>
          <w:kern w:val="28"/>
          <w:sz w:val="20"/>
          <w:szCs w:val="20"/>
        </w:rPr>
        <w:t>pneumoniae</w:t>
      </w:r>
      <w:r w:rsidRPr="008D7666">
        <w:rPr>
          <w:rFonts w:ascii="Arial" w:eastAsia="Times New Roman" w:hAnsi="Arial" w:cs="Arial"/>
          <w:kern w:val="28"/>
          <w:sz w:val="20"/>
          <w:szCs w:val="20"/>
        </w:rPr>
        <w:t xml:space="preserve"> and </w:t>
      </w:r>
      <w:r w:rsidRPr="008D7666">
        <w:rPr>
          <w:rFonts w:ascii="Arial" w:eastAsia="Times New Roman" w:hAnsi="Arial" w:cs="Arial"/>
          <w:i/>
          <w:iCs/>
          <w:kern w:val="28"/>
          <w:sz w:val="20"/>
          <w:szCs w:val="20"/>
        </w:rPr>
        <w:t>Escherichia coli,</w:t>
      </w:r>
      <w:r w:rsidRPr="008D7666">
        <w:rPr>
          <w:rFonts w:ascii="Arial" w:eastAsia="Times New Roman" w:hAnsi="Arial" w:cs="Arial"/>
          <w:kern w:val="28"/>
          <w:sz w:val="20"/>
          <w:szCs w:val="20"/>
        </w:rPr>
        <w:t xml:space="preserve"> which are capable of producing histamine by decarb</w:t>
      </w:r>
      <w:r w:rsidR="00DB07E9">
        <w:rPr>
          <w:rFonts w:ascii="Arial" w:eastAsia="Times New Roman" w:hAnsi="Arial" w:cs="Arial"/>
          <w:kern w:val="28"/>
          <w:sz w:val="20"/>
          <w:szCs w:val="20"/>
        </w:rPr>
        <w:t>oxylating histidine (Yoshinaga and</w:t>
      </w:r>
      <w:r w:rsidRPr="008D7666">
        <w:rPr>
          <w:rFonts w:ascii="Arial" w:eastAsia="Times New Roman" w:hAnsi="Arial" w:cs="Arial"/>
          <w:kern w:val="28"/>
          <w:sz w:val="20"/>
          <w:szCs w:val="20"/>
        </w:rPr>
        <w:t xml:space="preserve"> Frank, 1982). MacConkey Agar, another effective medium for detecting enteric pathogens, was crucial in identifying </w:t>
      </w:r>
      <w:proofErr w:type="spellStart"/>
      <w:r w:rsidRPr="008D7666">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8D7666">
        <w:rPr>
          <w:rFonts w:ascii="Arial" w:eastAsia="Times New Roman" w:hAnsi="Arial" w:cs="Arial"/>
          <w:i/>
          <w:iCs/>
          <w:kern w:val="28"/>
          <w:sz w:val="20"/>
          <w:szCs w:val="20"/>
        </w:rPr>
        <w:t>morganii</w:t>
      </w:r>
      <w:r w:rsidRPr="008D7666">
        <w:rPr>
          <w:rFonts w:ascii="Arial" w:eastAsia="Times New Roman" w:hAnsi="Arial" w:cs="Arial"/>
          <w:kern w:val="28"/>
          <w:sz w:val="20"/>
          <w:szCs w:val="20"/>
        </w:rPr>
        <w:t>, a primary histamine producer known to thrive in protein-rich seafood samples (</w:t>
      </w:r>
      <w:proofErr w:type="spellStart"/>
      <w:r w:rsidR="002146D8">
        <w:rPr>
          <w:rFonts w:ascii="Arial" w:hAnsi="Arial" w:cs="Arial"/>
          <w:color w:val="222222"/>
          <w:sz w:val="20"/>
          <w:szCs w:val="20"/>
          <w:shd w:val="clear" w:color="auto" w:fill="FFFFFF"/>
        </w:rPr>
        <w:t>Koutsoumanis</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002146D8">
        <w:rPr>
          <w:rFonts w:ascii="Arial" w:eastAsia="Times New Roman" w:hAnsi="Arial" w:cs="Arial"/>
          <w:kern w:val="28"/>
          <w:sz w:val="20"/>
          <w:szCs w:val="20"/>
        </w:rPr>
        <w:t>2009</w:t>
      </w:r>
      <w:r w:rsidRPr="008D7666">
        <w:rPr>
          <w:rFonts w:ascii="Arial" w:eastAsia="Times New Roman" w:hAnsi="Arial" w:cs="Arial"/>
          <w:kern w:val="28"/>
          <w:sz w:val="20"/>
          <w:szCs w:val="20"/>
        </w:rPr>
        <w:t xml:space="preserve">). SS Agar further aids in isolating Salmonella and </w:t>
      </w:r>
      <w:r w:rsidRPr="00CE0DBE">
        <w:rPr>
          <w:rFonts w:ascii="Arial" w:eastAsia="Times New Roman" w:hAnsi="Arial" w:cs="Arial"/>
          <w:i/>
          <w:kern w:val="28"/>
          <w:sz w:val="20"/>
          <w:szCs w:val="20"/>
        </w:rPr>
        <w:t>Shigella</w:t>
      </w:r>
      <w:r w:rsidRPr="008D7666">
        <w:rPr>
          <w:rFonts w:ascii="Arial" w:eastAsia="Times New Roman" w:hAnsi="Arial" w:cs="Arial"/>
          <w:kern w:val="28"/>
          <w:sz w:val="20"/>
          <w:szCs w:val="20"/>
        </w:rPr>
        <w:t xml:space="preserve"> species, which, although less common, can also contribute to seafood spoilage and histamine formation (Fang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2003</w:t>
      </w:r>
      <w:proofErr w:type="gramStart"/>
      <w:r w:rsidRPr="008D7666">
        <w:rPr>
          <w:rFonts w:ascii="Arial" w:eastAsia="Times New Roman" w:hAnsi="Arial" w:cs="Arial"/>
          <w:kern w:val="28"/>
          <w:sz w:val="20"/>
          <w:szCs w:val="20"/>
        </w:rPr>
        <w:t>).The</w:t>
      </w:r>
      <w:proofErr w:type="gramEnd"/>
      <w:r w:rsidRPr="008D7666">
        <w:rPr>
          <w:rFonts w:ascii="Arial" w:eastAsia="Times New Roman" w:hAnsi="Arial" w:cs="Arial"/>
          <w:kern w:val="28"/>
          <w:sz w:val="20"/>
          <w:szCs w:val="20"/>
        </w:rPr>
        <w:t xml:space="preserve"> preparation of these selective media under sterile conditions ensured effective bacterial isolation by minimizing contamination. This method is widely adopted in food microbiology for the identification of histamine-producing bacteria and their potential to cause scombroid fish poisoning (Lehane</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&amp;</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Olley, 2000).</w:t>
      </w:r>
    </w:p>
    <w:p w14:paraId="076B9475" w14:textId="77777777" w:rsidR="008D7666" w:rsidRDefault="008D7666" w:rsidP="008D7666">
      <w:pPr>
        <w:spacing w:line="240" w:lineRule="auto"/>
        <w:jc w:val="both"/>
        <w:rPr>
          <w:rFonts w:ascii="Arial" w:eastAsia="Times New Roman" w:hAnsi="Arial" w:cs="Arial"/>
          <w:kern w:val="28"/>
          <w:sz w:val="20"/>
          <w:szCs w:val="20"/>
        </w:rPr>
      </w:pPr>
      <w:r w:rsidRPr="008D7666">
        <w:rPr>
          <w:rFonts w:ascii="Arial" w:eastAsia="Times New Roman" w:hAnsi="Arial" w:cs="Arial"/>
          <w:kern w:val="28"/>
          <w:sz w:val="20"/>
          <w:szCs w:val="20"/>
        </w:rPr>
        <w:t>Following media preparation, bacterial cultures were streaked onto the agar plates using a sterile inoculating loop in a zigzag pattern to promote distinct colony formation. The streaking method is highly effective in isolating bacterial strains from mixed microbial populations, enabling the identification of individual colonies for further analysis (</w:t>
      </w:r>
      <w:proofErr w:type="spellStart"/>
      <w:r w:rsidRPr="008D7666">
        <w:rPr>
          <w:rFonts w:ascii="Arial" w:eastAsia="Times New Roman" w:hAnsi="Arial" w:cs="Arial"/>
          <w:kern w:val="28"/>
          <w:sz w:val="20"/>
          <w:szCs w:val="20"/>
        </w:rPr>
        <w:t>Rawles</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1996). Incubation at 37°C for 24 hours provided optimal conditions for bacterial growth, especially for histamine-forming species commonly found in seafood samples. Studies have emphasized that proper incubation conditions enhance the visibility of characteristic bacterial colonies, improving diagnostic accuracy (</w:t>
      </w:r>
      <w:proofErr w:type="spellStart"/>
      <w:r w:rsidRPr="008D7666">
        <w:rPr>
          <w:rFonts w:ascii="Arial" w:eastAsia="Times New Roman" w:hAnsi="Arial" w:cs="Arial"/>
          <w:kern w:val="28"/>
          <w:sz w:val="20"/>
          <w:szCs w:val="20"/>
        </w:rPr>
        <w:t>Ravishankar</w:t>
      </w:r>
      <w:r w:rsidR="009B77F9" w:rsidRPr="009B77F9">
        <w:rPr>
          <w:rFonts w:ascii="Arial" w:eastAsia="Times New Roman" w:hAnsi="Arial" w:cs="Arial"/>
          <w:i/>
          <w:iCs/>
          <w:kern w:val="28"/>
          <w:sz w:val="20"/>
          <w:szCs w:val="20"/>
        </w:rPr>
        <w:t>et</w:t>
      </w:r>
      <w:proofErr w:type="spellEnd"/>
      <w:r w:rsidR="009B77F9" w:rsidRPr="009B77F9">
        <w:rPr>
          <w:rFonts w:ascii="Arial" w:eastAsia="Times New Roman" w:hAnsi="Arial" w:cs="Arial"/>
          <w:i/>
          <w:iCs/>
          <w:kern w:val="28"/>
          <w:sz w:val="20"/>
          <w:szCs w:val="20"/>
        </w:rPr>
        <w:t xml:space="preserve"> al.,</w:t>
      </w:r>
      <w:r w:rsidRPr="008D7666">
        <w:rPr>
          <w:rFonts w:ascii="Arial" w:eastAsia="Times New Roman" w:hAnsi="Arial" w:cs="Arial"/>
          <w:kern w:val="28"/>
          <w:sz w:val="20"/>
          <w:szCs w:val="20"/>
        </w:rPr>
        <w:t xml:space="preserve"> 2002).</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 xml:space="preserve">Post-incubation, distinct bacterial colonies were observed on Cetrimide Agar, TCBS Agar, and MacConkey Agar. Growth on Cetrimide Agar confirmed the presence of </w:t>
      </w:r>
      <w:r w:rsidRPr="006C51F9">
        <w:rPr>
          <w:rFonts w:ascii="Arial" w:eastAsia="Times New Roman" w:hAnsi="Arial" w:cs="Arial"/>
          <w:i/>
          <w:iCs/>
          <w:kern w:val="28"/>
          <w:sz w:val="20"/>
          <w:szCs w:val="20"/>
        </w:rPr>
        <w:t>Pseudomonas aeruginosa</w:t>
      </w:r>
      <w:r w:rsidRPr="008D7666">
        <w:rPr>
          <w:rFonts w:ascii="Arial" w:eastAsia="Times New Roman" w:hAnsi="Arial" w:cs="Arial"/>
          <w:kern w:val="28"/>
          <w:sz w:val="20"/>
          <w:szCs w:val="20"/>
        </w:rPr>
        <w:t xml:space="preserve">, a spoilage organism capable of producing histamine under </w:t>
      </w:r>
      <w:proofErr w:type="spellStart"/>
      <w:r w:rsidRPr="008D7666">
        <w:rPr>
          <w:rFonts w:ascii="Arial" w:eastAsia="Times New Roman" w:hAnsi="Arial" w:cs="Arial"/>
          <w:kern w:val="28"/>
          <w:sz w:val="20"/>
          <w:szCs w:val="20"/>
        </w:rPr>
        <w:t>favorable</w:t>
      </w:r>
      <w:proofErr w:type="spellEnd"/>
      <w:r w:rsidRPr="008D7666">
        <w:rPr>
          <w:rFonts w:ascii="Arial" w:eastAsia="Times New Roman" w:hAnsi="Arial" w:cs="Arial"/>
          <w:kern w:val="28"/>
          <w:sz w:val="20"/>
          <w:szCs w:val="20"/>
        </w:rPr>
        <w:t xml:space="preserve"> conditions (Fang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2003). On TCBS Agar, yellow and green colonies were indicative of </w:t>
      </w:r>
      <w:r w:rsidRPr="006C51F9">
        <w:rPr>
          <w:rFonts w:ascii="Arial" w:eastAsia="Times New Roman" w:hAnsi="Arial" w:cs="Arial"/>
          <w:i/>
          <w:iCs/>
          <w:kern w:val="28"/>
          <w:sz w:val="20"/>
          <w:szCs w:val="20"/>
        </w:rPr>
        <w:t>Vibrio parahaemolyticus</w:t>
      </w:r>
      <w:r w:rsidRPr="008D7666">
        <w:rPr>
          <w:rFonts w:ascii="Arial" w:eastAsia="Times New Roman" w:hAnsi="Arial" w:cs="Arial"/>
          <w:kern w:val="28"/>
          <w:sz w:val="20"/>
          <w:szCs w:val="20"/>
        </w:rPr>
        <w:t xml:space="preserve"> and </w:t>
      </w:r>
      <w:r w:rsidRPr="006C51F9">
        <w:rPr>
          <w:rFonts w:ascii="Arial" w:eastAsia="Times New Roman" w:hAnsi="Arial" w:cs="Arial"/>
          <w:i/>
          <w:iCs/>
          <w:kern w:val="28"/>
          <w:sz w:val="20"/>
          <w:szCs w:val="20"/>
        </w:rPr>
        <w:t>Vibrio vulnificus</w:t>
      </w:r>
      <w:r w:rsidRPr="008D7666">
        <w:rPr>
          <w:rFonts w:ascii="Arial" w:eastAsia="Times New Roman" w:hAnsi="Arial" w:cs="Arial"/>
          <w:kern w:val="28"/>
          <w:sz w:val="20"/>
          <w:szCs w:val="20"/>
        </w:rPr>
        <w:t xml:space="preserve">, respectively — two known seafood-associated pathogens linked to histamine accumulation (Su </w:t>
      </w:r>
      <w:r w:rsidR="009B77F9" w:rsidRPr="009B77F9">
        <w:rPr>
          <w:rFonts w:ascii="Arial" w:eastAsia="Times New Roman" w:hAnsi="Arial" w:cs="Arial"/>
          <w:i/>
          <w:iCs/>
          <w:kern w:val="28"/>
          <w:sz w:val="20"/>
          <w:szCs w:val="20"/>
        </w:rPr>
        <w:t>et al.,</w:t>
      </w:r>
      <w:r w:rsidRPr="008D7666">
        <w:rPr>
          <w:rFonts w:ascii="Arial" w:eastAsia="Times New Roman" w:hAnsi="Arial" w:cs="Arial"/>
          <w:kern w:val="28"/>
          <w:sz w:val="20"/>
          <w:szCs w:val="20"/>
        </w:rPr>
        <w:t xml:space="preserve"> 2011). MacConkey Agar exhibited pink-</w:t>
      </w:r>
      <w:proofErr w:type="spellStart"/>
      <w:r w:rsidRPr="008D7666">
        <w:rPr>
          <w:rFonts w:ascii="Arial" w:eastAsia="Times New Roman" w:hAnsi="Arial" w:cs="Arial"/>
          <w:kern w:val="28"/>
          <w:sz w:val="20"/>
          <w:szCs w:val="20"/>
        </w:rPr>
        <w:t>colored</w:t>
      </w:r>
      <w:proofErr w:type="spellEnd"/>
      <w:r w:rsidRPr="008D7666">
        <w:rPr>
          <w:rFonts w:ascii="Arial" w:eastAsia="Times New Roman" w:hAnsi="Arial" w:cs="Arial"/>
          <w:kern w:val="28"/>
          <w:sz w:val="20"/>
          <w:szCs w:val="20"/>
        </w:rPr>
        <w:t xml:space="preserve"> lactose-fermenting colonies characteristic of </w:t>
      </w:r>
      <w:r w:rsidRPr="006C51F9">
        <w:rPr>
          <w:rFonts w:ascii="Arial" w:eastAsia="Times New Roman" w:hAnsi="Arial" w:cs="Arial"/>
          <w:i/>
          <w:iCs/>
          <w:kern w:val="28"/>
          <w:sz w:val="20"/>
          <w:szCs w:val="20"/>
        </w:rPr>
        <w:t>Klebsiella</w:t>
      </w:r>
      <w:r w:rsidR="00CE0DBE">
        <w:rPr>
          <w:rFonts w:ascii="Arial" w:eastAsia="Times New Roman" w:hAnsi="Arial" w:cs="Arial"/>
          <w:i/>
          <w:iCs/>
          <w:kern w:val="28"/>
          <w:sz w:val="20"/>
          <w:szCs w:val="20"/>
        </w:rPr>
        <w:t xml:space="preserve"> </w:t>
      </w:r>
      <w:r w:rsidRPr="006C51F9">
        <w:rPr>
          <w:rFonts w:ascii="Arial" w:eastAsia="Times New Roman" w:hAnsi="Arial" w:cs="Arial"/>
          <w:i/>
          <w:iCs/>
          <w:kern w:val="28"/>
          <w:sz w:val="20"/>
          <w:szCs w:val="20"/>
        </w:rPr>
        <w:t>pneumoniae</w:t>
      </w:r>
      <w:r w:rsidRPr="008D7666">
        <w:rPr>
          <w:rFonts w:ascii="Arial" w:eastAsia="Times New Roman" w:hAnsi="Arial" w:cs="Arial"/>
          <w:kern w:val="28"/>
          <w:sz w:val="20"/>
          <w:szCs w:val="20"/>
        </w:rPr>
        <w:t>, a potent histamine producer in marine environments (Yoshinaga</w:t>
      </w:r>
      <w:r w:rsidR="00CE0DBE">
        <w:rPr>
          <w:rFonts w:ascii="Arial" w:eastAsia="Times New Roman" w:hAnsi="Arial" w:cs="Arial"/>
          <w:kern w:val="28"/>
          <w:sz w:val="20"/>
          <w:szCs w:val="20"/>
        </w:rPr>
        <w:t xml:space="preserve"> </w:t>
      </w:r>
      <w:r w:rsidRPr="008D7666">
        <w:rPr>
          <w:rFonts w:ascii="Arial" w:eastAsia="Times New Roman" w:hAnsi="Arial" w:cs="Arial"/>
          <w:kern w:val="28"/>
          <w:sz w:val="20"/>
          <w:szCs w:val="20"/>
        </w:rPr>
        <w:t>&amp; Frank, 1982).</w:t>
      </w:r>
      <w:r w:rsidR="00CE0DBE">
        <w:rPr>
          <w:rFonts w:ascii="Arial" w:eastAsia="Times New Roman" w:hAnsi="Arial" w:cs="Arial"/>
          <w:kern w:val="28"/>
          <w:sz w:val="20"/>
          <w:szCs w:val="20"/>
        </w:rPr>
        <w:t xml:space="preserve"> </w:t>
      </w:r>
      <w:proofErr w:type="spellStart"/>
      <w:r w:rsidRPr="002146D8">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2146D8">
        <w:rPr>
          <w:rFonts w:ascii="Arial" w:eastAsia="Times New Roman" w:hAnsi="Arial" w:cs="Arial"/>
          <w:i/>
          <w:iCs/>
          <w:kern w:val="28"/>
          <w:sz w:val="20"/>
          <w:szCs w:val="20"/>
        </w:rPr>
        <w:t>morganii</w:t>
      </w:r>
      <w:r w:rsidRPr="008D7666">
        <w:rPr>
          <w:rFonts w:ascii="Arial" w:eastAsia="Times New Roman" w:hAnsi="Arial" w:cs="Arial"/>
          <w:kern w:val="28"/>
          <w:sz w:val="20"/>
          <w:szCs w:val="20"/>
        </w:rPr>
        <w:t>, in particular, is considered a primary contributor to histamine accumulation in seafood due to its robust histidine decarboxylase enzyme system. Detecting these organisms using selective media highlights their presence in prawn samples and underscores the importance of maintaining proper seafood storage conditions to prevent histamine-related foodborne illnesses.</w:t>
      </w:r>
    </w:p>
    <w:p w14:paraId="452B11AA" w14:textId="77777777" w:rsidR="006C51F9" w:rsidRPr="006C51F9" w:rsidRDefault="006C51F9" w:rsidP="006C51F9">
      <w:pPr>
        <w:pStyle w:val="ListParagraph"/>
        <w:numPr>
          <w:ilvl w:val="1"/>
          <w:numId w:val="1"/>
        </w:numPr>
        <w:spacing w:line="240" w:lineRule="auto"/>
        <w:ind w:left="720"/>
        <w:jc w:val="both"/>
        <w:rPr>
          <w:rFonts w:ascii="Arial" w:eastAsia="Times New Roman" w:hAnsi="Arial" w:cs="Arial"/>
          <w:b/>
          <w:bCs/>
          <w:kern w:val="28"/>
        </w:rPr>
      </w:pPr>
      <w:r w:rsidRPr="006C51F9">
        <w:rPr>
          <w:rFonts w:ascii="Arial" w:eastAsia="Times New Roman" w:hAnsi="Arial" w:cs="Arial"/>
          <w:b/>
          <w:bCs/>
          <w:kern w:val="28"/>
        </w:rPr>
        <w:t>Antibiotic Susceptibility Test</w:t>
      </w:r>
    </w:p>
    <w:p w14:paraId="20517356" w14:textId="77777777" w:rsidR="006C51F9" w:rsidRDefault="006C51F9" w:rsidP="006C51F9">
      <w:pPr>
        <w:spacing w:line="240" w:lineRule="auto"/>
        <w:jc w:val="both"/>
        <w:rPr>
          <w:rFonts w:ascii="Arial" w:eastAsia="Times New Roman" w:hAnsi="Arial" w:cs="Arial"/>
          <w:kern w:val="28"/>
          <w:sz w:val="20"/>
          <w:szCs w:val="20"/>
        </w:rPr>
      </w:pPr>
      <w:r w:rsidRPr="006C51F9">
        <w:rPr>
          <w:rFonts w:ascii="Arial" w:eastAsia="Times New Roman" w:hAnsi="Arial" w:cs="Arial"/>
          <w:kern w:val="28"/>
          <w:sz w:val="20"/>
          <w:szCs w:val="20"/>
        </w:rPr>
        <w:t xml:space="preserve">The antibiotic susceptibility test conducted using the disc diffusion method provided valuable insights into the resistance profile of the bacterial strains isolated from seafood samples. The tested antibiotics included Levofloxacin (2 µg), Penicillin-G (10 units/disc), Amikacin (30 µg), Vancomycin (30 µg), and Ciprofloxacin (5 µg/disc). Notably, the bacterial isolates exhibited resistance to Penicillin-G and Vancomycin, while susceptibility was observed for Levofloxacin, Ciprofloxacin, and Amikacin. Among these, Ciprofloxacin displayed the highest inhibitory effect with zone diameters reaching 29 mm across both Cetrimide and MacConkey Agar. Levofloxacin demonstrated moderate effectiveness with inhibition zones ranging between 22 mm and 26 mm, while Amikacin produced smaller zones varying from 19 mm to 26 mm, depending on the bacterial strain and growth medium. These results align with the findings of </w:t>
      </w:r>
      <w:r w:rsidR="002146D8">
        <w:rPr>
          <w:rFonts w:ascii="Arial" w:hAnsi="Arial" w:cs="Arial"/>
          <w:color w:val="222222"/>
          <w:sz w:val="20"/>
          <w:szCs w:val="20"/>
          <w:shd w:val="clear" w:color="auto" w:fill="FFFFFF"/>
        </w:rPr>
        <w:t>Kumar</w:t>
      </w:r>
      <w:r w:rsidR="00CE0DBE">
        <w:rPr>
          <w:rFonts w:ascii="Arial" w:hAnsi="Arial" w:cs="Arial"/>
          <w:color w:val="222222"/>
          <w:sz w:val="20"/>
          <w:szCs w:val="20"/>
          <w:shd w:val="clear" w:color="auto" w:fill="FFFFFF"/>
        </w:rPr>
        <w:t xml:space="preserve"> </w:t>
      </w:r>
      <w:r w:rsidR="002146D8" w:rsidRPr="00CE0DBE">
        <w:rPr>
          <w:rFonts w:ascii="Arial" w:eastAsia="Times New Roman" w:hAnsi="Arial" w:cs="Arial"/>
          <w:i/>
          <w:kern w:val="28"/>
          <w:sz w:val="20"/>
          <w:szCs w:val="20"/>
        </w:rPr>
        <w:t>et al.</w:t>
      </w:r>
      <w:r w:rsidR="002146D8">
        <w:rPr>
          <w:rFonts w:ascii="Arial" w:eastAsia="Times New Roman" w:hAnsi="Arial" w:cs="Arial"/>
          <w:kern w:val="28"/>
          <w:sz w:val="20"/>
          <w:szCs w:val="20"/>
        </w:rPr>
        <w:t xml:space="preserve"> (2016</w:t>
      </w:r>
      <w:r w:rsidRPr="006C51F9">
        <w:rPr>
          <w:rFonts w:ascii="Arial" w:eastAsia="Times New Roman" w:hAnsi="Arial" w:cs="Arial"/>
          <w:kern w:val="28"/>
          <w:sz w:val="20"/>
          <w:szCs w:val="20"/>
        </w:rPr>
        <w:t>), who reported increasing antibiotic resistance trends in seafood-associated bacteria, particularly those linked to histamine production.</w:t>
      </w:r>
      <w:r w:rsidR="00CE0DBE">
        <w:rPr>
          <w:rFonts w:ascii="Arial" w:eastAsia="Times New Roman" w:hAnsi="Arial" w:cs="Arial"/>
          <w:kern w:val="28"/>
          <w:sz w:val="20"/>
          <w:szCs w:val="20"/>
        </w:rPr>
        <w:t xml:space="preserve"> </w:t>
      </w:r>
      <w:r w:rsidRPr="006C51F9">
        <w:rPr>
          <w:rFonts w:ascii="Arial" w:eastAsia="Times New Roman" w:hAnsi="Arial" w:cs="Arial"/>
          <w:kern w:val="28"/>
          <w:sz w:val="20"/>
          <w:szCs w:val="20"/>
        </w:rPr>
        <w:t xml:space="preserve">The observed susceptibility to Ciprofloxacin is consistent with previous research by Fang </w:t>
      </w:r>
      <w:r w:rsidRPr="00CE0DBE">
        <w:rPr>
          <w:rFonts w:ascii="Arial" w:eastAsia="Times New Roman" w:hAnsi="Arial" w:cs="Arial"/>
          <w:i/>
          <w:kern w:val="28"/>
          <w:sz w:val="20"/>
          <w:szCs w:val="20"/>
        </w:rPr>
        <w:t>et al.</w:t>
      </w:r>
      <w:r w:rsidRPr="006C51F9">
        <w:rPr>
          <w:rFonts w:ascii="Arial" w:eastAsia="Times New Roman" w:hAnsi="Arial" w:cs="Arial"/>
          <w:kern w:val="28"/>
          <w:sz w:val="20"/>
          <w:szCs w:val="20"/>
        </w:rPr>
        <w:t xml:space="preserve"> (2003), which highlighted Ciprofloxacin’s potent activity against Gram-negative bacteria, including histamine-producing species. Similarly, the efficacy of Levofloxacin corresponds with the observations of Viswanath </w:t>
      </w:r>
      <w:r w:rsidRPr="00CE0DBE">
        <w:rPr>
          <w:rFonts w:ascii="Arial" w:eastAsia="Times New Roman" w:hAnsi="Arial" w:cs="Arial"/>
          <w:i/>
          <w:kern w:val="28"/>
          <w:sz w:val="20"/>
          <w:szCs w:val="20"/>
        </w:rPr>
        <w:t>et al.</w:t>
      </w:r>
      <w:r w:rsidRPr="006C51F9">
        <w:rPr>
          <w:rFonts w:ascii="Arial" w:eastAsia="Times New Roman" w:hAnsi="Arial" w:cs="Arial"/>
          <w:kern w:val="28"/>
          <w:sz w:val="20"/>
          <w:szCs w:val="20"/>
        </w:rPr>
        <w:t xml:space="preserve"> (2012), who identified Levofloxacin as a powerful agent against seafood-borne pathogens such as </w:t>
      </w:r>
      <w:r w:rsidRPr="006C51F9">
        <w:rPr>
          <w:rFonts w:ascii="Arial" w:eastAsia="Times New Roman" w:hAnsi="Arial" w:cs="Arial"/>
          <w:i/>
          <w:iCs/>
          <w:kern w:val="28"/>
          <w:sz w:val="20"/>
          <w:szCs w:val="20"/>
        </w:rPr>
        <w:t xml:space="preserve">Pseudomonas </w:t>
      </w:r>
      <w:r w:rsidRPr="006C51F9">
        <w:rPr>
          <w:rFonts w:ascii="Arial" w:eastAsia="Times New Roman" w:hAnsi="Arial" w:cs="Arial"/>
          <w:i/>
          <w:iCs/>
          <w:kern w:val="28"/>
          <w:sz w:val="20"/>
          <w:szCs w:val="20"/>
        </w:rPr>
        <w:lastRenderedPageBreak/>
        <w:t>aeruginosa</w:t>
      </w:r>
      <w:r w:rsidRPr="006C51F9">
        <w:rPr>
          <w:rFonts w:ascii="Arial" w:eastAsia="Times New Roman" w:hAnsi="Arial" w:cs="Arial"/>
          <w:kern w:val="28"/>
          <w:sz w:val="20"/>
          <w:szCs w:val="20"/>
        </w:rPr>
        <w:t xml:space="preserve">. The variability in Amikacin's inhibitory effects aligns with studies by </w:t>
      </w:r>
      <w:proofErr w:type="spellStart"/>
      <w:r w:rsidR="002146D8">
        <w:rPr>
          <w:rFonts w:ascii="Arial" w:hAnsi="Arial" w:cs="Arial"/>
          <w:color w:val="222222"/>
          <w:sz w:val="20"/>
          <w:szCs w:val="20"/>
          <w:shd w:val="clear" w:color="auto" w:fill="FFFFFF"/>
        </w:rPr>
        <w:t>Horcajada</w:t>
      </w:r>
      <w:r w:rsidR="002146D8" w:rsidRPr="00B724F8">
        <w:rPr>
          <w:rFonts w:ascii="Arial" w:eastAsia="Times New Roman" w:hAnsi="Arial" w:cs="Arial"/>
          <w:i/>
          <w:iCs/>
          <w:kern w:val="28"/>
          <w:sz w:val="20"/>
          <w:szCs w:val="20"/>
        </w:rPr>
        <w:t>et</w:t>
      </w:r>
      <w:proofErr w:type="spellEnd"/>
      <w:r w:rsidR="002146D8" w:rsidRPr="00B724F8">
        <w:rPr>
          <w:rFonts w:ascii="Arial" w:eastAsia="Times New Roman" w:hAnsi="Arial" w:cs="Arial"/>
          <w:i/>
          <w:iCs/>
          <w:kern w:val="28"/>
          <w:sz w:val="20"/>
          <w:szCs w:val="20"/>
        </w:rPr>
        <w:t xml:space="preserve"> al.</w:t>
      </w:r>
      <w:r w:rsidR="002146D8">
        <w:rPr>
          <w:rFonts w:ascii="Arial" w:eastAsia="Times New Roman" w:hAnsi="Arial" w:cs="Arial"/>
          <w:kern w:val="28"/>
          <w:sz w:val="20"/>
          <w:szCs w:val="20"/>
        </w:rPr>
        <w:t xml:space="preserve"> (2019</w:t>
      </w:r>
      <w:r w:rsidRPr="006C51F9">
        <w:rPr>
          <w:rFonts w:ascii="Arial" w:eastAsia="Times New Roman" w:hAnsi="Arial" w:cs="Arial"/>
          <w:kern w:val="28"/>
          <w:sz w:val="20"/>
          <w:szCs w:val="20"/>
        </w:rPr>
        <w:t xml:space="preserve">), suggesting that while Amikacin is generally effective against </w:t>
      </w:r>
      <w:r w:rsidRPr="00CE0DBE">
        <w:rPr>
          <w:rFonts w:ascii="Arial" w:eastAsia="Times New Roman" w:hAnsi="Arial" w:cs="Arial"/>
          <w:i/>
          <w:kern w:val="28"/>
          <w:sz w:val="20"/>
          <w:szCs w:val="20"/>
        </w:rPr>
        <w:t>Enterobacteriaceae</w:t>
      </w:r>
      <w:r w:rsidRPr="006C51F9">
        <w:rPr>
          <w:rFonts w:ascii="Arial" w:eastAsia="Times New Roman" w:hAnsi="Arial" w:cs="Arial"/>
          <w:kern w:val="28"/>
          <w:sz w:val="20"/>
          <w:szCs w:val="20"/>
        </w:rPr>
        <w:t>, its performance may fluctuate in strains exhibiting biofilm formation or efflux pump mechanisms.</w:t>
      </w:r>
      <w:r w:rsidR="00CE0DBE">
        <w:rPr>
          <w:rFonts w:ascii="Arial" w:eastAsia="Times New Roman" w:hAnsi="Arial" w:cs="Arial"/>
          <w:kern w:val="28"/>
          <w:sz w:val="20"/>
          <w:szCs w:val="20"/>
        </w:rPr>
        <w:t xml:space="preserve"> </w:t>
      </w:r>
      <w:r w:rsidRPr="006C51F9">
        <w:rPr>
          <w:rFonts w:ascii="Arial" w:eastAsia="Times New Roman" w:hAnsi="Arial" w:cs="Arial"/>
          <w:kern w:val="28"/>
          <w:sz w:val="20"/>
          <w:szCs w:val="20"/>
        </w:rPr>
        <w:t>Resistance to Penicillin-G and Vancomycin further reflects the established characteristics of Gram-negative bacteria, which inherently possess outer membrane barriers and produce beta-lactamase enzymes that neutralize the effects of these antibiotics (Livermore, 2002). The absence of inhibition zones for these antibiotics highlights the need for alternative treatment strategies when managing infections caused by such strains. The results collectively underscore the rising concern regarding antibiotic resistance in seafood-associated bacteria and emphasize the importance of continuous monitoring to prevent potential foodborne health risks. Given the prevalence of resistant strains in seafood environments, adopting stringent food safety protocols and selecting appropriate antibiotics remain critical in mitigating bacterial contamination and ensuring consumer safety.</w:t>
      </w:r>
    </w:p>
    <w:p w14:paraId="6FC27624" w14:textId="77777777" w:rsidR="009B77F9" w:rsidRDefault="009B77F9" w:rsidP="009B77F9">
      <w:pPr>
        <w:pStyle w:val="ListParagraph"/>
        <w:numPr>
          <w:ilvl w:val="1"/>
          <w:numId w:val="1"/>
        </w:numPr>
        <w:spacing w:line="240" w:lineRule="auto"/>
        <w:ind w:left="720"/>
        <w:rPr>
          <w:rFonts w:ascii="Arial" w:eastAsia="Times New Roman" w:hAnsi="Arial" w:cs="Arial"/>
          <w:b/>
          <w:bCs/>
          <w:kern w:val="28"/>
        </w:rPr>
      </w:pPr>
      <w:r w:rsidRPr="00085B02">
        <w:rPr>
          <w:rFonts w:ascii="Arial" w:eastAsia="Times New Roman" w:hAnsi="Arial" w:cs="Arial"/>
          <w:b/>
          <w:bCs/>
          <w:kern w:val="28"/>
        </w:rPr>
        <w:t>Molecular Identification of the Isolate</w:t>
      </w:r>
    </w:p>
    <w:p w14:paraId="123B435C" w14:textId="77777777" w:rsidR="009B77F9" w:rsidRPr="009B77F9" w:rsidRDefault="009B77F9" w:rsidP="009B77F9">
      <w:pPr>
        <w:spacing w:line="240" w:lineRule="auto"/>
        <w:jc w:val="both"/>
        <w:rPr>
          <w:rFonts w:ascii="Arial" w:eastAsia="Times New Roman" w:hAnsi="Arial" w:cs="Arial"/>
          <w:kern w:val="28"/>
          <w:sz w:val="20"/>
          <w:szCs w:val="20"/>
        </w:rPr>
      </w:pPr>
      <w:r w:rsidRPr="009B77F9">
        <w:rPr>
          <w:rFonts w:ascii="Arial" w:eastAsia="Times New Roman" w:hAnsi="Arial" w:cs="Arial"/>
          <w:kern w:val="28"/>
          <w:sz w:val="20"/>
          <w:szCs w:val="20"/>
        </w:rPr>
        <w:t>The DNA extraction process was successfully conducted using saline EDTA (TE buffer) combined with lysozyme treatment, followed by SDS lysis and phenol-chloroform extraction. This multi-step approach is widely recognized for its efficiency in isolating high-quality genomic DNA from bacterial cultures, particularly for molecular identification purposes. The saline EDTA buffer effectively chelated divalent metal ions, thereby stabilizing the DNA and preventing nuclease degradati</w:t>
      </w:r>
      <w:r>
        <w:rPr>
          <w:rFonts w:ascii="Arial" w:eastAsia="Times New Roman" w:hAnsi="Arial" w:cs="Arial"/>
          <w:kern w:val="28"/>
          <w:sz w:val="20"/>
          <w:szCs w:val="20"/>
        </w:rPr>
        <w:t>on during extraction (Sambrook and</w:t>
      </w:r>
      <w:r w:rsidRPr="009B77F9">
        <w:rPr>
          <w:rFonts w:ascii="Arial" w:eastAsia="Times New Roman" w:hAnsi="Arial" w:cs="Arial"/>
          <w:kern w:val="28"/>
          <w:sz w:val="20"/>
          <w:szCs w:val="20"/>
        </w:rPr>
        <w:t xml:space="preserve"> Russell, 2001). Additionally, lysozyme treatment facilitated the breakdown of the bacterial cell wall by hydrolysing peptidoglycan layers, a crucial step for Gram-negative bacteria like </w:t>
      </w:r>
      <w:r w:rsidRPr="009B77F9">
        <w:rPr>
          <w:rFonts w:ascii="Arial" w:eastAsia="Times New Roman" w:hAnsi="Arial" w:cs="Arial"/>
          <w:i/>
          <w:iCs/>
          <w:kern w:val="28"/>
          <w:sz w:val="20"/>
          <w:szCs w:val="20"/>
        </w:rPr>
        <w:t>Escherichia coli</w:t>
      </w:r>
      <w:r w:rsidRPr="009B77F9">
        <w:rPr>
          <w:rFonts w:ascii="Arial" w:eastAsia="Times New Roman" w:hAnsi="Arial" w:cs="Arial"/>
          <w:kern w:val="28"/>
          <w:sz w:val="20"/>
          <w:szCs w:val="20"/>
        </w:rPr>
        <w:t>. The SDS lysis step ensured complete membrane disruption, promoting efficient DNA release. The phenol-chloroform method further purified the extracted DNA by separating proteins and cellular debris from the nucleic acids, resulting in a clear aqueous phase containing intact genomic DNA. This method aligns w</w:t>
      </w:r>
      <w:r w:rsidR="00B724F8">
        <w:rPr>
          <w:rFonts w:ascii="Arial" w:eastAsia="Times New Roman" w:hAnsi="Arial" w:cs="Arial"/>
          <w:kern w:val="28"/>
          <w:sz w:val="20"/>
          <w:szCs w:val="20"/>
        </w:rPr>
        <w:t>ith the findings of Wilson (2003</w:t>
      </w:r>
      <w:r w:rsidRPr="009B77F9">
        <w:rPr>
          <w:rFonts w:ascii="Arial" w:eastAsia="Times New Roman" w:hAnsi="Arial" w:cs="Arial"/>
          <w:kern w:val="28"/>
          <w:sz w:val="20"/>
          <w:szCs w:val="20"/>
        </w:rPr>
        <w:t>), who emphasized the effectiveness of phenol-chloroform extraction in obtaining high-purity DNA suitable for downstream PCR applications.</w:t>
      </w:r>
    </w:p>
    <w:p w14:paraId="0693D2B4" w14:textId="77777777" w:rsidR="009B77F9" w:rsidRPr="009B77F9" w:rsidRDefault="009B77F9" w:rsidP="009B77F9">
      <w:pPr>
        <w:spacing w:line="240" w:lineRule="auto"/>
        <w:jc w:val="both"/>
        <w:rPr>
          <w:rFonts w:ascii="Arial" w:eastAsia="Times New Roman" w:hAnsi="Arial" w:cs="Arial"/>
          <w:kern w:val="28"/>
          <w:sz w:val="20"/>
          <w:szCs w:val="20"/>
        </w:rPr>
      </w:pPr>
      <w:r w:rsidRPr="009B77F9">
        <w:rPr>
          <w:rFonts w:ascii="Arial" w:eastAsia="Times New Roman" w:hAnsi="Arial" w:cs="Arial"/>
          <w:kern w:val="28"/>
          <w:sz w:val="20"/>
          <w:szCs w:val="20"/>
        </w:rPr>
        <w:t xml:space="preserve">The isolated DNA was amplified using 16S rRNA gene-specific primers, a widely accepted method for bacterial identification and phylogenetic analysis. The successful amplification confirmed the presence of bacterial genomic DNA with distinct bands observed during gel electrophoresis. The 16S rRNA gene is a highly conserved region in bacterial genomes, making it an ideal target for species identification. According to Patel (2001), 16S rRNA sequencing is a gold-standard molecular tool for bacterial classification due to its stability and minimal genetic variation within species. The presence of clear and distinct DNA bands indicated successful PCR amplification without contamination or degradation, ensuring the reliability of the </w:t>
      </w:r>
      <w:proofErr w:type="gramStart"/>
      <w:r w:rsidRPr="009B77F9">
        <w:rPr>
          <w:rFonts w:ascii="Arial" w:eastAsia="Times New Roman" w:hAnsi="Arial" w:cs="Arial"/>
          <w:kern w:val="28"/>
          <w:sz w:val="20"/>
          <w:szCs w:val="20"/>
        </w:rPr>
        <w:t>results.</w:t>
      </w:r>
      <w:proofErr w:type="spellStart"/>
      <w:r w:rsidRPr="009B77F9">
        <w:rPr>
          <w:rFonts w:ascii="Arial" w:eastAsia="Times New Roman" w:hAnsi="Arial" w:cs="Arial"/>
          <w:kern w:val="28"/>
          <w:sz w:val="20"/>
          <w:szCs w:val="20"/>
        </w:rPr>
        <w:t>T</w:t>
      </w:r>
      <w:proofErr w:type="gramEnd"/>
      <w:r w:rsidR="00CE0DBE">
        <w:rPr>
          <w:rFonts w:ascii="Arial" w:eastAsia="Times New Roman" w:hAnsi="Arial" w:cs="Arial"/>
          <w:kern w:val="28"/>
          <w:sz w:val="20"/>
          <w:szCs w:val="20"/>
        </w:rPr>
        <w:t xml:space="preserve"> </w:t>
      </w:r>
      <w:r w:rsidRPr="009B77F9">
        <w:rPr>
          <w:rFonts w:ascii="Arial" w:eastAsia="Times New Roman" w:hAnsi="Arial" w:cs="Arial"/>
          <w:kern w:val="28"/>
          <w:sz w:val="20"/>
          <w:szCs w:val="20"/>
        </w:rPr>
        <w:t>he</w:t>
      </w:r>
      <w:proofErr w:type="spellEnd"/>
      <w:r w:rsidRPr="009B77F9">
        <w:rPr>
          <w:rFonts w:ascii="Arial" w:eastAsia="Times New Roman" w:hAnsi="Arial" w:cs="Arial"/>
          <w:kern w:val="28"/>
          <w:sz w:val="20"/>
          <w:szCs w:val="20"/>
        </w:rPr>
        <w:t xml:space="preserve"> amplified DNA bands confirmed the bacterial identity as Escherichia coli, a common histamine-producing strain known to be associated with seafood spoilage and foodborne illnesses. Studies have shown that </w:t>
      </w:r>
      <w:r w:rsidRPr="009B77F9">
        <w:rPr>
          <w:rFonts w:ascii="Arial" w:eastAsia="Times New Roman" w:hAnsi="Arial" w:cs="Arial"/>
          <w:i/>
          <w:iCs/>
          <w:kern w:val="28"/>
          <w:sz w:val="20"/>
          <w:szCs w:val="20"/>
        </w:rPr>
        <w:t>E. coli</w:t>
      </w:r>
      <w:r w:rsidRPr="009B77F9">
        <w:rPr>
          <w:rFonts w:ascii="Arial" w:eastAsia="Times New Roman" w:hAnsi="Arial" w:cs="Arial"/>
          <w:kern w:val="28"/>
          <w:sz w:val="20"/>
          <w:szCs w:val="20"/>
        </w:rPr>
        <w:t xml:space="preserve"> strains are capable of producing histamine through the decarboxylation of histidine, contributing to seafood-related histamine poisoning cases (</w:t>
      </w:r>
      <w:proofErr w:type="spellStart"/>
      <w:r w:rsidRPr="009B77F9">
        <w:rPr>
          <w:rFonts w:ascii="Arial" w:eastAsia="Times New Roman" w:hAnsi="Arial" w:cs="Arial"/>
          <w:kern w:val="28"/>
          <w:sz w:val="20"/>
          <w:szCs w:val="20"/>
        </w:rPr>
        <w:t>Visciano</w:t>
      </w:r>
      <w:proofErr w:type="spellEnd"/>
      <w:r w:rsidR="00CE0DBE">
        <w:rPr>
          <w:rFonts w:ascii="Arial" w:eastAsia="Times New Roman" w:hAnsi="Arial" w:cs="Arial"/>
          <w:kern w:val="28"/>
          <w:sz w:val="20"/>
          <w:szCs w:val="20"/>
        </w:rPr>
        <w:t xml:space="preserve"> </w:t>
      </w:r>
      <w:r w:rsidRPr="009B77F9">
        <w:rPr>
          <w:rFonts w:ascii="Arial" w:eastAsia="Times New Roman" w:hAnsi="Arial" w:cs="Arial"/>
          <w:i/>
          <w:iCs/>
          <w:kern w:val="28"/>
          <w:sz w:val="20"/>
          <w:szCs w:val="20"/>
        </w:rPr>
        <w:t>et al.,</w:t>
      </w:r>
      <w:r w:rsidRPr="009B77F9">
        <w:rPr>
          <w:rFonts w:ascii="Arial" w:eastAsia="Times New Roman" w:hAnsi="Arial" w:cs="Arial"/>
          <w:kern w:val="28"/>
          <w:sz w:val="20"/>
          <w:szCs w:val="20"/>
        </w:rPr>
        <w:t xml:space="preserve"> 2014). The identified bacterial strain was submitted to the National </w:t>
      </w:r>
      <w:proofErr w:type="spellStart"/>
      <w:r w:rsidRPr="009B77F9">
        <w:rPr>
          <w:rFonts w:ascii="Arial" w:eastAsia="Times New Roman" w:hAnsi="Arial" w:cs="Arial"/>
          <w:kern w:val="28"/>
          <w:sz w:val="20"/>
          <w:szCs w:val="20"/>
        </w:rPr>
        <w:t>Center</w:t>
      </w:r>
      <w:proofErr w:type="spellEnd"/>
      <w:r w:rsidRPr="009B77F9">
        <w:rPr>
          <w:rFonts w:ascii="Arial" w:eastAsia="Times New Roman" w:hAnsi="Arial" w:cs="Arial"/>
          <w:kern w:val="28"/>
          <w:sz w:val="20"/>
          <w:szCs w:val="20"/>
        </w:rPr>
        <w:t xml:space="preserve"> for Biotechnology Information (NCBI) database under the accession number PV156073, further validating the molecular identification. This submission aligns with molecular identification protocols recommended by </w:t>
      </w:r>
      <w:proofErr w:type="spellStart"/>
      <w:r w:rsidRPr="009B77F9">
        <w:rPr>
          <w:rFonts w:ascii="Arial" w:eastAsia="Times New Roman" w:hAnsi="Arial" w:cs="Arial"/>
          <w:kern w:val="28"/>
          <w:sz w:val="20"/>
          <w:szCs w:val="20"/>
        </w:rPr>
        <w:t>Ramasamy</w:t>
      </w:r>
      <w:r w:rsidRPr="009B77F9">
        <w:rPr>
          <w:rFonts w:ascii="Arial" w:eastAsia="Times New Roman" w:hAnsi="Arial" w:cs="Arial"/>
          <w:i/>
          <w:iCs/>
          <w:kern w:val="28"/>
          <w:sz w:val="20"/>
          <w:szCs w:val="20"/>
        </w:rPr>
        <w:t>et</w:t>
      </w:r>
      <w:proofErr w:type="spellEnd"/>
      <w:r w:rsidRPr="009B77F9">
        <w:rPr>
          <w:rFonts w:ascii="Arial" w:eastAsia="Times New Roman" w:hAnsi="Arial" w:cs="Arial"/>
          <w:i/>
          <w:iCs/>
          <w:kern w:val="28"/>
          <w:sz w:val="20"/>
          <w:szCs w:val="20"/>
        </w:rPr>
        <w:t xml:space="preserve"> al.</w:t>
      </w:r>
      <w:r w:rsidRPr="009B77F9">
        <w:rPr>
          <w:rFonts w:ascii="Arial" w:eastAsia="Times New Roman" w:hAnsi="Arial" w:cs="Arial"/>
          <w:kern w:val="28"/>
          <w:sz w:val="20"/>
          <w:szCs w:val="20"/>
        </w:rPr>
        <w:t xml:space="preserve"> (2018), emphasizing the importance of submitting validated bacterial strains for global referen</w:t>
      </w:r>
      <w:r>
        <w:rPr>
          <w:rFonts w:ascii="Arial" w:eastAsia="Times New Roman" w:hAnsi="Arial" w:cs="Arial"/>
          <w:kern w:val="28"/>
          <w:sz w:val="20"/>
          <w:szCs w:val="20"/>
        </w:rPr>
        <w:t>ce and scientific documentation.</w:t>
      </w:r>
    </w:p>
    <w:p w14:paraId="7006F24B" w14:textId="77777777" w:rsidR="006C51F9" w:rsidRPr="009B77F9" w:rsidRDefault="006C51F9" w:rsidP="009B77F9">
      <w:pPr>
        <w:pStyle w:val="ListParagraph"/>
        <w:numPr>
          <w:ilvl w:val="1"/>
          <w:numId w:val="1"/>
        </w:numPr>
        <w:spacing w:line="240" w:lineRule="auto"/>
        <w:ind w:left="720"/>
        <w:jc w:val="both"/>
        <w:rPr>
          <w:rFonts w:ascii="Arial" w:eastAsia="Times New Roman" w:hAnsi="Arial" w:cs="Arial"/>
          <w:b/>
          <w:bCs/>
          <w:kern w:val="28"/>
        </w:rPr>
      </w:pPr>
      <w:r w:rsidRPr="009B77F9">
        <w:rPr>
          <w:rFonts w:ascii="Arial" w:eastAsia="Times New Roman" w:hAnsi="Arial" w:cs="Arial"/>
          <w:b/>
          <w:bCs/>
          <w:kern w:val="28"/>
        </w:rPr>
        <w:t>Qualitative Estimation of Histamine</w:t>
      </w:r>
    </w:p>
    <w:p w14:paraId="558A1C35" w14:textId="77777777" w:rsidR="006C51F9" w:rsidRDefault="006C51F9" w:rsidP="006C51F9">
      <w:pPr>
        <w:spacing w:line="240" w:lineRule="auto"/>
        <w:jc w:val="both"/>
        <w:rPr>
          <w:rFonts w:ascii="Arial" w:eastAsia="Times New Roman" w:hAnsi="Arial" w:cs="Arial"/>
          <w:kern w:val="28"/>
          <w:sz w:val="20"/>
          <w:szCs w:val="20"/>
        </w:rPr>
      </w:pPr>
      <w:r w:rsidRPr="006C51F9">
        <w:rPr>
          <w:rFonts w:ascii="Arial" w:eastAsia="Times New Roman" w:hAnsi="Arial" w:cs="Arial"/>
          <w:kern w:val="28"/>
          <w:sz w:val="20"/>
          <w:szCs w:val="20"/>
        </w:rPr>
        <w:t xml:space="preserve">Thin Layer Chromatography (TLC) proved to be an effective method for identifying and quantifying histamine content in the </w:t>
      </w:r>
      <w:proofErr w:type="spellStart"/>
      <w:r w:rsidRPr="006C51F9">
        <w:rPr>
          <w:rFonts w:ascii="Arial" w:eastAsia="Times New Roman" w:hAnsi="Arial" w:cs="Arial"/>
          <w:kern w:val="28"/>
          <w:sz w:val="20"/>
          <w:szCs w:val="20"/>
        </w:rPr>
        <w:t>analyzed</w:t>
      </w:r>
      <w:proofErr w:type="spellEnd"/>
      <w:r w:rsidRPr="006C51F9">
        <w:rPr>
          <w:rFonts w:ascii="Arial" w:eastAsia="Times New Roman" w:hAnsi="Arial" w:cs="Arial"/>
          <w:kern w:val="28"/>
          <w:sz w:val="20"/>
          <w:szCs w:val="20"/>
        </w:rPr>
        <w:t xml:space="preserve"> samples. The TLC analysis resulted in distinct Rf values of 0.6575 and 0.7260, confirming the presence of histamine. Ninhydrin staining was employed as a visualization technique, which effectively revealed histamine bands due to its strong reaction with primary and secondary amines. Ninhydrin binds to these amines, forming a characteristic purple or blue coloration that facilitates clear identification. This staining method has been extensively used in biogenic amine detection due to its high specificity and ability to detect low concentrations of histamine in biological and food samples.</w:t>
      </w:r>
      <w:r w:rsidR="00CE0DBE">
        <w:rPr>
          <w:rFonts w:ascii="Arial" w:eastAsia="Times New Roman" w:hAnsi="Arial" w:cs="Arial"/>
          <w:kern w:val="28"/>
          <w:sz w:val="20"/>
          <w:szCs w:val="20"/>
        </w:rPr>
        <w:t xml:space="preserve"> </w:t>
      </w:r>
      <w:r w:rsidRPr="006C51F9">
        <w:rPr>
          <w:rFonts w:ascii="Arial" w:eastAsia="Times New Roman" w:hAnsi="Arial" w:cs="Arial"/>
          <w:kern w:val="28"/>
          <w:sz w:val="20"/>
          <w:szCs w:val="20"/>
        </w:rPr>
        <w:t xml:space="preserve">The TLC method is widely acknowledged for its simplicity, affordability, and reliability in histamine detection, especially in seafood products where spoilage-associated bacterial activity is common. Shakila </w:t>
      </w:r>
      <w:r w:rsidRPr="00CE0DBE">
        <w:rPr>
          <w:rFonts w:ascii="Arial" w:eastAsia="Times New Roman" w:hAnsi="Arial" w:cs="Arial"/>
          <w:i/>
          <w:kern w:val="28"/>
          <w:sz w:val="20"/>
          <w:szCs w:val="20"/>
        </w:rPr>
        <w:t>et al</w:t>
      </w:r>
      <w:r w:rsidRPr="006C51F9">
        <w:rPr>
          <w:rFonts w:ascii="Arial" w:eastAsia="Times New Roman" w:hAnsi="Arial" w:cs="Arial"/>
          <w:kern w:val="28"/>
          <w:sz w:val="20"/>
          <w:szCs w:val="20"/>
        </w:rPr>
        <w:t>. (2001) demonstrated that TLC is a practical and effective approach for detecting biogenic amines, making it a valuable tool for monitoring seafood safety. Its ability to separate and visualize histamine in complex food matrices makes TLC a preferred choice for preliminary screening in seafood analysis. Moreover, TLC's adaptability and minimal equipment requirements make it ideal for routine histamine detection in both laboratory and field settings.</w:t>
      </w:r>
    </w:p>
    <w:p w14:paraId="2E690BED" w14:textId="77777777" w:rsidR="006C51F9" w:rsidRDefault="006C51F9" w:rsidP="006C51F9">
      <w:pPr>
        <w:spacing w:line="240" w:lineRule="auto"/>
        <w:jc w:val="both"/>
        <w:rPr>
          <w:rFonts w:ascii="Arial" w:eastAsia="Times New Roman" w:hAnsi="Arial" w:cs="Arial"/>
          <w:b/>
          <w:bCs/>
          <w:kern w:val="28"/>
          <w:sz w:val="20"/>
          <w:szCs w:val="20"/>
        </w:rPr>
      </w:pPr>
    </w:p>
    <w:p w14:paraId="0EFB4171" w14:textId="77777777" w:rsidR="009E6BE8" w:rsidRPr="00CE0DBE" w:rsidRDefault="009449FA" w:rsidP="009449FA">
      <w:pPr>
        <w:spacing w:line="240" w:lineRule="auto"/>
        <w:ind w:left="360"/>
        <w:jc w:val="both"/>
        <w:rPr>
          <w:rFonts w:ascii="Arial" w:eastAsia="Times New Roman" w:hAnsi="Arial" w:cs="Arial"/>
          <w:b/>
          <w:bCs/>
          <w:kern w:val="28"/>
          <w:sz w:val="20"/>
          <w:szCs w:val="20"/>
        </w:rPr>
      </w:pPr>
      <w:r w:rsidRPr="00CE0DBE">
        <w:rPr>
          <w:rFonts w:ascii="Arial" w:eastAsia="Times New Roman" w:hAnsi="Arial" w:cs="Arial"/>
          <w:b/>
          <w:bCs/>
          <w:kern w:val="28"/>
          <w:sz w:val="20"/>
          <w:szCs w:val="20"/>
        </w:rPr>
        <w:t>3.6</w:t>
      </w:r>
      <w:r w:rsidR="009E6BE8" w:rsidRPr="00CE0DBE">
        <w:rPr>
          <w:rFonts w:ascii="Arial" w:eastAsia="Times New Roman" w:hAnsi="Arial" w:cs="Arial"/>
          <w:b/>
          <w:bCs/>
          <w:kern w:val="28"/>
          <w:sz w:val="20"/>
          <w:szCs w:val="20"/>
        </w:rPr>
        <w:t>UV-Visible Spectrophotometric Analysis</w:t>
      </w:r>
    </w:p>
    <w:p w14:paraId="580A4452" w14:textId="77777777" w:rsidR="009E6BE8" w:rsidRDefault="009E6BE8" w:rsidP="009E6BE8">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 xml:space="preserve">The UV-Visible spectrophotometric method was employed to assess the presence and concentration of histamine in bacterial extracts, following the method described by </w:t>
      </w:r>
      <w:proofErr w:type="spellStart"/>
      <w:r>
        <w:rPr>
          <w:rFonts w:ascii="Arial" w:hAnsi="Arial" w:cs="Arial"/>
          <w:color w:val="222222"/>
          <w:sz w:val="20"/>
          <w:szCs w:val="20"/>
          <w:shd w:val="clear" w:color="auto" w:fill="FFFFFF"/>
        </w:rPr>
        <w:t>Moniente</w:t>
      </w:r>
      <w:proofErr w:type="spellEnd"/>
      <w:r w:rsidR="00CE0DBE">
        <w:rPr>
          <w:rFonts w:ascii="Arial" w:hAnsi="Arial" w:cs="Arial"/>
          <w:color w:val="222222"/>
          <w:sz w:val="20"/>
          <w:szCs w:val="20"/>
          <w:shd w:val="clear" w:color="auto" w:fill="FFFFFF"/>
        </w:rPr>
        <w:t xml:space="preserve"> </w:t>
      </w:r>
      <w:r w:rsidRPr="00045356">
        <w:rPr>
          <w:rFonts w:ascii="Arial" w:eastAsia="Times New Roman" w:hAnsi="Arial" w:cs="Arial"/>
          <w:i/>
          <w:iCs/>
          <w:kern w:val="28"/>
          <w:sz w:val="20"/>
          <w:szCs w:val="20"/>
        </w:rPr>
        <w:t>et al</w:t>
      </w:r>
      <w:r>
        <w:rPr>
          <w:rFonts w:ascii="Arial" w:eastAsia="Times New Roman" w:hAnsi="Arial" w:cs="Arial"/>
          <w:kern w:val="28"/>
          <w:sz w:val="20"/>
          <w:szCs w:val="20"/>
        </w:rPr>
        <w:t>. (202</w:t>
      </w:r>
      <w:r w:rsidRPr="00045356">
        <w:rPr>
          <w:rFonts w:ascii="Arial" w:eastAsia="Times New Roman" w:hAnsi="Arial" w:cs="Arial"/>
          <w:kern w:val="28"/>
          <w:sz w:val="20"/>
          <w:szCs w:val="20"/>
        </w:rPr>
        <w:t>2</w:t>
      </w:r>
      <w:proofErr w:type="gramStart"/>
      <w:r w:rsidRPr="00045356">
        <w:rPr>
          <w:rFonts w:ascii="Arial" w:eastAsia="Times New Roman" w:hAnsi="Arial" w:cs="Arial"/>
          <w:kern w:val="28"/>
          <w:sz w:val="20"/>
          <w:szCs w:val="20"/>
        </w:rPr>
        <w:t>).The</w:t>
      </w:r>
      <w:proofErr w:type="gramEnd"/>
      <w:r w:rsidRPr="00045356">
        <w:rPr>
          <w:rFonts w:ascii="Arial" w:eastAsia="Times New Roman" w:hAnsi="Arial" w:cs="Arial"/>
          <w:kern w:val="28"/>
          <w:sz w:val="20"/>
          <w:szCs w:val="20"/>
        </w:rPr>
        <w:t xml:space="preserve"> analysis was performed using a </w:t>
      </w:r>
      <w:proofErr w:type="spellStart"/>
      <w:r w:rsidRPr="00045356">
        <w:rPr>
          <w:rFonts w:ascii="Arial" w:eastAsia="Times New Roman" w:hAnsi="Arial" w:cs="Arial"/>
          <w:kern w:val="28"/>
          <w:sz w:val="20"/>
          <w:szCs w:val="20"/>
        </w:rPr>
        <w:t>Labtronic</w:t>
      </w:r>
      <w:r>
        <w:rPr>
          <w:rFonts w:ascii="Arial" w:eastAsia="Times New Roman" w:hAnsi="Arial" w:cs="Arial"/>
          <w:kern w:val="28"/>
          <w:sz w:val="20"/>
          <w:szCs w:val="20"/>
        </w:rPr>
        <w:t>s</w:t>
      </w:r>
      <w:proofErr w:type="spellEnd"/>
      <w:r w:rsidRPr="00045356">
        <w:rPr>
          <w:rFonts w:ascii="Arial" w:eastAsia="Times New Roman" w:hAnsi="Arial" w:cs="Arial"/>
          <w:kern w:val="28"/>
          <w:sz w:val="20"/>
          <w:szCs w:val="20"/>
        </w:rPr>
        <w:t xml:space="preserve"> LT 29</w:t>
      </w:r>
      <w:r>
        <w:rPr>
          <w:rFonts w:ascii="Arial" w:eastAsia="Times New Roman" w:hAnsi="Arial" w:cs="Arial"/>
          <w:kern w:val="28"/>
          <w:sz w:val="20"/>
          <w:szCs w:val="20"/>
        </w:rPr>
        <w:t xml:space="preserve">1 UV-Visible Spectrophotometer </w:t>
      </w:r>
      <w:r w:rsidRPr="00045356">
        <w:rPr>
          <w:rFonts w:ascii="Arial" w:eastAsia="Times New Roman" w:hAnsi="Arial" w:cs="Arial"/>
          <w:kern w:val="28"/>
          <w:sz w:val="20"/>
          <w:szCs w:val="20"/>
        </w:rPr>
        <w:t>The sample was scanned within the wavelength range of 200–400</w:t>
      </w:r>
      <w:r w:rsidR="00025D80">
        <w:rPr>
          <w:rFonts w:ascii="Arial" w:eastAsia="Times New Roman" w:hAnsi="Arial" w:cs="Arial"/>
          <w:kern w:val="28"/>
          <w:sz w:val="20"/>
          <w:szCs w:val="20"/>
        </w:rPr>
        <w:t xml:space="preserve"> nm</w:t>
      </w:r>
      <w:r w:rsidR="00DD3E6D">
        <w:rPr>
          <w:rFonts w:ascii="Arial" w:eastAsia="Times New Roman" w:hAnsi="Arial" w:cs="Arial"/>
          <w:kern w:val="28"/>
          <w:sz w:val="20"/>
          <w:szCs w:val="20"/>
        </w:rPr>
        <w:t xml:space="preserve"> spec</w:t>
      </w:r>
      <w:r w:rsidR="005C1004">
        <w:rPr>
          <w:rFonts w:ascii="Arial" w:eastAsia="Times New Roman" w:hAnsi="Arial" w:cs="Arial"/>
          <w:kern w:val="28"/>
          <w:sz w:val="20"/>
          <w:szCs w:val="20"/>
        </w:rPr>
        <w:t>ifically at (240 nm,250nm,</w:t>
      </w:r>
      <w:r w:rsidR="003B570B">
        <w:rPr>
          <w:rFonts w:ascii="Arial" w:eastAsia="Times New Roman" w:hAnsi="Arial" w:cs="Arial"/>
          <w:kern w:val="28"/>
          <w:sz w:val="20"/>
          <w:szCs w:val="20"/>
        </w:rPr>
        <w:t>320nm,330nm,</w:t>
      </w:r>
      <w:r w:rsidR="00CE0DBE">
        <w:rPr>
          <w:rFonts w:ascii="Arial" w:eastAsia="Times New Roman" w:hAnsi="Arial" w:cs="Arial"/>
          <w:kern w:val="28"/>
          <w:sz w:val="20"/>
          <w:szCs w:val="20"/>
        </w:rPr>
        <w:t xml:space="preserve"> </w:t>
      </w:r>
      <w:r w:rsidR="00025D80">
        <w:rPr>
          <w:rFonts w:ascii="Arial" w:eastAsia="Times New Roman" w:hAnsi="Arial" w:cs="Arial"/>
          <w:kern w:val="28"/>
          <w:sz w:val="20"/>
          <w:szCs w:val="20"/>
        </w:rPr>
        <w:t>355nm and 375</w:t>
      </w:r>
      <w:r w:rsidRPr="00045356">
        <w:rPr>
          <w:rFonts w:ascii="Arial" w:eastAsia="Times New Roman" w:hAnsi="Arial" w:cs="Arial"/>
          <w:kern w:val="28"/>
          <w:sz w:val="20"/>
          <w:szCs w:val="20"/>
        </w:rPr>
        <w:t>nm</w:t>
      </w:r>
      <w:r w:rsidR="00025D80">
        <w:rPr>
          <w:rFonts w:ascii="Arial" w:eastAsia="Times New Roman" w:hAnsi="Arial" w:cs="Arial"/>
          <w:kern w:val="28"/>
          <w:sz w:val="20"/>
          <w:szCs w:val="20"/>
        </w:rPr>
        <w:t>)</w:t>
      </w:r>
      <w:r w:rsidRPr="00045356">
        <w:rPr>
          <w:rFonts w:ascii="Arial" w:eastAsia="Times New Roman" w:hAnsi="Arial" w:cs="Arial"/>
          <w:kern w:val="28"/>
          <w:sz w:val="20"/>
          <w:szCs w:val="20"/>
        </w:rPr>
        <w:t xml:space="preserve"> to detect characteristic peaks corresponding to histamine absorption. The resulting spectrum was analysed to identify the peak wavelength and corresponding absorbance value, which confirmed the presence of histamine in the sample.</w:t>
      </w:r>
    </w:p>
    <w:p w14:paraId="1CEBE771" w14:textId="77777777" w:rsidR="005E7C87" w:rsidRDefault="005E7C87" w:rsidP="009E6BE8">
      <w:pPr>
        <w:spacing w:line="240" w:lineRule="auto"/>
        <w:jc w:val="both"/>
        <w:rPr>
          <w:rFonts w:ascii="Arial" w:eastAsia="Times New Roman" w:hAnsi="Arial" w:cs="Arial"/>
          <w:kern w:val="28"/>
          <w:sz w:val="20"/>
          <w:szCs w:val="20"/>
        </w:rPr>
      </w:pPr>
      <w:r>
        <w:rPr>
          <w:rFonts w:ascii="Arial" w:eastAsia="Times New Roman" w:hAnsi="Arial" w:cs="Arial"/>
          <w:noProof/>
          <w:kern w:val="28"/>
          <w:sz w:val="20"/>
          <w:szCs w:val="20"/>
          <w:lang w:val="en-US"/>
        </w:rPr>
        <w:drawing>
          <wp:inline distT="0" distB="0" distL="0" distR="0" wp14:anchorId="294D108A" wp14:editId="0C804FBC">
            <wp:extent cx="5731510" cy="2940281"/>
            <wp:effectExtent l="0" t="0" r="2540" b="0"/>
            <wp:docPr id="345712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12740" name="Picture 345712740"/>
                    <pic:cNvPicPr/>
                  </pic:nvPicPr>
                  <pic:blipFill rotWithShape="1">
                    <a:blip r:embed="rId18" cstate="print">
                      <a:extLst>
                        <a:ext uri="{28A0092B-C50C-407E-A947-70E740481C1C}">
                          <a14:useLocalDpi xmlns:a14="http://schemas.microsoft.com/office/drawing/2010/main" val="0"/>
                        </a:ext>
                      </a:extLst>
                    </a:blip>
                    <a:srcRect t="3413"/>
                    <a:stretch/>
                  </pic:blipFill>
                  <pic:spPr bwMode="auto">
                    <a:xfrm>
                      <a:off x="0" y="0"/>
                      <a:ext cx="5731510" cy="2940281"/>
                    </a:xfrm>
                    <a:prstGeom prst="rect">
                      <a:avLst/>
                    </a:prstGeom>
                    <a:ln>
                      <a:noFill/>
                    </a:ln>
                    <a:extLst>
                      <a:ext uri="{53640926-AAD7-44D8-BBD7-CCE9431645EC}">
                        <a14:shadowObscured xmlns:a14="http://schemas.microsoft.com/office/drawing/2010/main"/>
                      </a:ext>
                    </a:extLst>
                  </pic:spPr>
                </pic:pic>
              </a:graphicData>
            </a:graphic>
          </wp:inline>
        </w:drawing>
      </w:r>
    </w:p>
    <w:p w14:paraId="211A91E0" w14:textId="77777777" w:rsidR="009E6BE8" w:rsidRDefault="006838E7" w:rsidP="006C51F9">
      <w:pPr>
        <w:spacing w:line="240" w:lineRule="auto"/>
        <w:jc w:val="both"/>
        <w:rPr>
          <w:rFonts w:ascii="Arial" w:eastAsia="Times New Roman" w:hAnsi="Arial" w:cs="Arial"/>
          <w:b/>
          <w:bCs/>
          <w:kern w:val="28"/>
          <w:sz w:val="20"/>
          <w:szCs w:val="20"/>
        </w:rPr>
      </w:pPr>
      <w:r>
        <w:rPr>
          <w:rFonts w:ascii="Arial" w:eastAsia="Times New Roman" w:hAnsi="Arial" w:cs="Arial"/>
          <w:b/>
          <w:bCs/>
          <w:kern w:val="28"/>
          <w:sz w:val="20"/>
          <w:szCs w:val="20"/>
        </w:rPr>
        <w:t>Fig .</w:t>
      </w:r>
      <w:r w:rsidR="00EF36F8">
        <w:rPr>
          <w:rFonts w:ascii="Arial" w:eastAsia="Times New Roman" w:hAnsi="Arial" w:cs="Arial"/>
          <w:b/>
          <w:bCs/>
          <w:kern w:val="28"/>
          <w:sz w:val="20"/>
          <w:szCs w:val="20"/>
        </w:rPr>
        <w:t>1.</w:t>
      </w:r>
      <w:r w:rsidR="00FD288B">
        <w:rPr>
          <w:rFonts w:ascii="Arial" w:eastAsia="Times New Roman" w:hAnsi="Arial" w:cs="Arial"/>
          <w:b/>
          <w:bCs/>
          <w:kern w:val="28"/>
          <w:sz w:val="20"/>
          <w:szCs w:val="20"/>
        </w:rPr>
        <w:t xml:space="preserve"> UV- Spectro</w:t>
      </w:r>
      <w:r w:rsidR="00B57F5D">
        <w:rPr>
          <w:rFonts w:ascii="Arial" w:eastAsia="Times New Roman" w:hAnsi="Arial" w:cs="Arial"/>
          <w:b/>
          <w:bCs/>
          <w:kern w:val="28"/>
          <w:sz w:val="20"/>
          <w:szCs w:val="20"/>
        </w:rPr>
        <w:t xml:space="preserve">photometry </w:t>
      </w:r>
      <w:proofErr w:type="gramStart"/>
      <w:r w:rsidR="00B57F5D">
        <w:rPr>
          <w:rFonts w:ascii="Arial" w:eastAsia="Times New Roman" w:hAnsi="Arial" w:cs="Arial"/>
          <w:b/>
          <w:bCs/>
          <w:kern w:val="28"/>
          <w:sz w:val="20"/>
          <w:szCs w:val="20"/>
        </w:rPr>
        <w:t>Of</w:t>
      </w:r>
      <w:proofErr w:type="gramEnd"/>
      <w:r w:rsidR="00B57F5D">
        <w:rPr>
          <w:rFonts w:ascii="Arial" w:eastAsia="Times New Roman" w:hAnsi="Arial" w:cs="Arial"/>
          <w:b/>
          <w:bCs/>
          <w:kern w:val="28"/>
          <w:sz w:val="20"/>
          <w:szCs w:val="20"/>
        </w:rPr>
        <w:t xml:space="preserve"> Histamine</w:t>
      </w:r>
    </w:p>
    <w:p w14:paraId="135AFE38" w14:textId="77777777" w:rsidR="004643FB" w:rsidRDefault="004643FB" w:rsidP="006C51F9">
      <w:pPr>
        <w:spacing w:line="240" w:lineRule="auto"/>
        <w:jc w:val="both"/>
        <w:rPr>
          <w:rFonts w:ascii="Arial" w:eastAsia="Times New Roman" w:hAnsi="Arial" w:cs="Arial"/>
          <w:b/>
          <w:bCs/>
          <w:kern w:val="28"/>
          <w:sz w:val="20"/>
          <w:szCs w:val="20"/>
        </w:rPr>
      </w:pPr>
    </w:p>
    <w:p w14:paraId="24D75488" w14:textId="77777777" w:rsidR="00ED390C" w:rsidRDefault="00906CCF" w:rsidP="006C51F9">
      <w:pPr>
        <w:spacing w:line="240" w:lineRule="auto"/>
        <w:jc w:val="both"/>
        <w:rPr>
          <w:rFonts w:ascii="Arial" w:eastAsia="Times New Roman" w:hAnsi="Arial" w:cs="Arial"/>
          <w:b/>
          <w:bCs/>
          <w:kern w:val="28"/>
          <w:sz w:val="20"/>
          <w:szCs w:val="20"/>
        </w:rPr>
      </w:pPr>
      <w:r>
        <w:rPr>
          <w:rFonts w:ascii="Arial" w:eastAsia="Times New Roman" w:hAnsi="Arial" w:cs="Arial"/>
          <w:b/>
          <w:bCs/>
          <w:kern w:val="28"/>
          <w:sz w:val="20"/>
          <w:szCs w:val="20"/>
        </w:rPr>
        <w:t xml:space="preserve"> 3.7 </w:t>
      </w:r>
      <w:r w:rsidR="00ED390C">
        <w:rPr>
          <w:rFonts w:ascii="Arial" w:eastAsia="Times New Roman" w:hAnsi="Arial" w:cs="Arial"/>
          <w:b/>
          <w:bCs/>
          <w:kern w:val="28"/>
          <w:sz w:val="20"/>
          <w:szCs w:val="20"/>
        </w:rPr>
        <w:t>FTIR</w:t>
      </w:r>
    </w:p>
    <w:p w14:paraId="73D2A2FF" w14:textId="77777777" w:rsidR="001463ED" w:rsidRDefault="001463ED" w:rsidP="001463ED">
      <w:pPr>
        <w:spacing w:line="240" w:lineRule="auto"/>
        <w:jc w:val="both"/>
        <w:rPr>
          <w:rFonts w:ascii="Arial" w:eastAsia="Times New Roman" w:hAnsi="Arial" w:cs="Arial"/>
          <w:kern w:val="28"/>
          <w:sz w:val="20"/>
          <w:szCs w:val="20"/>
        </w:rPr>
      </w:pPr>
      <w:r w:rsidRPr="00045356">
        <w:rPr>
          <w:rFonts w:ascii="Arial" w:eastAsia="Times New Roman" w:hAnsi="Arial" w:cs="Arial"/>
          <w:kern w:val="28"/>
          <w:sz w:val="20"/>
          <w:szCs w:val="20"/>
        </w:rPr>
        <w:t>The Fourier Transform Infrared (FTIR) analysis of the histamine supernatant was performed using the KBr pellet method on a Shimadzu FTIR spectrophotometer, following the p</w:t>
      </w:r>
      <w:r>
        <w:rPr>
          <w:rFonts w:ascii="Arial" w:eastAsia="Times New Roman" w:hAnsi="Arial" w:cs="Arial"/>
          <w:kern w:val="28"/>
          <w:sz w:val="20"/>
          <w:szCs w:val="20"/>
        </w:rPr>
        <w:t>rocedure outlined by Smith (2018</w:t>
      </w:r>
      <w:r w:rsidRPr="00045356">
        <w:rPr>
          <w:rFonts w:ascii="Arial" w:eastAsia="Times New Roman" w:hAnsi="Arial" w:cs="Arial"/>
          <w:kern w:val="28"/>
          <w:sz w:val="20"/>
          <w:szCs w:val="20"/>
        </w:rPr>
        <w:t>). To prepare the sample, the bacterial supernatant extract was first centrifuged at 5,000 rpm for 10 minutes to obtain a clear solution. The resulting supernatant was then subjected to lyophilisation, yielding a dry powdered sample. For KBr pellet preparation, approximately 1 mg of the dried histamine sample was carefully mixed with 100 mg of spectroscopic-grade potassium bromide (KBr) powder using a mortar and pestle to ensure uniform blending. The mixture was then compressed into a transparent pellet using a hydraulic press at a pressure of 10,000 psi.</w:t>
      </w:r>
      <w:r w:rsidR="00CE0DBE">
        <w:rPr>
          <w:rFonts w:ascii="Arial" w:eastAsia="Times New Roman" w:hAnsi="Arial" w:cs="Arial"/>
          <w:kern w:val="28"/>
          <w:sz w:val="20"/>
          <w:szCs w:val="20"/>
        </w:rPr>
        <w:t xml:space="preserve"> </w:t>
      </w:r>
      <w:r w:rsidRPr="00045356">
        <w:rPr>
          <w:rFonts w:ascii="Arial" w:eastAsia="Times New Roman" w:hAnsi="Arial" w:cs="Arial"/>
          <w:kern w:val="28"/>
          <w:sz w:val="20"/>
          <w:szCs w:val="20"/>
        </w:rPr>
        <w:t>Following pellet formation, the sample was analysed using the Shimadzu FTIR spectrophotometer. The spectral scan was conducted in the wave</w:t>
      </w:r>
      <w:r w:rsidR="00CE0DBE">
        <w:rPr>
          <w:rFonts w:ascii="Arial" w:eastAsia="Times New Roman" w:hAnsi="Arial" w:cs="Arial"/>
          <w:kern w:val="28"/>
          <w:sz w:val="20"/>
          <w:szCs w:val="20"/>
        </w:rPr>
        <w:t xml:space="preserve"> </w:t>
      </w:r>
      <w:r w:rsidRPr="00045356">
        <w:rPr>
          <w:rFonts w:ascii="Arial" w:eastAsia="Times New Roman" w:hAnsi="Arial" w:cs="Arial"/>
          <w:kern w:val="28"/>
          <w:sz w:val="20"/>
          <w:szCs w:val="20"/>
        </w:rPr>
        <w:t>number range of 4000–400 cm</w:t>
      </w:r>
      <w:r w:rsidRPr="00045356">
        <w:rPr>
          <w:rFonts w:ascii="Cambria Math" w:eastAsia="Times New Roman" w:hAnsi="Cambria Math" w:cs="Cambria Math"/>
          <w:kern w:val="28"/>
          <w:sz w:val="20"/>
          <w:szCs w:val="20"/>
        </w:rPr>
        <w:t>⁻</w:t>
      </w:r>
      <w:r w:rsidRPr="00045356">
        <w:rPr>
          <w:rFonts w:ascii="Arial" w:eastAsia="Times New Roman" w:hAnsi="Arial" w:cs="Arial"/>
          <w:kern w:val="28"/>
          <w:sz w:val="20"/>
          <w:szCs w:val="20"/>
        </w:rPr>
        <w:t>¹, targeting the identification of functional groups characteristic of histamine.</w:t>
      </w:r>
    </w:p>
    <w:p w14:paraId="72C3F650" w14:textId="77777777" w:rsidR="001A3F3C" w:rsidRDefault="00A75523" w:rsidP="001463ED">
      <w:pPr>
        <w:spacing w:line="240" w:lineRule="auto"/>
        <w:jc w:val="both"/>
        <w:rPr>
          <w:rFonts w:ascii="Arial" w:eastAsia="Times New Roman" w:hAnsi="Arial" w:cs="Arial"/>
          <w:kern w:val="28"/>
          <w:sz w:val="20"/>
          <w:szCs w:val="20"/>
        </w:rPr>
      </w:pPr>
      <w:r w:rsidRPr="00A75523">
        <w:rPr>
          <w:rFonts w:ascii="Arial" w:eastAsia="Times New Roman" w:hAnsi="Arial" w:cs="Arial"/>
          <w:noProof/>
          <w:kern w:val="28"/>
          <w:sz w:val="20"/>
          <w:szCs w:val="20"/>
          <w:lang w:val="en-US"/>
        </w:rPr>
        <w:lastRenderedPageBreak/>
        <w:drawing>
          <wp:inline distT="0" distB="0" distL="0" distR="0" wp14:anchorId="317F8B5B" wp14:editId="0511F469">
            <wp:extent cx="5731510" cy="3248660"/>
            <wp:effectExtent l="0" t="0" r="2540" b="8890"/>
            <wp:docPr id="51762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29711" name=""/>
                    <pic:cNvPicPr/>
                  </pic:nvPicPr>
                  <pic:blipFill>
                    <a:blip r:embed="rId19"/>
                    <a:stretch>
                      <a:fillRect/>
                    </a:stretch>
                  </pic:blipFill>
                  <pic:spPr>
                    <a:xfrm>
                      <a:off x="0" y="0"/>
                      <a:ext cx="5731510" cy="3248660"/>
                    </a:xfrm>
                    <a:prstGeom prst="rect">
                      <a:avLst/>
                    </a:prstGeom>
                  </pic:spPr>
                </pic:pic>
              </a:graphicData>
            </a:graphic>
          </wp:inline>
        </w:drawing>
      </w:r>
    </w:p>
    <w:p w14:paraId="62CD47A2" w14:textId="77777777" w:rsidR="00A75523" w:rsidRPr="004A6528" w:rsidRDefault="00A75523" w:rsidP="001463ED">
      <w:pPr>
        <w:spacing w:line="240" w:lineRule="auto"/>
        <w:jc w:val="both"/>
        <w:rPr>
          <w:rFonts w:ascii="Arial" w:eastAsia="Times New Roman" w:hAnsi="Arial" w:cs="Arial"/>
          <w:b/>
          <w:bCs/>
          <w:kern w:val="28"/>
          <w:sz w:val="20"/>
          <w:szCs w:val="20"/>
        </w:rPr>
      </w:pPr>
      <w:r w:rsidRPr="004A6528">
        <w:rPr>
          <w:rFonts w:ascii="Arial" w:eastAsia="Times New Roman" w:hAnsi="Arial" w:cs="Arial"/>
          <w:b/>
          <w:bCs/>
          <w:kern w:val="28"/>
          <w:sz w:val="20"/>
          <w:szCs w:val="20"/>
        </w:rPr>
        <w:t>Fig</w:t>
      </w:r>
      <w:r w:rsidR="00AD2D61" w:rsidRPr="004A6528">
        <w:rPr>
          <w:rFonts w:ascii="Arial" w:eastAsia="Times New Roman" w:hAnsi="Arial" w:cs="Arial"/>
          <w:b/>
          <w:bCs/>
          <w:kern w:val="28"/>
          <w:sz w:val="20"/>
          <w:szCs w:val="20"/>
        </w:rPr>
        <w:t>.</w:t>
      </w:r>
      <w:r w:rsidRPr="004A6528">
        <w:rPr>
          <w:rFonts w:ascii="Arial" w:eastAsia="Times New Roman" w:hAnsi="Arial" w:cs="Arial"/>
          <w:b/>
          <w:bCs/>
          <w:kern w:val="28"/>
          <w:sz w:val="20"/>
          <w:szCs w:val="20"/>
        </w:rPr>
        <w:t xml:space="preserve"> 2</w:t>
      </w:r>
      <w:r w:rsidR="00AD2D61" w:rsidRPr="004A6528">
        <w:rPr>
          <w:rFonts w:ascii="Arial" w:eastAsia="Times New Roman" w:hAnsi="Arial" w:cs="Arial"/>
          <w:b/>
          <w:bCs/>
          <w:kern w:val="28"/>
          <w:sz w:val="20"/>
          <w:szCs w:val="20"/>
        </w:rPr>
        <w:t>.</w:t>
      </w:r>
      <w:r w:rsidRPr="004A6528">
        <w:rPr>
          <w:rFonts w:ascii="Arial" w:eastAsia="Times New Roman" w:hAnsi="Arial" w:cs="Arial"/>
          <w:b/>
          <w:bCs/>
          <w:kern w:val="28"/>
          <w:sz w:val="20"/>
          <w:szCs w:val="20"/>
        </w:rPr>
        <w:t xml:space="preserve"> FT</w:t>
      </w:r>
      <w:r w:rsidR="00AD2D61" w:rsidRPr="004A6528">
        <w:rPr>
          <w:rFonts w:ascii="Arial" w:eastAsia="Times New Roman" w:hAnsi="Arial" w:cs="Arial"/>
          <w:b/>
          <w:bCs/>
          <w:kern w:val="28"/>
          <w:sz w:val="20"/>
          <w:szCs w:val="20"/>
        </w:rPr>
        <w:t xml:space="preserve">IR </w:t>
      </w:r>
      <w:r w:rsidR="00CE6F97" w:rsidRPr="004A6528">
        <w:rPr>
          <w:rFonts w:ascii="Arial" w:eastAsia="Times New Roman" w:hAnsi="Arial" w:cs="Arial"/>
          <w:b/>
          <w:bCs/>
          <w:kern w:val="28"/>
          <w:sz w:val="20"/>
          <w:szCs w:val="20"/>
        </w:rPr>
        <w:t xml:space="preserve">Spectrophotometry </w:t>
      </w:r>
      <w:proofErr w:type="gramStart"/>
      <w:r w:rsidR="00CE6F97" w:rsidRPr="004A6528">
        <w:rPr>
          <w:rFonts w:ascii="Arial" w:eastAsia="Times New Roman" w:hAnsi="Arial" w:cs="Arial"/>
          <w:b/>
          <w:bCs/>
          <w:kern w:val="28"/>
          <w:sz w:val="20"/>
          <w:szCs w:val="20"/>
        </w:rPr>
        <w:t>Of</w:t>
      </w:r>
      <w:proofErr w:type="gramEnd"/>
      <w:r w:rsidR="00CE6F97" w:rsidRPr="004A6528">
        <w:rPr>
          <w:rFonts w:ascii="Arial" w:eastAsia="Times New Roman" w:hAnsi="Arial" w:cs="Arial"/>
          <w:b/>
          <w:bCs/>
          <w:kern w:val="28"/>
          <w:sz w:val="20"/>
          <w:szCs w:val="20"/>
        </w:rPr>
        <w:t xml:space="preserve"> Histamine</w:t>
      </w:r>
    </w:p>
    <w:p w14:paraId="7841F355" w14:textId="77777777" w:rsidR="001463ED" w:rsidRPr="004A6528" w:rsidRDefault="001463ED" w:rsidP="006C51F9">
      <w:pPr>
        <w:spacing w:line="240" w:lineRule="auto"/>
        <w:jc w:val="both"/>
        <w:rPr>
          <w:rFonts w:ascii="Arial" w:eastAsia="Times New Roman" w:hAnsi="Arial" w:cs="Arial"/>
          <w:b/>
          <w:bCs/>
          <w:kern w:val="28"/>
          <w:sz w:val="20"/>
          <w:szCs w:val="20"/>
        </w:rPr>
      </w:pPr>
    </w:p>
    <w:p w14:paraId="1520E9C9" w14:textId="77777777" w:rsidR="00ED390C" w:rsidRPr="0096126C" w:rsidRDefault="00ED390C" w:rsidP="00906CCF">
      <w:pPr>
        <w:pStyle w:val="ListParagraph"/>
        <w:numPr>
          <w:ilvl w:val="1"/>
          <w:numId w:val="5"/>
        </w:numPr>
        <w:spacing w:line="240" w:lineRule="auto"/>
        <w:jc w:val="both"/>
        <w:rPr>
          <w:rFonts w:ascii="Arial" w:eastAsia="Times New Roman" w:hAnsi="Arial" w:cs="Arial"/>
          <w:b/>
          <w:bCs/>
          <w:kern w:val="28"/>
        </w:rPr>
      </w:pPr>
      <w:r w:rsidRPr="0096126C">
        <w:rPr>
          <w:rFonts w:ascii="Arial" w:eastAsia="Times New Roman" w:hAnsi="Arial" w:cs="Arial"/>
          <w:b/>
          <w:bCs/>
          <w:kern w:val="28"/>
        </w:rPr>
        <w:t>Quantitative Estimation of Histamine by Spectrometric analysis</w:t>
      </w:r>
    </w:p>
    <w:p w14:paraId="2AB578B2" w14:textId="77777777" w:rsidR="008D7666" w:rsidRDefault="00ED390C" w:rsidP="00ED390C">
      <w:pPr>
        <w:spacing w:line="240" w:lineRule="auto"/>
        <w:jc w:val="both"/>
        <w:rPr>
          <w:rFonts w:ascii="Arial" w:eastAsia="Times New Roman" w:hAnsi="Arial" w:cs="Arial"/>
          <w:kern w:val="28"/>
          <w:sz w:val="20"/>
          <w:szCs w:val="20"/>
        </w:rPr>
      </w:pPr>
      <w:r w:rsidRPr="00ED390C">
        <w:rPr>
          <w:rFonts w:ascii="Arial" w:eastAsia="Times New Roman" w:hAnsi="Arial" w:cs="Arial"/>
          <w:kern w:val="28"/>
          <w:sz w:val="20"/>
          <w:szCs w:val="20"/>
        </w:rPr>
        <w:t xml:space="preserve">Spectrophotometric analysis was employed to quantify histamine content by measuring absorbance at 596 nm. The bacterial supernatant samples exhibited an optical density (OD) value of 0.640, while the raw fish sample presented an OD value of 0.625. These elevated OD readings signify </w:t>
      </w:r>
      <w:proofErr w:type="spellStart"/>
      <w:r w:rsidRPr="00ED390C">
        <w:rPr>
          <w:rFonts w:ascii="Arial" w:eastAsia="Times New Roman" w:hAnsi="Arial" w:cs="Arial"/>
          <w:kern w:val="28"/>
          <w:sz w:val="20"/>
          <w:szCs w:val="20"/>
        </w:rPr>
        <w:t>cnsiderable</w:t>
      </w:r>
      <w:proofErr w:type="spellEnd"/>
      <w:r w:rsidRPr="00ED390C">
        <w:rPr>
          <w:rFonts w:ascii="Arial" w:eastAsia="Times New Roman" w:hAnsi="Arial" w:cs="Arial"/>
          <w:kern w:val="28"/>
          <w:sz w:val="20"/>
          <w:szCs w:val="20"/>
        </w:rPr>
        <w:t xml:space="preserve"> histamine accumulation, which is closely associated with bacterial spoilage activity. According to </w:t>
      </w:r>
      <w:proofErr w:type="spellStart"/>
      <w:r w:rsidRPr="00ED390C">
        <w:rPr>
          <w:rFonts w:ascii="Arial" w:eastAsia="Times New Roman" w:hAnsi="Arial" w:cs="Arial"/>
          <w:kern w:val="28"/>
          <w:sz w:val="20"/>
          <w:szCs w:val="20"/>
        </w:rPr>
        <w:t>Visciano</w:t>
      </w:r>
      <w:proofErr w:type="spellEnd"/>
      <w:r w:rsidRPr="00ED390C">
        <w:rPr>
          <w:rFonts w:ascii="Arial" w:eastAsia="Times New Roman" w:hAnsi="Arial" w:cs="Arial"/>
          <w:kern w:val="28"/>
          <w:sz w:val="20"/>
          <w:szCs w:val="20"/>
        </w:rPr>
        <w:t xml:space="preserve"> et al. (2014), OD values exceeding 0.5 are commonly indicative of histamine presence resulting from bacterial decarboxylation of histidine, a process frequently observed in seafood spoilage. Such bacterial activity often occurs when histamine-producing bacteria, such as </w:t>
      </w:r>
      <w:proofErr w:type="spellStart"/>
      <w:r w:rsidRPr="00ED390C">
        <w:rPr>
          <w:rFonts w:ascii="Arial" w:eastAsia="Times New Roman" w:hAnsi="Arial" w:cs="Arial"/>
          <w:i/>
          <w:iCs/>
          <w:kern w:val="28"/>
          <w:sz w:val="20"/>
          <w:szCs w:val="20"/>
        </w:rPr>
        <w:t>Morganella</w:t>
      </w:r>
      <w:proofErr w:type="spellEnd"/>
      <w:r w:rsidR="00CE0DBE">
        <w:rPr>
          <w:rFonts w:ascii="Arial" w:eastAsia="Times New Roman" w:hAnsi="Arial" w:cs="Arial"/>
          <w:i/>
          <w:iCs/>
          <w:kern w:val="28"/>
          <w:sz w:val="20"/>
          <w:szCs w:val="20"/>
        </w:rPr>
        <w:t xml:space="preserve"> </w:t>
      </w:r>
      <w:r w:rsidRPr="00ED390C">
        <w:rPr>
          <w:rFonts w:ascii="Arial" w:eastAsia="Times New Roman" w:hAnsi="Arial" w:cs="Arial"/>
          <w:i/>
          <w:iCs/>
          <w:kern w:val="28"/>
          <w:sz w:val="20"/>
          <w:szCs w:val="20"/>
        </w:rPr>
        <w:t>morganii, Klebsiella</w:t>
      </w:r>
      <w:r w:rsidR="00CE0DBE">
        <w:rPr>
          <w:rFonts w:ascii="Arial" w:eastAsia="Times New Roman" w:hAnsi="Arial" w:cs="Arial"/>
          <w:i/>
          <w:iCs/>
          <w:kern w:val="28"/>
          <w:sz w:val="20"/>
          <w:szCs w:val="20"/>
        </w:rPr>
        <w:t xml:space="preserve"> </w:t>
      </w:r>
      <w:r w:rsidRPr="00ED390C">
        <w:rPr>
          <w:rFonts w:ascii="Arial" w:eastAsia="Times New Roman" w:hAnsi="Arial" w:cs="Arial"/>
          <w:i/>
          <w:iCs/>
          <w:kern w:val="28"/>
          <w:sz w:val="20"/>
          <w:szCs w:val="20"/>
        </w:rPr>
        <w:t>pneumoniae</w:t>
      </w:r>
      <w:r w:rsidRPr="00ED390C">
        <w:rPr>
          <w:rFonts w:ascii="Arial" w:eastAsia="Times New Roman" w:hAnsi="Arial" w:cs="Arial"/>
          <w:kern w:val="28"/>
          <w:sz w:val="20"/>
          <w:szCs w:val="20"/>
        </w:rPr>
        <w:t xml:space="preserve">, and </w:t>
      </w:r>
      <w:r w:rsidRPr="00ED390C">
        <w:rPr>
          <w:rFonts w:ascii="Arial" w:eastAsia="Times New Roman" w:hAnsi="Arial" w:cs="Arial"/>
          <w:i/>
          <w:iCs/>
          <w:kern w:val="28"/>
          <w:sz w:val="20"/>
          <w:szCs w:val="20"/>
        </w:rPr>
        <w:t>Vibrio spp</w:t>
      </w:r>
      <w:r w:rsidRPr="00ED390C">
        <w:rPr>
          <w:rFonts w:ascii="Arial" w:eastAsia="Times New Roman" w:hAnsi="Arial" w:cs="Arial"/>
          <w:kern w:val="28"/>
          <w:sz w:val="20"/>
          <w:szCs w:val="20"/>
        </w:rPr>
        <w:t>., metabolize free histidine present in marine food matrices, resulting in biogenic amine production.</w:t>
      </w:r>
      <w:r w:rsidR="00CE0DBE">
        <w:rPr>
          <w:rFonts w:ascii="Arial" w:eastAsia="Times New Roman" w:hAnsi="Arial" w:cs="Arial"/>
          <w:kern w:val="28"/>
          <w:sz w:val="20"/>
          <w:szCs w:val="20"/>
        </w:rPr>
        <w:t xml:space="preserve"> </w:t>
      </w:r>
      <w:r w:rsidRPr="00ED390C">
        <w:rPr>
          <w:rFonts w:ascii="Arial" w:eastAsia="Times New Roman" w:hAnsi="Arial" w:cs="Arial"/>
          <w:kern w:val="28"/>
          <w:sz w:val="20"/>
          <w:szCs w:val="20"/>
        </w:rPr>
        <w:t xml:space="preserve">The use of spectrophotometry in histamine detection has gained prominence due to its simplicity, precision, and ability to rapidly quantify histamine levels in seafood products. This method effectively identifies spoilage conditions that may pose health risks, as elevated histamine concentrations are linked to scombroid poisoning — a foodborne illness associated with fish and seafood consumption. </w:t>
      </w:r>
      <w:proofErr w:type="spellStart"/>
      <w:r w:rsidRPr="00ED390C">
        <w:rPr>
          <w:rFonts w:ascii="Arial" w:eastAsia="Times New Roman" w:hAnsi="Arial" w:cs="Arial"/>
          <w:kern w:val="28"/>
          <w:sz w:val="20"/>
          <w:szCs w:val="20"/>
        </w:rPr>
        <w:t>Visciano</w:t>
      </w:r>
      <w:proofErr w:type="spellEnd"/>
      <w:r w:rsidRPr="00ED390C">
        <w:rPr>
          <w:rFonts w:ascii="Arial" w:eastAsia="Times New Roman" w:hAnsi="Arial" w:cs="Arial"/>
          <w:kern w:val="28"/>
          <w:sz w:val="20"/>
          <w:szCs w:val="20"/>
        </w:rPr>
        <w:t xml:space="preserve"> </w:t>
      </w:r>
      <w:r w:rsidRPr="00CE0DBE">
        <w:rPr>
          <w:rFonts w:ascii="Arial" w:eastAsia="Times New Roman" w:hAnsi="Arial" w:cs="Arial"/>
          <w:i/>
          <w:kern w:val="28"/>
          <w:sz w:val="20"/>
          <w:szCs w:val="20"/>
        </w:rPr>
        <w:t>et al</w:t>
      </w:r>
      <w:r w:rsidRPr="00ED390C">
        <w:rPr>
          <w:rFonts w:ascii="Arial" w:eastAsia="Times New Roman" w:hAnsi="Arial" w:cs="Arial"/>
          <w:kern w:val="28"/>
          <w:sz w:val="20"/>
          <w:szCs w:val="20"/>
        </w:rPr>
        <w:t xml:space="preserve">. (2014) highlighted that spectrophotometric methods are particularly effective in </w:t>
      </w:r>
      <w:proofErr w:type="spellStart"/>
      <w:r w:rsidRPr="00ED390C">
        <w:rPr>
          <w:rFonts w:ascii="Arial" w:eastAsia="Times New Roman" w:hAnsi="Arial" w:cs="Arial"/>
          <w:kern w:val="28"/>
          <w:sz w:val="20"/>
          <w:szCs w:val="20"/>
        </w:rPr>
        <w:t>analyzing</w:t>
      </w:r>
      <w:proofErr w:type="spellEnd"/>
      <w:r w:rsidRPr="00ED390C">
        <w:rPr>
          <w:rFonts w:ascii="Arial" w:eastAsia="Times New Roman" w:hAnsi="Arial" w:cs="Arial"/>
          <w:kern w:val="28"/>
          <w:sz w:val="20"/>
          <w:szCs w:val="20"/>
        </w:rPr>
        <w:t xml:space="preserve"> histamine levels in fish such as tuna, mackerel, and sardines, where bacterial spoilage is common. Furthermore, spectrophotometry is advantageous for routine monitoring in seafood processing industries due to its cost-effectiveness, rapid results, and minimal sample preparation requirements. The obtained OD values in this study align with established parameters for detecting histamine </w:t>
      </w:r>
      <w:r w:rsidR="0096126C" w:rsidRPr="00ED390C">
        <w:rPr>
          <w:rFonts w:ascii="Arial" w:eastAsia="Times New Roman" w:hAnsi="Arial" w:cs="Arial"/>
          <w:kern w:val="28"/>
          <w:sz w:val="20"/>
          <w:szCs w:val="20"/>
        </w:rPr>
        <w:t>build-up</w:t>
      </w:r>
      <w:r w:rsidRPr="00ED390C">
        <w:rPr>
          <w:rFonts w:ascii="Arial" w:eastAsia="Times New Roman" w:hAnsi="Arial" w:cs="Arial"/>
          <w:kern w:val="28"/>
          <w:sz w:val="20"/>
          <w:szCs w:val="20"/>
        </w:rPr>
        <w:t>, reinforcing the method's reliability in assessing seafood quality and ensuring consumer safety.</w:t>
      </w:r>
    </w:p>
    <w:p w14:paraId="0EE412BE" w14:textId="77777777" w:rsidR="0096126C" w:rsidRDefault="0096126C" w:rsidP="0096126C">
      <w:pPr>
        <w:pStyle w:val="ListParagraph"/>
        <w:numPr>
          <w:ilvl w:val="1"/>
          <w:numId w:val="1"/>
        </w:numPr>
        <w:spacing w:line="240" w:lineRule="auto"/>
        <w:ind w:left="720"/>
        <w:jc w:val="both"/>
        <w:rPr>
          <w:rFonts w:ascii="Arial" w:eastAsia="Times New Roman" w:hAnsi="Arial" w:cs="Arial"/>
          <w:b/>
          <w:bCs/>
          <w:kern w:val="28"/>
        </w:rPr>
      </w:pPr>
      <w:r>
        <w:rPr>
          <w:rFonts w:ascii="Arial" w:eastAsia="Times New Roman" w:hAnsi="Arial" w:cs="Arial"/>
          <w:b/>
          <w:bCs/>
          <w:kern w:val="28"/>
        </w:rPr>
        <w:t>HPLC Analysis</w:t>
      </w:r>
    </w:p>
    <w:p w14:paraId="5EAFC0D6" w14:textId="77777777" w:rsid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 xml:space="preserve">The HPLC chromatogram presented in the figure indicates a distinct peak at a retention time (RT) of 7.053 minutes, corresponding to the histamine standard. The identified peak demonstrates a high-intensity signal with an area of 99.87 and a height percentage of 4.81%, confirming the presence of histamine in the </w:t>
      </w:r>
      <w:proofErr w:type="spellStart"/>
      <w:r w:rsidRPr="0096126C">
        <w:rPr>
          <w:rFonts w:ascii="Arial" w:eastAsia="Times New Roman" w:hAnsi="Arial" w:cs="Arial"/>
          <w:kern w:val="28"/>
          <w:sz w:val="20"/>
          <w:szCs w:val="20"/>
        </w:rPr>
        <w:t>analyzed</w:t>
      </w:r>
      <w:proofErr w:type="spellEnd"/>
      <w:r w:rsidRPr="0096126C">
        <w:rPr>
          <w:rFonts w:ascii="Arial" w:eastAsia="Times New Roman" w:hAnsi="Arial" w:cs="Arial"/>
          <w:kern w:val="28"/>
          <w:sz w:val="20"/>
          <w:szCs w:val="20"/>
        </w:rPr>
        <w:t xml:space="preserve"> sample. The obtained peak with a sharp and well-defined profile is characteristic of histamine detection in seafood or bacterial culture supernatants. As described by Ramasamy </w:t>
      </w:r>
      <w:r w:rsidRPr="00CE0DBE">
        <w:rPr>
          <w:rFonts w:ascii="Arial" w:eastAsia="Times New Roman" w:hAnsi="Arial" w:cs="Arial"/>
          <w:i/>
          <w:kern w:val="28"/>
          <w:sz w:val="20"/>
          <w:szCs w:val="20"/>
        </w:rPr>
        <w:t>et al</w:t>
      </w:r>
      <w:r w:rsidRPr="0096126C">
        <w:rPr>
          <w:rFonts w:ascii="Arial" w:eastAsia="Times New Roman" w:hAnsi="Arial" w:cs="Arial"/>
          <w:kern w:val="28"/>
          <w:sz w:val="20"/>
          <w:szCs w:val="20"/>
        </w:rPr>
        <w:t>. (2018), such distinct retention times and high peak areas are crucial for accurately identifying histamine in food matrices, particularly marine products where spoilage-related biogenic amines are prevalent.</w:t>
      </w:r>
    </w:p>
    <w:p w14:paraId="1785CC54" w14:textId="77777777" w:rsidR="0096126C" w:rsidRDefault="0096126C" w:rsidP="0096126C">
      <w:pPr>
        <w:spacing w:line="240" w:lineRule="auto"/>
        <w:jc w:val="center"/>
        <w:rPr>
          <w:rFonts w:ascii="Arial" w:eastAsia="Times New Roman" w:hAnsi="Arial" w:cs="Arial"/>
          <w:kern w:val="28"/>
          <w:sz w:val="20"/>
          <w:szCs w:val="20"/>
        </w:rPr>
      </w:pPr>
      <w:r w:rsidRPr="002B0D68">
        <w:rPr>
          <w:rFonts w:ascii="Times New Roman" w:hAnsi="Times New Roman" w:cs="Times New Roman"/>
          <w:noProof/>
          <w:lang w:val="en-US"/>
        </w:rPr>
        <w:lastRenderedPageBreak/>
        <w:drawing>
          <wp:inline distT="0" distB="0" distL="0" distR="0" wp14:anchorId="1CDA0529" wp14:editId="7304C564">
            <wp:extent cx="5247861" cy="3116911"/>
            <wp:effectExtent l="0" t="0" r="0" b="7620"/>
            <wp:docPr id="1007552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2119" name=""/>
                    <pic:cNvPicPr/>
                  </pic:nvPicPr>
                  <pic:blipFill rotWithShape="1">
                    <a:blip r:embed="rId20"/>
                    <a:srcRect l="6657" t="25843" r="6518" b="5704"/>
                    <a:stretch/>
                  </pic:blipFill>
                  <pic:spPr bwMode="auto">
                    <a:xfrm>
                      <a:off x="0" y="0"/>
                      <a:ext cx="5246598" cy="3116161"/>
                    </a:xfrm>
                    <a:prstGeom prst="rect">
                      <a:avLst/>
                    </a:prstGeom>
                    <a:ln>
                      <a:noFill/>
                    </a:ln>
                    <a:extLst>
                      <a:ext uri="{53640926-AAD7-44D8-BBD7-CCE9431645EC}">
                        <a14:shadowObscured xmlns:a14="http://schemas.microsoft.com/office/drawing/2010/main"/>
                      </a:ext>
                    </a:extLst>
                  </pic:spPr>
                </pic:pic>
              </a:graphicData>
            </a:graphic>
          </wp:inline>
        </w:drawing>
      </w:r>
    </w:p>
    <w:p w14:paraId="02FC6C4A" w14:textId="77777777" w:rsidR="0096126C" w:rsidRPr="0096126C" w:rsidRDefault="0096126C" w:rsidP="0096126C">
      <w:pPr>
        <w:spacing w:line="240" w:lineRule="auto"/>
        <w:jc w:val="center"/>
        <w:rPr>
          <w:rFonts w:ascii="Arial" w:eastAsia="Times New Roman" w:hAnsi="Arial" w:cs="Arial"/>
          <w:kern w:val="28"/>
          <w:sz w:val="20"/>
          <w:szCs w:val="20"/>
        </w:rPr>
      </w:pPr>
      <w:r>
        <w:rPr>
          <w:rFonts w:ascii="Arial" w:hAnsi="Arial" w:cs="Arial"/>
          <w:b/>
          <w:bCs/>
        </w:rPr>
        <w:t>Fig.</w:t>
      </w:r>
      <w:r w:rsidR="00EF36F8">
        <w:rPr>
          <w:rFonts w:ascii="Arial" w:hAnsi="Arial" w:cs="Arial"/>
          <w:b/>
          <w:bCs/>
        </w:rPr>
        <w:t>3</w:t>
      </w:r>
      <w:r>
        <w:rPr>
          <w:rFonts w:ascii="Arial" w:hAnsi="Arial" w:cs="Arial"/>
          <w:b/>
          <w:bCs/>
        </w:rPr>
        <w:t>. HPLC Chromatogram of Histamine Estimation</w:t>
      </w:r>
    </w:p>
    <w:p w14:paraId="28D30815" w14:textId="77777777" w:rsid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The chromatographic profile aligns with established histamine detection standards, where histamine typically elutes at retention times ranging from 6.5 to 8 minutes under standard HPLC conditions with UV detection at 280 nm (</w:t>
      </w:r>
      <w:proofErr w:type="spellStart"/>
      <w:r w:rsidRPr="0096126C">
        <w:rPr>
          <w:rFonts w:ascii="Arial" w:eastAsia="Times New Roman" w:hAnsi="Arial" w:cs="Arial"/>
          <w:kern w:val="28"/>
          <w:sz w:val="20"/>
          <w:szCs w:val="20"/>
        </w:rPr>
        <w:t>Visciano</w:t>
      </w:r>
      <w:proofErr w:type="spellEnd"/>
      <w:r w:rsidR="00CE0DBE">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96126C">
        <w:rPr>
          <w:rFonts w:ascii="Arial" w:eastAsia="Times New Roman" w:hAnsi="Arial" w:cs="Arial"/>
          <w:kern w:val="28"/>
          <w:sz w:val="20"/>
          <w:szCs w:val="20"/>
        </w:rPr>
        <w:t xml:space="preserve"> 2014). The sharpness and peak symmetry observed in the figure further support the sample’s purity and the method’s precision. The high area percentage value (100%) suggests minimal interference from other amines, reflecting effective extraction efficiency using dichloromethane. This aligns with studies emphasizing dichloromethane as a highly efficient solvent for isolating nitrogen-based compounds like histamine from complex biological matrices (Santos </w:t>
      </w:r>
      <w:r w:rsidR="009B77F9" w:rsidRPr="009B77F9">
        <w:rPr>
          <w:rFonts w:ascii="Arial" w:eastAsia="Times New Roman" w:hAnsi="Arial" w:cs="Arial"/>
          <w:i/>
          <w:iCs/>
          <w:kern w:val="28"/>
          <w:sz w:val="20"/>
          <w:szCs w:val="20"/>
        </w:rPr>
        <w:t>et al.,</w:t>
      </w:r>
      <w:r w:rsidRPr="0096126C">
        <w:rPr>
          <w:rFonts w:ascii="Arial" w:eastAsia="Times New Roman" w:hAnsi="Arial" w:cs="Arial"/>
          <w:kern w:val="28"/>
          <w:sz w:val="20"/>
          <w:szCs w:val="20"/>
        </w:rPr>
        <w:t xml:space="preserve"> 2012</w:t>
      </w:r>
      <w:proofErr w:type="gramStart"/>
      <w:r w:rsidRPr="0096126C">
        <w:rPr>
          <w:rFonts w:ascii="Arial" w:eastAsia="Times New Roman" w:hAnsi="Arial" w:cs="Arial"/>
          <w:kern w:val="28"/>
          <w:sz w:val="20"/>
          <w:szCs w:val="20"/>
        </w:rPr>
        <w:t>).The</w:t>
      </w:r>
      <w:proofErr w:type="gramEnd"/>
      <w:r w:rsidRPr="0096126C">
        <w:rPr>
          <w:rFonts w:ascii="Arial" w:eastAsia="Times New Roman" w:hAnsi="Arial" w:cs="Arial"/>
          <w:kern w:val="28"/>
          <w:sz w:val="20"/>
          <w:szCs w:val="20"/>
        </w:rPr>
        <w:t xml:space="preserve"> strong correlation between the obtained peak and reported histamine standards highlights the reliability of HPLC as a gold-standard technique for histamine detection. HPLC's ability to provide high-resolution separation ensures accurate quantification, critical for assessing seafood safety due to histamine’s role in scombroid poisoning (Lehane</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&amp;</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 xml:space="preserve">Olley, 2000). </w:t>
      </w:r>
    </w:p>
    <w:p w14:paraId="42E9E61F" w14:textId="77777777" w:rsidR="0096126C" w:rsidRPr="0096126C" w:rsidRDefault="0096126C" w:rsidP="0096126C">
      <w:pPr>
        <w:pStyle w:val="ListParagraph"/>
        <w:numPr>
          <w:ilvl w:val="1"/>
          <w:numId w:val="1"/>
        </w:numPr>
        <w:spacing w:line="240" w:lineRule="auto"/>
        <w:ind w:left="720"/>
        <w:jc w:val="both"/>
        <w:rPr>
          <w:rFonts w:ascii="Arial" w:eastAsia="Times New Roman" w:hAnsi="Arial" w:cs="Arial"/>
          <w:b/>
          <w:bCs/>
          <w:kern w:val="28"/>
        </w:rPr>
      </w:pPr>
      <w:r w:rsidRPr="0096126C">
        <w:rPr>
          <w:rFonts w:ascii="Arial" w:eastAsia="Times New Roman" w:hAnsi="Arial" w:cs="Arial"/>
          <w:b/>
          <w:bCs/>
          <w:kern w:val="28"/>
        </w:rPr>
        <w:t>Remedial Measures</w:t>
      </w:r>
      <w:r w:rsidR="00FB241A">
        <w:rPr>
          <w:rFonts w:ascii="Arial" w:eastAsia="Times New Roman" w:hAnsi="Arial" w:cs="Arial"/>
          <w:b/>
          <w:bCs/>
          <w:kern w:val="28"/>
        </w:rPr>
        <w:t xml:space="preserve"> with plant extracts and Estimation of its total flavonoid content</w:t>
      </w:r>
    </w:p>
    <w:p w14:paraId="222E1199" w14:textId="77777777" w:rsidR="0096126C" w:rsidRP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To mitigate the effects of histamine-induced skin allergies, plant extracts from Soursop (</w:t>
      </w:r>
      <w:r w:rsidRPr="00FB241A">
        <w:rPr>
          <w:rFonts w:ascii="Arial" w:eastAsia="Times New Roman" w:hAnsi="Arial" w:cs="Arial"/>
          <w:i/>
          <w:iCs/>
          <w:kern w:val="28"/>
          <w:sz w:val="20"/>
          <w:szCs w:val="20"/>
        </w:rPr>
        <w:t>Annona muricata</w:t>
      </w:r>
      <w:r w:rsidRPr="0096126C">
        <w:rPr>
          <w:rFonts w:ascii="Arial" w:eastAsia="Times New Roman" w:hAnsi="Arial" w:cs="Arial"/>
          <w:kern w:val="28"/>
          <w:sz w:val="20"/>
          <w:szCs w:val="20"/>
        </w:rPr>
        <w:t>), Night Flower Jasmine (</w:t>
      </w:r>
      <w:r w:rsidRPr="00FB241A">
        <w:rPr>
          <w:rFonts w:ascii="Arial" w:eastAsia="Times New Roman" w:hAnsi="Arial" w:cs="Arial"/>
          <w:i/>
          <w:iCs/>
          <w:kern w:val="28"/>
          <w:sz w:val="20"/>
          <w:szCs w:val="20"/>
        </w:rPr>
        <w:t xml:space="preserve">Cestrum </w:t>
      </w:r>
      <w:proofErr w:type="spellStart"/>
      <w:r w:rsidRPr="00FB241A">
        <w:rPr>
          <w:rFonts w:ascii="Arial" w:eastAsia="Times New Roman" w:hAnsi="Arial" w:cs="Arial"/>
          <w:i/>
          <w:iCs/>
          <w:kern w:val="28"/>
          <w:sz w:val="20"/>
          <w:szCs w:val="20"/>
        </w:rPr>
        <w:t>nocturnum</w:t>
      </w:r>
      <w:proofErr w:type="spellEnd"/>
      <w:r w:rsidRPr="0096126C">
        <w:rPr>
          <w:rFonts w:ascii="Arial" w:eastAsia="Times New Roman" w:hAnsi="Arial" w:cs="Arial"/>
          <w:kern w:val="28"/>
          <w:sz w:val="20"/>
          <w:szCs w:val="20"/>
        </w:rPr>
        <w:t>), and Jatropha (</w:t>
      </w:r>
      <w:r w:rsidRPr="00FB241A">
        <w:rPr>
          <w:rFonts w:ascii="Arial" w:eastAsia="Times New Roman" w:hAnsi="Arial" w:cs="Arial"/>
          <w:i/>
          <w:iCs/>
          <w:kern w:val="28"/>
          <w:sz w:val="20"/>
          <w:szCs w:val="20"/>
        </w:rPr>
        <w:t xml:space="preserve">Jatropha </w:t>
      </w:r>
      <w:proofErr w:type="spellStart"/>
      <w:r w:rsidRPr="00FB241A">
        <w:rPr>
          <w:rFonts w:ascii="Arial" w:eastAsia="Times New Roman" w:hAnsi="Arial" w:cs="Arial"/>
          <w:i/>
          <w:iCs/>
          <w:kern w:val="28"/>
          <w:sz w:val="20"/>
          <w:szCs w:val="20"/>
        </w:rPr>
        <w:t>curcas</w:t>
      </w:r>
      <w:proofErr w:type="spellEnd"/>
      <w:r w:rsidRPr="0096126C">
        <w:rPr>
          <w:rFonts w:ascii="Arial" w:eastAsia="Times New Roman" w:hAnsi="Arial" w:cs="Arial"/>
          <w:kern w:val="28"/>
          <w:sz w:val="20"/>
          <w:szCs w:val="20"/>
        </w:rPr>
        <w:t xml:space="preserve">) were evaluated for their potential therapeutic effects. These plants are widely recognized for their antimicrobial and anti-inflammatory properties, making them suitable candidates for managing histamine-related allergies. According to Adewole and </w:t>
      </w:r>
      <w:proofErr w:type="spellStart"/>
      <w:r w:rsidRPr="0096126C">
        <w:rPr>
          <w:rFonts w:ascii="Arial" w:eastAsia="Times New Roman" w:hAnsi="Arial" w:cs="Arial"/>
          <w:kern w:val="28"/>
          <w:sz w:val="20"/>
          <w:szCs w:val="20"/>
        </w:rPr>
        <w:t>Ojewole</w:t>
      </w:r>
      <w:proofErr w:type="spellEnd"/>
      <w:r w:rsidRPr="0096126C">
        <w:rPr>
          <w:rFonts w:ascii="Arial" w:eastAsia="Times New Roman" w:hAnsi="Arial" w:cs="Arial"/>
          <w:kern w:val="28"/>
          <w:sz w:val="20"/>
          <w:szCs w:val="20"/>
        </w:rPr>
        <w:t xml:space="preserve"> (2009), Soursop has potent anti-inflammatory effects that may reduce skin irritation caused by histamine reactions. Similarly, Night Flower Jasmine is reported to possess bioactive compounds that suppress allergic reactions by inhibiting histamine release (</w:t>
      </w:r>
      <w:r w:rsidR="00B724F8">
        <w:rPr>
          <w:rFonts w:ascii="Arial" w:hAnsi="Arial" w:cs="Arial"/>
          <w:color w:val="222222"/>
          <w:sz w:val="20"/>
          <w:szCs w:val="20"/>
          <w:shd w:val="clear" w:color="auto" w:fill="FFFFFF"/>
        </w:rPr>
        <w:t>Mans</w:t>
      </w:r>
      <w:r w:rsidR="00C127C4">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B724F8">
        <w:rPr>
          <w:rFonts w:ascii="Arial" w:eastAsia="Times New Roman" w:hAnsi="Arial" w:cs="Arial"/>
          <w:kern w:val="28"/>
          <w:sz w:val="20"/>
          <w:szCs w:val="20"/>
        </w:rPr>
        <w:t xml:space="preserve"> 2020</w:t>
      </w:r>
      <w:r w:rsidRPr="0096126C">
        <w:rPr>
          <w:rFonts w:ascii="Arial" w:eastAsia="Times New Roman" w:hAnsi="Arial" w:cs="Arial"/>
          <w:kern w:val="28"/>
          <w:sz w:val="20"/>
          <w:szCs w:val="20"/>
        </w:rPr>
        <w:t>). Jatropha extracts have also demonstrated antibacterial properties effective against various pathogenic bacteria, further supporting their suitability in histamine allergy treatment.</w:t>
      </w:r>
    </w:p>
    <w:p w14:paraId="5C65E85B" w14:textId="77777777" w:rsidR="0096126C" w:rsidRP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The flavonoid test conducted on these extracts confirmed the presence of quercetin, a known anti-allergic compound. The OD values recorded were 0.593 for Soursop, 0.522 for Night Flower Jasmine, and 0.3165 for Jatropha, indicating significant quercetin content. Quercetin is a well-documented bioactive compound recognized for stabilizing mast cells and reducing histamine release in allergic responses (</w:t>
      </w:r>
      <w:r w:rsidR="00B724F8">
        <w:rPr>
          <w:rFonts w:ascii="Arial" w:hAnsi="Arial" w:cs="Arial"/>
          <w:color w:val="222222"/>
          <w:sz w:val="20"/>
          <w:szCs w:val="20"/>
          <w:shd w:val="clear" w:color="auto" w:fill="FFFFFF"/>
        </w:rPr>
        <w:t>Mans</w:t>
      </w:r>
      <w:r w:rsidR="00B724F8" w:rsidRPr="009B77F9">
        <w:rPr>
          <w:rFonts w:ascii="Arial" w:eastAsia="Times New Roman" w:hAnsi="Arial" w:cs="Arial"/>
          <w:i/>
          <w:iCs/>
          <w:kern w:val="28"/>
          <w:sz w:val="20"/>
          <w:szCs w:val="20"/>
        </w:rPr>
        <w:t xml:space="preserve"> et al.,</w:t>
      </w:r>
      <w:r w:rsidR="00B724F8">
        <w:rPr>
          <w:rFonts w:ascii="Arial" w:eastAsia="Times New Roman" w:hAnsi="Arial" w:cs="Arial"/>
          <w:kern w:val="28"/>
          <w:sz w:val="20"/>
          <w:szCs w:val="20"/>
        </w:rPr>
        <w:t xml:space="preserve"> 2020</w:t>
      </w:r>
      <w:r w:rsidRPr="0096126C">
        <w:rPr>
          <w:rFonts w:ascii="Arial" w:eastAsia="Times New Roman" w:hAnsi="Arial" w:cs="Arial"/>
          <w:kern w:val="28"/>
          <w:sz w:val="20"/>
          <w:szCs w:val="20"/>
        </w:rPr>
        <w:t>). These results align with studies confirming quercetin’s role in minimizing skin irritation and inflammatory responses linked to histamine exposure. Such findings reinforce the potential of these plant extracts as effective natural remedies for histamine-induced skin allergies.</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 xml:space="preserve">The observed reduction in allergic symptoms following the application of these extracts aligns with previous research highlighting plant-derived bioactive compounds as effective alternatives in dermatological treatments. In particular, </w:t>
      </w:r>
      <w:r w:rsidR="00B724F8">
        <w:rPr>
          <w:rFonts w:ascii="Arial" w:hAnsi="Arial" w:cs="Arial"/>
          <w:color w:val="222222"/>
          <w:sz w:val="20"/>
          <w:szCs w:val="20"/>
          <w:shd w:val="clear" w:color="auto" w:fill="FFFFFF"/>
        </w:rPr>
        <w:t>Mans</w:t>
      </w:r>
      <w:r w:rsidR="00B724F8" w:rsidRPr="009B77F9">
        <w:rPr>
          <w:rFonts w:ascii="Arial" w:eastAsia="Times New Roman" w:hAnsi="Arial" w:cs="Arial"/>
          <w:i/>
          <w:iCs/>
          <w:kern w:val="28"/>
          <w:sz w:val="20"/>
          <w:szCs w:val="20"/>
        </w:rPr>
        <w:t xml:space="preserve"> et al.,</w:t>
      </w:r>
      <w:r w:rsidR="00B724F8">
        <w:rPr>
          <w:rFonts w:ascii="Arial" w:eastAsia="Times New Roman" w:hAnsi="Arial" w:cs="Arial"/>
          <w:kern w:val="28"/>
          <w:sz w:val="20"/>
          <w:szCs w:val="20"/>
        </w:rPr>
        <w:t xml:space="preserve"> (2020</w:t>
      </w:r>
      <w:r w:rsidRPr="0096126C">
        <w:rPr>
          <w:rFonts w:ascii="Arial" w:eastAsia="Times New Roman" w:hAnsi="Arial" w:cs="Arial"/>
          <w:kern w:val="28"/>
          <w:sz w:val="20"/>
          <w:szCs w:val="20"/>
        </w:rPr>
        <w:t>) demonstrated that quercetin-rich extracts significantly reduce histamine-related inflammatory resp</w:t>
      </w:r>
      <w:r w:rsidR="00FB241A">
        <w:rPr>
          <w:rFonts w:ascii="Arial" w:eastAsia="Times New Roman" w:hAnsi="Arial" w:cs="Arial"/>
          <w:kern w:val="28"/>
          <w:sz w:val="20"/>
          <w:szCs w:val="20"/>
        </w:rPr>
        <w:t xml:space="preserve">onses, making them suitable for </w:t>
      </w:r>
      <w:r w:rsidRPr="0096126C">
        <w:rPr>
          <w:rFonts w:ascii="Arial" w:eastAsia="Times New Roman" w:hAnsi="Arial" w:cs="Arial"/>
          <w:kern w:val="28"/>
          <w:sz w:val="20"/>
          <w:szCs w:val="20"/>
        </w:rPr>
        <w:t xml:space="preserve">allergy management. The </w:t>
      </w:r>
      <w:r w:rsidRPr="0096126C">
        <w:rPr>
          <w:rFonts w:ascii="Arial" w:eastAsia="Times New Roman" w:hAnsi="Arial" w:cs="Arial"/>
          <w:kern w:val="28"/>
          <w:sz w:val="20"/>
          <w:szCs w:val="20"/>
        </w:rPr>
        <w:lastRenderedPageBreak/>
        <w:t>findings confirm that these plant extracts offer promising remedial potential, particularly for addressing histamine-induced skin conditions caused by seafood spoilage bacteria.</w:t>
      </w:r>
    </w:p>
    <w:p w14:paraId="4C8FD9BA" w14:textId="77777777" w:rsidR="0096126C" w:rsidRPr="00FB241A" w:rsidRDefault="0096126C" w:rsidP="00FB241A">
      <w:pPr>
        <w:pStyle w:val="ListParagraph"/>
        <w:numPr>
          <w:ilvl w:val="1"/>
          <w:numId w:val="1"/>
        </w:numPr>
        <w:spacing w:line="240" w:lineRule="auto"/>
        <w:ind w:left="720"/>
        <w:rPr>
          <w:rFonts w:ascii="Arial" w:eastAsia="Times New Roman" w:hAnsi="Arial" w:cs="Arial"/>
          <w:b/>
          <w:bCs/>
          <w:kern w:val="28"/>
        </w:rPr>
      </w:pPr>
      <w:r w:rsidRPr="00FB241A">
        <w:rPr>
          <w:rFonts w:ascii="Arial" w:eastAsia="Times New Roman" w:hAnsi="Arial" w:cs="Arial"/>
          <w:b/>
          <w:bCs/>
          <w:kern w:val="28"/>
        </w:rPr>
        <w:t>Degradation of the Component</w:t>
      </w:r>
    </w:p>
    <w:p w14:paraId="45A09946" w14:textId="77777777" w:rsidR="0096126C" w:rsidRP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 xml:space="preserve">To evaluate the ability of plant extracts to degrade histamine-producing bacteria, the extracts were incorporated into bacterial growth media. Results showed a reduction in bacterial growth, demonstrating the extracts' inhibitory effects. This aligns with the findings of Thangaraj </w:t>
      </w:r>
      <w:r w:rsidRPr="00C127C4">
        <w:rPr>
          <w:rFonts w:ascii="Arial" w:eastAsia="Times New Roman" w:hAnsi="Arial" w:cs="Arial"/>
          <w:i/>
          <w:kern w:val="28"/>
          <w:sz w:val="20"/>
          <w:szCs w:val="20"/>
        </w:rPr>
        <w:t>et al.</w:t>
      </w:r>
      <w:r w:rsidRPr="0096126C">
        <w:rPr>
          <w:rFonts w:ascii="Arial" w:eastAsia="Times New Roman" w:hAnsi="Arial" w:cs="Arial"/>
          <w:kern w:val="28"/>
          <w:sz w:val="20"/>
          <w:szCs w:val="20"/>
        </w:rPr>
        <w:t xml:space="preserve"> (2014), who reported that bioactive plant compounds possess antimicrobial properties capable of controlling bacterial populations linked to seafood spoilage. The observed bacterial reduction highlights the potential role of these plant extracts in limiting histamine-producing bacteria, which is crucial for improving seafood safety.</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The inhibitory effects seen in the present study are attributed to the active phytochemicals present in the tested plant extracts. Bioactive compounds such as alkaloids, flavonoids, and tannins are known for their antimicrobial properties, which can disrupt bacterial cell membranes and inhibit their metabolic activities (</w:t>
      </w:r>
      <w:r w:rsidR="00B702F5">
        <w:rPr>
          <w:rFonts w:ascii="Arial" w:hAnsi="Arial" w:cs="Arial"/>
          <w:color w:val="222222"/>
          <w:sz w:val="20"/>
          <w:szCs w:val="20"/>
          <w:shd w:val="clear" w:color="auto" w:fill="FFFFFF"/>
        </w:rPr>
        <w:t>Godlewska</w:t>
      </w:r>
      <w:r w:rsidR="00C127C4">
        <w:rPr>
          <w:rFonts w:ascii="Arial" w:hAnsi="Arial" w:cs="Arial"/>
          <w:color w:val="222222"/>
          <w:sz w:val="20"/>
          <w:szCs w:val="20"/>
          <w:shd w:val="clear" w:color="auto" w:fill="FFFFFF"/>
        </w:rPr>
        <w:t xml:space="preserve"> </w:t>
      </w:r>
      <w:r w:rsidR="009B77F9" w:rsidRPr="009B77F9">
        <w:rPr>
          <w:rFonts w:ascii="Arial" w:eastAsia="Times New Roman" w:hAnsi="Arial" w:cs="Arial"/>
          <w:i/>
          <w:iCs/>
          <w:kern w:val="28"/>
          <w:sz w:val="20"/>
          <w:szCs w:val="20"/>
        </w:rPr>
        <w:t>et al.,</w:t>
      </w:r>
      <w:r w:rsidR="00B702F5">
        <w:rPr>
          <w:rFonts w:ascii="Arial" w:eastAsia="Times New Roman" w:hAnsi="Arial" w:cs="Arial"/>
          <w:kern w:val="28"/>
          <w:sz w:val="20"/>
          <w:szCs w:val="20"/>
        </w:rPr>
        <w:t xml:space="preserve"> 2023</w:t>
      </w:r>
      <w:r w:rsidRPr="0096126C">
        <w:rPr>
          <w:rFonts w:ascii="Arial" w:eastAsia="Times New Roman" w:hAnsi="Arial" w:cs="Arial"/>
          <w:kern w:val="28"/>
          <w:sz w:val="20"/>
          <w:szCs w:val="20"/>
        </w:rPr>
        <w:t>). By incorporating these extracts into bacterial growth media, their potential to degrade histamine-producing bacteria was demonstrated, reinforcing their effectiveness in seafood preservation.</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Furthermore, the significant bacterial reduction aligns with earlier studies that identified natural plant extracts as safe and effective alternatives to synthetic preservatives in controlling spoilage microorganisms. The use of plant-based antimicrobials is increasingly recognized for its eco-friendly approach to reducing bacterial contamination in seafood products. Thus, the current findings emphasize the potential application of these extracts in seafood storage and bacterial control strategies.</w:t>
      </w:r>
    </w:p>
    <w:p w14:paraId="3D24F111" w14:textId="77777777" w:rsidR="0096126C" w:rsidRPr="00432E1F" w:rsidRDefault="0096126C" w:rsidP="00432E1F">
      <w:pPr>
        <w:pStyle w:val="ListParagraph"/>
        <w:numPr>
          <w:ilvl w:val="1"/>
          <w:numId w:val="1"/>
        </w:numPr>
        <w:spacing w:line="240" w:lineRule="auto"/>
        <w:ind w:left="720"/>
        <w:jc w:val="both"/>
        <w:rPr>
          <w:rFonts w:ascii="Arial" w:eastAsia="Times New Roman" w:hAnsi="Arial" w:cs="Arial"/>
          <w:b/>
          <w:bCs/>
          <w:kern w:val="28"/>
        </w:rPr>
      </w:pPr>
      <w:r w:rsidRPr="00432E1F">
        <w:rPr>
          <w:rFonts w:ascii="Arial" w:eastAsia="Times New Roman" w:hAnsi="Arial" w:cs="Arial"/>
          <w:b/>
          <w:bCs/>
          <w:kern w:val="28"/>
        </w:rPr>
        <w:t>Ointment Formulation</w:t>
      </w:r>
      <w:r w:rsidR="00432E1F" w:rsidRPr="00432E1F">
        <w:rPr>
          <w:rFonts w:ascii="Arial" w:eastAsia="Times New Roman" w:hAnsi="Arial" w:cs="Arial"/>
          <w:b/>
          <w:bCs/>
          <w:kern w:val="28"/>
        </w:rPr>
        <w:t xml:space="preserve"> and Evaluation of its Antibacterial Potential</w:t>
      </w:r>
    </w:p>
    <w:p w14:paraId="4D40DC76" w14:textId="77777777" w:rsidR="0096126C" w:rsidRDefault="0096126C" w:rsidP="0096126C">
      <w:pPr>
        <w:spacing w:line="240" w:lineRule="auto"/>
        <w:jc w:val="both"/>
        <w:rPr>
          <w:rFonts w:ascii="Arial" w:eastAsia="Times New Roman" w:hAnsi="Arial" w:cs="Arial"/>
          <w:kern w:val="28"/>
          <w:sz w:val="20"/>
          <w:szCs w:val="20"/>
        </w:rPr>
      </w:pPr>
      <w:r w:rsidRPr="0096126C">
        <w:rPr>
          <w:rFonts w:ascii="Arial" w:eastAsia="Times New Roman" w:hAnsi="Arial" w:cs="Arial"/>
          <w:kern w:val="28"/>
          <w:sz w:val="20"/>
          <w:szCs w:val="20"/>
        </w:rPr>
        <w:t xml:space="preserve">The formulated ointment, containing plant extracts blended with glycerol, Carbopol, </w:t>
      </w:r>
      <w:proofErr w:type="spellStart"/>
      <w:r w:rsidRPr="0096126C">
        <w:rPr>
          <w:rFonts w:ascii="Arial" w:eastAsia="Times New Roman" w:hAnsi="Arial" w:cs="Arial"/>
          <w:kern w:val="28"/>
          <w:sz w:val="20"/>
          <w:szCs w:val="20"/>
        </w:rPr>
        <w:t>gelatin</w:t>
      </w:r>
      <w:proofErr w:type="spellEnd"/>
      <w:r w:rsidRPr="0096126C">
        <w:rPr>
          <w:rFonts w:ascii="Arial" w:eastAsia="Times New Roman" w:hAnsi="Arial" w:cs="Arial"/>
          <w:kern w:val="28"/>
          <w:sz w:val="20"/>
          <w:szCs w:val="20"/>
        </w:rPr>
        <w:t xml:space="preserve">, and xanthan gum, demonstrated effective antimicrobial properties. The well diffusion assay revealed distinct zones of inhibition, confirming the ointment’s bacterial growth suppression capability. The antimicrobial efficacy of the ointment is consistent with findings by </w:t>
      </w:r>
      <w:proofErr w:type="spellStart"/>
      <w:r w:rsidRPr="0096126C">
        <w:rPr>
          <w:rFonts w:ascii="Arial" w:eastAsia="Times New Roman" w:hAnsi="Arial" w:cs="Arial"/>
          <w:kern w:val="28"/>
          <w:sz w:val="20"/>
          <w:szCs w:val="20"/>
        </w:rPr>
        <w:t>Duraipandiyan</w:t>
      </w:r>
      <w:proofErr w:type="spellEnd"/>
      <w:r w:rsidRPr="0096126C">
        <w:rPr>
          <w:rFonts w:ascii="Arial" w:eastAsia="Times New Roman" w:hAnsi="Arial" w:cs="Arial"/>
          <w:kern w:val="28"/>
          <w:sz w:val="20"/>
          <w:szCs w:val="20"/>
        </w:rPr>
        <w:t xml:space="preserve"> </w:t>
      </w:r>
      <w:r w:rsidRPr="00C127C4">
        <w:rPr>
          <w:rFonts w:ascii="Arial" w:eastAsia="Times New Roman" w:hAnsi="Arial" w:cs="Arial"/>
          <w:i/>
          <w:kern w:val="28"/>
          <w:sz w:val="20"/>
          <w:szCs w:val="20"/>
        </w:rPr>
        <w:t>et al</w:t>
      </w:r>
      <w:r w:rsidRPr="0096126C">
        <w:rPr>
          <w:rFonts w:ascii="Arial" w:eastAsia="Times New Roman" w:hAnsi="Arial" w:cs="Arial"/>
          <w:kern w:val="28"/>
          <w:sz w:val="20"/>
          <w:szCs w:val="20"/>
        </w:rPr>
        <w:t>. (2006), who reported that ointments incorporating plant-derived bioactive compounds successfully inhibited pathogenic bacterial strains.</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 xml:space="preserve">The observed zones of inhibition validate the synergistic effects of the plant extracts in combination with the ointment base components. Xanthan gum and </w:t>
      </w:r>
      <w:proofErr w:type="spellStart"/>
      <w:r w:rsidRPr="0096126C">
        <w:rPr>
          <w:rFonts w:ascii="Arial" w:eastAsia="Times New Roman" w:hAnsi="Arial" w:cs="Arial"/>
          <w:kern w:val="28"/>
          <w:sz w:val="20"/>
          <w:szCs w:val="20"/>
        </w:rPr>
        <w:t>gelatin</w:t>
      </w:r>
      <w:proofErr w:type="spellEnd"/>
      <w:r w:rsidRPr="0096126C">
        <w:rPr>
          <w:rFonts w:ascii="Arial" w:eastAsia="Times New Roman" w:hAnsi="Arial" w:cs="Arial"/>
          <w:kern w:val="28"/>
          <w:sz w:val="20"/>
          <w:szCs w:val="20"/>
        </w:rPr>
        <w:t xml:space="preserve"> are known for enhancing the stability and </w:t>
      </w:r>
      <w:proofErr w:type="spellStart"/>
      <w:r w:rsidRPr="0096126C">
        <w:rPr>
          <w:rFonts w:ascii="Arial" w:eastAsia="Times New Roman" w:hAnsi="Arial" w:cs="Arial"/>
          <w:kern w:val="28"/>
          <w:sz w:val="20"/>
          <w:szCs w:val="20"/>
        </w:rPr>
        <w:t>spreadability</w:t>
      </w:r>
      <w:proofErr w:type="spellEnd"/>
      <w:r w:rsidRPr="0096126C">
        <w:rPr>
          <w:rFonts w:ascii="Arial" w:eastAsia="Times New Roman" w:hAnsi="Arial" w:cs="Arial"/>
          <w:kern w:val="28"/>
          <w:sz w:val="20"/>
          <w:szCs w:val="20"/>
        </w:rPr>
        <w:t xml:space="preserve"> of ointments, ensuring consistent delivery of bioactive compounds to the affected area (</w:t>
      </w:r>
      <w:proofErr w:type="spellStart"/>
      <w:r w:rsidRPr="0096126C">
        <w:rPr>
          <w:rFonts w:ascii="Arial" w:eastAsia="Times New Roman" w:hAnsi="Arial" w:cs="Arial"/>
          <w:kern w:val="28"/>
          <w:sz w:val="20"/>
          <w:szCs w:val="20"/>
        </w:rPr>
        <w:t>Duraipandiyan</w:t>
      </w:r>
      <w:proofErr w:type="spellEnd"/>
      <w:r w:rsidR="00C127C4">
        <w:rPr>
          <w:rFonts w:ascii="Arial" w:eastAsia="Times New Roman" w:hAnsi="Arial" w:cs="Arial"/>
          <w:kern w:val="28"/>
          <w:sz w:val="20"/>
          <w:szCs w:val="20"/>
        </w:rPr>
        <w:t xml:space="preserve"> </w:t>
      </w:r>
      <w:r w:rsidR="009B77F9" w:rsidRPr="009B77F9">
        <w:rPr>
          <w:rFonts w:ascii="Arial" w:eastAsia="Times New Roman" w:hAnsi="Arial" w:cs="Arial"/>
          <w:i/>
          <w:iCs/>
          <w:kern w:val="28"/>
          <w:sz w:val="20"/>
          <w:szCs w:val="20"/>
        </w:rPr>
        <w:t>et al.,</w:t>
      </w:r>
      <w:r w:rsidRPr="0096126C">
        <w:rPr>
          <w:rFonts w:ascii="Arial" w:eastAsia="Times New Roman" w:hAnsi="Arial" w:cs="Arial"/>
          <w:kern w:val="28"/>
          <w:sz w:val="20"/>
          <w:szCs w:val="20"/>
        </w:rPr>
        <w:t xml:space="preserve"> 2006). The successful inhibition of bacterial strains associated with seafood spoilage highlights the potential of this ointment in mitigating histamine-related skin allergies.</w:t>
      </w:r>
      <w:r w:rsidR="00C127C4">
        <w:rPr>
          <w:rFonts w:ascii="Arial" w:eastAsia="Times New Roman" w:hAnsi="Arial" w:cs="Arial"/>
          <w:kern w:val="28"/>
          <w:sz w:val="20"/>
          <w:szCs w:val="20"/>
        </w:rPr>
        <w:t xml:space="preserve"> </w:t>
      </w:r>
      <w:r w:rsidRPr="0096126C">
        <w:rPr>
          <w:rFonts w:ascii="Arial" w:eastAsia="Times New Roman" w:hAnsi="Arial" w:cs="Arial"/>
          <w:kern w:val="28"/>
          <w:sz w:val="20"/>
          <w:szCs w:val="20"/>
        </w:rPr>
        <w:t>The integration of plant extracts into topical formulations is a growing area of research, especially in developing natural treatments for bacterial infections and skin irritation. The findings support the use of plant-derived ointments as an effective, eco-friendly, and safe alternative to synthetic antimicrobial products. Consequently, the prepared ointment formulation shows promise for use in preventing and managing histamine-induced skin conditions caused by seafood spoilage bacteria.</w:t>
      </w:r>
    </w:p>
    <w:p w14:paraId="4C56790D" w14:textId="77777777" w:rsidR="00FD58BF" w:rsidRPr="00FB3A86" w:rsidRDefault="00FD58BF" w:rsidP="00FD58BF">
      <w:pPr>
        <w:pStyle w:val="Body"/>
        <w:spacing w:after="0"/>
        <w:rPr>
          <w:rFonts w:ascii="Arial" w:hAnsi="Arial" w:cs="Arial"/>
        </w:rPr>
      </w:pPr>
    </w:p>
    <w:p w14:paraId="2C6ECDED" w14:textId="77777777" w:rsidR="00FD58BF" w:rsidRDefault="00FD58BF" w:rsidP="00FD58BF">
      <w:pPr>
        <w:pStyle w:val="ConcHead"/>
        <w:numPr>
          <w:ilvl w:val="0"/>
          <w:numId w:val="1"/>
        </w:numPr>
        <w:spacing w:after="0"/>
        <w:jc w:val="both"/>
        <w:rPr>
          <w:rFonts w:ascii="Arial" w:hAnsi="Arial" w:cs="Arial"/>
        </w:rPr>
      </w:pPr>
      <w:r w:rsidRPr="00FB3A86">
        <w:rPr>
          <w:rFonts w:ascii="Arial" w:hAnsi="Arial" w:cs="Arial"/>
        </w:rPr>
        <w:t>Conclusion</w:t>
      </w:r>
    </w:p>
    <w:p w14:paraId="31DECDA6" w14:textId="77777777" w:rsidR="00FD58BF" w:rsidRPr="0096126C" w:rsidRDefault="00FD58BF" w:rsidP="0096126C">
      <w:pPr>
        <w:spacing w:line="240" w:lineRule="auto"/>
        <w:jc w:val="both"/>
        <w:rPr>
          <w:rFonts w:ascii="Arial" w:eastAsia="Times New Roman" w:hAnsi="Arial" w:cs="Arial"/>
          <w:kern w:val="28"/>
          <w:sz w:val="20"/>
          <w:szCs w:val="20"/>
        </w:rPr>
      </w:pPr>
    </w:p>
    <w:p w14:paraId="4B8416E5" w14:textId="77777777" w:rsidR="00967177" w:rsidRDefault="009B77F9" w:rsidP="00967177">
      <w:pPr>
        <w:spacing w:line="240" w:lineRule="auto"/>
        <w:jc w:val="both"/>
        <w:rPr>
          <w:rFonts w:ascii="Arial" w:eastAsia="Times New Roman" w:hAnsi="Arial" w:cs="Arial"/>
          <w:kern w:val="28"/>
          <w:sz w:val="20"/>
          <w:szCs w:val="20"/>
        </w:rPr>
      </w:pPr>
      <w:r w:rsidRPr="009B77F9">
        <w:rPr>
          <w:rFonts w:ascii="Arial" w:eastAsia="Times New Roman" w:hAnsi="Arial" w:cs="Arial"/>
          <w:kern w:val="28"/>
          <w:sz w:val="20"/>
          <w:szCs w:val="20"/>
        </w:rPr>
        <w:t xml:space="preserve">This study effectively identified histamine-producing bacteria from seafood samples, confirming their presence through DNA isolation, PCR analysis, and sequencing, with the identified strain being Escherichia coli (Accession number PV156073). The detection and quantification of histamine were successfully achieved using TLC, UV-VIS spectrophotometry, HPLC, and FTIR analysis, providing comprehensive evidence of histamine accumulation. The study also demonstrated the efficacy of plant extracts from </w:t>
      </w:r>
      <w:r w:rsidRPr="009B77F9">
        <w:rPr>
          <w:rFonts w:ascii="Arial" w:eastAsia="Times New Roman" w:hAnsi="Arial" w:cs="Arial"/>
          <w:i/>
          <w:iCs/>
          <w:kern w:val="28"/>
          <w:sz w:val="20"/>
          <w:szCs w:val="20"/>
        </w:rPr>
        <w:t>Annona muricata</w:t>
      </w:r>
      <w:r w:rsidRPr="009B77F9">
        <w:rPr>
          <w:rFonts w:ascii="Arial" w:eastAsia="Times New Roman" w:hAnsi="Arial" w:cs="Arial"/>
          <w:kern w:val="28"/>
          <w:sz w:val="20"/>
          <w:szCs w:val="20"/>
        </w:rPr>
        <w:t xml:space="preserve">, </w:t>
      </w:r>
      <w:r w:rsidRPr="009B77F9">
        <w:rPr>
          <w:rFonts w:ascii="Arial" w:eastAsia="Times New Roman" w:hAnsi="Arial" w:cs="Arial"/>
          <w:i/>
          <w:iCs/>
          <w:kern w:val="28"/>
          <w:sz w:val="20"/>
          <w:szCs w:val="20"/>
        </w:rPr>
        <w:t xml:space="preserve">Cestrum </w:t>
      </w:r>
      <w:proofErr w:type="spellStart"/>
      <w:r w:rsidRPr="009B77F9">
        <w:rPr>
          <w:rFonts w:ascii="Arial" w:eastAsia="Times New Roman" w:hAnsi="Arial" w:cs="Arial"/>
          <w:i/>
          <w:iCs/>
          <w:kern w:val="28"/>
          <w:sz w:val="20"/>
          <w:szCs w:val="20"/>
        </w:rPr>
        <w:t>nocturnum</w:t>
      </w:r>
      <w:proofErr w:type="spellEnd"/>
      <w:r w:rsidRPr="009B77F9">
        <w:rPr>
          <w:rFonts w:ascii="Arial" w:eastAsia="Times New Roman" w:hAnsi="Arial" w:cs="Arial"/>
          <w:kern w:val="28"/>
          <w:sz w:val="20"/>
          <w:szCs w:val="20"/>
        </w:rPr>
        <w:t xml:space="preserve">, and </w:t>
      </w:r>
      <w:r w:rsidRPr="009B77F9">
        <w:rPr>
          <w:rFonts w:ascii="Arial" w:eastAsia="Times New Roman" w:hAnsi="Arial" w:cs="Arial"/>
          <w:i/>
          <w:iCs/>
          <w:kern w:val="28"/>
          <w:sz w:val="20"/>
          <w:szCs w:val="20"/>
        </w:rPr>
        <w:t xml:space="preserve">Jatropha </w:t>
      </w:r>
      <w:proofErr w:type="spellStart"/>
      <w:r w:rsidRPr="009B77F9">
        <w:rPr>
          <w:rFonts w:ascii="Arial" w:eastAsia="Times New Roman" w:hAnsi="Arial" w:cs="Arial"/>
          <w:i/>
          <w:iCs/>
          <w:kern w:val="28"/>
          <w:sz w:val="20"/>
          <w:szCs w:val="20"/>
        </w:rPr>
        <w:t>curcas</w:t>
      </w:r>
      <w:proofErr w:type="spellEnd"/>
      <w:r w:rsidRPr="009B77F9">
        <w:rPr>
          <w:rFonts w:ascii="Arial" w:eastAsia="Times New Roman" w:hAnsi="Arial" w:cs="Arial"/>
          <w:kern w:val="28"/>
          <w:sz w:val="20"/>
          <w:szCs w:val="20"/>
        </w:rPr>
        <w:t xml:space="preserve"> in inhibiting histamine-producing bacterial growth and reducing histamine levels. Additionally, the formulated ointment incorporating these extracts exhibited significant antibacterial activity, underscoring its potential as a therapeutic intervention for histamine-induced skin allergies. These findings emphasize the importance of natural plant-based remedies as effective measures to mitigate histamine-related health risks associated with seafood consumption, providing a promising approach for improving food safety and public health. Further research is recommended to explore the long-term stability, clinical efficacy, and formulation optimization of these plant-based treatments.</w:t>
      </w:r>
    </w:p>
    <w:p w14:paraId="4CFB226E" w14:textId="77777777" w:rsidR="00600177" w:rsidRDefault="00600177" w:rsidP="00600177">
      <w:pPr>
        <w:spacing w:line="240" w:lineRule="auto"/>
        <w:jc w:val="both"/>
        <w:rPr>
          <w:rFonts w:ascii="Arial" w:hAnsi="Arial" w:cs="Arial"/>
          <w:b/>
          <w:bCs/>
        </w:rPr>
      </w:pPr>
      <w:r>
        <w:rPr>
          <w:rFonts w:ascii="Arial" w:hAnsi="Arial" w:cs="Arial"/>
          <w:b/>
          <w:bCs/>
        </w:rPr>
        <w:t>REFERENCES</w:t>
      </w:r>
    </w:p>
    <w:p w14:paraId="5964BCE9" w14:textId="77777777" w:rsidR="00B702F5" w:rsidRP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lastRenderedPageBreak/>
        <w:t xml:space="preserve">Andrews, J. M. (2001). Determination of minimum inhibitory concentrations. Journal of Antimicrobial Chemotherapy, 48(suppl_1), 5-16. </w:t>
      </w:r>
    </w:p>
    <w:p w14:paraId="08B02684" w14:textId="77777777" w:rsidR="00B702F5" w:rsidRDefault="00B702F5" w:rsidP="00B702F5">
      <w:pPr>
        <w:pStyle w:val="ListParagraph"/>
        <w:spacing w:line="240" w:lineRule="auto"/>
        <w:ind w:left="0"/>
        <w:jc w:val="both"/>
        <w:rPr>
          <w:rFonts w:ascii="Arial" w:eastAsia="Times New Roman" w:hAnsi="Arial" w:cs="Arial"/>
          <w:kern w:val="28"/>
          <w:sz w:val="20"/>
          <w:szCs w:val="20"/>
        </w:rPr>
      </w:pPr>
      <w:hyperlink r:id="rId21" w:history="1">
        <w:r w:rsidRPr="00661A0C">
          <w:rPr>
            <w:rStyle w:val="Hyperlink"/>
            <w:rFonts w:ascii="Arial" w:eastAsia="Times New Roman" w:hAnsi="Arial" w:cs="Arial"/>
            <w:kern w:val="28"/>
            <w:sz w:val="20"/>
            <w:szCs w:val="20"/>
          </w:rPr>
          <w:t>https://doi.org/10.1093/jac/48.suppl_1.5</w:t>
        </w:r>
      </w:hyperlink>
    </w:p>
    <w:p w14:paraId="68C250B2" w14:textId="77777777" w:rsidR="00B702F5" w:rsidRPr="00B702F5" w:rsidRDefault="00B702F5" w:rsidP="00B702F5">
      <w:pPr>
        <w:pStyle w:val="ListParagraph"/>
        <w:spacing w:line="240" w:lineRule="auto"/>
        <w:ind w:left="0"/>
        <w:jc w:val="both"/>
        <w:rPr>
          <w:rFonts w:ascii="Arial" w:eastAsia="Times New Roman" w:hAnsi="Arial" w:cs="Arial"/>
          <w:kern w:val="28"/>
          <w:sz w:val="20"/>
          <w:szCs w:val="20"/>
        </w:rPr>
      </w:pPr>
    </w:p>
    <w:p w14:paraId="019EA618"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Bauer, A. W., Kirby, W. M. M., Sherris, J. C., &amp;Turck, M. (1966). Antibiotic susceptibility testing by a standardized single disk method. American Journal of Clinical Pathology, 45(4_ts), 493-496. </w:t>
      </w:r>
      <w:hyperlink r:id="rId22" w:history="1">
        <w:r w:rsidR="00D77AF0" w:rsidRPr="00661A0C">
          <w:rPr>
            <w:rStyle w:val="Hyperlink"/>
            <w:rFonts w:ascii="Arial" w:eastAsia="Times New Roman" w:hAnsi="Arial" w:cs="Arial"/>
            <w:kern w:val="28"/>
            <w:sz w:val="20"/>
            <w:szCs w:val="20"/>
          </w:rPr>
          <w:t>https://doi.org/10.1093/ajcp/45.4_ts.493</w:t>
        </w:r>
      </w:hyperlink>
    </w:p>
    <w:p w14:paraId="3E5689A3"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18EAFE6C"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Cabello, F. C., Godfrey, H. P., </w:t>
      </w:r>
      <w:proofErr w:type="spellStart"/>
      <w:r w:rsidRPr="00B702F5">
        <w:rPr>
          <w:rFonts w:ascii="Arial" w:eastAsia="Times New Roman" w:hAnsi="Arial" w:cs="Arial"/>
          <w:kern w:val="28"/>
          <w:sz w:val="20"/>
          <w:szCs w:val="20"/>
        </w:rPr>
        <w:t>Tomova</w:t>
      </w:r>
      <w:proofErr w:type="spellEnd"/>
      <w:r w:rsidRPr="00B702F5">
        <w:rPr>
          <w:rFonts w:ascii="Arial" w:eastAsia="Times New Roman" w:hAnsi="Arial" w:cs="Arial"/>
          <w:kern w:val="28"/>
          <w:sz w:val="20"/>
          <w:szCs w:val="20"/>
        </w:rPr>
        <w:t xml:space="preserve">, A., Ivanova, L., </w:t>
      </w:r>
      <w:proofErr w:type="spellStart"/>
      <w:r w:rsidRPr="00B702F5">
        <w:rPr>
          <w:rFonts w:ascii="Arial" w:eastAsia="Times New Roman" w:hAnsi="Arial" w:cs="Arial"/>
          <w:kern w:val="28"/>
          <w:sz w:val="20"/>
          <w:szCs w:val="20"/>
        </w:rPr>
        <w:t>Dölz</w:t>
      </w:r>
      <w:proofErr w:type="spellEnd"/>
      <w:r w:rsidRPr="00B702F5">
        <w:rPr>
          <w:rFonts w:ascii="Arial" w:eastAsia="Times New Roman" w:hAnsi="Arial" w:cs="Arial"/>
          <w:kern w:val="28"/>
          <w:sz w:val="20"/>
          <w:szCs w:val="20"/>
        </w:rPr>
        <w:t xml:space="preserve">, H., </w:t>
      </w:r>
      <w:proofErr w:type="spellStart"/>
      <w:r w:rsidRPr="00B702F5">
        <w:rPr>
          <w:rFonts w:ascii="Arial" w:eastAsia="Times New Roman" w:hAnsi="Arial" w:cs="Arial"/>
          <w:kern w:val="28"/>
          <w:sz w:val="20"/>
          <w:szCs w:val="20"/>
        </w:rPr>
        <w:t>Millanao</w:t>
      </w:r>
      <w:proofErr w:type="spellEnd"/>
      <w:r w:rsidRPr="00B702F5">
        <w:rPr>
          <w:rFonts w:ascii="Arial" w:eastAsia="Times New Roman" w:hAnsi="Arial" w:cs="Arial"/>
          <w:kern w:val="28"/>
          <w:sz w:val="20"/>
          <w:szCs w:val="20"/>
        </w:rPr>
        <w:t xml:space="preserve">, A., &amp;Buschmann, A. H. (2013). Antimicrobial use in aquaculture re-examined: its relevance to antimicrobial resistance and to animal and human health. Environmental Microbiology, 15(7), 1917-1942. </w:t>
      </w:r>
      <w:hyperlink r:id="rId23" w:history="1">
        <w:r w:rsidR="00D77AF0" w:rsidRPr="00661A0C">
          <w:rPr>
            <w:rStyle w:val="Hyperlink"/>
            <w:rFonts w:ascii="Arial" w:eastAsia="Times New Roman" w:hAnsi="Arial" w:cs="Arial"/>
            <w:kern w:val="28"/>
            <w:sz w:val="20"/>
            <w:szCs w:val="20"/>
          </w:rPr>
          <w:t>https://doi.org/10.1111/1462-2920.12134</w:t>
        </w:r>
      </w:hyperlink>
    </w:p>
    <w:p w14:paraId="0A2F29C3" w14:textId="77777777" w:rsidR="00D77AF0" w:rsidRPr="00D77AF0" w:rsidRDefault="00D77AF0" w:rsidP="00D77AF0">
      <w:pPr>
        <w:pStyle w:val="ListParagraph"/>
        <w:rPr>
          <w:rFonts w:ascii="Arial" w:eastAsia="Times New Roman" w:hAnsi="Arial" w:cs="Arial"/>
          <w:kern w:val="28"/>
          <w:sz w:val="20"/>
          <w:szCs w:val="20"/>
        </w:rPr>
      </w:pPr>
    </w:p>
    <w:p w14:paraId="4E61DDFA"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1B8DAC3E"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Eggerth, A. H., Littwin, R. J., &amp; Deutsch, J. V. (1939). The determination of histamine in bacterial cultures. Journal of Bacteriology, 37(2), 187-203. </w:t>
      </w:r>
    </w:p>
    <w:p w14:paraId="251599FF" w14:textId="77777777" w:rsidR="00B702F5" w:rsidRDefault="00D77AF0" w:rsidP="00D77AF0">
      <w:pPr>
        <w:pStyle w:val="ListParagraph"/>
        <w:spacing w:line="240" w:lineRule="auto"/>
        <w:ind w:left="0"/>
        <w:jc w:val="both"/>
        <w:rPr>
          <w:rFonts w:ascii="Arial" w:eastAsia="Times New Roman" w:hAnsi="Arial" w:cs="Arial"/>
          <w:kern w:val="28"/>
          <w:sz w:val="20"/>
          <w:szCs w:val="20"/>
        </w:rPr>
      </w:pPr>
      <w:hyperlink r:id="rId24" w:history="1">
        <w:r w:rsidRPr="00661A0C">
          <w:rPr>
            <w:rStyle w:val="Hyperlink"/>
            <w:rFonts w:ascii="Arial" w:eastAsia="Times New Roman" w:hAnsi="Arial" w:cs="Arial"/>
            <w:kern w:val="28"/>
            <w:sz w:val="20"/>
            <w:szCs w:val="20"/>
          </w:rPr>
          <w:t>https://doi.org/10.1128/jb.37.2.187-203.1939</w:t>
        </w:r>
      </w:hyperlink>
    </w:p>
    <w:p w14:paraId="48C18C73"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4435F630"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Jinadasa</w:t>
      </w:r>
      <w:proofErr w:type="spellEnd"/>
      <w:r w:rsidRPr="00B702F5">
        <w:rPr>
          <w:rFonts w:ascii="Arial" w:eastAsia="Times New Roman" w:hAnsi="Arial" w:cs="Arial"/>
          <w:kern w:val="28"/>
          <w:sz w:val="20"/>
          <w:szCs w:val="20"/>
        </w:rPr>
        <w:t xml:space="preserve">, B. K. K. K., Jayasinghe, G. D. T. M., &amp; Ahmad, S. B. N. (2016). Validation of high-performance liquid chromatography (HPLC) method for quantitative analysis of histamine in fish and fishery products. Cogent Chemistry, 2(1), 1156806. </w:t>
      </w:r>
    </w:p>
    <w:p w14:paraId="6532642E" w14:textId="77777777" w:rsidR="00B702F5" w:rsidRDefault="00D77AF0" w:rsidP="00D77AF0">
      <w:pPr>
        <w:pStyle w:val="ListParagraph"/>
        <w:spacing w:line="240" w:lineRule="auto"/>
        <w:ind w:left="0"/>
        <w:jc w:val="both"/>
        <w:rPr>
          <w:rFonts w:ascii="Arial" w:eastAsia="Times New Roman" w:hAnsi="Arial" w:cs="Arial"/>
          <w:kern w:val="28"/>
          <w:sz w:val="20"/>
          <w:szCs w:val="20"/>
        </w:rPr>
      </w:pPr>
      <w:hyperlink r:id="rId25" w:history="1">
        <w:r w:rsidRPr="00661A0C">
          <w:rPr>
            <w:rStyle w:val="Hyperlink"/>
            <w:rFonts w:ascii="Arial" w:eastAsia="Times New Roman" w:hAnsi="Arial" w:cs="Arial"/>
            <w:kern w:val="28"/>
            <w:sz w:val="20"/>
            <w:szCs w:val="20"/>
          </w:rPr>
          <w:t>https://doi.org/10.1080/23312009.2016.1156806</w:t>
        </w:r>
      </w:hyperlink>
    </w:p>
    <w:p w14:paraId="593A2342"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2667800F"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Khullar, L., Harjai, K., &amp;Chhibber, S. (2023). Therapeutic and pro-healing potential of advanced wound dressings loaded with bioactive agents. Future Microbiology, 18(1), 43-63. </w:t>
      </w:r>
      <w:hyperlink r:id="rId26" w:history="1">
        <w:r w:rsidR="00D77AF0" w:rsidRPr="00661A0C">
          <w:rPr>
            <w:rStyle w:val="Hyperlink"/>
            <w:rFonts w:ascii="Arial" w:eastAsia="Times New Roman" w:hAnsi="Arial" w:cs="Arial"/>
            <w:kern w:val="28"/>
            <w:sz w:val="20"/>
            <w:szCs w:val="20"/>
          </w:rPr>
          <w:t>https://doi.org/10.2217/fmb-2022-0158</w:t>
        </w:r>
      </w:hyperlink>
    </w:p>
    <w:p w14:paraId="6BA87432"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87E9D92"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Kanki, M., Yoda, T., Ishibashi, M., &amp; Tsukamoto, T. (2004). Photobacteriumphosphoreum caused a histamine fish poisoning incident. International Journal of Food Microbiology, 92(1), 79-87. </w:t>
      </w:r>
      <w:hyperlink r:id="rId27" w:history="1">
        <w:r w:rsidR="00D77AF0" w:rsidRPr="00661A0C">
          <w:rPr>
            <w:rStyle w:val="Hyperlink"/>
            <w:rFonts w:ascii="Arial" w:eastAsia="Times New Roman" w:hAnsi="Arial" w:cs="Arial"/>
            <w:kern w:val="28"/>
            <w:sz w:val="20"/>
            <w:szCs w:val="20"/>
          </w:rPr>
          <w:t>https://doi.org/10.1016/j.ijfoodmicro.2003.08.006</w:t>
        </w:r>
      </w:hyperlink>
    </w:p>
    <w:p w14:paraId="6C6FCA2B" w14:textId="77777777" w:rsidR="00D77AF0" w:rsidRPr="00D77AF0" w:rsidRDefault="00D77AF0" w:rsidP="00D77AF0">
      <w:pPr>
        <w:pStyle w:val="ListParagraph"/>
        <w:rPr>
          <w:rFonts w:ascii="Arial" w:eastAsia="Times New Roman" w:hAnsi="Arial" w:cs="Arial"/>
          <w:kern w:val="28"/>
          <w:sz w:val="20"/>
          <w:szCs w:val="20"/>
        </w:rPr>
      </w:pPr>
    </w:p>
    <w:p w14:paraId="17ABD58D"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62C3480"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Lehane, L., &amp;Olley, J. (2000). Histamine fish poisoning revisited. International Journal of Food Microbiology, 58(1-2), 1-37. </w:t>
      </w:r>
    </w:p>
    <w:p w14:paraId="58E6E7C4" w14:textId="77777777" w:rsidR="00D77AF0" w:rsidRDefault="00D77AF0" w:rsidP="00D77AF0">
      <w:pPr>
        <w:pStyle w:val="ListParagraph"/>
        <w:spacing w:line="240" w:lineRule="auto"/>
        <w:ind w:left="0"/>
        <w:jc w:val="both"/>
        <w:rPr>
          <w:rFonts w:ascii="Arial" w:eastAsia="Times New Roman" w:hAnsi="Arial" w:cs="Arial"/>
          <w:kern w:val="28"/>
          <w:sz w:val="20"/>
          <w:szCs w:val="20"/>
        </w:rPr>
      </w:pPr>
      <w:hyperlink r:id="rId28" w:history="1">
        <w:r w:rsidRPr="00661A0C">
          <w:rPr>
            <w:rStyle w:val="Hyperlink"/>
            <w:rFonts w:ascii="Arial" w:eastAsia="Times New Roman" w:hAnsi="Arial" w:cs="Arial"/>
            <w:kern w:val="28"/>
            <w:sz w:val="20"/>
            <w:szCs w:val="20"/>
          </w:rPr>
          <w:t>https://doi.org/10.1016/S0168-1605(00)00296-8</w:t>
        </w:r>
      </w:hyperlink>
    </w:p>
    <w:p w14:paraId="2D563F2B"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60C21CDA"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Moniente</w:t>
      </w:r>
      <w:proofErr w:type="spellEnd"/>
      <w:r w:rsidRPr="00B702F5">
        <w:rPr>
          <w:rFonts w:ascii="Arial" w:eastAsia="Times New Roman" w:hAnsi="Arial" w:cs="Arial"/>
          <w:kern w:val="28"/>
          <w:sz w:val="20"/>
          <w:szCs w:val="20"/>
        </w:rPr>
        <w:t>, M., Botello</w:t>
      </w:r>
      <w:r w:rsidRPr="00B702F5">
        <w:rPr>
          <w:rFonts w:ascii="Cambria Math" w:eastAsia="Times New Roman" w:hAnsi="Cambria Math" w:cs="Cambria Math"/>
          <w:kern w:val="28"/>
          <w:sz w:val="20"/>
          <w:szCs w:val="20"/>
        </w:rPr>
        <w:t>‐</w:t>
      </w:r>
      <w:r w:rsidRPr="00B702F5">
        <w:rPr>
          <w:rFonts w:ascii="Arial" w:eastAsia="Times New Roman" w:hAnsi="Arial" w:cs="Arial"/>
          <w:kern w:val="28"/>
          <w:sz w:val="20"/>
          <w:szCs w:val="20"/>
        </w:rPr>
        <w:t>Morte, L., García</w:t>
      </w:r>
      <w:r w:rsidRPr="00B702F5">
        <w:rPr>
          <w:rFonts w:ascii="Cambria Math" w:eastAsia="Times New Roman" w:hAnsi="Cambria Math" w:cs="Cambria Math"/>
          <w:kern w:val="28"/>
          <w:sz w:val="20"/>
          <w:szCs w:val="20"/>
        </w:rPr>
        <w:t>‐</w:t>
      </w:r>
      <w:r w:rsidRPr="00B702F5">
        <w:rPr>
          <w:rFonts w:ascii="Arial" w:eastAsia="Times New Roman" w:hAnsi="Arial" w:cs="Arial"/>
          <w:kern w:val="28"/>
          <w:sz w:val="20"/>
          <w:szCs w:val="20"/>
        </w:rPr>
        <w:t>Gonzalo, D., Pagán, R., &amp;</w:t>
      </w:r>
      <w:proofErr w:type="spellStart"/>
      <w:r w:rsidRPr="00B702F5">
        <w:rPr>
          <w:rFonts w:ascii="Arial" w:eastAsia="Times New Roman" w:hAnsi="Arial" w:cs="Arial"/>
          <w:kern w:val="28"/>
          <w:sz w:val="20"/>
          <w:szCs w:val="20"/>
        </w:rPr>
        <w:t>Ontañón</w:t>
      </w:r>
      <w:proofErr w:type="spellEnd"/>
      <w:r w:rsidRPr="00B702F5">
        <w:rPr>
          <w:rFonts w:ascii="Arial" w:eastAsia="Times New Roman" w:hAnsi="Arial" w:cs="Arial"/>
          <w:kern w:val="28"/>
          <w:sz w:val="20"/>
          <w:szCs w:val="20"/>
        </w:rPr>
        <w:t xml:space="preserve">, I. (2022). Analytical strategies for the determination of biogenic amines in dairy products. Comprehensive Reviews in Food Science and Food Safety, 21(4), 3612-3646. </w:t>
      </w:r>
    </w:p>
    <w:p w14:paraId="11D9B4EF" w14:textId="77777777" w:rsidR="00B702F5" w:rsidRDefault="00D77AF0" w:rsidP="00D77AF0">
      <w:pPr>
        <w:pStyle w:val="ListParagraph"/>
        <w:spacing w:line="240" w:lineRule="auto"/>
        <w:ind w:left="0"/>
        <w:jc w:val="both"/>
        <w:rPr>
          <w:rFonts w:ascii="Arial" w:eastAsia="Times New Roman" w:hAnsi="Arial" w:cs="Arial"/>
          <w:kern w:val="28"/>
          <w:sz w:val="20"/>
          <w:szCs w:val="20"/>
        </w:rPr>
      </w:pPr>
      <w:hyperlink r:id="rId29" w:history="1">
        <w:r w:rsidRPr="00661A0C">
          <w:rPr>
            <w:rStyle w:val="Hyperlink"/>
            <w:rFonts w:ascii="Arial" w:eastAsia="Times New Roman" w:hAnsi="Arial" w:cs="Arial"/>
            <w:kern w:val="28"/>
            <w:sz w:val="20"/>
            <w:szCs w:val="20"/>
          </w:rPr>
          <w:t>https://doi.org/10.1111/1541-4337.12949</w:t>
        </w:r>
      </w:hyperlink>
    </w:p>
    <w:p w14:paraId="67FEF137"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3A78B441"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Oktariani</w:t>
      </w:r>
      <w:proofErr w:type="spellEnd"/>
      <w:r w:rsidRPr="00B702F5">
        <w:rPr>
          <w:rFonts w:ascii="Arial" w:eastAsia="Times New Roman" w:hAnsi="Arial" w:cs="Arial"/>
          <w:kern w:val="28"/>
          <w:sz w:val="20"/>
          <w:szCs w:val="20"/>
        </w:rPr>
        <w:t xml:space="preserve">, A. F., Ramona, Y., </w:t>
      </w:r>
      <w:proofErr w:type="spellStart"/>
      <w:r w:rsidRPr="00B702F5">
        <w:rPr>
          <w:rFonts w:ascii="Arial" w:eastAsia="Times New Roman" w:hAnsi="Arial" w:cs="Arial"/>
          <w:kern w:val="28"/>
          <w:sz w:val="20"/>
          <w:szCs w:val="20"/>
        </w:rPr>
        <w:t>Sudaryatma</w:t>
      </w:r>
      <w:proofErr w:type="spellEnd"/>
      <w:r w:rsidRPr="00B702F5">
        <w:rPr>
          <w:rFonts w:ascii="Arial" w:eastAsia="Times New Roman" w:hAnsi="Arial" w:cs="Arial"/>
          <w:kern w:val="28"/>
          <w:sz w:val="20"/>
          <w:szCs w:val="20"/>
        </w:rPr>
        <w:t>, P. E., Dewi, I. A. M. M., &amp; Shetty, K. (2022). Role of marine bacterial contaminants in histamine formation in seafood products: A review. Microorganisms, 10(6), 1197.</w:t>
      </w:r>
    </w:p>
    <w:p w14:paraId="43A80352" w14:textId="77777777" w:rsidR="00B702F5" w:rsidRDefault="00D77AF0" w:rsidP="00D77AF0">
      <w:pPr>
        <w:pStyle w:val="ListParagraph"/>
        <w:spacing w:line="240" w:lineRule="auto"/>
        <w:ind w:left="0"/>
        <w:jc w:val="both"/>
        <w:rPr>
          <w:rFonts w:ascii="Arial" w:eastAsia="Times New Roman" w:hAnsi="Arial" w:cs="Arial"/>
          <w:kern w:val="28"/>
          <w:sz w:val="20"/>
          <w:szCs w:val="20"/>
        </w:rPr>
      </w:pPr>
      <w:hyperlink r:id="rId30" w:history="1">
        <w:r w:rsidRPr="00661A0C">
          <w:rPr>
            <w:rStyle w:val="Hyperlink"/>
            <w:rFonts w:ascii="Arial" w:eastAsia="Times New Roman" w:hAnsi="Arial" w:cs="Arial"/>
            <w:kern w:val="28"/>
            <w:sz w:val="20"/>
            <w:szCs w:val="20"/>
          </w:rPr>
          <w:t>https://doi.org/10.3390/microorganisms10061197</w:t>
        </w:r>
      </w:hyperlink>
    </w:p>
    <w:p w14:paraId="1F94353C"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13CB0D79"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Ramasamy, R., Subramanian, S. A. T., Rajagopal, R. A., Muthusamy, K., Johney, J., &amp; Ragunathan, R. (2018). Molecular Identification and Analysis of Multi-Drug Resistant </w:t>
      </w:r>
      <w:proofErr w:type="spellStart"/>
      <w:r w:rsidRPr="00B702F5">
        <w:rPr>
          <w:rFonts w:ascii="Arial" w:eastAsia="Times New Roman" w:hAnsi="Arial" w:cs="Arial"/>
          <w:kern w:val="28"/>
          <w:sz w:val="20"/>
          <w:szCs w:val="20"/>
        </w:rPr>
        <w:t>Klebsiellapneumoniae</w:t>
      </w:r>
      <w:proofErr w:type="spellEnd"/>
      <w:r w:rsidRPr="00B702F5">
        <w:rPr>
          <w:rFonts w:ascii="Arial" w:eastAsia="Times New Roman" w:hAnsi="Arial" w:cs="Arial"/>
          <w:kern w:val="28"/>
          <w:sz w:val="20"/>
          <w:szCs w:val="20"/>
        </w:rPr>
        <w:t xml:space="preserve">. International Journal of Applied Sciences and Biotechnology, 6(3), 279-284. </w:t>
      </w:r>
      <w:hyperlink r:id="rId31" w:history="1">
        <w:r w:rsidR="00D77AF0" w:rsidRPr="00661A0C">
          <w:rPr>
            <w:rStyle w:val="Hyperlink"/>
            <w:rFonts w:ascii="Arial" w:eastAsia="Times New Roman" w:hAnsi="Arial" w:cs="Arial"/>
            <w:kern w:val="28"/>
            <w:sz w:val="20"/>
            <w:szCs w:val="20"/>
          </w:rPr>
          <w:t>https://doi.org/10.3126/ijasbt.v6i3.21321</w:t>
        </w:r>
      </w:hyperlink>
    </w:p>
    <w:p w14:paraId="6FD0AA27"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31C9A26" w14:textId="77777777" w:rsidR="00D77AF0"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Saeed, N., Khan, M. R., &amp;Shabbir, M. (2012). Antioxidant activity, total phenolic and total flavonoid contents of whole plant extracts </w:t>
      </w:r>
      <w:proofErr w:type="spellStart"/>
      <w:r w:rsidRPr="00B702F5">
        <w:rPr>
          <w:rFonts w:ascii="Arial" w:eastAsia="Times New Roman" w:hAnsi="Arial" w:cs="Arial"/>
          <w:kern w:val="28"/>
          <w:sz w:val="20"/>
          <w:szCs w:val="20"/>
        </w:rPr>
        <w:t>Torilisleptophylla</w:t>
      </w:r>
      <w:proofErr w:type="spellEnd"/>
      <w:r w:rsidRPr="00B702F5">
        <w:rPr>
          <w:rFonts w:ascii="Arial" w:eastAsia="Times New Roman" w:hAnsi="Arial" w:cs="Arial"/>
          <w:kern w:val="28"/>
          <w:sz w:val="20"/>
          <w:szCs w:val="20"/>
        </w:rPr>
        <w:t xml:space="preserve"> L. BMC Complementary and Alternative Medicine, 12, 1-12. </w:t>
      </w:r>
    </w:p>
    <w:p w14:paraId="6B526092" w14:textId="77777777" w:rsidR="00B702F5" w:rsidRDefault="00D77AF0" w:rsidP="00D77AF0">
      <w:pPr>
        <w:pStyle w:val="ListParagraph"/>
        <w:spacing w:line="240" w:lineRule="auto"/>
        <w:ind w:left="0"/>
        <w:jc w:val="both"/>
        <w:rPr>
          <w:rFonts w:ascii="Arial" w:eastAsia="Times New Roman" w:hAnsi="Arial" w:cs="Arial"/>
          <w:kern w:val="28"/>
          <w:sz w:val="20"/>
          <w:szCs w:val="20"/>
        </w:rPr>
      </w:pPr>
      <w:hyperlink r:id="rId32" w:history="1">
        <w:r w:rsidRPr="00661A0C">
          <w:rPr>
            <w:rStyle w:val="Hyperlink"/>
            <w:rFonts w:ascii="Arial" w:eastAsia="Times New Roman" w:hAnsi="Arial" w:cs="Arial"/>
            <w:kern w:val="28"/>
            <w:sz w:val="20"/>
            <w:szCs w:val="20"/>
          </w:rPr>
          <w:t>https://doi.org/10.1186/1472-6882-12-221</w:t>
        </w:r>
      </w:hyperlink>
    </w:p>
    <w:p w14:paraId="524FA6CA" w14:textId="77777777" w:rsidR="00D77AF0" w:rsidRPr="00B702F5" w:rsidRDefault="00D77AF0" w:rsidP="00D77AF0">
      <w:pPr>
        <w:pStyle w:val="ListParagraph"/>
        <w:spacing w:line="240" w:lineRule="auto"/>
        <w:ind w:left="0"/>
        <w:jc w:val="both"/>
        <w:rPr>
          <w:rFonts w:ascii="Arial" w:eastAsia="Times New Roman" w:hAnsi="Arial" w:cs="Arial"/>
          <w:kern w:val="28"/>
          <w:sz w:val="20"/>
          <w:szCs w:val="20"/>
        </w:rPr>
      </w:pPr>
    </w:p>
    <w:p w14:paraId="54BE86FF"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Smith, B. C. (2018). Infrared spectral interpretation: a systematic approach. CRC Press.</w:t>
      </w:r>
    </w:p>
    <w:p w14:paraId="2C4DC8E4" w14:textId="77777777" w:rsidR="00D77AF0" w:rsidRPr="00D77AF0" w:rsidRDefault="00D77AF0" w:rsidP="00D77AF0">
      <w:pPr>
        <w:pStyle w:val="ListParagraph"/>
        <w:spacing w:line="240" w:lineRule="auto"/>
        <w:ind w:left="0"/>
        <w:jc w:val="both"/>
        <w:rPr>
          <w:rFonts w:ascii="Arial" w:eastAsia="Times New Roman" w:hAnsi="Arial" w:cs="Arial"/>
          <w:kern w:val="28"/>
          <w:sz w:val="20"/>
          <w:szCs w:val="20"/>
        </w:rPr>
      </w:pPr>
    </w:p>
    <w:p w14:paraId="3F20AE04"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Snuossi</w:t>
      </w:r>
      <w:proofErr w:type="spellEnd"/>
      <w:r w:rsidRPr="00B702F5">
        <w:rPr>
          <w:rFonts w:ascii="Arial" w:eastAsia="Times New Roman" w:hAnsi="Arial" w:cs="Arial"/>
          <w:kern w:val="28"/>
          <w:sz w:val="20"/>
          <w:szCs w:val="20"/>
        </w:rPr>
        <w:t xml:space="preserve">, M., Trabelsi, N., Ben Taleb, S., </w:t>
      </w:r>
      <w:proofErr w:type="spellStart"/>
      <w:r w:rsidRPr="00B702F5">
        <w:rPr>
          <w:rFonts w:ascii="Arial" w:eastAsia="Times New Roman" w:hAnsi="Arial" w:cs="Arial"/>
          <w:kern w:val="28"/>
          <w:sz w:val="20"/>
          <w:szCs w:val="20"/>
        </w:rPr>
        <w:t>Dehmeni</w:t>
      </w:r>
      <w:proofErr w:type="spellEnd"/>
      <w:r w:rsidRPr="00B702F5">
        <w:rPr>
          <w:rFonts w:ascii="Arial" w:eastAsia="Times New Roman" w:hAnsi="Arial" w:cs="Arial"/>
          <w:kern w:val="28"/>
          <w:sz w:val="20"/>
          <w:szCs w:val="20"/>
        </w:rPr>
        <w:t xml:space="preserve">, A., Flamini, G., &amp; De Feo, V. (2016). </w:t>
      </w:r>
      <w:proofErr w:type="spellStart"/>
      <w:r w:rsidRPr="00B702F5">
        <w:rPr>
          <w:rFonts w:ascii="Arial" w:eastAsia="Times New Roman" w:hAnsi="Arial" w:cs="Arial"/>
          <w:kern w:val="28"/>
          <w:sz w:val="20"/>
          <w:szCs w:val="20"/>
        </w:rPr>
        <w:t>Laurusnobilis</w:t>
      </w:r>
      <w:proofErr w:type="spellEnd"/>
      <w:r w:rsidRPr="00B702F5">
        <w:rPr>
          <w:rFonts w:ascii="Arial" w:eastAsia="Times New Roman" w:hAnsi="Arial" w:cs="Arial"/>
          <w:kern w:val="28"/>
          <w:sz w:val="20"/>
          <w:szCs w:val="20"/>
        </w:rPr>
        <w:t xml:space="preserve">, </w:t>
      </w:r>
      <w:proofErr w:type="spellStart"/>
      <w:r w:rsidRPr="00B702F5">
        <w:rPr>
          <w:rFonts w:ascii="Arial" w:eastAsia="Times New Roman" w:hAnsi="Arial" w:cs="Arial"/>
          <w:kern w:val="28"/>
          <w:sz w:val="20"/>
          <w:szCs w:val="20"/>
        </w:rPr>
        <w:t>Zingiberofficinale</w:t>
      </w:r>
      <w:proofErr w:type="spellEnd"/>
      <w:r w:rsidRPr="00B702F5">
        <w:rPr>
          <w:rFonts w:ascii="Arial" w:eastAsia="Times New Roman" w:hAnsi="Arial" w:cs="Arial"/>
          <w:kern w:val="28"/>
          <w:sz w:val="20"/>
          <w:szCs w:val="20"/>
        </w:rPr>
        <w:t xml:space="preserve"> and </w:t>
      </w:r>
      <w:proofErr w:type="spellStart"/>
      <w:r w:rsidRPr="00B702F5">
        <w:rPr>
          <w:rFonts w:ascii="Arial" w:eastAsia="Times New Roman" w:hAnsi="Arial" w:cs="Arial"/>
          <w:kern w:val="28"/>
          <w:sz w:val="20"/>
          <w:szCs w:val="20"/>
        </w:rPr>
        <w:t>Anethumgraveolens</w:t>
      </w:r>
      <w:proofErr w:type="spellEnd"/>
      <w:r w:rsidRPr="00B702F5">
        <w:rPr>
          <w:rFonts w:ascii="Arial" w:eastAsia="Times New Roman" w:hAnsi="Arial" w:cs="Arial"/>
          <w:kern w:val="28"/>
          <w:sz w:val="20"/>
          <w:szCs w:val="20"/>
        </w:rPr>
        <w:t xml:space="preserve"> essential oils: Composition, antioxidant and antibacterial </w:t>
      </w:r>
      <w:r w:rsidRPr="00B702F5">
        <w:rPr>
          <w:rFonts w:ascii="Arial" w:eastAsia="Times New Roman" w:hAnsi="Arial" w:cs="Arial"/>
          <w:kern w:val="28"/>
          <w:sz w:val="20"/>
          <w:szCs w:val="20"/>
        </w:rPr>
        <w:lastRenderedPageBreak/>
        <w:t xml:space="preserve">activities against bacteria isolated from fish and shellfish. Molecules, 21(10), 1414. </w:t>
      </w:r>
      <w:hyperlink r:id="rId33" w:history="1">
        <w:r w:rsidR="00E21F46" w:rsidRPr="00661A0C">
          <w:rPr>
            <w:rStyle w:val="Hyperlink"/>
            <w:rFonts w:ascii="Arial" w:eastAsia="Times New Roman" w:hAnsi="Arial" w:cs="Arial"/>
            <w:kern w:val="28"/>
            <w:sz w:val="20"/>
            <w:szCs w:val="20"/>
          </w:rPr>
          <w:t>https://doi.org/10.3390/molecules21101414</w:t>
        </w:r>
      </w:hyperlink>
    </w:p>
    <w:p w14:paraId="63C0AB77"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717ED02A"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Stahl, E. (1967). Thin-layer chromatography: a laboratory handbook.</w:t>
      </w:r>
    </w:p>
    <w:p w14:paraId="2904D697" w14:textId="77777777" w:rsidR="00DB07E9" w:rsidRPr="00DB07E9" w:rsidRDefault="00DB07E9" w:rsidP="00DB07E9">
      <w:pPr>
        <w:pStyle w:val="ListParagraph"/>
        <w:spacing w:line="240" w:lineRule="auto"/>
        <w:ind w:left="0"/>
        <w:jc w:val="both"/>
        <w:rPr>
          <w:rFonts w:ascii="Arial" w:eastAsia="Times New Roman" w:hAnsi="Arial" w:cs="Arial"/>
          <w:kern w:val="28"/>
          <w:sz w:val="20"/>
          <w:szCs w:val="20"/>
        </w:rPr>
      </w:pPr>
    </w:p>
    <w:p w14:paraId="39A93819" w14:textId="77777777" w:rsidR="00E21F46"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r w:rsidRPr="00B702F5">
        <w:rPr>
          <w:rFonts w:ascii="Arial" w:eastAsia="Times New Roman" w:hAnsi="Arial" w:cs="Arial"/>
          <w:kern w:val="28"/>
          <w:sz w:val="20"/>
          <w:szCs w:val="20"/>
        </w:rPr>
        <w:t xml:space="preserve">Tsai, Y. H., Kung, H. F., Chang, S. C., Lee, T. M., &amp; Wei, C. I. (2007). Histamine formation by histamine-forming bacteria in </w:t>
      </w:r>
      <w:proofErr w:type="spellStart"/>
      <w:r w:rsidRPr="00B702F5">
        <w:rPr>
          <w:rFonts w:ascii="Arial" w:eastAsia="Times New Roman" w:hAnsi="Arial" w:cs="Arial"/>
          <w:kern w:val="28"/>
          <w:sz w:val="20"/>
          <w:szCs w:val="20"/>
        </w:rPr>
        <w:t>douchi</w:t>
      </w:r>
      <w:proofErr w:type="spellEnd"/>
      <w:r w:rsidRPr="00B702F5">
        <w:rPr>
          <w:rFonts w:ascii="Arial" w:eastAsia="Times New Roman" w:hAnsi="Arial" w:cs="Arial"/>
          <w:kern w:val="28"/>
          <w:sz w:val="20"/>
          <w:szCs w:val="20"/>
        </w:rPr>
        <w:t xml:space="preserve">, a Chinese traditional fermented soybean product. Food Chemistry, 103(4), 1305-1311. </w:t>
      </w:r>
    </w:p>
    <w:p w14:paraId="2BD9D75F" w14:textId="77777777" w:rsidR="00B702F5" w:rsidRDefault="00E21F46" w:rsidP="00E21F46">
      <w:pPr>
        <w:pStyle w:val="ListParagraph"/>
        <w:spacing w:line="240" w:lineRule="auto"/>
        <w:ind w:left="0"/>
        <w:jc w:val="both"/>
        <w:rPr>
          <w:rFonts w:ascii="Arial" w:eastAsia="Times New Roman" w:hAnsi="Arial" w:cs="Arial"/>
          <w:kern w:val="28"/>
          <w:sz w:val="20"/>
          <w:szCs w:val="20"/>
        </w:rPr>
      </w:pPr>
      <w:hyperlink r:id="rId34" w:history="1">
        <w:r w:rsidRPr="00661A0C">
          <w:rPr>
            <w:rStyle w:val="Hyperlink"/>
            <w:rFonts w:ascii="Arial" w:eastAsia="Times New Roman" w:hAnsi="Arial" w:cs="Arial"/>
            <w:kern w:val="28"/>
            <w:sz w:val="20"/>
            <w:szCs w:val="20"/>
          </w:rPr>
          <w:t>https://doi.org/10.1016/j.foodchem.2006.10.045</w:t>
        </w:r>
      </w:hyperlink>
    </w:p>
    <w:p w14:paraId="5F282B81" w14:textId="77777777" w:rsidR="00E21F46" w:rsidRPr="00B702F5" w:rsidRDefault="00E21F46" w:rsidP="00E21F46">
      <w:pPr>
        <w:pStyle w:val="ListParagraph"/>
        <w:spacing w:line="240" w:lineRule="auto"/>
        <w:ind w:left="0"/>
        <w:jc w:val="both"/>
        <w:rPr>
          <w:rFonts w:ascii="Arial" w:eastAsia="Times New Roman" w:hAnsi="Arial" w:cs="Arial"/>
          <w:kern w:val="28"/>
          <w:sz w:val="20"/>
          <w:szCs w:val="20"/>
        </w:rPr>
      </w:pPr>
    </w:p>
    <w:p w14:paraId="2319E575" w14:textId="77777777" w:rsidR="00B702F5"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Visciano</w:t>
      </w:r>
      <w:proofErr w:type="spellEnd"/>
      <w:r w:rsidRPr="00B702F5">
        <w:rPr>
          <w:rFonts w:ascii="Arial" w:eastAsia="Times New Roman" w:hAnsi="Arial" w:cs="Arial"/>
          <w:kern w:val="28"/>
          <w:sz w:val="20"/>
          <w:szCs w:val="20"/>
        </w:rPr>
        <w:t xml:space="preserve">, P., </w:t>
      </w:r>
      <w:proofErr w:type="spellStart"/>
      <w:r w:rsidRPr="00B702F5">
        <w:rPr>
          <w:rFonts w:ascii="Arial" w:eastAsia="Times New Roman" w:hAnsi="Arial" w:cs="Arial"/>
          <w:kern w:val="28"/>
          <w:sz w:val="20"/>
          <w:szCs w:val="20"/>
        </w:rPr>
        <w:t>Schirone</w:t>
      </w:r>
      <w:proofErr w:type="spellEnd"/>
      <w:r w:rsidRPr="00B702F5">
        <w:rPr>
          <w:rFonts w:ascii="Arial" w:eastAsia="Times New Roman" w:hAnsi="Arial" w:cs="Arial"/>
          <w:kern w:val="28"/>
          <w:sz w:val="20"/>
          <w:szCs w:val="20"/>
        </w:rPr>
        <w:t xml:space="preserve">, M., </w:t>
      </w:r>
      <w:proofErr w:type="spellStart"/>
      <w:r w:rsidRPr="00B702F5">
        <w:rPr>
          <w:rFonts w:ascii="Arial" w:eastAsia="Times New Roman" w:hAnsi="Arial" w:cs="Arial"/>
          <w:kern w:val="28"/>
          <w:sz w:val="20"/>
          <w:szCs w:val="20"/>
        </w:rPr>
        <w:t>Tofalo</w:t>
      </w:r>
      <w:proofErr w:type="spellEnd"/>
      <w:r w:rsidRPr="00B702F5">
        <w:rPr>
          <w:rFonts w:ascii="Arial" w:eastAsia="Times New Roman" w:hAnsi="Arial" w:cs="Arial"/>
          <w:kern w:val="28"/>
          <w:sz w:val="20"/>
          <w:szCs w:val="20"/>
        </w:rPr>
        <w:t>, R., &amp;</w:t>
      </w:r>
      <w:proofErr w:type="spellStart"/>
      <w:r w:rsidRPr="00B702F5">
        <w:rPr>
          <w:rFonts w:ascii="Arial" w:eastAsia="Times New Roman" w:hAnsi="Arial" w:cs="Arial"/>
          <w:kern w:val="28"/>
          <w:sz w:val="20"/>
          <w:szCs w:val="20"/>
        </w:rPr>
        <w:t>Suzzi</w:t>
      </w:r>
      <w:proofErr w:type="spellEnd"/>
      <w:r w:rsidRPr="00B702F5">
        <w:rPr>
          <w:rFonts w:ascii="Arial" w:eastAsia="Times New Roman" w:hAnsi="Arial" w:cs="Arial"/>
          <w:kern w:val="28"/>
          <w:sz w:val="20"/>
          <w:szCs w:val="20"/>
        </w:rPr>
        <w:t xml:space="preserve">, G. (2014). Histamine poisoning and control measures in fish and fishery products. Frontiers in Microbiology, 5, 500. </w:t>
      </w:r>
      <w:hyperlink r:id="rId35" w:history="1">
        <w:r w:rsidR="00E21F46" w:rsidRPr="00661A0C">
          <w:rPr>
            <w:rStyle w:val="Hyperlink"/>
            <w:rFonts w:ascii="Arial" w:eastAsia="Times New Roman" w:hAnsi="Arial" w:cs="Arial"/>
            <w:kern w:val="28"/>
            <w:sz w:val="20"/>
            <w:szCs w:val="20"/>
          </w:rPr>
          <w:t>https://doi.org/10.3389/fmicb.2014.00500</w:t>
        </w:r>
      </w:hyperlink>
    </w:p>
    <w:p w14:paraId="33847B11"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7C72128A" w14:textId="77777777" w:rsidR="00E21F46" w:rsidRDefault="00B702F5" w:rsidP="00B702F5">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B702F5">
        <w:rPr>
          <w:rFonts w:ascii="Arial" w:eastAsia="Times New Roman" w:hAnsi="Arial" w:cs="Arial"/>
          <w:kern w:val="28"/>
          <w:sz w:val="20"/>
          <w:szCs w:val="20"/>
        </w:rPr>
        <w:t>Wongsariya</w:t>
      </w:r>
      <w:proofErr w:type="spellEnd"/>
      <w:r w:rsidRPr="00B702F5">
        <w:rPr>
          <w:rFonts w:ascii="Arial" w:eastAsia="Times New Roman" w:hAnsi="Arial" w:cs="Arial"/>
          <w:kern w:val="28"/>
          <w:sz w:val="20"/>
          <w:szCs w:val="20"/>
        </w:rPr>
        <w:t xml:space="preserve">, K., </w:t>
      </w:r>
      <w:proofErr w:type="spellStart"/>
      <w:r w:rsidRPr="00B702F5">
        <w:rPr>
          <w:rFonts w:ascii="Arial" w:eastAsia="Times New Roman" w:hAnsi="Arial" w:cs="Arial"/>
          <w:kern w:val="28"/>
          <w:sz w:val="20"/>
          <w:szCs w:val="20"/>
        </w:rPr>
        <w:t>Bunyapraphatsara</w:t>
      </w:r>
      <w:proofErr w:type="spellEnd"/>
      <w:r w:rsidRPr="00B702F5">
        <w:rPr>
          <w:rFonts w:ascii="Arial" w:eastAsia="Times New Roman" w:hAnsi="Arial" w:cs="Arial"/>
          <w:kern w:val="28"/>
          <w:sz w:val="20"/>
          <w:szCs w:val="20"/>
        </w:rPr>
        <w:t xml:space="preserve">, N., </w:t>
      </w:r>
      <w:proofErr w:type="spellStart"/>
      <w:r w:rsidRPr="00B702F5">
        <w:rPr>
          <w:rFonts w:ascii="Arial" w:eastAsia="Times New Roman" w:hAnsi="Arial" w:cs="Arial"/>
          <w:kern w:val="28"/>
          <w:sz w:val="20"/>
          <w:szCs w:val="20"/>
        </w:rPr>
        <w:t>Yasawong</w:t>
      </w:r>
      <w:proofErr w:type="spellEnd"/>
      <w:r w:rsidRPr="00B702F5">
        <w:rPr>
          <w:rFonts w:ascii="Arial" w:eastAsia="Times New Roman" w:hAnsi="Arial" w:cs="Arial"/>
          <w:kern w:val="28"/>
          <w:sz w:val="20"/>
          <w:szCs w:val="20"/>
        </w:rPr>
        <w:t>, M., &amp;</w:t>
      </w:r>
      <w:proofErr w:type="spellStart"/>
      <w:r w:rsidRPr="00B702F5">
        <w:rPr>
          <w:rFonts w:ascii="Arial" w:eastAsia="Times New Roman" w:hAnsi="Arial" w:cs="Arial"/>
          <w:kern w:val="28"/>
          <w:sz w:val="20"/>
          <w:szCs w:val="20"/>
        </w:rPr>
        <w:t>Chomnawang</w:t>
      </w:r>
      <w:proofErr w:type="spellEnd"/>
      <w:r w:rsidRPr="00B702F5">
        <w:rPr>
          <w:rFonts w:ascii="Arial" w:eastAsia="Times New Roman" w:hAnsi="Arial" w:cs="Arial"/>
          <w:kern w:val="28"/>
          <w:sz w:val="20"/>
          <w:szCs w:val="20"/>
        </w:rPr>
        <w:t xml:space="preserve">, M. T. (2016). Development of molecular approach based on PCR assay for detection of histamine producing bacteria. Journal of Food Science and Technology, 53, 640-648. </w:t>
      </w:r>
    </w:p>
    <w:p w14:paraId="3F3E3065" w14:textId="77777777" w:rsidR="00E21F46" w:rsidRDefault="00E21F46" w:rsidP="00E21F46">
      <w:pPr>
        <w:pStyle w:val="ListParagraph"/>
        <w:spacing w:line="240" w:lineRule="auto"/>
        <w:ind w:left="0"/>
        <w:jc w:val="both"/>
        <w:rPr>
          <w:rFonts w:ascii="Arial" w:eastAsia="Times New Roman" w:hAnsi="Arial" w:cs="Arial"/>
          <w:kern w:val="28"/>
          <w:sz w:val="20"/>
          <w:szCs w:val="20"/>
        </w:rPr>
      </w:pPr>
      <w:hyperlink r:id="rId36" w:history="1">
        <w:r w:rsidRPr="00661A0C">
          <w:rPr>
            <w:rStyle w:val="Hyperlink"/>
            <w:rFonts w:ascii="Arial" w:eastAsia="Times New Roman" w:hAnsi="Arial" w:cs="Arial"/>
            <w:kern w:val="28"/>
            <w:sz w:val="20"/>
            <w:szCs w:val="20"/>
          </w:rPr>
          <w:t>https://doi.org/10.1007/s13197-015-2038-1</w:t>
        </w:r>
      </w:hyperlink>
    </w:p>
    <w:p w14:paraId="4FD35AB2" w14:textId="77777777" w:rsidR="00E21F46" w:rsidRDefault="00E21F46" w:rsidP="00E21F46">
      <w:pPr>
        <w:pStyle w:val="ListParagraph"/>
        <w:spacing w:line="240" w:lineRule="auto"/>
        <w:ind w:left="0"/>
        <w:jc w:val="both"/>
        <w:rPr>
          <w:rFonts w:ascii="Arial" w:eastAsia="Times New Roman" w:hAnsi="Arial" w:cs="Arial"/>
          <w:kern w:val="28"/>
          <w:sz w:val="20"/>
          <w:szCs w:val="20"/>
        </w:rPr>
      </w:pPr>
    </w:p>
    <w:p w14:paraId="7A4B4DDB"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Andrews, J. M. (2001). Determination of minimum inhibitory concentrations. Journal of Antimicrobial Chemotherapy, 48(suppl_1), 5-16. </w:t>
      </w:r>
    </w:p>
    <w:p w14:paraId="35F6B9AE" w14:textId="77777777" w:rsidR="00E21F46" w:rsidRDefault="00E21F46" w:rsidP="00E21F46">
      <w:pPr>
        <w:pStyle w:val="ListParagraph"/>
        <w:spacing w:line="240" w:lineRule="auto"/>
        <w:ind w:left="0"/>
        <w:jc w:val="both"/>
        <w:rPr>
          <w:rFonts w:ascii="Arial" w:eastAsia="Times New Roman" w:hAnsi="Arial" w:cs="Arial"/>
          <w:kern w:val="28"/>
          <w:sz w:val="20"/>
          <w:szCs w:val="20"/>
        </w:rPr>
      </w:pPr>
      <w:hyperlink r:id="rId37" w:history="1">
        <w:r w:rsidRPr="00661A0C">
          <w:rPr>
            <w:rStyle w:val="Hyperlink"/>
            <w:rFonts w:ascii="Arial" w:eastAsia="Times New Roman" w:hAnsi="Arial" w:cs="Arial"/>
            <w:kern w:val="28"/>
            <w:sz w:val="20"/>
            <w:szCs w:val="20"/>
          </w:rPr>
          <w:t>https://doi.org/10.1093/jac/48.suppl_1.5</w:t>
        </w:r>
      </w:hyperlink>
    </w:p>
    <w:p w14:paraId="553E0A12"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481547C7"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Bauer, A. W., Kirby, W. M. M., Sherris, J. C., &amp;Turck, M. (1966). Antibiotic susceptibility testing by a standardized single disk method. American Journal of Clinical Pathology, 45(4_ts), 493-496. </w:t>
      </w:r>
      <w:hyperlink r:id="rId38" w:history="1">
        <w:r w:rsidRPr="00661A0C">
          <w:rPr>
            <w:rStyle w:val="Hyperlink"/>
            <w:rFonts w:ascii="Arial" w:eastAsia="Times New Roman" w:hAnsi="Arial" w:cs="Arial"/>
            <w:kern w:val="28"/>
            <w:sz w:val="20"/>
            <w:szCs w:val="20"/>
          </w:rPr>
          <w:t>https://doi.org/10.1093/ajcp/45.4_ts.493</w:t>
        </w:r>
      </w:hyperlink>
    </w:p>
    <w:p w14:paraId="736F8511"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1850CCF9"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Biji</w:t>
      </w:r>
      <w:proofErr w:type="spellEnd"/>
      <w:r w:rsidRPr="00E21F46">
        <w:rPr>
          <w:rFonts w:ascii="Arial" w:eastAsia="Times New Roman" w:hAnsi="Arial" w:cs="Arial"/>
          <w:kern w:val="28"/>
          <w:sz w:val="20"/>
          <w:szCs w:val="20"/>
        </w:rPr>
        <w:t xml:space="preserve">, K. B., Ravishankar, C. N., </w:t>
      </w:r>
      <w:proofErr w:type="spellStart"/>
      <w:r w:rsidRPr="00E21F46">
        <w:rPr>
          <w:rFonts w:ascii="Arial" w:eastAsia="Times New Roman" w:hAnsi="Arial" w:cs="Arial"/>
          <w:kern w:val="28"/>
          <w:sz w:val="20"/>
          <w:szCs w:val="20"/>
        </w:rPr>
        <w:t>Venkateswarlu</w:t>
      </w:r>
      <w:proofErr w:type="spellEnd"/>
      <w:r w:rsidRPr="00E21F46">
        <w:rPr>
          <w:rFonts w:ascii="Arial" w:eastAsia="Times New Roman" w:hAnsi="Arial" w:cs="Arial"/>
          <w:kern w:val="28"/>
          <w:sz w:val="20"/>
          <w:szCs w:val="20"/>
        </w:rPr>
        <w:t xml:space="preserve">, R., Mohan, C. O., &amp; Gopal, T. S. (2016). Biogenic amines in seafood: a review. Journal of Food Science and Technology, 53, 2210-2218. </w:t>
      </w:r>
      <w:hyperlink r:id="rId39" w:history="1">
        <w:r w:rsidRPr="00661A0C">
          <w:rPr>
            <w:rStyle w:val="Hyperlink"/>
            <w:rFonts w:ascii="Arial" w:eastAsia="Times New Roman" w:hAnsi="Arial" w:cs="Arial"/>
            <w:kern w:val="28"/>
            <w:sz w:val="20"/>
            <w:szCs w:val="20"/>
          </w:rPr>
          <w:t>https://doi.org/10.1007/s13197-016-2224-x</w:t>
        </w:r>
      </w:hyperlink>
    </w:p>
    <w:p w14:paraId="6ED4203B"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5AE564FA"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Cabello, F. C., Godfrey, H. P., </w:t>
      </w:r>
      <w:proofErr w:type="spellStart"/>
      <w:r w:rsidRPr="00E21F46">
        <w:rPr>
          <w:rFonts w:ascii="Arial" w:eastAsia="Times New Roman" w:hAnsi="Arial" w:cs="Arial"/>
          <w:kern w:val="28"/>
          <w:sz w:val="20"/>
          <w:szCs w:val="20"/>
        </w:rPr>
        <w:t>Tomova</w:t>
      </w:r>
      <w:proofErr w:type="spellEnd"/>
      <w:r w:rsidRPr="00E21F46">
        <w:rPr>
          <w:rFonts w:ascii="Arial" w:eastAsia="Times New Roman" w:hAnsi="Arial" w:cs="Arial"/>
          <w:kern w:val="28"/>
          <w:sz w:val="20"/>
          <w:szCs w:val="20"/>
        </w:rPr>
        <w:t xml:space="preserve">, A., Ivanova, L., </w:t>
      </w:r>
      <w:proofErr w:type="spellStart"/>
      <w:r w:rsidRPr="00E21F46">
        <w:rPr>
          <w:rFonts w:ascii="Arial" w:eastAsia="Times New Roman" w:hAnsi="Arial" w:cs="Arial"/>
          <w:kern w:val="28"/>
          <w:sz w:val="20"/>
          <w:szCs w:val="20"/>
        </w:rPr>
        <w:t>Dölz</w:t>
      </w:r>
      <w:proofErr w:type="spellEnd"/>
      <w:r w:rsidRPr="00E21F46">
        <w:rPr>
          <w:rFonts w:ascii="Arial" w:eastAsia="Times New Roman" w:hAnsi="Arial" w:cs="Arial"/>
          <w:kern w:val="28"/>
          <w:sz w:val="20"/>
          <w:szCs w:val="20"/>
        </w:rPr>
        <w:t xml:space="preserve">, H., </w:t>
      </w:r>
      <w:proofErr w:type="spellStart"/>
      <w:r w:rsidRPr="00E21F46">
        <w:rPr>
          <w:rFonts w:ascii="Arial" w:eastAsia="Times New Roman" w:hAnsi="Arial" w:cs="Arial"/>
          <w:kern w:val="28"/>
          <w:sz w:val="20"/>
          <w:szCs w:val="20"/>
        </w:rPr>
        <w:t>Millanao</w:t>
      </w:r>
      <w:proofErr w:type="spellEnd"/>
      <w:r w:rsidRPr="00E21F46">
        <w:rPr>
          <w:rFonts w:ascii="Arial" w:eastAsia="Times New Roman" w:hAnsi="Arial" w:cs="Arial"/>
          <w:kern w:val="28"/>
          <w:sz w:val="20"/>
          <w:szCs w:val="20"/>
        </w:rPr>
        <w:t>, A., &amp;Buschmann, A. H. (2013). Antimicrobial use in aquaculture re</w:t>
      </w:r>
      <w:r w:rsidRPr="00E21F46">
        <w:rPr>
          <w:rFonts w:ascii="Cambria Math" w:eastAsia="Times New Roman" w:hAnsi="Cambria Math" w:cs="Cambria Math"/>
          <w:kern w:val="28"/>
          <w:sz w:val="20"/>
          <w:szCs w:val="20"/>
        </w:rPr>
        <w:t>‐</w:t>
      </w:r>
      <w:r w:rsidRPr="00E21F46">
        <w:rPr>
          <w:rFonts w:ascii="Arial" w:eastAsia="Times New Roman" w:hAnsi="Arial" w:cs="Arial"/>
          <w:kern w:val="28"/>
          <w:sz w:val="20"/>
          <w:szCs w:val="20"/>
        </w:rPr>
        <w:t xml:space="preserve">examined: its relevance to antimicrobial resistance and to animal and human health. Environmental Microbiology, 15(7), 1917-1942. </w:t>
      </w:r>
      <w:hyperlink r:id="rId40" w:history="1">
        <w:r w:rsidRPr="00661A0C">
          <w:rPr>
            <w:rStyle w:val="Hyperlink"/>
            <w:rFonts w:ascii="Arial" w:eastAsia="Times New Roman" w:hAnsi="Arial" w:cs="Arial"/>
            <w:kern w:val="28"/>
            <w:sz w:val="20"/>
            <w:szCs w:val="20"/>
          </w:rPr>
          <w:t>https://doi.org/10.1111/1462-2920.12134</w:t>
        </w:r>
      </w:hyperlink>
    </w:p>
    <w:p w14:paraId="2D5FBA3D"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4C7893D2"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Duraipandiyan</w:t>
      </w:r>
      <w:proofErr w:type="spellEnd"/>
      <w:r w:rsidRPr="00E21F46">
        <w:rPr>
          <w:rFonts w:ascii="Arial" w:eastAsia="Times New Roman" w:hAnsi="Arial" w:cs="Arial"/>
          <w:kern w:val="28"/>
          <w:sz w:val="20"/>
          <w:szCs w:val="20"/>
        </w:rPr>
        <w:t xml:space="preserve">, V., </w:t>
      </w:r>
      <w:proofErr w:type="spellStart"/>
      <w:r w:rsidRPr="00E21F46">
        <w:rPr>
          <w:rFonts w:ascii="Arial" w:eastAsia="Times New Roman" w:hAnsi="Arial" w:cs="Arial"/>
          <w:kern w:val="28"/>
          <w:sz w:val="20"/>
          <w:szCs w:val="20"/>
        </w:rPr>
        <w:t>Ayyanar</w:t>
      </w:r>
      <w:proofErr w:type="spellEnd"/>
      <w:r w:rsidRPr="00E21F46">
        <w:rPr>
          <w:rFonts w:ascii="Arial" w:eastAsia="Times New Roman" w:hAnsi="Arial" w:cs="Arial"/>
          <w:kern w:val="28"/>
          <w:sz w:val="20"/>
          <w:szCs w:val="20"/>
        </w:rPr>
        <w:t>, M., &amp;</w:t>
      </w:r>
      <w:proofErr w:type="spellStart"/>
      <w:r w:rsidRPr="00E21F46">
        <w:rPr>
          <w:rFonts w:ascii="Arial" w:eastAsia="Times New Roman" w:hAnsi="Arial" w:cs="Arial"/>
          <w:kern w:val="28"/>
          <w:sz w:val="20"/>
          <w:szCs w:val="20"/>
        </w:rPr>
        <w:t>Ignacimuthu</w:t>
      </w:r>
      <w:proofErr w:type="spellEnd"/>
      <w:r w:rsidRPr="00E21F46">
        <w:rPr>
          <w:rFonts w:ascii="Arial" w:eastAsia="Times New Roman" w:hAnsi="Arial" w:cs="Arial"/>
          <w:kern w:val="28"/>
          <w:sz w:val="20"/>
          <w:szCs w:val="20"/>
        </w:rPr>
        <w:t xml:space="preserve">, S. (2006). Antimicrobial activity of some ethnomedicinal plants used by </w:t>
      </w:r>
      <w:proofErr w:type="spellStart"/>
      <w:r w:rsidRPr="00E21F46">
        <w:rPr>
          <w:rFonts w:ascii="Arial" w:eastAsia="Times New Roman" w:hAnsi="Arial" w:cs="Arial"/>
          <w:kern w:val="28"/>
          <w:sz w:val="20"/>
          <w:szCs w:val="20"/>
        </w:rPr>
        <w:t>Paliyar</w:t>
      </w:r>
      <w:proofErr w:type="spellEnd"/>
      <w:r w:rsidRPr="00E21F46">
        <w:rPr>
          <w:rFonts w:ascii="Arial" w:eastAsia="Times New Roman" w:hAnsi="Arial" w:cs="Arial"/>
          <w:kern w:val="28"/>
          <w:sz w:val="20"/>
          <w:szCs w:val="20"/>
        </w:rPr>
        <w:t xml:space="preserve"> tribe from Tamil Nadu, India. BMC Complementary and Alternative Medicine, 6, 1-7. </w:t>
      </w:r>
    </w:p>
    <w:p w14:paraId="48CBBB13" w14:textId="77777777" w:rsidR="00E21F46" w:rsidRDefault="00E21F46" w:rsidP="00E21F46">
      <w:pPr>
        <w:pStyle w:val="ListParagraph"/>
        <w:spacing w:line="240" w:lineRule="auto"/>
        <w:ind w:left="0"/>
        <w:jc w:val="both"/>
        <w:rPr>
          <w:rFonts w:ascii="Arial" w:eastAsia="Times New Roman" w:hAnsi="Arial" w:cs="Arial"/>
          <w:kern w:val="28"/>
          <w:sz w:val="20"/>
          <w:szCs w:val="20"/>
        </w:rPr>
      </w:pPr>
      <w:hyperlink r:id="rId41" w:history="1">
        <w:r w:rsidRPr="00661A0C">
          <w:rPr>
            <w:rStyle w:val="Hyperlink"/>
            <w:rFonts w:ascii="Arial" w:eastAsia="Times New Roman" w:hAnsi="Arial" w:cs="Arial"/>
            <w:kern w:val="28"/>
            <w:sz w:val="20"/>
            <w:szCs w:val="20"/>
          </w:rPr>
          <w:t>https://doi.org/10.1186/1472-6882-6-35</w:t>
        </w:r>
      </w:hyperlink>
    </w:p>
    <w:p w14:paraId="4AD4B54C"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5D3C05F1"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Eggerth, A. H., Littwin, R. J., &amp; Deutsch, J. V. (1939). The determination of histamine in bacterial cultures. Journal of Bacteriology, 37(2), 187-203. </w:t>
      </w:r>
    </w:p>
    <w:p w14:paraId="62BCC684" w14:textId="77777777" w:rsidR="00E21F46" w:rsidRDefault="00E21F46" w:rsidP="00E21F46">
      <w:pPr>
        <w:pStyle w:val="ListParagraph"/>
        <w:spacing w:line="240" w:lineRule="auto"/>
        <w:ind w:left="0"/>
        <w:jc w:val="both"/>
        <w:rPr>
          <w:rFonts w:ascii="Arial" w:eastAsia="Times New Roman" w:hAnsi="Arial" w:cs="Arial"/>
          <w:kern w:val="28"/>
          <w:sz w:val="20"/>
          <w:szCs w:val="20"/>
        </w:rPr>
      </w:pPr>
      <w:hyperlink r:id="rId42" w:history="1">
        <w:r w:rsidRPr="00661A0C">
          <w:rPr>
            <w:rStyle w:val="Hyperlink"/>
            <w:rFonts w:ascii="Arial" w:eastAsia="Times New Roman" w:hAnsi="Arial" w:cs="Arial"/>
            <w:kern w:val="28"/>
            <w:sz w:val="20"/>
            <w:szCs w:val="20"/>
          </w:rPr>
          <w:t>https://doi.org/10.1128/jb.37.2.187-203.1939</w:t>
        </w:r>
      </w:hyperlink>
    </w:p>
    <w:p w14:paraId="7F18993B"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6DBB601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Feng, C., Teuber, S., &amp; Gershwin, M. E. (2016). Histamine (scombroid) fish poisoning: a comprehensive review. Clinical Reviews in Allergy &amp; Immunology, 50, 64-69. </w:t>
      </w:r>
      <w:hyperlink r:id="rId43" w:history="1">
        <w:r w:rsidRPr="00661A0C">
          <w:rPr>
            <w:rStyle w:val="Hyperlink"/>
            <w:rFonts w:ascii="Arial" w:eastAsia="Times New Roman" w:hAnsi="Arial" w:cs="Arial"/>
            <w:kern w:val="28"/>
            <w:sz w:val="20"/>
            <w:szCs w:val="20"/>
          </w:rPr>
          <w:t>https://doi.org/10.1007/s12016-015-8467-x</w:t>
        </w:r>
      </w:hyperlink>
    </w:p>
    <w:p w14:paraId="4863707C"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29DF1C31"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Godlewska, K., Pacyga, P., Najda, A., &amp;Michalak, I. (2023). Investigation of chemical constituents and antioxidant activity of biologically active plant-derived natural products. Molecules, 28(14), 5572. </w:t>
      </w:r>
      <w:hyperlink r:id="rId44" w:history="1">
        <w:r w:rsidRPr="00661A0C">
          <w:rPr>
            <w:rStyle w:val="Hyperlink"/>
            <w:rFonts w:ascii="Arial" w:eastAsia="Times New Roman" w:hAnsi="Arial" w:cs="Arial"/>
            <w:kern w:val="28"/>
            <w:sz w:val="20"/>
            <w:szCs w:val="20"/>
          </w:rPr>
          <w:t>https://doi.org/10.3390/molecules28145572</w:t>
        </w:r>
      </w:hyperlink>
    </w:p>
    <w:p w14:paraId="6F4940CA"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6847800A"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Horcajada</w:t>
      </w:r>
      <w:proofErr w:type="spellEnd"/>
      <w:r w:rsidRPr="00E21F46">
        <w:rPr>
          <w:rFonts w:ascii="Arial" w:eastAsia="Times New Roman" w:hAnsi="Arial" w:cs="Arial"/>
          <w:kern w:val="28"/>
          <w:sz w:val="20"/>
          <w:szCs w:val="20"/>
        </w:rPr>
        <w:t xml:space="preserve">, J. P., Montero, M., Oliver, A., </w:t>
      </w:r>
      <w:proofErr w:type="spellStart"/>
      <w:r w:rsidRPr="00E21F46">
        <w:rPr>
          <w:rFonts w:ascii="Arial" w:eastAsia="Times New Roman" w:hAnsi="Arial" w:cs="Arial"/>
          <w:kern w:val="28"/>
          <w:sz w:val="20"/>
          <w:szCs w:val="20"/>
        </w:rPr>
        <w:t>Sorlí</w:t>
      </w:r>
      <w:proofErr w:type="spellEnd"/>
      <w:r w:rsidRPr="00E21F46">
        <w:rPr>
          <w:rFonts w:ascii="Arial" w:eastAsia="Times New Roman" w:hAnsi="Arial" w:cs="Arial"/>
          <w:kern w:val="28"/>
          <w:sz w:val="20"/>
          <w:szCs w:val="20"/>
        </w:rPr>
        <w:t xml:space="preserve">, L., Luque, S., Gómez-Zorrilla, S., &amp;Grau, S. (2019). Epidemiology and treatment of multidrug-resistant and extensively drug-resistant Pseudomonas aeruginosa infections. Clinical Microbiology Reviews, 32(4), e00031-19. </w:t>
      </w:r>
      <w:hyperlink r:id="rId45" w:history="1">
        <w:r w:rsidRPr="00661A0C">
          <w:rPr>
            <w:rStyle w:val="Hyperlink"/>
            <w:rFonts w:ascii="Arial" w:eastAsia="Times New Roman" w:hAnsi="Arial" w:cs="Arial"/>
            <w:kern w:val="28"/>
            <w:sz w:val="20"/>
            <w:szCs w:val="20"/>
          </w:rPr>
          <w:t>https://doi.org/10.1128/CMR.00031-19</w:t>
        </w:r>
      </w:hyperlink>
    </w:p>
    <w:p w14:paraId="1A07E6D0"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3C2E719C" w14:textId="77777777" w:rsidR="00E21F46" w:rsidRP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JesteenaJohney</w:t>
      </w:r>
      <w:proofErr w:type="spellEnd"/>
      <w:r w:rsidRPr="00E21F46">
        <w:rPr>
          <w:rFonts w:ascii="Arial" w:eastAsia="Times New Roman" w:hAnsi="Arial" w:cs="Arial"/>
          <w:kern w:val="28"/>
          <w:sz w:val="20"/>
          <w:szCs w:val="20"/>
        </w:rPr>
        <w:t xml:space="preserve">, E., </w:t>
      </w:r>
      <w:proofErr w:type="spellStart"/>
      <w:r w:rsidRPr="00E21F46">
        <w:rPr>
          <w:rFonts w:ascii="Arial" w:eastAsia="Times New Roman" w:hAnsi="Arial" w:cs="Arial"/>
          <w:kern w:val="28"/>
          <w:sz w:val="20"/>
          <w:szCs w:val="20"/>
        </w:rPr>
        <w:t>Kannanan</w:t>
      </w:r>
      <w:proofErr w:type="spellEnd"/>
      <w:r w:rsidRPr="00E21F46">
        <w:rPr>
          <w:rFonts w:ascii="Arial" w:eastAsia="Times New Roman" w:hAnsi="Arial" w:cs="Arial"/>
          <w:kern w:val="28"/>
          <w:sz w:val="20"/>
          <w:szCs w:val="20"/>
        </w:rPr>
        <w:t>, K. A. N. N. A. N., &amp; Ragunathan, R. R. (2016). Microbial extraction of chitin and chitosan from Pleurotus spp., its characterization and antimicrobial activity. International Journal of Current Pharmaceutical Research, 9(1), 88-93.</w:t>
      </w:r>
    </w:p>
    <w:p w14:paraId="5CC9426A" w14:textId="77777777" w:rsidR="00E21F46" w:rsidRPr="00E21F46" w:rsidRDefault="00E21F46" w:rsidP="00942CE2">
      <w:pPr>
        <w:pStyle w:val="ListParagraph"/>
        <w:spacing w:line="240" w:lineRule="auto"/>
        <w:ind w:left="0"/>
        <w:jc w:val="both"/>
        <w:rPr>
          <w:rFonts w:ascii="Arial" w:eastAsia="Times New Roman" w:hAnsi="Arial" w:cs="Arial"/>
          <w:kern w:val="28"/>
          <w:sz w:val="20"/>
          <w:szCs w:val="20"/>
        </w:rPr>
      </w:pPr>
    </w:p>
    <w:p w14:paraId="3005C70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Jinadasa</w:t>
      </w:r>
      <w:proofErr w:type="spellEnd"/>
      <w:r w:rsidRPr="00E21F46">
        <w:rPr>
          <w:rFonts w:ascii="Arial" w:eastAsia="Times New Roman" w:hAnsi="Arial" w:cs="Arial"/>
          <w:kern w:val="28"/>
          <w:sz w:val="20"/>
          <w:szCs w:val="20"/>
        </w:rPr>
        <w:t xml:space="preserve">, B. K. K. K., Jayasinghe, G. D. T. M., &amp; Ahmad, S. B. N. (2016). Validation of high-performance liquid chromatography (HPLC) method for quantitative analysis of histamine in fish and fishery products. Cogent Chemistry, 2(1), 1156806. </w:t>
      </w:r>
    </w:p>
    <w:p w14:paraId="68B24929" w14:textId="77777777" w:rsidR="00E21F46" w:rsidRDefault="00E21F46" w:rsidP="00E21F46">
      <w:pPr>
        <w:pStyle w:val="ListParagraph"/>
        <w:spacing w:line="240" w:lineRule="auto"/>
        <w:ind w:left="0"/>
        <w:jc w:val="both"/>
        <w:rPr>
          <w:rFonts w:ascii="Arial" w:eastAsia="Times New Roman" w:hAnsi="Arial" w:cs="Arial"/>
          <w:kern w:val="28"/>
          <w:sz w:val="20"/>
          <w:szCs w:val="20"/>
        </w:rPr>
      </w:pPr>
      <w:hyperlink r:id="rId46" w:history="1">
        <w:r w:rsidRPr="00661A0C">
          <w:rPr>
            <w:rStyle w:val="Hyperlink"/>
            <w:rFonts w:ascii="Arial" w:eastAsia="Times New Roman" w:hAnsi="Arial" w:cs="Arial"/>
            <w:kern w:val="28"/>
            <w:sz w:val="20"/>
            <w:szCs w:val="20"/>
          </w:rPr>
          <w:t>https://doi.org/10.1080/23312009.2016.1156806</w:t>
        </w:r>
      </w:hyperlink>
    </w:p>
    <w:p w14:paraId="1AADAB60"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1394308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Kanki, M., Yoda, T., Ishibashi, M., &amp; Tsukamoto, T. (2004). Photobacteriumphosphoreum caused a histamine fish poisoning incident. International Journal of Food Microbiology, 92(1), 79-87. </w:t>
      </w:r>
      <w:hyperlink r:id="rId47" w:history="1">
        <w:r w:rsidRPr="00661A0C">
          <w:rPr>
            <w:rStyle w:val="Hyperlink"/>
            <w:rFonts w:ascii="Arial" w:eastAsia="Times New Roman" w:hAnsi="Arial" w:cs="Arial"/>
            <w:kern w:val="28"/>
            <w:sz w:val="20"/>
            <w:szCs w:val="20"/>
          </w:rPr>
          <w:t>https://doi.org/10.1016/j.ijfoodmicro.2003.08.010</w:t>
        </w:r>
      </w:hyperlink>
    </w:p>
    <w:p w14:paraId="371797A5"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1F21698A"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Khullar, L., Harjai, K., &amp;Chhibber, S. (2023). Therapeutic and pro-healing potential of advanced wound dressings loaded with bioactive agents. Future Microbiology, 18(1), 43-63. </w:t>
      </w:r>
      <w:hyperlink r:id="rId48" w:history="1">
        <w:r w:rsidRPr="00661A0C">
          <w:rPr>
            <w:rStyle w:val="Hyperlink"/>
            <w:rFonts w:ascii="Arial" w:eastAsia="Times New Roman" w:hAnsi="Arial" w:cs="Arial"/>
            <w:kern w:val="28"/>
            <w:sz w:val="20"/>
            <w:szCs w:val="20"/>
          </w:rPr>
          <w:t>https://doi.org/10.2217/fmb-2022-0173</w:t>
        </w:r>
      </w:hyperlink>
    </w:p>
    <w:p w14:paraId="5FDA8961"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5DD53B8F"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 xml:space="preserve">Kobayashi, T., Taguchi, C., Kida, K., Matsuda, H., </w:t>
      </w:r>
      <w:proofErr w:type="spellStart"/>
      <w:r w:rsidRPr="00E21F46">
        <w:rPr>
          <w:rFonts w:ascii="Arial" w:eastAsia="Times New Roman" w:hAnsi="Arial" w:cs="Arial"/>
          <w:kern w:val="28"/>
          <w:sz w:val="20"/>
          <w:szCs w:val="20"/>
        </w:rPr>
        <w:t>Terahara</w:t>
      </w:r>
      <w:proofErr w:type="spellEnd"/>
      <w:r w:rsidRPr="00E21F46">
        <w:rPr>
          <w:rFonts w:ascii="Arial" w:eastAsia="Times New Roman" w:hAnsi="Arial" w:cs="Arial"/>
          <w:kern w:val="28"/>
          <w:sz w:val="20"/>
          <w:szCs w:val="20"/>
        </w:rPr>
        <w:t>, T., Imada, C., &amp;</w:t>
      </w:r>
      <w:proofErr w:type="spellStart"/>
      <w:r w:rsidRPr="00E21F46">
        <w:rPr>
          <w:rFonts w:ascii="Arial" w:eastAsia="Times New Roman" w:hAnsi="Arial" w:cs="Arial"/>
          <w:kern w:val="28"/>
          <w:sz w:val="20"/>
          <w:szCs w:val="20"/>
        </w:rPr>
        <w:t>Thwe</w:t>
      </w:r>
      <w:proofErr w:type="spellEnd"/>
      <w:r w:rsidRPr="00E21F46">
        <w:rPr>
          <w:rFonts w:ascii="Arial" w:eastAsia="Times New Roman" w:hAnsi="Arial" w:cs="Arial"/>
          <w:kern w:val="28"/>
          <w:sz w:val="20"/>
          <w:szCs w:val="20"/>
        </w:rPr>
        <w:t xml:space="preserve">, S. M. (2016). Diversity of the bacterial community in Myanmar traditional salted fish </w:t>
      </w:r>
      <w:proofErr w:type="spellStart"/>
      <w:r w:rsidRPr="00E21F46">
        <w:rPr>
          <w:rFonts w:ascii="Arial" w:eastAsia="Times New Roman" w:hAnsi="Arial" w:cs="Arial"/>
          <w:kern w:val="28"/>
          <w:sz w:val="20"/>
          <w:szCs w:val="20"/>
        </w:rPr>
        <w:t>yegyongapi</w:t>
      </w:r>
      <w:proofErr w:type="spellEnd"/>
      <w:r w:rsidRPr="00E21F46">
        <w:rPr>
          <w:rFonts w:ascii="Arial" w:eastAsia="Times New Roman" w:hAnsi="Arial" w:cs="Arial"/>
          <w:kern w:val="28"/>
          <w:sz w:val="20"/>
          <w:szCs w:val="20"/>
        </w:rPr>
        <w:t>. World Journal of Microbiology and Biotechnology, 32, 1-9.</w:t>
      </w:r>
    </w:p>
    <w:p w14:paraId="585AB750" w14:textId="77777777" w:rsidR="00E21F46" w:rsidRDefault="00E21F46" w:rsidP="00E21F46">
      <w:pPr>
        <w:pStyle w:val="ListParagraph"/>
        <w:spacing w:line="240" w:lineRule="auto"/>
        <w:ind w:left="0"/>
        <w:jc w:val="both"/>
        <w:rPr>
          <w:rFonts w:ascii="Arial" w:eastAsia="Times New Roman" w:hAnsi="Arial" w:cs="Arial"/>
          <w:kern w:val="28"/>
          <w:sz w:val="20"/>
          <w:szCs w:val="20"/>
        </w:rPr>
      </w:pPr>
      <w:hyperlink r:id="rId49" w:history="1">
        <w:r w:rsidRPr="00661A0C">
          <w:rPr>
            <w:rStyle w:val="Hyperlink"/>
            <w:rFonts w:ascii="Arial" w:eastAsia="Times New Roman" w:hAnsi="Arial" w:cs="Arial"/>
            <w:kern w:val="28"/>
            <w:sz w:val="20"/>
            <w:szCs w:val="20"/>
          </w:rPr>
          <w:t>https://doi.org/10.1007/s11274-016-2084-2</w:t>
        </w:r>
      </w:hyperlink>
    </w:p>
    <w:p w14:paraId="2B375427"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04A418B7"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E21F46">
        <w:rPr>
          <w:rFonts w:ascii="Arial" w:eastAsia="Times New Roman" w:hAnsi="Arial" w:cs="Arial"/>
          <w:kern w:val="28"/>
          <w:sz w:val="20"/>
          <w:szCs w:val="20"/>
        </w:rPr>
        <w:t>Koutsoumanis</w:t>
      </w:r>
      <w:proofErr w:type="spellEnd"/>
      <w:r w:rsidRPr="00E21F46">
        <w:rPr>
          <w:rFonts w:ascii="Arial" w:eastAsia="Times New Roman" w:hAnsi="Arial" w:cs="Arial"/>
          <w:kern w:val="28"/>
          <w:sz w:val="20"/>
          <w:szCs w:val="20"/>
        </w:rPr>
        <w:t xml:space="preserve">, K., </w:t>
      </w:r>
      <w:proofErr w:type="spellStart"/>
      <w:r w:rsidRPr="00E21F46">
        <w:rPr>
          <w:rFonts w:ascii="Arial" w:eastAsia="Times New Roman" w:hAnsi="Arial" w:cs="Arial"/>
          <w:kern w:val="28"/>
          <w:sz w:val="20"/>
          <w:szCs w:val="20"/>
        </w:rPr>
        <w:t>Tassou</w:t>
      </w:r>
      <w:proofErr w:type="spellEnd"/>
      <w:r w:rsidRPr="00E21F46">
        <w:rPr>
          <w:rFonts w:ascii="Arial" w:eastAsia="Times New Roman" w:hAnsi="Arial" w:cs="Arial"/>
          <w:kern w:val="28"/>
          <w:sz w:val="20"/>
          <w:szCs w:val="20"/>
        </w:rPr>
        <w:t>, C., &amp;</w:t>
      </w:r>
      <w:proofErr w:type="spellStart"/>
      <w:r w:rsidRPr="00E21F46">
        <w:rPr>
          <w:rFonts w:ascii="Arial" w:eastAsia="Times New Roman" w:hAnsi="Arial" w:cs="Arial"/>
          <w:kern w:val="28"/>
          <w:sz w:val="20"/>
          <w:szCs w:val="20"/>
        </w:rPr>
        <w:t>Nychas</w:t>
      </w:r>
      <w:proofErr w:type="spellEnd"/>
      <w:r w:rsidRPr="00E21F46">
        <w:rPr>
          <w:rFonts w:ascii="Arial" w:eastAsia="Times New Roman" w:hAnsi="Arial" w:cs="Arial"/>
          <w:kern w:val="28"/>
          <w:sz w:val="20"/>
          <w:szCs w:val="20"/>
        </w:rPr>
        <w:t xml:space="preserve">, G. J. (2009). Biogenic amines in foods. In V. K. Juneja, J. P. Cherry, &amp; M. H. Tunick (Eds.), Pathogens and toxins in foods: Challenges and interventions (pp. 248-274). ASM Press. </w:t>
      </w:r>
    </w:p>
    <w:p w14:paraId="2654CEF7" w14:textId="77777777" w:rsidR="00E21F46" w:rsidRDefault="00E21F46" w:rsidP="00E21F46">
      <w:pPr>
        <w:pStyle w:val="ListParagraph"/>
        <w:spacing w:line="240" w:lineRule="auto"/>
        <w:ind w:left="0"/>
        <w:jc w:val="both"/>
        <w:rPr>
          <w:rFonts w:ascii="Arial" w:eastAsia="Times New Roman" w:hAnsi="Arial" w:cs="Arial"/>
          <w:kern w:val="28"/>
          <w:sz w:val="20"/>
          <w:szCs w:val="20"/>
        </w:rPr>
      </w:pPr>
      <w:hyperlink r:id="rId50" w:history="1">
        <w:r w:rsidRPr="00661A0C">
          <w:rPr>
            <w:rStyle w:val="Hyperlink"/>
            <w:rFonts w:ascii="Arial" w:eastAsia="Times New Roman" w:hAnsi="Arial" w:cs="Arial"/>
            <w:kern w:val="28"/>
            <w:sz w:val="20"/>
            <w:szCs w:val="20"/>
          </w:rPr>
          <w:t>https://doi.org/10.1128/9781555815936.ch14</w:t>
        </w:r>
      </w:hyperlink>
    </w:p>
    <w:p w14:paraId="1E94B332"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49AB5A5B" w14:textId="77777777" w:rsidR="00E21F46" w:rsidRDefault="00E21F46" w:rsidP="00E21F46">
      <w:pPr>
        <w:pStyle w:val="ListParagraph"/>
        <w:numPr>
          <w:ilvl w:val="0"/>
          <w:numId w:val="3"/>
        </w:numPr>
        <w:spacing w:line="240" w:lineRule="auto"/>
        <w:ind w:left="0"/>
        <w:jc w:val="both"/>
        <w:rPr>
          <w:rFonts w:ascii="Arial" w:eastAsia="Times New Roman" w:hAnsi="Arial" w:cs="Arial"/>
          <w:kern w:val="28"/>
          <w:sz w:val="20"/>
          <w:szCs w:val="20"/>
        </w:rPr>
      </w:pPr>
      <w:r w:rsidRPr="00E21F46">
        <w:rPr>
          <w:rFonts w:ascii="Arial" w:eastAsia="Times New Roman" w:hAnsi="Arial" w:cs="Arial"/>
          <w:kern w:val="28"/>
          <w:sz w:val="20"/>
          <w:szCs w:val="20"/>
        </w:rPr>
        <w:t>Kumar, S., Lekshmi, M., Parvathi, A., Nayak, B. B., &amp; Varela, M. F. (2016). Antibiotic resistance in seafood</w:t>
      </w:r>
      <w:r w:rsidRPr="00E21F46">
        <w:rPr>
          <w:rFonts w:ascii="Cambria Math" w:eastAsia="Times New Roman" w:hAnsi="Cambria Math" w:cs="Cambria Math"/>
          <w:kern w:val="28"/>
          <w:sz w:val="20"/>
          <w:szCs w:val="20"/>
        </w:rPr>
        <w:t>‐</w:t>
      </w:r>
      <w:r w:rsidRPr="00E21F46">
        <w:rPr>
          <w:rFonts w:ascii="Arial" w:eastAsia="Times New Roman" w:hAnsi="Arial" w:cs="Arial"/>
          <w:kern w:val="28"/>
          <w:sz w:val="20"/>
          <w:szCs w:val="20"/>
        </w:rPr>
        <w:t xml:space="preserve">borne pathogens. In S. C. Ricke, J. P. </w:t>
      </w:r>
      <w:proofErr w:type="spellStart"/>
      <w:r w:rsidRPr="00E21F46">
        <w:rPr>
          <w:rFonts w:ascii="Arial" w:eastAsia="Times New Roman" w:hAnsi="Arial" w:cs="Arial"/>
          <w:kern w:val="28"/>
          <w:sz w:val="20"/>
          <w:szCs w:val="20"/>
        </w:rPr>
        <w:t>Atungulu</w:t>
      </w:r>
      <w:proofErr w:type="spellEnd"/>
      <w:r w:rsidRPr="00E21F46">
        <w:rPr>
          <w:rFonts w:ascii="Arial" w:eastAsia="Times New Roman" w:hAnsi="Arial" w:cs="Arial"/>
          <w:kern w:val="28"/>
          <w:sz w:val="20"/>
          <w:szCs w:val="20"/>
        </w:rPr>
        <w:t>, C. E. Rainwater, &amp; S. H. Park (Eds.), *Food</w:t>
      </w:r>
    </w:p>
    <w:p w14:paraId="4DB6430E" w14:textId="77777777" w:rsidR="00942CE2" w:rsidRDefault="00942CE2" w:rsidP="00942CE2">
      <w:pPr>
        <w:pStyle w:val="ListParagraph"/>
        <w:spacing w:line="240" w:lineRule="auto"/>
        <w:ind w:left="0"/>
        <w:jc w:val="both"/>
        <w:rPr>
          <w:rFonts w:ascii="Arial" w:eastAsia="Times New Roman" w:hAnsi="Arial" w:cs="Arial"/>
          <w:kern w:val="28"/>
          <w:sz w:val="20"/>
          <w:szCs w:val="20"/>
        </w:rPr>
      </w:pPr>
    </w:p>
    <w:p w14:paraId="64373C70" w14:textId="77777777" w:rsid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r w:rsidRPr="00942CE2">
        <w:rPr>
          <w:rFonts w:ascii="Arial" w:eastAsia="Times New Roman" w:hAnsi="Arial" w:cs="Arial"/>
          <w:kern w:val="28"/>
          <w:sz w:val="20"/>
          <w:szCs w:val="20"/>
        </w:rPr>
        <w:t xml:space="preserve">Wilson, G. J., Frantz, A. C., Pope, L. C., Roper, T. J., Burke, T., Cheeseman, C. L., &amp;Delahay, R. J. (2003). Estimation of badger abundance using faecal DNA typing. Journal of Applied Ecology, 40(4), 658–666. </w:t>
      </w:r>
    </w:p>
    <w:p w14:paraId="3616720D" w14:textId="77777777" w:rsidR="00942CE2" w:rsidRDefault="00942CE2" w:rsidP="00942CE2">
      <w:pPr>
        <w:pStyle w:val="ListParagraph"/>
        <w:spacing w:line="240" w:lineRule="auto"/>
        <w:ind w:left="0"/>
        <w:jc w:val="both"/>
        <w:rPr>
          <w:rFonts w:ascii="Arial" w:eastAsia="Times New Roman" w:hAnsi="Arial" w:cs="Arial"/>
          <w:kern w:val="28"/>
          <w:sz w:val="20"/>
          <w:szCs w:val="20"/>
        </w:rPr>
      </w:pPr>
      <w:hyperlink r:id="rId51" w:history="1">
        <w:r w:rsidRPr="00661A0C">
          <w:rPr>
            <w:rStyle w:val="Hyperlink"/>
            <w:rFonts w:ascii="Arial" w:eastAsia="Times New Roman" w:hAnsi="Arial" w:cs="Arial"/>
            <w:kern w:val="28"/>
            <w:sz w:val="20"/>
            <w:szCs w:val="20"/>
          </w:rPr>
          <w:t>https://doi.org/10.1046/j.1365-2664.2003.00835.x</w:t>
        </w:r>
      </w:hyperlink>
    </w:p>
    <w:p w14:paraId="16221CA4" w14:textId="77777777" w:rsidR="00942CE2" w:rsidRPr="00942CE2" w:rsidRDefault="00942CE2" w:rsidP="00942CE2">
      <w:pPr>
        <w:pStyle w:val="ListParagraph"/>
        <w:spacing w:line="240" w:lineRule="auto"/>
        <w:ind w:left="0"/>
        <w:jc w:val="both"/>
        <w:rPr>
          <w:rFonts w:ascii="Arial" w:eastAsia="Times New Roman" w:hAnsi="Arial" w:cs="Arial"/>
          <w:kern w:val="28"/>
          <w:sz w:val="20"/>
          <w:szCs w:val="20"/>
        </w:rPr>
      </w:pPr>
    </w:p>
    <w:p w14:paraId="35B170BB" w14:textId="77777777" w:rsidR="00942CE2" w:rsidRP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r w:rsidRPr="00942CE2">
        <w:rPr>
          <w:rFonts w:ascii="Arial" w:eastAsia="Times New Roman" w:hAnsi="Arial" w:cs="Arial"/>
          <w:kern w:val="28"/>
          <w:sz w:val="20"/>
          <w:szCs w:val="20"/>
        </w:rPr>
        <w:t>Yoshinaga, D. H., &amp; Frank, H. A. (1982). Histamine-producing bacteria in decomposing skipjack tuna (</w:t>
      </w:r>
      <w:proofErr w:type="spellStart"/>
      <w:r w:rsidRPr="00942CE2">
        <w:rPr>
          <w:rFonts w:ascii="Arial" w:eastAsia="Times New Roman" w:hAnsi="Arial" w:cs="Arial"/>
          <w:kern w:val="28"/>
          <w:sz w:val="20"/>
          <w:szCs w:val="20"/>
        </w:rPr>
        <w:t>Katsuwonuspelamis</w:t>
      </w:r>
      <w:proofErr w:type="spellEnd"/>
      <w:r w:rsidRPr="00942CE2">
        <w:rPr>
          <w:rFonts w:ascii="Arial" w:eastAsia="Times New Roman" w:hAnsi="Arial" w:cs="Arial"/>
          <w:kern w:val="28"/>
          <w:sz w:val="20"/>
          <w:szCs w:val="20"/>
        </w:rPr>
        <w:t xml:space="preserve">). Applied and Environmental Microbiology, 44(2), 447–452. </w:t>
      </w:r>
      <w:hyperlink r:id="rId52" w:history="1">
        <w:r w:rsidRPr="00661A0C">
          <w:rPr>
            <w:rStyle w:val="Hyperlink"/>
            <w:rFonts w:ascii="Arial" w:eastAsia="Times New Roman" w:hAnsi="Arial" w:cs="Arial"/>
            <w:kern w:val="28"/>
            <w:sz w:val="20"/>
            <w:szCs w:val="20"/>
          </w:rPr>
          <w:t>https://doi.org/10.1128/aem.44.2.447-452.1982</w:t>
        </w:r>
      </w:hyperlink>
    </w:p>
    <w:p w14:paraId="733E95C4" w14:textId="77777777" w:rsid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proofErr w:type="spellStart"/>
      <w:r w:rsidRPr="00942CE2">
        <w:rPr>
          <w:rFonts w:ascii="Arial" w:eastAsia="Times New Roman" w:hAnsi="Arial" w:cs="Arial"/>
          <w:kern w:val="28"/>
          <w:sz w:val="20"/>
          <w:szCs w:val="20"/>
        </w:rPr>
        <w:t>Wongsariya</w:t>
      </w:r>
      <w:proofErr w:type="spellEnd"/>
      <w:r w:rsidRPr="00942CE2">
        <w:rPr>
          <w:rFonts w:ascii="Arial" w:eastAsia="Times New Roman" w:hAnsi="Arial" w:cs="Arial"/>
          <w:kern w:val="28"/>
          <w:sz w:val="20"/>
          <w:szCs w:val="20"/>
        </w:rPr>
        <w:t xml:space="preserve">, K., </w:t>
      </w:r>
      <w:proofErr w:type="spellStart"/>
      <w:r w:rsidRPr="00942CE2">
        <w:rPr>
          <w:rFonts w:ascii="Arial" w:eastAsia="Times New Roman" w:hAnsi="Arial" w:cs="Arial"/>
          <w:kern w:val="28"/>
          <w:sz w:val="20"/>
          <w:szCs w:val="20"/>
        </w:rPr>
        <w:t>Bunyapraphatsara</w:t>
      </w:r>
      <w:proofErr w:type="spellEnd"/>
      <w:r w:rsidRPr="00942CE2">
        <w:rPr>
          <w:rFonts w:ascii="Arial" w:eastAsia="Times New Roman" w:hAnsi="Arial" w:cs="Arial"/>
          <w:kern w:val="28"/>
          <w:sz w:val="20"/>
          <w:szCs w:val="20"/>
        </w:rPr>
        <w:t xml:space="preserve">, N., </w:t>
      </w:r>
      <w:proofErr w:type="spellStart"/>
      <w:r w:rsidRPr="00942CE2">
        <w:rPr>
          <w:rFonts w:ascii="Arial" w:eastAsia="Times New Roman" w:hAnsi="Arial" w:cs="Arial"/>
          <w:kern w:val="28"/>
          <w:sz w:val="20"/>
          <w:szCs w:val="20"/>
        </w:rPr>
        <w:t>Yasawong</w:t>
      </w:r>
      <w:proofErr w:type="spellEnd"/>
      <w:r w:rsidRPr="00942CE2">
        <w:rPr>
          <w:rFonts w:ascii="Arial" w:eastAsia="Times New Roman" w:hAnsi="Arial" w:cs="Arial"/>
          <w:kern w:val="28"/>
          <w:sz w:val="20"/>
          <w:szCs w:val="20"/>
        </w:rPr>
        <w:t>, M., &amp;</w:t>
      </w:r>
      <w:proofErr w:type="spellStart"/>
      <w:r w:rsidRPr="00942CE2">
        <w:rPr>
          <w:rFonts w:ascii="Arial" w:eastAsia="Times New Roman" w:hAnsi="Arial" w:cs="Arial"/>
          <w:kern w:val="28"/>
          <w:sz w:val="20"/>
          <w:szCs w:val="20"/>
        </w:rPr>
        <w:t>Chomnawang</w:t>
      </w:r>
      <w:proofErr w:type="spellEnd"/>
      <w:r w:rsidRPr="00942CE2">
        <w:rPr>
          <w:rFonts w:ascii="Arial" w:eastAsia="Times New Roman" w:hAnsi="Arial" w:cs="Arial"/>
          <w:kern w:val="28"/>
          <w:sz w:val="20"/>
          <w:szCs w:val="20"/>
        </w:rPr>
        <w:t xml:space="preserve">, M. T. (2016). Development of molecular approach based on PCR assay for detection of histamine producing bacteria. Journal of Food Science and Technology, 53, 640–648. </w:t>
      </w:r>
    </w:p>
    <w:p w14:paraId="43046641" w14:textId="77777777" w:rsidR="00942CE2" w:rsidRDefault="00942CE2" w:rsidP="00942CE2">
      <w:pPr>
        <w:pStyle w:val="ListParagraph"/>
        <w:spacing w:line="240" w:lineRule="auto"/>
        <w:ind w:left="0"/>
        <w:jc w:val="both"/>
        <w:rPr>
          <w:rFonts w:ascii="Arial" w:eastAsia="Times New Roman" w:hAnsi="Arial" w:cs="Arial"/>
          <w:kern w:val="28"/>
          <w:sz w:val="20"/>
          <w:szCs w:val="20"/>
        </w:rPr>
      </w:pPr>
      <w:hyperlink r:id="rId53" w:history="1">
        <w:r w:rsidRPr="00661A0C">
          <w:rPr>
            <w:rStyle w:val="Hyperlink"/>
            <w:rFonts w:ascii="Arial" w:eastAsia="Times New Roman" w:hAnsi="Arial" w:cs="Arial"/>
            <w:kern w:val="28"/>
            <w:sz w:val="20"/>
            <w:szCs w:val="20"/>
          </w:rPr>
          <w:t>https://doi.org/10.1007/s13197-015-2044-6</w:t>
        </w:r>
      </w:hyperlink>
    </w:p>
    <w:p w14:paraId="1AD3B4BE" w14:textId="77777777" w:rsidR="00942CE2" w:rsidRPr="00942CE2" w:rsidRDefault="00942CE2" w:rsidP="00942CE2">
      <w:pPr>
        <w:pStyle w:val="ListParagraph"/>
        <w:spacing w:line="240" w:lineRule="auto"/>
        <w:ind w:left="0"/>
        <w:jc w:val="both"/>
        <w:rPr>
          <w:rFonts w:ascii="Arial" w:eastAsia="Times New Roman" w:hAnsi="Arial" w:cs="Arial"/>
          <w:kern w:val="28"/>
          <w:sz w:val="20"/>
          <w:szCs w:val="20"/>
        </w:rPr>
      </w:pPr>
    </w:p>
    <w:p w14:paraId="46C98A6E" w14:textId="77777777" w:rsidR="00942CE2" w:rsidRDefault="00942CE2" w:rsidP="00942CE2">
      <w:pPr>
        <w:pStyle w:val="ListParagraph"/>
        <w:numPr>
          <w:ilvl w:val="0"/>
          <w:numId w:val="3"/>
        </w:numPr>
        <w:spacing w:line="240" w:lineRule="auto"/>
        <w:ind w:left="0"/>
        <w:jc w:val="both"/>
        <w:rPr>
          <w:rFonts w:ascii="Arial" w:eastAsia="Times New Roman" w:hAnsi="Arial" w:cs="Arial"/>
          <w:kern w:val="28"/>
          <w:sz w:val="20"/>
          <w:szCs w:val="20"/>
        </w:rPr>
      </w:pPr>
      <w:r w:rsidRPr="00942CE2">
        <w:rPr>
          <w:rFonts w:ascii="Arial" w:eastAsia="Times New Roman" w:hAnsi="Arial" w:cs="Arial"/>
          <w:kern w:val="28"/>
          <w:sz w:val="20"/>
          <w:szCs w:val="20"/>
        </w:rPr>
        <w:t xml:space="preserve">Yassine, K. A., Houari, H., Mokhtar, B., Karim, A., Hadjer, S., &amp;Imane, B. (2020). A topical ointment formulation containing leaves’ powder of </w:t>
      </w:r>
      <w:proofErr w:type="spellStart"/>
      <w:r w:rsidRPr="00942CE2">
        <w:rPr>
          <w:rFonts w:ascii="Arial" w:eastAsia="Times New Roman" w:hAnsi="Arial" w:cs="Arial"/>
          <w:kern w:val="28"/>
          <w:sz w:val="20"/>
          <w:szCs w:val="20"/>
        </w:rPr>
        <w:t>Lawsoniainermis</w:t>
      </w:r>
      <w:proofErr w:type="spellEnd"/>
      <w:r w:rsidRPr="00942CE2">
        <w:rPr>
          <w:rFonts w:ascii="Arial" w:eastAsia="Times New Roman" w:hAnsi="Arial" w:cs="Arial"/>
          <w:kern w:val="28"/>
          <w:sz w:val="20"/>
          <w:szCs w:val="20"/>
        </w:rPr>
        <w:t xml:space="preserve"> accelerates excision wound healing in Wistar rats. Veterinary World, 13(7), 1280. </w:t>
      </w:r>
    </w:p>
    <w:p w14:paraId="3CD07AA6" w14:textId="77777777" w:rsidR="00942CE2" w:rsidRDefault="00942CE2" w:rsidP="00942CE2">
      <w:pPr>
        <w:pStyle w:val="ListParagraph"/>
        <w:spacing w:line="240" w:lineRule="auto"/>
        <w:ind w:left="0"/>
        <w:jc w:val="both"/>
        <w:rPr>
          <w:rFonts w:ascii="Arial" w:eastAsia="Times New Roman" w:hAnsi="Arial" w:cs="Arial"/>
          <w:kern w:val="28"/>
          <w:sz w:val="20"/>
          <w:szCs w:val="20"/>
        </w:rPr>
      </w:pPr>
      <w:hyperlink r:id="rId54" w:history="1">
        <w:r w:rsidRPr="00661A0C">
          <w:rPr>
            <w:rStyle w:val="Hyperlink"/>
            <w:rFonts w:ascii="Arial" w:eastAsia="Times New Roman" w:hAnsi="Arial" w:cs="Arial"/>
            <w:kern w:val="28"/>
            <w:sz w:val="20"/>
            <w:szCs w:val="20"/>
          </w:rPr>
          <w:t>https://doi.org/10.14202/vetworld.2020.1280-1285</w:t>
        </w:r>
      </w:hyperlink>
    </w:p>
    <w:p w14:paraId="24FE003B" w14:textId="77777777" w:rsidR="00942CE2" w:rsidRDefault="00942CE2" w:rsidP="00942CE2">
      <w:pPr>
        <w:pStyle w:val="ListParagraph"/>
        <w:spacing w:line="240" w:lineRule="auto"/>
        <w:ind w:left="0"/>
        <w:jc w:val="both"/>
        <w:rPr>
          <w:rFonts w:ascii="Arial" w:eastAsia="Times New Roman" w:hAnsi="Arial" w:cs="Arial"/>
          <w:kern w:val="28"/>
          <w:sz w:val="20"/>
          <w:szCs w:val="20"/>
        </w:rPr>
      </w:pPr>
    </w:p>
    <w:p w14:paraId="3F5BADAD" w14:textId="77777777" w:rsidR="00E21F46" w:rsidRPr="00E21F46" w:rsidRDefault="00E21F46" w:rsidP="00E21F46">
      <w:pPr>
        <w:pStyle w:val="ListParagraph"/>
        <w:spacing w:line="240" w:lineRule="auto"/>
        <w:ind w:left="0"/>
        <w:jc w:val="both"/>
        <w:rPr>
          <w:rFonts w:ascii="Arial" w:eastAsia="Times New Roman" w:hAnsi="Arial" w:cs="Arial"/>
          <w:kern w:val="28"/>
          <w:sz w:val="20"/>
          <w:szCs w:val="20"/>
        </w:rPr>
      </w:pPr>
    </w:p>
    <w:p w14:paraId="3B22A24F" w14:textId="77777777" w:rsidR="00E21F46" w:rsidRDefault="00E21F46" w:rsidP="00E21F46">
      <w:pPr>
        <w:pStyle w:val="ListParagraph"/>
        <w:spacing w:line="240" w:lineRule="auto"/>
        <w:ind w:left="0"/>
        <w:jc w:val="both"/>
        <w:rPr>
          <w:rFonts w:ascii="Arial" w:eastAsia="Times New Roman" w:hAnsi="Arial" w:cs="Arial"/>
          <w:kern w:val="28"/>
          <w:sz w:val="20"/>
          <w:szCs w:val="20"/>
        </w:rPr>
      </w:pPr>
    </w:p>
    <w:p w14:paraId="3AB99015" w14:textId="77777777" w:rsidR="00E21F46" w:rsidRPr="00B702F5" w:rsidRDefault="00E21F46" w:rsidP="00E21F46">
      <w:pPr>
        <w:pStyle w:val="ListParagraph"/>
        <w:spacing w:line="240" w:lineRule="auto"/>
        <w:ind w:left="0"/>
        <w:jc w:val="both"/>
        <w:rPr>
          <w:rFonts w:ascii="Arial" w:eastAsia="Times New Roman" w:hAnsi="Arial" w:cs="Arial"/>
          <w:kern w:val="28"/>
          <w:sz w:val="20"/>
          <w:szCs w:val="20"/>
        </w:rPr>
      </w:pPr>
    </w:p>
    <w:p w14:paraId="7BD9583B" w14:textId="77777777" w:rsidR="00C274A5" w:rsidRDefault="00C274A5" w:rsidP="00B702F5">
      <w:pPr>
        <w:spacing w:line="240" w:lineRule="auto"/>
        <w:jc w:val="center"/>
      </w:pPr>
    </w:p>
    <w:sectPr w:rsidR="00C274A5" w:rsidSect="00DE4889">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yinlade Ogundare" w:date="2025-03-20T20:12:00Z" w:initials="OO">
    <w:p w14:paraId="3386C161" w14:textId="6BEFD5CB" w:rsidR="006E19A0" w:rsidRDefault="006E19A0" w:rsidP="006E19A0">
      <w:pPr>
        <w:rPr>
          <w:sz w:val="20"/>
          <w:szCs w:val="20"/>
          <w:lang w:val="en-GB"/>
        </w:rPr>
      </w:pPr>
      <w:r>
        <w:rPr>
          <w:rStyle w:val="CommentReference"/>
        </w:rPr>
        <w:annotationRef/>
      </w:r>
      <w:r>
        <w:rPr>
          <w:sz w:val="20"/>
          <w:szCs w:val="20"/>
          <w:lang w:val="en-GB"/>
        </w:rPr>
        <w:t>H</w:t>
      </w:r>
      <w:r w:rsidRPr="00502048">
        <w:rPr>
          <w:sz w:val="20"/>
          <w:szCs w:val="20"/>
          <w:lang w:val="en-GB"/>
        </w:rPr>
        <w:t xml:space="preserve">ighlight the significance of histamine contamination in seafood and its health implications </w:t>
      </w:r>
      <w:r>
        <w:rPr>
          <w:sz w:val="20"/>
          <w:szCs w:val="20"/>
          <w:lang w:val="en-GB"/>
        </w:rPr>
        <w:t>i</w:t>
      </w:r>
      <w:r w:rsidRPr="00502048">
        <w:rPr>
          <w:sz w:val="20"/>
          <w:szCs w:val="20"/>
          <w:lang w:val="en-GB"/>
        </w:rPr>
        <w:t xml:space="preserve">n the introduction. </w:t>
      </w:r>
    </w:p>
    <w:p w14:paraId="4D825CB7" w14:textId="53B580C0" w:rsidR="006E19A0" w:rsidRDefault="006E19A0" w:rsidP="006E19A0">
      <w:pPr>
        <w:pStyle w:val="CommentText"/>
      </w:pPr>
      <w:r w:rsidRPr="00502048">
        <w:rPr>
          <w:lang w:val="en-GB"/>
        </w:rPr>
        <w:t xml:space="preserve">Also, </w:t>
      </w:r>
      <w:r>
        <w:rPr>
          <w:lang w:val="en-GB"/>
        </w:rPr>
        <w:t>briefly mentioning</w:t>
      </w:r>
      <w:r w:rsidRPr="00502048">
        <w:rPr>
          <w:lang w:val="en-GB"/>
        </w:rPr>
        <w:t xml:space="preserve"> key statistical findings</w:t>
      </w:r>
    </w:p>
  </w:comment>
  <w:comment w:id="1" w:author="Oyinlade Ogundare" w:date="2025-03-20T20:05:00Z" w:initials="OO">
    <w:p w14:paraId="667EBB0D" w14:textId="2FA46300" w:rsidR="00AF5373" w:rsidRDefault="00AF5373">
      <w:pPr>
        <w:pStyle w:val="CommentText"/>
      </w:pPr>
      <w:r>
        <w:rPr>
          <w:rStyle w:val="CommentReference"/>
        </w:rPr>
        <w:annotationRef/>
      </w:r>
      <w:r>
        <w:t>Rewrit</w:t>
      </w:r>
      <w:r>
        <w:t>e.</w:t>
      </w:r>
    </w:p>
  </w:comment>
  <w:comment w:id="2" w:author="Oyinlade Ogundare" w:date="2025-03-20T20:09:00Z" w:initials="OO">
    <w:p w14:paraId="08CA935E" w14:textId="2342BFD5" w:rsidR="006E19A0" w:rsidRDefault="006E19A0">
      <w:pPr>
        <w:pStyle w:val="CommentText"/>
      </w:pPr>
      <w:r>
        <w:rPr>
          <w:rStyle w:val="CommentReference"/>
        </w:rPr>
        <w:annotationRef/>
      </w:r>
      <w:r>
        <w:t xml:space="preserve">Update </w:t>
      </w:r>
      <w:proofErr w:type="spellStart"/>
      <w:r>
        <w:t>refrences</w:t>
      </w:r>
      <w:proofErr w:type="spellEnd"/>
      <w:r>
        <w:t>.</w:t>
      </w:r>
    </w:p>
  </w:comment>
  <w:comment w:id="3" w:author="Oyinlade Ogundare" w:date="2025-03-20T20:06:00Z" w:initials="OO">
    <w:p w14:paraId="5076BD0F" w14:textId="171B0B96" w:rsidR="00AF5373" w:rsidRDefault="00AF5373">
      <w:pPr>
        <w:pStyle w:val="CommentText"/>
      </w:pPr>
      <w:r>
        <w:rPr>
          <w:rStyle w:val="CommentReference"/>
        </w:rPr>
        <w:annotationRef/>
      </w:r>
      <w:r>
        <w:t>Write.</w:t>
      </w:r>
    </w:p>
  </w:comment>
  <w:comment w:id="4" w:author="Oyinlade Ogundare" w:date="2025-03-20T20:06:00Z" w:initials="OO">
    <w:p w14:paraId="039835F7" w14:textId="38E61BDD" w:rsidR="00AF5373" w:rsidRDefault="00AF5373">
      <w:pPr>
        <w:pStyle w:val="CommentText"/>
      </w:pPr>
      <w:r>
        <w:rPr>
          <w:rStyle w:val="CommentReference"/>
        </w:rPr>
        <w:annotationRef/>
      </w:r>
      <w:r>
        <w:t>Write.</w:t>
      </w:r>
    </w:p>
  </w:comment>
  <w:comment w:id="5" w:author="Oyinlade Ogundare" w:date="2025-03-20T20:11:00Z" w:initials="OO">
    <w:p w14:paraId="2C998910" w14:textId="6C0D0369" w:rsidR="006E19A0" w:rsidRDefault="006E19A0">
      <w:pPr>
        <w:pStyle w:val="CommentText"/>
      </w:pPr>
      <w:r>
        <w:rPr>
          <w:rStyle w:val="CommentReference"/>
        </w:rPr>
        <w:annotationRef/>
      </w:r>
      <w:r>
        <w:rPr>
          <w:bCs/>
        </w:rPr>
        <w:t xml:space="preserve">Include a </w:t>
      </w:r>
      <w:r w:rsidRPr="00502048">
        <w:rPr>
          <w:bCs/>
          <w:lang w:val="en-GB"/>
        </w:rPr>
        <w:t xml:space="preserve">statistical </w:t>
      </w:r>
      <w:r>
        <w:rPr>
          <w:bCs/>
          <w:lang w:val="en-GB"/>
        </w:rPr>
        <w:t>s</w:t>
      </w:r>
      <w:r w:rsidRPr="00502048">
        <w:rPr>
          <w:bCs/>
          <w:lang w:val="en-GB"/>
        </w:rPr>
        <w:t xml:space="preserve">ignificance test </w:t>
      </w:r>
      <w:r>
        <w:rPr>
          <w:bCs/>
          <w:lang w:val="en-GB"/>
        </w:rPr>
        <w:t>like</w:t>
      </w:r>
      <w:r w:rsidRPr="00502048">
        <w:rPr>
          <w:bCs/>
          <w:lang w:val="en-GB"/>
        </w:rPr>
        <w:t xml:space="preserve"> ANOVA</w:t>
      </w:r>
      <w:r>
        <w:rPr>
          <w:bCs/>
          <w:lang w:val="en-GB"/>
        </w:rPr>
        <w:t xml:space="preserve"> to</w:t>
      </w:r>
      <w:r w:rsidRPr="00502048">
        <w:rPr>
          <w:bCs/>
          <w:lang w:val="en-GB"/>
        </w:rPr>
        <w:t xml:space="preserve"> strengthen the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825CB7" w15:done="0"/>
  <w15:commentEx w15:paraId="667EBB0D" w15:done="0"/>
  <w15:commentEx w15:paraId="08CA935E" w15:done="0"/>
  <w15:commentEx w15:paraId="5076BD0F" w15:done="0"/>
  <w15:commentEx w15:paraId="039835F7" w15:done="0"/>
  <w15:commentEx w15:paraId="2C998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132A04" w16cex:dateUtc="2025-03-20T19:12:00Z"/>
  <w16cex:commentExtensible w16cex:durableId="0F95DB17" w16cex:dateUtc="2025-03-20T19:05:00Z"/>
  <w16cex:commentExtensible w16cex:durableId="31992B31" w16cex:dateUtc="2025-03-20T19:09:00Z"/>
  <w16cex:commentExtensible w16cex:durableId="23A9AD5B" w16cex:dateUtc="2025-03-20T19:06:00Z"/>
  <w16cex:commentExtensible w16cex:durableId="4B7A47B1" w16cex:dateUtc="2025-03-20T19:06:00Z"/>
  <w16cex:commentExtensible w16cex:durableId="57A70AE7" w16cex:dateUtc="2025-03-20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825CB7" w16cid:durableId="6E132A04"/>
  <w16cid:commentId w16cid:paraId="667EBB0D" w16cid:durableId="0F95DB17"/>
  <w16cid:commentId w16cid:paraId="08CA935E" w16cid:durableId="31992B31"/>
  <w16cid:commentId w16cid:paraId="5076BD0F" w16cid:durableId="23A9AD5B"/>
  <w16cid:commentId w16cid:paraId="039835F7" w16cid:durableId="4B7A47B1"/>
  <w16cid:commentId w16cid:paraId="2C998910" w16cid:durableId="57A70A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A60C" w14:textId="77777777" w:rsidR="00467164" w:rsidRDefault="00467164" w:rsidP="00D52823">
      <w:pPr>
        <w:spacing w:after="0" w:line="240" w:lineRule="auto"/>
      </w:pPr>
      <w:r>
        <w:separator/>
      </w:r>
    </w:p>
  </w:endnote>
  <w:endnote w:type="continuationSeparator" w:id="0">
    <w:p w14:paraId="212B3A63" w14:textId="77777777" w:rsidR="00467164" w:rsidRDefault="00467164" w:rsidP="00D52823">
      <w:pPr>
        <w:spacing w:after="0" w:line="240" w:lineRule="auto"/>
      </w:pPr>
      <w:r>
        <w:continuationSeparator/>
      </w:r>
    </w:p>
  </w:endnote>
  <w:endnote w:type="continuationNotice" w:id="1">
    <w:p w14:paraId="4872EA7A" w14:textId="77777777" w:rsidR="00467164" w:rsidRDefault="00467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25A3" w14:textId="77777777" w:rsidR="00C575A5" w:rsidRDefault="00C5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2536" w14:textId="77777777" w:rsidR="00C575A5" w:rsidRDefault="00C5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AABE" w14:textId="77777777" w:rsidR="00C575A5" w:rsidRDefault="00C5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229C" w14:textId="77777777" w:rsidR="00467164" w:rsidRDefault="00467164" w:rsidP="00D52823">
      <w:pPr>
        <w:spacing w:after="0" w:line="240" w:lineRule="auto"/>
      </w:pPr>
      <w:r>
        <w:separator/>
      </w:r>
    </w:p>
  </w:footnote>
  <w:footnote w:type="continuationSeparator" w:id="0">
    <w:p w14:paraId="405A2BE2" w14:textId="77777777" w:rsidR="00467164" w:rsidRDefault="00467164" w:rsidP="00D52823">
      <w:pPr>
        <w:spacing w:after="0" w:line="240" w:lineRule="auto"/>
      </w:pPr>
      <w:r>
        <w:continuationSeparator/>
      </w:r>
    </w:p>
  </w:footnote>
  <w:footnote w:type="continuationNotice" w:id="1">
    <w:p w14:paraId="15320C01" w14:textId="77777777" w:rsidR="00467164" w:rsidRDefault="004671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0660" w14:textId="37C12DF9" w:rsidR="00C575A5" w:rsidRDefault="00000000">
    <w:pPr>
      <w:pStyle w:val="Header"/>
    </w:pPr>
    <w:r>
      <w:rPr>
        <w:noProof/>
      </w:rPr>
      <w:pict w14:anchorId="5B03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2E0B" w14:textId="08FDD569" w:rsidR="00C575A5" w:rsidRDefault="00000000">
    <w:pPr>
      <w:pStyle w:val="Header"/>
    </w:pPr>
    <w:r>
      <w:rPr>
        <w:noProof/>
      </w:rPr>
      <w:pict w14:anchorId="7FF58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D005" w14:textId="37859377" w:rsidR="00C575A5" w:rsidRDefault="00000000">
    <w:pPr>
      <w:pStyle w:val="Header"/>
    </w:pPr>
    <w:r>
      <w:rPr>
        <w:noProof/>
      </w:rPr>
      <w:pict w14:anchorId="0A6DF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3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713F3"/>
    <w:multiLevelType w:val="hybridMultilevel"/>
    <w:tmpl w:val="3DCE5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DF2F81"/>
    <w:multiLevelType w:val="multilevel"/>
    <w:tmpl w:val="FCC6E110"/>
    <w:lvl w:ilvl="0">
      <w:start w:val="1"/>
      <w:numFmt w:val="decimal"/>
      <w:lvlText w:val="%1."/>
      <w:lvlJc w:val="left"/>
      <w:pPr>
        <w:ind w:left="720" w:hanging="360"/>
      </w:pPr>
      <w:rPr>
        <w:rFonts w:eastAsiaTheme="minorHAnsi" w:hint="default"/>
        <w:i w:val="0"/>
        <w:sz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sz w:val="20"/>
        <w:szCs w:val="20"/>
        <w:u w:val="singl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1F6D8A"/>
    <w:multiLevelType w:val="multilevel"/>
    <w:tmpl w:val="0690269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3B451C"/>
    <w:multiLevelType w:val="multilevel"/>
    <w:tmpl w:val="C5445110"/>
    <w:lvl w:ilvl="0">
      <w:start w:val="1"/>
      <w:numFmt w:val="decimal"/>
      <w:lvlText w:val="%1."/>
      <w:lvlJc w:val="left"/>
      <w:pPr>
        <w:ind w:left="360" w:hanging="360"/>
      </w:pPr>
      <w:rPr>
        <w:rFonts w:eastAsiaTheme="minorHAnsi" w:hint="default"/>
        <w:i w:val="0"/>
        <w:sz w:val="22"/>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sz w:val="20"/>
        <w:szCs w:val="20"/>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0047F7"/>
    <w:multiLevelType w:val="multilevel"/>
    <w:tmpl w:val="3DCE50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7394508">
    <w:abstractNumId w:val="3"/>
  </w:num>
  <w:num w:numId="2" w16cid:durableId="2086956033">
    <w:abstractNumId w:val="1"/>
  </w:num>
  <w:num w:numId="3" w16cid:durableId="2066296384">
    <w:abstractNumId w:val="0"/>
  </w:num>
  <w:num w:numId="4" w16cid:durableId="1162965720">
    <w:abstractNumId w:val="4"/>
  </w:num>
  <w:num w:numId="5" w16cid:durableId="2583710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yinlade Ogundare">
    <w15:presenceInfo w15:providerId="Windows Live" w15:userId="037a9744825a8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NzAxsTA0NbQwNTRS0lEKTi0uzszPAykwrAUAhtwN2SwAAAA="/>
  </w:docVars>
  <w:rsids>
    <w:rsidRoot w:val="00FC14F1"/>
    <w:rsid w:val="00005846"/>
    <w:rsid w:val="00025D80"/>
    <w:rsid w:val="0003035D"/>
    <w:rsid w:val="00045356"/>
    <w:rsid w:val="00063E3C"/>
    <w:rsid w:val="0007573D"/>
    <w:rsid w:val="00085B02"/>
    <w:rsid w:val="00092108"/>
    <w:rsid w:val="000933D2"/>
    <w:rsid w:val="000C5D17"/>
    <w:rsid w:val="00104149"/>
    <w:rsid w:val="00107A2C"/>
    <w:rsid w:val="00114529"/>
    <w:rsid w:val="00144C3B"/>
    <w:rsid w:val="001463ED"/>
    <w:rsid w:val="0019552A"/>
    <w:rsid w:val="001A3F3C"/>
    <w:rsid w:val="00211002"/>
    <w:rsid w:val="002146D8"/>
    <w:rsid w:val="00222753"/>
    <w:rsid w:val="00275C26"/>
    <w:rsid w:val="002A64E0"/>
    <w:rsid w:val="002E7ADF"/>
    <w:rsid w:val="00300F4E"/>
    <w:rsid w:val="00372111"/>
    <w:rsid w:val="003829AE"/>
    <w:rsid w:val="003B570B"/>
    <w:rsid w:val="003C12B7"/>
    <w:rsid w:val="00432E1F"/>
    <w:rsid w:val="004457C1"/>
    <w:rsid w:val="004643FB"/>
    <w:rsid w:val="00467164"/>
    <w:rsid w:val="00470D5A"/>
    <w:rsid w:val="00472925"/>
    <w:rsid w:val="004769E8"/>
    <w:rsid w:val="00482DB6"/>
    <w:rsid w:val="004A6528"/>
    <w:rsid w:val="004B6378"/>
    <w:rsid w:val="004E4805"/>
    <w:rsid w:val="004F3B3F"/>
    <w:rsid w:val="00515EE7"/>
    <w:rsid w:val="005217FE"/>
    <w:rsid w:val="005377C7"/>
    <w:rsid w:val="005C1004"/>
    <w:rsid w:val="005D3DDF"/>
    <w:rsid w:val="005E73EF"/>
    <w:rsid w:val="005E7C87"/>
    <w:rsid w:val="005F0052"/>
    <w:rsid w:val="00600177"/>
    <w:rsid w:val="006838E7"/>
    <w:rsid w:val="006A39FE"/>
    <w:rsid w:val="006C51F9"/>
    <w:rsid w:val="006D5D74"/>
    <w:rsid w:val="006E19A0"/>
    <w:rsid w:val="00735432"/>
    <w:rsid w:val="007C3E10"/>
    <w:rsid w:val="007C43B5"/>
    <w:rsid w:val="007D1E8A"/>
    <w:rsid w:val="007D3DD3"/>
    <w:rsid w:val="007D6D34"/>
    <w:rsid w:val="007F6A6B"/>
    <w:rsid w:val="00811481"/>
    <w:rsid w:val="00831F3B"/>
    <w:rsid w:val="00843F01"/>
    <w:rsid w:val="00874114"/>
    <w:rsid w:val="00882E66"/>
    <w:rsid w:val="008B59E1"/>
    <w:rsid w:val="008D43C1"/>
    <w:rsid w:val="008D7666"/>
    <w:rsid w:val="008F196F"/>
    <w:rsid w:val="00906CCF"/>
    <w:rsid w:val="00942CE2"/>
    <w:rsid w:val="009449FA"/>
    <w:rsid w:val="00946A3F"/>
    <w:rsid w:val="0096126C"/>
    <w:rsid w:val="00967177"/>
    <w:rsid w:val="009B3E4B"/>
    <w:rsid w:val="009B77F9"/>
    <w:rsid w:val="009C0479"/>
    <w:rsid w:val="009D69DF"/>
    <w:rsid w:val="009E6BE8"/>
    <w:rsid w:val="00A461D8"/>
    <w:rsid w:val="00A75523"/>
    <w:rsid w:val="00A84D55"/>
    <w:rsid w:val="00A85460"/>
    <w:rsid w:val="00AA4A7E"/>
    <w:rsid w:val="00AD2D61"/>
    <w:rsid w:val="00AF5373"/>
    <w:rsid w:val="00B05272"/>
    <w:rsid w:val="00B07B0D"/>
    <w:rsid w:val="00B4492F"/>
    <w:rsid w:val="00B51858"/>
    <w:rsid w:val="00B57F5D"/>
    <w:rsid w:val="00B617EC"/>
    <w:rsid w:val="00B702F5"/>
    <w:rsid w:val="00B724F8"/>
    <w:rsid w:val="00B95D4E"/>
    <w:rsid w:val="00BB05A4"/>
    <w:rsid w:val="00C127C4"/>
    <w:rsid w:val="00C274A5"/>
    <w:rsid w:val="00C53CAF"/>
    <w:rsid w:val="00C575A5"/>
    <w:rsid w:val="00C81445"/>
    <w:rsid w:val="00C81981"/>
    <w:rsid w:val="00C96415"/>
    <w:rsid w:val="00CC2880"/>
    <w:rsid w:val="00CD2655"/>
    <w:rsid w:val="00CE0DBE"/>
    <w:rsid w:val="00CE5792"/>
    <w:rsid w:val="00CE6834"/>
    <w:rsid w:val="00CE6F97"/>
    <w:rsid w:val="00D018DD"/>
    <w:rsid w:val="00D52823"/>
    <w:rsid w:val="00D77AF0"/>
    <w:rsid w:val="00DB07E9"/>
    <w:rsid w:val="00DD3E6D"/>
    <w:rsid w:val="00DE47FE"/>
    <w:rsid w:val="00DE4889"/>
    <w:rsid w:val="00DF611E"/>
    <w:rsid w:val="00E21F46"/>
    <w:rsid w:val="00E328FD"/>
    <w:rsid w:val="00E63972"/>
    <w:rsid w:val="00E75A3B"/>
    <w:rsid w:val="00E964BF"/>
    <w:rsid w:val="00ED390C"/>
    <w:rsid w:val="00EE5A15"/>
    <w:rsid w:val="00EF1068"/>
    <w:rsid w:val="00EF36F8"/>
    <w:rsid w:val="00F04307"/>
    <w:rsid w:val="00F122F1"/>
    <w:rsid w:val="00F410FA"/>
    <w:rsid w:val="00F46450"/>
    <w:rsid w:val="00F51E8E"/>
    <w:rsid w:val="00F67826"/>
    <w:rsid w:val="00FA1873"/>
    <w:rsid w:val="00FB241A"/>
    <w:rsid w:val="00FC14F1"/>
    <w:rsid w:val="00FC7611"/>
    <w:rsid w:val="00FD288B"/>
    <w:rsid w:val="00FD58BF"/>
    <w:rsid w:val="00FE5E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C3E8F"/>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7C3E10"/>
    <w:pPr>
      <w:spacing w:after="0" w:line="240" w:lineRule="auto"/>
    </w:pPr>
    <w:tblPr/>
  </w:style>
  <w:style w:type="paragraph" w:customStyle="1" w:styleId="Author">
    <w:name w:val="Author"/>
    <w:basedOn w:val="Normal"/>
    <w:rsid w:val="00FC14F1"/>
    <w:pPr>
      <w:spacing w:after="0" w:line="280" w:lineRule="exact"/>
      <w:jc w:val="right"/>
    </w:pPr>
    <w:rPr>
      <w:rFonts w:ascii="Helvetica" w:eastAsia="Times New Roman" w:hAnsi="Helvetica" w:cs="Times New Roman"/>
      <w:b/>
      <w:sz w:val="24"/>
      <w:szCs w:val="20"/>
      <w:lang w:val="en-US"/>
    </w:rPr>
  </w:style>
  <w:style w:type="paragraph" w:styleId="FootnoteText">
    <w:name w:val="footnote text"/>
    <w:basedOn w:val="Normal"/>
    <w:link w:val="FootnoteTextChar"/>
    <w:uiPriority w:val="99"/>
    <w:semiHidden/>
    <w:unhideWhenUsed/>
    <w:rsid w:val="00D52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823"/>
    <w:rPr>
      <w:sz w:val="20"/>
      <w:szCs w:val="20"/>
    </w:rPr>
  </w:style>
  <w:style w:type="paragraph" w:styleId="ListParagraph">
    <w:name w:val="List Paragraph"/>
    <w:basedOn w:val="Normal"/>
    <w:uiPriority w:val="34"/>
    <w:qFormat/>
    <w:rsid w:val="002E7ADF"/>
    <w:pPr>
      <w:ind w:left="720"/>
      <w:contextualSpacing/>
    </w:pPr>
  </w:style>
  <w:style w:type="paragraph" w:styleId="NormalWeb">
    <w:name w:val="Normal (Web)"/>
    <w:basedOn w:val="Normal"/>
    <w:uiPriority w:val="99"/>
    <w:semiHidden/>
    <w:unhideWhenUsed/>
    <w:rsid w:val="006A39F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61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26C"/>
    <w:rPr>
      <w:rFonts w:ascii="Tahoma" w:hAnsi="Tahoma" w:cs="Tahoma"/>
      <w:sz w:val="16"/>
      <w:szCs w:val="16"/>
    </w:rPr>
  </w:style>
  <w:style w:type="paragraph" w:customStyle="1" w:styleId="Body">
    <w:name w:val="Body"/>
    <w:basedOn w:val="Normal"/>
    <w:rsid w:val="00FD58BF"/>
    <w:pPr>
      <w:spacing w:after="240" w:line="240" w:lineRule="auto"/>
      <w:jc w:val="both"/>
    </w:pPr>
    <w:rPr>
      <w:rFonts w:ascii="Helvetica" w:eastAsia="Times New Roman" w:hAnsi="Helvetica" w:cs="Times New Roman"/>
      <w:sz w:val="20"/>
      <w:szCs w:val="20"/>
      <w:lang w:val="en-US"/>
    </w:rPr>
  </w:style>
  <w:style w:type="paragraph" w:customStyle="1" w:styleId="ConcHead">
    <w:name w:val="Conc Head"/>
    <w:basedOn w:val="Normal"/>
    <w:rsid w:val="00FD58BF"/>
    <w:pPr>
      <w:keepNext/>
      <w:spacing w:after="240" w:line="240" w:lineRule="auto"/>
    </w:pPr>
    <w:rPr>
      <w:rFonts w:ascii="Helvetica" w:eastAsia="Times New Roman" w:hAnsi="Helvetica" w:cs="Times New Roman"/>
      <w:b/>
      <w:caps/>
      <w:szCs w:val="20"/>
      <w:lang w:val="en-US"/>
    </w:rPr>
  </w:style>
  <w:style w:type="paragraph" w:customStyle="1" w:styleId="AcknHead">
    <w:name w:val="Ackn Head"/>
    <w:basedOn w:val="Normal"/>
    <w:rsid w:val="00600177"/>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B702F5"/>
    <w:rPr>
      <w:color w:val="0000FF" w:themeColor="hyperlink"/>
      <w:u w:val="single"/>
    </w:rPr>
  </w:style>
  <w:style w:type="paragraph" w:styleId="Header">
    <w:name w:val="header"/>
    <w:basedOn w:val="Normal"/>
    <w:link w:val="HeaderChar"/>
    <w:uiPriority w:val="99"/>
    <w:unhideWhenUsed/>
    <w:rsid w:val="00F1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2F1"/>
  </w:style>
  <w:style w:type="paragraph" w:styleId="Footer">
    <w:name w:val="footer"/>
    <w:basedOn w:val="Normal"/>
    <w:link w:val="FooterChar"/>
    <w:uiPriority w:val="99"/>
    <w:unhideWhenUsed/>
    <w:rsid w:val="00F1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2F1"/>
  </w:style>
  <w:style w:type="character" w:styleId="UnresolvedMention">
    <w:name w:val="Unresolved Mention"/>
    <w:basedOn w:val="DefaultParagraphFont"/>
    <w:uiPriority w:val="99"/>
    <w:semiHidden/>
    <w:unhideWhenUsed/>
    <w:rsid w:val="00114529"/>
    <w:rPr>
      <w:color w:val="605E5C"/>
      <w:shd w:val="clear" w:color="auto" w:fill="E1DFDD"/>
    </w:rPr>
  </w:style>
  <w:style w:type="character" w:styleId="CommentReference">
    <w:name w:val="annotation reference"/>
    <w:basedOn w:val="DefaultParagraphFont"/>
    <w:uiPriority w:val="99"/>
    <w:semiHidden/>
    <w:unhideWhenUsed/>
    <w:rsid w:val="00AF5373"/>
    <w:rPr>
      <w:sz w:val="16"/>
      <w:szCs w:val="16"/>
    </w:rPr>
  </w:style>
  <w:style w:type="paragraph" w:styleId="CommentText">
    <w:name w:val="annotation text"/>
    <w:basedOn w:val="Normal"/>
    <w:link w:val="CommentTextChar"/>
    <w:uiPriority w:val="99"/>
    <w:semiHidden/>
    <w:unhideWhenUsed/>
    <w:rsid w:val="00AF5373"/>
    <w:pPr>
      <w:spacing w:line="240" w:lineRule="auto"/>
    </w:pPr>
    <w:rPr>
      <w:sz w:val="20"/>
      <w:szCs w:val="20"/>
    </w:rPr>
  </w:style>
  <w:style w:type="character" w:customStyle="1" w:styleId="CommentTextChar">
    <w:name w:val="Comment Text Char"/>
    <w:basedOn w:val="DefaultParagraphFont"/>
    <w:link w:val="CommentText"/>
    <w:uiPriority w:val="99"/>
    <w:semiHidden/>
    <w:rsid w:val="00AF5373"/>
    <w:rPr>
      <w:sz w:val="20"/>
      <w:szCs w:val="20"/>
    </w:rPr>
  </w:style>
  <w:style w:type="paragraph" w:styleId="CommentSubject">
    <w:name w:val="annotation subject"/>
    <w:basedOn w:val="CommentText"/>
    <w:next w:val="CommentText"/>
    <w:link w:val="CommentSubjectChar"/>
    <w:uiPriority w:val="99"/>
    <w:semiHidden/>
    <w:unhideWhenUsed/>
    <w:rsid w:val="00AF5373"/>
    <w:rPr>
      <w:b/>
      <w:bCs/>
    </w:rPr>
  </w:style>
  <w:style w:type="character" w:customStyle="1" w:styleId="CommentSubjectChar">
    <w:name w:val="Comment Subject Char"/>
    <w:basedOn w:val="CommentTextChar"/>
    <w:link w:val="CommentSubject"/>
    <w:uiPriority w:val="99"/>
    <w:semiHidden/>
    <w:rsid w:val="00AF5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4623">
      <w:bodyDiv w:val="1"/>
      <w:marLeft w:val="0"/>
      <w:marRight w:val="0"/>
      <w:marTop w:val="0"/>
      <w:marBottom w:val="0"/>
      <w:divBdr>
        <w:top w:val="none" w:sz="0" w:space="0" w:color="auto"/>
        <w:left w:val="none" w:sz="0" w:space="0" w:color="auto"/>
        <w:bottom w:val="none" w:sz="0" w:space="0" w:color="auto"/>
        <w:right w:val="none" w:sz="0" w:space="0" w:color="auto"/>
      </w:divBdr>
    </w:div>
    <w:div w:id="110439947">
      <w:bodyDiv w:val="1"/>
      <w:marLeft w:val="0"/>
      <w:marRight w:val="0"/>
      <w:marTop w:val="0"/>
      <w:marBottom w:val="0"/>
      <w:divBdr>
        <w:top w:val="none" w:sz="0" w:space="0" w:color="auto"/>
        <w:left w:val="none" w:sz="0" w:space="0" w:color="auto"/>
        <w:bottom w:val="none" w:sz="0" w:space="0" w:color="auto"/>
        <w:right w:val="none" w:sz="0" w:space="0" w:color="auto"/>
      </w:divBdr>
    </w:div>
    <w:div w:id="266741921">
      <w:bodyDiv w:val="1"/>
      <w:marLeft w:val="0"/>
      <w:marRight w:val="0"/>
      <w:marTop w:val="0"/>
      <w:marBottom w:val="0"/>
      <w:divBdr>
        <w:top w:val="none" w:sz="0" w:space="0" w:color="auto"/>
        <w:left w:val="none" w:sz="0" w:space="0" w:color="auto"/>
        <w:bottom w:val="none" w:sz="0" w:space="0" w:color="auto"/>
        <w:right w:val="none" w:sz="0" w:space="0" w:color="auto"/>
      </w:divBdr>
    </w:div>
    <w:div w:id="350498352">
      <w:bodyDiv w:val="1"/>
      <w:marLeft w:val="0"/>
      <w:marRight w:val="0"/>
      <w:marTop w:val="0"/>
      <w:marBottom w:val="0"/>
      <w:divBdr>
        <w:top w:val="none" w:sz="0" w:space="0" w:color="auto"/>
        <w:left w:val="none" w:sz="0" w:space="0" w:color="auto"/>
        <w:bottom w:val="none" w:sz="0" w:space="0" w:color="auto"/>
        <w:right w:val="none" w:sz="0" w:space="0" w:color="auto"/>
      </w:divBdr>
    </w:div>
    <w:div w:id="352539461">
      <w:bodyDiv w:val="1"/>
      <w:marLeft w:val="0"/>
      <w:marRight w:val="0"/>
      <w:marTop w:val="0"/>
      <w:marBottom w:val="0"/>
      <w:divBdr>
        <w:top w:val="none" w:sz="0" w:space="0" w:color="auto"/>
        <w:left w:val="none" w:sz="0" w:space="0" w:color="auto"/>
        <w:bottom w:val="none" w:sz="0" w:space="0" w:color="auto"/>
        <w:right w:val="none" w:sz="0" w:space="0" w:color="auto"/>
      </w:divBdr>
    </w:div>
    <w:div w:id="381830035">
      <w:bodyDiv w:val="1"/>
      <w:marLeft w:val="0"/>
      <w:marRight w:val="0"/>
      <w:marTop w:val="0"/>
      <w:marBottom w:val="0"/>
      <w:divBdr>
        <w:top w:val="none" w:sz="0" w:space="0" w:color="auto"/>
        <w:left w:val="none" w:sz="0" w:space="0" w:color="auto"/>
        <w:bottom w:val="none" w:sz="0" w:space="0" w:color="auto"/>
        <w:right w:val="none" w:sz="0" w:space="0" w:color="auto"/>
      </w:divBdr>
    </w:div>
    <w:div w:id="398983305">
      <w:bodyDiv w:val="1"/>
      <w:marLeft w:val="0"/>
      <w:marRight w:val="0"/>
      <w:marTop w:val="0"/>
      <w:marBottom w:val="0"/>
      <w:divBdr>
        <w:top w:val="none" w:sz="0" w:space="0" w:color="auto"/>
        <w:left w:val="none" w:sz="0" w:space="0" w:color="auto"/>
        <w:bottom w:val="none" w:sz="0" w:space="0" w:color="auto"/>
        <w:right w:val="none" w:sz="0" w:space="0" w:color="auto"/>
      </w:divBdr>
    </w:div>
    <w:div w:id="440300845">
      <w:bodyDiv w:val="1"/>
      <w:marLeft w:val="0"/>
      <w:marRight w:val="0"/>
      <w:marTop w:val="0"/>
      <w:marBottom w:val="0"/>
      <w:divBdr>
        <w:top w:val="none" w:sz="0" w:space="0" w:color="auto"/>
        <w:left w:val="none" w:sz="0" w:space="0" w:color="auto"/>
        <w:bottom w:val="none" w:sz="0" w:space="0" w:color="auto"/>
        <w:right w:val="none" w:sz="0" w:space="0" w:color="auto"/>
      </w:divBdr>
    </w:div>
    <w:div w:id="719477260">
      <w:bodyDiv w:val="1"/>
      <w:marLeft w:val="0"/>
      <w:marRight w:val="0"/>
      <w:marTop w:val="0"/>
      <w:marBottom w:val="0"/>
      <w:divBdr>
        <w:top w:val="none" w:sz="0" w:space="0" w:color="auto"/>
        <w:left w:val="none" w:sz="0" w:space="0" w:color="auto"/>
        <w:bottom w:val="none" w:sz="0" w:space="0" w:color="auto"/>
        <w:right w:val="none" w:sz="0" w:space="0" w:color="auto"/>
      </w:divBdr>
    </w:div>
    <w:div w:id="852650397">
      <w:bodyDiv w:val="1"/>
      <w:marLeft w:val="0"/>
      <w:marRight w:val="0"/>
      <w:marTop w:val="0"/>
      <w:marBottom w:val="0"/>
      <w:divBdr>
        <w:top w:val="none" w:sz="0" w:space="0" w:color="auto"/>
        <w:left w:val="none" w:sz="0" w:space="0" w:color="auto"/>
        <w:bottom w:val="none" w:sz="0" w:space="0" w:color="auto"/>
        <w:right w:val="none" w:sz="0" w:space="0" w:color="auto"/>
      </w:divBdr>
    </w:div>
    <w:div w:id="867573098">
      <w:bodyDiv w:val="1"/>
      <w:marLeft w:val="0"/>
      <w:marRight w:val="0"/>
      <w:marTop w:val="0"/>
      <w:marBottom w:val="0"/>
      <w:divBdr>
        <w:top w:val="none" w:sz="0" w:space="0" w:color="auto"/>
        <w:left w:val="none" w:sz="0" w:space="0" w:color="auto"/>
        <w:bottom w:val="none" w:sz="0" w:space="0" w:color="auto"/>
        <w:right w:val="none" w:sz="0" w:space="0" w:color="auto"/>
      </w:divBdr>
    </w:div>
    <w:div w:id="884105064">
      <w:bodyDiv w:val="1"/>
      <w:marLeft w:val="0"/>
      <w:marRight w:val="0"/>
      <w:marTop w:val="0"/>
      <w:marBottom w:val="0"/>
      <w:divBdr>
        <w:top w:val="none" w:sz="0" w:space="0" w:color="auto"/>
        <w:left w:val="none" w:sz="0" w:space="0" w:color="auto"/>
        <w:bottom w:val="none" w:sz="0" w:space="0" w:color="auto"/>
        <w:right w:val="none" w:sz="0" w:space="0" w:color="auto"/>
      </w:divBdr>
    </w:div>
    <w:div w:id="929505139">
      <w:bodyDiv w:val="1"/>
      <w:marLeft w:val="0"/>
      <w:marRight w:val="0"/>
      <w:marTop w:val="0"/>
      <w:marBottom w:val="0"/>
      <w:divBdr>
        <w:top w:val="none" w:sz="0" w:space="0" w:color="auto"/>
        <w:left w:val="none" w:sz="0" w:space="0" w:color="auto"/>
        <w:bottom w:val="none" w:sz="0" w:space="0" w:color="auto"/>
        <w:right w:val="none" w:sz="0" w:space="0" w:color="auto"/>
      </w:divBdr>
    </w:div>
    <w:div w:id="1019702819">
      <w:bodyDiv w:val="1"/>
      <w:marLeft w:val="0"/>
      <w:marRight w:val="0"/>
      <w:marTop w:val="0"/>
      <w:marBottom w:val="0"/>
      <w:divBdr>
        <w:top w:val="none" w:sz="0" w:space="0" w:color="auto"/>
        <w:left w:val="none" w:sz="0" w:space="0" w:color="auto"/>
        <w:bottom w:val="none" w:sz="0" w:space="0" w:color="auto"/>
        <w:right w:val="none" w:sz="0" w:space="0" w:color="auto"/>
      </w:divBdr>
    </w:div>
    <w:div w:id="1044139262">
      <w:bodyDiv w:val="1"/>
      <w:marLeft w:val="0"/>
      <w:marRight w:val="0"/>
      <w:marTop w:val="0"/>
      <w:marBottom w:val="0"/>
      <w:divBdr>
        <w:top w:val="none" w:sz="0" w:space="0" w:color="auto"/>
        <w:left w:val="none" w:sz="0" w:space="0" w:color="auto"/>
        <w:bottom w:val="none" w:sz="0" w:space="0" w:color="auto"/>
        <w:right w:val="none" w:sz="0" w:space="0" w:color="auto"/>
      </w:divBdr>
    </w:div>
    <w:div w:id="1097554561">
      <w:bodyDiv w:val="1"/>
      <w:marLeft w:val="0"/>
      <w:marRight w:val="0"/>
      <w:marTop w:val="0"/>
      <w:marBottom w:val="0"/>
      <w:divBdr>
        <w:top w:val="none" w:sz="0" w:space="0" w:color="auto"/>
        <w:left w:val="none" w:sz="0" w:space="0" w:color="auto"/>
        <w:bottom w:val="none" w:sz="0" w:space="0" w:color="auto"/>
        <w:right w:val="none" w:sz="0" w:space="0" w:color="auto"/>
      </w:divBdr>
    </w:div>
    <w:div w:id="1112019484">
      <w:bodyDiv w:val="1"/>
      <w:marLeft w:val="0"/>
      <w:marRight w:val="0"/>
      <w:marTop w:val="0"/>
      <w:marBottom w:val="0"/>
      <w:divBdr>
        <w:top w:val="none" w:sz="0" w:space="0" w:color="auto"/>
        <w:left w:val="none" w:sz="0" w:space="0" w:color="auto"/>
        <w:bottom w:val="none" w:sz="0" w:space="0" w:color="auto"/>
        <w:right w:val="none" w:sz="0" w:space="0" w:color="auto"/>
      </w:divBdr>
    </w:div>
    <w:div w:id="1205100300">
      <w:bodyDiv w:val="1"/>
      <w:marLeft w:val="0"/>
      <w:marRight w:val="0"/>
      <w:marTop w:val="0"/>
      <w:marBottom w:val="0"/>
      <w:divBdr>
        <w:top w:val="none" w:sz="0" w:space="0" w:color="auto"/>
        <w:left w:val="none" w:sz="0" w:space="0" w:color="auto"/>
        <w:bottom w:val="none" w:sz="0" w:space="0" w:color="auto"/>
        <w:right w:val="none" w:sz="0" w:space="0" w:color="auto"/>
      </w:divBdr>
    </w:div>
    <w:div w:id="1237938886">
      <w:bodyDiv w:val="1"/>
      <w:marLeft w:val="0"/>
      <w:marRight w:val="0"/>
      <w:marTop w:val="0"/>
      <w:marBottom w:val="0"/>
      <w:divBdr>
        <w:top w:val="none" w:sz="0" w:space="0" w:color="auto"/>
        <w:left w:val="none" w:sz="0" w:space="0" w:color="auto"/>
        <w:bottom w:val="none" w:sz="0" w:space="0" w:color="auto"/>
        <w:right w:val="none" w:sz="0" w:space="0" w:color="auto"/>
      </w:divBdr>
    </w:div>
    <w:div w:id="1266379816">
      <w:bodyDiv w:val="1"/>
      <w:marLeft w:val="0"/>
      <w:marRight w:val="0"/>
      <w:marTop w:val="0"/>
      <w:marBottom w:val="0"/>
      <w:divBdr>
        <w:top w:val="none" w:sz="0" w:space="0" w:color="auto"/>
        <w:left w:val="none" w:sz="0" w:space="0" w:color="auto"/>
        <w:bottom w:val="none" w:sz="0" w:space="0" w:color="auto"/>
        <w:right w:val="none" w:sz="0" w:space="0" w:color="auto"/>
      </w:divBdr>
    </w:div>
    <w:div w:id="1344094624">
      <w:bodyDiv w:val="1"/>
      <w:marLeft w:val="0"/>
      <w:marRight w:val="0"/>
      <w:marTop w:val="0"/>
      <w:marBottom w:val="0"/>
      <w:divBdr>
        <w:top w:val="none" w:sz="0" w:space="0" w:color="auto"/>
        <w:left w:val="none" w:sz="0" w:space="0" w:color="auto"/>
        <w:bottom w:val="none" w:sz="0" w:space="0" w:color="auto"/>
        <w:right w:val="none" w:sz="0" w:space="0" w:color="auto"/>
      </w:divBdr>
    </w:div>
    <w:div w:id="1362128110">
      <w:bodyDiv w:val="1"/>
      <w:marLeft w:val="0"/>
      <w:marRight w:val="0"/>
      <w:marTop w:val="0"/>
      <w:marBottom w:val="0"/>
      <w:divBdr>
        <w:top w:val="none" w:sz="0" w:space="0" w:color="auto"/>
        <w:left w:val="none" w:sz="0" w:space="0" w:color="auto"/>
        <w:bottom w:val="none" w:sz="0" w:space="0" w:color="auto"/>
        <w:right w:val="none" w:sz="0" w:space="0" w:color="auto"/>
      </w:divBdr>
    </w:div>
    <w:div w:id="1366831128">
      <w:bodyDiv w:val="1"/>
      <w:marLeft w:val="0"/>
      <w:marRight w:val="0"/>
      <w:marTop w:val="0"/>
      <w:marBottom w:val="0"/>
      <w:divBdr>
        <w:top w:val="none" w:sz="0" w:space="0" w:color="auto"/>
        <w:left w:val="none" w:sz="0" w:space="0" w:color="auto"/>
        <w:bottom w:val="none" w:sz="0" w:space="0" w:color="auto"/>
        <w:right w:val="none" w:sz="0" w:space="0" w:color="auto"/>
      </w:divBdr>
    </w:div>
    <w:div w:id="1402097085">
      <w:bodyDiv w:val="1"/>
      <w:marLeft w:val="0"/>
      <w:marRight w:val="0"/>
      <w:marTop w:val="0"/>
      <w:marBottom w:val="0"/>
      <w:divBdr>
        <w:top w:val="none" w:sz="0" w:space="0" w:color="auto"/>
        <w:left w:val="none" w:sz="0" w:space="0" w:color="auto"/>
        <w:bottom w:val="none" w:sz="0" w:space="0" w:color="auto"/>
        <w:right w:val="none" w:sz="0" w:space="0" w:color="auto"/>
      </w:divBdr>
    </w:div>
    <w:div w:id="1419445886">
      <w:bodyDiv w:val="1"/>
      <w:marLeft w:val="0"/>
      <w:marRight w:val="0"/>
      <w:marTop w:val="0"/>
      <w:marBottom w:val="0"/>
      <w:divBdr>
        <w:top w:val="none" w:sz="0" w:space="0" w:color="auto"/>
        <w:left w:val="none" w:sz="0" w:space="0" w:color="auto"/>
        <w:bottom w:val="none" w:sz="0" w:space="0" w:color="auto"/>
        <w:right w:val="none" w:sz="0" w:space="0" w:color="auto"/>
      </w:divBdr>
    </w:div>
    <w:div w:id="1431928193">
      <w:bodyDiv w:val="1"/>
      <w:marLeft w:val="0"/>
      <w:marRight w:val="0"/>
      <w:marTop w:val="0"/>
      <w:marBottom w:val="0"/>
      <w:divBdr>
        <w:top w:val="none" w:sz="0" w:space="0" w:color="auto"/>
        <w:left w:val="none" w:sz="0" w:space="0" w:color="auto"/>
        <w:bottom w:val="none" w:sz="0" w:space="0" w:color="auto"/>
        <w:right w:val="none" w:sz="0" w:space="0" w:color="auto"/>
      </w:divBdr>
    </w:div>
    <w:div w:id="1720779392">
      <w:bodyDiv w:val="1"/>
      <w:marLeft w:val="0"/>
      <w:marRight w:val="0"/>
      <w:marTop w:val="0"/>
      <w:marBottom w:val="0"/>
      <w:divBdr>
        <w:top w:val="none" w:sz="0" w:space="0" w:color="auto"/>
        <w:left w:val="none" w:sz="0" w:space="0" w:color="auto"/>
        <w:bottom w:val="none" w:sz="0" w:space="0" w:color="auto"/>
        <w:right w:val="none" w:sz="0" w:space="0" w:color="auto"/>
      </w:divBdr>
    </w:div>
    <w:div w:id="1754278699">
      <w:bodyDiv w:val="1"/>
      <w:marLeft w:val="0"/>
      <w:marRight w:val="0"/>
      <w:marTop w:val="0"/>
      <w:marBottom w:val="0"/>
      <w:divBdr>
        <w:top w:val="none" w:sz="0" w:space="0" w:color="auto"/>
        <w:left w:val="none" w:sz="0" w:space="0" w:color="auto"/>
        <w:bottom w:val="none" w:sz="0" w:space="0" w:color="auto"/>
        <w:right w:val="none" w:sz="0" w:space="0" w:color="auto"/>
      </w:divBdr>
    </w:div>
    <w:div w:id="1785151782">
      <w:bodyDiv w:val="1"/>
      <w:marLeft w:val="0"/>
      <w:marRight w:val="0"/>
      <w:marTop w:val="0"/>
      <w:marBottom w:val="0"/>
      <w:divBdr>
        <w:top w:val="none" w:sz="0" w:space="0" w:color="auto"/>
        <w:left w:val="none" w:sz="0" w:space="0" w:color="auto"/>
        <w:bottom w:val="none" w:sz="0" w:space="0" w:color="auto"/>
        <w:right w:val="none" w:sz="0" w:space="0" w:color="auto"/>
      </w:divBdr>
    </w:div>
    <w:div w:id="1798571120">
      <w:bodyDiv w:val="1"/>
      <w:marLeft w:val="0"/>
      <w:marRight w:val="0"/>
      <w:marTop w:val="0"/>
      <w:marBottom w:val="0"/>
      <w:divBdr>
        <w:top w:val="none" w:sz="0" w:space="0" w:color="auto"/>
        <w:left w:val="none" w:sz="0" w:space="0" w:color="auto"/>
        <w:bottom w:val="none" w:sz="0" w:space="0" w:color="auto"/>
        <w:right w:val="none" w:sz="0" w:space="0" w:color="auto"/>
      </w:divBdr>
    </w:div>
    <w:div w:id="1872261866">
      <w:bodyDiv w:val="1"/>
      <w:marLeft w:val="0"/>
      <w:marRight w:val="0"/>
      <w:marTop w:val="0"/>
      <w:marBottom w:val="0"/>
      <w:divBdr>
        <w:top w:val="none" w:sz="0" w:space="0" w:color="auto"/>
        <w:left w:val="none" w:sz="0" w:space="0" w:color="auto"/>
        <w:bottom w:val="none" w:sz="0" w:space="0" w:color="auto"/>
        <w:right w:val="none" w:sz="0" w:space="0" w:color="auto"/>
      </w:divBdr>
    </w:div>
    <w:div w:id="2046976794">
      <w:bodyDiv w:val="1"/>
      <w:marLeft w:val="0"/>
      <w:marRight w:val="0"/>
      <w:marTop w:val="0"/>
      <w:marBottom w:val="0"/>
      <w:divBdr>
        <w:top w:val="none" w:sz="0" w:space="0" w:color="auto"/>
        <w:left w:val="none" w:sz="0" w:space="0" w:color="auto"/>
        <w:bottom w:val="none" w:sz="0" w:space="0" w:color="auto"/>
        <w:right w:val="none" w:sz="0" w:space="0" w:color="auto"/>
      </w:divBdr>
    </w:div>
    <w:div w:id="2056730230">
      <w:bodyDiv w:val="1"/>
      <w:marLeft w:val="0"/>
      <w:marRight w:val="0"/>
      <w:marTop w:val="0"/>
      <w:marBottom w:val="0"/>
      <w:divBdr>
        <w:top w:val="none" w:sz="0" w:space="0" w:color="auto"/>
        <w:left w:val="none" w:sz="0" w:space="0" w:color="auto"/>
        <w:bottom w:val="none" w:sz="0" w:space="0" w:color="auto"/>
        <w:right w:val="none" w:sz="0" w:space="0" w:color="auto"/>
      </w:divBdr>
    </w:div>
    <w:div w:id="2097164967">
      <w:bodyDiv w:val="1"/>
      <w:marLeft w:val="0"/>
      <w:marRight w:val="0"/>
      <w:marTop w:val="0"/>
      <w:marBottom w:val="0"/>
      <w:divBdr>
        <w:top w:val="none" w:sz="0" w:space="0" w:color="auto"/>
        <w:left w:val="none" w:sz="0" w:space="0" w:color="auto"/>
        <w:bottom w:val="none" w:sz="0" w:space="0" w:color="auto"/>
        <w:right w:val="none" w:sz="0" w:space="0" w:color="auto"/>
      </w:divBdr>
    </w:div>
    <w:div w:id="21311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yperlink" Target="https://doi.org/10.2217/fmb-2022-0158" TargetMode="External"/><Relationship Id="rId39" Type="http://schemas.openxmlformats.org/officeDocument/2006/relationships/hyperlink" Target="https://doi.org/10.1007/s13197-016-2224-x" TargetMode="External"/><Relationship Id="rId21" Type="http://schemas.openxmlformats.org/officeDocument/2006/relationships/hyperlink" Target="https://doi.org/10.1093/jac/48.suppl_1.5" TargetMode="External"/><Relationship Id="rId34" Type="http://schemas.openxmlformats.org/officeDocument/2006/relationships/hyperlink" Target="https://doi.org/10.1016/j.foodchem.2006.10.045" TargetMode="External"/><Relationship Id="rId42" Type="http://schemas.openxmlformats.org/officeDocument/2006/relationships/hyperlink" Target="https://doi.org/10.1128/jb.37.2.187-203.1939" TargetMode="External"/><Relationship Id="rId47" Type="http://schemas.openxmlformats.org/officeDocument/2006/relationships/hyperlink" Target="https://doi.org/10.1016/j.ijfoodmicro.2003.08.010" TargetMode="External"/><Relationship Id="rId50" Type="http://schemas.openxmlformats.org/officeDocument/2006/relationships/hyperlink" Target="https://doi.org/10.1128/9781555815936.ch14"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doi.org/10.1111/1541-4337.12949" TargetMode="External"/><Relationship Id="rId11" Type="http://schemas.microsoft.com/office/2018/08/relationships/commentsExtensible" Target="commentsExtensible.xml"/><Relationship Id="rId24" Type="http://schemas.openxmlformats.org/officeDocument/2006/relationships/hyperlink" Target="https://doi.org/10.1128/jb.37.2.187-203.1939" TargetMode="External"/><Relationship Id="rId32" Type="http://schemas.openxmlformats.org/officeDocument/2006/relationships/hyperlink" Target="https://doi.org/10.1186/1472-6882-12-221" TargetMode="External"/><Relationship Id="rId37" Type="http://schemas.openxmlformats.org/officeDocument/2006/relationships/hyperlink" Target="https://doi.org/10.1093/jac/48.suppl_1.5" TargetMode="External"/><Relationship Id="rId40" Type="http://schemas.openxmlformats.org/officeDocument/2006/relationships/hyperlink" Target="https://doi.org/10.1111/1462-2920.12134" TargetMode="External"/><Relationship Id="rId45" Type="http://schemas.openxmlformats.org/officeDocument/2006/relationships/hyperlink" Target="https://doi.org/10.1128/CMR.00031-19" TargetMode="External"/><Relationship Id="rId53" Type="http://schemas.openxmlformats.org/officeDocument/2006/relationships/hyperlink" Target="https://doi.org/10.1007/s13197-015-2044-6" TargetMode="External"/><Relationship Id="rId5"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doi.org/10.1093/ajcp/45.4_ts.493" TargetMode="External"/><Relationship Id="rId27" Type="http://schemas.openxmlformats.org/officeDocument/2006/relationships/hyperlink" Target="https://doi.org/10.1016/j.ijfoodmicro.2003.08.006" TargetMode="External"/><Relationship Id="rId30" Type="http://schemas.openxmlformats.org/officeDocument/2006/relationships/hyperlink" Target="https://doi.org/10.3390/microorganisms10061197" TargetMode="External"/><Relationship Id="rId35" Type="http://schemas.openxmlformats.org/officeDocument/2006/relationships/hyperlink" Target="https://doi.org/10.3389/fmicb.2014.00500" TargetMode="External"/><Relationship Id="rId43" Type="http://schemas.openxmlformats.org/officeDocument/2006/relationships/hyperlink" Target="https://doi.org/10.1007/s12016-015-8467-x" TargetMode="External"/><Relationship Id="rId48" Type="http://schemas.openxmlformats.org/officeDocument/2006/relationships/hyperlink" Target="https://doi.org/10.2217/fmb-2022-0173" TargetMode="External"/><Relationship Id="rId56" Type="http://schemas.microsoft.com/office/2011/relationships/people" Target="people.xml"/><Relationship Id="rId8" Type="http://schemas.openxmlformats.org/officeDocument/2006/relationships/comments" Target="comments.xml"/><Relationship Id="rId51" Type="http://schemas.openxmlformats.org/officeDocument/2006/relationships/hyperlink" Target="https://doi.org/10.1046/j.1365-2664.2003.00835.x"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080/23312009.2016.1156806" TargetMode="External"/><Relationship Id="rId33" Type="http://schemas.openxmlformats.org/officeDocument/2006/relationships/hyperlink" Target="https://doi.org/10.3390/molecules21101414" TargetMode="External"/><Relationship Id="rId38" Type="http://schemas.openxmlformats.org/officeDocument/2006/relationships/hyperlink" Target="https://doi.org/10.1093/ajcp/45.4_ts.493" TargetMode="External"/><Relationship Id="rId46" Type="http://schemas.openxmlformats.org/officeDocument/2006/relationships/hyperlink" Target="https://doi.org/10.1080/23312009.2016.1156806" TargetMode="External"/><Relationship Id="rId20" Type="http://schemas.openxmlformats.org/officeDocument/2006/relationships/image" Target="media/image3.png"/><Relationship Id="rId41" Type="http://schemas.openxmlformats.org/officeDocument/2006/relationships/hyperlink" Target="https://doi.org/10.1186/1472-6882-6-35" TargetMode="External"/><Relationship Id="rId54" Type="http://schemas.openxmlformats.org/officeDocument/2006/relationships/hyperlink" Target="https://doi.org/10.14202/vetworld.2020.1280-12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doi.org/10.1111/1462-2920.12134" TargetMode="External"/><Relationship Id="rId28" Type="http://schemas.openxmlformats.org/officeDocument/2006/relationships/hyperlink" Target="https://doi.org/10.1016/S0168-1605(00)00296-8" TargetMode="External"/><Relationship Id="rId36" Type="http://schemas.openxmlformats.org/officeDocument/2006/relationships/hyperlink" Target="https://doi.org/10.1007/s13197-015-2038-1" TargetMode="External"/><Relationship Id="rId49" Type="http://schemas.openxmlformats.org/officeDocument/2006/relationships/hyperlink" Target="https://doi.org/10.1007/s11274-016-2084-2" TargetMode="External"/><Relationship Id="rId57" Type="http://schemas.openxmlformats.org/officeDocument/2006/relationships/theme" Target="theme/theme1.xml"/><Relationship Id="rId10" Type="http://schemas.microsoft.com/office/2016/09/relationships/commentsIds" Target="commentsIds.xml"/><Relationship Id="rId31" Type="http://schemas.openxmlformats.org/officeDocument/2006/relationships/hyperlink" Target="https://doi.org/10.3126/ijasbt.v6i3.21321" TargetMode="External"/><Relationship Id="rId44" Type="http://schemas.openxmlformats.org/officeDocument/2006/relationships/hyperlink" Target="https://doi.org/10.3390/molecules28145572" TargetMode="External"/><Relationship Id="rId52" Type="http://schemas.openxmlformats.org/officeDocument/2006/relationships/hyperlink" Target="https://doi.org/10.1128/aem.44.2.447-452.1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5D98C-EEAF-4C39-BAB1-B30BB056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8960</Words>
  <Characters>51072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Oyinlade Ogundare</cp:lastModifiedBy>
  <cp:revision>4</cp:revision>
  <dcterms:created xsi:type="dcterms:W3CDTF">2025-03-19T14:28:00Z</dcterms:created>
  <dcterms:modified xsi:type="dcterms:W3CDTF">2025-03-20T19:14:00Z</dcterms:modified>
</cp:coreProperties>
</file>