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4A083" w14:textId="77777777" w:rsidR="00EE307E" w:rsidRDefault="002B7228" w:rsidP="009A2A97">
      <w:pPr>
        <w:pStyle w:val="1"/>
      </w:pPr>
      <w:commentRangeStart w:id="0"/>
      <w:r>
        <w:t xml:space="preserve">THERMODYNAMICS </w:t>
      </w:r>
      <w:commentRangeEnd w:id="0"/>
      <w:r w:rsidR="001C5ED6">
        <w:rPr>
          <w:rStyle w:val="aa"/>
          <w:rFonts w:asciiTheme="minorHAnsi" w:eastAsiaTheme="minorEastAsia" w:hAnsiTheme="minorHAnsi" w:cstheme="minorBidi"/>
          <w:color w:val="auto"/>
        </w:rPr>
        <w:commentReference w:id="0"/>
      </w:r>
      <w:r>
        <w:t>OF ADSORPTION OF LEAD(II) AND IRON (III) BY UNMODIFIED PALM FRUIT PEDUNCLE</w:t>
      </w:r>
    </w:p>
    <w:p w14:paraId="484E91FD" w14:textId="77777777" w:rsidR="00EE307E" w:rsidRDefault="00EE307E">
      <w:pPr>
        <w:rPr>
          <w:rFonts w:ascii="Times New Roman" w:hAnsi="Times New Roman" w:cs="Times New Roman"/>
          <w:sz w:val="24"/>
          <w:szCs w:val="24"/>
        </w:rPr>
      </w:pPr>
    </w:p>
    <w:p w14:paraId="01F59C79" w14:textId="77777777" w:rsidR="00EE307E" w:rsidRDefault="00EE307E">
      <w:pPr>
        <w:rPr>
          <w:rFonts w:ascii="Times New Roman" w:eastAsia="Calibri" w:hAnsi="Times New Roman"/>
          <w:b/>
          <w:bCs/>
        </w:rPr>
      </w:pPr>
    </w:p>
    <w:p w14:paraId="468075BE" w14:textId="77777777" w:rsidR="00EE307E" w:rsidRDefault="002B7228">
      <w:pPr>
        <w:spacing w:line="360" w:lineRule="auto"/>
        <w:jc w:val="both"/>
        <w:rPr>
          <w:rFonts w:ascii="Times New Roman" w:eastAsia="Calibri" w:hAnsi="Times New Roman"/>
          <w:b/>
          <w:sz w:val="24"/>
          <w:szCs w:val="24"/>
        </w:rPr>
      </w:pPr>
      <w:commentRangeStart w:id="1"/>
      <w:r>
        <w:rPr>
          <w:rFonts w:ascii="Times New Roman" w:eastAsia="Calibri" w:hAnsi="Times New Roman"/>
          <w:b/>
          <w:sz w:val="24"/>
          <w:szCs w:val="24"/>
        </w:rPr>
        <w:t>ABSTRACT</w:t>
      </w:r>
      <w:commentRangeEnd w:id="1"/>
      <w:r w:rsidR="00676213">
        <w:rPr>
          <w:rStyle w:val="aa"/>
        </w:rPr>
        <w:commentReference w:id="1"/>
      </w:r>
    </w:p>
    <w:p w14:paraId="4931E52C" w14:textId="77777777" w:rsidR="00EE307E" w:rsidRDefault="002B7228">
      <w:pPr>
        <w:jc w:val="both"/>
        <w:rPr>
          <w:rFonts w:ascii="Times New Roman" w:eastAsia="Calibri" w:hAnsi="Times New Roman"/>
          <w:bCs/>
          <w:sz w:val="24"/>
          <w:szCs w:val="24"/>
        </w:rPr>
      </w:pPr>
      <w:r>
        <w:rPr>
          <w:rFonts w:ascii="Times New Roman" w:eastAsia="Calibri" w:hAnsi="Times New Roman"/>
          <w:bCs/>
          <w:sz w:val="24"/>
          <w:szCs w:val="24"/>
        </w:rPr>
        <w:t xml:space="preserve">The thermodynamics of the adsorption of </w:t>
      </w:r>
      <w:proofErr w:type="gramStart"/>
      <w:r>
        <w:rPr>
          <w:rFonts w:ascii="Times New Roman" w:eastAsia="Calibri" w:hAnsi="Times New Roman"/>
          <w:bCs/>
          <w:sz w:val="24"/>
          <w:szCs w:val="24"/>
        </w:rPr>
        <w:t>Pb(</w:t>
      </w:r>
      <w:proofErr w:type="gramEnd"/>
      <w:r>
        <w:rPr>
          <w:rFonts w:ascii="Times New Roman" w:eastAsia="Calibri" w:hAnsi="Times New Roman"/>
          <w:bCs/>
          <w:sz w:val="24"/>
          <w:szCs w:val="24"/>
        </w:rPr>
        <w:t xml:space="preserve">II) and Fe(III) ions  from aqueous solution  on to unmodified oil palm peduncle was studied. Adsorption  experiments were carried out using batch process with a fixed mass (0.2 g) of adsorbent and 10 mL of fixed adsorbate concentration of 10 ppm. Changes in concentration of the adsorbates  during the adsorption process was analyzed  by the use of Atomic Absorption Spectrophotometer. Thermodynamic parameters such as </w:t>
      </w:r>
      <w:r>
        <w:rPr>
          <w:rFonts w:ascii="Times New Roman" w:eastAsia="Calibri" w:hAnsi="Times New Roman" w:cs="Times New Roman"/>
          <w:bCs/>
          <w:sz w:val="24"/>
          <w:szCs w:val="24"/>
        </w:rPr>
        <w:t xml:space="preserve">ΔH° and ΔS° were calculated  from </w:t>
      </w:r>
      <w:proofErr w:type="spellStart"/>
      <w:r>
        <w:rPr>
          <w:rFonts w:ascii="Times New Roman" w:eastAsia="Calibri" w:hAnsi="Times New Roman" w:cs="Times New Roman"/>
          <w:bCs/>
          <w:sz w:val="24"/>
          <w:szCs w:val="24"/>
        </w:rPr>
        <w:t>van’t</w:t>
      </w:r>
      <w:proofErr w:type="spellEnd"/>
      <w:r>
        <w:rPr>
          <w:rFonts w:ascii="Times New Roman" w:eastAsia="Calibri" w:hAnsi="Times New Roman" w:cs="Times New Roman"/>
          <w:bCs/>
          <w:sz w:val="24"/>
          <w:szCs w:val="24"/>
        </w:rPr>
        <w:t xml:space="preserve"> Hoff’s plots. At the range of temperatures (30,40,50 and 60°C ) studied, ΔG° changed in the order  -5.49, -4.39, -4.42 and -4.79 kJmol</w:t>
      </w:r>
      <w:r>
        <w:rPr>
          <w:rFonts w:ascii="Times New Roman" w:eastAsia="Calibri" w:hAnsi="Times New Roman" w:cs="Times New Roman"/>
          <w:bCs/>
          <w:sz w:val="24"/>
          <w:szCs w:val="24"/>
          <w:vertAlign w:val="superscript"/>
        </w:rPr>
        <w:t>-1</w:t>
      </w:r>
      <w:r>
        <w:rPr>
          <w:rFonts w:ascii="Times New Roman" w:eastAsia="Calibri" w:hAnsi="Times New Roman" w:cs="Times New Roman"/>
          <w:bCs/>
          <w:sz w:val="24"/>
          <w:szCs w:val="24"/>
        </w:rPr>
        <w:t xml:space="preserve">  for </w:t>
      </w:r>
      <w:r>
        <w:rPr>
          <w:rFonts w:ascii="Times New Roman" w:eastAsia="Calibri" w:hAnsi="Times New Roman"/>
          <w:bCs/>
          <w:sz w:val="24"/>
          <w:szCs w:val="24"/>
        </w:rPr>
        <w:t xml:space="preserve">Pb(II)   and  -2.83, -2.50, -2.58, and -1.99 </w:t>
      </w:r>
      <w:r>
        <w:rPr>
          <w:rFonts w:ascii="Times New Roman" w:eastAsia="Calibri" w:hAnsi="Times New Roman" w:cs="Times New Roman"/>
          <w:bCs/>
          <w:sz w:val="24"/>
          <w:szCs w:val="24"/>
        </w:rPr>
        <w:t>kJmol</w:t>
      </w:r>
      <w:r>
        <w:rPr>
          <w:rFonts w:ascii="Times New Roman" w:eastAsia="Calibri" w:hAnsi="Times New Roman" w:cs="Times New Roman"/>
          <w:bCs/>
          <w:sz w:val="24"/>
          <w:szCs w:val="24"/>
          <w:vertAlign w:val="superscript"/>
        </w:rPr>
        <w:t xml:space="preserve">-1 </w:t>
      </w:r>
      <w:r>
        <w:rPr>
          <w:rFonts w:ascii="Times New Roman" w:eastAsia="Calibri" w:hAnsi="Times New Roman" w:cs="Times New Roman"/>
          <w:bCs/>
          <w:sz w:val="24"/>
          <w:szCs w:val="24"/>
        </w:rPr>
        <w:t xml:space="preserve">for  Fe(III).The values of ΔH° of Pb(II and ) </w:t>
      </w:r>
      <w:r>
        <w:rPr>
          <w:rFonts w:ascii="Times New Roman" w:eastAsia="Calibri" w:hAnsi="Times New Roman"/>
          <w:bCs/>
          <w:sz w:val="24"/>
          <w:szCs w:val="24"/>
        </w:rPr>
        <w:t>were -11.97 and -10.19 kJmol</w:t>
      </w:r>
      <w:r>
        <w:rPr>
          <w:rFonts w:ascii="Times New Roman" w:eastAsia="Calibri" w:hAnsi="Times New Roman"/>
          <w:bCs/>
          <w:sz w:val="24"/>
          <w:szCs w:val="24"/>
          <w:vertAlign w:val="superscript"/>
        </w:rPr>
        <w:t>-1</w:t>
      </w:r>
      <w:r>
        <w:rPr>
          <w:rFonts w:ascii="Times New Roman" w:eastAsia="Calibri" w:hAnsi="Times New Roman"/>
          <w:bCs/>
          <w:sz w:val="24"/>
          <w:szCs w:val="24"/>
        </w:rPr>
        <w:t xml:space="preserve"> </w:t>
      </w:r>
      <w:r>
        <w:rPr>
          <w:rFonts w:ascii="Times New Roman" w:eastAsia="Calibri" w:hAnsi="Times New Roman" w:cs="Times New Roman"/>
          <w:bCs/>
          <w:sz w:val="24"/>
          <w:szCs w:val="24"/>
        </w:rPr>
        <w:t xml:space="preserve">respectively. The ΔS°  values of </w:t>
      </w:r>
      <w:r>
        <w:rPr>
          <w:rFonts w:ascii="Times New Roman" w:eastAsia="Calibri" w:hAnsi="Times New Roman"/>
          <w:bCs/>
          <w:sz w:val="24"/>
          <w:szCs w:val="24"/>
        </w:rPr>
        <w:t>Pb(II) and Fe(III) were 22 and 24.30 kJmol-1K</w:t>
      </w:r>
      <w:r>
        <w:rPr>
          <w:rFonts w:ascii="Times New Roman" w:eastAsia="Calibri" w:hAnsi="Times New Roman"/>
          <w:bCs/>
          <w:sz w:val="24"/>
          <w:szCs w:val="24"/>
          <w:vertAlign w:val="superscript"/>
        </w:rPr>
        <w:t>-1</w:t>
      </w:r>
      <w:r>
        <w:rPr>
          <w:rFonts w:ascii="Times New Roman" w:eastAsia="Calibri" w:hAnsi="Times New Roman"/>
          <w:bCs/>
          <w:sz w:val="24"/>
          <w:szCs w:val="24"/>
        </w:rPr>
        <w:t xml:space="preserve"> respectively. The positive values of standard change(</w:t>
      </w:r>
      <w:r>
        <w:rPr>
          <w:rFonts w:ascii="Times New Roman" w:eastAsia="Calibri" w:hAnsi="Times New Roman" w:cs="Times New Roman"/>
          <w:bCs/>
          <w:sz w:val="24"/>
          <w:szCs w:val="24"/>
        </w:rPr>
        <w:t>ΔS°</w:t>
      </w:r>
      <w:r>
        <w:rPr>
          <w:rFonts w:ascii="Times New Roman" w:eastAsia="Calibri" w:hAnsi="Times New Roman"/>
          <w:bCs/>
          <w:sz w:val="24"/>
          <w:szCs w:val="24"/>
        </w:rPr>
        <w:t>) indicates the disorder (randomness) of the adsorbate particles over adsorbent surface. The negative values of standard Gibbs free energy change(</w:t>
      </w:r>
      <w:r>
        <w:rPr>
          <w:rFonts w:ascii="Times New Roman" w:eastAsia="Calibri" w:hAnsi="Times New Roman" w:cs="Times New Roman"/>
          <w:bCs/>
          <w:sz w:val="24"/>
          <w:szCs w:val="24"/>
        </w:rPr>
        <w:t>ΔG°</w:t>
      </w:r>
      <w:r>
        <w:rPr>
          <w:rFonts w:ascii="Times New Roman" w:eastAsia="Calibri" w:hAnsi="Times New Roman"/>
          <w:bCs/>
          <w:sz w:val="24"/>
          <w:szCs w:val="24"/>
        </w:rPr>
        <w:t>)  and standard enthalpy change(</w:t>
      </w:r>
      <w:r>
        <w:rPr>
          <w:rFonts w:ascii="Times New Roman" w:eastAsia="Calibri" w:hAnsi="Times New Roman" w:cs="Times New Roman"/>
          <w:bCs/>
          <w:sz w:val="24"/>
          <w:szCs w:val="24"/>
        </w:rPr>
        <w:t>ΔH°</w:t>
      </w:r>
      <w:r>
        <w:rPr>
          <w:rFonts w:ascii="Times New Roman" w:eastAsia="Calibri" w:hAnsi="Times New Roman"/>
          <w:bCs/>
          <w:sz w:val="24"/>
          <w:szCs w:val="24"/>
        </w:rPr>
        <w:t xml:space="preserve">) indicate that the adsorption processes of both ions were exothermic and spontaneous. Spontaneity decreased as the temperature increased  for both ions. The activation energy, </w:t>
      </w:r>
      <w:proofErr w:type="spellStart"/>
      <w:r>
        <w:rPr>
          <w:rFonts w:ascii="Times New Roman" w:eastAsia="Calibri" w:hAnsi="Times New Roman"/>
          <w:bCs/>
          <w:sz w:val="24"/>
          <w:szCs w:val="24"/>
        </w:rPr>
        <w:t>Ea</w:t>
      </w:r>
      <w:proofErr w:type="spellEnd"/>
      <w:r>
        <w:rPr>
          <w:rFonts w:ascii="Times New Roman" w:eastAsia="Calibri" w:hAnsi="Times New Roman"/>
          <w:bCs/>
          <w:sz w:val="24"/>
          <w:szCs w:val="24"/>
        </w:rPr>
        <w:t xml:space="preserve"> of the adsorption of P(II) and Fe(III) onto oil palm peduncle grind were 11.97 and -10.19 kJmol</w:t>
      </w:r>
      <w:r>
        <w:rPr>
          <w:rFonts w:ascii="Times New Roman" w:eastAsia="Calibri" w:hAnsi="Times New Roman"/>
          <w:bCs/>
          <w:sz w:val="24"/>
          <w:szCs w:val="24"/>
          <w:vertAlign w:val="superscript"/>
        </w:rPr>
        <w:t>-1</w:t>
      </w:r>
      <w:r>
        <w:rPr>
          <w:rFonts w:ascii="Times New Roman" w:eastAsia="Calibri" w:hAnsi="Times New Roman"/>
          <w:bCs/>
          <w:sz w:val="24"/>
          <w:szCs w:val="24"/>
        </w:rPr>
        <w:t xml:space="preserve"> respectively. The adsorption processes were </w:t>
      </w:r>
      <w:commentRangeStart w:id="2"/>
      <w:proofErr w:type="spellStart"/>
      <w:r>
        <w:rPr>
          <w:rFonts w:ascii="Times New Roman" w:eastAsia="Calibri" w:hAnsi="Times New Roman"/>
          <w:bCs/>
          <w:sz w:val="24"/>
          <w:szCs w:val="24"/>
        </w:rPr>
        <w:t>were</w:t>
      </w:r>
      <w:commentRangeEnd w:id="2"/>
      <w:proofErr w:type="spellEnd"/>
      <w:r w:rsidR="00676213">
        <w:rPr>
          <w:rStyle w:val="aa"/>
        </w:rPr>
        <w:commentReference w:id="2"/>
      </w:r>
      <w:r>
        <w:rPr>
          <w:rFonts w:ascii="Times New Roman" w:eastAsia="Calibri" w:hAnsi="Times New Roman"/>
          <w:bCs/>
          <w:sz w:val="24"/>
          <w:szCs w:val="24"/>
        </w:rPr>
        <w:t xml:space="preserve"> therefore, </w:t>
      </w:r>
      <w:proofErr w:type="gramStart"/>
      <w:r>
        <w:rPr>
          <w:rFonts w:ascii="Times New Roman" w:eastAsia="Calibri" w:hAnsi="Times New Roman"/>
          <w:bCs/>
          <w:sz w:val="24"/>
          <w:szCs w:val="24"/>
        </w:rPr>
        <w:t>physical(</w:t>
      </w:r>
      <w:proofErr w:type="spellStart"/>
      <w:proofErr w:type="gramEnd"/>
      <w:r>
        <w:rPr>
          <w:rFonts w:ascii="Times New Roman" w:eastAsia="Calibri" w:hAnsi="Times New Roman"/>
          <w:bCs/>
          <w:sz w:val="24"/>
          <w:szCs w:val="24"/>
        </w:rPr>
        <w:t>E</w:t>
      </w:r>
      <w:r>
        <w:rPr>
          <w:rFonts w:ascii="Times New Roman" w:eastAsia="Calibri" w:hAnsi="Times New Roman"/>
          <w:bCs/>
          <w:sz w:val="24"/>
          <w:szCs w:val="24"/>
          <w:vertAlign w:val="subscript"/>
        </w:rPr>
        <w:t>a</w:t>
      </w:r>
      <w:proofErr w:type="spellEnd"/>
      <w:r>
        <w:rPr>
          <w:rFonts w:ascii="Times New Roman" w:eastAsia="Calibri" w:hAnsi="Times New Roman"/>
          <w:bCs/>
          <w:sz w:val="24"/>
          <w:szCs w:val="24"/>
          <w:vertAlign w:val="subscript"/>
        </w:rPr>
        <w:t xml:space="preserve"> </w:t>
      </w:r>
      <w:r>
        <w:rPr>
          <w:rFonts w:ascii="Times New Roman" w:eastAsia="Calibri" w:hAnsi="Times New Roman"/>
          <w:b/>
          <w:sz w:val="24"/>
          <w:szCs w:val="24"/>
        </w:rPr>
        <w:t>&lt;</w:t>
      </w:r>
      <w:r>
        <w:rPr>
          <w:rFonts w:ascii="Times New Roman" w:eastAsia="Calibri" w:hAnsi="Times New Roman"/>
          <w:bCs/>
          <w:sz w:val="24"/>
          <w:szCs w:val="24"/>
        </w:rPr>
        <w:t xml:space="preserve"> 40 kJmol</w:t>
      </w:r>
      <w:r>
        <w:rPr>
          <w:rFonts w:ascii="Times New Roman" w:eastAsia="Calibri" w:hAnsi="Times New Roman"/>
          <w:bCs/>
          <w:sz w:val="24"/>
          <w:szCs w:val="24"/>
          <w:vertAlign w:val="superscript"/>
        </w:rPr>
        <w:t>-1</w:t>
      </w:r>
      <w:r>
        <w:rPr>
          <w:rFonts w:ascii="Times New Roman" w:eastAsia="Calibri" w:hAnsi="Times New Roman"/>
          <w:bCs/>
          <w:sz w:val="24"/>
          <w:szCs w:val="24"/>
        </w:rPr>
        <w:t>). The increase in adsorbent dosage reduced the adsorption capacity of the oil palm peduncle for the metal ions. The adsorption of Pb(II) and Fe(III) ions onto  unmodified oil palm peduncle is thermodynamically  feasible at low temperatures.</w:t>
      </w:r>
    </w:p>
    <w:p w14:paraId="331DEDED" w14:textId="77777777" w:rsidR="006710C6" w:rsidRDefault="006710C6">
      <w:pPr>
        <w:jc w:val="both"/>
        <w:rPr>
          <w:rFonts w:ascii="Times New Roman" w:eastAsia="Calibri" w:hAnsi="Times New Roman"/>
          <w:bCs/>
          <w:sz w:val="24"/>
          <w:szCs w:val="24"/>
        </w:rPr>
      </w:pPr>
    </w:p>
    <w:p w14:paraId="6F284F96" w14:textId="77777777" w:rsidR="006710C6" w:rsidRPr="006710C6" w:rsidRDefault="006710C6" w:rsidP="006710C6">
      <w:pPr>
        <w:jc w:val="both"/>
        <w:rPr>
          <w:rFonts w:ascii="Times New Roman" w:eastAsia="Calibri" w:hAnsi="Times New Roman"/>
          <w:b/>
          <w:bCs/>
          <w:sz w:val="24"/>
          <w:szCs w:val="24"/>
        </w:rPr>
      </w:pPr>
    </w:p>
    <w:p w14:paraId="788212B8" w14:textId="77777777" w:rsidR="006710C6" w:rsidRPr="006710C6" w:rsidRDefault="006710C6" w:rsidP="006710C6">
      <w:pPr>
        <w:jc w:val="both"/>
        <w:rPr>
          <w:rFonts w:ascii="Times New Roman" w:eastAsia="Calibri" w:hAnsi="Times New Roman"/>
          <w:bCs/>
          <w:sz w:val="24"/>
          <w:szCs w:val="24"/>
        </w:rPr>
      </w:pPr>
      <w:r w:rsidRPr="006710C6">
        <w:rPr>
          <w:rFonts w:ascii="Times New Roman" w:eastAsia="Calibri" w:hAnsi="Times New Roman"/>
          <w:b/>
          <w:bCs/>
          <w:sz w:val="24"/>
          <w:szCs w:val="24"/>
        </w:rPr>
        <w:t xml:space="preserve">Keywords: </w:t>
      </w:r>
      <w:r w:rsidRPr="006710C6">
        <w:rPr>
          <w:rFonts w:ascii="Times New Roman" w:eastAsia="Calibri" w:hAnsi="Times New Roman"/>
          <w:bCs/>
          <w:sz w:val="24"/>
          <w:szCs w:val="24"/>
        </w:rPr>
        <w:t>Thermodynamics, Temperature, oil palm  fruit, peduncle</w:t>
      </w:r>
      <w:r w:rsidRPr="006710C6">
        <w:rPr>
          <w:rFonts w:ascii="Times New Roman" w:eastAsia="Calibri" w:hAnsi="Times New Roman"/>
          <w:b/>
          <w:bCs/>
          <w:sz w:val="24"/>
          <w:szCs w:val="24"/>
        </w:rPr>
        <w:t xml:space="preserve">,  </w:t>
      </w:r>
      <w:r w:rsidRPr="006710C6">
        <w:rPr>
          <w:rFonts w:ascii="Times New Roman" w:eastAsia="Calibri" w:hAnsi="Times New Roman"/>
          <w:bCs/>
          <w:sz w:val="24"/>
          <w:szCs w:val="24"/>
        </w:rPr>
        <w:t xml:space="preserve">Free  energy change, enthalpy change, Entropy </w:t>
      </w:r>
      <w:proofErr w:type="spellStart"/>
      <w:r w:rsidRPr="006710C6">
        <w:rPr>
          <w:rFonts w:ascii="Times New Roman" w:eastAsia="Calibri" w:hAnsi="Times New Roman"/>
          <w:bCs/>
          <w:sz w:val="24"/>
          <w:szCs w:val="24"/>
        </w:rPr>
        <w:t>cnange</w:t>
      </w:r>
      <w:proofErr w:type="spellEnd"/>
    </w:p>
    <w:p w14:paraId="37E31D08" w14:textId="77777777" w:rsidR="006710C6" w:rsidRDefault="006710C6">
      <w:pPr>
        <w:jc w:val="both"/>
        <w:rPr>
          <w:rFonts w:ascii="Times New Roman" w:eastAsia="Calibri" w:hAnsi="Times New Roman"/>
          <w:bCs/>
          <w:sz w:val="24"/>
          <w:szCs w:val="24"/>
        </w:rPr>
      </w:pPr>
    </w:p>
    <w:p w14:paraId="1A31B017" w14:textId="77777777" w:rsidR="00EE307E" w:rsidRDefault="00EE307E">
      <w:pPr>
        <w:spacing w:line="360" w:lineRule="auto"/>
        <w:jc w:val="both"/>
        <w:rPr>
          <w:rFonts w:ascii="Times New Roman" w:eastAsia="Calibri" w:hAnsi="Times New Roman"/>
          <w:b/>
          <w:sz w:val="24"/>
          <w:szCs w:val="24"/>
        </w:rPr>
      </w:pPr>
    </w:p>
    <w:p w14:paraId="7F3D136E" w14:textId="77777777" w:rsidR="00EE307E" w:rsidRDefault="002B7228">
      <w:pPr>
        <w:spacing w:line="360" w:lineRule="auto"/>
        <w:jc w:val="both"/>
      </w:pPr>
      <w:r>
        <w:rPr>
          <w:rFonts w:ascii="Times New Roman" w:eastAsia="Calibri" w:hAnsi="Times New Roman"/>
          <w:b/>
          <w:sz w:val="24"/>
          <w:szCs w:val="24"/>
        </w:rPr>
        <w:t>INTRODUCTION</w:t>
      </w:r>
    </w:p>
    <w:p w14:paraId="651F6230" w14:textId="77777777" w:rsidR="00EE307E" w:rsidRDefault="002B7228">
      <w:pPr>
        <w:pStyle w:val="a4"/>
        <w:spacing w:after="0" w:afterAutospacing="0"/>
        <w:jc w:val="both"/>
      </w:pPr>
      <w:r>
        <w:t xml:space="preserve">The surge in industrial activities has led to diverse environmental issues, affecting land, sea, and air. These problems have degraded ecosystems due to the accumulation of pollutants, notably toxic heavy metals(Guo, Zhang, &amp; Guo,2024; Liu et al., 2025) . Heavy metals are introduced into the environment through both natural and human activities, such as atmospheric particulate deposition, disposal of metal-enriched sewage </w:t>
      </w:r>
      <w:proofErr w:type="spellStart"/>
      <w:r>
        <w:t>sludge,aging</w:t>
      </w:r>
      <w:proofErr w:type="spellEnd"/>
      <w:r>
        <w:t xml:space="preserve"> metal</w:t>
      </w:r>
      <w:r>
        <w:rPr>
          <w:rFonts w:ascii="Arial" w:eastAsia="Arial" w:hAnsi="Arial" w:cs="Arial"/>
          <w:color w:val="23282F"/>
          <w:spacing w:val="4"/>
          <w:shd w:val="clear" w:color="auto" w:fill="FFFFFF"/>
        </w:rPr>
        <w:t xml:space="preserve"> </w:t>
      </w:r>
      <w:r>
        <w:rPr>
          <w:rFonts w:eastAsia="Arial" w:cs="Times New Roman"/>
          <w:color w:val="23282F"/>
          <w:spacing w:val="4"/>
          <w:shd w:val="clear" w:color="auto" w:fill="FFFFFF"/>
        </w:rPr>
        <w:t>infrastructure(</w:t>
      </w:r>
      <w:proofErr w:type="spellStart"/>
      <w:r>
        <w:rPr>
          <w:rFonts w:cs="Times New Roman"/>
        </w:rPr>
        <w:t>Duderstadt</w:t>
      </w:r>
      <w:proofErr w:type="spellEnd"/>
      <w:r>
        <w:rPr>
          <w:rFonts w:cs="Times New Roman"/>
        </w:rPr>
        <w:t>, 2018</w:t>
      </w:r>
      <w:r>
        <w:rPr>
          <w:rFonts w:eastAsia="Arial" w:cs="Times New Roman"/>
          <w:color w:val="23282F"/>
          <w:spacing w:val="4"/>
          <w:shd w:val="clear" w:color="auto" w:fill="FFFFFF"/>
        </w:rPr>
        <w:t>)</w:t>
      </w:r>
      <w:r>
        <w:t xml:space="preserve"> and effluents from metal mining processes (</w:t>
      </w:r>
      <w:r>
        <w:rPr>
          <w:rFonts w:cs="Times New Roman"/>
        </w:rPr>
        <w:t xml:space="preserve">Abd </w:t>
      </w:r>
      <w:proofErr w:type="spellStart"/>
      <w:r>
        <w:rPr>
          <w:rFonts w:cs="Times New Roman"/>
        </w:rPr>
        <w:t>Elnabi</w:t>
      </w:r>
      <w:proofErr w:type="spellEnd"/>
      <w:r>
        <w:rPr>
          <w:rFonts w:cs="Times New Roman"/>
        </w:rPr>
        <w:t xml:space="preserve"> et al., 2023</w:t>
      </w:r>
      <w:r>
        <w:t>). Water bodies, being the primary receptacles for these emitted heavy metals, suffer significant pollution(</w:t>
      </w:r>
      <w:r>
        <w:rPr>
          <w:rFonts w:cs="Times New Roman"/>
        </w:rPr>
        <w:t xml:space="preserve"> </w:t>
      </w:r>
      <w:proofErr w:type="spellStart"/>
      <w:r>
        <w:rPr>
          <w:rFonts w:cs="Times New Roman"/>
        </w:rPr>
        <w:t>Lupa</w:t>
      </w:r>
      <w:proofErr w:type="spellEnd"/>
      <w:r>
        <w:rPr>
          <w:rFonts w:cs="Times New Roman"/>
        </w:rPr>
        <w:t xml:space="preserve"> &amp; </w:t>
      </w:r>
      <w:proofErr w:type="spellStart"/>
      <w:r>
        <w:rPr>
          <w:rFonts w:cs="Times New Roman"/>
        </w:rPr>
        <w:t>Cocheci</w:t>
      </w:r>
      <w:proofErr w:type="spellEnd"/>
      <w:r>
        <w:rPr>
          <w:rFonts w:cs="Times New Roman"/>
        </w:rPr>
        <w:t>, 2023</w:t>
      </w:r>
      <w:r>
        <w:t>). Both soil and water absorb heavy metals, which are then taken up by plants and animals, accumulating in tissues and entering the human food chain. Human exposure to toxic heavy metals poses severe health risks, as these metals can compromise the immune system. Lead (Pb) is recognized as one of the most hazardous substances, causing long-term health and environmental effects(</w:t>
      </w:r>
      <w:r>
        <w:rPr>
          <w:rFonts w:cs="Times New Roman"/>
        </w:rPr>
        <w:t>Raj &amp; Das,2023</w:t>
      </w:r>
      <w:r>
        <w:t xml:space="preserve">). While iron is essential for human life, concentrations above the maximum contaminant level (MCL) of 0.3 milligrams per liter (mg/L) in drinking water can result in aesthetic issues such as </w:t>
      </w:r>
      <w:r>
        <w:lastRenderedPageBreak/>
        <w:t>unpleasant taste, color, and odor, along with causing staining and a metallic taste (</w:t>
      </w:r>
      <w:proofErr w:type="spellStart"/>
      <w:r>
        <w:rPr>
          <w:rFonts w:cs="Times New Roman"/>
        </w:rPr>
        <w:t>Lupa</w:t>
      </w:r>
      <w:proofErr w:type="spellEnd"/>
      <w:r>
        <w:rPr>
          <w:rFonts w:cs="Times New Roman"/>
        </w:rPr>
        <w:t xml:space="preserve">  &amp; </w:t>
      </w:r>
      <w:proofErr w:type="spellStart"/>
      <w:r>
        <w:rPr>
          <w:rFonts w:cs="Times New Roman"/>
        </w:rPr>
        <w:t>Cocheci</w:t>
      </w:r>
      <w:proofErr w:type="spellEnd"/>
      <w:r>
        <w:rPr>
          <w:rFonts w:cs="Times New Roman"/>
        </w:rPr>
        <w:t xml:space="preserve"> 2023).</w:t>
      </w:r>
    </w:p>
    <w:p w14:paraId="0006B5C4" w14:textId="77777777" w:rsidR="00EE307E" w:rsidRDefault="002B7228">
      <w:pPr>
        <w:pStyle w:val="a4"/>
        <w:spacing w:after="0" w:afterAutospacing="0"/>
        <w:jc w:val="both"/>
      </w:pPr>
      <w:r>
        <w:t>The harmful and aesthetic impacts of heavy metals on humans and the environment necessitate their removal from industrial and domestic water sources. Currently,   many physical, chemical and biological techniques(</w:t>
      </w:r>
      <w:proofErr w:type="spellStart"/>
      <w:r>
        <w:rPr>
          <w:rFonts w:cs="Times New Roman"/>
        </w:rPr>
        <w:t>Zaimee</w:t>
      </w:r>
      <w:proofErr w:type="spellEnd"/>
      <w:r>
        <w:rPr>
          <w:rFonts w:cs="Times New Roman"/>
        </w:rPr>
        <w:t xml:space="preserve">, </w:t>
      </w:r>
      <w:proofErr w:type="spellStart"/>
      <w:r>
        <w:rPr>
          <w:rFonts w:cs="Times New Roman"/>
        </w:rPr>
        <w:t>Sarjadi</w:t>
      </w:r>
      <w:proofErr w:type="spellEnd"/>
      <w:r>
        <w:rPr>
          <w:rFonts w:cs="Times New Roman"/>
        </w:rPr>
        <w:t xml:space="preserve"> &amp; Rahman, 2021</w:t>
      </w:r>
      <w:r>
        <w:t>) have been applied for effectively removing impurities from water, as the  materials used in these techniques provide numerous sites for contaminant attachment (Raji et al., 2023). Adsorption, as a physical or biological method, is also a highly effective technique, and low-cost agricultural waste materials are particularly valuable for this purpose due to their abundance, economic viability, eco-friendliness, high adsorption capacity, and versatility(</w:t>
      </w:r>
      <w:r>
        <w:rPr>
          <w:rFonts w:cs="Times New Roman"/>
        </w:rPr>
        <w:t>Kainth, Sharma &amp; Pandey,2024</w:t>
      </w:r>
      <w:r>
        <w:t>).</w:t>
      </w:r>
    </w:p>
    <w:p w14:paraId="1C77CA04" w14:textId="77777777" w:rsidR="00EE307E" w:rsidRDefault="002B7228">
      <w:pPr>
        <w:pStyle w:val="a4"/>
        <w:spacing w:after="0" w:afterAutospacing="0"/>
        <w:jc w:val="both"/>
      </w:pPr>
      <w:r>
        <w:t>While various adsorbents, such as activated carbon, clays, and biomass materials, have been explored for heavy metal adsorption, however, there is a need for more cost-effective and sustainable alternatives. The oil palm (</w:t>
      </w:r>
      <w:proofErr w:type="spellStart"/>
      <w:r>
        <w:rPr>
          <w:i/>
          <w:iCs/>
        </w:rPr>
        <w:t>Elaeis</w:t>
      </w:r>
      <w:proofErr w:type="spellEnd"/>
      <w:r>
        <w:rPr>
          <w:i/>
          <w:iCs/>
        </w:rPr>
        <w:t xml:space="preserve"> </w:t>
      </w:r>
      <w:proofErr w:type="spellStart"/>
      <w:r>
        <w:rPr>
          <w:i/>
          <w:iCs/>
        </w:rPr>
        <w:t>guineensis</w:t>
      </w:r>
      <w:proofErr w:type="spellEnd"/>
      <w:r>
        <w:t>) industry, prevalent in many tropical regions, generates large quantities of biomass waste, including the fruit peduncle. The utilization of this waste material for environmental remediation aligns with the principles of waste valorization and sustainable resource management.</w:t>
      </w:r>
    </w:p>
    <w:p w14:paraId="3A8DBC91" w14:textId="77777777" w:rsidR="00EE307E" w:rsidRDefault="002B7228">
      <w:pPr>
        <w:pStyle w:val="a4"/>
        <w:spacing w:after="0" w:afterAutospacing="0"/>
        <w:jc w:val="both"/>
      </w:pPr>
      <w:r>
        <w:t>Previous studies (</w:t>
      </w:r>
      <w:r>
        <w:rPr>
          <w:rFonts w:cs="Times New Roman"/>
        </w:rPr>
        <w:t xml:space="preserve">Almeida-Naranjo et al.,2023; Danish et al.,2016; </w:t>
      </w:r>
      <w:proofErr w:type="spellStart"/>
      <w:r>
        <w:rPr>
          <w:rFonts w:cs="Times New Roman"/>
        </w:rPr>
        <w:t>Thoe</w:t>
      </w:r>
      <w:proofErr w:type="spellEnd"/>
      <w:r>
        <w:rPr>
          <w:rFonts w:cs="Times New Roman"/>
        </w:rPr>
        <w:t xml:space="preserve">, </w:t>
      </w:r>
      <w:proofErr w:type="spellStart"/>
      <w:r>
        <w:rPr>
          <w:rFonts w:cs="Times New Roman"/>
        </w:rPr>
        <w:t>Surugau</w:t>
      </w:r>
      <w:proofErr w:type="spellEnd"/>
      <w:r>
        <w:rPr>
          <w:rFonts w:cs="Times New Roman"/>
        </w:rPr>
        <w:t xml:space="preserve"> &amp; Chong, 2019) </w:t>
      </w:r>
      <w:r>
        <w:t>on the adsorption capabilities of plant-based materials suggest that oil palm fruit peduncle, with its high lignocellulosic content and porous structure, could be an effective adsorbent for heavy metals. Its abundant availability and low cost make it an attractive material for large-scale applications.</w:t>
      </w:r>
    </w:p>
    <w:p w14:paraId="6A87E83B" w14:textId="77777777" w:rsidR="00EE307E" w:rsidRDefault="002B7228">
      <w:pPr>
        <w:pStyle w:val="a4"/>
        <w:jc w:val="both"/>
      </w:pPr>
      <w:r>
        <w:t xml:space="preserve">This study aims to investigate the thermodynamics of adsorption of Pb(II) and Fe(III) by unmodified oil palm fruit </w:t>
      </w:r>
      <w:proofErr w:type="spellStart"/>
      <w:r>
        <w:t>peduncle.Thermodynamic</w:t>
      </w:r>
      <w:proofErr w:type="spellEnd"/>
      <w:r>
        <w:t xml:space="preserve"> investigation plays a crucial role in adsorption studies. It helps understand the mechanisms, determine the spontaneity and feasibility of adsorption processes, and assess the effects of temperature on adsorption capacity and efficiency, which are essential for optimization and predictive modeling. By exploring the thermodynamic properties and adsorption potential of unmodified oil palm fruit peduncle, this study aims to contribute to the development of sustainable and eco-friendly solutions for water purification. The findings could pave the way for utilizing agricultural waste materials in environmental remediation, ultimately promoting a circular economy and reducing the environmental footprint of the palm oil industry.</w:t>
      </w:r>
    </w:p>
    <w:p w14:paraId="7AE50C4D" w14:textId="77777777" w:rsidR="00EE307E" w:rsidRDefault="002B7228">
      <w:pPr>
        <w:pStyle w:val="a4"/>
        <w:rPr>
          <w:rStyle w:val="a5"/>
        </w:rPr>
      </w:pPr>
      <w:r>
        <w:rPr>
          <w:rStyle w:val="a5"/>
        </w:rPr>
        <w:t>MATERIALS AND METHODS</w:t>
      </w:r>
    </w:p>
    <w:p w14:paraId="4015E341" w14:textId="77777777" w:rsidR="00EE307E" w:rsidRDefault="002B7228">
      <w:pPr>
        <w:pStyle w:val="a4"/>
        <w:spacing w:after="0" w:afterAutospacing="0"/>
      </w:pPr>
      <w:r>
        <w:rPr>
          <w:rStyle w:val="a5"/>
        </w:rPr>
        <w:t>Preparation of Adsorbents</w:t>
      </w:r>
    </w:p>
    <w:p w14:paraId="22BC0311" w14:textId="77777777" w:rsidR="00EE307E" w:rsidRDefault="002B7228">
      <w:pPr>
        <w:pStyle w:val="a4"/>
        <w:jc w:val="both"/>
        <w:rPr>
          <w:rStyle w:val="a5"/>
          <w:b w:val="0"/>
          <w:bCs w:val="0"/>
        </w:rPr>
      </w:pPr>
      <w:r>
        <w:rPr>
          <w:rStyle w:val="a5"/>
          <w:b w:val="0"/>
          <w:bCs w:val="0"/>
        </w:rPr>
        <w:t>The adsorbent material used for this work was oil palm</w:t>
      </w:r>
      <w:r>
        <w:t>(</w:t>
      </w:r>
      <w:proofErr w:type="spellStart"/>
      <w:r>
        <w:rPr>
          <w:i/>
          <w:iCs/>
        </w:rPr>
        <w:t>Elaeis</w:t>
      </w:r>
      <w:proofErr w:type="spellEnd"/>
      <w:r>
        <w:rPr>
          <w:i/>
          <w:iCs/>
        </w:rPr>
        <w:t xml:space="preserve"> </w:t>
      </w:r>
      <w:proofErr w:type="spellStart"/>
      <w:r>
        <w:rPr>
          <w:i/>
          <w:iCs/>
        </w:rPr>
        <w:t>guineensis</w:t>
      </w:r>
      <w:proofErr w:type="spellEnd"/>
      <w:r>
        <w:t>)</w:t>
      </w:r>
      <w:r>
        <w:rPr>
          <w:rStyle w:val="a5"/>
        </w:rPr>
        <w:t xml:space="preserve"> </w:t>
      </w:r>
      <w:r>
        <w:rPr>
          <w:rStyle w:val="a5"/>
          <w:b w:val="0"/>
          <w:bCs w:val="0"/>
        </w:rPr>
        <w:t xml:space="preserve">fruit peduncle which was collected from </w:t>
      </w:r>
      <w:proofErr w:type="spellStart"/>
      <w:r>
        <w:rPr>
          <w:rStyle w:val="a5"/>
          <w:b w:val="0"/>
          <w:bCs w:val="0"/>
        </w:rPr>
        <w:t>Amassoma</w:t>
      </w:r>
      <w:proofErr w:type="spellEnd"/>
      <w:r>
        <w:rPr>
          <w:rStyle w:val="a5"/>
          <w:b w:val="0"/>
          <w:bCs w:val="0"/>
        </w:rPr>
        <w:t xml:space="preserve"> forest. The raw sample  was extensively washed  to remove dirt and other particulate matter that might interact with adsorbed  metal ions and then cut into chips of  </w:t>
      </w:r>
      <w:proofErr w:type="spellStart"/>
      <w:r>
        <w:rPr>
          <w:rStyle w:val="a5"/>
          <w:b w:val="0"/>
          <w:bCs w:val="0"/>
        </w:rPr>
        <w:t>of</w:t>
      </w:r>
      <w:proofErr w:type="spellEnd"/>
      <w:r>
        <w:rPr>
          <w:rStyle w:val="a5"/>
          <w:b w:val="0"/>
          <w:bCs w:val="0"/>
        </w:rPr>
        <w:t xml:space="preserve"> about  4 cm2. These were sun-dried and ground to powder, and sieved  with a mesh to particle sizes of  75 ,150,300 and 600 </w:t>
      </w:r>
      <w:proofErr w:type="spellStart"/>
      <w:r>
        <w:rPr>
          <w:rStyle w:val="a5"/>
          <w:rFonts w:cs="Times New Roman"/>
          <w:b w:val="0"/>
          <w:bCs w:val="0"/>
        </w:rPr>
        <w:t>μm</w:t>
      </w:r>
      <w:proofErr w:type="spellEnd"/>
      <w:r>
        <w:rPr>
          <w:rStyle w:val="a5"/>
          <w:rFonts w:cs="Times New Roman"/>
          <w:b w:val="0"/>
          <w:bCs w:val="0"/>
        </w:rPr>
        <w:t xml:space="preserve"> The ground samples  were soaked in 0.01 M HCl for thirty-six (36) hours. The acid-soaked  samples were washed with distilled water until a constant pH (6.65)</w:t>
      </w:r>
      <w:r>
        <w:rPr>
          <w:rStyle w:val="a5"/>
          <w:b w:val="0"/>
          <w:bCs w:val="0"/>
        </w:rPr>
        <w:t xml:space="preserve"> was obtained. They were oven-dried at 60</w:t>
      </w:r>
      <w:r>
        <w:rPr>
          <w:rStyle w:val="a5"/>
          <w:rFonts w:cs="Times New Roman"/>
          <w:b w:val="0"/>
          <w:bCs w:val="0"/>
        </w:rPr>
        <w:t>°</w:t>
      </w:r>
      <w:r>
        <w:rPr>
          <w:rStyle w:val="a5"/>
          <w:b w:val="0"/>
          <w:bCs w:val="0"/>
        </w:rPr>
        <w:t>C for two(2) days and were stored in air-tight plastic containers and subsequently used for adsorption studies.</w:t>
      </w:r>
    </w:p>
    <w:p w14:paraId="21CE5D79" w14:textId="77777777" w:rsidR="00EE307E" w:rsidRDefault="002B7228">
      <w:pPr>
        <w:pStyle w:val="a4"/>
        <w:rPr>
          <w:rStyle w:val="a5"/>
        </w:rPr>
      </w:pPr>
      <w:r>
        <w:rPr>
          <w:rStyle w:val="a5"/>
        </w:rPr>
        <w:t xml:space="preserve">Adsorbates and Instruments </w:t>
      </w:r>
    </w:p>
    <w:p w14:paraId="04E4AA93" w14:textId="77777777" w:rsidR="00EE307E" w:rsidRDefault="002B7228">
      <w:pPr>
        <w:pStyle w:val="a4"/>
        <w:rPr>
          <w:rStyle w:val="a5"/>
          <w:b w:val="0"/>
          <w:bCs w:val="0"/>
        </w:rPr>
      </w:pPr>
      <w:r>
        <w:rPr>
          <w:rStyle w:val="a5"/>
          <w:b w:val="0"/>
          <w:bCs w:val="0"/>
        </w:rPr>
        <w:t xml:space="preserve">Analytical </w:t>
      </w:r>
      <w:proofErr w:type="gramStart"/>
      <w:r>
        <w:rPr>
          <w:rStyle w:val="a5"/>
          <w:b w:val="0"/>
          <w:bCs w:val="0"/>
        </w:rPr>
        <w:t>grade  chemicals</w:t>
      </w:r>
      <w:proofErr w:type="gramEnd"/>
      <w:r>
        <w:rPr>
          <w:rStyle w:val="a5"/>
          <w:b w:val="0"/>
          <w:bCs w:val="0"/>
        </w:rPr>
        <w:t xml:space="preserve"> were used throughout the study. Stock solutions of </w:t>
      </w:r>
      <w:proofErr w:type="gramStart"/>
      <w:r>
        <w:rPr>
          <w:rStyle w:val="a5"/>
          <w:b w:val="0"/>
          <w:bCs w:val="0"/>
        </w:rPr>
        <w:t>Pb(</w:t>
      </w:r>
      <w:proofErr w:type="gramEnd"/>
      <w:r>
        <w:rPr>
          <w:rStyle w:val="a5"/>
          <w:b w:val="0"/>
          <w:bCs w:val="0"/>
        </w:rPr>
        <w:t>II) and Fe(III) were  prepared from  lead nitrate, Pb(NO</w:t>
      </w:r>
      <w:r>
        <w:rPr>
          <w:rStyle w:val="a5"/>
          <w:b w:val="0"/>
          <w:bCs w:val="0"/>
          <w:vertAlign w:val="subscript"/>
        </w:rPr>
        <w:t>3</w:t>
      </w:r>
      <w:r>
        <w:rPr>
          <w:rStyle w:val="a5"/>
          <w:b w:val="0"/>
          <w:bCs w:val="0"/>
        </w:rPr>
        <w:t>)</w:t>
      </w:r>
      <w:r>
        <w:rPr>
          <w:rStyle w:val="a5"/>
          <w:b w:val="0"/>
          <w:bCs w:val="0"/>
          <w:vertAlign w:val="subscript"/>
        </w:rPr>
        <w:t>2</w:t>
      </w:r>
      <w:r>
        <w:rPr>
          <w:rStyle w:val="a5"/>
          <w:b w:val="0"/>
          <w:bCs w:val="0"/>
        </w:rPr>
        <w:t xml:space="preserve"> and iron (III) chloride, FeCl</w:t>
      </w:r>
      <w:r>
        <w:rPr>
          <w:rStyle w:val="a5"/>
          <w:b w:val="0"/>
          <w:bCs w:val="0"/>
          <w:vertAlign w:val="subscript"/>
        </w:rPr>
        <w:t xml:space="preserve">3 </w:t>
      </w:r>
      <w:commentRangeStart w:id="3"/>
      <w:r>
        <w:rPr>
          <w:rStyle w:val="a5"/>
          <w:b w:val="0"/>
          <w:bCs w:val="0"/>
        </w:rPr>
        <w:lastRenderedPageBreak/>
        <w:t>respectively</w:t>
      </w:r>
      <w:commentRangeEnd w:id="3"/>
      <w:r w:rsidR="00B12FD0">
        <w:rPr>
          <w:rStyle w:val="aa"/>
          <w:rFonts w:asciiTheme="minorHAnsi" w:hAnsiTheme="minorHAnsi"/>
        </w:rPr>
        <w:commentReference w:id="3"/>
      </w:r>
      <w:r>
        <w:rPr>
          <w:rStyle w:val="a5"/>
          <w:b w:val="0"/>
          <w:bCs w:val="0"/>
        </w:rPr>
        <w:t xml:space="preserve"> . Fe(III) nitrate was obtained from  Lab Chemicals Ltd, India; Lead (II) ions from </w:t>
      </w:r>
      <w:proofErr w:type="spellStart"/>
      <w:r>
        <w:rPr>
          <w:rStyle w:val="a5"/>
          <w:b w:val="0"/>
          <w:bCs w:val="0"/>
        </w:rPr>
        <w:t>analar</w:t>
      </w:r>
      <w:proofErr w:type="spellEnd"/>
      <w:r>
        <w:rPr>
          <w:rStyle w:val="a5"/>
          <w:b w:val="0"/>
          <w:bCs w:val="0"/>
        </w:rPr>
        <w:t xml:space="preserve"> grade lead (II) nitrate, was obtained BDH Poole, U.K. In each case, stock solution of 1000 mgdm</w:t>
      </w:r>
      <w:r>
        <w:rPr>
          <w:rStyle w:val="a5"/>
          <w:b w:val="0"/>
          <w:bCs w:val="0"/>
          <w:vertAlign w:val="superscript"/>
        </w:rPr>
        <w:t>-3</w:t>
      </w:r>
      <w:r>
        <w:rPr>
          <w:rStyle w:val="a5"/>
          <w:b w:val="0"/>
          <w:bCs w:val="0"/>
        </w:rPr>
        <w:t xml:space="preserve"> was  prepared and from these, fresh dilutions were made for the working solutions using distilled water.</w:t>
      </w:r>
    </w:p>
    <w:p w14:paraId="5370850B" w14:textId="77777777" w:rsidR="00EE307E" w:rsidRDefault="002B7228">
      <w:pPr>
        <w:pStyle w:val="a4"/>
        <w:rPr>
          <w:rStyle w:val="a5"/>
        </w:rPr>
      </w:pPr>
      <w:commentRangeStart w:id="4"/>
      <w:r>
        <w:rPr>
          <w:rStyle w:val="a5"/>
        </w:rPr>
        <w:t>EXPERIENTAL</w:t>
      </w:r>
      <w:commentRangeEnd w:id="4"/>
      <w:r w:rsidR="00676213">
        <w:rPr>
          <w:rStyle w:val="aa"/>
          <w:rFonts w:asciiTheme="minorHAnsi" w:hAnsiTheme="minorHAnsi"/>
        </w:rPr>
        <w:commentReference w:id="4"/>
      </w:r>
      <w:r>
        <w:rPr>
          <w:rStyle w:val="a5"/>
        </w:rPr>
        <w:t xml:space="preserve"> METHODS</w:t>
      </w:r>
    </w:p>
    <w:p w14:paraId="1EACE751" w14:textId="77777777" w:rsidR="00EE307E" w:rsidRDefault="002B7228">
      <w:pPr>
        <w:pStyle w:val="a4"/>
        <w:rPr>
          <w:rStyle w:val="a5"/>
        </w:rPr>
      </w:pPr>
      <w:commentRangeStart w:id="5"/>
      <w:commentRangeStart w:id="6"/>
      <w:r>
        <w:rPr>
          <w:rStyle w:val="a5"/>
        </w:rPr>
        <w:t>Determination</w:t>
      </w:r>
      <w:commentRangeEnd w:id="5"/>
      <w:r w:rsidR="00B12FD0">
        <w:rPr>
          <w:rStyle w:val="aa"/>
          <w:rFonts w:asciiTheme="minorHAnsi" w:hAnsiTheme="minorHAnsi"/>
        </w:rPr>
        <w:commentReference w:id="5"/>
      </w:r>
      <w:commentRangeEnd w:id="6"/>
      <w:r w:rsidR="00B12FD0">
        <w:rPr>
          <w:rStyle w:val="aa"/>
          <w:rFonts w:asciiTheme="minorHAnsi" w:hAnsiTheme="minorHAnsi"/>
        </w:rPr>
        <w:commentReference w:id="6"/>
      </w:r>
      <w:r>
        <w:rPr>
          <w:rStyle w:val="a5"/>
        </w:rPr>
        <w:t xml:space="preserve"> of the effect of Temperature on Adsorption</w:t>
      </w:r>
    </w:p>
    <w:p w14:paraId="6A32CC9D" w14:textId="77777777" w:rsidR="00EE307E" w:rsidRDefault="002B7228">
      <w:pPr>
        <w:pStyle w:val="a4"/>
        <w:rPr>
          <w:rStyle w:val="a5"/>
          <w:rFonts w:cs="Times New Roman"/>
          <w:b w:val="0"/>
          <w:bCs w:val="0"/>
        </w:rPr>
      </w:pPr>
      <w:r>
        <w:rPr>
          <w:rStyle w:val="a5"/>
          <w:b w:val="0"/>
          <w:bCs w:val="0"/>
        </w:rPr>
        <w:t>Batch adsorption experiments were conducted  for each metal by contacting 0.2 g  of  oil palm(</w:t>
      </w:r>
      <w:proofErr w:type="spellStart"/>
      <w:r>
        <w:rPr>
          <w:rStyle w:val="a5"/>
          <w:b w:val="0"/>
          <w:bCs w:val="0"/>
          <w:i/>
          <w:iCs/>
        </w:rPr>
        <w:t>Elaeis</w:t>
      </w:r>
      <w:proofErr w:type="spellEnd"/>
      <w:r>
        <w:rPr>
          <w:rStyle w:val="a5"/>
          <w:b w:val="0"/>
          <w:bCs w:val="0"/>
          <w:i/>
          <w:iCs/>
        </w:rPr>
        <w:t xml:space="preserve"> </w:t>
      </w:r>
      <w:proofErr w:type="spellStart"/>
      <w:r>
        <w:rPr>
          <w:rStyle w:val="a5"/>
          <w:b w:val="0"/>
          <w:bCs w:val="0"/>
          <w:i/>
          <w:iCs/>
        </w:rPr>
        <w:t>guineensis</w:t>
      </w:r>
      <w:proofErr w:type="spellEnd"/>
      <w:r>
        <w:rPr>
          <w:rStyle w:val="a5"/>
          <w:b w:val="0"/>
          <w:bCs w:val="0"/>
        </w:rPr>
        <w:t>) fruit peduncle powder with 10 mL solutions  containing  metal ions of desired concentration (100 ppm) at the following  temperatures: 30</w:t>
      </w:r>
      <w:r>
        <w:rPr>
          <w:rStyle w:val="a5"/>
          <w:rFonts w:cs="Times New Roman"/>
          <w:b w:val="0"/>
          <w:bCs w:val="0"/>
        </w:rPr>
        <w:t>°C</w:t>
      </w:r>
      <w:r>
        <w:rPr>
          <w:rStyle w:val="a5"/>
          <w:b w:val="0"/>
          <w:bCs w:val="0"/>
        </w:rPr>
        <w:t>,40</w:t>
      </w:r>
      <w:r>
        <w:rPr>
          <w:rStyle w:val="a5"/>
          <w:rFonts w:cs="Times New Roman"/>
          <w:b w:val="0"/>
          <w:bCs w:val="0"/>
        </w:rPr>
        <w:t>°C</w:t>
      </w:r>
      <w:r>
        <w:rPr>
          <w:rStyle w:val="a5"/>
          <w:b w:val="0"/>
          <w:bCs w:val="0"/>
        </w:rPr>
        <w:t>,50</w:t>
      </w:r>
      <w:r>
        <w:rPr>
          <w:rStyle w:val="a5"/>
          <w:rFonts w:cs="Times New Roman"/>
          <w:b w:val="0"/>
          <w:bCs w:val="0"/>
        </w:rPr>
        <w:t>°C</w:t>
      </w:r>
      <w:r>
        <w:rPr>
          <w:rStyle w:val="a5"/>
          <w:b w:val="0"/>
          <w:bCs w:val="0"/>
        </w:rPr>
        <w:t>, and 60</w:t>
      </w:r>
      <w:r>
        <w:rPr>
          <w:rStyle w:val="a5"/>
          <w:rFonts w:cs="Times New Roman"/>
          <w:b w:val="0"/>
          <w:bCs w:val="0"/>
        </w:rPr>
        <w:t>°C. The mixtures were then shaken in a water bath  on a shaker (</w:t>
      </w:r>
      <w:proofErr w:type="spellStart"/>
      <w:r>
        <w:rPr>
          <w:rStyle w:val="a5"/>
          <w:rFonts w:cs="Times New Roman"/>
          <w:b w:val="0"/>
          <w:bCs w:val="0"/>
        </w:rPr>
        <w:t>Max</w:t>
      </w:r>
      <w:r>
        <w:rPr>
          <w:rStyle w:val="a5"/>
          <w:rFonts w:cs="Times New Roman"/>
          <w:b w:val="0"/>
          <w:bCs w:val="0"/>
          <w:vertAlign w:val="superscript"/>
        </w:rPr>
        <w:t>Q</w:t>
      </w:r>
      <w:proofErr w:type="spellEnd"/>
      <w:r>
        <w:rPr>
          <w:rStyle w:val="a5"/>
          <w:rFonts w:cs="Times New Roman"/>
          <w:b w:val="0"/>
          <w:bCs w:val="0"/>
        </w:rPr>
        <w:t xml:space="preserve"> 2000)at 120 rpm for  60 minutes. </w:t>
      </w:r>
      <w:proofErr w:type="gramStart"/>
      <w:r>
        <w:rPr>
          <w:rStyle w:val="a5"/>
          <w:rFonts w:cs="Times New Roman"/>
          <w:b w:val="0"/>
          <w:bCs w:val="0"/>
        </w:rPr>
        <w:t>The  mixtures</w:t>
      </w:r>
      <w:proofErr w:type="gramEnd"/>
      <w:r>
        <w:rPr>
          <w:rStyle w:val="a5"/>
          <w:rFonts w:cs="Times New Roman"/>
          <w:b w:val="0"/>
          <w:bCs w:val="0"/>
        </w:rPr>
        <w:t xml:space="preserve"> were passed through filter papers and the filtrates were analyzed for residual metal ion concentration using  </w:t>
      </w:r>
      <w:commentRangeStart w:id="7"/>
      <w:r>
        <w:rPr>
          <w:rStyle w:val="a5"/>
          <w:rFonts w:cs="Times New Roman"/>
          <w:b w:val="0"/>
          <w:bCs w:val="0"/>
        </w:rPr>
        <w:t>Atomic</w:t>
      </w:r>
      <w:commentRangeEnd w:id="7"/>
      <w:r w:rsidR="00B12FD0">
        <w:rPr>
          <w:rStyle w:val="aa"/>
          <w:rFonts w:asciiTheme="minorHAnsi" w:hAnsiTheme="minorHAnsi"/>
        </w:rPr>
        <w:commentReference w:id="7"/>
      </w:r>
      <w:r>
        <w:rPr>
          <w:rStyle w:val="a5"/>
          <w:rFonts w:cs="Times New Roman"/>
          <w:b w:val="0"/>
          <w:bCs w:val="0"/>
        </w:rPr>
        <w:t xml:space="preserve">  Absorption Spectrophotometer(AAS).</w:t>
      </w:r>
    </w:p>
    <w:p w14:paraId="39E09A19" w14:textId="77777777" w:rsidR="00EE307E" w:rsidRDefault="002B7228">
      <w:pPr>
        <w:pStyle w:val="a4"/>
        <w:rPr>
          <w:rStyle w:val="a5"/>
        </w:rPr>
      </w:pPr>
      <w:commentRangeStart w:id="8"/>
      <w:r>
        <w:rPr>
          <w:rStyle w:val="a5"/>
        </w:rPr>
        <w:t>Determination</w:t>
      </w:r>
      <w:commentRangeEnd w:id="8"/>
      <w:r w:rsidR="00B12FD0">
        <w:rPr>
          <w:rStyle w:val="aa"/>
          <w:rFonts w:asciiTheme="minorHAnsi" w:hAnsiTheme="minorHAnsi"/>
        </w:rPr>
        <w:commentReference w:id="8"/>
      </w:r>
      <w:r>
        <w:rPr>
          <w:rStyle w:val="a5"/>
        </w:rPr>
        <w:t xml:space="preserve"> of the effect of Dosage on Adsorption</w:t>
      </w:r>
    </w:p>
    <w:p w14:paraId="78847C9B" w14:textId="77777777" w:rsidR="00EE307E" w:rsidRDefault="002B7228">
      <w:pPr>
        <w:pStyle w:val="a4"/>
        <w:rPr>
          <w:rStyle w:val="a5"/>
          <w:b w:val="0"/>
          <w:bCs w:val="0"/>
        </w:rPr>
      </w:pPr>
      <w:r>
        <w:rPr>
          <w:rStyle w:val="a5"/>
          <w:b w:val="0"/>
          <w:bCs w:val="0"/>
        </w:rPr>
        <w:t xml:space="preserve">Different dosages of adsorbent consisting of 0.1, 0.2, 0.3, 0.4,and 0.5 g were weighed. The various weights of the adsorbent were singly </w:t>
      </w:r>
      <w:proofErr w:type="gramStart"/>
      <w:r>
        <w:rPr>
          <w:rStyle w:val="a5"/>
          <w:b w:val="0"/>
          <w:bCs w:val="0"/>
        </w:rPr>
        <w:t>shaken  with</w:t>
      </w:r>
      <w:proofErr w:type="gramEnd"/>
      <w:r>
        <w:rPr>
          <w:rStyle w:val="a5"/>
          <w:b w:val="0"/>
          <w:bCs w:val="0"/>
        </w:rPr>
        <w:t xml:space="preserve"> 10 mL of  10 ppm of  the working solutions of  FeCl</w:t>
      </w:r>
      <w:commentRangeStart w:id="9"/>
      <w:r>
        <w:rPr>
          <w:rStyle w:val="a5"/>
          <w:b w:val="0"/>
          <w:bCs w:val="0"/>
        </w:rPr>
        <w:t>3</w:t>
      </w:r>
      <w:commentRangeEnd w:id="9"/>
      <w:r w:rsidR="00B12FD0">
        <w:rPr>
          <w:rStyle w:val="aa"/>
          <w:rFonts w:asciiTheme="minorHAnsi" w:hAnsiTheme="minorHAnsi"/>
        </w:rPr>
        <w:commentReference w:id="9"/>
      </w:r>
      <w:r>
        <w:rPr>
          <w:rStyle w:val="a5"/>
          <w:b w:val="0"/>
          <w:bCs w:val="0"/>
        </w:rPr>
        <w:t xml:space="preserve"> and  Pb(NO3)</w:t>
      </w:r>
      <w:commentRangeStart w:id="10"/>
      <w:r>
        <w:rPr>
          <w:rStyle w:val="a5"/>
          <w:b w:val="0"/>
          <w:bCs w:val="0"/>
        </w:rPr>
        <w:t>2</w:t>
      </w:r>
      <w:commentRangeEnd w:id="10"/>
      <w:r w:rsidR="00B12FD0">
        <w:rPr>
          <w:rStyle w:val="aa"/>
          <w:rFonts w:asciiTheme="minorHAnsi" w:hAnsiTheme="minorHAnsi"/>
        </w:rPr>
        <w:commentReference w:id="10"/>
      </w:r>
      <w:r>
        <w:rPr>
          <w:rStyle w:val="a5"/>
          <w:b w:val="0"/>
          <w:bCs w:val="0"/>
        </w:rPr>
        <w:t xml:space="preserve"> for 60 minutes at 120 rpm on a speed </w:t>
      </w:r>
      <w:proofErr w:type="spellStart"/>
      <w:r>
        <w:rPr>
          <w:rStyle w:val="a5"/>
          <w:b w:val="0"/>
          <w:bCs w:val="0"/>
        </w:rPr>
        <w:t>shaker.The</w:t>
      </w:r>
      <w:proofErr w:type="spellEnd"/>
      <w:r>
        <w:rPr>
          <w:rStyle w:val="a5"/>
          <w:b w:val="0"/>
          <w:bCs w:val="0"/>
        </w:rPr>
        <w:t xml:space="preserve"> adsorption capacity and percentage adsorption were determined using equations 1 and 2.</w:t>
      </w:r>
    </w:p>
    <w:p w14:paraId="0DAD4A1C" w14:textId="77777777" w:rsidR="00EE307E" w:rsidRDefault="002B7228">
      <w:pPr>
        <w:pStyle w:val="a4"/>
        <w:rPr>
          <w:rFonts w:cs="Times New Roman"/>
          <w:b/>
          <w:bCs/>
        </w:rPr>
      </w:pPr>
      <w:r>
        <w:rPr>
          <w:rFonts w:cs="Times New Roman"/>
          <w:b/>
          <w:bCs/>
        </w:rPr>
        <w:t>DATA  ANALYSIS</w:t>
      </w:r>
    </w:p>
    <w:p w14:paraId="4C00DB21" w14:textId="77777777" w:rsidR="00EE307E" w:rsidRDefault="002B7228">
      <w:pPr>
        <w:pStyle w:val="a4"/>
        <w:rPr>
          <w:rFonts w:cs="Times New Roman"/>
        </w:rPr>
      </w:pPr>
      <w:r>
        <w:rPr>
          <w:rFonts w:cs="Times New Roman"/>
        </w:rPr>
        <w:t>The metal uptake for the adsorption was determined using the equation 1</w:t>
      </w:r>
    </w:p>
    <w:p w14:paraId="57E35B5A" w14:textId="77777777" w:rsidR="00EE307E" w:rsidRDefault="002B7228">
      <w:pPr>
        <w:pStyle w:val="a4"/>
        <w:rPr>
          <w:rFonts w:hAnsi="Cambria Math" w:cs="Times New Roman"/>
        </w:rPr>
      </w:pPr>
      <w:proofErr w:type="spellStart"/>
      <w:r>
        <w:rPr>
          <w:rFonts w:cs="Times New Roman"/>
        </w:rPr>
        <w:t>qe</w:t>
      </w:r>
      <w:proofErr w:type="spellEnd"/>
      <w:r>
        <w:rPr>
          <w:rFonts w:cs="Times New Roman"/>
        </w:rPr>
        <w:t xml:space="preserve"> = </w:t>
      </w:r>
      <m:oMath>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m</m:t>
            </m:r>
          </m:den>
        </m:f>
        <m:r>
          <w:rPr>
            <w:rFonts w:ascii="Cambria Math" w:hAnsi="Cambria Math" w:cs="Times New Roman"/>
          </w:rPr>
          <m:t>(Co-Ce)</m:t>
        </m:r>
      </m:oMath>
      <w:r>
        <w:rPr>
          <w:rFonts w:hAnsi="Cambria Math" w:cs="Times New Roman"/>
        </w:rPr>
        <w:t xml:space="preserve">                                                         (1)</w:t>
      </w:r>
    </w:p>
    <w:p w14:paraId="483467C8" w14:textId="77777777" w:rsidR="00EE307E" w:rsidRDefault="002B7228">
      <w:pPr>
        <w:pStyle w:val="a4"/>
        <w:rPr>
          <w:rFonts w:cs="Times New Roman"/>
          <w:szCs w:val="21"/>
        </w:rPr>
      </w:pPr>
      <w:r>
        <w:rPr>
          <w:rFonts w:cs="Times New Roman"/>
          <w:szCs w:val="21"/>
        </w:rPr>
        <w:t xml:space="preserve">Where, </w:t>
      </w:r>
      <w:proofErr w:type="spellStart"/>
      <w:r>
        <w:rPr>
          <w:rFonts w:cs="Times New Roman"/>
          <w:szCs w:val="21"/>
        </w:rPr>
        <w:t>q</w:t>
      </w:r>
      <w:r>
        <w:rPr>
          <w:rFonts w:cs="Times New Roman"/>
          <w:szCs w:val="21"/>
          <w:vertAlign w:val="subscript"/>
        </w:rPr>
        <w:t>e</w:t>
      </w:r>
      <w:proofErr w:type="spellEnd"/>
      <w:r>
        <w:rPr>
          <w:rFonts w:cs="Times New Roman"/>
          <w:szCs w:val="21"/>
        </w:rPr>
        <w:t xml:space="preserve"> = quantity adsorbed at equilibrium(mg/g), v = volume of adsorbate </w:t>
      </w:r>
      <w:proofErr w:type="gramStart"/>
      <w:r>
        <w:rPr>
          <w:rFonts w:cs="Times New Roman"/>
          <w:szCs w:val="21"/>
        </w:rPr>
        <w:t>used( L</w:t>
      </w:r>
      <w:proofErr w:type="gramEnd"/>
      <w:r>
        <w:rPr>
          <w:rFonts w:cs="Times New Roman"/>
          <w:szCs w:val="21"/>
        </w:rPr>
        <w:t>), m = mass of adsorbent used(mg), C</w:t>
      </w:r>
      <w:r>
        <w:rPr>
          <w:rFonts w:cs="Times New Roman"/>
          <w:szCs w:val="21"/>
          <w:vertAlign w:val="subscript"/>
        </w:rPr>
        <w:t>o</w:t>
      </w:r>
      <w:r>
        <w:rPr>
          <w:rFonts w:cs="Times New Roman"/>
          <w:szCs w:val="21"/>
        </w:rPr>
        <w:t xml:space="preserve"> = Initial dye concentration(mg/L), C</w:t>
      </w:r>
      <w:r>
        <w:rPr>
          <w:rFonts w:cs="Times New Roman"/>
          <w:szCs w:val="21"/>
          <w:vertAlign w:val="subscript"/>
        </w:rPr>
        <w:t>e</w:t>
      </w:r>
      <w:r>
        <w:rPr>
          <w:rFonts w:cs="Times New Roman"/>
          <w:szCs w:val="21"/>
        </w:rPr>
        <w:t xml:space="preserve"> = </w:t>
      </w:r>
      <w:commentRangeStart w:id="11"/>
      <w:r>
        <w:rPr>
          <w:rFonts w:cs="Times New Roman"/>
          <w:szCs w:val="21"/>
        </w:rPr>
        <w:t xml:space="preserve">Dye </w:t>
      </w:r>
      <w:commentRangeEnd w:id="11"/>
      <w:r w:rsidR="00B12FD0">
        <w:rPr>
          <w:rStyle w:val="aa"/>
          <w:rFonts w:asciiTheme="minorHAnsi" w:hAnsiTheme="minorHAnsi"/>
        </w:rPr>
        <w:commentReference w:id="11"/>
      </w:r>
      <w:r>
        <w:rPr>
          <w:rFonts w:cs="Times New Roman"/>
          <w:szCs w:val="21"/>
        </w:rPr>
        <w:t xml:space="preserve">concentration at </w:t>
      </w:r>
      <w:proofErr w:type="spellStart"/>
      <w:r>
        <w:rPr>
          <w:rFonts w:cs="Times New Roman"/>
          <w:szCs w:val="21"/>
        </w:rPr>
        <w:t>equilbrium</w:t>
      </w:r>
      <w:proofErr w:type="spellEnd"/>
    </w:p>
    <w:p w14:paraId="1D7E4690" w14:textId="77777777" w:rsidR="00EE307E" w:rsidRDefault="002B7228">
      <w:pPr>
        <w:tabs>
          <w:tab w:val="left" w:pos="880"/>
        </w:tabs>
        <w:spacing w:line="480" w:lineRule="auto"/>
        <w:jc w:val="both"/>
        <w:rPr>
          <w:rFonts w:ascii="Times New Roman" w:hAnsi="Times New Roman" w:cs="Times New Roman"/>
          <w:sz w:val="24"/>
          <w:szCs w:val="24"/>
        </w:rPr>
      </w:pPr>
      <w:r>
        <w:rPr>
          <w:rFonts w:ascii="Times New Roman" w:hAnsi="Times New Roman" w:cs="Times New Roman"/>
          <w:sz w:val="24"/>
          <w:szCs w:val="24"/>
        </w:rPr>
        <w:t>The percentage adsorbed at equilibrium was calculated from the equation 2</w:t>
      </w:r>
    </w:p>
    <w:p w14:paraId="1065D32A" w14:textId="77777777" w:rsidR="00EE307E" w:rsidRDefault="002B7228">
      <w:pPr>
        <w:pStyle w:val="a4"/>
        <w:ind w:firstLineChars="200" w:firstLine="480"/>
        <w:rPr>
          <w:rFonts w:hAnsi="Cambria Math" w:cs="Times New Roman"/>
        </w:rPr>
      </w:pPr>
      <w:r>
        <w:rPr>
          <w:rFonts w:cs="Times New Roman"/>
        </w:rPr>
        <w:t>R (%</w:t>
      </w:r>
      <w:commentRangeStart w:id="12"/>
      <w:r>
        <w:rPr>
          <w:rFonts w:cs="Times New Roman"/>
        </w:rPr>
        <w:t>A</w:t>
      </w:r>
      <w:commentRangeEnd w:id="12"/>
      <w:r w:rsidR="000D7C65">
        <w:rPr>
          <w:rStyle w:val="aa"/>
          <w:rFonts w:asciiTheme="minorHAnsi" w:hAnsiTheme="minorHAnsi"/>
        </w:rPr>
        <w:commentReference w:id="12"/>
      </w:r>
      <w:r>
        <w:rPr>
          <w:rFonts w:cs="Times New Roman"/>
        </w:rPr>
        <w:t xml:space="preserve">) = </w:t>
      </w:r>
      <m:oMath>
        <m:f>
          <m:fPr>
            <m:ctrlPr>
              <w:rPr>
                <w:rFonts w:ascii="Cambria Math" w:hAnsi="Cambria Math" w:cs="Times New Roman"/>
              </w:rPr>
            </m:ctrlPr>
          </m:fPr>
          <m:num>
            <m:r>
              <m:rPr>
                <m:sty m:val="p"/>
              </m:rPr>
              <w:rPr>
                <w:rFonts w:ascii="Cambria Math" w:hAnsi="Cambria Math" w:cs="Times New Roman"/>
              </w:rPr>
              <m:t>Co - Ce</m:t>
            </m:r>
          </m:num>
          <m:den>
            <m:r>
              <m:rPr>
                <m:sty m:val="p"/>
              </m:rPr>
              <w:rPr>
                <w:rFonts w:ascii="Cambria Math" w:hAnsi="Cambria Math" w:cs="Times New Roman"/>
              </w:rPr>
              <m:t>Co</m:t>
            </m:r>
          </m:den>
        </m:f>
        <m:r>
          <w:rPr>
            <w:rFonts w:ascii="Cambria Math" w:hAnsi="Cambria Math" w:cs="Times New Roman"/>
          </w:rPr>
          <m:t xml:space="preserve"> ×100</m:t>
        </m:r>
      </m:oMath>
      <w:r>
        <w:rPr>
          <w:rFonts w:hAnsi="Cambria Math" w:cs="Times New Roman"/>
        </w:rPr>
        <w:t xml:space="preserve">                                      </w:t>
      </w:r>
      <w:proofErr w:type="gramStart"/>
      <w:r>
        <w:rPr>
          <w:rFonts w:hAnsi="Cambria Math" w:cs="Times New Roman"/>
        </w:rPr>
        <w:t xml:space="preserve">   (</w:t>
      </w:r>
      <w:proofErr w:type="gramEnd"/>
      <w:r>
        <w:rPr>
          <w:rFonts w:hAnsi="Cambria Math" w:cs="Times New Roman"/>
        </w:rPr>
        <w:t>2)</w:t>
      </w:r>
    </w:p>
    <w:p w14:paraId="2D62A55C" w14:textId="77777777" w:rsidR="00EE307E" w:rsidRDefault="002B7228">
      <w:pPr>
        <w:pStyle w:val="a4"/>
        <w:rPr>
          <w:rFonts w:hAnsi="Cambria Math" w:cs="Times New Roman"/>
          <w:b/>
          <w:bCs/>
        </w:rPr>
      </w:pPr>
      <w:r>
        <w:rPr>
          <w:rFonts w:hAnsi="Cambria Math" w:cs="Times New Roman"/>
          <w:b/>
          <w:bCs/>
        </w:rPr>
        <w:t>Thermodynamic Analysis</w:t>
      </w:r>
    </w:p>
    <w:p w14:paraId="3C6E8F9E" w14:textId="77777777" w:rsidR="00EE307E" w:rsidRDefault="002B7228">
      <w:pPr>
        <w:pStyle w:val="a4"/>
        <w:spacing w:after="0" w:afterAutospacing="0"/>
        <w:rPr>
          <w:rFonts w:hAnsi="Cambria Math" w:cs="Times New Roman"/>
        </w:rPr>
      </w:pPr>
      <w:r>
        <w:rPr>
          <w:rFonts w:hAnsi="Cambria Math" w:cs="Times New Roman"/>
        </w:rPr>
        <w:t>Thermodynamic  parameters of metal ion adsorption were calculated with the aid of equation</w:t>
      </w:r>
    </w:p>
    <w:p w14:paraId="78886807" w14:textId="77777777" w:rsidR="00EE307E" w:rsidRDefault="002B7228">
      <w:pPr>
        <w:pStyle w:val="a4"/>
        <w:rPr>
          <w:rFonts w:hAnsi="Cambria Math" w:cs="Times New Roman"/>
        </w:rPr>
      </w:pPr>
      <w:r>
        <w:rPr>
          <w:rFonts w:hAnsi="Cambria Math" w:cs="Times New Roman"/>
        </w:rPr>
        <w:t>Linear sorption  distribution coefficient K</w:t>
      </w:r>
      <w:r>
        <w:rPr>
          <w:rFonts w:hAnsi="Cambria Math" w:cs="Times New Roman"/>
          <w:vertAlign w:val="subscript"/>
        </w:rPr>
        <w:t xml:space="preserve">D </w:t>
      </w:r>
      <w:r>
        <w:rPr>
          <w:rFonts w:hAnsi="Cambria Math" w:cs="Times New Roman"/>
        </w:rPr>
        <w:t>was calculate as in equation 3</w:t>
      </w:r>
    </w:p>
    <w:p w14:paraId="240BC743" w14:textId="77777777" w:rsidR="00EE307E" w:rsidRDefault="002B7228">
      <w:pPr>
        <w:pStyle w:val="a4"/>
        <w:spacing w:after="0" w:afterAutospacing="0"/>
        <w:ind w:firstLineChars="450" w:firstLine="1080"/>
        <w:rPr>
          <w:rFonts w:hAnsi="Cambria Math" w:cs="Times New Roman"/>
        </w:rPr>
      </w:pPr>
      <w:r>
        <w:rPr>
          <w:rFonts w:hAnsi="Cambria Math" w:cs="Times New Roman"/>
          <w:position w:val="-30"/>
        </w:rPr>
        <w:object w:dxaOrig="940" w:dyaOrig="680" w14:anchorId="19A95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3.75pt" o:ole="">
            <v:imagedata r:id="rId10" o:title=""/>
          </v:shape>
          <o:OLEObject Type="Embed" ProgID="Equation.KSEE3" ShapeID="_x0000_i1025" DrawAspect="Content" ObjectID="_1805992923" r:id="rId11"/>
        </w:object>
      </w:r>
      <w:r>
        <w:rPr>
          <w:rFonts w:hAnsi="Cambria Math" w:cs="Times New Roman"/>
        </w:rPr>
        <w:t xml:space="preserve">                                                          (3)</w:t>
      </w:r>
    </w:p>
    <w:p w14:paraId="72E80C69" w14:textId="77777777" w:rsidR="00EE307E" w:rsidRDefault="002B7228">
      <w:pPr>
        <w:pStyle w:val="a4"/>
        <w:spacing w:after="0" w:afterAutospacing="0"/>
        <w:rPr>
          <w:rFonts w:hAnsi="Cambria Math" w:cs="Times New Roman"/>
        </w:rPr>
      </w:pPr>
      <w:proofErr w:type="gramStart"/>
      <w:r>
        <w:rPr>
          <w:rFonts w:hAnsi="Cambria Math" w:cs="Times New Roman"/>
        </w:rPr>
        <w:t>Where  C</w:t>
      </w:r>
      <w:r>
        <w:rPr>
          <w:rFonts w:hAnsi="Cambria Math" w:cs="Times New Roman"/>
          <w:vertAlign w:val="subscript"/>
        </w:rPr>
        <w:t>a</w:t>
      </w:r>
      <w:proofErr w:type="gramEnd"/>
      <w:r>
        <w:rPr>
          <w:rFonts w:hAnsi="Cambria Math" w:cs="Times New Roman"/>
          <w:vertAlign w:val="subscript"/>
        </w:rPr>
        <w:t xml:space="preserve"> </w:t>
      </w:r>
      <w:r>
        <w:rPr>
          <w:rFonts w:hAnsi="Cambria Math" w:cs="Times New Roman"/>
        </w:rPr>
        <w:t xml:space="preserve">is the equilibrium adsorbate concentration on the </w:t>
      </w:r>
      <w:proofErr w:type="spellStart"/>
      <w:r>
        <w:rPr>
          <w:rFonts w:hAnsi="Cambria Math" w:cs="Times New Roman"/>
        </w:rPr>
        <w:t>asorbent</w:t>
      </w:r>
      <w:proofErr w:type="spellEnd"/>
      <w:r>
        <w:rPr>
          <w:rFonts w:hAnsi="Cambria Math" w:cs="Times New Roman"/>
        </w:rPr>
        <w:t>(mg/L) and C</w:t>
      </w:r>
      <w:r>
        <w:rPr>
          <w:rFonts w:hAnsi="Cambria Math" w:cs="Times New Roman"/>
          <w:vertAlign w:val="subscript"/>
        </w:rPr>
        <w:t>e</w:t>
      </w:r>
      <w:r>
        <w:rPr>
          <w:rFonts w:hAnsi="Cambria Math" w:cs="Times New Roman"/>
        </w:rPr>
        <w:t xml:space="preserve"> is the equilibrium adsorbate concentration in solution (mg/L).</w:t>
      </w:r>
    </w:p>
    <w:p w14:paraId="4B310564" w14:textId="77777777" w:rsidR="00EE307E" w:rsidRDefault="002B7228">
      <w:pPr>
        <w:pStyle w:val="a4"/>
        <w:rPr>
          <w:rFonts w:hAnsi="Cambria Math" w:cs="Times New Roman"/>
        </w:rPr>
      </w:pPr>
      <w:r>
        <w:rPr>
          <w:rFonts w:hAnsi="Cambria Math" w:cs="Times New Roman"/>
        </w:rPr>
        <w:t>The standard free energy change of the adsorption was obtained from equation 4</w:t>
      </w:r>
    </w:p>
    <w:p w14:paraId="32A8A0E0" w14:textId="77777777" w:rsidR="00EE307E" w:rsidRDefault="002B7228">
      <w:pPr>
        <w:pStyle w:val="a4"/>
        <w:ind w:firstLineChars="150" w:firstLine="360"/>
        <w:rPr>
          <w:rFonts w:hAnsi="Cambria Math" w:cs="Times New Roman"/>
        </w:rPr>
      </w:pPr>
      <w:r>
        <w:rPr>
          <w:rFonts w:hAnsi="Cambria Math" w:cs="Times New Roman"/>
          <w:position w:val="-10"/>
        </w:rPr>
        <w:object w:dxaOrig="1740" w:dyaOrig="360" w14:anchorId="100B6B45">
          <v:shape id="_x0000_i1026" type="#_x0000_t75" style="width:87pt;height:18pt" o:ole="">
            <v:imagedata r:id="rId12" o:title=""/>
          </v:shape>
          <o:OLEObject Type="Embed" ProgID="Equation.KSEE3" ShapeID="_x0000_i1026" DrawAspect="Content" ObjectID="_1805992924" r:id="rId13"/>
        </w:object>
      </w:r>
      <w:r>
        <w:rPr>
          <w:rFonts w:hAnsi="Cambria Math" w:cs="Times New Roman"/>
        </w:rPr>
        <w:t xml:space="preserve">                                                  (4)</w:t>
      </w:r>
    </w:p>
    <w:p w14:paraId="0A307929" w14:textId="77777777" w:rsidR="00EE307E" w:rsidRDefault="002B7228">
      <w:pPr>
        <w:pStyle w:val="a4"/>
        <w:jc w:val="both"/>
        <w:rPr>
          <w:rFonts w:cs="Times New Roman"/>
        </w:rPr>
      </w:pPr>
      <w:r>
        <w:rPr>
          <w:rFonts w:hAnsi="Cambria Math" w:cs="Times New Roman"/>
        </w:rPr>
        <w:t xml:space="preserve">Standard enthalpy change , </w:t>
      </w:r>
      <w:proofErr w:type="spellStart"/>
      <w:r>
        <w:rPr>
          <w:rFonts w:cs="Times New Roman"/>
        </w:rPr>
        <w:t>ΔH</w:t>
      </w:r>
      <w:r>
        <w:rPr>
          <w:rFonts w:cs="Times New Roman"/>
          <w:vertAlign w:val="superscript"/>
        </w:rPr>
        <w:t>o</w:t>
      </w:r>
      <w:proofErr w:type="spellEnd"/>
      <w:r>
        <w:rPr>
          <w:rFonts w:cs="Times New Roman"/>
          <w:vertAlign w:val="superscript"/>
        </w:rPr>
        <w:t xml:space="preserve"> </w:t>
      </w:r>
      <w:r>
        <w:rPr>
          <w:rFonts w:cs="Times New Roman"/>
        </w:rPr>
        <w:t xml:space="preserve">and standard entropy change </w:t>
      </w:r>
      <w:proofErr w:type="spellStart"/>
      <w:r>
        <w:rPr>
          <w:rFonts w:cs="Times New Roman"/>
        </w:rPr>
        <w:t>ΔS</w:t>
      </w:r>
      <w:r>
        <w:rPr>
          <w:rFonts w:cs="Times New Roman"/>
          <w:vertAlign w:val="superscript"/>
        </w:rPr>
        <w:t>o</w:t>
      </w:r>
      <w:proofErr w:type="spellEnd"/>
      <w:r>
        <w:rPr>
          <w:rFonts w:cs="Times New Roman"/>
          <w:vertAlign w:val="superscript"/>
        </w:rPr>
        <w:t xml:space="preserve"> </w:t>
      </w:r>
      <w:r>
        <w:rPr>
          <w:rFonts w:cs="Times New Roman"/>
        </w:rPr>
        <w:t>values  were calculated from the slope and intercept of the linear variation of ln K</w:t>
      </w:r>
      <w:r>
        <w:rPr>
          <w:rFonts w:cs="Times New Roman"/>
          <w:vertAlign w:val="subscript"/>
        </w:rPr>
        <w:t>D</w:t>
      </w:r>
      <w:r>
        <w:rPr>
          <w:rFonts w:cs="Times New Roman"/>
        </w:rPr>
        <w:t xml:space="preserve"> versus 1/T plot of the </w:t>
      </w:r>
      <w:proofErr w:type="spellStart"/>
      <w:r>
        <w:rPr>
          <w:rFonts w:cs="Times New Roman"/>
        </w:rPr>
        <w:t>van’t</w:t>
      </w:r>
      <w:proofErr w:type="spellEnd"/>
      <w:r>
        <w:rPr>
          <w:rFonts w:cs="Times New Roman"/>
        </w:rPr>
        <w:t xml:space="preserve"> Hoff  equation 5</w:t>
      </w:r>
    </w:p>
    <w:p w14:paraId="00A4CDD3" w14:textId="77777777" w:rsidR="00EE307E" w:rsidRDefault="002B7228">
      <w:pPr>
        <w:pStyle w:val="a4"/>
        <w:ind w:firstLineChars="250" w:firstLine="600"/>
        <w:jc w:val="both"/>
        <w:rPr>
          <w:rFonts w:cs="Times New Roman"/>
        </w:rPr>
      </w:pPr>
      <w:r>
        <w:rPr>
          <w:rFonts w:cs="Times New Roman"/>
          <w:position w:val="-24"/>
        </w:rPr>
        <w:object w:dxaOrig="2020" w:dyaOrig="660" w14:anchorId="211EEE0A">
          <v:shape id="_x0000_i1027" type="#_x0000_t75" style="width:100.5pt;height:33pt" o:ole="">
            <v:imagedata r:id="rId14" o:title=""/>
          </v:shape>
          <o:OLEObject Type="Embed" ProgID="Equation.KSEE3" ShapeID="_x0000_i1027" DrawAspect="Content" ObjectID="_1805992925" r:id="rId15"/>
        </w:object>
      </w:r>
      <w:r>
        <w:rPr>
          <w:rFonts w:cs="Times New Roman"/>
        </w:rPr>
        <w:t xml:space="preserve">                                            (5)</w:t>
      </w:r>
    </w:p>
    <w:p w14:paraId="4D78C668" w14:textId="77777777" w:rsidR="00EE307E" w:rsidRDefault="002B7228">
      <w:pPr>
        <w:pStyle w:val="a4"/>
        <w:jc w:val="both"/>
        <w:rPr>
          <w:rFonts w:cs="Times New Roman"/>
        </w:rPr>
      </w:pPr>
      <w:r>
        <w:rPr>
          <w:rFonts w:cs="Times New Roman"/>
        </w:rPr>
        <w:t>Activation energy (</w:t>
      </w:r>
      <w:proofErr w:type="spellStart"/>
      <w:r>
        <w:rPr>
          <w:rFonts w:cs="Times New Roman"/>
        </w:rPr>
        <w:t>E</w:t>
      </w:r>
      <w:r>
        <w:rPr>
          <w:rFonts w:cs="Times New Roman"/>
          <w:vertAlign w:val="subscript"/>
        </w:rPr>
        <w:t>a</w:t>
      </w:r>
      <w:proofErr w:type="spellEnd"/>
      <w:r>
        <w:rPr>
          <w:rFonts w:cs="Times New Roman"/>
        </w:rPr>
        <w:t>) was determined from the slope of potential sticking probability (S*) equation 6 and 6a by the plot of ln(1-θ)against 1/T</w:t>
      </w:r>
    </w:p>
    <w:commentRangeStart w:id="13"/>
    <w:p w14:paraId="2D606ACF" w14:textId="77777777" w:rsidR="00EE307E" w:rsidRDefault="002B7228">
      <w:pPr>
        <w:pStyle w:val="a4"/>
        <w:jc w:val="both"/>
        <w:rPr>
          <w:rFonts w:cs="Times New Roman"/>
        </w:rPr>
      </w:pPr>
      <w:r>
        <w:rPr>
          <w:rFonts w:cs="Times New Roman"/>
          <w:position w:val="-24"/>
        </w:rPr>
        <w:object w:dxaOrig="2120" w:dyaOrig="620" w14:anchorId="3A9EC369">
          <v:shape id="_x0000_i1028" type="#_x0000_t75" style="width:105.75pt;height:30.75pt" o:ole="">
            <v:imagedata r:id="rId16" o:title=""/>
          </v:shape>
          <o:OLEObject Type="Embed" ProgID="Equation.KSEE3" ShapeID="_x0000_i1028" DrawAspect="Content" ObjectID="_1805992926" r:id="rId17"/>
        </w:object>
      </w:r>
      <w:commentRangeEnd w:id="13"/>
      <w:r w:rsidR="00B87B35">
        <w:rPr>
          <w:rStyle w:val="aa"/>
          <w:rFonts w:asciiTheme="minorHAnsi" w:hAnsiTheme="minorHAnsi"/>
        </w:rPr>
        <w:commentReference w:id="13"/>
      </w:r>
      <w:r>
        <w:rPr>
          <w:rFonts w:cs="Times New Roman"/>
        </w:rPr>
        <w:t xml:space="preserve">                                                     (6)</w:t>
      </w:r>
    </w:p>
    <w:p w14:paraId="66EE6322" w14:textId="77777777" w:rsidR="00EE307E" w:rsidRDefault="002B7228">
      <w:pPr>
        <w:pStyle w:val="a4"/>
        <w:jc w:val="both"/>
        <w:rPr>
          <w:rFonts w:cs="Times New Roman"/>
        </w:rPr>
      </w:pPr>
      <w:r>
        <w:rPr>
          <w:rFonts w:cs="Times New Roman"/>
          <w:position w:val="-24"/>
        </w:rPr>
        <w:object w:dxaOrig="2120" w:dyaOrig="620" w14:anchorId="77BB5B72">
          <v:shape id="_x0000_i1029" type="#_x0000_t75" style="width:105.75pt;height:30.75pt" o:ole="">
            <v:imagedata r:id="rId18" o:title=""/>
          </v:shape>
          <o:OLEObject Type="Embed" ProgID="Equation.KSEE3" ShapeID="_x0000_i1029" DrawAspect="Content" ObjectID="_1805992927" r:id="rId19"/>
        </w:object>
      </w:r>
      <w:r>
        <w:rPr>
          <w:rFonts w:cs="Times New Roman"/>
        </w:rPr>
        <w:t xml:space="preserve">                                                     (6a)</w:t>
      </w:r>
    </w:p>
    <w:p w14:paraId="625E0AAF" w14:textId="77777777" w:rsidR="00EE307E" w:rsidRDefault="002B7228">
      <w:pPr>
        <w:pStyle w:val="a4"/>
        <w:jc w:val="both"/>
        <w:rPr>
          <w:rFonts w:cs="Times New Roman"/>
        </w:rPr>
      </w:pPr>
      <w:r>
        <w:rPr>
          <w:rFonts w:cs="Times New Roman"/>
        </w:rPr>
        <w:t xml:space="preserve">The isosteric heat of adsorption was </w:t>
      </w:r>
      <w:proofErr w:type="spellStart"/>
      <w:r>
        <w:rPr>
          <w:rFonts w:cs="Times New Roman"/>
        </w:rPr>
        <w:t>ΔH</w:t>
      </w:r>
      <w:r>
        <w:rPr>
          <w:rFonts w:cs="Times New Roman"/>
          <w:vertAlign w:val="subscript"/>
        </w:rPr>
        <w:t>x</w:t>
      </w:r>
      <w:proofErr w:type="spellEnd"/>
      <w:r>
        <w:rPr>
          <w:rFonts w:cs="Times New Roman"/>
        </w:rPr>
        <w:t>, was determined from Clausius-Clapeyron equation 7</w:t>
      </w:r>
    </w:p>
    <w:p w14:paraId="4CCCB4AA" w14:textId="77777777" w:rsidR="00EE307E" w:rsidRDefault="002B7228">
      <w:pPr>
        <w:pStyle w:val="a4"/>
        <w:ind w:firstLineChars="250" w:firstLine="600"/>
        <w:jc w:val="both"/>
        <w:rPr>
          <w:rFonts w:cs="Times New Roman"/>
        </w:rPr>
      </w:pPr>
      <w:r>
        <w:rPr>
          <w:rFonts w:cs="Times New Roman"/>
          <w:position w:val="-24"/>
        </w:rPr>
        <w:object w:dxaOrig="1420" w:dyaOrig="620" w14:anchorId="69B02F7B">
          <v:shape id="_x0000_i1030" type="#_x0000_t75" style="width:71.25pt;height:30.75pt" o:ole="">
            <v:imagedata r:id="rId20" o:title=""/>
          </v:shape>
          <o:OLEObject Type="Embed" ProgID="Equation.KSEE3" ShapeID="_x0000_i1030" DrawAspect="Content" ObjectID="_1805992928" r:id="rId21"/>
        </w:object>
      </w:r>
      <w:r>
        <w:rPr>
          <w:rFonts w:cs="Times New Roman"/>
        </w:rPr>
        <w:t xml:space="preserve">                                                           (7)</w:t>
      </w:r>
    </w:p>
    <w:p w14:paraId="643BB679" w14:textId="77777777" w:rsidR="00EE307E" w:rsidRDefault="002B7228">
      <w:pPr>
        <w:pStyle w:val="a4"/>
        <w:spacing w:after="0" w:afterAutospacing="0"/>
        <w:rPr>
          <w:rStyle w:val="a5"/>
        </w:rPr>
      </w:pPr>
      <w:r>
        <w:rPr>
          <w:rStyle w:val="a5"/>
        </w:rPr>
        <w:t>RESULTS AND DISCUSSION</w:t>
      </w:r>
    </w:p>
    <w:p w14:paraId="61D41C31" w14:textId="77777777" w:rsidR="00EE307E" w:rsidRDefault="002B7228">
      <w:pPr>
        <w:pStyle w:val="a4"/>
        <w:spacing w:after="0" w:afterAutospacing="0"/>
        <w:rPr>
          <w:rStyle w:val="a5"/>
          <w:b w:val="0"/>
          <w:bCs w:val="0"/>
        </w:rPr>
      </w:pPr>
      <w:r>
        <w:rPr>
          <w:rStyle w:val="a5"/>
          <w:b w:val="0"/>
          <w:bCs w:val="0"/>
        </w:rPr>
        <w:t xml:space="preserve">The results of the experiments at different temperatures and dosages are </w:t>
      </w:r>
      <w:proofErr w:type="spellStart"/>
      <w:r>
        <w:rPr>
          <w:rStyle w:val="a5"/>
          <w:b w:val="0"/>
          <w:bCs w:val="0"/>
        </w:rPr>
        <w:t>shhown</w:t>
      </w:r>
      <w:proofErr w:type="spellEnd"/>
      <w:r>
        <w:rPr>
          <w:rStyle w:val="a5"/>
          <w:b w:val="0"/>
          <w:bCs w:val="0"/>
        </w:rPr>
        <w:t xml:space="preserve"> in this section. The effects of </w:t>
      </w:r>
      <w:proofErr w:type="gramStart"/>
      <w:r>
        <w:rPr>
          <w:rStyle w:val="a5"/>
          <w:b w:val="0"/>
          <w:bCs w:val="0"/>
        </w:rPr>
        <w:t>temperature  and</w:t>
      </w:r>
      <w:proofErr w:type="gramEnd"/>
      <w:r>
        <w:rPr>
          <w:rStyle w:val="a5"/>
          <w:b w:val="0"/>
          <w:bCs w:val="0"/>
        </w:rPr>
        <w:t xml:space="preserve"> dosage on adsorption capacity and thermodynamic parameters are evaluated and presented in </w:t>
      </w:r>
      <w:commentRangeStart w:id="14"/>
      <w:proofErr w:type="spellStart"/>
      <w:r>
        <w:rPr>
          <w:rStyle w:val="a5"/>
          <w:b w:val="0"/>
          <w:bCs w:val="0"/>
        </w:rPr>
        <w:t>th</w:t>
      </w:r>
      <w:commentRangeEnd w:id="14"/>
      <w:proofErr w:type="spellEnd"/>
      <w:r w:rsidR="00B87B35">
        <w:rPr>
          <w:rStyle w:val="aa"/>
          <w:rFonts w:asciiTheme="minorHAnsi" w:hAnsiTheme="minorHAnsi"/>
        </w:rPr>
        <w:commentReference w:id="14"/>
      </w:r>
      <w:r>
        <w:rPr>
          <w:rStyle w:val="a5"/>
          <w:b w:val="0"/>
          <w:bCs w:val="0"/>
        </w:rPr>
        <w:t xml:space="preserve"> figures and tables.</w:t>
      </w:r>
    </w:p>
    <w:p w14:paraId="214A74A5" w14:textId="77777777" w:rsidR="00EE307E" w:rsidRDefault="00EE307E">
      <w:pPr>
        <w:pStyle w:val="a4"/>
        <w:spacing w:after="0" w:afterAutospacing="0"/>
        <w:rPr>
          <w:rStyle w:val="a5"/>
          <w:b w:val="0"/>
          <w:bCs w:val="0"/>
        </w:rPr>
      </w:pPr>
    </w:p>
    <w:p w14:paraId="4069A68C" w14:textId="77777777" w:rsidR="00EE307E" w:rsidRDefault="002B7228">
      <w:pPr>
        <w:pStyle w:val="a4"/>
        <w:spacing w:after="0" w:afterAutospacing="0"/>
      </w:pPr>
      <w:r>
        <w:rPr>
          <w:noProof/>
        </w:rPr>
        <w:drawing>
          <wp:inline distT="0" distB="0" distL="114300" distR="114300" wp14:anchorId="271A6052" wp14:editId="39EDED13">
            <wp:extent cx="5268595" cy="3241675"/>
            <wp:effectExtent l="0" t="0" r="8255" b="1587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22"/>
                    <a:stretch>
                      <a:fillRect/>
                    </a:stretch>
                  </pic:blipFill>
                  <pic:spPr>
                    <a:xfrm>
                      <a:off x="0" y="0"/>
                      <a:ext cx="5268595" cy="3241675"/>
                    </a:xfrm>
                    <a:prstGeom prst="rect">
                      <a:avLst/>
                    </a:prstGeom>
                    <a:noFill/>
                    <a:ln>
                      <a:noFill/>
                    </a:ln>
                  </pic:spPr>
                </pic:pic>
              </a:graphicData>
            </a:graphic>
          </wp:inline>
        </w:drawing>
      </w:r>
    </w:p>
    <w:p w14:paraId="30272313" w14:textId="77777777" w:rsidR="00EE307E" w:rsidRDefault="002B7228">
      <w:pPr>
        <w:pStyle w:val="a4"/>
        <w:spacing w:after="0" w:afterAutospacing="0"/>
        <w:rPr>
          <w:b/>
          <w:bCs/>
        </w:rPr>
      </w:pPr>
      <w:r>
        <w:rPr>
          <w:b/>
          <w:bCs/>
        </w:rPr>
        <w:t>Figure 1: Effect of temperature on the adsorption  of Pb(II) and Fe(III)  on unmodified oil palm fruit peduncle.</w:t>
      </w:r>
    </w:p>
    <w:p w14:paraId="68795E0D" w14:textId="77777777" w:rsidR="00EE307E" w:rsidRDefault="00EE307E">
      <w:pPr>
        <w:pStyle w:val="a4"/>
        <w:spacing w:after="0" w:afterAutospacing="0"/>
        <w:rPr>
          <w:b/>
          <w:bCs/>
        </w:rPr>
      </w:pPr>
    </w:p>
    <w:p w14:paraId="131A03E0" w14:textId="77777777" w:rsidR="00EE307E" w:rsidRDefault="00EE307E">
      <w:pPr>
        <w:pStyle w:val="a4"/>
        <w:spacing w:after="0" w:afterAutospacing="0"/>
      </w:pPr>
    </w:p>
    <w:p w14:paraId="6813521C" w14:textId="77777777" w:rsidR="00EE307E" w:rsidRDefault="002B7228">
      <w:pPr>
        <w:pStyle w:val="a4"/>
        <w:spacing w:after="0" w:afterAutospacing="0"/>
      </w:pPr>
      <w:commentRangeStart w:id="15"/>
      <w:r>
        <w:rPr>
          <w:noProof/>
        </w:rPr>
        <w:drawing>
          <wp:inline distT="0" distB="0" distL="114300" distR="114300" wp14:anchorId="77ACD016" wp14:editId="3BB7C232">
            <wp:extent cx="5268595" cy="3234690"/>
            <wp:effectExtent l="0" t="0" r="8255" b="381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pic:cNvPicPr>
                  </pic:nvPicPr>
                  <pic:blipFill>
                    <a:blip r:embed="rId23"/>
                    <a:stretch>
                      <a:fillRect/>
                    </a:stretch>
                  </pic:blipFill>
                  <pic:spPr>
                    <a:xfrm>
                      <a:off x="0" y="0"/>
                      <a:ext cx="5268595" cy="3234690"/>
                    </a:xfrm>
                    <a:prstGeom prst="rect">
                      <a:avLst/>
                    </a:prstGeom>
                    <a:noFill/>
                    <a:ln>
                      <a:noFill/>
                    </a:ln>
                  </pic:spPr>
                </pic:pic>
              </a:graphicData>
            </a:graphic>
          </wp:inline>
        </w:drawing>
      </w:r>
      <w:commentRangeEnd w:id="15"/>
      <w:r w:rsidR="00B87B35">
        <w:rPr>
          <w:rStyle w:val="aa"/>
          <w:rFonts w:asciiTheme="minorHAnsi" w:hAnsiTheme="minorHAnsi"/>
        </w:rPr>
        <w:commentReference w:id="15"/>
      </w:r>
      <w:r>
        <w:t xml:space="preserve"> </w:t>
      </w:r>
    </w:p>
    <w:p w14:paraId="4841DCAE" w14:textId="77777777" w:rsidR="00EE307E" w:rsidRDefault="002B7228">
      <w:pPr>
        <w:pStyle w:val="a4"/>
        <w:spacing w:after="0" w:afterAutospacing="0"/>
        <w:rPr>
          <w:b/>
          <w:bCs/>
        </w:rPr>
      </w:pPr>
      <w:r>
        <w:rPr>
          <w:b/>
          <w:bCs/>
        </w:rPr>
        <w:t>Figure 2: Effect of temperature on the  percent adsorption  of Pb(II) and Fe(III)  on unmodified oil palm fruit peduncle.</w:t>
      </w:r>
    </w:p>
    <w:p w14:paraId="21BBD741" w14:textId="77777777" w:rsidR="00EE307E" w:rsidRDefault="00EE307E">
      <w:pPr>
        <w:pStyle w:val="a4"/>
        <w:spacing w:after="0" w:afterAutospacing="0"/>
      </w:pPr>
    </w:p>
    <w:p w14:paraId="3E3D9C80" w14:textId="77777777" w:rsidR="00EE307E" w:rsidRDefault="00EE307E">
      <w:pPr>
        <w:pStyle w:val="a4"/>
        <w:spacing w:after="0" w:afterAutospacing="0"/>
      </w:pPr>
    </w:p>
    <w:p w14:paraId="5CA9A3B4" w14:textId="77777777" w:rsidR="00EE307E" w:rsidRDefault="002B7228">
      <w:pPr>
        <w:pStyle w:val="a4"/>
        <w:spacing w:after="0" w:afterAutospacing="0"/>
      </w:pPr>
      <w:r>
        <w:rPr>
          <w:noProof/>
        </w:rPr>
        <w:drawing>
          <wp:inline distT="0" distB="0" distL="114300" distR="114300" wp14:anchorId="13A1C8B7" wp14:editId="409DD212">
            <wp:extent cx="5268595" cy="2631440"/>
            <wp:effectExtent l="0" t="0" r="8255" b="1651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pic:cNvPicPr>
                  </pic:nvPicPr>
                  <pic:blipFill>
                    <a:blip r:embed="rId24"/>
                    <a:stretch>
                      <a:fillRect/>
                    </a:stretch>
                  </pic:blipFill>
                  <pic:spPr>
                    <a:xfrm>
                      <a:off x="0" y="0"/>
                      <a:ext cx="5268595" cy="2631440"/>
                    </a:xfrm>
                    <a:prstGeom prst="rect">
                      <a:avLst/>
                    </a:prstGeom>
                    <a:noFill/>
                    <a:ln>
                      <a:noFill/>
                    </a:ln>
                  </pic:spPr>
                </pic:pic>
              </a:graphicData>
            </a:graphic>
          </wp:inline>
        </w:drawing>
      </w:r>
    </w:p>
    <w:p w14:paraId="72FA1BFC" w14:textId="77777777" w:rsidR="00EE307E" w:rsidRDefault="00EE307E">
      <w:pPr>
        <w:pStyle w:val="a4"/>
        <w:spacing w:after="0" w:afterAutospacing="0"/>
      </w:pPr>
    </w:p>
    <w:p w14:paraId="00108C76" w14:textId="77777777" w:rsidR="00EE307E" w:rsidRDefault="002B7228">
      <w:pPr>
        <w:pStyle w:val="a4"/>
        <w:spacing w:after="0" w:afterAutospacing="0"/>
        <w:rPr>
          <w:rStyle w:val="a5"/>
        </w:rPr>
      </w:pPr>
      <w:r>
        <w:rPr>
          <w:rStyle w:val="a5"/>
        </w:rPr>
        <w:t xml:space="preserve">Figure 3: </w:t>
      </w:r>
      <w:proofErr w:type="spellStart"/>
      <w:r>
        <w:rPr>
          <w:rStyle w:val="a5"/>
        </w:rPr>
        <w:t>van’t</w:t>
      </w:r>
      <w:proofErr w:type="spellEnd"/>
      <w:r>
        <w:rPr>
          <w:rStyle w:val="a5"/>
        </w:rPr>
        <w:t xml:space="preserve"> Hoff plot for the adsorption of Pb(II) and Fe(III) on unmodified oil palm fruit peduncle.</w:t>
      </w:r>
    </w:p>
    <w:p w14:paraId="15E92C5D" w14:textId="77777777" w:rsidR="00EE307E" w:rsidRDefault="00EE307E">
      <w:pPr>
        <w:pStyle w:val="a4"/>
        <w:spacing w:after="0" w:afterAutospacing="0"/>
        <w:rPr>
          <w:rStyle w:val="a5"/>
          <w:b w:val="0"/>
          <w:bCs w:val="0"/>
        </w:rPr>
      </w:pPr>
    </w:p>
    <w:p w14:paraId="2D57A6AF" w14:textId="77777777" w:rsidR="00EE307E" w:rsidRDefault="002B7228">
      <w:pPr>
        <w:pStyle w:val="a4"/>
        <w:spacing w:after="0" w:afterAutospacing="0"/>
        <w:jc w:val="both"/>
        <w:rPr>
          <w:rStyle w:val="a5"/>
          <w:b w:val="0"/>
          <w:bCs w:val="0"/>
        </w:rPr>
      </w:pPr>
      <w:r>
        <w:rPr>
          <w:rStyle w:val="a5"/>
          <w:b w:val="0"/>
          <w:bCs w:val="0"/>
        </w:rPr>
        <w:t xml:space="preserve">Temperature plays a major role in the adsorption of metals on adsorbents because an upward change of it by some amounts imparts higher energies to adsorbate particles  and  thus increase diffusion rate across external boundary layer and into the internal pores of the adsorbent. </w:t>
      </w:r>
    </w:p>
    <w:p w14:paraId="16A23FDE" w14:textId="77777777" w:rsidR="00EE307E" w:rsidRDefault="002B7228">
      <w:pPr>
        <w:pStyle w:val="a4"/>
        <w:spacing w:after="0" w:afterAutospacing="0"/>
        <w:jc w:val="both"/>
        <w:rPr>
          <w:rStyle w:val="a5"/>
          <w:b w:val="0"/>
          <w:bCs w:val="0"/>
        </w:rPr>
      </w:pPr>
      <w:r>
        <w:rPr>
          <w:rStyle w:val="a5"/>
          <w:b w:val="0"/>
          <w:bCs w:val="0"/>
        </w:rPr>
        <w:t xml:space="preserve">Figures 1 and 2 are graphical results of the </w:t>
      </w:r>
      <w:proofErr w:type="spellStart"/>
      <w:r>
        <w:rPr>
          <w:rStyle w:val="a5"/>
          <w:b w:val="0"/>
          <w:bCs w:val="0"/>
        </w:rPr>
        <w:t>the</w:t>
      </w:r>
      <w:proofErr w:type="spellEnd"/>
      <w:r>
        <w:rPr>
          <w:rStyle w:val="a5"/>
          <w:b w:val="0"/>
          <w:bCs w:val="0"/>
        </w:rPr>
        <w:t xml:space="preserve"> effect of temperature on the adsorption  and  percent adsorption of Pb(II) and Fe(III) ions  by unmodified plantain fruit peduncle.  It was observed that the uptake of  Pb(II) and Fe(III) ions by the adsorbent were affected by temperature  as seen in the maximum uptake capacity of 89% and 75.56% respectively. The quantities adsorbed of  Pb(II) and Fe(III) ions decreased to 0.419 mg/g </w:t>
      </w:r>
      <w:r>
        <w:rPr>
          <w:rStyle w:val="a5"/>
          <w:b w:val="0"/>
          <w:bCs w:val="0"/>
        </w:rPr>
        <w:lastRenderedPageBreak/>
        <w:t>and 0.362 mg/g  at 50</w:t>
      </w:r>
      <w:r>
        <w:rPr>
          <w:rStyle w:val="a5"/>
          <w:rFonts w:cs="Times New Roman"/>
          <w:b w:val="0"/>
          <w:bCs w:val="0"/>
        </w:rPr>
        <w:t>°</w:t>
      </w:r>
      <w:r>
        <w:rPr>
          <w:rStyle w:val="a5"/>
          <w:b w:val="0"/>
          <w:bCs w:val="0"/>
        </w:rPr>
        <w:t>C. Then it began to rise to 0.424 mg/g as the temperature increased to 60</w:t>
      </w:r>
      <w:r>
        <w:rPr>
          <w:rStyle w:val="a5"/>
          <w:rFonts w:cs="Times New Roman"/>
          <w:b w:val="0"/>
          <w:bCs w:val="0"/>
        </w:rPr>
        <w:t>°</w:t>
      </w:r>
      <w:r>
        <w:rPr>
          <w:rStyle w:val="a5"/>
          <w:b w:val="0"/>
          <w:bCs w:val="0"/>
        </w:rPr>
        <w:t>C in the case of  Pb(II) ions, while it fell more  drastically to 0.33 mg/g for Fe(III) ions at 60</w:t>
      </w:r>
      <w:r>
        <w:rPr>
          <w:rStyle w:val="a5"/>
          <w:rFonts w:cs="Times New Roman"/>
          <w:b w:val="0"/>
          <w:bCs w:val="0"/>
        </w:rPr>
        <w:t>°</w:t>
      </w:r>
      <w:r>
        <w:rPr>
          <w:rStyle w:val="a5"/>
          <w:b w:val="0"/>
          <w:bCs w:val="0"/>
        </w:rPr>
        <w:t>C.The situation could suggest that there was a predominance of physical adsorption over chemical adsorption.</w:t>
      </w:r>
    </w:p>
    <w:p w14:paraId="6978E310" w14:textId="77777777" w:rsidR="00EE307E" w:rsidRDefault="00EE307E">
      <w:pPr>
        <w:pStyle w:val="a4"/>
        <w:spacing w:after="0" w:afterAutospacing="0"/>
        <w:jc w:val="both"/>
        <w:rPr>
          <w:rStyle w:val="a5"/>
          <w:b w:val="0"/>
          <w:bCs w:val="0"/>
        </w:rPr>
      </w:pPr>
    </w:p>
    <w:p w14:paraId="5DABDE96" w14:textId="77777777" w:rsidR="00EE307E" w:rsidRDefault="002B7228">
      <w:pPr>
        <w:pStyle w:val="a4"/>
        <w:spacing w:after="0" w:afterAutospacing="0"/>
      </w:pPr>
      <w:r>
        <w:rPr>
          <w:noProof/>
        </w:rPr>
        <w:drawing>
          <wp:inline distT="0" distB="0" distL="114300" distR="114300" wp14:anchorId="0190E239" wp14:editId="2E43447A">
            <wp:extent cx="5268595" cy="2611755"/>
            <wp:effectExtent l="0" t="0" r="8255" b="1714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pic:cNvPicPr>
                  </pic:nvPicPr>
                  <pic:blipFill>
                    <a:blip r:embed="rId25"/>
                    <a:stretch>
                      <a:fillRect/>
                    </a:stretch>
                  </pic:blipFill>
                  <pic:spPr>
                    <a:xfrm>
                      <a:off x="0" y="0"/>
                      <a:ext cx="5268595" cy="2611755"/>
                    </a:xfrm>
                    <a:prstGeom prst="rect">
                      <a:avLst/>
                    </a:prstGeom>
                    <a:noFill/>
                    <a:ln>
                      <a:noFill/>
                    </a:ln>
                  </pic:spPr>
                </pic:pic>
              </a:graphicData>
            </a:graphic>
          </wp:inline>
        </w:drawing>
      </w:r>
    </w:p>
    <w:p w14:paraId="25871169" w14:textId="77777777" w:rsidR="00EE307E" w:rsidRDefault="002B7228">
      <w:pPr>
        <w:pStyle w:val="a4"/>
        <w:spacing w:after="0" w:afterAutospacing="0"/>
        <w:rPr>
          <w:b/>
          <w:bCs/>
        </w:rPr>
      </w:pPr>
      <w:r>
        <w:rPr>
          <w:b/>
          <w:bCs/>
        </w:rPr>
        <w:t>Figure 4: Potential sticking probability plot for adsorption of Pb(II)  and Fe(III) ions on unmodified oil palm fruit peduncle.</w:t>
      </w:r>
    </w:p>
    <w:p w14:paraId="49B3B8B8" w14:textId="77777777" w:rsidR="00EE307E" w:rsidRDefault="00EE307E">
      <w:pPr>
        <w:pStyle w:val="a4"/>
        <w:spacing w:after="0" w:afterAutospacing="0"/>
      </w:pPr>
    </w:p>
    <w:p w14:paraId="0EC240F1" w14:textId="77777777" w:rsidR="00EE307E" w:rsidRDefault="002B7228">
      <w:pPr>
        <w:pStyle w:val="a4"/>
        <w:spacing w:after="0" w:afterAutospacing="0"/>
      </w:pPr>
      <w:r>
        <w:rPr>
          <w:noProof/>
        </w:rPr>
        <w:drawing>
          <wp:inline distT="0" distB="0" distL="114300" distR="114300" wp14:anchorId="65A6D6C2" wp14:editId="4C89BF08">
            <wp:extent cx="5268595" cy="3515360"/>
            <wp:effectExtent l="0" t="0" r="8255" b="889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pic:cNvPicPr>
                  </pic:nvPicPr>
                  <pic:blipFill>
                    <a:blip r:embed="rId26"/>
                    <a:stretch>
                      <a:fillRect/>
                    </a:stretch>
                  </pic:blipFill>
                  <pic:spPr>
                    <a:xfrm>
                      <a:off x="0" y="0"/>
                      <a:ext cx="5268595" cy="3515360"/>
                    </a:xfrm>
                    <a:prstGeom prst="rect">
                      <a:avLst/>
                    </a:prstGeom>
                    <a:noFill/>
                    <a:ln>
                      <a:noFill/>
                    </a:ln>
                  </pic:spPr>
                </pic:pic>
              </a:graphicData>
            </a:graphic>
          </wp:inline>
        </w:drawing>
      </w:r>
    </w:p>
    <w:p w14:paraId="4D4205B6" w14:textId="77777777" w:rsidR="00EE307E" w:rsidRDefault="002B7228">
      <w:pPr>
        <w:pStyle w:val="a4"/>
        <w:spacing w:after="0" w:afterAutospacing="0"/>
        <w:rPr>
          <w:b/>
          <w:bCs/>
        </w:rPr>
      </w:pPr>
      <w:r>
        <w:rPr>
          <w:b/>
          <w:bCs/>
        </w:rPr>
        <w:t>Figure 5: Isosteric heat of adsorption  of Pb(II) and Fe(III) on unmodified oil palm fruit peduncle</w:t>
      </w:r>
    </w:p>
    <w:p w14:paraId="78E1FEBD" w14:textId="77777777" w:rsidR="00EE307E" w:rsidRDefault="00EE307E">
      <w:pPr>
        <w:pStyle w:val="a4"/>
        <w:spacing w:after="0" w:afterAutospacing="0"/>
      </w:pPr>
    </w:p>
    <w:p w14:paraId="10F6A0E2" w14:textId="77777777" w:rsidR="00EE307E" w:rsidRDefault="002B7228">
      <w:pPr>
        <w:pStyle w:val="a4"/>
        <w:spacing w:after="0" w:afterAutospacing="0"/>
        <w:jc w:val="both"/>
        <w:rPr>
          <w:rStyle w:val="a5"/>
        </w:rPr>
      </w:pPr>
      <w:r>
        <w:rPr>
          <w:rStyle w:val="a5"/>
        </w:rPr>
        <w:t>Thermodynamic Parameters</w:t>
      </w:r>
    </w:p>
    <w:p w14:paraId="6086BA44" w14:textId="77777777" w:rsidR="00EE307E" w:rsidRDefault="002B7228">
      <w:pPr>
        <w:pStyle w:val="a4"/>
        <w:spacing w:after="0" w:afterAutospacing="0"/>
        <w:jc w:val="both"/>
        <w:rPr>
          <w:rStyle w:val="a5"/>
          <w:rFonts w:cs="Times New Roman"/>
          <w:b w:val="0"/>
          <w:bCs w:val="0"/>
        </w:rPr>
      </w:pPr>
      <w:r>
        <w:rPr>
          <w:rStyle w:val="a5"/>
          <w:rFonts w:cs="Times New Roman"/>
          <w:b w:val="0"/>
          <w:bCs w:val="0"/>
        </w:rPr>
        <w:t xml:space="preserve">Thermodynamic parameters such as standard Gibbs free energy change (ΔG°), standard enthalpy change (ΔH°), and standard entropy change (ΔS°) are crucial for assessing the spontaneity of the sorption process and determining whether it is endothermic or exothermic. The relevant data for these parameters, as presented in Table 1, show that the adsorption of Pb(II) and Fe(III) ions was spontaneous, based on the criterion of </w:t>
      </w:r>
      <w:r>
        <w:rPr>
          <w:rStyle w:val="a5"/>
          <w:rFonts w:cs="Times New Roman"/>
          <w:b w:val="0"/>
          <w:bCs w:val="0"/>
        </w:rPr>
        <w:lastRenderedPageBreak/>
        <w:t>spontaneity, and exothermic. Notably, the negative enthalpy change (ΔH°) was greater for Pb(II) than for Fe(III) within the temperature range investigated. This enthalpy change may be related to electrostatic interactions between the adsorbate and the adsorbent (Zhao et al., 2011).</w:t>
      </w:r>
    </w:p>
    <w:p w14:paraId="2BA4BD70" w14:textId="77777777" w:rsidR="00EE307E" w:rsidRDefault="002B7228">
      <w:pPr>
        <w:pStyle w:val="a4"/>
        <w:spacing w:after="0" w:afterAutospacing="0"/>
        <w:jc w:val="both"/>
        <w:rPr>
          <w:rStyle w:val="a5"/>
          <w:rFonts w:cs="Times New Roman"/>
          <w:b w:val="0"/>
          <w:bCs w:val="0"/>
        </w:rPr>
      </w:pPr>
      <w:r>
        <w:rPr>
          <w:rStyle w:val="a5"/>
          <w:rFonts w:cs="Times New Roman"/>
          <w:b w:val="0"/>
          <w:bCs w:val="0"/>
        </w:rPr>
        <w:t>The observed differences in thermodynamic parameters for Pb(II) and Fe(III) ions can be attributed to variations in their molecular masses and charge densities. Since Fe(III) has a smaller ionic radius than Pb(II), it exhibits a higher charge density and effective nuclear charge. This leads to more restricted valence electron interactions compared to Pb(II) ions.</w:t>
      </w:r>
    </w:p>
    <w:p w14:paraId="6A043964" w14:textId="77777777" w:rsidR="00EE307E" w:rsidRDefault="002B7228">
      <w:pPr>
        <w:pStyle w:val="a4"/>
        <w:spacing w:after="0" w:afterAutospacing="0"/>
        <w:jc w:val="both"/>
        <w:rPr>
          <w:rStyle w:val="a5"/>
          <w:rFonts w:cs="Times New Roman"/>
          <w:b w:val="0"/>
          <w:bCs w:val="0"/>
        </w:rPr>
      </w:pPr>
      <w:r>
        <w:rPr>
          <w:rStyle w:val="a5"/>
          <w:rFonts w:cs="Times New Roman"/>
          <w:b w:val="0"/>
          <w:bCs w:val="0"/>
        </w:rPr>
        <w:t>Entropy changes (ΔS°) are linked to the mobility of the adsorbate in the adsorption medium. In aqueous solutions, the mobility of metal ions is inversely proportional to their molecular masses (Verdaguer et al., 2008). Consequently, Fe(III) ions exhibit higher entropy changes due to their greater mobility (disorder) and weaker interactions with the adsorbent compared to Pb(II) ions (Bowes and Lenhoff, 2011).</w:t>
      </w:r>
    </w:p>
    <w:p w14:paraId="3F1AAB03" w14:textId="77777777" w:rsidR="00EE307E" w:rsidRDefault="002B7228">
      <w:pPr>
        <w:pStyle w:val="a4"/>
        <w:spacing w:after="0" w:afterAutospacing="0"/>
        <w:jc w:val="both"/>
        <w:rPr>
          <w:rStyle w:val="a5"/>
          <w:rFonts w:cs="Times New Roman"/>
          <w:b w:val="0"/>
          <w:bCs w:val="0"/>
        </w:rPr>
      </w:pPr>
      <w:r>
        <w:rPr>
          <w:rStyle w:val="a5"/>
          <w:rFonts w:cs="Times New Roman"/>
          <w:b w:val="0"/>
          <w:bCs w:val="0"/>
        </w:rPr>
        <w:t>The activation energy (</w:t>
      </w:r>
      <w:proofErr w:type="spellStart"/>
      <w:r>
        <w:rPr>
          <w:rStyle w:val="a5"/>
          <w:rFonts w:cs="Times New Roman"/>
          <w:b w:val="0"/>
          <w:bCs w:val="0"/>
        </w:rPr>
        <w:t>Ea</w:t>
      </w:r>
      <w:proofErr w:type="spellEnd"/>
      <w:r>
        <w:rPr>
          <w:rStyle w:val="a5"/>
          <w:rFonts w:cs="Times New Roman"/>
          <w:b w:val="0"/>
          <w:bCs w:val="0"/>
        </w:rPr>
        <w:t>) values for Pb(II) and Fe(III) ions were -10.41 and -7.84 kJ/mol, respectively, indicating physical adsorption (</w:t>
      </w:r>
      <w:proofErr w:type="spellStart"/>
      <w:r>
        <w:rPr>
          <w:rStyle w:val="a5"/>
          <w:rFonts w:cs="Times New Roman"/>
          <w:b w:val="0"/>
          <w:bCs w:val="0"/>
        </w:rPr>
        <w:t>Ea</w:t>
      </w:r>
      <w:proofErr w:type="spellEnd"/>
      <w:r>
        <w:rPr>
          <w:rStyle w:val="a5"/>
          <w:rFonts w:cs="Times New Roman"/>
          <w:b w:val="0"/>
          <w:bCs w:val="0"/>
        </w:rPr>
        <w:t xml:space="preserve"> &lt; 50 kJ/mol). The potential sticking probabilities (S*), reported in Table 2, were 0.002 and 0.0017 kJ/mol for Pb(II) and Fe(III) ions, respectively, suggesting Pb(II) ions had a greater likelihood of adhering to the adsorbent's surface than Fe(III) ions.</w:t>
      </w:r>
    </w:p>
    <w:p w14:paraId="7D1F6B53" w14:textId="77777777" w:rsidR="00EE307E" w:rsidRDefault="002B7228">
      <w:pPr>
        <w:pStyle w:val="a4"/>
        <w:spacing w:after="0" w:afterAutospacing="0"/>
        <w:jc w:val="both"/>
        <w:rPr>
          <w:rStyle w:val="a5"/>
          <w:rFonts w:cs="Times New Roman"/>
          <w:b w:val="0"/>
          <w:bCs w:val="0"/>
        </w:rPr>
      </w:pPr>
      <w:r>
        <w:rPr>
          <w:rStyle w:val="a5"/>
          <w:rFonts w:cs="Times New Roman"/>
          <w:b w:val="0"/>
          <w:bCs w:val="0"/>
        </w:rPr>
        <w:t>The isosteric heat of adsorption (</w:t>
      </w:r>
      <w:proofErr w:type="spellStart"/>
      <w:r>
        <w:rPr>
          <w:rStyle w:val="a5"/>
          <w:rFonts w:cs="Times New Roman"/>
          <w:b w:val="0"/>
          <w:bCs w:val="0"/>
        </w:rPr>
        <w:t>ΔH</w:t>
      </w:r>
      <w:r>
        <w:rPr>
          <w:rStyle w:val="a5"/>
          <w:rFonts w:cs="Times New Roman"/>
          <w:b w:val="0"/>
          <w:bCs w:val="0"/>
          <w:vertAlign w:val="subscript"/>
        </w:rPr>
        <w:t>x</w:t>
      </w:r>
      <w:proofErr w:type="spellEnd"/>
      <w:r>
        <w:rPr>
          <w:rStyle w:val="a5"/>
          <w:rFonts w:cs="Times New Roman"/>
          <w:b w:val="0"/>
          <w:bCs w:val="0"/>
        </w:rPr>
        <w:t xml:space="preserve">) for Pb(II) and Fe(III) ions, as shown in Table 2, was 10.50 and 7.87 kJ/mol, respectively. The heat of adsorption depends on surface coverage, often reflecting both adsorbent-adsorbate and adsorbate-adsorbate interactions. Differences in </w:t>
      </w:r>
      <w:proofErr w:type="spellStart"/>
      <w:r>
        <w:rPr>
          <w:rStyle w:val="a5"/>
          <w:rFonts w:cs="Times New Roman"/>
          <w:b w:val="0"/>
          <w:bCs w:val="0"/>
        </w:rPr>
        <w:t>ΔH</w:t>
      </w:r>
      <w:r>
        <w:rPr>
          <w:rStyle w:val="a5"/>
          <w:rFonts w:cs="Times New Roman"/>
          <w:b w:val="0"/>
          <w:bCs w:val="0"/>
          <w:vertAlign w:val="subscript"/>
        </w:rPr>
        <w:t>x</w:t>
      </w:r>
      <w:proofErr w:type="spellEnd"/>
      <w:r>
        <w:rPr>
          <w:rStyle w:val="a5"/>
          <w:rFonts w:cs="Times New Roman"/>
          <w:b w:val="0"/>
          <w:bCs w:val="0"/>
        </w:rPr>
        <w:t xml:space="preserve"> suggest that Pb(II) ions may have more lateral interactions with other adsorbed ions than Fe(III) ions (Saha and Chowdhury, 2011).</w:t>
      </w:r>
    </w:p>
    <w:p w14:paraId="39655C2B" w14:textId="77777777" w:rsidR="00EE307E" w:rsidRDefault="002B7228">
      <w:pPr>
        <w:pStyle w:val="a4"/>
        <w:spacing w:after="0" w:afterAutospacing="0"/>
        <w:jc w:val="both"/>
        <w:rPr>
          <w:rStyle w:val="a5"/>
          <w:rFonts w:cs="Times New Roman"/>
          <w:b w:val="0"/>
          <w:bCs w:val="0"/>
        </w:rPr>
      </w:pPr>
      <w:r>
        <w:rPr>
          <w:rStyle w:val="a5"/>
          <w:rFonts w:cs="Times New Roman"/>
          <w:b w:val="0"/>
          <w:bCs w:val="0"/>
        </w:rPr>
        <w:t>Finally, as depicted in Figure 6, the negative ΔG° values decreased with increasing temperature, indicating that adsorption may become less favorable at higher temperatures.</w:t>
      </w:r>
    </w:p>
    <w:p w14:paraId="008DB1C5" w14:textId="77777777" w:rsidR="00EE307E" w:rsidRDefault="00EE307E">
      <w:pPr>
        <w:pStyle w:val="a4"/>
        <w:spacing w:after="0" w:afterAutospacing="0"/>
        <w:jc w:val="both"/>
        <w:rPr>
          <w:rStyle w:val="a5"/>
          <w:rFonts w:cs="Times New Roman"/>
          <w:b w:val="0"/>
          <w:bCs w:val="0"/>
        </w:rPr>
      </w:pPr>
    </w:p>
    <w:p w14:paraId="56E9855E" w14:textId="77777777" w:rsidR="00EE307E" w:rsidRDefault="002B7228">
      <w:pPr>
        <w:pStyle w:val="a4"/>
        <w:spacing w:after="0" w:afterAutospacing="0"/>
        <w:jc w:val="both"/>
        <w:rPr>
          <w:rStyle w:val="a5"/>
          <w:rFonts w:cs="Times New Roman"/>
          <w:b w:val="0"/>
          <w:bCs w:val="0"/>
        </w:rPr>
      </w:pPr>
      <w:r>
        <w:rPr>
          <w:noProof/>
        </w:rPr>
        <w:drawing>
          <wp:inline distT="0" distB="0" distL="114300" distR="114300" wp14:anchorId="5B72834D" wp14:editId="5324024E">
            <wp:extent cx="5268595" cy="3176270"/>
            <wp:effectExtent l="0" t="0" r="8255" b="508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pic:cNvPicPr>
                  </pic:nvPicPr>
                  <pic:blipFill>
                    <a:blip r:embed="rId27"/>
                    <a:stretch>
                      <a:fillRect/>
                    </a:stretch>
                  </pic:blipFill>
                  <pic:spPr>
                    <a:xfrm>
                      <a:off x="0" y="0"/>
                      <a:ext cx="5268595" cy="3176270"/>
                    </a:xfrm>
                    <a:prstGeom prst="rect">
                      <a:avLst/>
                    </a:prstGeom>
                    <a:noFill/>
                    <a:ln>
                      <a:noFill/>
                    </a:ln>
                  </pic:spPr>
                </pic:pic>
              </a:graphicData>
            </a:graphic>
          </wp:inline>
        </w:drawing>
      </w:r>
    </w:p>
    <w:p w14:paraId="57AE46D5" w14:textId="77777777" w:rsidR="00EE307E" w:rsidRDefault="002B7228">
      <w:pPr>
        <w:pStyle w:val="a4"/>
        <w:spacing w:after="0" w:afterAutospacing="0"/>
      </w:pPr>
      <w:r>
        <w:rPr>
          <w:b/>
          <w:bCs/>
        </w:rPr>
        <w:t xml:space="preserve">Figure 6.Pot of the variation of standard Gibbs free energy with temperature of adsorption Pb(II) and Fe(III) ions  on unmodified oil palm fruit peduncle </w:t>
      </w:r>
      <w:r>
        <w:t xml:space="preserve">     </w:t>
      </w:r>
    </w:p>
    <w:p w14:paraId="53E03CF5" w14:textId="77777777" w:rsidR="00EE307E" w:rsidRDefault="002B7228">
      <w:pPr>
        <w:pStyle w:val="a4"/>
        <w:spacing w:after="0" w:afterAutospacing="0"/>
      </w:pPr>
      <w:r>
        <w:rPr>
          <w:noProof/>
        </w:rPr>
        <w:lastRenderedPageBreak/>
        <w:drawing>
          <wp:inline distT="0" distB="0" distL="114300" distR="114300" wp14:anchorId="2779424E" wp14:editId="71F16740">
            <wp:extent cx="5268595" cy="3359785"/>
            <wp:effectExtent l="0" t="0" r="8255" b="1206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pic:cNvPicPr>
                  </pic:nvPicPr>
                  <pic:blipFill>
                    <a:blip r:embed="rId28"/>
                    <a:stretch>
                      <a:fillRect/>
                    </a:stretch>
                  </pic:blipFill>
                  <pic:spPr>
                    <a:xfrm>
                      <a:off x="0" y="0"/>
                      <a:ext cx="5268595" cy="3359785"/>
                    </a:xfrm>
                    <a:prstGeom prst="rect">
                      <a:avLst/>
                    </a:prstGeom>
                    <a:noFill/>
                    <a:ln>
                      <a:noFill/>
                    </a:ln>
                  </pic:spPr>
                </pic:pic>
              </a:graphicData>
            </a:graphic>
          </wp:inline>
        </w:drawing>
      </w:r>
    </w:p>
    <w:p w14:paraId="5C8F6C34" w14:textId="77777777" w:rsidR="00EE307E" w:rsidRDefault="002B7228">
      <w:pPr>
        <w:pStyle w:val="a4"/>
        <w:spacing w:after="0" w:afterAutospacing="0"/>
      </w:pPr>
      <w:r>
        <w:rPr>
          <w:b/>
          <w:bCs/>
        </w:rPr>
        <w:t>Figure 7: Effect of dosage on the adsorption of Pb(II) and Fe(III) ions on unmodified oil palm fruit peduncle</w:t>
      </w:r>
    </w:p>
    <w:p w14:paraId="0536E1A2" w14:textId="77777777" w:rsidR="00EE307E" w:rsidRDefault="00EE307E">
      <w:pPr>
        <w:pStyle w:val="a4"/>
        <w:spacing w:after="0" w:afterAutospacing="0"/>
      </w:pPr>
    </w:p>
    <w:p w14:paraId="257AB60E" w14:textId="77777777" w:rsidR="00EE307E" w:rsidRDefault="002B7228">
      <w:pPr>
        <w:pStyle w:val="a4"/>
        <w:spacing w:after="0" w:afterAutospacing="0"/>
        <w:jc w:val="both"/>
      </w:pPr>
      <w:r>
        <w:t>The dosage of the adsorbate plays a crucial role as it significantly influences the adsorbent's capacity at a given initial concentration of the adsorbate. As illustrated in Figure 7, increasing the dosage from 0.1 to 0.5 g led to a steady decline in uptake capacity for Fe(III), ranging from 0.434 mg/g to 0.226 mg/g. In contrast, the uptake capacity for Pb(II) showed fluctuating behavior between 0.1 and 0.3 g, reaching a peak of 0.452 mg/g (90.48%) at 0.4 g before dropping to 0.357 mg/g (71.31%) at 0.5 g. Adsorption capacities were generally higher at lower dosages, which can likely be attributed to insufficient surface coverage by adsorbate particles during the adsorption process. Similar trends have been reported in previous studies (Han et al., 2006; El-Latif &amp; Ibrahim, 2009).</w:t>
      </w:r>
    </w:p>
    <w:p w14:paraId="6FA70562" w14:textId="77777777" w:rsidR="00EE307E" w:rsidRDefault="00EE307E">
      <w:pPr>
        <w:pStyle w:val="a4"/>
        <w:spacing w:after="0" w:afterAutospacing="0"/>
        <w:jc w:val="both"/>
      </w:pPr>
    </w:p>
    <w:p w14:paraId="758679AF" w14:textId="77777777" w:rsidR="00EE307E" w:rsidRDefault="002B7228">
      <w:pPr>
        <w:pStyle w:val="a4"/>
        <w:spacing w:after="0" w:afterAutospacing="0"/>
        <w:jc w:val="both"/>
        <w:rPr>
          <w:b/>
          <w:bCs/>
        </w:rPr>
      </w:pPr>
      <w:r>
        <w:rPr>
          <w:b/>
          <w:bCs/>
        </w:rPr>
        <w:t xml:space="preserve">Table 1: Thermodynamic parameters of adsorption of Pb(II) and Fe(III) ions on unmodified oil palm fruit peduncle. </w:t>
      </w:r>
    </w:p>
    <w:tbl>
      <w:tblPr>
        <w:tblStyle w:val="a6"/>
        <w:tblW w:w="7212" w:type="dxa"/>
        <w:tblLayout w:type="fixed"/>
        <w:tblLook w:val="04A0" w:firstRow="1" w:lastRow="0" w:firstColumn="1" w:lastColumn="0" w:noHBand="0" w:noVBand="1"/>
      </w:tblPr>
      <w:tblGrid>
        <w:gridCol w:w="1041"/>
        <w:gridCol w:w="1114"/>
        <w:gridCol w:w="933"/>
        <w:gridCol w:w="825"/>
        <w:gridCol w:w="1060"/>
        <w:gridCol w:w="1040"/>
        <w:gridCol w:w="1199"/>
      </w:tblGrid>
      <w:tr w:rsidR="00EE307E" w14:paraId="7A4CD6B6" w14:textId="77777777">
        <w:tc>
          <w:tcPr>
            <w:tcW w:w="1041" w:type="dxa"/>
            <w:vMerge w:val="restart"/>
            <w:tcBorders>
              <w:top w:val="single" w:sz="8" w:space="0" w:color="000000"/>
              <w:left w:val="single" w:sz="8" w:space="0" w:color="000000"/>
              <w:right w:val="single" w:sz="8" w:space="0" w:color="000000"/>
            </w:tcBorders>
            <w:shd w:val="clear" w:color="auto" w:fill="FFFFFF"/>
          </w:tcPr>
          <w:p w14:paraId="42F71CCB" w14:textId="77777777" w:rsidR="00EE307E" w:rsidRDefault="002B7228">
            <w:pPr>
              <w:pStyle w:val="a4"/>
              <w:widowControl/>
              <w:spacing w:after="0" w:afterAutospacing="0"/>
              <w:ind w:left="120" w:hangingChars="50" w:hanging="120"/>
              <w:rPr>
                <w:color w:val="000000"/>
              </w:rPr>
            </w:pPr>
            <w:r>
              <w:rPr>
                <w:color w:val="000000"/>
              </w:rPr>
              <w:t>Temp. (K)</w:t>
            </w:r>
          </w:p>
        </w:tc>
        <w:tc>
          <w:tcPr>
            <w:tcW w:w="2872" w:type="dxa"/>
            <w:gridSpan w:val="3"/>
            <w:tcBorders>
              <w:top w:val="single" w:sz="8" w:space="0" w:color="000000"/>
              <w:left w:val="single" w:sz="8" w:space="0" w:color="000000"/>
              <w:bottom w:val="single" w:sz="8" w:space="0" w:color="000000"/>
              <w:right w:val="single" w:sz="8" w:space="0" w:color="000000"/>
            </w:tcBorders>
            <w:shd w:val="clear" w:color="auto" w:fill="FFFFFF"/>
          </w:tcPr>
          <w:p w14:paraId="1D187915" w14:textId="77777777" w:rsidR="00EE307E" w:rsidRDefault="002B7228">
            <w:pPr>
              <w:pStyle w:val="a4"/>
              <w:widowControl/>
              <w:spacing w:after="0" w:afterAutospacing="0"/>
              <w:rPr>
                <w:color w:val="000000"/>
              </w:rPr>
            </w:pPr>
            <w:r>
              <w:rPr>
                <w:color w:val="000000"/>
              </w:rPr>
              <w:t xml:space="preserve">         Pb (II)</w:t>
            </w:r>
          </w:p>
        </w:tc>
        <w:tc>
          <w:tcPr>
            <w:tcW w:w="329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EE9CC3B" w14:textId="77777777" w:rsidR="00EE307E" w:rsidRDefault="002B7228">
            <w:pPr>
              <w:pStyle w:val="a4"/>
              <w:widowControl/>
              <w:spacing w:after="0" w:afterAutospacing="0"/>
              <w:rPr>
                <w:color w:val="000000"/>
              </w:rPr>
            </w:pPr>
            <w:r>
              <w:rPr>
                <w:color w:val="000000"/>
              </w:rPr>
              <w:t xml:space="preserve">   Fe (III)</w:t>
            </w:r>
          </w:p>
        </w:tc>
      </w:tr>
      <w:tr w:rsidR="00EE307E" w14:paraId="0FEE3796" w14:textId="77777777">
        <w:tc>
          <w:tcPr>
            <w:tcW w:w="1041" w:type="dxa"/>
            <w:vMerge/>
            <w:tcBorders>
              <w:left w:val="single" w:sz="8" w:space="0" w:color="000000"/>
              <w:bottom w:val="single" w:sz="8" w:space="0" w:color="000000"/>
              <w:right w:val="single" w:sz="8" w:space="0" w:color="000000"/>
            </w:tcBorders>
            <w:shd w:val="clear" w:color="auto" w:fill="FFFFFF"/>
          </w:tcPr>
          <w:p w14:paraId="70D5F7CE" w14:textId="77777777" w:rsidR="00EE307E" w:rsidRDefault="00EE307E">
            <w:pPr>
              <w:pStyle w:val="a4"/>
              <w:widowControl/>
              <w:spacing w:after="0" w:afterAutospacing="0"/>
              <w:rPr>
                <w:color w:val="000000"/>
              </w:rPr>
            </w:pP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5B90850F" w14:textId="77777777" w:rsidR="00EE307E" w:rsidRDefault="002B7228">
            <w:pPr>
              <w:pStyle w:val="a4"/>
              <w:widowControl/>
              <w:spacing w:after="0" w:afterAutospacing="0"/>
              <w:rPr>
                <w:rFonts w:cs="Times New Roman"/>
                <w:color w:val="000000"/>
              </w:rPr>
            </w:pPr>
            <w:r>
              <w:rPr>
                <w:rFonts w:cs="Times New Roman"/>
                <w:color w:val="000000"/>
              </w:rPr>
              <w:t>ΔG°</w:t>
            </w:r>
          </w:p>
          <w:p w14:paraId="524D6797" w14:textId="77777777" w:rsidR="00EE307E" w:rsidRDefault="002B7228">
            <w:pPr>
              <w:pStyle w:val="a4"/>
              <w:widowControl/>
              <w:spacing w:after="0" w:afterAutospacing="0"/>
              <w:rPr>
                <w:color w:val="000000"/>
              </w:rPr>
            </w:pPr>
            <w:r>
              <w:rPr>
                <w:rFonts w:cs="Times New Roman"/>
                <w:color w:val="000000"/>
              </w:rPr>
              <w:t>kJ/mol</w:t>
            </w:r>
          </w:p>
        </w:tc>
        <w:tc>
          <w:tcPr>
            <w:tcW w:w="933" w:type="dxa"/>
            <w:tcBorders>
              <w:top w:val="single" w:sz="8" w:space="0" w:color="000000"/>
              <w:left w:val="single" w:sz="8" w:space="0" w:color="000000"/>
              <w:bottom w:val="single" w:sz="8" w:space="0" w:color="000000"/>
              <w:right w:val="single" w:sz="8" w:space="0" w:color="000000"/>
            </w:tcBorders>
            <w:shd w:val="clear" w:color="auto" w:fill="FFFFFF"/>
          </w:tcPr>
          <w:p w14:paraId="7E8BEF35" w14:textId="77777777" w:rsidR="00EE307E" w:rsidRDefault="002B7228">
            <w:pPr>
              <w:pStyle w:val="a4"/>
              <w:widowControl/>
              <w:spacing w:after="0" w:afterAutospacing="0"/>
              <w:rPr>
                <w:rFonts w:cs="Times New Roman"/>
                <w:color w:val="000000"/>
              </w:rPr>
            </w:pPr>
            <w:r>
              <w:rPr>
                <w:rFonts w:cs="Times New Roman"/>
                <w:color w:val="000000"/>
              </w:rPr>
              <w:t>ΔH°</w:t>
            </w:r>
          </w:p>
          <w:p w14:paraId="5964BEE9" w14:textId="77777777" w:rsidR="00EE307E" w:rsidRDefault="002B7228">
            <w:pPr>
              <w:pStyle w:val="a4"/>
              <w:widowControl/>
              <w:spacing w:after="0" w:afterAutospacing="0"/>
              <w:rPr>
                <w:rFonts w:cs="Times New Roman"/>
                <w:color w:val="000000"/>
              </w:rPr>
            </w:pPr>
            <w:r>
              <w:rPr>
                <w:rFonts w:cs="Times New Roman"/>
                <w:color w:val="000000"/>
              </w:rPr>
              <w:t>kJ/mol</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14:paraId="08FCD7D3" w14:textId="77777777" w:rsidR="00EE307E" w:rsidRDefault="002B7228">
            <w:pPr>
              <w:pStyle w:val="a4"/>
              <w:widowControl/>
              <w:spacing w:after="0" w:afterAutospacing="0"/>
              <w:rPr>
                <w:rFonts w:cs="Times New Roman"/>
                <w:color w:val="000000"/>
              </w:rPr>
            </w:pPr>
            <w:r>
              <w:rPr>
                <w:rFonts w:cs="Times New Roman"/>
                <w:color w:val="000000"/>
              </w:rPr>
              <w:t>ΔS°</w:t>
            </w:r>
          </w:p>
          <w:p w14:paraId="66F071B2" w14:textId="77777777" w:rsidR="00EE307E" w:rsidRDefault="002B7228">
            <w:pPr>
              <w:pStyle w:val="a4"/>
              <w:widowControl/>
              <w:spacing w:after="0" w:afterAutospacing="0"/>
              <w:rPr>
                <w:rFonts w:cs="Times New Roman"/>
                <w:color w:val="000000"/>
              </w:rPr>
            </w:pPr>
            <w:r>
              <w:rPr>
                <w:rFonts w:cs="Times New Roman"/>
                <w:color w:val="000000"/>
              </w:rPr>
              <w:t>J/mol</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3146B4C6" w14:textId="77777777" w:rsidR="00EE307E" w:rsidRDefault="002B7228">
            <w:pPr>
              <w:pStyle w:val="a4"/>
              <w:widowControl/>
              <w:spacing w:after="0" w:afterAutospacing="0"/>
              <w:rPr>
                <w:rFonts w:cs="Times New Roman"/>
                <w:color w:val="000000"/>
              </w:rPr>
            </w:pPr>
            <w:r>
              <w:rPr>
                <w:rFonts w:cs="Times New Roman"/>
                <w:color w:val="000000"/>
              </w:rPr>
              <w:t>ΔG°</w:t>
            </w:r>
          </w:p>
          <w:p w14:paraId="0091D41E" w14:textId="77777777" w:rsidR="00EE307E" w:rsidRDefault="002B7228">
            <w:pPr>
              <w:pStyle w:val="a4"/>
              <w:widowControl/>
              <w:spacing w:after="0" w:afterAutospacing="0"/>
              <w:rPr>
                <w:color w:val="000000"/>
              </w:rPr>
            </w:pPr>
            <w:r>
              <w:rPr>
                <w:rFonts w:cs="Times New Roman"/>
                <w:color w:val="000000"/>
              </w:rPr>
              <w:t>kJ/mol</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Pr>
          <w:p w14:paraId="7583419C" w14:textId="77777777" w:rsidR="00EE307E" w:rsidRDefault="002B7228">
            <w:pPr>
              <w:pStyle w:val="a4"/>
              <w:widowControl/>
              <w:spacing w:after="0" w:afterAutospacing="0"/>
              <w:rPr>
                <w:rFonts w:cs="Times New Roman"/>
                <w:color w:val="000000"/>
              </w:rPr>
            </w:pPr>
            <w:r>
              <w:rPr>
                <w:rFonts w:cs="Times New Roman"/>
                <w:color w:val="000000"/>
              </w:rPr>
              <w:t>ΔH°</w:t>
            </w:r>
          </w:p>
          <w:p w14:paraId="4778FF26" w14:textId="77777777" w:rsidR="00EE307E" w:rsidRDefault="002B7228">
            <w:pPr>
              <w:pStyle w:val="a4"/>
              <w:widowControl/>
              <w:spacing w:after="0" w:afterAutospacing="0"/>
              <w:rPr>
                <w:rFonts w:cs="Times New Roman"/>
                <w:color w:val="000000"/>
              </w:rPr>
            </w:pPr>
            <w:r>
              <w:rPr>
                <w:rFonts w:cs="Times New Roman"/>
                <w:color w:val="000000"/>
              </w:rPr>
              <w:t>kJ/mol</w:t>
            </w:r>
          </w:p>
        </w:tc>
        <w:tc>
          <w:tcPr>
            <w:tcW w:w="1199" w:type="dxa"/>
            <w:tcBorders>
              <w:top w:val="single" w:sz="8" w:space="0" w:color="000000"/>
              <w:left w:val="single" w:sz="8" w:space="0" w:color="000000"/>
              <w:bottom w:val="single" w:sz="8" w:space="0" w:color="000000"/>
              <w:right w:val="single" w:sz="8" w:space="0" w:color="000000"/>
            </w:tcBorders>
            <w:shd w:val="clear" w:color="auto" w:fill="FFFFFF"/>
          </w:tcPr>
          <w:p w14:paraId="07E13564" w14:textId="77777777" w:rsidR="00EE307E" w:rsidRDefault="002B7228">
            <w:pPr>
              <w:pStyle w:val="a4"/>
              <w:widowControl/>
              <w:spacing w:after="0" w:afterAutospacing="0"/>
              <w:rPr>
                <w:rFonts w:cs="Times New Roman"/>
                <w:color w:val="000000"/>
              </w:rPr>
            </w:pPr>
            <w:r>
              <w:rPr>
                <w:rFonts w:cs="Times New Roman"/>
                <w:color w:val="000000"/>
              </w:rPr>
              <w:t>ΔS°</w:t>
            </w:r>
          </w:p>
          <w:p w14:paraId="65C9F5F9" w14:textId="77777777" w:rsidR="00EE307E" w:rsidRDefault="002B7228">
            <w:pPr>
              <w:pStyle w:val="a4"/>
              <w:widowControl/>
              <w:spacing w:after="0" w:afterAutospacing="0"/>
              <w:rPr>
                <w:rFonts w:cs="Times New Roman"/>
                <w:color w:val="000000"/>
              </w:rPr>
            </w:pPr>
            <w:r>
              <w:rPr>
                <w:rFonts w:cs="Times New Roman"/>
                <w:color w:val="000000"/>
              </w:rPr>
              <w:t>J/mol</w:t>
            </w:r>
          </w:p>
        </w:tc>
      </w:tr>
      <w:tr w:rsidR="00EE307E" w14:paraId="33D11BCA" w14:textId="77777777">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40D73F12" w14:textId="77777777" w:rsidR="00EE307E" w:rsidRDefault="002B7228">
            <w:pPr>
              <w:pStyle w:val="a4"/>
              <w:widowControl/>
              <w:spacing w:after="0" w:afterAutospacing="0"/>
              <w:rPr>
                <w:color w:val="000000"/>
              </w:rPr>
            </w:pPr>
            <w:r>
              <w:rPr>
                <w:color w:val="000000"/>
              </w:rPr>
              <w:t>303</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1C9B7D9E" w14:textId="77777777" w:rsidR="00EE307E" w:rsidRDefault="002B7228">
            <w:pPr>
              <w:pStyle w:val="a4"/>
              <w:widowControl/>
              <w:spacing w:after="0" w:afterAutospacing="0"/>
              <w:rPr>
                <w:color w:val="000000"/>
              </w:rPr>
            </w:pPr>
            <w:r>
              <w:rPr>
                <w:color w:val="000000"/>
              </w:rPr>
              <w:t>- 5.490</w:t>
            </w:r>
          </w:p>
        </w:tc>
        <w:tc>
          <w:tcPr>
            <w:tcW w:w="933" w:type="dxa"/>
            <w:vMerge w:val="restart"/>
            <w:tcBorders>
              <w:top w:val="single" w:sz="8" w:space="0" w:color="000000"/>
              <w:left w:val="single" w:sz="8" w:space="0" w:color="000000"/>
              <w:right w:val="single" w:sz="8" w:space="0" w:color="000000"/>
            </w:tcBorders>
            <w:shd w:val="clear" w:color="auto" w:fill="FFFFFF"/>
          </w:tcPr>
          <w:p w14:paraId="142ED557" w14:textId="77777777" w:rsidR="00EE307E" w:rsidRDefault="00EE307E">
            <w:pPr>
              <w:pStyle w:val="a4"/>
              <w:widowControl/>
              <w:spacing w:after="0" w:afterAutospacing="0"/>
              <w:rPr>
                <w:color w:val="000000"/>
              </w:rPr>
            </w:pPr>
          </w:p>
          <w:p w14:paraId="63BB3442" w14:textId="77777777" w:rsidR="00EE307E" w:rsidRDefault="002B7228">
            <w:pPr>
              <w:pStyle w:val="a4"/>
              <w:widowControl/>
              <w:spacing w:after="0" w:afterAutospacing="0"/>
              <w:rPr>
                <w:color w:val="000000"/>
              </w:rPr>
            </w:pPr>
            <w:r>
              <w:rPr>
                <w:color w:val="000000"/>
              </w:rPr>
              <w:t>-11.97</w:t>
            </w:r>
          </w:p>
        </w:tc>
        <w:tc>
          <w:tcPr>
            <w:tcW w:w="825" w:type="dxa"/>
            <w:vMerge w:val="restart"/>
            <w:tcBorders>
              <w:top w:val="single" w:sz="8" w:space="0" w:color="000000"/>
              <w:left w:val="single" w:sz="8" w:space="0" w:color="000000"/>
              <w:right w:val="single" w:sz="8" w:space="0" w:color="000000"/>
            </w:tcBorders>
            <w:shd w:val="clear" w:color="auto" w:fill="FFFFFF"/>
          </w:tcPr>
          <w:p w14:paraId="1FD0B706" w14:textId="77777777" w:rsidR="00EE307E" w:rsidRDefault="00EE307E">
            <w:pPr>
              <w:pStyle w:val="a4"/>
              <w:widowControl/>
              <w:spacing w:after="0" w:afterAutospacing="0"/>
              <w:rPr>
                <w:color w:val="000000"/>
              </w:rPr>
            </w:pPr>
          </w:p>
          <w:p w14:paraId="250A1C00" w14:textId="77777777" w:rsidR="00EE307E" w:rsidRDefault="002B7228">
            <w:pPr>
              <w:pStyle w:val="a4"/>
              <w:widowControl/>
              <w:spacing w:after="0" w:afterAutospacing="0"/>
              <w:rPr>
                <w:color w:val="000000"/>
              </w:rPr>
            </w:pPr>
            <w:r>
              <w:rPr>
                <w:color w:val="000000"/>
              </w:rPr>
              <w:t>22.62</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0FE0F608" w14:textId="77777777" w:rsidR="00EE307E" w:rsidRDefault="002B7228">
            <w:pPr>
              <w:pStyle w:val="a4"/>
              <w:widowControl/>
              <w:spacing w:after="0" w:afterAutospacing="0"/>
              <w:rPr>
                <w:color w:val="000000"/>
              </w:rPr>
            </w:pPr>
            <w:r>
              <w:rPr>
                <w:color w:val="000000"/>
              </w:rPr>
              <w:t>- 2.830</w:t>
            </w:r>
          </w:p>
        </w:tc>
        <w:tc>
          <w:tcPr>
            <w:tcW w:w="1040" w:type="dxa"/>
            <w:vMerge w:val="restart"/>
            <w:tcBorders>
              <w:top w:val="single" w:sz="8" w:space="0" w:color="000000"/>
              <w:left w:val="single" w:sz="8" w:space="0" w:color="000000"/>
              <w:right w:val="single" w:sz="8" w:space="0" w:color="000000"/>
            </w:tcBorders>
            <w:shd w:val="clear" w:color="auto" w:fill="FFFFFF"/>
          </w:tcPr>
          <w:p w14:paraId="444B5611" w14:textId="77777777" w:rsidR="00EE307E" w:rsidRDefault="00EE307E">
            <w:pPr>
              <w:pStyle w:val="a4"/>
              <w:widowControl/>
              <w:spacing w:after="0" w:afterAutospacing="0"/>
              <w:rPr>
                <w:color w:val="000000"/>
              </w:rPr>
            </w:pPr>
          </w:p>
          <w:p w14:paraId="193196C1" w14:textId="77777777" w:rsidR="00EE307E" w:rsidRDefault="002B7228">
            <w:pPr>
              <w:pStyle w:val="a4"/>
              <w:widowControl/>
              <w:spacing w:after="0" w:afterAutospacing="0"/>
              <w:rPr>
                <w:color w:val="000000"/>
              </w:rPr>
            </w:pPr>
            <w:r>
              <w:rPr>
                <w:color w:val="000000"/>
              </w:rPr>
              <w:t>- 10.19</w:t>
            </w:r>
          </w:p>
        </w:tc>
        <w:tc>
          <w:tcPr>
            <w:tcW w:w="1199" w:type="dxa"/>
            <w:vMerge w:val="restart"/>
            <w:tcBorders>
              <w:top w:val="single" w:sz="8" w:space="0" w:color="000000"/>
              <w:left w:val="single" w:sz="8" w:space="0" w:color="000000"/>
              <w:right w:val="single" w:sz="8" w:space="0" w:color="000000"/>
            </w:tcBorders>
            <w:shd w:val="clear" w:color="auto" w:fill="FFFFFF"/>
          </w:tcPr>
          <w:p w14:paraId="1E713605" w14:textId="77777777" w:rsidR="00EE307E" w:rsidRDefault="00EE307E">
            <w:pPr>
              <w:pStyle w:val="a4"/>
              <w:widowControl/>
              <w:spacing w:after="0" w:afterAutospacing="0"/>
              <w:rPr>
                <w:color w:val="000000"/>
              </w:rPr>
            </w:pPr>
          </w:p>
          <w:p w14:paraId="7832115D" w14:textId="77777777" w:rsidR="00EE307E" w:rsidRDefault="002B7228">
            <w:pPr>
              <w:pStyle w:val="a4"/>
              <w:widowControl/>
              <w:spacing w:after="0" w:afterAutospacing="0"/>
              <w:rPr>
                <w:color w:val="000000"/>
              </w:rPr>
            </w:pPr>
            <w:r>
              <w:rPr>
                <w:color w:val="000000"/>
              </w:rPr>
              <w:t>24.300</w:t>
            </w:r>
          </w:p>
        </w:tc>
      </w:tr>
      <w:tr w:rsidR="00EE307E" w14:paraId="042E34C2" w14:textId="77777777">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7823E9B9" w14:textId="77777777" w:rsidR="00EE307E" w:rsidRDefault="002B7228">
            <w:pPr>
              <w:pStyle w:val="a4"/>
              <w:widowControl/>
              <w:spacing w:after="0" w:afterAutospacing="0"/>
              <w:rPr>
                <w:color w:val="000000"/>
              </w:rPr>
            </w:pPr>
            <w:r>
              <w:rPr>
                <w:color w:val="000000"/>
              </w:rPr>
              <w:t>313</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14CA5A24" w14:textId="77777777" w:rsidR="00EE307E" w:rsidRDefault="002B7228">
            <w:pPr>
              <w:pStyle w:val="a4"/>
              <w:widowControl/>
              <w:spacing w:after="0" w:afterAutospacing="0"/>
              <w:rPr>
                <w:color w:val="000000"/>
              </w:rPr>
            </w:pPr>
            <w:r>
              <w:rPr>
                <w:color w:val="000000"/>
              </w:rPr>
              <w:t>- 4.390</w:t>
            </w:r>
          </w:p>
        </w:tc>
        <w:tc>
          <w:tcPr>
            <w:tcW w:w="933" w:type="dxa"/>
            <w:vMerge/>
            <w:tcBorders>
              <w:left w:val="single" w:sz="8" w:space="0" w:color="000000"/>
              <w:right w:val="single" w:sz="8" w:space="0" w:color="000000"/>
            </w:tcBorders>
            <w:shd w:val="clear" w:color="auto" w:fill="FFFFFF"/>
          </w:tcPr>
          <w:p w14:paraId="31F0DB57" w14:textId="77777777" w:rsidR="00EE307E" w:rsidRDefault="00EE307E">
            <w:pPr>
              <w:pStyle w:val="a4"/>
              <w:widowControl/>
              <w:spacing w:after="0" w:afterAutospacing="0"/>
              <w:rPr>
                <w:color w:val="000000"/>
              </w:rPr>
            </w:pPr>
          </w:p>
        </w:tc>
        <w:tc>
          <w:tcPr>
            <w:tcW w:w="825" w:type="dxa"/>
            <w:vMerge/>
            <w:tcBorders>
              <w:left w:val="single" w:sz="8" w:space="0" w:color="000000"/>
              <w:right w:val="single" w:sz="8" w:space="0" w:color="000000"/>
            </w:tcBorders>
            <w:shd w:val="clear" w:color="auto" w:fill="FFFFFF"/>
          </w:tcPr>
          <w:p w14:paraId="001B5E4B" w14:textId="77777777" w:rsidR="00EE307E" w:rsidRDefault="00EE307E">
            <w:pPr>
              <w:pStyle w:val="a4"/>
              <w:widowControl/>
              <w:spacing w:after="0" w:afterAutospacing="0"/>
              <w:rPr>
                <w:color w:val="000000"/>
              </w:rPr>
            </w:pP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34FD13E0" w14:textId="77777777" w:rsidR="00EE307E" w:rsidRDefault="002B7228">
            <w:pPr>
              <w:pStyle w:val="a4"/>
              <w:widowControl/>
              <w:spacing w:after="0" w:afterAutospacing="0"/>
              <w:rPr>
                <w:color w:val="000000"/>
              </w:rPr>
            </w:pPr>
            <w:r>
              <w:rPr>
                <w:color w:val="000000"/>
              </w:rPr>
              <w:t>- 2.500</w:t>
            </w:r>
          </w:p>
        </w:tc>
        <w:tc>
          <w:tcPr>
            <w:tcW w:w="1040" w:type="dxa"/>
            <w:vMerge/>
            <w:tcBorders>
              <w:left w:val="single" w:sz="8" w:space="0" w:color="000000"/>
              <w:right w:val="single" w:sz="8" w:space="0" w:color="000000"/>
            </w:tcBorders>
            <w:shd w:val="clear" w:color="auto" w:fill="FFFFFF"/>
          </w:tcPr>
          <w:p w14:paraId="6BF04DCB" w14:textId="77777777" w:rsidR="00EE307E" w:rsidRDefault="00EE307E">
            <w:pPr>
              <w:pStyle w:val="a4"/>
              <w:widowControl/>
              <w:spacing w:after="0" w:afterAutospacing="0"/>
              <w:rPr>
                <w:color w:val="000000"/>
              </w:rPr>
            </w:pPr>
          </w:p>
        </w:tc>
        <w:tc>
          <w:tcPr>
            <w:tcW w:w="1199" w:type="dxa"/>
            <w:vMerge/>
            <w:tcBorders>
              <w:left w:val="single" w:sz="8" w:space="0" w:color="000000"/>
              <w:right w:val="single" w:sz="8" w:space="0" w:color="000000"/>
            </w:tcBorders>
            <w:shd w:val="clear" w:color="auto" w:fill="FFFFFF"/>
          </w:tcPr>
          <w:p w14:paraId="7CE54FAA" w14:textId="77777777" w:rsidR="00EE307E" w:rsidRDefault="00EE307E">
            <w:pPr>
              <w:pStyle w:val="a4"/>
              <w:widowControl/>
              <w:spacing w:after="0" w:afterAutospacing="0"/>
              <w:rPr>
                <w:color w:val="000000"/>
              </w:rPr>
            </w:pPr>
          </w:p>
        </w:tc>
      </w:tr>
      <w:tr w:rsidR="00EE307E" w14:paraId="206D729C" w14:textId="77777777">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7BAA9DA9" w14:textId="77777777" w:rsidR="00EE307E" w:rsidRDefault="002B7228">
            <w:pPr>
              <w:pStyle w:val="a4"/>
              <w:widowControl/>
              <w:spacing w:after="0" w:afterAutospacing="0"/>
              <w:rPr>
                <w:color w:val="000000"/>
              </w:rPr>
            </w:pPr>
            <w:r>
              <w:rPr>
                <w:color w:val="000000"/>
              </w:rPr>
              <w:t>323</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5B6F5C85" w14:textId="77777777" w:rsidR="00EE307E" w:rsidRDefault="002B7228">
            <w:pPr>
              <w:pStyle w:val="a4"/>
              <w:widowControl/>
              <w:spacing w:after="0" w:afterAutospacing="0"/>
              <w:rPr>
                <w:color w:val="000000"/>
              </w:rPr>
            </w:pPr>
            <w:r>
              <w:rPr>
                <w:color w:val="000000"/>
              </w:rPr>
              <w:t>- 4.420</w:t>
            </w:r>
          </w:p>
        </w:tc>
        <w:tc>
          <w:tcPr>
            <w:tcW w:w="933" w:type="dxa"/>
            <w:vMerge/>
            <w:tcBorders>
              <w:left w:val="single" w:sz="8" w:space="0" w:color="000000"/>
              <w:right w:val="single" w:sz="8" w:space="0" w:color="000000"/>
            </w:tcBorders>
            <w:shd w:val="clear" w:color="auto" w:fill="FFFFFF"/>
          </w:tcPr>
          <w:p w14:paraId="5A3D4B88" w14:textId="77777777" w:rsidR="00EE307E" w:rsidRDefault="00EE307E">
            <w:pPr>
              <w:pStyle w:val="a4"/>
              <w:widowControl/>
              <w:spacing w:after="0" w:afterAutospacing="0"/>
              <w:rPr>
                <w:color w:val="000000"/>
              </w:rPr>
            </w:pPr>
          </w:p>
        </w:tc>
        <w:tc>
          <w:tcPr>
            <w:tcW w:w="825" w:type="dxa"/>
            <w:vMerge/>
            <w:tcBorders>
              <w:left w:val="single" w:sz="8" w:space="0" w:color="000000"/>
              <w:right w:val="single" w:sz="8" w:space="0" w:color="000000"/>
            </w:tcBorders>
            <w:shd w:val="clear" w:color="auto" w:fill="FFFFFF"/>
          </w:tcPr>
          <w:p w14:paraId="7C878BDA" w14:textId="77777777" w:rsidR="00EE307E" w:rsidRDefault="00EE307E">
            <w:pPr>
              <w:pStyle w:val="a4"/>
              <w:widowControl/>
              <w:spacing w:after="0" w:afterAutospacing="0"/>
              <w:rPr>
                <w:color w:val="000000"/>
              </w:rPr>
            </w:pP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770D162A" w14:textId="77777777" w:rsidR="00EE307E" w:rsidRDefault="002B7228">
            <w:pPr>
              <w:pStyle w:val="a4"/>
              <w:widowControl/>
              <w:spacing w:after="0" w:afterAutospacing="0"/>
              <w:rPr>
                <w:color w:val="000000"/>
              </w:rPr>
            </w:pPr>
            <w:r>
              <w:rPr>
                <w:color w:val="000000"/>
              </w:rPr>
              <w:t>- 2.580</w:t>
            </w:r>
          </w:p>
        </w:tc>
        <w:tc>
          <w:tcPr>
            <w:tcW w:w="1040" w:type="dxa"/>
            <w:vMerge/>
            <w:tcBorders>
              <w:left w:val="single" w:sz="8" w:space="0" w:color="000000"/>
              <w:right w:val="single" w:sz="8" w:space="0" w:color="000000"/>
            </w:tcBorders>
            <w:shd w:val="clear" w:color="auto" w:fill="FFFFFF"/>
          </w:tcPr>
          <w:p w14:paraId="4C183FB8" w14:textId="77777777" w:rsidR="00EE307E" w:rsidRDefault="00EE307E">
            <w:pPr>
              <w:pStyle w:val="a4"/>
              <w:widowControl/>
              <w:spacing w:after="0" w:afterAutospacing="0"/>
              <w:rPr>
                <w:color w:val="000000"/>
              </w:rPr>
            </w:pPr>
          </w:p>
        </w:tc>
        <w:tc>
          <w:tcPr>
            <w:tcW w:w="1199" w:type="dxa"/>
            <w:vMerge/>
            <w:tcBorders>
              <w:left w:val="single" w:sz="8" w:space="0" w:color="000000"/>
              <w:right w:val="single" w:sz="8" w:space="0" w:color="000000"/>
            </w:tcBorders>
            <w:shd w:val="clear" w:color="auto" w:fill="FFFFFF"/>
          </w:tcPr>
          <w:p w14:paraId="5951566D" w14:textId="77777777" w:rsidR="00EE307E" w:rsidRDefault="00EE307E">
            <w:pPr>
              <w:pStyle w:val="a4"/>
              <w:widowControl/>
              <w:spacing w:after="0" w:afterAutospacing="0"/>
              <w:rPr>
                <w:color w:val="000000"/>
              </w:rPr>
            </w:pPr>
          </w:p>
        </w:tc>
      </w:tr>
      <w:tr w:rsidR="00EE307E" w14:paraId="542D07E9" w14:textId="77777777">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21D28A70" w14:textId="77777777" w:rsidR="00EE307E" w:rsidRDefault="002B7228">
            <w:pPr>
              <w:pStyle w:val="a4"/>
              <w:widowControl/>
              <w:spacing w:after="0" w:afterAutospacing="0"/>
              <w:rPr>
                <w:color w:val="000000"/>
              </w:rPr>
            </w:pPr>
            <w:r>
              <w:rPr>
                <w:color w:val="000000"/>
              </w:rPr>
              <w:t>333</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2515B445" w14:textId="77777777" w:rsidR="00EE307E" w:rsidRDefault="002B7228">
            <w:pPr>
              <w:pStyle w:val="a4"/>
              <w:widowControl/>
              <w:spacing w:after="0" w:afterAutospacing="0"/>
              <w:rPr>
                <w:color w:val="000000"/>
              </w:rPr>
            </w:pPr>
            <w:r>
              <w:rPr>
                <w:color w:val="000000"/>
              </w:rPr>
              <w:t>- 4.790</w:t>
            </w:r>
          </w:p>
        </w:tc>
        <w:tc>
          <w:tcPr>
            <w:tcW w:w="933" w:type="dxa"/>
            <w:vMerge/>
            <w:tcBorders>
              <w:left w:val="single" w:sz="8" w:space="0" w:color="000000"/>
              <w:bottom w:val="single" w:sz="8" w:space="0" w:color="000000"/>
              <w:right w:val="single" w:sz="8" w:space="0" w:color="000000"/>
            </w:tcBorders>
            <w:shd w:val="clear" w:color="auto" w:fill="FFFFFF"/>
          </w:tcPr>
          <w:p w14:paraId="4CB17CC7" w14:textId="77777777" w:rsidR="00EE307E" w:rsidRDefault="00EE307E">
            <w:pPr>
              <w:pStyle w:val="a4"/>
              <w:widowControl/>
              <w:spacing w:after="0" w:afterAutospacing="0"/>
              <w:rPr>
                <w:color w:val="000000"/>
              </w:rPr>
            </w:pPr>
          </w:p>
        </w:tc>
        <w:tc>
          <w:tcPr>
            <w:tcW w:w="825" w:type="dxa"/>
            <w:vMerge/>
            <w:tcBorders>
              <w:left w:val="single" w:sz="8" w:space="0" w:color="000000"/>
              <w:bottom w:val="single" w:sz="8" w:space="0" w:color="000000"/>
              <w:right w:val="single" w:sz="8" w:space="0" w:color="000000"/>
            </w:tcBorders>
            <w:shd w:val="clear" w:color="auto" w:fill="FFFFFF"/>
          </w:tcPr>
          <w:p w14:paraId="500CC398" w14:textId="77777777" w:rsidR="00EE307E" w:rsidRDefault="00EE307E">
            <w:pPr>
              <w:pStyle w:val="a4"/>
              <w:widowControl/>
              <w:spacing w:after="0" w:afterAutospacing="0"/>
              <w:rPr>
                <w:color w:val="000000"/>
              </w:rPr>
            </w:pP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14B88E3D" w14:textId="77777777" w:rsidR="00EE307E" w:rsidRDefault="002B7228">
            <w:pPr>
              <w:pStyle w:val="a4"/>
              <w:widowControl/>
              <w:spacing w:after="0" w:afterAutospacing="0"/>
              <w:rPr>
                <w:color w:val="000000"/>
              </w:rPr>
            </w:pPr>
            <w:r>
              <w:rPr>
                <w:color w:val="000000"/>
              </w:rPr>
              <w:t>- 1.990</w:t>
            </w:r>
          </w:p>
        </w:tc>
        <w:tc>
          <w:tcPr>
            <w:tcW w:w="1040" w:type="dxa"/>
            <w:vMerge/>
            <w:tcBorders>
              <w:left w:val="single" w:sz="8" w:space="0" w:color="000000"/>
              <w:bottom w:val="single" w:sz="8" w:space="0" w:color="000000"/>
              <w:right w:val="single" w:sz="8" w:space="0" w:color="000000"/>
            </w:tcBorders>
            <w:shd w:val="clear" w:color="auto" w:fill="FFFFFF"/>
          </w:tcPr>
          <w:p w14:paraId="073582D8" w14:textId="77777777" w:rsidR="00EE307E" w:rsidRDefault="00EE307E">
            <w:pPr>
              <w:pStyle w:val="a4"/>
              <w:widowControl/>
              <w:spacing w:after="0" w:afterAutospacing="0"/>
              <w:rPr>
                <w:color w:val="000000"/>
              </w:rPr>
            </w:pPr>
          </w:p>
        </w:tc>
        <w:tc>
          <w:tcPr>
            <w:tcW w:w="1199" w:type="dxa"/>
            <w:vMerge/>
            <w:tcBorders>
              <w:left w:val="single" w:sz="8" w:space="0" w:color="000000"/>
              <w:bottom w:val="single" w:sz="8" w:space="0" w:color="000000"/>
              <w:right w:val="single" w:sz="8" w:space="0" w:color="000000"/>
            </w:tcBorders>
            <w:shd w:val="clear" w:color="auto" w:fill="FFFFFF"/>
          </w:tcPr>
          <w:p w14:paraId="2AE9534A" w14:textId="77777777" w:rsidR="00EE307E" w:rsidRDefault="00EE307E">
            <w:pPr>
              <w:pStyle w:val="a4"/>
              <w:widowControl/>
              <w:spacing w:after="0" w:afterAutospacing="0"/>
              <w:rPr>
                <w:color w:val="000000"/>
              </w:rPr>
            </w:pPr>
          </w:p>
        </w:tc>
      </w:tr>
    </w:tbl>
    <w:p w14:paraId="5E95612A" w14:textId="77777777" w:rsidR="00EE307E" w:rsidRDefault="00EE307E">
      <w:pPr>
        <w:pStyle w:val="a4"/>
        <w:spacing w:after="0" w:afterAutospacing="0"/>
        <w:jc w:val="both"/>
      </w:pPr>
    </w:p>
    <w:p w14:paraId="23BD7B33" w14:textId="77777777" w:rsidR="00EE307E" w:rsidRDefault="00EE307E">
      <w:pPr>
        <w:pStyle w:val="a4"/>
        <w:spacing w:after="0" w:afterAutospacing="0"/>
        <w:jc w:val="both"/>
        <w:rPr>
          <w:b/>
          <w:bCs/>
        </w:rPr>
      </w:pPr>
    </w:p>
    <w:p w14:paraId="372C1F6E" w14:textId="77777777" w:rsidR="00EE307E" w:rsidRDefault="002B7228">
      <w:pPr>
        <w:pStyle w:val="a4"/>
        <w:spacing w:after="0" w:afterAutospacing="0"/>
        <w:jc w:val="both"/>
        <w:rPr>
          <w:b/>
          <w:bCs/>
        </w:rPr>
      </w:pPr>
      <w:r>
        <w:rPr>
          <w:b/>
          <w:bCs/>
        </w:rPr>
        <w:t>Table 2. Activation parameters of adsorption of</w:t>
      </w:r>
      <w:r>
        <w:t xml:space="preserve"> </w:t>
      </w:r>
      <w:r>
        <w:rPr>
          <w:b/>
          <w:bCs/>
        </w:rPr>
        <w:t xml:space="preserve"> Pb(II) and Fe(III) ions on unmodified oil palm fruit peduncle.  </w:t>
      </w:r>
    </w:p>
    <w:tbl>
      <w:tblPr>
        <w:tblStyle w:val="a6"/>
        <w:tblW w:w="0" w:type="auto"/>
        <w:tblLook w:val="04A0" w:firstRow="1" w:lastRow="0" w:firstColumn="1" w:lastColumn="0" w:noHBand="0" w:noVBand="1"/>
      </w:tblPr>
      <w:tblGrid>
        <w:gridCol w:w="2563"/>
        <w:gridCol w:w="1761"/>
        <w:gridCol w:w="2696"/>
      </w:tblGrid>
      <w:tr w:rsidR="00EE307E" w14:paraId="4B89AFCE" w14:textId="77777777">
        <w:tc>
          <w:tcPr>
            <w:tcW w:w="2563" w:type="dxa"/>
            <w:tcBorders>
              <w:top w:val="dotted" w:sz="4" w:space="0" w:color="auto"/>
              <w:left w:val="dotted" w:sz="4" w:space="0" w:color="auto"/>
              <w:bottom w:val="dotted" w:sz="4" w:space="0" w:color="auto"/>
              <w:right w:val="dotted" w:sz="4" w:space="0" w:color="auto"/>
            </w:tcBorders>
            <w:shd w:val="clear" w:color="auto" w:fill="FFFFFF"/>
          </w:tcPr>
          <w:p w14:paraId="32BE98E0" w14:textId="77777777" w:rsidR="00EE307E" w:rsidRDefault="002B7228">
            <w:pPr>
              <w:pStyle w:val="a4"/>
              <w:widowControl/>
              <w:spacing w:after="0" w:afterAutospacing="0"/>
              <w:rPr>
                <w:color w:val="000000"/>
              </w:rPr>
            </w:pPr>
            <w:r>
              <w:rPr>
                <w:color w:val="000000"/>
              </w:rPr>
              <w:t>Parameters</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14:paraId="54FBA204" w14:textId="77777777" w:rsidR="00EE307E" w:rsidRDefault="002B7228">
            <w:pPr>
              <w:pStyle w:val="a4"/>
              <w:widowControl/>
              <w:spacing w:after="0" w:afterAutospacing="0"/>
              <w:rPr>
                <w:color w:val="000000"/>
              </w:rPr>
            </w:pPr>
            <w:r>
              <w:rPr>
                <w:color w:val="000000"/>
              </w:rPr>
              <w:t xml:space="preserve"> Pb (II)</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14:paraId="548348B8" w14:textId="77777777" w:rsidR="00EE307E" w:rsidRDefault="002B7228">
            <w:pPr>
              <w:pStyle w:val="a4"/>
              <w:widowControl/>
              <w:spacing w:after="0" w:afterAutospacing="0"/>
              <w:rPr>
                <w:color w:val="000000"/>
              </w:rPr>
            </w:pPr>
            <w:r>
              <w:rPr>
                <w:color w:val="000000"/>
              </w:rPr>
              <w:t>Fe(III)</w:t>
            </w:r>
          </w:p>
        </w:tc>
      </w:tr>
      <w:tr w:rsidR="00EE307E" w14:paraId="5B4C8604" w14:textId="77777777">
        <w:tc>
          <w:tcPr>
            <w:tcW w:w="2563" w:type="dxa"/>
            <w:tcBorders>
              <w:top w:val="dotted" w:sz="4" w:space="0" w:color="auto"/>
              <w:left w:val="dotted" w:sz="4" w:space="0" w:color="auto"/>
              <w:bottom w:val="dotted" w:sz="4" w:space="0" w:color="auto"/>
              <w:right w:val="dotted" w:sz="4" w:space="0" w:color="auto"/>
            </w:tcBorders>
            <w:shd w:val="clear" w:color="auto" w:fill="FFFFFF"/>
          </w:tcPr>
          <w:p w14:paraId="7C2A606D" w14:textId="77777777" w:rsidR="00EE307E" w:rsidRDefault="002B7228">
            <w:pPr>
              <w:pStyle w:val="a4"/>
              <w:widowControl/>
              <w:spacing w:after="0" w:afterAutospacing="0"/>
              <w:rPr>
                <w:color w:val="000000"/>
              </w:rPr>
            </w:pPr>
            <w:proofErr w:type="spellStart"/>
            <w:r>
              <w:rPr>
                <w:color w:val="000000"/>
              </w:rPr>
              <w:t>E</w:t>
            </w:r>
            <w:r>
              <w:rPr>
                <w:color w:val="000000"/>
                <w:vertAlign w:val="subscript"/>
              </w:rPr>
              <w:t>a</w:t>
            </w:r>
            <w:proofErr w:type="spellEnd"/>
            <w:r>
              <w:rPr>
                <w:color w:val="000000"/>
              </w:rPr>
              <w:t xml:space="preserve">    (kJ/mol)</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14:paraId="00C239B3" w14:textId="77777777" w:rsidR="00EE307E" w:rsidRDefault="002B7228">
            <w:pPr>
              <w:pStyle w:val="a4"/>
              <w:widowControl/>
              <w:spacing w:after="0" w:afterAutospacing="0"/>
              <w:rPr>
                <w:color w:val="000000"/>
              </w:rPr>
            </w:pPr>
            <w:r>
              <w:rPr>
                <w:color w:val="000000"/>
              </w:rPr>
              <w:t>- 10.41</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14:paraId="362C447F" w14:textId="77777777" w:rsidR="00EE307E" w:rsidRDefault="002B7228">
            <w:pPr>
              <w:pStyle w:val="a4"/>
              <w:widowControl/>
              <w:spacing w:after="0" w:afterAutospacing="0"/>
              <w:rPr>
                <w:color w:val="000000"/>
              </w:rPr>
            </w:pPr>
            <w:r>
              <w:rPr>
                <w:color w:val="000000"/>
              </w:rPr>
              <w:t>-7.81</w:t>
            </w:r>
          </w:p>
        </w:tc>
      </w:tr>
      <w:tr w:rsidR="00EE307E" w14:paraId="1B3B133B" w14:textId="77777777">
        <w:tc>
          <w:tcPr>
            <w:tcW w:w="2563" w:type="dxa"/>
            <w:tcBorders>
              <w:top w:val="dotted" w:sz="4" w:space="0" w:color="auto"/>
              <w:left w:val="dotted" w:sz="4" w:space="0" w:color="auto"/>
              <w:bottom w:val="dotted" w:sz="4" w:space="0" w:color="auto"/>
              <w:right w:val="dotted" w:sz="4" w:space="0" w:color="auto"/>
            </w:tcBorders>
            <w:shd w:val="clear" w:color="auto" w:fill="FFFFFF"/>
          </w:tcPr>
          <w:p w14:paraId="21BE3081" w14:textId="77777777" w:rsidR="00EE307E" w:rsidRDefault="002B7228">
            <w:pPr>
              <w:pStyle w:val="a4"/>
              <w:widowControl/>
              <w:spacing w:after="0" w:afterAutospacing="0"/>
              <w:rPr>
                <w:color w:val="000000"/>
              </w:rPr>
            </w:pPr>
            <w:proofErr w:type="spellStart"/>
            <w:r>
              <w:rPr>
                <w:rFonts w:cs="Times New Roman"/>
                <w:color w:val="000000"/>
              </w:rPr>
              <w:t>Δ</w:t>
            </w:r>
            <w:r>
              <w:rPr>
                <w:color w:val="000000"/>
              </w:rPr>
              <w:t>H</w:t>
            </w:r>
            <w:r>
              <w:rPr>
                <w:color w:val="000000"/>
                <w:vertAlign w:val="subscript"/>
              </w:rPr>
              <w:t>x</w:t>
            </w:r>
            <w:proofErr w:type="spellEnd"/>
            <w:r>
              <w:rPr>
                <w:color w:val="000000"/>
              </w:rPr>
              <w:t xml:space="preserve"> (kJ/mol)</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14:paraId="185791AB" w14:textId="77777777" w:rsidR="00EE307E" w:rsidRDefault="002B7228">
            <w:pPr>
              <w:pStyle w:val="a4"/>
              <w:widowControl/>
              <w:spacing w:after="0" w:afterAutospacing="0"/>
              <w:ind w:firstLineChars="50" w:firstLine="120"/>
              <w:rPr>
                <w:color w:val="000000"/>
              </w:rPr>
            </w:pPr>
            <w:r>
              <w:rPr>
                <w:color w:val="000000"/>
              </w:rPr>
              <w:t>10.50</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14:paraId="727C0790" w14:textId="77777777" w:rsidR="00EE307E" w:rsidRDefault="002B7228">
            <w:pPr>
              <w:pStyle w:val="a4"/>
              <w:widowControl/>
              <w:spacing w:after="0" w:afterAutospacing="0"/>
              <w:rPr>
                <w:color w:val="000000"/>
              </w:rPr>
            </w:pPr>
            <w:r>
              <w:rPr>
                <w:color w:val="000000"/>
              </w:rPr>
              <w:t>7.87</w:t>
            </w:r>
          </w:p>
        </w:tc>
      </w:tr>
      <w:tr w:rsidR="00EE307E" w14:paraId="7C097D26" w14:textId="77777777">
        <w:tc>
          <w:tcPr>
            <w:tcW w:w="2563" w:type="dxa"/>
            <w:tcBorders>
              <w:top w:val="dotted" w:sz="4" w:space="0" w:color="auto"/>
              <w:left w:val="dotted" w:sz="4" w:space="0" w:color="auto"/>
              <w:bottom w:val="dotted" w:sz="4" w:space="0" w:color="auto"/>
              <w:right w:val="dotted" w:sz="4" w:space="0" w:color="auto"/>
            </w:tcBorders>
            <w:shd w:val="clear" w:color="auto" w:fill="FFFFFF"/>
          </w:tcPr>
          <w:p w14:paraId="445D71E9" w14:textId="77777777" w:rsidR="00EE307E" w:rsidRDefault="002B7228">
            <w:pPr>
              <w:pStyle w:val="a4"/>
              <w:widowControl/>
              <w:spacing w:after="0" w:afterAutospacing="0"/>
              <w:ind w:firstLineChars="50" w:firstLine="120"/>
              <w:rPr>
                <w:color w:val="000000"/>
              </w:rPr>
            </w:pPr>
            <w:r>
              <w:rPr>
                <w:color w:val="000000"/>
              </w:rPr>
              <w:t>S</w:t>
            </w:r>
            <w:r>
              <w:rPr>
                <w:color w:val="000000"/>
                <w:vertAlign w:val="superscript"/>
              </w:rPr>
              <w:t xml:space="preserve">*   </w:t>
            </w:r>
            <w:r>
              <w:rPr>
                <w:color w:val="000000"/>
              </w:rPr>
              <w:t>(kJ/mol)</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14:paraId="4FE7C951" w14:textId="77777777" w:rsidR="00EE307E" w:rsidRDefault="002B7228">
            <w:pPr>
              <w:pStyle w:val="a4"/>
              <w:widowControl/>
              <w:spacing w:after="0" w:afterAutospacing="0"/>
              <w:ind w:firstLineChars="50" w:firstLine="120"/>
              <w:rPr>
                <w:color w:val="000000"/>
              </w:rPr>
            </w:pPr>
            <w:r>
              <w:rPr>
                <w:color w:val="000000"/>
              </w:rPr>
              <w:t>0.002</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14:paraId="0A2301D2" w14:textId="77777777" w:rsidR="00EE307E" w:rsidRDefault="002B7228">
            <w:pPr>
              <w:pStyle w:val="a4"/>
              <w:widowControl/>
              <w:spacing w:after="0" w:afterAutospacing="0"/>
              <w:rPr>
                <w:color w:val="000000"/>
              </w:rPr>
            </w:pPr>
            <w:r>
              <w:rPr>
                <w:color w:val="000000"/>
              </w:rPr>
              <w:t>0.0017</w:t>
            </w:r>
          </w:p>
        </w:tc>
      </w:tr>
    </w:tbl>
    <w:p w14:paraId="13130CEC" w14:textId="19B18D1B" w:rsidR="00EE307E" w:rsidRDefault="00EE307E">
      <w:pPr>
        <w:pStyle w:val="a4"/>
        <w:spacing w:after="0" w:afterAutospacing="0"/>
        <w:jc w:val="both"/>
        <w:rPr>
          <w:rtl/>
        </w:rPr>
      </w:pPr>
    </w:p>
    <w:p w14:paraId="5CE385C9" w14:textId="77777777" w:rsidR="00EE307E" w:rsidRDefault="002B7228">
      <w:pPr>
        <w:pStyle w:val="a4"/>
        <w:spacing w:after="0" w:afterAutospacing="0"/>
        <w:rPr>
          <w:rFonts w:cs="Times New Roman"/>
          <w:b/>
          <w:bCs/>
        </w:rPr>
      </w:pPr>
      <w:commentRangeStart w:id="16"/>
      <w:r>
        <w:rPr>
          <w:rFonts w:cs="Times New Roman"/>
          <w:b/>
          <w:bCs/>
        </w:rPr>
        <w:lastRenderedPageBreak/>
        <w:t>CONCLUSION</w:t>
      </w:r>
      <w:commentRangeEnd w:id="16"/>
      <w:r w:rsidR="00C36DAC">
        <w:rPr>
          <w:rStyle w:val="aa"/>
          <w:rFonts w:asciiTheme="minorHAnsi" w:hAnsiTheme="minorHAnsi"/>
        </w:rPr>
        <w:commentReference w:id="16"/>
      </w:r>
    </w:p>
    <w:p w14:paraId="1F9057DF" w14:textId="77777777" w:rsidR="00EE307E" w:rsidRDefault="002B7228">
      <w:pPr>
        <w:pStyle w:val="a4"/>
        <w:spacing w:after="0" w:afterAutospacing="0"/>
        <w:jc w:val="both"/>
      </w:pPr>
      <w:r>
        <w:t>The study explored the influence of temperature and dosage on the adsorption of lead (II) and Fe (III) ions from aqueous solutions using an oil palm fruit peduncle as the adsorbent in a batch method. The findings indicate that the adsorption process was both spontaneous and exothermic, as evidenced by the negative values of standard Gibbs free energy (ΔG°) and standard enthalpy (ΔH°) at the temperatures tested. The positive standard entropy (ΔS°) values reflect increased randomness of the metal ions at the adsorbent's surface, suggesting effective mass transfer from the bulk solution to the adsorbent.</w:t>
      </w:r>
    </w:p>
    <w:p w14:paraId="7F87D668" w14:textId="77777777" w:rsidR="00EE307E" w:rsidRDefault="002B7228">
      <w:pPr>
        <w:pStyle w:val="a4"/>
        <w:spacing w:after="0" w:afterAutospacing="0"/>
        <w:jc w:val="both"/>
      </w:pPr>
      <w:r>
        <w:t>At ambient temperature (303K), adsorption capacity decreased with higher dosages of the adsorbent for both metal ions. Maximum uptake capacities of 89% for lead (II) and 75.56% for Fe (III) ions were observed under the tested conditions. The activation energy (</w:t>
      </w:r>
      <w:proofErr w:type="spellStart"/>
      <w:r>
        <w:t>Ea</w:t>
      </w:r>
      <w:proofErr w:type="spellEnd"/>
      <w:r>
        <w:t>) for Pb(II) and Fe(III) ions was -10.41 and -7.84 kJ/mol, respectively, indicating that the adsorption was physical in nature (</w:t>
      </w:r>
      <w:proofErr w:type="spellStart"/>
      <w:r>
        <w:t>Ea</w:t>
      </w:r>
      <w:proofErr w:type="spellEnd"/>
      <w:r>
        <w:t xml:space="preserve"> &lt; 50 kJ/mol). The potential sticking probabilities (S*) for Pb(II) and Fe(III) ions were calculated to be 0.002 and 0.0017 kJ/mol, respectively.</w:t>
      </w:r>
    </w:p>
    <w:p w14:paraId="1939502A" w14:textId="77777777" w:rsidR="00EE307E" w:rsidRDefault="002B7228">
      <w:pPr>
        <w:pStyle w:val="a4"/>
        <w:jc w:val="both"/>
      </w:pPr>
      <w:r>
        <w:t>Overall, the adsorption efficiency decreased with increasing temperature and dosage, implying that lower temperature and dosage levels are more favorable for enhancing the uptake capacity of the oil palm fruit peduncle adsorbent in this study</w:t>
      </w:r>
    </w:p>
    <w:p w14:paraId="46C522D0" w14:textId="77777777" w:rsidR="00EE307E" w:rsidRDefault="00EE307E">
      <w:pPr>
        <w:pStyle w:val="a4"/>
        <w:spacing w:after="0" w:afterAutospacing="0"/>
        <w:jc w:val="both"/>
      </w:pPr>
    </w:p>
    <w:p w14:paraId="13D57150" w14:textId="77777777" w:rsidR="00EE307E" w:rsidRDefault="00EE307E">
      <w:pPr>
        <w:pStyle w:val="a4"/>
        <w:spacing w:after="0" w:afterAutospacing="0"/>
        <w:rPr>
          <w:b/>
          <w:bCs/>
        </w:rPr>
      </w:pPr>
    </w:p>
    <w:p w14:paraId="7E68C52D" w14:textId="77777777" w:rsidR="00EE307E" w:rsidRDefault="00EE307E">
      <w:pPr>
        <w:pStyle w:val="a4"/>
        <w:spacing w:after="0" w:afterAutospacing="0"/>
        <w:rPr>
          <w:b/>
          <w:bCs/>
        </w:rPr>
      </w:pPr>
    </w:p>
    <w:p w14:paraId="14615B9E" w14:textId="77777777" w:rsidR="00EE307E" w:rsidRDefault="00EE307E">
      <w:pPr>
        <w:pStyle w:val="a4"/>
        <w:spacing w:after="0" w:afterAutospacing="0"/>
        <w:rPr>
          <w:b/>
          <w:bCs/>
        </w:rPr>
      </w:pPr>
    </w:p>
    <w:p w14:paraId="76047112" w14:textId="77777777" w:rsidR="00EE307E" w:rsidRDefault="00EE307E">
      <w:pPr>
        <w:pStyle w:val="a4"/>
        <w:spacing w:after="0" w:afterAutospacing="0"/>
        <w:rPr>
          <w:b/>
          <w:bCs/>
        </w:rPr>
      </w:pPr>
    </w:p>
    <w:p w14:paraId="2372B3FB" w14:textId="77777777" w:rsidR="00EE307E" w:rsidRDefault="002B7228">
      <w:pPr>
        <w:pStyle w:val="a4"/>
        <w:spacing w:after="0" w:afterAutospacing="0"/>
        <w:rPr>
          <w:b/>
          <w:bCs/>
        </w:rPr>
      </w:pPr>
      <w:r>
        <w:rPr>
          <w:b/>
          <w:bCs/>
        </w:rPr>
        <w:t>REFERENCES</w:t>
      </w:r>
    </w:p>
    <w:p w14:paraId="026F6227"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Guo, Y., Zhang, Z., &amp; Guo, X. (2024). Recent research advances on heavy metals, microplastics, persistent organic pollutants, and solid waste in aquatic and terrestrial ecosystems. Frontiers in Environmental Science, 12, 1391614.</w:t>
      </w:r>
    </w:p>
    <w:p w14:paraId="06152DF7" w14:textId="77777777" w:rsidR="00EE307E" w:rsidRDefault="00EE307E">
      <w:pPr>
        <w:pStyle w:val="a4"/>
        <w:spacing w:after="0" w:afterAutospacing="0"/>
        <w:rPr>
          <w:b/>
          <w:bCs/>
        </w:rPr>
      </w:pPr>
    </w:p>
    <w:p w14:paraId="75910E42" w14:textId="77777777" w:rsidR="00EE307E" w:rsidRDefault="002B7228">
      <w:pPr>
        <w:pStyle w:val="a4"/>
        <w:spacing w:after="0" w:afterAutospacing="0"/>
        <w:rPr>
          <w:b/>
          <w:bCs/>
        </w:rPr>
      </w:pPr>
      <w:r>
        <w:rPr>
          <w:rFonts w:cs="Times New Roman"/>
        </w:rPr>
        <w:t xml:space="preserve">Liu, Y., Xu, F., Liu, W.  </w:t>
      </w:r>
      <w:proofErr w:type="spellStart"/>
      <w:r>
        <w:rPr>
          <w:rFonts w:cs="Times New Roman"/>
        </w:rPr>
        <w:t>Liu,X</w:t>
      </w:r>
      <w:proofErr w:type="spellEnd"/>
      <w:r>
        <w:rPr>
          <w:rFonts w:cs="Times New Roman"/>
        </w:rPr>
        <w:t>., &amp; Wang, D. (2025). Characteristics, Sources, Exposure, and Health Effects of Heavy Metals in Atmospheric Particulate Matter. </w:t>
      </w:r>
      <w:r>
        <w:rPr>
          <w:rFonts w:cs="Times New Roman"/>
          <w:i/>
          <w:iCs/>
        </w:rPr>
        <w:t>Curr Pollution Rep</w:t>
      </w:r>
      <w:r>
        <w:rPr>
          <w:rFonts w:cs="Times New Roman"/>
        </w:rPr>
        <w:t> </w:t>
      </w:r>
      <w:r>
        <w:rPr>
          <w:rFonts w:cs="Times New Roman"/>
          <w:b/>
          <w:bCs/>
        </w:rPr>
        <w:t>11</w:t>
      </w:r>
      <w:r>
        <w:rPr>
          <w:rFonts w:cs="Times New Roman"/>
        </w:rPr>
        <w:t xml:space="preserve">, 16 . </w:t>
      </w:r>
      <w:hyperlink r:id="rId29" w:history="1">
        <w:r w:rsidR="00EE307E">
          <w:rPr>
            <w:rStyle w:val="Hyperlink"/>
            <w:rFonts w:cs="Times New Roman"/>
          </w:rPr>
          <w:t>https://doi.org/10.1007/s40726-025-00344-y</w:t>
        </w:r>
      </w:hyperlink>
    </w:p>
    <w:p w14:paraId="58DCED48" w14:textId="77777777" w:rsidR="00EE307E" w:rsidRDefault="00EE307E">
      <w:pPr>
        <w:rPr>
          <w:rFonts w:ascii="Times New Roman" w:hAnsi="Times New Roman" w:cs="Times New Roman"/>
          <w:b/>
          <w:bCs/>
          <w:sz w:val="24"/>
          <w:szCs w:val="24"/>
        </w:rPr>
      </w:pPr>
    </w:p>
    <w:p w14:paraId="2E87C2B1" w14:textId="77777777" w:rsidR="00EE307E" w:rsidRDefault="002B7228">
      <w:pPr>
        <w:rPr>
          <w:rFonts w:ascii="Times New Roman" w:hAnsi="Times New Roman" w:cs="Times New Roman"/>
          <w:sz w:val="24"/>
          <w:szCs w:val="24"/>
        </w:rPr>
      </w:pPr>
      <w:proofErr w:type="spellStart"/>
      <w:r>
        <w:rPr>
          <w:rFonts w:ascii="Times New Roman" w:hAnsi="Times New Roman" w:cs="Times New Roman"/>
          <w:sz w:val="24"/>
          <w:szCs w:val="24"/>
        </w:rPr>
        <w:t>Duderstadt</w:t>
      </w:r>
      <w:proofErr w:type="spellEnd"/>
      <w:r>
        <w:rPr>
          <w:rFonts w:ascii="Times New Roman" w:hAnsi="Times New Roman" w:cs="Times New Roman"/>
          <w:sz w:val="24"/>
          <w:szCs w:val="24"/>
        </w:rPr>
        <w:t>, Eric. (2018). Water well corrosion: Types, effects, and resolutions. Water Well Journal 72, 12: 24-28.</w:t>
      </w:r>
    </w:p>
    <w:p w14:paraId="2944CA7B" w14:textId="77777777" w:rsidR="00EE307E" w:rsidRDefault="00EE307E">
      <w:pPr>
        <w:rPr>
          <w:rFonts w:ascii="Times New Roman" w:hAnsi="Times New Roman" w:cs="Times New Roman"/>
          <w:sz w:val="24"/>
          <w:szCs w:val="24"/>
        </w:rPr>
      </w:pPr>
    </w:p>
    <w:p w14:paraId="4F18A3C7" w14:textId="77777777" w:rsidR="00EE307E" w:rsidRDefault="002B7228">
      <w:pPr>
        <w:jc w:val="both"/>
        <w:rPr>
          <w:rFonts w:ascii="Times New Roman" w:hAnsi="Times New Roman" w:cs="Times New Roman"/>
          <w:sz w:val="24"/>
          <w:szCs w:val="24"/>
        </w:rPr>
      </w:pPr>
      <w:r>
        <w:rPr>
          <w:rFonts w:ascii="Times New Roman" w:hAnsi="Times New Roman" w:cs="Times New Roman"/>
          <w:sz w:val="24"/>
          <w:szCs w:val="24"/>
        </w:rPr>
        <w:t xml:space="preserve">Abd </w:t>
      </w:r>
      <w:proofErr w:type="spellStart"/>
      <w:r>
        <w:rPr>
          <w:rFonts w:ascii="Times New Roman" w:hAnsi="Times New Roman" w:cs="Times New Roman"/>
          <w:sz w:val="24"/>
          <w:szCs w:val="24"/>
        </w:rPr>
        <w:t>Elnabi</w:t>
      </w:r>
      <w:proofErr w:type="spellEnd"/>
      <w:r>
        <w:rPr>
          <w:rFonts w:ascii="Times New Roman" w:hAnsi="Times New Roman" w:cs="Times New Roman"/>
          <w:sz w:val="24"/>
          <w:szCs w:val="24"/>
        </w:rPr>
        <w:t xml:space="preserve">, M. K., </w:t>
      </w:r>
      <w:proofErr w:type="spellStart"/>
      <w:r>
        <w:rPr>
          <w:rFonts w:ascii="Times New Roman" w:hAnsi="Times New Roman" w:cs="Times New Roman"/>
          <w:sz w:val="24"/>
          <w:szCs w:val="24"/>
        </w:rPr>
        <w:t>Elkaliny</w:t>
      </w:r>
      <w:proofErr w:type="spellEnd"/>
      <w:r>
        <w:rPr>
          <w:rFonts w:ascii="Times New Roman" w:hAnsi="Times New Roman" w:cs="Times New Roman"/>
          <w:sz w:val="24"/>
          <w:szCs w:val="24"/>
        </w:rPr>
        <w:t xml:space="preserve">, N. E., </w:t>
      </w:r>
      <w:proofErr w:type="spellStart"/>
      <w:r>
        <w:rPr>
          <w:rFonts w:ascii="Times New Roman" w:hAnsi="Times New Roman" w:cs="Times New Roman"/>
          <w:sz w:val="24"/>
          <w:szCs w:val="24"/>
        </w:rPr>
        <w:t>Elyazied</w:t>
      </w:r>
      <w:proofErr w:type="spellEnd"/>
      <w:r>
        <w:rPr>
          <w:rFonts w:ascii="Times New Roman" w:hAnsi="Times New Roman" w:cs="Times New Roman"/>
          <w:sz w:val="24"/>
          <w:szCs w:val="24"/>
        </w:rPr>
        <w:t xml:space="preserve">, M. M., Azab, S. H., </w:t>
      </w:r>
      <w:proofErr w:type="spellStart"/>
      <w:r>
        <w:rPr>
          <w:rFonts w:ascii="Times New Roman" w:hAnsi="Times New Roman" w:cs="Times New Roman"/>
          <w:sz w:val="24"/>
          <w:szCs w:val="24"/>
        </w:rPr>
        <w:t>Elkhalifa</w:t>
      </w:r>
      <w:proofErr w:type="spellEnd"/>
      <w:r>
        <w:rPr>
          <w:rFonts w:ascii="Times New Roman" w:hAnsi="Times New Roman" w:cs="Times New Roman"/>
          <w:sz w:val="24"/>
          <w:szCs w:val="24"/>
        </w:rPr>
        <w:t xml:space="preserve">, S. A., Elmasry, S., Mouhamed, M. S., </w:t>
      </w:r>
      <w:proofErr w:type="spellStart"/>
      <w:r>
        <w:rPr>
          <w:rFonts w:ascii="Times New Roman" w:hAnsi="Times New Roman" w:cs="Times New Roman"/>
          <w:sz w:val="24"/>
          <w:szCs w:val="24"/>
        </w:rPr>
        <w:t>Shalamesh</w:t>
      </w:r>
      <w:proofErr w:type="spellEnd"/>
      <w:r>
        <w:rPr>
          <w:rFonts w:ascii="Times New Roman" w:hAnsi="Times New Roman" w:cs="Times New Roman"/>
          <w:sz w:val="24"/>
          <w:szCs w:val="24"/>
        </w:rPr>
        <w:t xml:space="preserve">, E. M., </w:t>
      </w:r>
      <w:proofErr w:type="spellStart"/>
      <w:r>
        <w:rPr>
          <w:rFonts w:ascii="Times New Roman" w:hAnsi="Times New Roman" w:cs="Times New Roman"/>
          <w:sz w:val="24"/>
          <w:szCs w:val="24"/>
        </w:rPr>
        <w:t>Alhorieny</w:t>
      </w:r>
      <w:proofErr w:type="spellEnd"/>
      <w:r>
        <w:rPr>
          <w:rFonts w:ascii="Times New Roman" w:hAnsi="Times New Roman" w:cs="Times New Roman"/>
          <w:sz w:val="24"/>
          <w:szCs w:val="24"/>
        </w:rPr>
        <w:t xml:space="preserve">, N. A., Abd </w:t>
      </w:r>
      <w:proofErr w:type="spellStart"/>
      <w:r>
        <w:rPr>
          <w:rFonts w:ascii="Times New Roman" w:hAnsi="Times New Roman" w:cs="Times New Roman"/>
          <w:sz w:val="24"/>
          <w:szCs w:val="24"/>
        </w:rPr>
        <w:t>Elaty</w:t>
      </w:r>
      <w:proofErr w:type="spellEnd"/>
      <w:r>
        <w:rPr>
          <w:rFonts w:ascii="Times New Roman" w:hAnsi="Times New Roman" w:cs="Times New Roman"/>
          <w:sz w:val="24"/>
          <w:szCs w:val="24"/>
        </w:rPr>
        <w:t xml:space="preserve">, A. E., Elgendy, I. M., Etman, A. E., Saad, K. E., </w:t>
      </w:r>
      <w:proofErr w:type="spellStart"/>
      <w:r>
        <w:rPr>
          <w:rFonts w:ascii="Times New Roman" w:hAnsi="Times New Roman" w:cs="Times New Roman"/>
          <w:sz w:val="24"/>
          <w:szCs w:val="24"/>
        </w:rPr>
        <w:t>Tsigkou</w:t>
      </w:r>
      <w:proofErr w:type="spellEnd"/>
      <w:r>
        <w:rPr>
          <w:rFonts w:ascii="Times New Roman" w:hAnsi="Times New Roman" w:cs="Times New Roman"/>
          <w:sz w:val="24"/>
          <w:szCs w:val="24"/>
        </w:rPr>
        <w:t xml:space="preserve">, K., Ali, S. S., </w:t>
      </w:r>
      <w:proofErr w:type="spellStart"/>
      <w:r>
        <w:rPr>
          <w:rFonts w:ascii="Times New Roman" w:hAnsi="Times New Roman" w:cs="Times New Roman"/>
          <w:sz w:val="24"/>
          <w:szCs w:val="24"/>
        </w:rPr>
        <w:t>Kornaros</w:t>
      </w:r>
      <w:proofErr w:type="spellEnd"/>
      <w:r>
        <w:rPr>
          <w:rFonts w:ascii="Times New Roman" w:hAnsi="Times New Roman" w:cs="Times New Roman"/>
          <w:sz w:val="24"/>
          <w:szCs w:val="24"/>
        </w:rPr>
        <w:t>, M., &amp; Mahmoud, Y. A.-G. (2023). Toxicity of Heavy Metals and Recent Advances in Their Removal: A Review. </w:t>
      </w:r>
      <w:r>
        <w:rPr>
          <w:rFonts w:ascii="Times New Roman" w:hAnsi="Times New Roman" w:cs="Times New Roman"/>
          <w:i/>
          <w:iCs/>
          <w:sz w:val="24"/>
          <w:szCs w:val="24"/>
        </w:rPr>
        <w:t>Toxics</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 xml:space="preserve">(7), 580. </w:t>
      </w:r>
      <w:hyperlink r:id="rId30" w:history="1">
        <w:r w:rsidR="00EE307E">
          <w:rPr>
            <w:rStyle w:val="Hyperlink"/>
            <w:rFonts w:ascii="Times New Roman" w:hAnsi="Times New Roman" w:cs="Times New Roman"/>
            <w:sz w:val="24"/>
            <w:szCs w:val="24"/>
          </w:rPr>
          <w:t>https://doi.org/10.3390/toxics11070580</w:t>
        </w:r>
      </w:hyperlink>
    </w:p>
    <w:p w14:paraId="7F4FF3FD" w14:textId="77777777" w:rsidR="00EE307E" w:rsidRDefault="00EE307E">
      <w:pPr>
        <w:jc w:val="both"/>
        <w:rPr>
          <w:rFonts w:ascii="Times New Roman" w:hAnsi="Times New Roman" w:cs="Times New Roman"/>
          <w:sz w:val="24"/>
          <w:szCs w:val="24"/>
        </w:rPr>
      </w:pPr>
    </w:p>
    <w:p w14:paraId="395023ED" w14:textId="77777777" w:rsidR="00EE307E" w:rsidRDefault="002B7228">
      <w:pPr>
        <w:jc w:val="both"/>
        <w:rPr>
          <w:rFonts w:ascii="Times New Roman" w:hAnsi="Times New Roman" w:cs="Times New Roman"/>
          <w:sz w:val="24"/>
          <w:szCs w:val="24"/>
        </w:rPr>
      </w:pPr>
      <w:r>
        <w:rPr>
          <w:rFonts w:ascii="Times New Roman" w:hAnsi="Times New Roman" w:cs="Times New Roman"/>
          <w:sz w:val="24"/>
          <w:szCs w:val="24"/>
        </w:rPr>
        <w:t xml:space="preserve">Lupa, L., &amp; </w:t>
      </w:r>
      <w:proofErr w:type="spellStart"/>
      <w:r>
        <w:rPr>
          <w:rFonts w:ascii="Times New Roman" w:hAnsi="Times New Roman" w:cs="Times New Roman"/>
          <w:sz w:val="24"/>
          <w:szCs w:val="24"/>
        </w:rPr>
        <w:t>Cocheci</w:t>
      </w:r>
      <w:proofErr w:type="spellEnd"/>
      <w:r>
        <w:rPr>
          <w:rFonts w:ascii="Times New Roman" w:hAnsi="Times New Roman" w:cs="Times New Roman"/>
          <w:sz w:val="24"/>
          <w:szCs w:val="24"/>
        </w:rPr>
        <w:t>, L. (2023). Heavy metals removal from water and wastewater. </w:t>
      </w:r>
      <w:r>
        <w:rPr>
          <w:rFonts w:ascii="Times New Roman" w:hAnsi="Times New Roman" w:cs="Times New Roman"/>
          <w:i/>
          <w:iCs/>
          <w:sz w:val="24"/>
          <w:szCs w:val="24"/>
        </w:rPr>
        <w:t>Heavy Metals-Recent Advances</w:t>
      </w:r>
      <w:r>
        <w:rPr>
          <w:rFonts w:ascii="Times New Roman" w:hAnsi="Times New Roman" w:cs="Times New Roman"/>
          <w:sz w:val="24"/>
          <w:szCs w:val="24"/>
        </w:rPr>
        <w:t>.</w:t>
      </w:r>
    </w:p>
    <w:p w14:paraId="527F0E0B" w14:textId="77777777" w:rsidR="00EE307E" w:rsidRDefault="00EE307E">
      <w:pPr>
        <w:jc w:val="both"/>
        <w:rPr>
          <w:rFonts w:ascii="Times New Roman" w:hAnsi="Times New Roman" w:cs="Times New Roman"/>
          <w:sz w:val="24"/>
          <w:szCs w:val="24"/>
        </w:rPr>
      </w:pPr>
    </w:p>
    <w:p w14:paraId="6F4A98C1"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Raj, K., &amp; Das, A. P. (2023). Lead pollution: Impact on environment and human health and approach for a sustainable solution. Environmental Chemistry and Ecotoxicology, 5, 79-85.</w:t>
      </w:r>
    </w:p>
    <w:p w14:paraId="1BD31F5F" w14:textId="77777777" w:rsidR="00EE307E" w:rsidRDefault="00EE307E">
      <w:pPr>
        <w:rPr>
          <w:rFonts w:ascii="Times New Roman" w:hAnsi="Times New Roman" w:cs="Times New Roman"/>
          <w:sz w:val="24"/>
          <w:szCs w:val="24"/>
        </w:rPr>
      </w:pPr>
    </w:p>
    <w:p w14:paraId="0D6751B6" w14:textId="77777777" w:rsidR="00EE307E" w:rsidRDefault="002B7228">
      <w:pPr>
        <w:rPr>
          <w:rFonts w:ascii="Times New Roman" w:hAnsi="Times New Roman" w:cs="Times New Roman"/>
          <w:sz w:val="24"/>
          <w:szCs w:val="24"/>
        </w:rPr>
      </w:pPr>
      <w:proofErr w:type="spellStart"/>
      <w:r>
        <w:rPr>
          <w:rFonts w:ascii="Times New Roman" w:hAnsi="Times New Roman" w:cs="Times New Roman"/>
          <w:sz w:val="24"/>
          <w:szCs w:val="24"/>
        </w:rPr>
        <w:lastRenderedPageBreak/>
        <w:t>Zaimee</w:t>
      </w:r>
      <w:proofErr w:type="spellEnd"/>
      <w:r>
        <w:rPr>
          <w:rFonts w:ascii="Times New Roman" w:hAnsi="Times New Roman" w:cs="Times New Roman"/>
          <w:sz w:val="24"/>
          <w:szCs w:val="24"/>
        </w:rPr>
        <w:t xml:space="preserve">, M. Z. A., </w:t>
      </w:r>
      <w:proofErr w:type="spellStart"/>
      <w:r>
        <w:rPr>
          <w:rFonts w:ascii="Times New Roman" w:hAnsi="Times New Roman" w:cs="Times New Roman"/>
          <w:sz w:val="24"/>
          <w:szCs w:val="24"/>
        </w:rPr>
        <w:t>Sarjadi</w:t>
      </w:r>
      <w:proofErr w:type="spellEnd"/>
      <w:r>
        <w:rPr>
          <w:rFonts w:ascii="Times New Roman" w:hAnsi="Times New Roman" w:cs="Times New Roman"/>
          <w:sz w:val="24"/>
          <w:szCs w:val="24"/>
        </w:rPr>
        <w:t xml:space="preserve">, M. S., &amp; Rahman, M. L. (2021). Heavy Metals Removal from Water by Efficient Adsorbents. Water, 13(19), 2659. </w:t>
      </w:r>
      <w:hyperlink r:id="rId31" w:history="1">
        <w:r w:rsidR="00EE307E">
          <w:rPr>
            <w:rStyle w:val="Hyperlink"/>
            <w:rFonts w:ascii="Times New Roman" w:hAnsi="Times New Roman" w:cs="Times New Roman"/>
            <w:sz w:val="24"/>
            <w:szCs w:val="24"/>
          </w:rPr>
          <w:t>https://doi.org/10.3390/w13192659</w:t>
        </w:r>
      </w:hyperlink>
    </w:p>
    <w:p w14:paraId="4FB6708F" w14:textId="77777777" w:rsidR="00EE307E" w:rsidRDefault="00EE307E">
      <w:pPr>
        <w:rPr>
          <w:rFonts w:ascii="Times New Roman" w:hAnsi="Times New Roman" w:cs="Times New Roman"/>
          <w:sz w:val="24"/>
          <w:szCs w:val="24"/>
        </w:rPr>
      </w:pPr>
    </w:p>
    <w:p w14:paraId="2508F5B1"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 xml:space="preserve">Raji, Z., Karim, A., Karam, A., &amp; </w:t>
      </w:r>
      <w:proofErr w:type="spellStart"/>
      <w:r>
        <w:rPr>
          <w:rFonts w:ascii="Times New Roman" w:hAnsi="Times New Roman" w:cs="Times New Roman"/>
          <w:sz w:val="24"/>
          <w:szCs w:val="24"/>
        </w:rPr>
        <w:t>Khalloufi</w:t>
      </w:r>
      <w:proofErr w:type="spellEnd"/>
      <w:r>
        <w:rPr>
          <w:rFonts w:ascii="Times New Roman" w:hAnsi="Times New Roman" w:cs="Times New Roman"/>
          <w:sz w:val="24"/>
          <w:szCs w:val="24"/>
        </w:rPr>
        <w:t>, S. (2023). Adsorption of heavy metals: mechanisms, kinetics, and applications of various adsorbents in wastewater remediation—a review. In Waste (Vol. 1, No. 3, pp. 775-805). MDPI.</w:t>
      </w:r>
    </w:p>
    <w:p w14:paraId="63C655AD" w14:textId="77777777" w:rsidR="00EE307E" w:rsidRDefault="00EE307E">
      <w:pPr>
        <w:rPr>
          <w:rFonts w:ascii="Times New Roman" w:hAnsi="Times New Roman" w:cs="Times New Roman"/>
          <w:sz w:val="24"/>
          <w:szCs w:val="24"/>
        </w:rPr>
      </w:pPr>
    </w:p>
    <w:p w14:paraId="4AD1A789"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Kainth, S., Sharma, P., &amp; Pandey, O. P. (2024). Green sorbents from agricultural wastes: A review of sustainable adsorption materials. Applied Surface Science Advances, 19, 100562.</w:t>
      </w:r>
    </w:p>
    <w:p w14:paraId="68151CDE" w14:textId="77777777" w:rsidR="00EE307E" w:rsidRDefault="00EE307E">
      <w:pPr>
        <w:rPr>
          <w:rFonts w:ascii="Times New Roman" w:hAnsi="Times New Roman" w:cs="Times New Roman"/>
          <w:sz w:val="24"/>
          <w:szCs w:val="24"/>
        </w:rPr>
      </w:pPr>
    </w:p>
    <w:p w14:paraId="0D015249"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 xml:space="preserve">Almeida-Naranjo, C. E., Gallegos, E., Domínguez, E., Gutiérrez, P., Valle, V., Aguilar, A. D., Debut, A., &amp; Vasco, C. (2023). From Renewable Biomass to Water Purification Systems: Oil Palm Empty Fruit Bunch as Bio-Adsorbent for Domestic Wastewater Remediation and Methylene Blue Removal. Water, 15(23), 4116. </w:t>
      </w:r>
      <w:hyperlink r:id="rId32" w:history="1">
        <w:r w:rsidR="00EE307E">
          <w:rPr>
            <w:rStyle w:val="Hyperlink"/>
            <w:rFonts w:ascii="Times New Roman" w:hAnsi="Times New Roman" w:cs="Times New Roman"/>
            <w:sz w:val="24"/>
            <w:szCs w:val="24"/>
          </w:rPr>
          <w:t>https://doi.org/10.3390/w15234116</w:t>
        </w:r>
      </w:hyperlink>
    </w:p>
    <w:p w14:paraId="06BE61A3" w14:textId="77777777" w:rsidR="00EE307E" w:rsidRDefault="00EE307E">
      <w:pPr>
        <w:rPr>
          <w:rFonts w:ascii="Times New Roman" w:hAnsi="Times New Roman" w:cs="Times New Roman"/>
          <w:sz w:val="24"/>
          <w:szCs w:val="24"/>
        </w:rPr>
      </w:pPr>
    </w:p>
    <w:p w14:paraId="50B456A6"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 xml:space="preserve">Danish, M., Ahmad, T., Hashim, R., Hafiz, M. R., Ghazali, A., Sulaiman, O., &amp; </w:t>
      </w:r>
      <w:proofErr w:type="spellStart"/>
      <w:r>
        <w:rPr>
          <w:rFonts w:ascii="Times New Roman" w:hAnsi="Times New Roman" w:cs="Times New Roman"/>
          <w:sz w:val="24"/>
          <w:szCs w:val="24"/>
        </w:rPr>
        <w:t>Hiziroglu</w:t>
      </w:r>
      <w:proofErr w:type="spellEnd"/>
      <w:r>
        <w:rPr>
          <w:rFonts w:ascii="Times New Roman" w:hAnsi="Times New Roman" w:cs="Times New Roman"/>
          <w:sz w:val="24"/>
          <w:szCs w:val="24"/>
        </w:rPr>
        <w:t>, S. (2016). Characterization and adsorption kinetic study of surfactant treated oil palm (</w:t>
      </w:r>
      <w:proofErr w:type="spellStart"/>
      <w:r>
        <w:rPr>
          <w:rFonts w:ascii="Times New Roman" w:hAnsi="Times New Roman" w:cs="Times New Roman"/>
          <w:sz w:val="24"/>
          <w:szCs w:val="24"/>
        </w:rPr>
        <w:t>Elaeis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guineensis</w:t>
      </w:r>
      <w:proofErr w:type="spellEnd"/>
      <w:r>
        <w:rPr>
          <w:rFonts w:ascii="Times New Roman" w:hAnsi="Times New Roman" w:cs="Times New Roman"/>
          <w:sz w:val="24"/>
          <w:szCs w:val="24"/>
        </w:rPr>
        <w:t>) empty fruit bunches. Desalination and Water Treatment, 57(20), 9474-9487.</w:t>
      </w:r>
    </w:p>
    <w:p w14:paraId="316CED21" w14:textId="77777777" w:rsidR="00EE307E" w:rsidRDefault="00EE307E">
      <w:pPr>
        <w:rPr>
          <w:rFonts w:ascii="Times New Roman" w:hAnsi="Times New Roman" w:cs="Times New Roman"/>
          <w:sz w:val="24"/>
          <w:szCs w:val="24"/>
        </w:rPr>
      </w:pPr>
    </w:p>
    <w:p w14:paraId="3AD1E820" w14:textId="77777777" w:rsidR="00EE307E" w:rsidRDefault="002B7228">
      <w:pPr>
        <w:rPr>
          <w:rFonts w:ascii="Times New Roman" w:hAnsi="Times New Roman" w:cs="Times New Roman"/>
          <w:sz w:val="24"/>
          <w:szCs w:val="24"/>
        </w:rPr>
      </w:pPr>
      <w:commentRangeStart w:id="18"/>
      <w:proofErr w:type="spellStart"/>
      <w:r>
        <w:rPr>
          <w:rFonts w:ascii="Times New Roman" w:hAnsi="Times New Roman" w:cs="Times New Roman"/>
          <w:sz w:val="24"/>
          <w:szCs w:val="24"/>
        </w:rPr>
        <w:t>Thoe</w:t>
      </w:r>
      <w:commentRangeEnd w:id="18"/>
      <w:proofErr w:type="spellEnd"/>
      <w:r w:rsidR="00146F80">
        <w:rPr>
          <w:rStyle w:val="aa"/>
        </w:rPr>
        <w:commentReference w:id="18"/>
      </w:r>
      <w:r>
        <w:rPr>
          <w:rFonts w:ascii="Times New Roman" w:hAnsi="Times New Roman" w:cs="Times New Roman"/>
          <w:sz w:val="24"/>
          <w:szCs w:val="24"/>
        </w:rPr>
        <w:t xml:space="preserve">, J. M. L., </w:t>
      </w:r>
      <w:proofErr w:type="spellStart"/>
      <w:r>
        <w:rPr>
          <w:rFonts w:ascii="Times New Roman" w:hAnsi="Times New Roman" w:cs="Times New Roman"/>
          <w:sz w:val="24"/>
          <w:szCs w:val="24"/>
        </w:rPr>
        <w:t>Surugau</w:t>
      </w:r>
      <w:proofErr w:type="spellEnd"/>
      <w:r>
        <w:rPr>
          <w:rFonts w:ascii="Times New Roman" w:hAnsi="Times New Roman" w:cs="Times New Roman"/>
          <w:sz w:val="24"/>
          <w:szCs w:val="24"/>
        </w:rPr>
        <w:t>, N., &amp; Chong, H. L. H. (2019). Application of oil palm empty fruit bunch as adsorbent: A review. Transactions on Science and Technology, 6(1), 9-26.</w:t>
      </w:r>
    </w:p>
    <w:p w14:paraId="21C2E500" w14:textId="77777777" w:rsidR="00EE307E" w:rsidRDefault="00EE307E">
      <w:pPr>
        <w:rPr>
          <w:rFonts w:ascii="Times New Roman" w:hAnsi="Times New Roman" w:cs="Times New Roman"/>
          <w:sz w:val="24"/>
          <w:szCs w:val="24"/>
        </w:rPr>
      </w:pPr>
    </w:p>
    <w:p w14:paraId="4CD7EE84"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 xml:space="preserve">Zhao, G.; Wu, X. &amp; </w:t>
      </w:r>
      <w:proofErr w:type="spellStart"/>
      <w:r>
        <w:rPr>
          <w:rFonts w:ascii="Times New Roman" w:hAnsi="Times New Roman" w:cs="Times New Roman"/>
          <w:sz w:val="24"/>
          <w:szCs w:val="24"/>
        </w:rPr>
        <w:t>Tan,X</w:t>
      </w:r>
      <w:proofErr w:type="spellEnd"/>
      <w:r>
        <w:rPr>
          <w:rFonts w:ascii="Times New Roman" w:hAnsi="Times New Roman" w:cs="Times New Roman"/>
          <w:sz w:val="24"/>
          <w:szCs w:val="24"/>
        </w:rPr>
        <w:t>. (2011). Sorption of Heavy metal ions from aqueous Solutions: A Review. The Open Colloid Science Journal, 4, 19-31</w:t>
      </w:r>
    </w:p>
    <w:p w14:paraId="12E61CAA" w14:textId="77777777" w:rsidR="00EE307E" w:rsidRDefault="00EE307E">
      <w:pPr>
        <w:rPr>
          <w:rFonts w:ascii="Times New Roman" w:hAnsi="Times New Roman" w:cs="Times New Roman"/>
          <w:sz w:val="24"/>
          <w:szCs w:val="24"/>
        </w:rPr>
      </w:pPr>
    </w:p>
    <w:p w14:paraId="20E67004"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 xml:space="preserve">Verdaguer, A., Segura, J. J., </w:t>
      </w:r>
      <w:proofErr w:type="spellStart"/>
      <w:r>
        <w:rPr>
          <w:rFonts w:ascii="Times New Roman" w:hAnsi="Times New Roman" w:cs="Times New Roman"/>
          <w:sz w:val="24"/>
          <w:szCs w:val="24"/>
        </w:rPr>
        <w:t>Fraxedas</w:t>
      </w:r>
      <w:proofErr w:type="spellEnd"/>
      <w:r>
        <w:rPr>
          <w:rFonts w:ascii="Times New Roman" w:hAnsi="Times New Roman" w:cs="Times New Roman"/>
          <w:sz w:val="24"/>
          <w:szCs w:val="24"/>
        </w:rPr>
        <w:t>, J., Bluhm, H., &amp; Salmeron, M. (2008). Correlation between charge state of insulating NaCl surfaces and ionic mobility induced by water adsorption: a combined ambient pressure X-ray photoelectron spectroscopy and scanning force microscopy study. The Journal of Physical Chemistry C, 112(43), 16898-16901.</w:t>
      </w:r>
    </w:p>
    <w:p w14:paraId="4363FD27" w14:textId="77777777" w:rsidR="00EE307E" w:rsidRDefault="00EE307E">
      <w:pPr>
        <w:rPr>
          <w:rFonts w:ascii="Times New Roman" w:hAnsi="Times New Roman" w:cs="Times New Roman"/>
          <w:sz w:val="24"/>
          <w:szCs w:val="24"/>
        </w:rPr>
      </w:pPr>
    </w:p>
    <w:p w14:paraId="6DF3A7BE"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Bowes, B. D., &amp; Lenhoff, A. M. (2011). Protein adsorption and transport in dextran-modified ion-exchange media. III. Effects of resin charge density and dextran content on adsorption and intraparticle uptake. Journal of Chromatography A, 1218(40), 7180-7188.</w:t>
      </w:r>
    </w:p>
    <w:p w14:paraId="3777176A" w14:textId="77777777" w:rsidR="00EE307E" w:rsidRDefault="00EE307E">
      <w:pPr>
        <w:rPr>
          <w:rFonts w:ascii="Times New Roman" w:hAnsi="Times New Roman" w:cs="Times New Roman"/>
          <w:sz w:val="24"/>
          <w:szCs w:val="24"/>
        </w:rPr>
      </w:pPr>
    </w:p>
    <w:p w14:paraId="6ECA0CDB"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Saha, P., &amp; Chowdhury, S. (2011). Insight into adsorption thermodynamics. Thermodynamics, 16, 349-364.</w:t>
      </w:r>
    </w:p>
    <w:p w14:paraId="585C151C" w14:textId="77777777" w:rsidR="00EE307E" w:rsidRDefault="00EE307E">
      <w:pPr>
        <w:rPr>
          <w:rFonts w:ascii="Times New Roman" w:hAnsi="Times New Roman" w:cs="Times New Roman"/>
          <w:sz w:val="24"/>
          <w:szCs w:val="24"/>
        </w:rPr>
      </w:pPr>
    </w:p>
    <w:p w14:paraId="5FA2AE35" w14:textId="77777777" w:rsidR="00EE307E" w:rsidRDefault="002B7228">
      <w:pPr>
        <w:rPr>
          <w:rFonts w:ascii="Times New Roman" w:hAnsi="Times New Roman" w:cs="Times New Roman"/>
          <w:sz w:val="24"/>
          <w:szCs w:val="24"/>
        </w:rPr>
      </w:pPr>
      <w:r>
        <w:rPr>
          <w:rFonts w:ascii="Times New Roman" w:hAnsi="Times New Roman" w:cs="Times New Roman"/>
          <w:sz w:val="24"/>
          <w:szCs w:val="24"/>
        </w:rPr>
        <w:t>Han, R., Zhang, J., Zou, W., Xiao, H., Shi, J., &amp; Liu, H. (2006). Biosorption of copper (II) and lead (II) from aqueous solution by chaff in a fixed-bed column. Journal of Hazardous materials, 133(1-3), 262-268.</w:t>
      </w:r>
    </w:p>
    <w:p w14:paraId="7F021BB0" w14:textId="77777777" w:rsidR="00EE307E" w:rsidRDefault="00EE307E">
      <w:pPr>
        <w:jc w:val="both"/>
        <w:rPr>
          <w:rFonts w:ascii="Times New Roman" w:hAnsi="Times New Roman" w:cs="Times New Roman"/>
          <w:sz w:val="24"/>
          <w:szCs w:val="24"/>
        </w:rPr>
      </w:pPr>
    </w:p>
    <w:p w14:paraId="0EED397C" w14:textId="77777777" w:rsidR="00EE307E" w:rsidRDefault="002B7228">
      <w:pPr>
        <w:jc w:val="both"/>
        <w:rPr>
          <w:rFonts w:ascii="Times New Roman" w:hAnsi="Times New Roman" w:cs="Times New Roman"/>
          <w:sz w:val="24"/>
          <w:szCs w:val="24"/>
        </w:rPr>
      </w:pPr>
      <w:r>
        <w:rPr>
          <w:rFonts w:ascii="Times New Roman" w:hAnsi="Times New Roman" w:cs="Times New Roman"/>
          <w:sz w:val="24"/>
          <w:szCs w:val="24"/>
        </w:rPr>
        <w:t>Abd El-Latif, M. M., &amp; Ibrahim, A. M. (2009). Adsorption, kinetic and equilibrium studies on removal of basic dye from aqueous solutions using hydrolyzed oak sawdust. Desalination and Water Treatment, 6(1-3), 252-268.</w:t>
      </w:r>
    </w:p>
    <w:p w14:paraId="3DC2F7FA" w14:textId="77777777" w:rsidR="00EE307E" w:rsidRDefault="002B7228">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EE307E">
      <w:headerReference w:type="even" r:id="rId33"/>
      <w:headerReference w:type="default" r:id="rId34"/>
      <w:footerReference w:type="even" r:id="rId35"/>
      <w:footerReference w:type="default" r:id="rId36"/>
      <w:headerReference w:type="first" r:id="rId37"/>
      <w:footerReference w:type="first" r:id="rId38"/>
      <w:pgSz w:w="11906" w:h="16838"/>
      <w:pgMar w:top="8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04-12T10:26:00Z" w:initials="D">
    <w:p w14:paraId="12C8087F" w14:textId="77777777" w:rsidR="001C5ED6" w:rsidRDefault="00C16405" w:rsidP="00C16405">
      <w:pPr>
        <w:pStyle w:val="ab"/>
      </w:pPr>
      <w:r>
        <w:t xml:space="preserve">Title should be rewrite </w:t>
      </w:r>
    </w:p>
    <w:p w14:paraId="16893949" w14:textId="20E9B430" w:rsidR="00C16405" w:rsidRDefault="00C16405" w:rsidP="00C16405">
      <w:pPr>
        <w:pStyle w:val="ab"/>
      </w:pPr>
      <w:r>
        <w:t xml:space="preserve">" </w:t>
      </w:r>
      <w:r w:rsidRPr="00C16405">
        <w:t xml:space="preserve">UNMODIFIED PALM FRUIT </w:t>
      </w:r>
      <w:proofErr w:type="gramStart"/>
      <w:r w:rsidRPr="00C16405">
        <w:t>PEDUNCLE  for</w:t>
      </w:r>
      <w:proofErr w:type="gramEnd"/>
      <w:r w:rsidRPr="00C16405">
        <w:t xml:space="preserve"> thermodynamic </w:t>
      </w:r>
      <w:r w:rsidR="00F81F7F">
        <w:t xml:space="preserve">removal by adsorption </w:t>
      </w:r>
      <w:r w:rsidRPr="00C16405">
        <w:t xml:space="preserve">  of  LEAD(II) AND IRON(III)</w:t>
      </w:r>
      <w:r w:rsidR="00485BA1">
        <w:t xml:space="preserve"> </w:t>
      </w:r>
    </w:p>
    <w:p w14:paraId="7FF89BD6" w14:textId="77777777" w:rsidR="00485BA1" w:rsidRDefault="00485BA1" w:rsidP="00C16405">
      <w:pPr>
        <w:pStyle w:val="ab"/>
      </w:pPr>
    </w:p>
    <w:p w14:paraId="67BE4533" w14:textId="70AECDD5" w:rsidR="00485BA1" w:rsidRDefault="00485BA1" w:rsidP="00C16405">
      <w:pPr>
        <w:pStyle w:val="ab"/>
      </w:pPr>
      <w:r w:rsidRPr="00485BA1">
        <w:t>The author should mention the removal of metals from what in the environment?</w:t>
      </w:r>
      <w:r w:rsidR="002E62C5">
        <w:t xml:space="preserve"> If it is from water or soil or what </w:t>
      </w:r>
    </w:p>
    <w:p w14:paraId="4BD24AF6" w14:textId="7338DE8A" w:rsidR="00485BA1" w:rsidRPr="00C16405" w:rsidRDefault="00485BA1" w:rsidP="00C16405">
      <w:pPr>
        <w:pStyle w:val="ab"/>
      </w:pPr>
      <w:r>
        <w:t xml:space="preserve">t is so necessary </w:t>
      </w:r>
    </w:p>
  </w:comment>
  <w:comment w:id="1" w:author="Dell" w:date="2025-04-12T12:48:00Z" w:initials="D">
    <w:p w14:paraId="32038E48" w14:textId="40384F09" w:rsidR="00676213" w:rsidRDefault="00676213">
      <w:pPr>
        <w:pStyle w:val="ab"/>
      </w:pPr>
      <w:r>
        <w:rPr>
          <w:rStyle w:val="aa"/>
        </w:rPr>
        <w:annotationRef/>
      </w:r>
      <w:r>
        <w:rPr>
          <w:rStyle w:val="aa"/>
        </w:rPr>
        <w:t xml:space="preserve">The aim of the study should be added to the abstract in the first lines </w:t>
      </w:r>
    </w:p>
  </w:comment>
  <w:comment w:id="2" w:author="Dell" w:date="2025-04-12T12:51:00Z" w:initials="D">
    <w:p w14:paraId="77EA8DA5" w14:textId="74A4893D" w:rsidR="00676213" w:rsidRDefault="00676213">
      <w:pPr>
        <w:pStyle w:val="ab"/>
      </w:pPr>
      <w:r>
        <w:rPr>
          <w:rStyle w:val="aa"/>
        </w:rPr>
        <w:annotationRef/>
      </w:r>
      <w:r>
        <w:t xml:space="preserve">Should be omitted </w:t>
      </w:r>
    </w:p>
  </w:comment>
  <w:comment w:id="3" w:author="Dell" w:date="2025-04-12T13:04:00Z" w:initials="D">
    <w:p w14:paraId="1926DC44" w14:textId="6DFF4498" w:rsidR="00B12FD0" w:rsidRDefault="00B12FD0">
      <w:pPr>
        <w:pStyle w:val="ab"/>
      </w:pPr>
      <w:r>
        <w:rPr>
          <w:rStyle w:val="aa"/>
        </w:rPr>
        <w:annotationRef/>
      </w:r>
      <w:r>
        <w:t xml:space="preserve">The author should mention the instruments used </w:t>
      </w:r>
    </w:p>
  </w:comment>
  <w:comment w:id="4" w:author="Dell" w:date="2025-04-12T12:55:00Z" w:initials="D">
    <w:p w14:paraId="7FEC70E0" w14:textId="7E7BC53F" w:rsidR="00676213" w:rsidRDefault="00676213">
      <w:pPr>
        <w:pStyle w:val="ab"/>
      </w:pPr>
      <w:r w:rsidRPr="00676213">
        <w:t>The adsorption method must be written before the steps of the effects of factors are studied.</w:t>
      </w:r>
    </w:p>
  </w:comment>
  <w:comment w:id="5" w:author="Dell" w:date="2025-04-12T13:00:00Z" w:initials="D">
    <w:p w14:paraId="501118F3" w14:textId="77777777" w:rsidR="00B12FD0" w:rsidRDefault="00B12FD0">
      <w:pPr>
        <w:pStyle w:val="ab"/>
      </w:pPr>
      <w:r>
        <w:rPr>
          <w:rStyle w:val="aa"/>
        </w:rPr>
        <w:annotationRef/>
      </w:r>
      <w:r>
        <w:t xml:space="preserve">Title should be rewrite as </w:t>
      </w:r>
      <w:proofErr w:type="gramStart"/>
      <w:r>
        <w:t>follows :</w:t>
      </w:r>
      <w:proofErr w:type="gramEnd"/>
    </w:p>
    <w:p w14:paraId="6EDCAD1D" w14:textId="3BE06A4B" w:rsidR="00B12FD0" w:rsidRDefault="00B12FD0">
      <w:pPr>
        <w:pStyle w:val="ab"/>
      </w:pPr>
      <w:r>
        <w:t xml:space="preserve">The effect of temperature </w:t>
      </w:r>
    </w:p>
  </w:comment>
  <w:comment w:id="6" w:author="Dell" w:date="2025-04-12T13:00:00Z" w:initials="D">
    <w:p w14:paraId="7219215D" w14:textId="4921E412" w:rsidR="00B12FD0" w:rsidRDefault="00B12FD0">
      <w:pPr>
        <w:pStyle w:val="ab"/>
      </w:pPr>
      <w:r>
        <w:rPr>
          <w:rStyle w:val="aa"/>
        </w:rPr>
        <w:annotationRef/>
      </w:r>
    </w:p>
  </w:comment>
  <w:comment w:id="7" w:author="Dell" w:date="2025-04-12T13:02:00Z" w:initials="D">
    <w:p w14:paraId="2B5AA06E" w14:textId="6B40C010" w:rsidR="00B12FD0" w:rsidRDefault="00B12FD0">
      <w:pPr>
        <w:pStyle w:val="ab"/>
      </w:pPr>
      <w:r>
        <w:rPr>
          <w:rStyle w:val="aa"/>
        </w:rPr>
        <w:annotationRef/>
      </w:r>
      <w:r>
        <w:t xml:space="preserve">U.V visible spectrophotometer </w:t>
      </w:r>
    </w:p>
  </w:comment>
  <w:comment w:id="8" w:author="Dell" w:date="2025-04-12T13:05:00Z" w:initials="D">
    <w:p w14:paraId="73D6EDE9" w14:textId="3647EF1F" w:rsidR="00B12FD0" w:rsidRDefault="00B12FD0">
      <w:pPr>
        <w:pStyle w:val="ab"/>
        <w:rPr>
          <w:rStyle w:val="aa"/>
        </w:rPr>
      </w:pPr>
      <w:r>
        <w:rPr>
          <w:rStyle w:val="aa"/>
        </w:rPr>
        <w:annotationRef/>
      </w:r>
      <w:r>
        <w:rPr>
          <w:rStyle w:val="aa"/>
        </w:rPr>
        <w:t>Title should be written as follows:</w:t>
      </w:r>
    </w:p>
    <w:p w14:paraId="2E150B32" w14:textId="606F0AE4" w:rsidR="00B12FD0" w:rsidRDefault="00B12FD0">
      <w:pPr>
        <w:pStyle w:val="ab"/>
      </w:pPr>
      <w:r>
        <w:rPr>
          <w:rStyle w:val="aa"/>
        </w:rPr>
        <w:t>The effect of the adsorbent dose</w:t>
      </w:r>
    </w:p>
  </w:comment>
  <w:comment w:id="9" w:author="Dell" w:date="2025-04-12T13:07:00Z" w:initials="D">
    <w:p w14:paraId="00AD431F" w14:textId="2D607BDD" w:rsidR="00B12FD0" w:rsidRDefault="00B12FD0">
      <w:pPr>
        <w:pStyle w:val="ab"/>
      </w:pPr>
      <w:r>
        <w:rPr>
          <w:rStyle w:val="aa"/>
        </w:rPr>
        <w:annotationRef/>
      </w:r>
      <w:r>
        <w:rPr>
          <w:rStyle w:val="aa"/>
        </w:rPr>
        <w:t xml:space="preserve">Subscript </w:t>
      </w:r>
    </w:p>
  </w:comment>
  <w:comment w:id="10" w:author="Dell" w:date="2025-04-12T13:08:00Z" w:initials="D">
    <w:p w14:paraId="76DDB90A" w14:textId="77777777" w:rsidR="00B12FD0" w:rsidRDefault="00B12FD0" w:rsidP="00B12FD0">
      <w:pPr>
        <w:pStyle w:val="ab"/>
      </w:pPr>
      <w:r>
        <w:rPr>
          <w:rStyle w:val="aa"/>
        </w:rPr>
        <w:annotationRef/>
      </w:r>
      <w:r>
        <w:rPr>
          <w:rStyle w:val="aa"/>
        </w:rPr>
        <w:annotationRef/>
      </w:r>
      <w:r>
        <w:rPr>
          <w:rStyle w:val="aa"/>
        </w:rPr>
        <w:t xml:space="preserve">Subscript </w:t>
      </w:r>
    </w:p>
    <w:p w14:paraId="6CA039C1" w14:textId="59D48DC2" w:rsidR="00B12FD0" w:rsidRDefault="00B12FD0">
      <w:pPr>
        <w:pStyle w:val="ab"/>
      </w:pPr>
    </w:p>
  </w:comment>
  <w:comment w:id="11" w:author="Dell" w:date="2025-04-12T13:09:00Z" w:initials="D">
    <w:p w14:paraId="047D258F" w14:textId="77777777" w:rsidR="00B12FD0" w:rsidRDefault="00B12FD0">
      <w:pPr>
        <w:pStyle w:val="ab"/>
        <w:rPr>
          <w:rStyle w:val="aa"/>
        </w:rPr>
      </w:pPr>
      <w:r>
        <w:rPr>
          <w:rStyle w:val="aa"/>
        </w:rPr>
        <w:annotationRef/>
      </w:r>
      <w:r>
        <w:rPr>
          <w:rStyle w:val="aa"/>
        </w:rPr>
        <w:t>This word is incorrect the author must</w:t>
      </w:r>
    </w:p>
    <w:p w14:paraId="3310A5ED" w14:textId="4CEE1277" w:rsidR="00B12FD0" w:rsidRDefault="00B12FD0">
      <w:pPr>
        <w:pStyle w:val="ab"/>
      </w:pPr>
      <w:proofErr w:type="gramStart"/>
      <w:r>
        <w:rPr>
          <w:rStyle w:val="aa"/>
        </w:rPr>
        <w:t>Sure</w:t>
      </w:r>
      <w:proofErr w:type="gramEnd"/>
      <w:r>
        <w:rPr>
          <w:rStyle w:val="aa"/>
        </w:rPr>
        <w:t xml:space="preserve"> about it </w:t>
      </w:r>
      <w:r w:rsidR="000D7C65">
        <w:t xml:space="preserve">because the study is for metal adsorption not for dye </w:t>
      </w:r>
    </w:p>
  </w:comment>
  <w:comment w:id="12" w:author="Dell" w:date="2025-04-12T13:11:00Z" w:initials="D">
    <w:p w14:paraId="482C1539" w14:textId="68CCFDCE" w:rsidR="000D7C65" w:rsidRDefault="000D7C65">
      <w:pPr>
        <w:pStyle w:val="ab"/>
      </w:pPr>
      <w:r>
        <w:rPr>
          <w:rStyle w:val="aa"/>
        </w:rPr>
        <w:annotationRef/>
      </w:r>
      <w:r>
        <w:t xml:space="preserve">Should be omitted and author should </w:t>
      </w:r>
      <w:proofErr w:type="gramStart"/>
      <w:r>
        <w:t>write  R</w:t>
      </w:r>
      <w:proofErr w:type="gramEnd"/>
      <w:r>
        <w:t xml:space="preserve">% = </w:t>
      </w:r>
    </w:p>
  </w:comment>
  <w:comment w:id="13" w:author="Dell" w:date="2025-04-12T13:26:00Z" w:initials="D">
    <w:p w14:paraId="060C36AD" w14:textId="439AB3F9" w:rsidR="00B87B35" w:rsidRDefault="00B87B35">
      <w:pPr>
        <w:pStyle w:val="ab"/>
      </w:pPr>
      <w:r>
        <w:rPr>
          <w:rStyle w:val="aa"/>
        </w:rPr>
        <w:annotationRef/>
      </w:r>
      <w:r>
        <w:t>Author should mention S*</w:t>
      </w:r>
    </w:p>
  </w:comment>
  <w:comment w:id="14" w:author="Dell" w:date="2025-04-12T13:28:00Z" w:initials="D">
    <w:p w14:paraId="20F73A37" w14:textId="44DEC7DF" w:rsidR="00B87B35" w:rsidRDefault="00B87B35">
      <w:pPr>
        <w:pStyle w:val="ab"/>
      </w:pPr>
      <w:r>
        <w:rPr>
          <w:rStyle w:val="aa"/>
        </w:rPr>
        <w:annotationRef/>
      </w:r>
      <w:r>
        <w:t xml:space="preserve">???? should be complete </w:t>
      </w:r>
    </w:p>
  </w:comment>
  <w:comment w:id="15" w:author="Dell" w:date="2025-04-12T13:28:00Z" w:initials="D">
    <w:p w14:paraId="31A692C6" w14:textId="2BEF868A" w:rsidR="00B87B35" w:rsidRDefault="00B87B35">
      <w:pPr>
        <w:pStyle w:val="ab"/>
      </w:pPr>
      <w:r w:rsidRPr="00B87B35">
        <w:t>Removal % a more specific expression than Adsorption so it should be changed</w:t>
      </w:r>
    </w:p>
  </w:comment>
  <w:comment w:id="16" w:author="Dell" w:date="2025-04-12T13:39:00Z" w:initials="D">
    <w:p w14:paraId="3EDDF220" w14:textId="1929F382" w:rsidR="00C36DAC" w:rsidRDefault="00C36DAC">
      <w:pPr>
        <w:pStyle w:val="ab"/>
      </w:pPr>
      <w:bookmarkStart w:id="17" w:name="_GoBack"/>
      <w:r>
        <w:rPr>
          <w:rStyle w:val="aa"/>
        </w:rPr>
        <w:annotationRef/>
      </w:r>
      <w:r w:rsidRPr="00C36DAC">
        <w:t>A conclusion should also exhibit the novelty, prospects and recommendations</w:t>
      </w:r>
      <w:bookmarkEnd w:id="17"/>
    </w:p>
  </w:comment>
  <w:comment w:id="18" w:author="Dell" w:date="2025-04-12T13:46:00Z" w:initials="D">
    <w:p w14:paraId="2649978F" w14:textId="0E36F72D" w:rsidR="00146F80" w:rsidRDefault="00146F80">
      <w:pPr>
        <w:pStyle w:val="ab"/>
      </w:pPr>
      <w:r>
        <w:rPr>
          <w:rStyle w:val="aa"/>
        </w:rPr>
        <w:annotationRef/>
      </w:r>
      <w:r>
        <w:rPr>
          <w:rStyle w:val="aa"/>
        </w:rPr>
        <w:t xml:space="preserve">The references from here to the last should be updating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D24AF6" w15:done="0"/>
  <w15:commentEx w15:paraId="32038E48" w15:done="0"/>
  <w15:commentEx w15:paraId="77EA8DA5" w15:done="0"/>
  <w15:commentEx w15:paraId="1926DC44" w15:done="0"/>
  <w15:commentEx w15:paraId="7FEC70E0" w15:done="0"/>
  <w15:commentEx w15:paraId="6EDCAD1D" w15:done="0"/>
  <w15:commentEx w15:paraId="7219215D" w15:paraIdParent="6EDCAD1D" w15:done="0"/>
  <w15:commentEx w15:paraId="2B5AA06E" w15:done="0"/>
  <w15:commentEx w15:paraId="2E150B32" w15:done="0"/>
  <w15:commentEx w15:paraId="00AD431F" w15:done="0"/>
  <w15:commentEx w15:paraId="6CA039C1" w15:done="0"/>
  <w15:commentEx w15:paraId="3310A5ED" w15:done="0"/>
  <w15:commentEx w15:paraId="482C1539" w15:done="0"/>
  <w15:commentEx w15:paraId="060C36AD" w15:done="0"/>
  <w15:commentEx w15:paraId="20F73A37" w15:done="0"/>
  <w15:commentEx w15:paraId="31A692C6" w15:done="0"/>
  <w15:commentEx w15:paraId="3EDDF220" w15:done="0"/>
  <w15:commentEx w15:paraId="264997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24AF6" w16cid:durableId="2BA4BE38"/>
  <w16cid:commentId w16cid:paraId="32038E48" w16cid:durableId="2BA4DF9F"/>
  <w16cid:commentId w16cid:paraId="77EA8DA5" w16cid:durableId="2BA4E049"/>
  <w16cid:commentId w16cid:paraId="1926DC44" w16cid:durableId="2BA4E34A"/>
  <w16cid:commentId w16cid:paraId="7FEC70E0" w16cid:durableId="2BA4E130"/>
  <w16cid:commentId w16cid:paraId="6EDCAD1D" w16cid:durableId="2BA4E252"/>
  <w16cid:commentId w16cid:paraId="7219215D" w16cid:durableId="2BA4E258"/>
  <w16cid:commentId w16cid:paraId="2B5AA06E" w16cid:durableId="2BA4E2C8"/>
  <w16cid:commentId w16cid:paraId="2E150B32" w16cid:durableId="2BA4E3AD"/>
  <w16cid:commentId w16cid:paraId="00AD431F" w16cid:durableId="2BA4E41C"/>
  <w16cid:commentId w16cid:paraId="6CA039C1" w16cid:durableId="2BA4E446"/>
  <w16cid:commentId w16cid:paraId="3310A5ED" w16cid:durableId="2BA4E47A"/>
  <w16cid:commentId w16cid:paraId="482C1539" w16cid:durableId="2BA4E510"/>
  <w16cid:commentId w16cid:paraId="060C36AD" w16cid:durableId="2BA4E89B"/>
  <w16cid:commentId w16cid:paraId="20F73A37" w16cid:durableId="2BA4E8E6"/>
  <w16cid:commentId w16cid:paraId="31A692C6" w16cid:durableId="2BA4E913"/>
  <w16cid:commentId w16cid:paraId="3EDDF220" w16cid:durableId="2BA4EB96"/>
  <w16cid:commentId w16cid:paraId="2649978F" w16cid:durableId="2BA4E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A53B6" w14:textId="77777777" w:rsidR="00895261" w:rsidRDefault="00895261" w:rsidP="008646BD">
      <w:r>
        <w:separator/>
      </w:r>
    </w:p>
  </w:endnote>
  <w:endnote w:type="continuationSeparator" w:id="0">
    <w:p w14:paraId="7D8EBEB1" w14:textId="77777777" w:rsidR="00895261" w:rsidRDefault="00895261" w:rsidP="008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8B08A" w14:textId="77777777" w:rsidR="008646BD" w:rsidRDefault="008646B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879C" w14:textId="77777777" w:rsidR="008646BD" w:rsidRDefault="008646B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B741" w14:textId="77777777" w:rsidR="008646BD" w:rsidRDefault="008646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43495" w14:textId="77777777" w:rsidR="00895261" w:rsidRDefault="00895261" w:rsidP="008646BD">
      <w:r>
        <w:separator/>
      </w:r>
    </w:p>
  </w:footnote>
  <w:footnote w:type="continuationSeparator" w:id="0">
    <w:p w14:paraId="431EA71A" w14:textId="77777777" w:rsidR="00895261" w:rsidRDefault="00895261" w:rsidP="0086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7CB5" w14:textId="5ECCD12F" w:rsidR="008646BD" w:rsidRDefault="00895261">
    <w:pPr>
      <w:pStyle w:val="a8"/>
    </w:pPr>
    <w:r>
      <w:rPr>
        <w:noProof/>
      </w:rPr>
      <w:pict w14:anchorId="42D0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862235"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7788" w14:textId="076C64FD" w:rsidR="008646BD" w:rsidRDefault="00895261">
    <w:pPr>
      <w:pStyle w:val="a8"/>
    </w:pPr>
    <w:r>
      <w:rPr>
        <w:noProof/>
      </w:rPr>
      <w:pict w14:anchorId="09D33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862236"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BB09" w14:textId="40E45ADF" w:rsidR="008646BD" w:rsidRDefault="00895261">
    <w:pPr>
      <w:pStyle w:val="a8"/>
    </w:pPr>
    <w:r>
      <w:rPr>
        <w:noProof/>
      </w:rPr>
      <w:pict w14:anchorId="61EFA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862234"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D7C65"/>
    <w:rsid w:val="00146F80"/>
    <w:rsid w:val="00172A27"/>
    <w:rsid w:val="001C5ED6"/>
    <w:rsid w:val="002B7228"/>
    <w:rsid w:val="002E62C5"/>
    <w:rsid w:val="003C7BBB"/>
    <w:rsid w:val="00485BA1"/>
    <w:rsid w:val="00542124"/>
    <w:rsid w:val="005B3D19"/>
    <w:rsid w:val="006710C6"/>
    <w:rsid w:val="00676213"/>
    <w:rsid w:val="007F11E7"/>
    <w:rsid w:val="008646BD"/>
    <w:rsid w:val="00895261"/>
    <w:rsid w:val="00935BF0"/>
    <w:rsid w:val="009A2A97"/>
    <w:rsid w:val="00AE712E"/>
    <w:rsid w:val="00B12FD0"/>
    <w:rsid w:val="00B46BC5"/>
    <w:rsid w:val="00B87B35"/>
    <w:rsid w:val="00C16405"/>
    <w:rsid w:val="00C36DAC"/>
    <w:rsid w:val="00EE307E"/>
    <w:rsid w:val="00F81F7F"/>
    <w:rsid w:val="035717DD"/>
    <w:rsid w:val="042564A7"/>
    <w:rsid w:val="04E22270"/>
    <w:rsid w:val="07632B35"/>
    <w:rsid w:val="097F12A3"/>
    <w:rsid w:val="09EC2832"/>
    <w:rsid w:val="0A497ADA"/>
    <w:rsid w:val="0C67422F"/>
    <w:rsid w:val="0EA909C8"/>
    <w:rsid w:val="0F095E06"/>
    <w:rsid w:val="10CD432D"/>
    <w:rsid w:val="12906A6B"/>
    <w:rsid w:val="13D13B54"/>
    <w:rsid w:val="14C15298"/>
    <w:rsid w:val="15774DC7"/>
    <w:rsid w:val="15EC4D86"/>
    <w:rsid w:val="160F0136"/>
    <w:rsid w:val="170D06E0"/>
    <w:rsid w:val="17A02FC6"/>
    <w:rsid w:val="184B5C65"/>
    <w:rsid w:val="19885935"/>
    <w:rsid w:val="1CB5095B"/>
    <w:rsid w:val="23102595"/>
    <w:rsid w:val="237D14BD"/>
    <w:rsid w:val="246E7F5E"/>
    <w:rsid w:val="24F2052C"/>
    <w:rsid w:val="26341E23"/>
    <w:rsid w:val="26DE2E78"/>
    <w:rsid w:val="28A12FA8"/>
    <w:rsid w:val="293D05B7"/>
    <w:rsid w:val="29B637DF"/>
    <w:rsid w:val="2D002460"/>
    <w:rsid w:val="2D8D147C"/>
    <w:rsid w:val="309148BA"/>
    <w:rsid w:val="33E47230"/>
    <w:rsid w:val="37705156"/>
    <w:rsid w:val="38CA1E09"/>
    <w:rsid w:val="39E15381"/>
    <w:rsid w:val="3B3977B7"/>
    <w:rsid w:val="3C9E5B44"/>
    <w:rsid w:val="3D577549"/>
    <w:rsid w:val="40F869A3"/>
    <w:rsid w:val="46DF70EC"/>
    <w:rsid w:val="48F5643E"/>
    <w:rsid w:val="49C76797"/>
    <w:rsid w:val="4F331629"/>
    <w:rsid w:val="53E11C3A"/>
    <w:rsid w:val="542B077F"/>
    <w:rsid w:val="546142D4"/>
    <w:rsid w:val="55781FDE"/>
    <w:rsid w:val="56CF2D5F"/>
    <w:rsid w:val="56DC0E7C"/>
    <w:rsid w:val="570065DE"/>
    <w:rsid w:val="57145D44"/>
    <w:rsid w:val="5B792E20"/>
    <w:rsid w:val="5E4B5FE3"/>
    <w:rsid w:val="5EAA60BD"/>
    <w:rsid w:val="60E40384"/>
    <w:rsid w:val="65393821"/>
    <w:rsid w:val="66381C98"/>
    <w:rsid w:val="66622E8F"/>
    <w:rsid w:val="6786624A"/>
    <w:rsid w:val="683313FF"/>
    <w:rsid w:val="6AC46A7A"/>
    <w:rsid w:val="6B246621"/>
    <w:rsid w:val="6B4B5F25"/>
    <w:rsid w:val="6B561FBD"/>
    <w:rsid w:val="6E11600D"/>
    <w:rsid w:val="6EA12D56"/>
    <w:rsid w:val="6EF11E0D"/>
    <w:rsid w:val="71D4007D"/>
    <w:rsid w:val="74BD28E5"/>
    <w:rsid w:val="75853A5B"/>
    <w:rsid w:val="771A18F7"/>
    <w:rsid w:val="789E4766"/>
    <w:rsid w:val="791B1CEF"/>
    <w:rsid w:val="7B1633FD"/>
    <w:rsid w:val="7F8A16CD"/>
    <w:rsid w:val="7FC058AE"/>
    <w:rsid w:val="7FCF6B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2E0A36"/>
  <w15:docId w15:val="{0DE8AE3F-737E-444C-9256-7E41F7AB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Char"/>
    <w:qFormat/>
    <w:rsid w:val="009A2A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next w:val="a"/>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Hyperlink">
    <w:name w:val="Hyperlink"/>
    <w:basedOn w:val="a0"/>
    <w:uiPriority w:val="99"/>
    <w:semiHidden/>
    <w:unhideWhenUsed/>
    <w:qFormat/>
    <w:rPr>
      <w:color w:val="0000FF"/>
      <w:u w:val="single"/>
    </w:rPr>
  </w:style>
  <w:style w:type="paragraph" w:styleId="a4">
    <w:name w:val="Normal (Web)"/>
    <w:basedOn w:val="a"/>
    <w:uiPriority w:val="99"/>
    <w:semiHidden/>
    <w:unhideWhenUsed/>
    <w:qFormat/>
    <w:pPr>
      <w:spacing w:after="100" w:afterAutospacing="1"/>
    </w:pPr>
    <w:rPr>
      <w:rFonts w:ascii="Times New Roman" w:hAnsi="Times New Roman"/>
      <w:sz w:val="24"/>
      <w:szCs w:val="24"/>
    </w:rPr>
  </w:style>
  <w:style w:type="character" w:styleId="a5">
    <w:name w:val="Strong"/>
    <w:basedOn w:val="a0"/>
    <w:uiPriority w:val="22"/>
    <w:qFormat/>
    <w:rPr>
      <w:b/>
      <w:bCs/>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unhideWhenUsed/>
    <w:rsid w:val="006710C6"/>
    <w:pPr>
      <w:ind w:left="720"/>
      <w:contextualSpacing/>
    </w:pPr>
  </w:style>
  <w:style w:type="paragraph" w:styleId="a8">
    <w:name w:val="header"/>
    <w:basedOn w:val="a"/>
    <w:link w:val="Char"/>
    <w:rsid w:val="008646BD"/>
    <w:pPr>
      <w:tabs>
        <w:tab w:val="center" w:pos="4680"/>
        <w:tab w:val="right" w:pos="9360"/>
      </w:tabs>
    </w:pPr>
  </w:style>
  <w:style w:type="character" w:customStyle="1" w:styleId="Char">
    <w:name w:val="رأس الصفحة Char"/>
    <w:basedOn w:val="a0"/>
    <w:link w:val="a8"/>
    <w:rsid w:val="008646BD"/>
    <w:rPr>
      <w:rFonts w:asciiTheme="minorHAnsi" w:eastAsiaTheme="minorEastAsia" w:hAnsiTheme="minorHAnsi" w:cstheme="minorBidi"/>
      <w:lang w:val="en-US" w:eastAsia="zh-CN"/>
    </w:rPr>
  </w:style>
  <w:style w:type="paragraph" w:styleId="a9">
    <w:name w:val="footer"/>
    <w:basedOn w:val="a"/>
    <w:link w:val="Char0"/>
    <w:rsid w:val="008646BD"/>
    <w:pPr>
      <w:tabs>
        <w:tab w:val="center" w:pos="4680"/>
        <w:tab w:val="right" w:pos="9360"/>
      </w:tabs>
    </w:pPr>
  </w:style>
  <w:style w:type="character" w:customStyle="1" w:styleId="Char0">
    <w:name w:val="تذييل الصفحة Char"/>
    <w:basedOn w:val="a0"/>
    <w:link w:val="a9"/>
    <w:rsid w:val="008646BD"/>
    <w:rPr>
      <w:rFonts w:asciiTheme="minorHAnsi" w:eastAsiaTheme="minorEastAsia" w:hAnsiTheme="minorHAnsi" w:cstheme="minorBidi"/>
      <w:lang w:val="en-US" w:eastAsia="zh-CN"/>
    </w:rPr>
  </w:style>
  <w:style w:type="character" w:customStyle="1" w:styleId="1Char">
    <w:name w:val="العنوان 1 Char"/>
    <w:basedOn w:val="a0"/>
    <w:link w:val="1"/>
    <w:rsid w:val="009A2A97"/>
    <w:rPr>
      <w:rFonts w:asciiTheme="majorHAnsi" w:eastAsiaTheme="majorEastAsia" w:hAnsiTheme="majorHAnsi" w:cstheme="majorBidi"/>
      <w:color w:val="2E74B5" w:themeColor="accent1" w:themeShade="BF"/>
      <w:sz w:val="32"/>
      <w:szCs w:val="32"/>
      <w:lang w:val="en-US" w:eastAsia="zh-CN"/>
    </w:rPr>
  </w:style>
  <w:style w:type="character" w:styleId="aa">
    <w:name w:val="annotation reference"/>
    <w:basedOn w:val="a0"/>
    <w:rsid w:val="001C5ED6"/>
    <w:rPr>
      <w:sz w:val="16"/>
      <w:szCs w:val="16"/>
    </w:rPr>
  </w:style>
  <w:style w:type="paragraph" w:styleId="ab">
    <w:name w:val="annotation text"/>
    <w:basedOn w:val="a"/>
    <w:link w:val="Char1"/>
    <w:rsid w:val="001C5ED6"/>
  </w:style>
  <w:style w:type="character" w:customStyle="1" w:styleId="Char1">
    <w:name w:val="نص تعليق Char"/>
    <w:basedOn w:val="a0"/>
    <w:link w:val="ab"/>
    <w:rsid w:val="001C5ED6"/>
    <w:rPr>
      <w:rFonts w:asciiTheme="minorHAnsi" w:eastAsiaTheme="minorEastAsia" w:hAnsiTheme="minorHAnsi" w:cstheme="minorBidi"/>
      <w:lang w:val="en-US" w:eastAsia="zh-CN"/>
    </w:rPr>
  </w:style>
  <w:style w:type="paragraph" w:styleId="ac">
    <w:name w:val="annotation subject"/>
    <w:basedOn w:val="ab"/>
    <w:next w:val="ab"/>
    <w:link w:val="Char2"/>
    <w:rsid w:val="001C5ED6"/>
    <w:rPr>
      <w:b/>
      <w:bCs/>
    </w:rPr>
  </w:style>
  <w:style w:type="character" w:customStyle="1" w:styleId="Char2">
    <w:name w:val="موضوع تعليق Char"/>
    <w:basedOn w:val="Char1"/>
    <w:link w:val="ac"/>
    <w:rsid w:val="001C5ED6"/>
    <w:rPr>
      <w:rFonts w:asciiTheme="minorHAnsi" w:eastAsiaTheme="minorEastAsia" w:hAnsiTheme="minorHAnsi" w:cstheme="minorBidi"/>
      <w:b/>
      <w:bCs/>
      <w:lang w:val="en-US" w:eastAsia="zh-CN"/>
    </w:rPr>
  </w:style>
  <w:style w:type="paragraph" w:styleId="ad">
    <w:name w:val="Balloon Text"/>
    <w:basedOn w:val="a"/>
    <w:link w:val="Char3"/>
    <w:semiHidden/>
    <w:unhideWhenUsed/>
    <w:rsid w:val="001C5ED6"/>
    <w:rPr>
      <w:rFonts w:ascii="Tahoma" w:hAnsi="Tahoma" w:cs="Tahoma"/>
      <w:sz w:val="18"/>
      <w:szCs w:val="18"/>
    </w:rPr>
  </w:style>
  <w:style w:type="character" w:customStyle="1" w:styleId="Char3">
    <w:name w:val="نص في بالون Char"/>
    <w:basedOn w:val="a0"/>
    <w:link w:val="ad"/>
    <w:semiHidden/>
    <w:rsid w:val="001C5ED6"/>
    <w:rPr>
      <w:rFonts w:ascii="Tahoma" w:eastAsiaTheme="minorEastAsia" w:hAnsi="Tahoma" w:cs="Tahoma"/>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s://doi.org/10.1007/s40726-025-00344-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png"/><Relationship Id="rId32" Type="http://schemas.openxmlformats.org/officeDocument/2006/relationships/hyperlink" Target="https://doi.org/10.3390/w15234116"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hyperlink" Target="https://doi.org/10.3390/w1319265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doi.org/10.3390/toxics11070580" TargetMode="External"/><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EB262-5F20-4B9C-80FD-84B46B83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10</Pages>
  <Words>3220</Words>
  <Characters>18354</Characters>
  <Application>Microsoft Office Word</Application>
  <DocSecurity>0</DocSecurity>
  <Lines>152</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8</cp:revision>
  <dcterms:created xsi:type="dcterms:W3CDTF">2025-04-12T07:25:00Z</dcterms:created>
  <dcterms:modified xsi:type="dcterms:W3CDTF">2025-04-12T16:56:00Z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8AD4A5F25ECE4911B87EC4B6463DCAC9_11</vt:lpwstr>
  </property>
</Properties>
</file>