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72258B" w14:textId="5A823DCC" w:rsidR="00D534F4" w:rsidRDefault="005652A0" w:rsidP="00D534F4">
      <w:pPr>
        <w:tabs>
          <w:tab w:val="center" w:pos="4680"/>
          <w:tab w:val="left" w:pos="5745"/>
        </w:tabs>
        <w:autoSpaceDE w:val="0"/>
        <w:autoSpaceDN w:val="0"/>
        <w:adjustRightInd w:val="0"/>
        <w:spacing w:after="0" w:line="480" w:lineRule="auto"/>
        <w:rPr>
          <w:rFonts w:ascii="Times New Roman" w:hAnsi="Times New Roman" w:cs="Times New Roman"/>
          <w:b/>
          <w:bCs/>
          <w:sz w:val="28"/>
          <w:szCs w:val="24"/>
        </w:rPr>
      </w:pPr>
      <w:r w:rsidRPr="005652A0">
        <w:rPr>
          <w:rFonts w:ascii="Times New Roman" w:hAnsi="Times New Roman" w:cs="Times New Roman"/>
          <w:b/>
          <w:bCs/>
          <w:sz w:val="28"/>
          <w:szCs w:val="24"/>
        </w:rPr>
        <w:t>Case report</w:t>
      </w:r>
      <w:r w:rsidR="00D534F4">
        <w:rPr>
          <w:rFonts w:ascii="Times New Roman" w:hAnsi="Times New Roman" w:cs="Times New Roman"/>
          <w:b/>
          <w:bCs/>
          <w:sz w:val="28"/>
          <w:szCs w:val="24"/>
        </w:rPr>
        <w:tab/>
      </w:r>
      <w:r w:rsidR="00D534F4">
        <w:rPr>
          <w:rFonts w:ascii="Times New Roman" w:hAnsi="Times New Roman" w:cs="Times New Roman"/>
          <w:b/>
          <w:bCs/>
          <w:sz w:val="28"/>
          <w:szCs w:val="24"/>
        </w:rPr>
        <w:tab/>
      </w:r>
    </w:p>
    <w:p w14:paraId="0CD72407" w14:textId="54269735" w:rsidR="00D534F4" w:rsidRDefault="00664A64" w:rsidP="00D534F4">
      <w:pPr>
        <w:autoSpaceDE w:val="0"/>
        <w:autoSpaceDN w:val="0"/>
        <w:adjustRightInd w:val="0"/>
        <w:spacing w:after="0" w:line="480" w:lineRule="auto"/>
        <w:jc w:val="center"/>
        <w:rPr>
          <w:rFonts w:ascii="Times New Roman" w:hAnsi="Times New Roman" w:cs="Times New Roman"/>
          <w:b/>
          <w:bCs/>
          <w:sz w:val="24"/>
          <w:szCs w:val="24"/>
        </w:rPr>
      </w:pPr>
      <w:proofErr w:type="spellStart"/>
      <w:r w:rsidRPr="00D534F4">
        <w:rPr>
          <w:rFonts w:ascii="Times New Roman" w:hAnsi="Times New Roman" w:cs="Times New Roman"/>
          <w:b/>
          <w:bCs/>
          <w:sz w:val="24"/>
          <w:szCs w:val="24"/>
        </w:rPr>
        <w:t>Hemoadsorption</w:t>
      </w:r>
      <w:proofErr w:type="spellEnd"/>
      <w:r w:rsidRPr="00D534F4">
        <w:rPr>
          <w:rFonts w:ascii="Times New Roman" w:hAnsi="Times New Roman" w:cs="Times New Roman"/>
          <w:b/>
          <w:bCs/>
          <w:sz w:val="24"/>
          <w:szCs w:val="24"/>
        </w:rPr>
        <w:t xml:space="preserve"> with </w:t>
      </w:r>
      <w:proofErr w:type="spellStart"/>
      <w:r w:rsidRPr="00D534F4">
        <w:rPr>
          <w:rFonts w:ascii="Times New Roman" w:hAnsi="Times New Roman" w:cs="Times New Roman"/>
          <w:b/>
          <w:bCs/>
          <w:sz w:val="24"/>
          <w:szCs w:val="24"/>
        </w:rPr>
        <w:t>CytoSorb</w:t>
      </w:r>
      <w:proofErr w:type="spellEnd"/>
      <w:r w:rsidRPr="00D534F4">
        <w:rPr>
          <w:rFonts w:ascii="Times New Roman" w:hAnsi="Times New Roman" w:cs="Times New Roman"/>
          <w:b/>
          <w:bCs/>
          <w:sz w:val="24"/>
          <w:szCs w:val="24"/>
        </w:rPr>
        <w:t xml:space="preserve"> in a patient of sepsis, </w:t>
      </w:r>
      <w:commentRangeStart w:id="0"/>
      <w:r w:rsidRPr="00D534F4">
        <w:rPr>
          <w:rFonts w:ascii="Times New Roman" w:hAnsi="Times New Roman" w:cs="Times New Roman"/>
          <w:b/>
          <w:bCs/>
          <w:sz w:val="24"/>
          <w:szCs w:val="24"/>
        </w:rPr>
        <w:t>AKI</w:t>
      </w:r>
      <w:commentRangeEnd w:id="0"/>
      <w:r w:rsidR="00F87D31">
        <w:rPr>
          <w:rStyle w:val="CommentReference"/>
        </w:rPr>
        <w:commentReference w:id="0"/>
      </w:r>
      <w:r w:rsidRPr="00D534F4">
        <w:rPr>
          <w:rFonts w:ascii="Times New Roman" w:hAnsi="Times New Roman" w:cs="Times New Roman"/>
          <w:b/>
          <w:bCs/>
          <w:sz w:val="24"/>
          <w:szCs w:val="24"/>
        </w:rPr>
        <w:t xml:space="preserve"> and acute fulminant hepatitis</w:t>
      </w:r>
    </w:p>
    <w:p w14:paraId="479ECEA8" w14:textId="77777777" w:rsidR="00481E3F" w:rsidRPr="00D534F4" w:rsidRDefault="00481E3F" w:rsidP="00D534F4">
      <w:pPr>
        <w:autoSpaceDE w:val="0"/>
        <w:autoSpaceDN w:val="0"/>
        <w:adjustRightInd w:val="0"/>
        <w:spacing w:after="0" w:line="480" w:lineRule="auto"/>
        <w:jc w:val="center"/>
        <w:rPr>
          <w:rFonts w:ascii="Times New Roman" w:hAnsi="Times New Roman" w:cs="Times New Roman"/>
          <w:b/>
          <w:bCs/>
          <w:sz w:val="24"/>
          <w:szCs w:val="24"/>
        </w:rPr>
      </w:pPr>
    </w:p>
    <w:p w14:paraId="3C4B52FB" w14:textId="77777777" w:rsidR="00AE72EF" w:rsidRPr="00AE72EF" w:rsidRDefault="00AE72EF" w:rsidP="00D534F4">
      <w:pPr>
        <w:spacing w:line="480" w:lineRule="auto"/>
        <w:jc w:val="both"/>
        <w:rPr>
          <w:rFonts w:ascii="Times New Roman" w:eastAsia="Yu Gothic UI" w:hAnsi="Times New Roman" w:cs="Times New Roman"/>
          <w:b/>
          <w:bCs/>
          <w:sz w:val="24"/>
          <w:szCs w:val="24"/>
        </w:rPr>
      </w:pPr>
      <w:r w:rsidRPr="00AE72EF">
        <w:rPr>
          <w:rFonts w:ascii="Times New Roman" w:eastAsia="Yu Gothic UI" w:hAnsi="Times New Roman" w:cs="Times New Roman"/>
          <w:b/>
          <w:bCs/>
          <w:sz w:val="24"/>
          <w:szCs w:val="24"/>
        </w:rPr>
        <w:t>Abstract</w:t>
      </w:r>
    </w:p>
    <w:p w14:paraId="749E61E2" w14:textId="77777777" w:rsidR="00AE72EF" w:rsidRDefault="00AE72EF" w:rsidP="00D534F4">
      <w:pPr>
        <w:spacing w:line="480" w:lineRule="auto"/>
        <w:jc w:val="both"/>
        <w:rPr>
          <w:rFonts w:ascii="Times New Roman" w:eastAsia="Yu Gothic UI" w:hAnsi="Times New Roman" w:cs="Times New Roman"/>
          <w:sz w:val="24"/>
          <w:szCs w:val="24"/>
        </w:rPr>
      </w:pPr>
      <w:r w:rsidRPr="00AE72EF">
        <w:rPr>
          <w:rFonts w:ascii="Times New Roman" w:eastAsia="Yu Gothic UI" w:hAnsi="Times New Roman" w:cs="Times New Roman"/>
          <w:sz w:val="24"/>
          <w:szCs w:val="24"/>
        </w:rPr>
        <w:t xml:space="preserve">Sepsis, a life-threatening condition characterized by dysregulated immune responses and multi-organ dysfunction, remains a significant therapeutic challenge. This case report highlights the successful use of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therapy (</w:t>
      </w:r>
      <w:proofErr w:type="spellStart"/>
      <w:r w:rsidRPr="00AE72EF">
        <w:rPr>
          <w:rFonts w:ascii="Times New Roman" w:eastAsia="Yu Gothic UI" w:hAnsi="Times New Roman" w:cs="Times New Roman"/>
          <w:sz w:val="24"/>
          <w:szCs w:val="24"/>
        </w:rPr>
        <w:t>CytoSorb</w:t>
      </w:r>
      <w:proofErr w:type="spellEnd"/>
      <w:r w:rsidRPr="00AE72EF">
        <w:rPr>
          <w:rFonts w:ascii="Times New Roman" w:eastAsia="Yu Gothic UI" w:hAnsi="Times New Roman" w:cs="Times New Roman"/>
          <w:sz w:val="24"/>
          <w:szCs w:val="24"/>
        </w:rPr>
        <w:t xml:space="preserve">) in a 35-year-old female with sepsis, acute fulminant hepatitis, and multi-organ failure. The patient initially presented with fever, jaundice, and oliguria, progressing to respiratory distress and worsening renal and hepatic function. Despite initial antibiotic therapy and </w:t>
      </w:r>
      <w:proofErr w:type="spellStart"/>
      <w:r w:rsidRPr="00AE72EF">
        <w:rPr>
          <w:rFonts w:ascii="Times New Roman" w:eastAsia="Yu Gothic UI" w:hAnsi="Times New Roman" w:cs="Times New Roman"/>
          <w:sz w:val="24"/>
          <w:szCs w:val="24"/>
        </w:rPr>
        <w:t>haemodialysis</w:t>
      </w:r>
      <w:proofErr w:type="spellEnd"/>
      <w:r w:rsidRPr="00AE72EF">
        <w:rPr>
          <w:rFonts w:ascii="Times New Roman" w:eastAsia="Yu Gothic UI" w:hAnsi="Times New Roman" w:cs="Times New Roman"/>
          <w:sz w:val="24"/>
          <w:szCs w:val="24"/>
        </w:rPr>
        <w:t xml:space="preserve">, her condition deteriorated, prompting the initiation of </w:t>
      </w:r>
      <w:proofErr w:type="spellStart"/>
      <w:r w:rsidRPr="00AE72EF">
        <w:rPr>
          <w:rFonts w:ascii="Times New Roman" w:eastAsia="Yu Gothic UI" w:hAnsi="Times New Roman" w:cs="Times New Roman"/>
          <w:sz w:val="24"/>
          <w:szCs w:val="24"/>
        </w:rPr>
        <w:t>CytoSorb</w:t>
      </w:r>
      <w:proofErr w:type="spellEnd"/>
      <w:r w:rsidRPr="00AE72EF">
        <w:rPr>
          <w:rFonts w:ascii="Times New Roman" w:eastAsia="Yu Gothic UI" w:hAnsi="Times New Roman" w:cs="Times New Roman"/>
          <w:sz w:val="24"/>
          <w:szCs w:val="24"/>
        </w:rPr>
        <w:t xml:space="preserve">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integrated with renal replacement therapy (RRT). Two 12-hour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sessions over 48 hours led to marked clinical and biochemical improvement, including a reduction in serum bilirubin from 24.1 mg/dl to 5.6 mg/dl, ALT from 335 U/L to 59 U/L, and </w:t>
      </w:r>
      <w:proofErr w:type="spellStart"/>
      <w:r w:rsidRPr="00AE72EF">
        <w:rPr>
          <w:rFonts w:ascii="Times New Roman" w:eastAsia="Yu Gothic UI" w:hAnsi="Times New Roman" w:cs="Times New Roman"/>
          <w:sz w:val="24"/>
          <w:szCs w:val="24"/>
        </w:rPr>
        <w:t>procalcitonin</w:t>
      </w:r>
      <w:proofErr w:type="spellEnd"/>
      <w:r w:rsidRPr="00AE72EF">
        <w:rPr>
          <w:rFonts w:ascii="Times New Roman" w:eastAsia="Yu Gothic UI" w:hAnsi="Times New Roman" w:cs="Times New Roman"/>
          <w:sz w:val="24"/>
          <w:szCs w:val="24"/>
        </w:rPr>
        <w:t xml:space="preserve"> from 23.2 </w:t>
      </w:r>
      <w:proofErr w:type="spellStart"/>
      <w:r w:rsidRPr="00AE72EF">
        <w:rPr>
          <w:rFonts w:ascii="Times New Roman" w:eastAsia="Yu Gothic UI" w:hAnsi="Times New Roman" w:cs="Times New Roman"/>
          <w:sz w:val="24"/>
          <w:szCs w:val="24"/>
        </w:rPr>
        <w:t>μg</w:t>
      </w:r>
      <w:proofErr w:type="spellEnd"/>
      <w:r w:rsidRPr="00AE72EF">
        <w:rPr>
          <w:rFonts w:ascii="Times New Roman" w:eastAsia="Yu Gothic UI" w:hAnsi="Times New Roman" w:cs="Times New Roman"/>
          <w:sz w:val="24"/>
          <w:szCs w:val="24"/>
        </w:rPr>
        <w:t xml:space="preserve">/L to 9.54 </w:t>
      </w:r>
      <w:proofErr w:type="spellStart"/>
      <w:r w:rsidRPr="00AE72EF">
        <w:rPr>
          <w:rFonts w:ascii="Times New Roman" w:eastAsia="Yu Gothic UI" w:hAnsi="Times New Roman" w:cs="Times New Roman"/>
          <w:sz w:val="24"/>
          <w:szCs w:val="24"/>
        </w:rPr>
        <w:t>μg</w:t>
      </w:r>
      <w:proofErr w:type="spellEnd"/>
      <w:r w:rsidRPr="00AE72EF">
        <w:rPr>
          <w:rFonts w:ascii="Times New Roman" w:eastAsia="Yu Gothic UI" w:hAnsi="Times New Roman" w:cs="Times New Roman"/>
          <w:sz w:val="24"/>
          <w:szCs w:val="24"/>
        </w:rPr>
        <w:t xml:space="preserve">/L. The patient’s respiratory distress resolved, and she achieved </w:t>
      </w:r>
      <w:proofErr w:type="spellStart"/>
      <w:r w:rsidRPr="00AE72EF">
        <w:rPr>
          <w:rFonts w:ascii="Times New Roman" w:eastAsia="Yu Gothic UI" w:hAnsi="Times New Roman" w:cs="Times New Roman"/>
          <w:sz w:val="24"/>
          <w:szCs w:val="24"/>
        </w:rPr>
        <w:t>haemodynamic</w:t>
      </w:r>
      <w:proofErr w:type="spellEnd"/>
      <w:r w:rsidRPr="00AE72EF">
        <w:rPr>
          <w:rFonts w:ascii="Times New Roman" w:eastAsia="Yu Gothic UI" w:hAnsi="Times New Roman" w:cs="Times New Roman"/>
          <w:sz w:val="24"/>
          <w:szCs w:val="24"/>
        </w:rPr>
        <w:t xml:space="preserve"> stability, allowing transfer to the general ward and subsequent discharge without complications. This case underscores the potential of </w:t>
      </w:r>
      <w:proofErr w:type="spellStart"/>
      <w:r w:rsidRPr="00AE72EF">
        <w:rPr>
          <w:rFonts w:ascii="Times New Roman" w:eastAsia="Yu Gothic UI" w:hAnsi="Times New Roman" w:cs="Times New Roman"/>
          <w:sz w:val="24"/>
          <w:szCs w:val="24"/>
        </w:rPr>
        <w:t>hemoadsorption</w:t>
      </w:r>
      <w:proofErr w:type="spellEnd"/>
      <w:r w:rsidRPr="00AE72EF">
        <w:rPr>
          <w:rFonts w:ascii="Times New Roman" w:eastAsia="Yu Gothic UI" w:hAnsi="Times New Roman" w:cs="Times New Roman"/>
          <w:sz w:val="24"/>
          <w:szCs w:val="24"/>
        </w:rPr>
        <w:t xml:space="preserve"> therapy in modulating the inflammatory response and supporting organ recovery in complex sepsis cases. </w:t>
      </w:r>
      <w:proofErr w:type="spellStart"/>
      <w:r w:rsidRPr="00AE72EF">
        <w:rPr>
          <w:rFonts w:ascii="Times New Roman" w:eastAsia="Yu Gothic UI" w:hAnsi="Times New Roman" w:cs="Times New Roman"/>
          <w:sz w:val="24"/>
          <w:szCs w:val="24"/>
        </w:rPr>
        <w:t>CytoSorb’s</w:t>
      </w:r>
      <w:proofErr w:type="spellEnd"/>
      <w:r w:rsidRPr="00AE72EF">
        <w:rPr>
          <w:rFonts w:ascii="Times New Roman" w:eastAsia="Yu Gothic UI" w:hAnsi="Times New Roman" w:cs="Times New Roman"/>
          <w:sz w:val="24"/>
          <w:szCs w:val="24"/>
        </w:rPr>
        <w:t xml:space="preserve"> efficacy in reducing cytokine load and improving hepatic and renal function highlights its role as a valuable adjunct in sepsis management. Further studies are warranted to establish long-term outcomes and cost-effectiveness compared to other extracorporeal therapies.</w:t>
      </w:r>
    </w:p>
    <w:p w14:paraId="29BBE2F6" w14:textId="0CC86820" w:rsidR="00664A64" w:rsidRDefault="00AE72EF" w:rsidP="00D534F4">
      <w:pPr>
        <w:spacing w:line="480" w:lineRule="auto"/>
        <w:jc w:val="both"/>
        <w:rPr>
          <w:rFonts w:ascii="Times New Roman" w:hAnsi="Times New Roman" w:cs="Times New Roman"/>
          <w:bCs/>
          <w:sz w:val="24"/>
          <w:szCs w:val="24"/>
        </w:rPr>
      </w:pPr>
      <w:r>
        <w:rPr>
          <w:rFonts w:ascii="Times New Roman" w:hAnsi="Times New Roman" w:cs="Times New Roman"/>
          <w:b/>
          <w:bCs/>
          <w:sz w:val="24"/>
          <w:szCs w:val="24"/>
        </w:rPr>
        <w:t xml:space="preserve">Key Words: </w:t>
      </w:r>
      <w:proofErr w:type="spellStart"/>
      <w:r w:rsidRPr="00AE72EF">
        <w:rPr>
          <w:rFonts w:ascii="Times New Roman" w:hAnsi="Times New Roman" w:cs="Times New Roman"/>
          <w:bCs/>
          <w:sz w:val="24"/>
          <w:szCs w:val="24"/>
        </w:rPr>
        <w:t>CytoSorb</w:t>
      </w:r>
      <w:proofErr w:type="spellEnd"/>
      <w:r w:rsidRPr="00AE72EF">
        <w:rPr>
          <w:rFonts w:ascii="Times New Roman" w:hAnsi="Times New Roman" w:cs="Times New Roman"/>
          <w:bCs/>
          <w:sz w:val="24"/>
          <w:szCs w:val="24"/>
        </w:rPr>
        <w:t xml:space="preserve">, Cytokines, </w:t>
      </w:r>
      <w:proofErr w:type="spellStart"/>
      <w:r w:rsidRPr="00AE72EF">
        <w:rPr>
          <w:rFonts w:ascii="Times New Roman" w:hAnsi="Times New Roman" w:cs="Times New Roman"/>
          <w:bCs/>
          <w:sz w:val="24"/>
          <w:szCs w:val="24"/>
        </w:rPr>
        <w:t>Hemoadsorption</w:t>
      </w:r>
      <w:proofErr w:type="spellEnd"/>
      <w:r w:rsidRPr="00AE72EF">
        <w:rPr>
          <w:rFonts w:ascii="Times New Roman" w:hAnsi="Times New Roman" w:cs="Times New Roman"/>
          <w:bCs/>
          <w:sz w:val="24"/>
          <w:szCs w:val="24"/>
        </w:rPr>
        <w:t>, Sepsis, Septic shock</w:t>
      </w:r>
      <w:r w:rsidR="008F644E">
        <w:rPr>
          <w:rFonts w:ascii="Times New Roman" w:hAnsi="Times New Roman" w:cs="Times New Roman"/>
          <w:bCs/>
          <w:sz w:val="24"/>
          <w:szCs w:val="24"/>
        </w:rPr>
        <w:t>.</w:t>
      </w:r>
    </w:p>
    <w:p w14:paraId="7F4F466C" w14:textId="77777777" w:rsidR="00015DA6" w:rsidRDefault="00015DA6" w:rsidP="00D534F4">
      <w:pPr>
        <w:spacing w:line="480" w:lineRule="auto"/>
        <w:jc w:val="both"/>
        <w:rPr>
          <w:rFonts w:ascii="Times New Roman" w:hAnsi="Times New Roman" w:cs="Times New Roman"/>
          <w:bCs/>
          <w:sz w:val="24"/>
          <w:szCs w:val="24"/>
        </w:rPr>
      </w:pPr>
    </w:p>
    <w:p w14:paraId="32D02268" w14:textId="24AA062E"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lastRenderedPageBreak/>
        <w:t>Introduction</w:t>
      </w:r>
    </w:p>
    <w:p w14:paraId="75C4B9A8" w14:textId="79F42C54" w:rsidR="006262F5"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Sepsis, a life-threatening organ dysfunction caused by a dysregulated host response to infection, is often complicated by multi-organ failure, including acute kidney injury (AKI) and liver dysfunction</w:t>
      </w:r>
      <w:r w:rsidR="000050A6">
        <w:rPr>
          <w:rFonts w:ascii="Times New Roman" w:hAnsi="Times New Roman" w:cs="Times New Roman"/>
          <w:sz w:val="24"/>
          <w:szCs w:val="24"/>
        </w:rPr>
        <w:t xml:space="preserve"> </w:t>
      </w:r>
      <w:r w:rsidR="00D1644C" w:rsidRPr="000050A6">
        <w:rPr>
          <w:rFonts w:ascii="Times New Roman" w:hAnsi="Times New Roman" w:cs="Times New Roman"/>
          <w:sz w:val="24"/>
          <w:szCs w:val="24"/>
        </w:rPr>
        <w:t>[3,4]</w:t>
      </w:r>
      <w:r w:rsidRPr="00C93369">
        <w:rPr>
          <w:rFonts w:ascii="Times New Roman" w:hAnsi="Times New Roman" w:cs="Times New Roman"/>
          <w:sz w:val="24"/>
          <w:szCs w:val="24"/>
        </w:rPr>
        <w:t>. Managing sepsis remains challenging due to the complex interplay of inflammation, immune dysregulation, and organ impairment. Cytokine adsorption therapy, such a</w:t>
      </w:r>
      <w:r w:rsidR="00B11CD2" w:rsidRPr="00C93369">
        <w:rPr>
          <w:rFonts w:ascii="Times New Roman" w:hAnsi="Times New Roman" w:cs="Times New Roman"/>
          <w:sz w:val="24"/>
          <w:szCs w:val="24"/>
        </w:rPr>
        <w:t xml:space="preserve">s </w:t>
      </w:r>
      <w:proofErr w:type="spellStart"/>
      <w:r w:rsidR="00B11CD2" w:rsidRPr="00C93369">
        <w:rPr>
          <w:rFonts w:ascii="Times New Roman" w:hAnsi="Times New Roman" w:cs="Times New Roman"/>
          <w:sz w:val="24"/>
          <w:szCs w:val="24"/>
        </w:rPr>
        <w:t>hemoadsorption</w:t>
      </w:r>
      <w:proofErr w:type="spellEnd"/>
      <w:r w:rsidR="00B11CD2" w:rsidRPr="00C93369">
        <w:rPr>
          <w:rFonts w:ascii="Times New Roman" w:hAnsi="Times New Roman" w:cs="Times New Roman"/>
          <w:sz w:val="24"/>
          <w:szCs w:val="24"/>
        </w:rPr>
        <w:t xml:space="preserve"> using </w:t>
      </w:r>
      <w:proofErr w:type="spellStart"/>
      <w:r w:rsidR="00B11CD2" w:rsidRPr="00C93369">
        <w:rPr>
          <w:rFonts w:ascii="Times New Roman" w:hAnsi="Times New Roman" w:cs="Times New Roman"/>
          <w:sz w:val="24"/>
          <w:szCs w:val="24"/>
        </w:rPr>
        <w:t>CytoSorb</w:t>
      </w:r>
      <w:proofErr w:type="spellEnd"/>
      <w:r w:rsidRPr="00C93369">
        <w:rPr>
          <w:rFonts w:ascii="Times New Roman" w:hAnsi="Times New Roman" w:cs="Times New Roman"/>
          <w:sz w:val="24"/>
          <w:szCs w:val="24"/>
        </w:rPr>
        <w:t>, has emerged as a promising adjunct to conventional treatments in sepsis</w:t>
      </w:r>
      <w:r w:rsidR="000050A6">
        <w:rPr>
          <w:rFonts w:ascii="Times New Roman" w:hAnsi="Times New Roman" w:cs="Times New Roman"/>
          <w:sz w:val="24"/>
          <w:szCs w:val="24"/>
        </w:rPr>
        <w:t xml:space="preserve"> </w:t>
      </w:r>
      <w:r w:rsidR="00D1644C" w:rsidRPr="000050A6">
        <w:rPr>
          <w:rFonts w:ascii="Times New Roman" w:hAnsi="Times New Roman" w:cs="Times New Roman"/>
          <w:color w:val="000000"/>
          <w:sz w:val="24"/>
          <w:szCs w:val="24"/>
        </w:rPr>
        <w:t>[2]</w:t>
      </w:r>
      <w:r w:rsidRPr="00C93369">
        <w:rPr>
          <w:rFonts w:ascii="Times New Roman" w:hAnsi="Times New Roman" w:cs="Times New Roman"/>
          <w:sz w:val="24"/>
          <w:szCs w:val="24"/>
        </w:rPr>
        <w:t xml:space="preserve">.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works by removing excess cytokines, bilirubin, and other inflammatory mediators from circulation using porous polymer beads. This mechanism helps modulate the immune response, reduce inflammation, and support organ recovery.</w:t>
      </w:r>
    </w:p>
    <w:p w14:paraId="5E3C2313" w14:textId="338CCFCA" w:rsidR="006262F5"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In particular, </w:t>
      </w:r>
      <w:proofErr w:type="spellStart"/>
      <w:r w:rsidRPr="00C93369">
        <w:rPr>
          <w:rFonts w:ascii="Times New Roman" w:hAnsi="Times New Roman" w:cs="Times New Roman"/>
          <w:sz w:val="24"/>
          <w:szCs w:val="24"/>
        </w:rPr>
        <w:t>CytoSorb</w:t>
      </w:r>
      <w:proofErr w:type="spellEnd"/>
      <w:r w:rsidRPr="00C93369">
        <w:rPr>
          <w:rFonts w:ascii="Times New Roman" w:hAnsi="Times New Roman" w:cs="Times New Roman"/>
          <w:sz w:val="24"/>
          <w:szCs w:val="24"/>
        </w:rPr>
        <w:t xml:space="preserve"> has shown utility in patients with AKI and liver dysfunction, where its adsorptive capacity aids in decreasing inflammatory markers and improving excretory liver function</w:t>
      </w:r>
      <w:r w:rsidR="000050A6">
        <w:rPr>
          <w:rFonts w:ascii="Times New Roman" w:hAnsi="Times New Roman" w:cs="Times New Roman"/>
          <w:sz w:val="24"/>
          <w:szCs w:val="24"/>
        </w:rPr>
        <w:t xml:space="preserve"> </w:t>
      </w:r>
      <w:r w:rsidR="00D1644C" w:rsidRPr="000050A6">
        <w:rPr>
          <w:rFonts w:ascii="Times New Roman" w:hAnsi="Times New Roman" w:cs="Times New Roman"/>
          <w:sz w:val="24"/>
          <w:szCs w:val="24"/>
        </w:rPr>
        <w:t>[1]</w:t>
      </w:r>
      <w:r w:rsidRPr="00C93369">
        <w:rPr>
          <w:rFonts w:ascii="Times New Roman" w:hAnsi="Times New Roman" w:cs="Times New Roman"/>
          <w:sz w:val="24"/>
          <w:szCs w:val="24"/>
        </w:rPr>
        <w:t xml:space="preserve">. </w:t>
      </w:r>
      <w:r w:rsidR="008430E5" w:rsidRPr="00C93369">
        <w:rPr>
          <w:rFonts w:ascii="Times New Roman" w:hAnsi="Times New Roman" w:cs="Times New Roman"/>
          <w:sz w:val="24"/>
          <w:szCs w:val="24"/>
        </w:rPr>
        <w:t xml:space="preserve">This case report illustrates the effectiveness of </w:t>
      </w:r>
      <w:proofErr w:type="spellStart"/>
      <w:r w:rsidR="008430E5" w:rsidRPr="00C93369">
        <w:rPr>
          <w:rFonts w:ascii="Times New Roman" w:hAnsi="Times New Roman" w:cs="Times New Roman"/>
          <w:sz w:val="24"/>
          <w:szCs w:val="24"/>
        </w:rPr>
        <w:t>hemoadsorption</w:t>
      </w:r>
      <w:proofErr w:type="spellEnd"/>
      <w:r w:rsidR="008430E5" w:rsidRPr="00C93369">
        <w:rPr>
          <w:rFonts w:ascii="Times New Roman" w:hAnsi="Times New Roman" w:cs="Times New Roman"/>
          <w:sz w:val="24"/>
          <w:szCs w:val="24"/>
        </w:rPr>
        <w:t xml:space="preserve"> therapy in the rapid stabilization and organ recovery of a patient with sepsis, acute fulminant hepatitis, and multi-organ failure.</w:t>
      </w:r>
    </w:p>
    <w:p w14:paraId="48EF1ACD" w14:textId="79C4C2C6"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Case Presentation</w:t>
      </w:r>
    </w:p>
    <w:p w14:paraId="17E40656" w14:textId="07617C67" w:rsidR="006262F5" w:rsidRPr="00C93369" w:rsidRDefault="008430E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On January 4, 2024, a 35-year-old female presented to a peripheral hospital with a 7-day history of fever, yellowish discoloration of the skin, sclera, and urine, and severe pruritus. She disclosed that she had previously utilized herbal medications and nonsteroidal anti-inflammatory drugs. Her symptoms evolved to encompass oliguria as time progressed. Hyperbilirubinemia (15.2 mg/dl), leukocytosis (44.80 K/</w:t>
      </w:r>
      <w:proofErr w:type="spellStart"/>
      <w:r w:rsidRPr="00C93369">
        <w:rPr>
          <w:rFonts w:ascii="Times New Roman" w:hAnsi="Times New Roman" w:cs="Times New Roman"/>
          <w:sz w:val="24"/>
          <w:szCs w:val="24"/>
        </w:rPr>
        <w:t>μl</w:t>
      </w:r>
      <w:proofErr w:type="spellEnd"/>
      <w:r w:rsidRPr="00C93369">
        <w:rPr>
          <w:rFonts w:ascii="Times New Roman" w:hAnsi="Times New Roman" w:cs="Times New Roman"/>
          <w:sz w:val="24"/>
          <w:szCs w:val="24"/>
        </w:rPr>
        <w:t xml:space="preserve">), elevated erythrocyte sedimentation rate (41 mm/hour), and altered liver enzymes (SGPT/ALT 450 U/L, ALP 902 U/L) were all identified during the initial laboratory investigations. </w:t>
      </w:r>
      <w:r w:rsidR="006262F5" w:rsidRPr="00C93369">
        <w:rPr>
          <w:rFonts w:ascii="Times New Roman" w:hAnsi="Times New Roman" w:cs="Times New Roman"/>
          <w:sz w:val="24"/>
          <w:szCs w:val="24"/>
        </w:rPr>
        <w:t>Intravenous ceftriaxone was administered as initial therapy.</w:t>
      </w:r>
    </w:p>
    <w:p w14:paraId="4FC7C18A" w14:textId="6D0F1514" w:rsidR="006262F5" w:rsidRPr="00C93369" w:rsidRDefault="00AE72EF" w:rsidP="00D534F4">
      <w:pPr>
        <w:spacing w:line="480" w:lineRule="auto"/>
        <w:jc w:val="both"/>
        <w:rPr>
          <w:rFonts w:ascii="Times New Roman" w:hAnsi="Times New Roman" w:cs="Times New Roman"/>
          <w:b/>
          <w:bCs/>
          <w:sz w:val="24"/>
          <w:szCs w:val="24"/>
        </w:rPr>
      </w:pPr>
      <w:r w:rsidRPr="00AE72EF">
        <w:rPr>
          <w:rFonts w:ascii="Times New Roman" w:hAnsi="Times New Roman" w:cs="Times New Roman"/>
          <w:sz w:val="24"/>
          <w:szCs w:val="24"/>
        </w:rPr>
        <w:lastRenderedPageBreak/>
        <w:t xml:space="preserve">Her condition worsened with a rise in serum creatinine to 7.1 mg/dl, necessitating </w:t>
      </w:r>
      <w:proofErr w:type="spellStart"/>
      <w:r w:rsidRPr="00AE72EF">
        <w:rPr>
          <w:rFonts w:ascii="Times New Roman" w:hAnsi="Times New Roman" w:cs="Times New Roman"/>
          <w:sz w:val="24"/>
          <w:szCs w:val="24"/>
        </w:rPr>
        <w:t>haemodialysis</w:t>
      </w:r>
      <w:proofErr w:type="spellEnd"/>
      <w:r w:rsidRPr="00AE72EF">
        <w:rPr>
          <w:rFonts w:ascii="Times New Roman" w:hAnsi="Times New Roman" w:cs="Times New Roman"/>
          <w:sz w:val="24"/>
          <w:szCs w:val="24"/>
        </w:rPr>
        <w:t xml:space="preserve"> on January 6. Subsequently, she developed respiratory distress and somnolence and was referred to BIRDEM General Hospital, Dhaka, on January 8. Upon admission, she was conscious but somnolent and required oxygen supplementation via nasal cannula. Bilateral pulmonary crepitations were noted on auscultation. Laboratory findings included serum bilirubin 24.1 mg/dl, </w:t>
      </w:r>
      <w:proofErr w:type="spellStart"/>
      <w:r w:rsidRPr="00AE72EF">
        <w:rPr>
          <w:rFonts w:ascii="Times New Roman" w:hAnsi="Times New Roman" w:cs="Times New Roman"/>
          <w:sz w:val="24"/>
          <w:szCs w:val="24"/>
        </w:rPr>
        <w:t>procalcitonin</w:t>
      </w:r>
      <w:proofErr w:type="spellEnd"/>
      <w:r w:rsidRPr="00AE72EF">
        <w:rPr>
          <w:rFonts w:ascii="Times New Roman" w:hAnsi="Times New Roman" w:cs="Times New Roman"/>
          <w:sz w:val="24"/>
          <w:szCs w:val="24"/>
        </w:rPr>
        <w:t xml:space="preserve"> (PCT) 23.2 </w:t>
      </w:r>
      <w:proofErr w:type="spellStart"/>
      <w:r w:rsidRPr="00AE72EF">
        <w:rPr>
          <w:rFonts w:ascii="Times New Roman" w:hAnsi="Times New Roman" w:cs="Times New Roman"/>
          <w:sz w:val="24"/>
          <w:szCs w:val="24"/>
        </w:rPr>
        <w:t>μg</w:t>
      </w:r>
      <w:proofErr w:type="spellEnd"/>
      <w:r w:rsidRPr="00AE72EF">
        <w:rPr>
          <w:rFonts w:ascii="Times New Roman" w:hAnsi="Times New Roman" w:cs="Times New Roman"/>
          <w:sz w:val="24"/>
          <w:szCs w:val="24"/>
        </w:rPr>
        <w:t xml:space="preserve">/l, serum creatinine 9.7 mg/dl, ferritin 2268 ng/ml, and serum potassium 6.3 </w:t>
      </w:r>
      <w:proofErr w:type="spellStart"/>
      <w:r w:rsidRPr="00AE72EF">
        <w:rPr>
          <w:rFonts w:ascii="Times New Roman" w:hAnsi="Times New Roman" w:cs="Times New Roman"/>
          <w:sz w:val="24"/>
          <w:szCs w:val="24"/>
        </w:rPr>
        <w:t>mEq</w:t>
      </w:r>
      <w:proofErr w:type="spellEnd"/>
      <w:r w:rsidRPr="00AE72EF">
        <w:rPr>
          <w:rFonts w:ascii="Times New Roman" w:hAnsi="Times New Roman" w:cs="Times New Roman"/>
          <w:sz w:val="24"/>
          <w:szCs w:val="24"/>
        </w:rPr>
        <w:t xml:space="preserve">/L. A chest X-ray revealed bilateral pulmonary oedema. Hepatitis serologies were negative, but ANA was positive, suggesting an autoimmune component. Given her complex presentation involving sepsis, AKI, and acute fulminant hepatitis, the medical team initiated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therapy using </w:t>
      </w:r>
      <w:proofErr w:type="spellStart"/>
      <w:r w:rsidRPr="00AE72EF">
        <w:rPr>
          <w:rFonts w:ascii="Times New Roman" w:hAnsi="Times New Roman" w:cs="Times New Roman"/>
          <w:sz w:val="24"/>
          <w:szCs w:val="24"/>
        </w:rPr>
        <w:t>CytoSorb</w:t>
      </w:r>
      <w:proofErr w:type="spellEnd"/>
      <w:r w:rsidRPr="00AE72EF">
        <w:rPr>
          <w:rFonts w:ascii="Times New Roman" w:hAnsi="Times New Roman" w:cs="Times New Roman"/>
          <w:sz w:val="24"/>
          <w:szCs w:val="24"/>
        </w:rPr>
        <w:t xml:space="preserve"> in conjunction with renal replacement therapy (RRT).</w:t>
      </w:r>
    </w:p>
    <w:p w14:paraId="3D58B83B" w14:textId="77777777"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Treatment</w:t>
      </w:r>
    </w:p>
    <w:p w14:paraId="18CA8A31" w14:textId="07F39339" w:rsidR="006E41D7" w:rsidRPr="00AE72EF"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Two 12-hour sessions of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therapy were performed over 48 hours with a 24-hour interval between sessions. </w:t>
      </w:r>
      <w:proofErr w:type="spellStart"/>
      <w:r w:rsidRPr="00C93369">
        <w:rPr>
          <w:rFonts w:ascii="Times New Roman" w:hAnsi="Times New Roman" w:cs="Times New Roman"/>
          <w:sz w:val="24"/>
          <w:szCs w:val="24"/>
        </w:rPr>
        <w:t>CytoSorb</w:t>
      </w:r>
      <w:proofErr w:type="spellEnd"/>
      <w:r w:rsidRPr="00C93369">
        <w:rPr>
          <w:rFonts w:ascii="Times New Roman" w:hAnsi="Times New Roman" w:cs="Times New Roman"/>
          <w:sz w:val="24"/>
          <w:szCs w:val="24"/>
        </w:rPr>
        <w:t xml:space="preserve"> was integrated with RRT</w:t>
      </w:r>
      <w:r w:rsidR="000050A6">
        <w:rPr>
          <w:rFonts w:ascii="Times New Roman" w:hAnsi="Times New Roman" w:cs="Times New Roman"/>
          <w:sz w:val="24"/>
          <w:szCs w:val="24"/>
        </w:rPr>
        <w:t xml:space="preserve"> </w:t>
      </w:r>
      <w:r w:rsidR="00D1644C" w:rsidRPr="000050A6">
        <w:rPr>
          <w:rFonts w:ascii="Times New Roman" w:hAnsi="Times New Roman" w:cs="Times New Roman"/>
          <w:sz w:val="24"/>
          <w:szCs w:val="24"/>
        </w:rPr>
        <w:t>[5]</w:t>
      </w:r>
      <w:r w:rsidRPr="00C93369">
        <w:rPr>
          <w:rFonts w:ascii="Times New Roman" w:hAnsi="Times New Roman" w:cs="Times New Roman"/>
          <w:sz w:val="24"/>
          <w:szCs w:val="24"/>
        </w:rPr>
        <w:t xml:space="preserve"> without anticoagulation, given the elevated risk of bleeding in the setting of liver dysfunction. The </w:t>
      </w:r>
      <w:proofErr w:type="spellStart"/>
      <w:r w:rsidRPr="00C93369">
        <w:rPr>
          <w:rFonts w:ascii="Times New Roman" w:hAnsi="Times New Roman" w:cs="Times New Roman"/>
          <w:sz w:val="24"/>
          <w:szCs w:val="24"/>
        </w:rPr>
        <w:t>hemoadsorber</w:t>
      </w:r>
      <w:proofErr w:type="spellEnd"/>
      <w:r w:rsidRPr="00C93369">
        <w:rPr>
          <w:rFonts w:ascii="Times New Roman" w:hAnsi="Times New Roman" w:cs="Times New Roman"/>
          <w:sz w:val="24"/>
          <w:szCs w:val="24"/>
        </w:rPr>
        <w:t xml:space="preserve"> was positioned pre-</w:t>
      </w:r>
      <w:proofErr w:type="spellStart"/>
      <w:r w:rsidRPr="00C93369">
        <w:rPr>
          <w:rFonts w:ascii="Times New Roman" w:hAnsi="Times New Roman" w:cs="Times New Roman"/>
          <w:sz w:val="24"/>
          <w:szCs w:val="24"/>
        </w:rPr>
        <w:t>hemofilter</w:t>
      </w:r>
      <w:proofErr w:type="spellEnd"/>
      <w:r w:rsidRPr="00C93369">
        <w:rPr>
          <w:rFonts w:ascii="Times New Roman" w:hAnsi="Times New Roman" w:cs="Times New Roman"/>
          <w:sz w:val="24"/>
          <w:szCs w:val="24"/>
        </w:rPr>
        <w:t>, with blood flow and dialysate flow rates set at 150 ml/min and 2000 ml/min, respectively. Concurrent antibiotic therapy with meropenem and moxifloxacin was administered.</w:t>
      </w:r>
    </w:p>
    <w:p w14:paraId="3EA28093" w14:textId="5752A681"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Measurements</w:t>
      </w:r>
    </w:p>
    <w:p w14:paraId="4A7AB67B" w14:textId="38CDFC03" w:rsidR="006262F5"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Clinical and laboratory parameters, including bilirubin, liver enzymes (ALT/SGPT, AST/SGOT), PCT, and consciousness levels, were closely monitored. A timeline of key lab parameter trends is provided in Table 1 and Figure 1.</w:t>
      </w:r>
    </w:p>
    <w:p w14:paraId="5149E12C" w14:textId="70870E0B" w:rsidR="00D534F4" w:rsidRDefault="00D534F4" w:rsidP="00D534F4">
      <w:pPr>
        <w:spacing w:line="480" w:lineRule="auto"/>
        <w:jc w:val="both"/>
        <w:rPr>
          <w:rFonts w:ascii="Times New Roman" w:hAnsi="Times New Roman" w:cs="Times New Roman"/>
          <w:sz w:val="24"/>
          <w:szCs w:val="24"/>
        </w:rPr>
      </w:pPr>
    </w:p>
    <w:p w14:paraId="23717B29" w14:textId="77777777" w:rsidR="00D534F4" w:rsidRPr="00AE72EF" w:rsidRDefault="00D534F4" w:rsidP="00D534F4">
      <w:pPr>
        <w:spacing w:line="480" w:lineRule="auto"/>
        <w:jc w:val="both"/>
        <w:rPr>
          <w:rFonts w:ascii="Times New Roman" w:hAnsi="Times New Roman" w:cs="Times New Roman"/>
          <w:sz w:val="24"/>
          <w:szCs w:val="24"/>
        </w:rPr>
      </w:pPr>
    </w:p>
    <w:p w14:paraId="60B75C55" w14:textId="77777777"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lastRenderedPageBreak/>
        <w:t>Results</w:t>
      </w:r>
    </w:p>
    <w:p w14:paraId="2965DB52" w14:textId="77777777" w:rsidR="00AE72EF" w:rsidRPr="00AE72EF" w:rsidRDefault="00AE72EF" w:rsidP="00D534F4">
      <w:pPr>
        <w:spacing w:after="0"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Following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sessions, significant clinical and biochemical improvement was observed: serum bilirubin levels decreased from 24.1 mg/dl to 5.6 mg/dl and remained stable, with further spontaneous reduction in subsequent days. ALT/SGPT decreased from 335 U/L to 59 U/L. AST/SGOT decreased from 183 U/L to 92 U/L. PCT levels declined from 23.2 </w:t>
      </w:r>
      <w:proofErr w:type="spellStart"/>
      <w:r w:rsidRPr="00AE72EF">
        <w:rPr>
          <w:rFonts w:ascii="Times New Roman" w:hAnsi="Times New Roman" w:cs="Times New Roman"/>
          <w:sz w:val="24"/>
          <w:szCs w:val="24"/>
        </w:rPr>
        <w:t>μg</w:t>
      </w:r>
      <w:proofErr w:type="spellEnd"/>
      <w:r w:rsidRPr="00AE72EF">
        <w:rPr>
          <w:rFonts w:ascii="Times New Roman" w:hAnsi="Times New Roman" w:cs="Times New Roman"/>
          <w:sz w:val="24"/>
          <w:szCs w:val="24"/>
        </w:rPr>
        <w:t xml:space="preserve">/l to 9.54 </w:t>
      </w:r>
      <w:proofErr w:type="spellStart"/>
      <w:r w:rsidRPr="00AE72EF">
        <w:rPr>
          <w:rFonts w:ascii="Times New Roman" w:hAnsi="Times New Roman" w:cs="Times New Roman"/>
          <w:sz w:val="24"/>
          <w:szCs w:val="24"/>
        </w:rPr>
        <w:t>μg</w:t>
      </w:r>
      <w:proofErr w:type="spellEnd"/>
      <w:r w:rsidRPr="00AE72EF">
        <w:rPr>
          <w:rFonts w:ascii="Times New Roman" w:hAnsi="Times New Roman" w:cs="Times New Roman"/>
          <w:sz w:val="24"/>
          <w:szCs w:val="24"/>
        </w:rPr>
        <w:t>/l.</w:t>
      </w:r>
    </w:p>
    <w:p w14:paraId="26DB7932" w14:textId="0FD8AF85" w:rsidR="006262F5" w:rsidRPr="00C93369" w:rsidRDefault="00AE72EF" w:rsidP="00D534F4">
      <w:pPr>
        <w:spacing w:after="0"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The patient’s respiratory distress resolved, and she became fully conscious and orientated. </w:t>
      </w:r>
      <w:proofErr w:type="spellStart"/>
      <w:r w:rsidRPr="00AE72EF">
        <w:rPr>
          <w:rFonts w:ascii="Times New Roman" w:hAnsi="Times New Roman" w:cs="Times New Roman"/>
          <w:sz w:val="24"/>
          <w:szCs w:val="24"/>
        </w:rPr>
        <w:t>Haemodynamic</w:t>
      </w:r>
      <w:proofErr w:type="spellEnd"/>
      <w:r w:rsidRPr="00AE72EF">
        <w:rPr>
          <w:rFonts w:ascii="Times New Roman" w:hAnsi="Times New Roman" w:cs="Times New Roman"/>
          <w:sz w:val="24"/>
          <w:szCs w:val="24"/>
        </w:rPr>
        <w:t xml:space="preserve"> stability was achieved, and she was transferred to the general ward on January 13.</w:t>
      </w:r>
    </w:p>
    <w:p w14:paraId="62A4A2CE" w14:textId="77777777" w:rsidR="006E41D7"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The chart above illustrates the rapid improvement in bilirubin, ALT/SGPT, AST/SGOT, and PCT levels over the 5-day course of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therapy. Notable decreases in bilirubin and inflammatory markers highlight the efficacy of the treatment.</w:t>
      </w:r>
    </w:p>
    <w:p w14:paraId="0B9F0C61" w14:textId="4F67F812" w:rsidR="006262F5"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b/>
          <w:bCs/>
          <w:sz w:val="24"/>
          <w:szCs w:val="24"/>
        </w:rPr>
        <w:t>Patient Follow-Up</w:t>
      </w:r>
    </w:p>
    <w:p w14:paraId="0F21BD58" w14:textId="102D48B0" w:rsidR="00AE72EF" w:rsidRDefault="00AE72EF" w:rsidP="00D534F4">
      <w:pPr>
        <w:spacing w:line="480" w:lineRule="auto"/>
        <w:jc w:val="both"/>
        <w:rPr>
          <w:rFonts w:ascii="Times New Roman" w:hAnsi="Times New Roman" w:cs="Times New Roman"/>
          <w:sz w:val="24"/>
          <w:szCs w:val="24"/>
        </w:rPr>
      </w:pPr>
      <w:r w:rsidRPr="00AE72EF">
        <w:rPr>
          <w:rFonts w:ascii="Times New Roman" w:hAnsi="Times New Roman" w:cs="Times New Roman"/>
          <w:sz w:val="24"/>
          <w:szCs w:val="24"/>
        </w:rPr>
        <w:t xml:space="preserve">The patient experienced a complication-free hospital course and was discharged home on January 26, 2024. Although long-term follow-up data were not available, the prognosis appeared </w:t>
      </w:r>
      <w:proofErr w:type="spellStart"/>
      <w:r w:rsidRPr="00AE72EF">
        <w:rPr>
          <w:rFonts w:ascii="Times New Roman" w:hAnsi="Times New Roman" w:cs="Times New Roman"/>
          <w:sz w:val="24"/>
          <w:szCs w:val="24"/>
        </w:rPr>
        <w:t>favourable</w:t>
      </w:r>
      <w:proofErr w:type="spellEnd"/>
      <w:r w:rsidRPr="00AE72EF">
        <w:rPr>
          <w:rFonts w:ascii="Times New Roman" w:hAnsi="Times New Roman" w:cs="Times New Roman"/>
          <w:sz w:val="24"/>
          <w:szCs w:val="24"/>
        </w:rPr>
        <w:t xml:space="preserve"> given the significant improvements observed during hospitalization. Discussions on relapse risks and the need for continued vigilance were communicated to the patient and her family.</w:t>
      </w:r>
    </w:p>
    <w:p w14:paraId="4A1480AF" w14:textId="77777777" w:rsidR="00D534F4" w:rsidRDefault="00D534F4" w:rsidP="00D534F4">
      <w:pPr>
        <w:spacing w:line="480" w:lineRule="auto"/>
        <w:jc w:val="both"/>
        <w:rPr>
          <w:rFonts w:ascii="Times New Roman" w:hAnsi="Times New Roman" w:cs="Times New Roman"/>
          <w:sz w:val="24"/>
          <w:szCs w:val="24"/>
        </w:rPr>
      </w:pPr>
    </w:p>
    <w:p w14:paraId="0C8FECC7" w14:textId="196692FD"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Discussion</w:t>
      </w:r>
    </w:p>
    <w:p w14:paraId="58F8791F" w14:textId="2BC3B510" w:rsidR="00AE72EF" w:rsidRDefault="00AE72EF" w:rsidP="00D534F4">
      <w:pPr>
        <w:spacing w:line="480" w:lineRule="auto"/>
        <w:jc w:val="both"/>
        <w:rPr>
          <w:rFonts w:ascii="Times New Roman" w:hAnsi="Times New Roman" w:cs="Times New Roman"/>
          <w:sz w:val="24"/>
          <w:szCs w:val="24"/>
        </w:rPr>
      </w:pPr>
      <w:r w:rsidRPr="00AE72EF">
        <w:rPr>
          <w:rFonts w:ascii="Times New Roman" w:hAnsi="Times New Roman" w:cs="Times New Roman"/>
          <w:sz w:val="24"/>
          <w:szCs w:val="24"/>
        </w:rPr>
        <w:t>Cytokine adsorption therapy played a pivotal role in this patient’s recovery by rapidly reducing inflammatory markers and bilirubin levels, thereby mitigating the cytokine storm associated with sepsis (</w:t>
      </w:r>
      <w:commentRangeStart w:id="1"/>
      <w:r w:rsidRPr="00AE72EF">
        <w:rPr>
          <w:rFonts w:ascii="Times New Roman" w:hAnsi="Times New Roman" w:cs="Times New Roman"/>
          <w:sz w:val="24"/>
          <w:szCs w:val="24"/>
        </w:rPr>
        <w:t>Schädler et al., 2017</w:t>
      </w:r>
      <w:commentRangeEnd w:id="1"/>
      <w:r w:rsidR="00F87D31">
        <w:rPr>
          <w:rStyle w:val="CommentReference"/>
        </w:rPr>
        <w:commentReference w:id="1"/>
      </w:r>
      <w:r w:rsidRPr="00AE72EF">
        <w:rPr>
          <w:rFonts w:ascii="Times New Roman" w:hAnsi="Times New Roman" w:cs="Times New Roman"/>
          <w:sz w:val="24"/>
          <w:szCs w:val="24"/>
        </w:rPr>
        <w:t xml:space="preserve">). The absence of anticoagulation during RRT minimized bleeding risks without causing complications. The synergistic effects of antibiotics and supportive care also contributed to the positive outcome, highlighting the importance of a multimodal treatment </w:t>
      </w:r>
      <w:r w:rsidRPr="00AE72EF">
        <w:rPr>
          <w:rFonts w:ascii="Times New Roman" w:hAnsi="Times New Roman" w:cs="Times New Roman"/>
          <w:sz w:val="24"/>
          <w:szCs w:val="24"/>
        </w:rPr>
        <w:lastRenderedPageBreak/>
        <w:t xml:space="preserve">approach. Comparative studies have demonstrated the efficacy of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in sepsis management, particularly in reducing cytokine load, improving </w:t>
      </w:r>
      <w:proofErr w:type="spellStart"/>
      <w:r w:rsidRPr="00AE72EF">
        <w:rPr>
          <w:rFonts w:ascii="Times New Roman" w:hAnsi="Times New Roman" w:cs="Times New Roman"/>
          <w:sz w:val="24"/>
          <w:szCs w:val="24"/>
        </w:rPr>
        <w:t>haemodynamics</w:t>
      </w:r>
      <w:proofErr w:type="spellEnd"/>
      <w:r w:rsidRPr="00AE72EF">
        <w:rPr>
          <w:rFonts w:ascii="Times New Roman" w:hAnsi="Times New Roman" w:cs="Times New Roman"/>
          <w:sz w:val="24"/>
          <w:szCs w:val="24"/>
        </w:rPr>
        <w:t xml:space="preserve">, and supporting organ recovery. However, limitations such as cost implications and the need for long-term efficacy data warrant further investigation. Future studies should explore the comparative effectiveness of </w:t>
      </w:r>
      <w:proofErr w:type="spellStart"/>
      <w:r w:rsidRPr="00AE72EF">
        <w:rPr>
          <w:rFonts w:ascii="Times New Roman" w:hAnsi="Times New Roman" w:cs="Times New Roman"/>
          <w:sz w:val="24"/>
          <w:szCs w:val="24"/>
        </w:rPr>
        <w:t>hemoadsorption</w:t>
      </w:r>
      <w:proofErr w:type="spellEnd"/>
      <w:r w:rsidRPr="00AE72EF">
        <w:rPr>
          <w:rFonts w:ascii="Times New Roman" w:hAnsi="Times New Roman" w:cs="Times New Roman"/>
          <w:sz w:val="24"/>
          <w:szCs w:val="24"/>
        </w:rPr>
        <w:t xml:space="preserve"> versus other therapies, such as high-volume hemofiltration and extracorporeal membrane oxygenation (ECMO).</w:t>
      </w:r>
    </w:p>
    <w:p w14:paraId="3C1EF6C8" w14:textId="7B968851" w:rsidR="006262F5" w:rsidRPr="00C93369" w:rsidRDefault="006262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Conclusions</w:t>
      </w:r>
    </w:p>
    <w:p w14:paraId="3FA79D2D" w14:textId="0303C069" w:rsidR="00B076DA" w:rsidRPr="00C93369" w:rsidRDefault="006262F5" w:rsidP="00D534F4">
      <w:pPr>
        <w:spacing w:line="480" w:lineRule="auto"/>
        <w:jc w:val="both"/>
        <w:rPr>
          <w:rFonts w:ascii="Times New Roman" w:hAnsi="Times New Roman" w:cs="Times New Roman"/>
          <w:sz w:val="24"/>
          <w:szCs w:val="24"/>
        </w:rPr>
      </w:pPr>
      <w:r w:rsidRPr="00C93369">
        <w:rPr>
          <w:rFonts w:ascii="Times New Roman" w:hAnsi="Times New Roman" w:cs="Times New Roman"/>
          <w:sz w:val="24"/>
          <w:szCs w:val="24"/>
        </w:rPr>
        <w:t xml:space="preserve">In this patient with sepsis, AKI, and acute fulminant hepatitis,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therapy combined with standard care led to rapid clinical improvement and stabilization of inflammatory markers. This case underscores the safety, ease of use, and efficacy of </w:t>
      </w:r>
      <w:proofErr w:type="spellStart"/>
      <w:r w:rsidRPr="00C93369">
        <w:rPr>
          <w:rFonts w:ascii="Times New Roman" w:hAnsi="Times New Roman" w:cs="Times New Roman"/>
          <w:sz w:val="24"/>
          <w:szCs w:val="24"/>
        </w:rPr>
        <w:t>hemoadsorption</w:t>
      </w:r>
      <w:proofErr w:type="spellEnd"/>
      <w:r w:rsidRPr="00C93369">
        <w:rPr>
          <w:rFonts w:ascii="Times New Roman" w:hAnsi="Times New Roman" w:cs="Times New Roman"/>
          <w:sz w:val="24"/>
          <w:szCs w:val="24"/>
        </w:rPr>
        <w:t xml:space="preserve"> as a valuable adjunct in managing complex sepsis cases.</w:t>
      </w:r>
    </w:p>
    <w:p w14:paraId="5F339393" w14:textId="04B7B294" w:rsidR="00664A64" w:rsidRPr="00C93369" w:rsidRDefault="00E47BF5" w:rsidP="00D534F4">
      <w:pPr>
        <w:spacing w:line="480" w:lineRule="auto"/>
        <w:jc w:val="both"/>
        <w:rPr>
          <w:rFonts w:ascii="Times New Roman" w:hAnsi="Times New Roman" w:cs="Times New Roman"/>
          <w:b/>
          <w:bCs/>
          <w:sz w:val="24"/>
          <w:szCs w:val="24"/>
        </w:rPr>
      </w:pPr>
      <w:r w:rsidRPr="00C93369">
        <w:rPr>
          <w:rFonts w:ascii="Times New Roman" w:hAnsi="Times New Roman" w:cs="Times New Roman"/>
          <w:b/>
          <w:bCs/>
          <w:sz w:val="24"/>
          <w:szCs w:val="24"/>
        </w:rPr>
        <w:t xml:space="preserve">References </w:t>
      </w:r>
    </w:p>
    <w:sdt>
      <w:sdtPr>
        <w:rPr>
          <w:color w:val="000000"/>
          <w:kern w:val="2"/>
          <w:szCs w:val="24"/>
          <w14:ligatures w14:val="standardContextual"/>
        </w:rPr>
        <w:tag w:val="MENDELEY_BIBLIOGRAPHY"/>
        <w:id w:val="1909266043"/>
        <w:placeholder>
          <w:docPart w:val="DefaultPlaceholder_-1854013440"/>
        </w:placeholder>
      </w:sdtPr>
      <w:sdtEndPr>
        <w:rPr>
          <w:rFonts w:ascii="Times New Roman" w:hAnsi="Times New Roman" w:cs="Times New Roman"/>
          <w:sz w:val="24"/>
        </w:rPr>
      </w:sdtEndPr>
      <w:sdtContent>
        <w:p w14:paraId="01D2DD85" w14:textId="77777777" w:rsidR="00B159C4" w:rsidRPr="00402655" w:rsidRDefault="00B159C4" w:rsidP="00D534F4">
          <w:pPr>
            <w:pStyle w:val="ListParagraph"/>
            <w:numPr>
              <w:ilvl w:val="0"/>
              <w:numId w:val="2"/>
            </w:numPr>
            <w:autoSpaceDE w:val="0"/>
            <w:autoSpaceDN w:val="0"/>
            <w:spacing w:line="480" w:lineRule="auto"/>
            <w:jc w:val="both"/>
            <w:divId w:val="1579898504"/>
            <w:rPr>
              <w:rFonts w:ascii="Times New Roman" w:eastAsia="Times New Roman" w:hAnsi="Times New Roman" w:cs="Times New Roman"/>
              <w:sz w:val="28"/>
              <w:szCs w:val="24"/>
              <w:lang w:val="sv-SE"/>
            </w:rPr>
          </w:pPr>
          <w:proofErr w:type="spellStart"/>
          <w:r w:rsidRPr="00402655">
            <w:rPr>
              <w:rFonts w:ascii="Times New Roman" w:eastAsia="Times New Roman" w:hAnsi="Times New Roman" w:cs="Times New Roman"/>
              <w:sz w:val="24"/>
            </w:rPr>
            <w:t>Friesecke</w:t>
          </w:r>
          <w:proofErr w:type="spellEnd"/>
          <w:r w:rsidRPr="00402655">
            <w:rPr>
              <w:rFonts w:ascii="Times New Roman" w:eastAsia="Times New Roman" w:hAnsi="Times New Roman" w:cs="Times New Roman"/>
              <w:sz w:val="24"/>
            </w:rPr>
            <w:t xml:space="preserve">, S., Träger, K., </w:t>
          </w:r>
          <w:proofErr w:type="spellStart"/>
          <w:r w:rsidRPr="00402655">
            <w:rPr>
              <w:rFonts w:ascii="Times New Roman" w:eastAsia="Times New Roman" w:hAnsi="Times New Roman" w:cs="Times New Roman"/>
              <w:sz w:val="24"/>
            </w:rPr>
            <w:t>Schittek</w:t>
          </w:r>
          <w:proofErr w:type="spellEnd"/>
          <w:r w:rsidRPr="00402655">
            <w:rPr>
              <w:rFonts w:ascii="Times New Roman" w:eastAsia="Times New Roman" w:hAnsi="Times New Roman" w:cs="Times New Roman"/>
              <w:sz w:val="24"/>
            </w:rPr>
            <w:t xml:space="preserve">, G. A., Molnar, Z., Bach, F., </w:t>
          </w:r>
          <w:proofErr w:type="spellStart"/>
          <w:r w:rsidRPr="00402655">
            <w:rPr>
              <w:rFonts w:ascii="Times New Roman" w:eastAsia="Times New Roman" w:hAnsi="Times New Roman" w:cs="Times New Roman"/>
              <w:sz w:val="24"/>
            </w:rPr>
            <w:t>Kogelmann</w:t>
          </w:r>
          <w:proofErr w:type="spellEnd"/>
          <w:r w:rsidRPr="00402655">
            <w:rPr>
              <w:rFonts w:ascii="Times New Roman" w:eastAsia="Times New Roman" w:hAnsi="Times New Roman" w:cs="Times New Roman"/>
              <w:sz w:val="24"/>
            </w:rPr>
            <w:t xml:space="preserve">, K., Bogdanski, R., Weyland, A., Nierhaus, A., Nestler, F., </w:t>
          </w:r>
          <w:proofErr w:type="spellStart"/>
          <w:r w:rsidRPr="00402655">
            <w:rPr>
              <w:rFonts w:ascii="Times New Roman" w:eastAsia="Times New Roman" w:hAnsi="Times New Roman" w:cs="Times New Roman"/>
              <w:sz w:val="24"/>
            </w:rPr>
            <w:t>Olboeter</w:t>
          </w:r>
          <w:proofErr w:type="spellEnd"/>
          <w:r w:rsidRPr="00402655">
            <w:rPr>
              <w:rFonts w:ascii="Times New Roman" w:eastAsia="Times New Roman" w:hAnsi="Times New Roman" w:cs="Times New Roman"/>
              <w:sz w:val="24"/>
            </w:rPr>
            <w:t xml:space="preserve">, D., Tomescu, D., Jacob, D., Haake, H., Grigoryev, E., Nitsch, M., Baumann, A., Quintel, M., Schott, M., … Brunkhorst, F. M. (2019). International registry on the use of the </w:t>
          </w:r>
          <w:proofErr w:type="spellStart"/>
          <w:r w:rsidRPr="00402655">
            <w:rPr>
              <w:rFonts w:ascii="Times New Roman" w:eastAsia="Times New Roman" w:hAnsi="Times New Roman" w:cs="Times New Roman"/>
              <w:sz w:val="24"/>
            </w:rPr>
            <w:t>CytoSorb</w:t>
          </w:r>
          <w:proofErr w:type="spellEnd"/>
          <w:r w:rsidRPr="00402655">
            <w:rPr>
              <w:rFonts w:ascii="Times New Roman" w:eastAsia="Times New Roman" w:hAnsi="Times New Roman" w:cs="Times New Roman"/>
              <w:sz w:val="24"/>
            </w:rPr>
            <w:t xml:space="preserve">® </w:t>
          </w:r>
          <w:proofErr w:type="spellStart"/>
          <w:r w:rsidRPr="00402655">
            <w:rPr>
              <w:rFonts w:ascii="Times New Roman" w:eastAsia="Times New Roman" w:hAnsi="Times New Roman" w:cs="Times New Roman"/>
              <w:sz w:val="24"/>
            </w:rPr>
            <w:t>adsorber</w:t>
          </w:r>
          <w:proofErr w:type="spellEnd"/>
          <w:r w:rsidRPr="00402655">
            <w:rPr>
              <w:rFonts w:ascii="Times New Roman" w:eastAsia="Times New Roman" w:hAnsi="Times New Roman" w:cs="Times New Roman"/>
              <w:sz w:val="24"/>
            </w:rPr>
            <w:t xml:space="preserve"> in ICU patients: Study protocol and preliminary results. </w:t>
          </w:r>
          <w:r w:rsidRPr="00402655">
            <w:rPr>
              <w:rFonts w:ascii="Times New Roman" w:eastAsia="Times New Roman" w:hAnsi="Times New Roman" w:cs="Times New Roman"/>
              <w:i/>
              <w:iCs/>
              <w:sz w:val="24"/>
              <w:lang w:val="sv-SE"/>
            </w:rPr>
            <w:t>Medizinische Klinik - Intensivmedizin Und Notfallmedizin</w:t>
          </w:r>
          <w:r w:rsidRPr="00402655">
            <w:rPr>
              <w:rFonts w:ascii="Times New Roman" w:eastAsia="Times New Roman" w:hAnsi="Times New Roman" w:cs="Times New Roman"/>
              <w:sz w:val="24"/>
              <w:lang w:val="sv-SE"/>
            </w:rPr>
            <w:t xml:space="preserve">, </w:t>
          </w:r>
          <w:r w:rsidRPr="00402655">
            <w:rPr>
              <w:rFonts w:ascii="Times New Roman" w:eastAsia="Times New Roman" w:hAnsi="Times New Roman" w:cs="Times New Roman"/>
              <w:i/>
              <w:iCs/>
              <w:sz w:val="24"/>
              <w:lang w:val="sv-SE"/>
            </w:rPr>
            <w:t>114</w:t>
          </w:r>
          <w:r w:rsidRPr="00402655">
            <w:rPr>
              <w:rFonts w:ascii="Times New Roman" w:eastAsia="Times New Roman" w:hAnsi="Times New Roman" w:cs="Times New Roman"/>
              <w:sz w:val="24"/>
              <w:lang w:val="sv-SE"/>
            </w:rPr>
            <w:t>(8), 699–707. https://doi.org/10.1007/s00063-017-0342-5</w:t>
          </w:r>
        </w:p>
        <w:p w14:paraId="1188DFB5" w14:textId="77777777" w:rsidR="00B159C4" w:rsidRPr="00402655" w:rsidRDefault="00B159C4" w:rsidP="00D534F4">
          <w:pPr>
            <w:pStyle w:val="ListParagraph"/>
            <w:numPr>
              <w:ilvl w:val="0"/>
              <w:numId w:val="2"/>
            </w:numPr>
            <w:autoSpaceDE w:val="0"/>
            <w:autoSpaceDN w:val="0"/>
            <w:spacing w:line="480" w:lineRule="auto"/>
            <w:jc w:val="both"/>
            <w:divId w:val="1097949041"/>
            <w:rPr>
              <w:rFonts w:ascii="Times New Roman" w:eastAsia="Times New Roman" w:hAnsi="Times New Roman" w:cs="Times New Roman"/>
              <w:sz w:val="24"/>
            </w:rPr>
          </w:pPr>
          <w:r w:rsidRPr="00402655">
            <w:rPr>
              <w:rFonts w:ascii="Times New Roman" w:eastAsia="Times New Roman" w:hAnsi="Times New Roman" w:cs="Times New Roman"/>
              <w:sz w:val="24"/>
              <w:lang w:val="sv-SE"/>
            </w:rPr>
            <w:t xml:space="preserve">Kogelmann, K., Jarczak, D., Scheller, M., &amp; Drüner, M. (2017). </w:t>
          </w:r>
          <w:proofErr w:type="spellStart"/>
          <w:r w:rsidRPr="00402655">
            <w:rPr>
              <w:rFonts w:ascii="Times New Roman" w:eastAsia="Times New Roman" w:hAnsi="Times New Roman" w:cs="Times New Roman"/>
              <w:sz w:val="24"/>
            </w:rPr>
            <w:t>Hemoadsorption</w:t>
          </w:r>
          <w:proofErr w:type="spellEnd"/>
          <w:r w:rsidRPr="00402655">
            <w:rPr>
              <w:rFonts w:ascii="Times New Roman" w:eastAsia="Times New Roman" w:hAnsi="Times New Roman" w:cs="Times New Roman"/>
              <w:sz w:val="24"/>
            </w:rPr>
            <w:t xml:space="preserve"> by </w:t>
          </w:r>
          <w:proofErr w:type="spellStart"/>
          <w:r w:rsidRPr="00402655">
            <w:rPr>
              <w:rFonts w:ascii="Times New Roman" w:eastAsia="Times New Roman" w:hAnsi="Times New Roman" w:cs="Times New Roman"/>
              <w:sz w:val="24"/>
            </w:rPr>
            <w:t>CytoSorb</w:t>
          </w:r>
          <w:proofErr w:type="spellEnd"/>
          <w:r w:rsidRPr="00402655">
            <w:rPr>
              <w:rFonts w:ascii="Times New Roman" w:eastAsia="Times New Roman" w:hAnsi="Times New Roman" w:cs="Times New Roman"/>
              <w:sz w:val="24"/>
            </w:rPr>
            <w:t xml:space="preserve"> in septic patients: A case series. </w:t>
          </w:r>
          <w:r w:rsidRPr="00402655">
            <w:rPr>
              <w:rFonts w:ascii="Times New Roman" w:eastAsia="Times New Roman" w:hAnsi="Times New Roman" w:cs="Times New Roman"/>
              <w:i/>
              <w:iCs/>
              <w:sz w:val="24"/>
            </w:rPr>
            <w:t>Critical Care</w:t>
          </w:r>
          <w:r w:rsidRPr="00402655">
            <w:rPr>
              <w:rFonts w:ascii="Times New Roman" w:eastAsia="Times New Roman" w:hAnsi="Times New Roman" w:cs="Times New Roman"/>
              <w:sz w:val="24"/>
            </w:rPr>
            <w:t xml:space="preserve">, </w:t>
          </w:r>
          <w:r w:rsidRPr="00402655">
            <w:rPr>
              <w:rFonts w:ascii="Times New Roman" w:eastAsia="Times New Roman" w:hAnsi="Times New Roman" w:cs="Times New Roman"/>
              <w:i/>
              <w:iCs/>
              <w:sz w:val="24"/>
            </w:rPr>
            <w:t>21</w:t>
          </w:r>
          <w:r w:rsidRPr="00402655">
            <w:rPr>
              <w:rFonts w:ascii="Times New Roman" w:eastAsia="Times New Roman" w:hAnsi="Times New Roman" w:cs="Times New Roman"/>
              <w:sz w:val="24"/>
            </w:rPr>
            <w:t>(1). https://doi.org/10.1186/s13054-017-1662-9</w:t>
          </w:r>
        </w:p>
        <w:p w14:paraId="4AFAD28F" w14:textId="77777777" w:rsidR="00B159C4" w:rsidRPr="00402655" w:rsidRDefault="00B159C4" w:rsidP="00D534F4">
          <w:pPr>
            <w:pStyle w:val="ListParagraph"/>
            <w:numPr>
              <w:ilvl w:val="0"/>
              <w:numId w:val="2"/>
            </w:numPr>
            <w:autoSpaceDE w:val="0"/>
            <w:autoSpaceDN w:val="0"/>
            <w:spacing w:line="480" w:lineRule="auto"/>
            <w:jc w:val="both"/>
            <w:divId w:val="20396288"/>
            <w:rPr>
              <w:rFonts w:ascii="Times New Roman" w:eastAsia="Times New Roman" w:hAnsi="Times New Roman" w:cs="Times New Roman"/>
              <w:sz w:val="24"/>
            </w:rPr>
          </w:pPr>
          <w:r w:rsidRPr="00402655">
            <w:rPr>
              <w:rFonts w:ascii="Times New Roman" w:eastAsia="Times New Roman" w:hAnsi="Times New Roman" w:cs="Times New Roman"/>
              <w:sz w:val="24"/>
            </w:rPr>
            <w:lastRenderedPageBreak/>
            <w:t xml:space="preserve">Schädler, D., Pausch, C., Heise, D., Meier-Hellmann, A., </w:t>
          </w:r>
          <w:proofErr w:type="spellStart"/>
          <w:r w:rsidRPr="00402655">
            <w:rPr>
              <w:rFonts w:ascii="Times New Roman" w:eastAsia="Times New Roman" w:hAnsi="Times New Roman" w:cs="Times New Roman"/>
              <w:sz w:val="24"/>
            </w:rPr>
            <w:t>Brederlau</w:t>
          </w:r>
          <w:proofErr w:type="spellEnd"/>
          <w:r w:rsidRPr="00402655">
            <w:rPr>
              <w:rFonts w:ascii="Times New Roman" w:eastAsia="Times New Roman" w:hAnsi="Times New Roman" w:cs="Times New Roman"/>
              <w:sz w:val="24"/>
            </w:rPr>
            <w:t xml:space="preserve">, J., Weiler, N., Marx, G., </w:t>
          </w:r>
          <w:proofErr w:type="spellStart"/>
          <w:r w:rsidRPr="00402655">
            <w:rPr>
              <w:rFonts w:ascii="Times New Roman" w:eastAsia="Times New Roman" w:hAnsi="Times New Roman" w:cs="Times New Roman"/>
              <w:sz w:val="24"/>
            </w:rPr>
            <w:t>Putensen</w:t>
          </w:r>
          <w:proofErr w:type="spellEnd"/>
          <w:r w:rsidRPr="00402655">
            <w:rPr>
              <w:rFonts w:ascii="Times New Roman" w:eastAsia="Times New Roman" w:hAnsi="Times New Roman" w:cs="Times New Roman"/>
              <w:sz w:val="24"/>
            </w:rPr>
            <w:t xml:space="preserve">, C., Spies, C., </w:t>
          </w:r>
          <w:proofErr w:type="spellStart"/>
          <w:r w:rsidRPr="00402655">
            <w:rPr>
              <w:rFonts w:ascii="Times New Roman" w:eastAsia="Times New Roman" w:hAnsi="Times New Roman" w:cs="Times New Roman"/>
              <w:sz w:val="24"/>
            </w:rPr>
            <w:t>Jörres</w:t>
          </w:r>
          <w:proofErr w:type="spellEnd"/>
          <w:r w:rsidRPr="00402655">
            <w:rPr>
              <w:rFonts w:ascii="Times New Roman" w:eastAsia="Times New Roman" w:hAnsi="Times New Roman" w:cs="Times New Roman"/>
              <w:sz w:val="24"/>
            </w:rPr>
            <w:t xml:space="preserve">, A., Quintel, M., Engel, C., Kellum, J. A., &amp; Kuhlmann, M. K. (2017). The effect of a novel extracorporeal cytokine </w:t>
          </w:r>
          <w:proofErr w:type="spellStart"/>
          <w:r w:rsidRPr="00402655">
            <w:rPr>
              <w:rFonts w:ascii="Times New Roman" w:eastAsia="Times New Roman" w:hAnsi="Times New Roman" w:cs="Times New Roman"/>
              <w:sz w:val="24"/>
            </w:rPr>
            <w:t>hemoadsorption</w:t>
          </w:r>
          <w:proofErr w:type="spellEnd"/>
          <w:r w:rsidRPr="00402655">
            <w:rPr>
              <w:rFonts w:ascii="Times New Roman" w:eastAsia="Times New Roman" w:hAnsi="Times New Roman" w:cs="Times New Roman"/>
              <w:sz w:val="24"/>
            </w:rPr>
            <w:t xml:space="preserve"> device on IL-6 elimination in septic patients: A randomized controlled trial. </w:t>
          </w:r>
          <w:proofErr w:type="spellStart"/>
          <w:r w:rsidRPr="00402655">
            <w:rPr>
              <w:rFonts w:ascii="Times New Roman" w:eastAsia="Times New Roman" w:hAnsi="Times New Roman" w:cs="Times New Roman"/>
              <w:i/>
              <w:iCs/>
              <w:sz w:val="24"/>
            </w:rPr>
            <w:t>PLoS</w:t>
          </w:r>
          <w:proofErr w:type="spellEnd"/>
          <w:r w:rsidRPr="00402655">
            <w:rPr>
              <w:rFonts w:ascii="Times New Roman" w:eastAsia="Times New Roman" w:hAnsi="Times New Roman" w:cs="Times New Roman"/>
              <w:i/>
              <w:iCs/>
              <w:sz w:val="24"/>
            </w:rPr>
            <w:t xml:space="preserve"> ONE</w:t>
          </w:r>
          <w:r w:rsidRPr="00402655">
            <w:rPr>
              <w:rFonts w:ascii="Times New Roman" w:eastAsia="Times New Roman" w:hAnsi="Times New Roman" w:cs="Times New Roman"/>
              <w:sz w:val="24"/>
            </w:rPr>
            <w:t xml:space="preserve">, </w:t>
          </w:r>
          <w:r w:rsidRPr="00402655">
            <w:rPr>
              <w:rFonts w:ascii="Times New Roman" w:eastAsia="Times New Roman" w:hAnsi="Times New Roman" w:cs="Times New Roman"/>
              <w:i/>
              <w:iCs/>
              <w:sz w:val="24"/>
            </w:rPr>
            <w:t>12</w:t>
          </w:r>
          <w:r w:rsidRPr="00402655">
            <w:rPr>
              <w:rFonts w:ascii="Times New Roman" w:eastAsia="Times New Roman" w:hAnsi="Times New Roman" w:cs="Times New Roman"/>
              <w:sz w:val="24"/>
            </w:rPr>
            <w:t>(10). https://doi.org/10.1371/journal.pone.0187015</w:t>
          </w:r>
        </w:p>
        <w:p w14:paraId="136CA473" w14:textId="77777777" w:rsidR="00B159C4" w:rsidRPr="00402655" w:rsidRDefault="00B159C4" w:rsidP="00D534F4">
          <w:pPr>
            <w:pStyle w:val="ListParagraph"/>
            <w:numPr>
              <w:ilvl w:val="0"/>
              <w:numId w:val="2"/>
            </w:numPr>
            <w:autoSpaceDE w:val="0"/>
            <w:autoSpaceDN w:val="0"/>
            <w:spacing w:line="480" w:lineRule="auto"/>
            <w:jc w:val="both"/>
            <w:divId w:val="1170951963"/>
            <w:rPr>
              <w:rFonts w:ascii="Times New Roman" w:eastAsia="Times New Roman" w:hAnsi="Times New Roman" w:cs="Times New Roman"/>
              <w:sz w:val="24"/>
            </w:rPr>
          </w:pPr>
          <w:r w:rsidRPr="00402655">
            <w:rPr>
              <w:rFonts w:ascii="Times New Roman" w:eastAsia="Times New Roman" w:hAnsi="Times New Roman" w:cs="Times New Roman"/>
              <w:sz w:val="24"/>
            </w:rPr>
            <w:t xml:space="preserve">Singer, M., Deutschman, C. S., Seymour, C., Shankar-Hari, M., </w:t>
          </w:r>
          <w:proofErr w:type="spellStart"/>
          <w:r w:rsidRPr="00402655">
            <w:rPr>
              <w:rFonts w:ascii="Times New Roman" w:eastAsia="Times New Roman" w:hAnsi="Times New Roman" w:cs="Times New Roman"/>
              <w:sz w:val="24"/>
            </w:rPr>
            <w:t>Annane</w:t>
          </w:r>
          <w:proofErr w:type="spellEnd"/>
          <w:r w:rsidRPr="00402655">
            <w:rPr>
              <w:rFonts w:ascii="Times New Roman" w:eastAsia="Times New Roman" w:hAnsi="Times New Roman" w:cs="Times New Roman"/>
              <w:sz w:val="24"/>
            </w:rPr>
            <w:t xml:space="preserve">, D., Bauer, M., Bellomo, R., Bernard, G. R., Chiche, J. D., Coopersmith, C. M., Hotchkiss, R. S., Levy, M. M., Marshall, J. C., Martin, G. S., Opal, S. M., Rubenfeld, G. D., Poll, T. Der, Vincent, J. L., &amp; Angus, D. C. (2016). The third international consensus definitions for sepsis and septic shock (sepsis-3). In </w:t>
          </w:r>
          <w:r w:rsidRPr="00402655">
            <w:rPr>
              <w:rFonts w:ascii="Times New Roman" w:eastAsia="Times New Roman" w:hAnsi="Times New Roman" w:cs="Times New Roman"/>
              <w:i/>
              <w:iCs/>
              <w:sz w:val="24"/>
            </w:rPr>
            <w:t>JAMA - Journal of the American Medical Association</w:t>
          </w:r>
          <w:r w:rsidRPr="00402655">
            <w:rPr>
              <w:rFonts w:ascii="Times New Roman" w:eastAsia="Times New Roman" w:hAnsi="Times New Roman" w:cs="Times New Roman"/>
              <w:sz w:val="24"/>
            </w:rPr>
            <w:t xml:space="preserve"> (Vol. 315, Issue 8, pp. 801–810). American Medical Association. https://doi.org/10.1001/jama.2016.0287</w:t>
          </w:r>
        </w:p>
        <w:p w14:paraId="49ED83DA" w14:textId="77777777" w:rsidR="00B159C4" w:rsidRPr="00402655" w:rsidRDefault="00B159C4" w:rsidP="00D534F4">
          <w:pPr>
            <w:pStyle w:val="ListParagraph"/>
            <w:numPr>
              <w:ilvl w:val="0"/>
              <w:numId w:val="2"/>
            </w:numPr>
            <w:autoSpaceDE w:val="0"/>
            <w:autoSpaceDN w:val="0"/>
            <w:spacing w:line="480" w:lineRule="auto"/>
            <w:jc w:val="both"/>
            <w:divId w:val="718826830"/>
            <w:rPr>
              <w:rFonts w:ascii="Times New Roman" w:eastAsia="Times New Roman" w:hAnsi="Times New Roman" w:cs="Times New Roman"/>
              <w:sz w:val="24"/>
            </w:rPr>
          </w:pPr>
          <w:r w:rsidRPr="00402655">
            <w:rPr>
              <w:rFonts w:ascii="Times New Roman" w:eastAsia="Times New Roman" w:hAnsi="Times New Roman" w:cs="Times New Roman"/>
              <w:sz w:val="24"/>
            </w:rPr>
            <w:t xml:space="preserve">White, J. A. (2007). </w:t>
          </w:r>
          <w:r w:rsidRPr="00402655">
            <w:rPr>
              <w:rFonts w:ascii="Times New Roman" w:eastAsia="Times New Roman" w:hAnsi="Times New Roman" w:cs="Times New Roman"/>
              <w:i/>
              <w:iCs/>
              <w:sz w:val="24"/>
            </w:rPr>
            <w:t>Pre-pump arterial pressure = what is going on with the patient’s access. Post-pump arterial pressure = what is going on inside the dialyzer. Why is PBE an important tool? PBE Pressure of Blood Entry Another way of illustrating post-pump arterial pressure</w:t>
          </w:r>
          <w:r w:rsidRPr="00402655">
            <w:rPr>
              <w:rFonts w:ascii="Times New Roman" w:eastAsia="Times New Roman" w:hAnsi="Times New Roman" w:cs="Times New Roman"/>
              <w:sz w:val="24"/>
            </w:rPr>
            <w:t>.</w:t>
          </w:r>
        </w:p>
        <w:p w14:paraId="4979FFD6" w14:textId="72388456" w:rsidR="00664A64" w:rsidRDefault="00B159C4" w:rsidP="00D534F4">
          <w:pPr>
            <w:spacing w:line="480" w:lineRule="auto"/>
            <w:jc w:val="both"/>
            <w:rPr>
              <w:rFonts w:ascii="Times New Roman" w:hAnsi="Times New Roman" w:cs="Times New Roman"/>
              <w:color w:val="000000"/>
              <w:sz w:val="24"/>
              <w:szCs w:val="24"/>
            </w:rPr>
          </w:pPr>
          <w:r w:rsidRPr="00C93369">
            <w:rPr>
              <w:rFonts w:ascii="Times New Roman" w:eastAsia="Times New Roman" w:hAnsi="Times New Roman" w:cs="Times New Roman"/>
            </w:rPr>
            <w:t> </w:t>
          </w:r>
        </w:p>
      </w:sdtContent>
    </w:sdt>
    <w:p w14:paraId="7D39CC5A" w14:textId="2ED0E4E0" w:rsidR="00D534F4" w:rsidRDefault="00D534F4" w:rsidP="00D534F4">
      <w:pPr>
        <w:spacing w:line="480" w:lineRule="auto"/>
        <w:jc w:val="both"/>
        <w:rPr>
          <w:rFonts w:ascii="Times New Roman" w:hAnsi="Times New Roman" w:cs="Times New Roman"/>
          <w:color w:val="000000"/>
          <w:sz w:val="24"/>
          <w:szCs w:val="24"/>
        </w:rPr>
      </w:pPr>
    </w:p>
    <w:p w14:paraId="1EE92B83" w14:textId="14C831AA" w:rsidR="00D534F4" w:rsidRDefault="00D534F4" w:rsidP="00D534F4">
      <w:pPr>
        <w:spacing w:line="480" w:lineRule="auto"/>
        <w:jc w:val="both"/>
        <w:rPr>
          <w:rFonts w:ascii="Times New Roman" w:hAnsi="Times New Roman" w:cs="Times New Roman"/>
          <w:color w:val="000000"/>
          <w:sz w:val="24"/>
          <w:szCs w:val="24"/>
        </w:rPr>
      </w:pPr>
    </w:p>
    <w:p w14:paraId="02653E52" w14:textId="65FD866B" w:rsidR="00D534F4" w:rsidRDefault="00D534F4" w:rsidP="00D534F4">
      <w:pPr>
        <w:spacing w:line="480" w:lineRule="auto"/>
        <w:jc w:val="both"/>
        <w:rPr>
          <w:rFonts w:ascii="Times New Roman" w:hAnsi="Times New Roman" w:cs="Times New Roman"/>
          <w:color w:val="000000"/>
          <w:sz w:val="24"/>
          <w:szCs w:val="24"/>
        </w:rPr>
      </w:pPr>
    </w:p>
    <w:p w14:paraId="7027E20D" w14:textId="77777777" w:rsidR="00963A76" w:rsidRDefault="00963A76" w:rsidP="00D534F4">
      <w:pPr>
        <w:spacing w:line="480" w:lineRule="auto"/>
        <w:jc w:val="both"/>
        <w:rPr>
          <w:rFonts w:ascii="Times New Roman" w:hAnsi="Times New Roman" w:cs="Times New Roman"/>
          <w:color w:val="000000"/>
          <w:sz w:val="24"/>
          <w:szCs w:val="24"/>
        </w:rPr>
      </w:pPr>
    </w:p>
    <w:p w14:paraId="4517EEE1" w14:textId="77777777" w:rsidR="00963A76" w:rsidRDefault="00963A76" w:rsidP="00D534F4">
      <w:pPr>
        <w:spacing w:line="480" w:lineRule="auto"/>
        <w:jc w:val="both"/>
        <w:rPr>
          <w:rFonts w:ascii="Times New Roman" w:hAnsi="Times New Roman" w:cs="Times New Roman"/>
          <w:color w:val="000000"/>
          <w:sz w:val="24"/>
          <w:szCs w:val="24"/>
        </w:rPr>
      </w:pPr>
      <w:bookmarkStart w:id="2" w:name="_GoBack"/>
      <w:bookmarkEnd w:id="2"/>
    </w:p>
    <w:p w14:paraId="4A1AAD7B" w14:textId="542A05D5" w:rsidR="00D534F4" w:rsidRDefault="00D534F4" w:rsidP="00D534F4">
      <w:pPr>
        <w:spacing w:line="480" w:lineRule="auto"/>
        <w:jc w:val="both"/>
        <w:rPr>
          <w:rFonts w:ascii="Times New Roman" w:hAnsi="Times New Roman" w:cs="Times New Roman"/>
          <w:b/>
          <w:color w:val="000000"/>
          <w:sz w:val="24"/>
          <w:szCs w:val="24"/>
        </w:rPr>
      </w:pPr>
      <w:r w:rsidRPr="00D534F4">
        <w:rPr>
          <w:rFonts w:ascii="Times New Roman" w:hAnsi="Times New Roman" w:cs="Times New Roman"/>
          <w:b/>
          <w:color w:val="000000"/>
          <w:sz w:val="24"/>
          <w:szCs w:val="24"/>
        </w:rPr>
        <w:lastRenderedPageBreak/>
        <w:t>Table</w:t>
      </w:r>
    </w:p>
    <w:p w14:paraId="15E6BF0A" w14:textId="77777777" w:rsidR="00D534F4" w:rsidRPr="00AE72EF" w:rsidRDefault="00D534F4" w:rsidP="00D534F4">
      <w:pPr>
        <w:spacing w:line="480" w:lineRule="auto"/>
        <w:jc w:val="both"/>
        <w:rPr>
          <w:rFonts w:ascii="Times New Roman" w:hAnsi="Times New Roman" w:cs="Times New Roman"/>
          <w:bCs/>
          <w:sz w:val="24"/>
          <w:szCs w:val="24"/>
        </w:rPr>
      </w:pPr>
      <w:r w:rsidRPr="00C93369">
        <w:rPr>
          <w:rFonts w:ascii="Times New Roman" w:hAnsi="Times New Roman" w:cs="Times New Roman"/>
          <w:b/>
          <w:bCs/>
          <w:sz w:val="24"/>
          <w:szCs w:val="24"/>
        </w:rPr>
        <w:t xml:space="preserve">Table 1: </w:t>
      </w:r>
      <w:r w:rsidRPr="00AE72EF">
        <w:rPr>
          <w:rFonts w:ascii="Times New Roman" w:hAnsi="Times New Roman" w:cs="Times New Roman"/>
          <w:bCs/>
          <w:sz w:val="24"/>
          <w:szCs w:val="24"/>
        </w:rPr>
        <w:t xml:space="preserve">Laboratory parameters from Day 01- Day 05 following </w:t>
      </w:r>
      <w:proofErr w:type="spellStart"/>
      <w:r w:rsidRPr="00AE72EF">
        <w:rPr>
          <w:rFonts w:ascii="Times New Roman" w:hAnsi="Times New Roman" w:cs="Times New Roman"/>
          <w:bCs/>
          <w:sz w:val="24"/>
          <w:szCs w:val="24"/>
        </w:rPr>
        <w:t>Hemoadsorption</w:t>
      </w:r>
      <w:proofErr w:type="spellEnd"/>
      <w:r w:rsidRPr="00AE72EF">
        <w:rPr>
          <w:rFonts w:ascii="Times New Roman" w:hAnsi="Times New Roman" w:cs="Times New Roman"/>
          <w:bCs/>
          <w:sz w:val="24"/>
          <w:szCs w:val="24"/>
        </w:rPr>
        <w:t xml:space="preserve"> sessions.</w:t>
      </w:r>
    </w:p>
    <w:tbl>
      <w:tblPr>
        <w:tblStyle w:val="TableGrid"/>
        <w:tblW w:w="9495" w:type="dxa"/>
        <w:tblLook w:val="04A0" w:firstRow="1" w:lastRow="0" w:firstColumn="1" w:lastColumn="0" w:noHBand="0" w:noVBand="1"/>
      </w:tblPr>
      <w:tblGrid>
        <w:gridCol w:w="1899"/>
        <w:gridCol w:w="1899"/>
        <w:gridCol w:w="1899"/>
        <w:gridCol w:w="1899"/>
        <w:gridCol w:w="1899"/>
      </w:tblGrid>
      <w:tr w:rsidR="00D534F4" w:rsidRPr="00C93369" w14:paraId="477A2E6A" w14:textId="77777777" w:rsidTr="00E661BE">
        <w:trPr>
          <w:trHeight w:val="483"/>
        </w:trPr>
        <w:tc>
          <w:tcPr>
            <w:tcW w:w="1899" w:type="dxa"/>
          </w:tcPr>
          <w:p w14:paraId="503BACA0"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Day</w:t>
            </w:r>
          </w:p>
        </w:tc>
        <w:tc>
          <w:tcPr>
            <w:tcW w:w="1899" w:type="dxa"/>
          </w:tcPr>
          <w:p w14:paraId="1C5A4AFC"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Bilirubin (mg/dl)</w:t>
            </w:r>
          </w:p>
        </w:tc>
        <w:tc>
          <w:tcPr>
            <w:tcW w:w="1899" w:type="dxa"/>
          </w:tcPr>
          <w:p w14:paraId="4EFB610A"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ALT/SGPT (U/L)</w:t>
            </w:r>
          </w:p>
        </w:tc>
        <w:tc>
          <w:tcPr>
            <w:tcW w:w="1899" w:type="dxa"/>
          </w:tcPr>
          <w:p w14:paraId="1CC69F04"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AST/SGOT (U/L)</w:t>
            </w:r>
          </w:p>
        </w:tc>
        <w:tc>
          <w:tcPr>
            <w:tcW w:w="1899" w:type="dxa"/>
          </w:tcPr>
          <w:p w14:paraId="0ACF22E4" w14:textId="77777777" w:rsidR="00D534F4" w:rsidRPr="00C93369" w:rsidRDefault="00D534F4" w:rsidP="00E661BE">
            <w:pPr>
              <w:spacing w:line="480" w:lineRule="auto"/>
              <w:jc w:val="center"/>
              <w:rPr>
                <w:rFonts w:ascii="Times New Roman" w:hAnsi="Times New Roman" w:cs="Times New Roman"/>
                <w:b/>
                <w:bCs/>
                <w:sz w:val="24"/>
                <w:szCs w:val="24"/>
              </w:rPr>
            </w:pPr>
            <w:r w:rsidRPr="00C93369">
              <w:rPr>
                <w:rFonts w:ascii="Times New Roman" w:hAnsi="Times New Roman" w:cs="Times New Roman"/>
                <w:b/>
                <w:bCs/>
                <w:sz w:val="24"/>
                <w:szCs w:val="24"/>
              </w:rPr>
              <w:t>PCT (µg/L)</w:t>
            </w:r>
          </w:p>
        </w:tc>
      </w:tr>
      <w:tr w:rsidR="00D534F4" w:rsidRPr="00C93369" w14:paraId="6654D379" w14:textId="77777777" w:rsidTr="00E661BE">
        <w:trPr>
          <w:trHeight w:val="483"/>
        </w:trPr>
        <w:tc>
          <w:tcPr>
            <w:tcW w:w="1899" w:type="dxa"/>
          </w:tcPr>
          <w:p w14:paraId="35536B14"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w:t>
            </w:r>
          </w:p>
        </w:tc>
        <w:tc>
          <w:tcPr>
            <w:tcW w:w="1899" w:type="dxa"/>
          </w:tcPr>
          <w:p w14:paraId="5C3FBE8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24.1</w:t>
            </w:r>
          </w:p>
        </w:tc>
        <w:tc>
          <w:tcPr>
            <w:tcW w:w="1899" w:type="dxa"/>
          </w:tcPr>
          <w:p w14:paraId="147DEA5D"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335</w:t>
            </w:r>
          </w:p>
        </w:tc>
        <w:tc>
          <w:tcPr>
            <w:tcW w:w="1899" w:type="dxa"/>
          </w:tcPr>
          <w:p w14:paraId="3D949BA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183</w:t>
            </w:r>
          </w:p>
        </w:tc>
        <w:tc>
          <w:tcPr>
            <w:tcW w:w="1899" w:type="dxa"/>
          </w:tcPr>
          <w:p w14:paraId="0924DD9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23.20</w:t>
            </w:r>
          </w:p>
        </w:tc>
      </w:tr>
      <w:tr w:rsidR="00D534F4" w:rsidRPr="00C93369" w14:paraId="535C2938" w14:textId="77777777" w:rsidTr="00E661BE">
        <w:trPr>
          <w:trHeight w:val="483"/>
        </w:trPr>
        <w:tc>
          <w:tcPr>
            <w:tcW w:w="1899" w:type="dxa"/>
          </w:tcPr>
          <w:p w14:paraId="5F41B3F4"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w:t>
            </w:r>
          </w:p>
        </w:tc>
        <w:tc>
          <w:tcPr>
            <w:tcW w:w="1899" w:type="dxa"/>
          </w:tcPr>
          <w:p w14:paraId="76A1802A"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15.0</w:t>
            </w:r>
          </w:p>
        </w:tc>
        <w:tc>
          <w:tcPr>
            <w:tcW w:w="1899" w:type="dxa"/>
          </w:tcPr>
          <w:p w14:paraId="2CBEB40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200</w:t>
            </w:r>
          </w:p>
        </w:tc>
        <w:tc>
          <w:tcPr>
            <w:tcW w:w="1899" w:type="dxa"/>
          </w:tcPr>
          <w:p w14:paraId="2B0C882B"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140</w:t>
            </w:r>
          </w:p>
        </w:tc>
        <w:tc>
          <w:tcPr>
            <w:tcW w:w="1899" w:type="dxa"/>
          </w:tcPr>
          <w:p w14:paraId="1AD0B27D"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18.00</w:t>
            </w:r>
          </w:p>
        </w:tc>
      </w:tr>
      <w:tr w:rsidR="00D534F4" w:rsidRPr="00C93369" w14:paraId="45A48816" w14:textId="77777777" w:rsidTr="00E661BE">
        <w:trPr>
          <w:trHeight w:val="465"/>
        </w:trPr>
        <w:tc>
          <w:tcPr>
            <w:tcW w:w="1899" w:type="dxa"/>
          </w:tcPr>
          <w:p w14:paraId="11A631F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3</w:t>
            </w:r>
          </w:p>
        </w:tc>
        <w:tc>
          <w:tcPr>
            <w:tcW w:w="1899" w:type="dxa"/>
          </w:tcPr>
          <w:p w14:paraId="2FD6DA45"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9.0</w:t>
            </w:r>
          </w:p>
        </w:tc>
        <w:tc>
          <w:tcPr>
            <w:tcW w:w="1899" w:type="dxa"/>
          </w:tcPr>
          <w:p w14:paraId="60805C3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150</w:t>
            </w:r>
          </w:p>
        </w:tc>
        <w:tc>
          <w:tcPr>
            <w:tcW w:w="1899" w:type="dxa"/>
          </w:tcPr>
          <w:p w14:paraId="375F5B77"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120</w:t>
            </w:r>
          </w:p>
        </w:tc>
        <w:tc>
          <w:tcPr>
            <w:tcW w:w="1899" w:type="dxa"/>
          </w:tcPr>
          <w:p w14:paraId="6044ACC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12.00</w:t>
            </w:r>
          </w:p>
        </w:tc>
      </w:tr>
      <w:tr w:rsidR="00D534F4" w:rsidRPr="00C93369" w14:paraId="261649A6" w14:textId="77777777" w:rsidTr="00E661BE">
        <w:trPr>
          <w:trHeight w:val="483"/>
        </w:trPr>
        <w:tc>
          <w:tcPr>
            <w:tcW w:w="1899" w:type="dxa"/>
          </w:tcPr>
          <w:p w14:paraId="54058643"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4</w:t>
            </w:r>
          </w:p>
        </w:tc>
        <w:tc>
          <w:tcPr>
            <w:tcW w:w="1899" w:type="dxa"/>
          </w:tcPr>
          <w:p w14:paraId="72FCA31C"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7.2</w:t>
            </w:r>
          </w:p>
        </w:tc>
        <w:tc>
          <w:tcPr>
            <w:tcW w:w="1899" w:type="dxa"/>
          </w:tcPr>
          <w:p w14:paraId="610A6327"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100</w:t>
            </w:r>
          </w:p>
        </w:tc>
        <w:tc>
          <w:tcPr>
            <w:tcW w:w="1899" w:type="dxa"/>
          </w:tcPr>
          <w:p w14:paraId="668AC447"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100</w:t>
            </w:r>
          </w:p>
        </w:tc>
        <w:tc>
          <w:tcPr>
            <w:tcW w:w="1899" w:type="dxa"/>
          </w:tcPr>
          <w:p w14:paraId="7498D452"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10.50</w:t>
            </w:r>
          </w:p>
        </w:tc>
      </w:tr>
      <w:tr w:rsidR="00D534F4" w:rsidRPr="00C93369" w14:paraId="5607BFFF" w14:textId="77777777" w:rsidTr="00E661BE">
        <w:trPr>
          <w:trHeight w:val="483"/>
        </w:trPr>
        <w:tc>
          <w:tcPr>
            <w:tcW w:w="1899" w:type="dxa"/>
          </w:tcPr>
          <w:p w14:paraId="40142285"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5</w:t>
            </w:r>
          </w:p>
        </w:tc>
        <w:tc>
          <w:tcPr>
            <w:tcW w:w="1899" w:type="dxa"/>
          </w:tcPr>
          <w:p w14:paraId="5F7D3184"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5.6</w:t>
            </w:r>
          </w:p>
        </w:tc>
        <w:tc>
          <w:tcPr>
            <w:tcW w:w="1899" w:type="dxa"/>
          </w:tcPr>
          <w:p w14:paraId="60E16FB1"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59</w:t>
            </w:r>
          </w:p>
        </w:tc>
        <w:tc>
          <w:tcPr>
            <w:tcW w:w="1899" w:type="dxa"/>
          </w:tcPr>
          <w:p w14:paraId="4386B1DE"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92</w:t>
            </w:r>
          </w:p>
        </w:tc>
        <w:tc>
          <w:tcPr>
            <w:tcW w:w="1899" w:type="dxa"/>
          </w:tcPr>
          <w:p w14:paraId="21625FF3" w14:textId="77777777" w:rsidR="00D534F4" w:rsidRPr="00C93369" w:rsidRDefault="00D534F4" w:rsidP="00E661BE">
            <w:pPr>
              <w:spacing w:line="480" w:lineRule="auto"/>
              <w:jc w:val="center"/>
              <w:rPr>
                <w:rFonts w:ascii="Times New Roman" w:hAnsi="Times New Roman" w:cs="Times New Roman"/>
                <w:sz w:val="24"/>
                <w:szCs w:val="24"/>
              </w:rPr>
            </w:pPr>
            <w:r w:rsidRPr="00C93369">
              <w:rPr>
                <w:rFonts w:ascii="Times New Roman" w:hAnsi="Times New Roman" w:cs="Times New Roman"/>
                <w:sz w:val="24"/>
                <w:szCs w:val="24"/>
              </w:rPr>
              <w:t>9.54</w:t>
            </w:r>
          </w:p>
        </w:tc>
      </w:tr>
    </w:tbl>
    <w:p w14:paraId="6B2EB0E4" w14:textId="53ADC7AF" w:rsidR="00D534F4" w:rsidRDefault="00D534F4" w:rsidP="00D534F4">
      <w:pPr>
        <w:spacing w:line="480" w:lineRule="auto"/>
        <w:jc w:val="both"/>
        <w:rPr>
          <w:rFonts w:ascii="Times New Roman" w:hAnsi="Times New Roman" w:cs="Times New Roman"/>
          <w:b/>
          <w:sz w:val="24"/>
          <w:szCs w:val="24"/>
        </w:rPr>
      </w:pPr>
    </w:p>
    <w:p w14:paraId="4CD26E4C" w14:textId="0F42083E" w:rsidR="00D534F4" w:rsidRDefault="00D534F4" w:rsidP="00D534F4">
      <w:pPr>
        <w:spacing w:line="480" w:lineRule="auto"/>
        <w:jc w:val="both"/>
        <w:rPr>
          <w:rFonts w:ascii="Times New Roman" w:hAnsi="Times New Roman" w:cs="Times New Roman"/>
          <w:b/>
          <w:sz w:val="24"/>
          <w:szCs w:val="24"/>
        </w:rPr>
      </w:pPr>
      <w:r w:rsidRPr="00C93369">
        <w:rPr>
          <w:rFonts w:ascii="Times New Roman" w:hAnsi="Times New Roman" w:cs="Times New Roman"/>
          <w:noProof/>
          <w:sz w:val="24"/>
          <w:szCs w:val="24"/>
        </w:rPr>
        <w:drawing>
          <wp:anchor distT="0" distB="0" distL="114300" distR="114300" simplePos="0" relativeHeight="251659264" behindDoc="0" locked="0" layoutInCell="1" allowOverlap="1" wp14:anchorId="573B988C" wp14:editId="0D53592B">
            <wp:simplePos x="0" y="0"/>
            <wp:positionH relativeFrom="margin">
              <wp:align>right</wp:align>
            </wp:positionH>
            <wp:positionV relativeFrom="paragraph">
              <wp:posOffset>327660</wp:posOffset>
            </wp:positionV>
            <wp:extent cx="5943600" cy="2882900"/>
            <wp:effectExtent l="0" t="0" r="0" b="0"/>
            <wp:wrapTopAndBottom/>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943600" cy="2882900"/>
                    </a:xfrm>
                    <a:prstGeom prst="rect">
                      <a:avLst/>
                    </a:prstGeom>
                    <a:noFill/>
                    <a:ln>
                      <a:noFill/>
                    </a:ln>
                  </pic:spPr>
                </pic:pic>
              </a:graphicData>
            </a:graphic>
          </wp:anchor>
        </w:drawing>
      </w:r>
      <w:r>
        <w:rPr>
          <w:rFonts w:ascii="Times New Roman" w:hAnsi="Times New Roman" w:cs="Times New Roman"/>
          <w:b/>
          <w:sz w:val="24"/>
          <w:szCs w:val="24"/>
        </w:rPr>
        <w:t>Figure</w:t>
      </w:r>
    </w:p>
    <w:p w14:paraId="606CE98C" w14:textId="77777777" w:rsidR="00D534F4" w:rsidRPr="00AE72EF" w:rsidRDefault="00D534F4" w:rsidP="00D534F4">
      <w:pPr>
        <w:spacing w:line="480" w:lineRule="auto"/>
        <w:jc w:val="both"/>
        <w:rPr>
          <w:rFonts w:ascii="Times New Roman" w:hAnsi="Times New Roman" w:cs="Times New Roman"/>
          <w:bCs/>
          <w:sz w:val="24"/>
          <w:szCs w:val="24"/>
        </w:rPr>
      </w:pPr>
      <w:r w:rsidRPr="00C93369">
        <w:rPr>
          <w:rFonts w:ascii="Times New Roman" w:hAnsi="Times New Roman" w:cs="Times New Roman"/>
          <w:b/>
          <w:bCs/>
          <w:sz w:val="24"/>
          <w:szCs w:val="24"/>
        </w:rPr>
        <w:t>Figure 1:</w:t>
      </w:r>
      <w:r w:rsidRPr="00C93369">
        <w:rPr>
          <w:rFonts w:ascii="Times New Roman" w:hAnsi="Times New Roman" w:cs="Times New Roman"/>
          <w:sz w:val="24"/>
          <w:szCs w:val="24"/>
        </w:rPr>
        <w:t xml:space="preserve"> </w:t>
      </w:r>
      <w:r w:rsidRPr="00AE72EF">
        <w:rPr>
          <w:rFonts w:ascii="Times New Roman" w:hAnsi="Times New Roman" w:cs="Times New Roman"/>
          <w:bCs/>
          <w:sz w:val="24"/>
          <w:szCs w:val="24"/>
        </w:rPr>
        <w:t xml:space="preserve">Laboratory parameters from Day 01- Day 05 following </w:t>
      </w:r>
      <w:proofErr w:type="spellStart"/>
      <w:r w:rsidRPr="00AE72EF">
        <w:rPr>
          <w:rFonts w:ascii="Times New Roman" w:hAnsi="Times New Roman" w:cs="Times New Roman"/>
          <w:bCs/>
          <w:sz w:val="24"/>
          <w:szCs w:val="24"/>
        </w:rPr>
        <w:t>Hemoadsorption</w:t>
      </w:r>
      <w:proofErr w:type="spellEnd"/>
      <w:r w:rsidRPr="00AE72EF">
        <w:rPr>
          <w:rFonts w:ascii="Times New Roman" w:hAnsi="Times New Roman" w:cs="Times New Roman"/>
          <w:bCs/>
          <w:sz w:val="24"/>
          <w:szCs w:val="24"/>
        </w:rPr>
        <w:t xml:space="preserve"> sessions.</w:t>
      </w:r>
    </w:p>
    <w:p w14:paraId="48D207FF" w14:textId="2AC629E5" w:rsidR="00D534F4" w:rsidRPr="00D534F4" w:rsidRDefault="00D534F4" w:rsidP="00D534F4">
      <w:pPr>
        <w:spacing w:line="480" w:lineRule="auto"/>
        <w:jc w:val="both"/>
        <w:rPr>
          <w:rFonts w:ascii="Times New Roman" w:hAnsi="Times New Roman" w:cs="Times New Roman"/>
          <w:b/>
          <w:sz w:val="24"/>
          <w:szCs w:val="24"/>
        </w:rPr>
      </w:pPr>
    </w:p>
    <w:sectPr w:rsidR="00D534F4" w:rsidRPr="00D534F4" w:rsidSect="00015DA6">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Microsoft account" w:date="2025-04-09T16:48:00Z" w:initials="Ma">
    <w:p w14:paraId="14BF30A0" w14:textId="28D6F873" w:rsidR="00F87D31" w:rsidRDefault="00F87D31">
      <w:pPr>
        <w:pStyle w:val="CommentText"/>
      </w:pPr>
      <w:r>
        <w:rPr>
          <w:rStyle w:val="CommentReference"/>
        </w:rPr>
        <w:annotationRef/>
      </w:r>
      <w:r>
        <w:t>No abbreviations are allowed in the title please</w:t>
      </w:r>
    </w:p>
  </w:comment>
  <w:comment w:id="1" w:author="Microsoft account" w:date="2025-04-09T16:54:00Z" w:initials="Ma">
    <w:p w14:paraId="5A060D19" w14:textId="55C997AF" w:rsidR="00F87D31" w:rsidRDefault="00F87D31">
      <w:pPr>
        <w:pStyle w:val="CommentText"/>
      </w:pPr>
      <w:r>
        <w:rPr>
          <w:rStyle w:val="CommentReference"/>
        </w:rPr>
        <w:annotationRef/>
      </w:r>
      <w:r>
        <w:t>Write the reference as number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4BF30A0" w15:done="0"/>
  <w15:commentEx w15:paraId="5A060D1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3B8A65" w14:textId="77777777" w:rsidR="00464E18" w:rsidRDefault="00464E18" w:rsidP="00D534F4">
      <w:pPr>
        <w:spacing w:after="0" w:line="240" w:lineRule="auto"/>
      </w:pPr>
      <w:r>
        <w:separator/>
      </w:r>
    </w:p>
  </w:endnote>
  <w:endnote w:type="continuationSeparator" w:id="0">
    <w:p w14:paraId="67FC7F9D" w14:textId="77777777" w:rsidR="00464E18" w:rsidRDefault="00464E18" w:rsidP="00D534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A587F9" w14:textId="77777777" w:rsidR="00015DA6" w:rsidRDefault="00015D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71486893"/>
      <w:docPartObj>
        <w:docPartGallery w:val="Page Numbers (Bottom of Page)"/>
        <w:docPartUnique/>
      </w:docPartObj>
    </w:sdtPr>
    <w:sdtEndPr>
      <w:rPr>
        <w:noProof/>
      </w:rPr>
    </w:sdtEndPr>
    <w:sdtContent>
      <w:p w14:paraId="0D5B36ED" w14:textId="4712B57B" w:rsidR="00D534F4" w:rsidRDefault="00D534F4">
        <w:pPr>
          <w:pStyle w:val="Footer"/>
          <w:jc w:val="right"/>
        </w:pPr>
        <w:r>
          <w:fldChar w:fldCharType="begin"/>
        </w:r>
        <w:r>
          <w:instrText xml:space="preserve"> PAGE   \* MERGEFORMAT </w:instrText>
        </w:r>
        <w:r>
          <w:fldChar w:fldCharType="separate"/>
        </w:r>
        <w:r w:rsidR="00963A76">
          <w:rPr>
            <w:noProof/>
          </w:rPr>
          <w:t>7</w:t>
        </w:r>
        <w:r>
          <w:rPr>
            <w:noProof/>
          </w:rPr>
          <w:fldChar w:fldCharType="end"/>
        </w:r>
      </w:p>
    </w:sdtContent>
  </w:sdt>
  <w:p w14:paraId="62540CA1" w14:textId="77777777" w:rsidR="00D534F4" w:rsidRDefault="00D534F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AAA92E" w14:textId="77777777" w:rsidR="00015DA6" w:rsidRDefault="00015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201FE" w14:textId="77777777" w:rsidR="00464E18" w:rsidRDefault="00464E18" w:rsidP="00D534F4">
      <w:pPr>
        <w:spacing w:after="0" w:line="240" w:lineRule="auto"/>
      </w:pPr>
      <w:r>
        <w:separator/>
      </w:r>
    </w:p>
  </w:footnote>
  <w:footnote w:type="continuationSeparator" w:id="0">
    <w:p w14:paraId="3CE6DD5B" w14:textId="77777777" w:rsidR="00464E18" w:rsidRDefault="00464E18" w:rsidP="00D534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BF4417" w14:textId="20B8D723" w:rsidR="00015DA6" w:rsidRDefault="00464E18">
    <w:pPr>
      <w:pStyle w:val="Header"/>
    </w:pPr>
    <w:r>
      <w:rPr>
        <w:noProof/>
      </w:rPr>
      <w:pict w14:anchorId="1E96F8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77422"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85FCE5" w14:textId="3EFD38A5" w:rsidR="00015DA6" w:rsidRDefault="00464E18">
    <w:pPr>
      <w:pStyle w:val="Header"/>
    </w:pPr>
    <w:r>
      <w:rPr>
        <w:noProof/>
      </w:rPr>
      <w:pict w14:anchorId="598ADAE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77423"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44C5F3" w14:textId="0A6ABFE7" w:rsidR="00015DA6" w:rsidRDefault="00464E18">
    <w:pPr>
      <w:pStyle w:val="Header"/>
    </w:pPr>
    <w:r>
      <w:rPr>
        <w:noProof/>
      </w:rPr>
      <w:pict w14:anchorId="0A701F3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15177421"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45CA1"/>
    <w:multiLevelType w:val="hybridMultilevel"/>
    <w:tmpl w:val="94D41C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541BC0"/>
    <w:multiLevelType w:val="hybridMultilevel"/>
    <w:tmpl w:val="A3D22EDA"/>
    <w:lvl w:ilvl="0" w:tplc="0409000F">
      <w:start w:val="1"/>
      <w:numFmt w:val="decimal"/>
      <w:lvlText w:val="%1."/>
      <w:lvlJc w:val="left"/>
      <w:pPr>
        <w:ind w:left="240" w:hanging="360"/>
      </w:pPr>
    </w:lvl>
    <w:lvl w:ilvl="1" w:tplc="04090019" w:tentative="1">
      <w:start w:val="1"/>
      <w:numFmt w:val="lowerLetter"/>
      <w:lvlText w:val="%2."/>
      <w:lvlJc w:val="left"/>
      <w:pPr>
        <w:ind w:left="960" w:hanging="360"/>
      </w:pPr>
    </w:lvl>
    <w:lvl w:ilvl="2" w:tplc="0409001B" w:tentative="1">
      <w:start w:val="1"/>
      <w:numFmt w:val="lowerRoman"/>
      <w:lvlText w:val="%3."/>
      <w:lvlJc w:val="right"/>
      <w:pPr>
        <w:ind w:left="1680" w:hanging="180"/>
      </w:pPr>
    </w:lvl>
    <w:lvl w:ilvl="3" w:tplc="0409000F" w:tentative="1">
      <w:start w:val="1"/>
      <w:numFmt w:val="decimal"/>
      <w:lvlText w:val="%4."/>
      <w:lvlJc w:val="left"/>
      <w:pPr>
        <w:ind w:left="2400" w:hanging="360"/>
      </w:pPr>
    </w:lvl>
    <w:lvl w:ilvl="4" w:tplc="04090019" w:tentative="1">
      <w:start w:val="1"/>
      <w:numFmt w:val="lowerLetter"/>
      <w:lvlText w:val="%5."/>
      <w:lvlJc w:val="left"/>
      <w:pPr>
        <w:ind w:left="3120" w:hanging="360"/>
      </w:pPr>
    </w:lvl>
    <w:lvl w:ilvl="5" w:tplc="0409001B" w:tentative="1">
      <w:start w:val="1"/>
      <w:numFmt w:val="lowerRoman"/>
      <w:lvlText w:val="%6."/>
      <w:lvlJc w:val="right"/>
      <w:pPr>
        <w:ind w:left="3840" w:hanging="180"/>
      </w:pPr>
    </w:lvl>
    <w:lvl w:ilvl="6" w:tplc="0409000F" w:tentative="1">
      <w:start w:val="1"/>
      <w:numFmt w:val="decimal"/>
      <w:lvlText w:val="%7."/>
      <w:lvlJc w:val="left"/>
      <w:pPr>
        <w:ind w:left="4560" w:hanging="360"/>
      </w:pPr>
    </w:lvl>
    <w:lvl w:ilvl="7" w:tplc="04090019" w:tentative="1">
      <w:start w:val="1"/>
      <w:numFmt w:val="lowerLetter"/>
      <w:lvlText w:val="%8."/>
      <w:lvlJc w:val="left"/>
      <w:pPr>
        <w:ind w:left="5280" w:hanging="360"/>
      </w:pPr>
    </w:lvl>
    <w:lvl w:ilvl="8" w:tplc="0409001B" w:tentative="1">
      <w:start w:val="1"/>
      <w:numFmt w:val="lowerRoman"/>
      <w:lvlText w:val="%9."/>
      <w:lvlJc w:val="right"/>
      <w:pPr>
        <w:ind w:left="6000" w:hanging="18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account">
    <w15:presenceInfo w15:providerId="Windows Live" w15:userId="b7fbcd58cdaab72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0EDE"/>
    <w:rsid w:val="000050A6"/>
    <w:rsid w:val="00015DA6"/>
    <w:rsid w:val="000474DA"/>
    <w:rsid w:val="00085B2C"/>
    <w:rsid w:val="0009112E"/>
    <w:rsid w:val="000B7636"/>
    <w:rsid w:val="000F4907"/>
    <w:rsid w:val="001409E5"/>
    <w:rsid w:val="001C2ABD"/>
    <w:rsid w:val="00246C4E"/>
    <w:rsid w:val="003858A5"/>
    <w:rsid w:val="00402655"/>
    <w:rsid w:val="00464E18"/>
    <w:rsid w:val="00481E3F"/>
    <w:rsid w:val="005227CF"/>
    <w:rsid w:val="00537BF7"/>
    <w:rsid w:val="005652A0"/>
    <w:rsid w:val="005A2FB7"/>
    <w:rsid w:val="006262F5"/>
    <w:rsid w:val="006447C5"/>
    <w:rsid w:val="00664A64"/>
    <w:rsid w:val="006E41D7"/>
    <w:rsid w:val="007946F0"/>
    <w:rsid w:val="007A3BD8"/>
    <w:rsid w:val="0080716C"/>
    <w:rsid w:val="008430E5"/>
    <w:rsid w:val="008809CF"/>
    <w:rsid w:val="008A3639"/>
    <w:rsid w:val="008F41CA"/>
    <w:rsid w:val="008F644E"/>
    <w:rsid w:val="00963A76"/>
    <w:rsid w:val="00A60FC5"/>
    <w:rsid w:val="00AE72EF"/>
    <w:rsid w:val="00B076DA"/>
    <w:rsid w:val="00B11CD2"/>
    <w:rsid w:val="00B159C4"/>
    <w:rsid w:val="00B64EDC"/>
    <w:rsid w:val="00B762F8"/>
    <w:rsid w:val="00B81109"/>
    <w:rsid w:val="00C5301F"/>
    <w:rsid w:val="00C93369"/>
    <w:rsid w:val="00CC0C02"/>
    <w:rsid w:val="00CF3955"/>
    <w:rsid w:val="00CF5735"/>
    <w:rsid w:val="00D0421A"/>
    <w:rsid w:val="00D1644C"/>
    <w:rsid w:val="00D534F4"/>
    <w:rsid w:val="00D543E0"/>
    <w:rsid w:val="00E47BF5"/>
    <w:rsid w:val="00EB7135"/>
    <w:rsid w:val="00EF320B"/>
    <w:rsid w:val="00F32D66"/>
    <w:rsid w:val="00F50EDE"/>
    <w:rsid w:val="00F87D31"/>
    <w:rsid w:val="00FD55D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FE492CA"/>
  <w15:chartTrackingRefBased/>
  <w15:docId w15:val="{344FA2C3-3519-4E77-BD4B-5B6F9FE97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076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64A64"/>
    <w:pPr>
      <w:ind w:left="720"/>
      <w:contextualSpacing/>
    </w:pPr>
    <w:rPr>
      <w:kern w:val="0"/>
      <w14:ligatures w14:val="none"/>
    </w:rPr>
  </w:style>
  <w:style w:type="character" w:styleId="Hyperlink">
    <w:name w:val="Hyperlink"/>
    <w:basedOn w:val="DefaultParagraphFont"/>
    <w:uiPriority w:val="99"/>
    <w:unhideWhenUsed/>
    <w:rsid w:val="00664A64"/>
    <w:rPr>
      <w:color w:val="0563C1" w:themeColor="hyperlink"/>
      <w:u w:val="single"/>
    </w:rPr>
  </w:style>
  <w:style w:type="character" w:styleId="PlaceholderText">
    <w:name w:val="Placeholder Text"/>
    <w:basedOn w:val="DefaultParagraphFont"/>
    <w:uiPriority w:val="99"/>
    <w:semiHidden/>
    <w:rsid w:val="00E47BF5"/>
    <w:rPr>
      <w:color w:val="666666"/>
    </w:rPr>
  </w:style>
  <w:style w:type="paragraph" w:styleId="Header">
    <w:name w:val="header"/>
    <w:basedOn w:val="Normal"/>
    <w:link w:val="HeaderChar"/>
    <w:uiPriority w:val="99"/>
    <w:unhideWhenUsed/>
    <w:rsid w:val="00D534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4F4"/>
  </w:style>
  <w:style w:type="paragraph" w:styleId="Footer">
    <w:name w:val="footer"/>
    <w:basedOn w:val="Normal"/>
    <w:link w:val="FooterChar"/>
    <w:uiPriority w:val="99"/>
    <w:unhideWhenUsed/>
    <w:rsid w:val="00D534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4F4"/>
  </w:style>
  <w:style w:type="character" w:styleId="LineNumber">
    <w:name w:val="line number"/>
    <w:basedOn w:val="DefaultParagraphFont"/>
    <w:uiPriority w:val="99"/>
    <w:semiHidden/>
    <w:unhideWhenUsed/>
    <w:rsid w:val="00D534F4"/>
  </w:style>
  <w:style w:type="character" w:customStyle="1" w:styleId="UnresolvedMention">
    <w:name w:val="Unresolved Mention"/>
    <w:basedOn w:val="DefaultParagraphFont"/>
    <w:uiPriority w:val="99"/>
    <w:semiHidden/>
    <w:unhideWhenUsed/>
    <w:rsid w:val="00537BF7"/>
    <w:rPr>
      <w:color w:val="605E5C"/>
      <w:shd w:val="clear" w:color="auto" w:fill="E1DFDD"/>
    </w:rPr>
  </w:style>
  <w:style w:type="character" w:styleId="CommentReference">
    <w:name w:val="annotation reference"/>
    <w:basedOn w:val="DefaultParagraphFont"/>
    <w:uiPriority w:val="99"/>
    <w:semiHidden/>
    <w:unhideWhenUsed/>
    <w:rsid w:val="00F87D31"/>
    <w:rPr>
      <w:sz w:val="16"/>
      <w:szCs w:val="16"/>
    </w:rPr>
  </w:style>
  <w:style w:type="paragraph" w:styleId="CommentText">
    <w:name w:val="annotation text"/>
    <w:basedOn w:val="Normal"/>
    <w:link w:val="CommentTextChar"/>
    <w:uiPriority w:val="99"/>
    <w:semiHidden/>
    <w:unhideWhenUsed/>
    <w:rsid w:val="00F87D31"/>
    <w:pPr>
      <w:spacing w:line="240" w:lineRule="auto"/>
    </w:pPr>
    <w:rPr>
      <w:sz w:val="20"/>
      <w:szCs w:val="20"/>
    </w:rPr>
  </w:style>
  <w:style w:type="character" w:customStyle="1" w:styleId="CommentTextChar">
    <w:name w:val="Comment Text Char"/>
    <w:basedOn w:val="DefaultParagraphFont"/>
    <w:link w:val="CommentText"/>
    <w:uiPriority w:val="99"/>
    <w:semiHidden/>
    <w:rsid w:val="00F87D31"/>
    <w:rPr>
      <w:sz w:val="20"/>
      <w:szCs w:val="20"/>
    </w:rPr>
  </w:style>
  <w:style w:type="paragraph" w:styleId="CommentSubject">
    <w:name w:val="annotation subject"/>
    <w:basedOn w:val="CommentText"/>
    <w:next w:val="CommentText"/>
    <w:link w:val="CommentSubjectChar"/>
    <w:uiPriority w:val="99"/>
    <w:semiHidden/>
    <w:unhideWhenUsed/>
    <w:rsid w:val="00F87D31"/>
    <w:rPr>
      <w:b/>
      <w:bCs/>
    </w:rPr>
  </w:style>
  <w:style w:type="character" w:customStyle="1" w:styleId="CommentSubjectChar">
    <w:name w:val="Comment Subject Char"/>
    <w:basedOn w:val="CommentTextChar"/>
    <w:link w:val="CommentSubject"/>
    <w:uiPriority w:val="99"/>
    <w:semiHidden/>
    <w:rsid w:val="00F87D31"/>
    <w:rPr>
      <w:b/>
      <w:bCs/>
      <w:sz w:val="20"/>
      <w:szCs w:val="20"/>
    </w:rPr>
  </w:style>
  <w:style w:type="paragraph" w:styleId="BalloonText">
    <w:name w:val="Balloon Text"/>
    <w:basedOn w:val="Normal"/>
    <w:link w:val="BalloonTextChar"/>
    <w:uiPriority w:val="99"/>
    <w:semiHidden/>
    <w:unhideWhenUsed/>
    <w:rsid w:val="00F87D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87D3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95755">
      <w:bodyDiv w:val="1"/>
      <w:marLeft w:val="0"/>
      <w:marRight w:val="0"/>
      <w:marTop w:val="0"/>
      <w:marBottom w:val="0"/>
      <w:divBdr>
        <w:top w:val="none" w:sz="0" w:space="0" w:color="auto"/>
        <w:left w:val="none" w:sz="0" w:space="0" w:color="auto"/>
        <w:bottom w:val="none" w:sz="0" w:space="0" w:color="auto"/>
        <w:right w:val="none" w:sz="0" w:space="0" w:color="auto"/>
      </w:divBdr>
      <w:divsChild>
        <w:div w:id="2016879336">
          <w:marLeft w:val="480"/>
          <w:marRight w:val="0"/>
          <w:marTop w:val="0"/>
          <w:marBottom w:val="0"/>
          <w:divBdr>
            <w:top w:val="none" w:sz="0" w:space="0" w:color="auto"/>
            <w:left w:val="none" w:sz="0" w:space="0" w:color="auto"/>
            <w:bottom w:val="none" w:sz="0" w:space="0" w:color="auto"/>
            <w:right w:val="none" w:sz="0" w:space="0" w:color="auto"/>
          </w:divBdr>
        </w:div>
      </w:divsChild>
    </w:div>
    <w:div w:id="296228619">
      <w:bodyDiv w:val="1"/>
      <w:marLeft w:val="0"/>
      <w:marRight w:val="0"/>
      <w:marTop w:val="0"/>
      <w:marBottom w:val="0"/>
      <w:divBdr>
        <w:top w:val="none" w:sz="0" w:space="0" w:color="auto"/>
        <w:left w:val="none" w:sz="0" w:space="0" w:color="auto"/>
        <w:bottom w:val="none" w:sz="0" w:space="0" w:color="auto"/>
        <w:right w:val="none" w:sz="0" w:space="0" w:color="auto"/>
      </w:divBdr>
    </w:div>
    <w:div w:id="354120805">
      <w:bodyDiv w:val="1"/>
      <w:marLeft w:val="0"/>
      <w:marRight w:val="0"/>
      <w:marTop w:val="0"/>
      <w:marBottom w:val="0"/>
      <w:divBdr>
        <w:top w:val="none" w:sz="0" w:space="0" w:color="auto"/>
        <w:left w:val="none" w:sz="0" w:space="0" w:color="auto"/>
        <w:bottom w:val="none" w:sz="0" w:space="0" w:color="auto"/>
        <w:right w:val="none" w:sz="0" w:space="0" w:color="auto"/>
      </w:divBdr>
    </w:div>
    <w:div w:id="392512975">
      <w:bodyDiv w:val="1"/>
      <w:marLeft w:val="0"/>
      <w:marRight w:val="0"/>
      <w:marTop w:val="0"/>
      <w:marBottom w:val="0"/>
      <w:divBdr>
        <w:top w:val="none" w:sz="0" w:space="0" w:color="auto"/>
        <w:left w:val="none" w:sz="0" w:space="0" w:color="auto"/>
        <w:bottom w:val="none" w:sz="0" w:space="0" w:color="auto"/>
        <w:right w:val="none" w:sz="0" w:space="0" w:color="auto"/>
      </w:divBdr>
      <w:divsChild>
        <w:div w:id="732700187">
          <w:marLeft w:val="480"/>
          <w:marRight w:val="0"/>
          <w:marTop w:val="0"/>
          <w:marBottom w:val="0"/>
          <w:divBdr>
            <w:top w:val="none" w:sz="0" w:space="0" w:color="auto"/>
            <w:left w:val="none" w:sz="0" w:space="0" w:color="auto"/>
            <w:bottom w:val="none" w:sz="0" w:space="0" w:color="auto"/>
            <w:right w:val="none" w:sz="0" w:space="0" w:color="auto"/>
          </w:divBdr>
        </w:div>
        <w:div w:id="1186166237">
          <w:marLeft w:val="480"/>
          <w:marRight w:val="0"/>
          <w:marTop w:val="0"/>
          <w:marBottom w:val="0"/>
          <w:divBdr>
            <w:top w:val="none" w:sz="0" w:space="0" w:color="auto"/>
            <w:left w:val="none" w:sz="0" w:space="0" w:color="auto"/>
            <w:bottom w:val="none" w:sz="0" w:space="0" w:color="auto"/>
            <w:right w:val="none" w:sz="0" w:space="0" w:color="auto"/>
          </w:divBdr>
        </w:div>
        <w:div w:id="1824808510">
          <w:marLeft w:val="480"/>
          <w:marRight w:val="0"/>
          <w:marTop w:val="0"/>
          <w:marBottom w:val="0"/>
          <w:divBdr>
            <w:top w:val="none" w:sz="0" w:space="0" w:color="auto"/>
            <w:left w:val="none" w:sz="0" w:space="0" w:color="auto"/>
            <w:bottom w:val="none" w:sz="0" w:space="0" w:color="auto"/>
            <w:right w:val="none" w:sz="0" w:space="0" w:color="auto"/>
          </w:divBdr>
        </w:div>
      </w:divsChild>
    </w:div>
    <w:div w:id="447241999">
      <w:bodyDiv w:val="1"/>
      <w:marLeft w:val="0"/>
      <w:marRight w:val="0"/>
      <w:marTop w:val="0"/>
      <w:marBottom w:val="0"/>
      <w:divBdr>
        <w:top w:val="none" w:sz="0" w:space="0" w:color="auto"/>
        <w:left w:val="none" w:sz="0" w:space="0" w:color="auto"/>
        <w:bottom w:val="none" w:sz="0" w:space="0" w:color="auto"/>
        <w:right w:val="none" w:sz="0" w:space="0" w:color="auto"/>
      </w:divBdr>
      <w:divsChild>
        <w:div w:id="492643332">
          <w:marLeft w:val="480"/>
          <w:marRight w:val="0"/>
          <w:marTop w:val="0"/>
          <w:marBottom w:val="0"/>
          <w:divBdr>
            <w:top w:val="none" w:sz="0" w:space="0" w:color="auto"/>
            <w:left w:val="none" w:sz="0" w:space="0" w:color="auto"/>
            <w:bottom w:val="none" w:sz="0" w:space="0" w:color="auto"/>
            <w:right w:val="none" w:sz="0" w:space="0" w:color="auto"/>
          </w:divBdr>
        </w:div>
        <w:div w:id="216669570">
          <w:marLeft w:val="480"/>
          <w:marRight w:val="0"/>
          <w:marTop w:val="0"/>
          <w:marBottom w:val="0"/>
          <w:divBdr>
            <w:top w:val="none" w:sz="0" w:space="0" w:color="auto"/>
            <w:left w:val="none" w:sz="0" w:space="0" w:color="auto"/>
            <w:bottom w:val="none" w:sz="0" w:space="0" w:color="auto"/>
            <w:right w:val="none" w:sz="0" w:space="0" w:color="auto"/>
          </w:divBdr>
        </w:div>
        <w:div w:id="1671912596">
          <w:marLeft w:val="480"/>
          <w:marRight w:val="0"/>
          <w:marTop w:val="0"/>
          <w:marBottom w:val="0"/>
          <w:divBdr>
            <w:top w:val="none" w:sz="0" w:space="0" w:color="auto"/>
            <w:left w:val="none" w:sz="0" w:space="0" w:color="auto"/>
            <w:bottom w:val="none" w:sz="0" w:space="0" w:color="auto"/>
            <w:right w:val="none" w:sz="0" w:space="0" w:color="auto"/>
          </w:divBdr>
        </w:div>
        <w:div w:id="1290169301">
          <w:marLeft w:val="480"/>
          <w:marRight w:val="0"/>
          <w:marTop w:val="0"/>
          <w:marBottom w:val="0"/>
          <w:divBdr>
            <w:top w:val="none" w:sz="0" w:space="0" w:color="auto"/>
            <w:left w:val="none" w:sz="0" w:space="0" w:color="auto"/>
            <w:bottom w:val="none" w:sz="0" w:space="0" w:color="auto"/>
            <w:right w:val="none" w:sz="0" w:space="0" w:color="auto"/>
          </w:divBdr>
        </w:div>
      </w:divsChild>
    </w:div>
    <w:div w:id="498546924">
      <w:bodyDiv w:val="1"/>
      <w:marLeft w:val="0"/>
      <w:marRight w:val="0"/>
      <w:marTop w:val="0"/>
      <w:marBottom w:val="0"/>
      <w:divBdr>
        <w:top w:val="none" w:sz="0" w:space="0" w:color="auto"/>
        <w:left w:val="none" w:sz="0" w:space="0" w:color="auto"/>
        <w:bottom w:val="none" w:sz="0" w:space="0" w:color="auto"/>
        <w:right w:val="none" w:sz="0" w:space="0" w:color="auto"/>
      </w:divBdr>
    </w:div>
    <w:div w:id="816646050">
      <w:bodyDiv w:val="1"/>
      <w:marLeft w:val="0"/>
      <w:marRight w:val="0"/>
      <w:marTop w:val="0"/>
      <w:marBottom w:val="0"/>
      <w:divBdr>
        <w:top w:val="none" w:sz="0" w:space="0" w:color="auto"/>
        <w:left w:val="none" w:sz="0" w:space="0" w:color="auto"/>
        <w:bottom w:val="none" w:sz="0" w:space="0" w:color="auto"/>
        <w:right w:val="none" w:sz="0" w:space="0" w:color="auto"/>
      </w:divBdr>
      <w:divsChild>
        <w:div w:id="1579898504">
          <w:marLeft w:val="480"/>
          <w:marRight w:val="0"/>
          <w:marTop w:val="0"/>
          <w:marBottom w:val="0"/>
          <w:divBdr>
            <w:top w:val="none" w:sz="0" w:space="0" w:color="auto"/>
            <w:left w:val="none" w:sz="0" w:space="0" w:color="auto"/>
            <w:bottom w:val="none" w:sz="0" w:space="0" w:color="auto"/>
            <w:right w:val="none" w:sz="0" w:space="0" w:color="auto"/>
          </w:divBdr>
        </w:div>
        <w:div w:id="1097949041">
          <w:marLeft w:val="480"/>
          <w:marRight w:val="0"/>
          <w:marTop w:val="0"/>
          <w:marBottom w:val="0"/>
          <w:divBdr>
            <w:top w:val="none" w:sz="0" w:space="0" w:color="auto"/>
            <w:left w:val="none" w:sz="0" w:space="0" w:color="auto"/>
            <w:bottom w:val="none" w:sz="0" w:space="0" w:color="auto"/>
            <w:right w:val="none" w:sz="0" w:space="0" w:color="auto"/>
          </w:divBdr>
        </w:div>
        <w:div w:id="20396288">
          <w:marLeft w:val="480"/>
          <w:marRight w:val="0"/>
          <w:marTop w:val="0"/>
          <w:marBottom w:val="0"/>
          <w:divBdr>
            <w:top w:val="none" w:sz="0" w:space="0" w:color="auto"/>
            <w:left w:val="none" w:sz="0" w:space="0" w:color="auto"/>
            <w:bottom w:val="none" w:sz="0" w:space="0" w:color="auto"/>
            <w:right w:val="none" w:sz="0" w:space="0" w:color="auto"/>
          </w:divBdr>
        </w:div>
        <w:div w:id="1170951963">
          <w:marLeft w:val="480"/>
          <w:marRight w:val="0"/>
          <w:marTop w:val="0"/>
          <w:marBottom w:val="0"/>
          <w:divBdr>
            <w:top w:val="none" w:sz="0" w:space="0" w:color="auto"/>
            <w:left w:val="none" w:sz="0" w:space="0" w:color="auto"/>
            <w:bottom w:val="none" w:sz="0" w:space="0" w:color="auto"/>
            <w:right w:val="none" w:sz="0" w:space="0" w:color="auto"/>
          </w:divBdr>
        </w:div>
        <w:div w:id="718826830">
          <w:marLeft w:val="480"/>
          <w:marRight w:val="0"/>
          <w:marTop w:val="0"/>
          <w:marBottom w:val="0"/>
          <w:divBdr>
            <w:top w:val="none" w:sz="0" w:space="0" w:color="auto"/>
            <w:left w:val="none" w:sz="0" w:space="0" w:color="auto"/>
            <w:bottom w:val="none" w:sz="0" w:space="0" w:color="auto"/>
            <w:right w:val="none" w:sz="0" w:space="0" w:color="auto"/>
          </w:divBdr>
        </w:div>
      </w:divsChild>
    </w:div>
    <w:div w:id="940993850">
      <w:bodyDiv w:val="1"/>
      <w:marLeft w:val="0"/>
      <w:marRight w:val="0"/>
      <w:marTop w:val="0"/>
      <w:marBottom w:val="0"/>
      <w:divBdr>
        <w:top w:val="none" w:sz="0" w:space="0" w:color="auto"/>
        <w:left w:val="none" w:sz="0" w:space="0" w:color="auto"/>
        <w:bottom w:val="none" w:sz="0" w:space="0" w:color="auto"/>
        <w:right w:val="none" w:sz="0" w:space="0" w:color="auto"/>
      </w:divBdr>
      <w:divsChild>
        <w:div w:id="1063138450">
          <w:marLeft w:val="480"/>
          <w:marRight w:val="0"/>
          <w:marTop w:val="0"/>
          <w:marBottom w:val="0"/>
          <w:divBdr>
            <w:top w:val="none" w:sz="0" w:space="0" w:color="auto"/>
            <w:left w:val="none" w:sz="0" w:space="0" w:color="auto"/>
            <w:bottom w:val="none" w:sz="0" w:space="0" w:color="auto"/>
            <w:right w:val="none" w:sz="0" w:space="0" w:color="auto"/>
          </w:divBdr>
        </w:div>
        <w:div w:id="441728360">
          <w:marLeft w:val="480"/>
          <w:marRight w:val="0"/>
          <w:marTop w:val="0"/>
          <w:marBottom w:val="0"/>
          <w:divBdr>
            <w:top w:val="none" w:sz="0" w:space="0" w:color="auto"/>
            <w:left w:val="none" w:sz="0" w:space="0" w:color="auto"/>
            <w:bottom w:val="none" w:sz="0" w:space="0" w:color="auto"/>
            <w:right w:val="none" w:sz="0" w:space="0" w:color="auto"/>
          </w:divBdr>
        </w:div>
        <w:div w:id="1708022528">
          <w:marLeft w:val="480"/>
          <w:marRight w:val="0"/>
          <w:marTop w:val="0"/>
          <w:marBottom w:val="0"/>
          <w:divBdr>
            <w:top w:val="none" w:sz="0" w:space="0" w:color="auto"/>
            <w:left w:val="none" w:sz="0" w:space="0" w:color="auto"/>
            <w:bottom w:val="none" w:sz="0" w:space="0" w:color="auto"/>
            <w:right w:val="none" w:sz="0" w:space="0" w:color="auto"/>
          </w:divBdr>
        </w:div>
      </w:divsChild>
    </w:div>
    <w:div w:id="1104426396">
      <w:bodyDiv w:val="1"/>
      <w:marLeft w:val="0"/>
      <w:marRight w:val="0"/>
      <w:marTop w:val="0"/>
      <w:marBottom w:val="0"/>
      <w:divBdr>
        <w:top w:val="none" w:sz="0" w:space="0" w:color="auto"/>
        <w:left w:val="none" w:sz="0" w:space="0" w:color="auto"/>
        <w:bottom w:val="none" w:sz="0" w:space="0" w:color="auto"/>
        <w:right w:val="none" w:sz="0" w:space="0" w:color="auto"/>
      </w:divBdr>
      <w:divsChild>
        <w:div w:id="1300721623">
          <w:marLeft w:val="0"/>
          <w:marRight w:val="0"/>
          <w:marTop w:val="0"/>
          <w:marBottom w:val="0"/>
          <w:divBdr>
            <w:top w:val="none" w:sz="0" w:space="0" w:color="auto"/>
            <w:left w:val="none" w:sz="0" w:space="0" w:color="auto"/>
            <w:bottom w:val="none" w:sz="0" w:space="0" w:color="auto"/>
            <w:right w:val="none" w:sz="0" w:space="0" w:color="auto"/>
          </w:divBdr>
          <w:divsChild>
            <w:div w:id="1796950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640774">
      <w:bodyDiv w:val="1"/>
      <w:marLeft w:val="0"/>
      <w:marRight w:val="0"/>
      <w:marTop w:val="0"/>
      <w:marBottom w:val="0"/>
      <w:divBdr>
        <w:top w:val="none" w:sz="0" w:space="0" w:color="auto"/>
        <w:left w:val="none" w:sz="0" w:space="0" w:color="auto"/>
        <w:bottom w:val="none" w:sz="0" w:space="0" w:color="auto"/>
        <w:right w:val="none" w:sz="0" w:space="0" w:color="auto"/>
      </w:divBdr>
      <w:divsChild>
        <w:div w:id="35738716">
          <w:marLeft w:val="480"/>
          <w:marRight w:val="0"/>
          <w:marTop w:val="0"/>
          <w:marBottom w:val="0"/>
          <w:divBdr>
            <w:top w:val="none" w:sz="0" w:space="0" w:color="auto"/>
            <w:left w:val="none" w:sz="0" w:space="0" w:color="auto"/>
            <w:bottom w:val="none" w:sz="0" w:space="0" w:color="auto"/>
            <w:right w:val="none" w:sz="0" w:space="0" w:color="auto"/>
          </w:divBdr>
        </w:div>
        <w:div w:id="1876771305">
          <w:marLeft w:val="480"/>
          <w:marRight w:val="0"/>
          <w:marTop w:val="0"/>
          <w:marBottom w:val="0"/>
          <w:divBdr>
            <w:top w:val="none" w:sz="0" w:space="0" w:color="auto"/>
            <w:left w:val="none" w:sz="0" w:space="0" w:color="auto"/>
            <w:bottom w:val="none" w:sz="0" w:space="0" w:color="auto"/>
            <w:right w:val="none" w:sz="0" w:space="0" w:color="auto"/>
          </w:divBdr>
        </w:div>
      </w:divsChild>
    </w:div>
    <w:div w:id="1205941905">
      <w:bodyDiv w:val="1"/>
      <w:marLeft w:val="0"/>
      <w:marRight w:val="0"/>
      <w:marTop w:val="0"/>
      <w:marBottom w:val="0"/>
      <w:divBdr>
        <w:top w:val="none" w:sz="0" w:space="0" w:color="auto"/>
        <w:left w:val="none" w:sz="0" w:space="0" w:color="auto"/>
        <w:bottom w:val="none" w:sz="0" w:space="0" w:color="auto"/>
        <w:right w:val="none" w:sz="0" w:space="0" w:color="auto"/>
      </w:divBdr>
      <w:divsChild>
        <w:div w:id="702094799">
          <w:marLeft w:val="480"/>
          <w:marRight w:val="0"/>
          <w:marTop w:val="0"/>
          <w:marBottom w:val="0"/>
          <w:divBdr>
            <w:top w:val="none" w:sz="0" w:space="0" w:color="auto"/>
            <w:left w:val="none" w:sz="0" w:space="0" w:color="auto"/>
            <w:bottom w:val="none" w:sz="0" w:space="0" w:color="auto"/>
            <w:right w:val="none" w:sz="0" w:space="0" w:color="auto"/>
          </w:divBdr>
        </w:div>
        <w:div w:id="1153333029">
          <w:marLeft w:val="480"/>
          <w:marRight w:val="0"/>
          <w:marTop w:val="0"/>
          <w:marBottom w:val="0"/>
          <w:divBdr>
            <w:top w:val="none" w:sz="0" w:space="0" w:color="auto"/>
            <w:left w:val="none" w:sz="0" w:space="0" w:color="auto"/>
            <w:bottom w:val="none" w:sz="0" w:space="0" w:color="auto"/>
            <w:right w:val="none" w:sz="0" w:space="0" w:color="auto"/>
          </w:divBdr>
        </w:div>
      </w:divsChild>
    </w:div>
    <w:div w:id="1450392234">
      <w:bodyDiv w:val="1"/>
      <w:marLeft w:val="0"/>
      <w:marRight w:val="0"/>
      <w:marTop w:val="0"/>
      <w:marBottom w:val="0"/>
      <w:divBdr>
        <w:top w:val="none" w:sz="0" w:space="0" w:color="auto"/>
        <w:left w:val="none" w:sz="0" w:space="0" w:color="auto"/>
        <w:bottom w:val="none" w:sz="0" w:space="0" w:color="auto"/>
        <w:right w:val="none" w:sz="0" w:space="0" w:color="auto"/>
      </w:divBdr>
    </w:div>
    <w:div w:id="1500540088">
      <w:bodyDiv w:val="1"/>
      <w:marLeft w:val="0"/>
      <w:marRight w:val="0"/>
      <w:marTop w:val="0"/>
      <w:marBottom w:val="0"/>
      <w:divBdr>
        <w:top w:val="none" w:sz="0" w:space="0" w:color="auto"/>
        <w:left w:val="none" w:sz="0" w:space="0" w:color="auto"/>
        <w:bottom w:val="none" w:sz="0" w:space="0" w:color="auto"/>
        <w:right w:val="none" w:sz="0" w:space="0" w:color="auto"/>
      </w:divBdr>
      <w:divsChild>
        <w:div w:id="2074159504">
          <w:marLeft w:val="480"/>
          <w:marRight w:val="0"/>
          <w:marTop w:val="0"/>
          <w:marBottom w:val="0"/>
          <w:divBdr>
            <w:top w:val="none" w:sz="0" w:space="0" w:color="auto"/>
            <w:left w:val="none" w:sz="0" w:space="0" w:color="auto"/>
            <w:bottom w:val="none" w:sz="0" w:space="0" w:color="auto"/>
            <w:right w:val="none" w:sz="0" w:space="0" w:color="auto"/>
          </w:divBdr>
        </w:div>
        <w:div w:id="865796883">
          <w:marLeft w:val="480"/>
          <w:marRight w:val="0"/>
          <w:marTop w:val="0"/>
          <w:marBottom w:val="0"/>
          <w:divBdr>
            <w:top w:val="none" w:sz="0" w:space="0" w:color="auto"/>
            <w:left w:val="none" w:sz="0" w:space="0" w:color="auto"/>
            <w:bottom w:val="none" w:sz="0" w:space="0" w:color="auto"/>
            <w:right w:val="none" w:sz="0" w:space="0" w:color="auto"/>
          </w:divBdr>
        </w:div>
        <w:div w:id="209464763">
          <w:marLeft w:val="480"/>
          <w:marRight w:val="0"/>
          <w:marTop w:val="0"/>
          <w:marBottom w:val="0"/>
          <w:divBdr>
            <w:top w:val="none" w:sz="0" w:space="0" w:color="auto"/>
            <w:left w:val="none" w:sz="0" w:space="0" w:color="auto"/>
            <w:bottom w:val="none" w:sz="0" w:space="0" w:color="auto"/>
            <w:right w:val="none" w:sz="0" w:space="0" w:color="auto"/>
          </w:divBdr>
        </w:div>
        <w:div w:id="1869291002">
          <w:marLeft w:val="480"/>
          <w:marRight w:val="0"/>
          <w:marTop w:val="0"/>
          <w:marBottom w:val="0"/>
          <w:divBdr>
            <w:top w:val="none" w:sz="0" w:space="0" w:color="auto"/>
            <w:left w:val="none" w:sz="0" w:space="0" w:color="auto"/>
            <w:bottom w:val="none" w:sz="0" w:space="0" w:color="auto"/>
            <w:right w:val="none" w:sz="0" w:space="0" w:color="auto"/>
          </w:divBdr>
        </w:div>
      </w:divsChild>
    </w:div>
    <w:div w:id="1533032474">
      <w:bodyDiv w:val="1"/>
      <w:marLeft w:val="0"/>
      <w:marRight w:val="0"/>
      <w:marTop w:val="0"/>
      <w:marBottom w:val="0"/>
      <w:divBdr>
        <w:top w:val="none" w:sz="0" w:space="0" w:color="auto"/>
        <w:left w:val="none" w:sz="0" w:space="0" w:color="auto"/>
        <w:bottom w:val="none" w:sz="0" w:space="0" w:color="auto"/>
        <w:right w:val="none" w:sz="0" w:space="0" w:color="auto"/>
      </w:divBdr>
      <w:divsChild>
        <w:div w:id="2080590734">
          <w:marLeft w:val="480"/>
          <w:marRight w:val="0"/>
          <w:marTop w:val="0"/>
          <w:marBottom w:val="0"/>
          <w:divBdr>
            <w:top w:val="none" w:sz="0" w:space="0" w:color="auto"/>
            <w:left w:val="none" w:sz="0" w:space="0" w:color="auto"/>
            <w:bottom w:val="none" w:sz="0" w:space="0" w:color="auto"/>
            <w:right w:val="none" w:sz="0" w:space="0" w:color="auto"/>
          </w:divBdr>
        </w:div>
      </w:divsChild>
    </w:div>
    <w:div w:id="1850830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1.png"/><Relationship Id="rId19" Type="http://schemas.openxmlformats.org/officeDocument/2006/relationships/glossaryDocument" Target="glossary/document.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854013440"/>
        <w:category>
          <w:name w:val="General"/>
          <w:gallery w:val="placeholder"/>
        </w:category>
        <w:types>
          <w:type w:val="bbPlcHdr"/>
        </w:types>
        <w:behaviors>
          <w:behavior w:val="content"/>
        </w:behaviors>
        <w:guid w:val="{83971140-FCE6-4B6A-ADDD-AE678E61D376}"/>
      </w:docPartPr>
      <w:docPartBody>
        <w:p w:rsidR="00321AFD" w:rsidRDefault="002557FF">
          <w:r w:rsidRPr="008A015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7FF"/>
    <w:rsid w:val="00085B2C"/>
    <w:rsid w:val="000A2B8B"/>
    <w:rsid w:val="0019021B"/>
    <w:rsid w:val="00231400"/>
    <w:rsid w:val="002557FF"/>
    <w:rsid w:val="00321AFD"/>
    <w:rsid w:val="00345438"/>
    <w:rsid w:val="00395FBD"/>
    <w:rsid w:val="00434DE2"/>
    <w:rsid w:val="004B4A88"/>
    <w:rsid w:val="00516D4C"/>
    <w:rsid w:val="005227CF"/>
    <w:rsid w:val="00533065"/>
    <w:rsid w:val="005713C8"/>
    <w:rsid w:val="006447C5"/>
    <w:rsid w:val="00672D03"/>
    <w:rsid w:val="00716387"/>
    <w:rsid w:val="007C1FAD"/>
    <w:rsid w:val="00B45B1D"/>
    <w:rsid w:val="00B81109"/>
    <w:rsid w:val="00D07658"/>
    <w:rsid w:val="00E57900"/>
    <w:rsid w:val="00FD054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16D4C"/>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56489077-C8EC-4BB9-9A66-5A41019E18BA}">
  <we:reference id="wa104382081" version="1.55.1.0" store="en-US" storeType="OMEX"/>
  <we:alternateReferences>
    <we:reference id="WA104382081" version="1.55.1.0" store="" storeType="OMEX"/>
  </we:alternateReferences>
  <we:properties>
    <we:property name="MENDELEY_CITATIONS" value="[{&quot;citationID&quot;:&quot;MENDELEY_CITATION_3b255160-2183-4736-b0be-a3bacc9a89e3&quot;,&quot;properties&quot;:{&quot;noteIndex&quot;:0},&quot;isEdited&quot;:false,&quot;manualOverride&quot;:{&quot;isManuallyOverridden&quot;:false,&quot;citeprocText&quot;:&quot;(Singer et al., 2016)&quot;,&quot;manualOverrideText&quot;:&quot;&quot;},&quot;citationTag&quot;:&quot;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&quot;,&quot;citationItems&quot;:[{&quot;id&quot;:&quot;dfbe8276-12f9-30ab-b44a-da182f869c58&quot;,&quot;itemData&quot;:{&quot;type&quot;:&quot;article&quot;,&quot;id&quot;:&quot;dfbe8276-12f9-30ab-b44a-da182f869c58&quot;,&quot;title&quot;:&quot;The third international consensus definitions for sepsis and septic shock (sepsis-3)&quot;,&quot;author&quot;:[{&quot;family&quot;:&quot;Singer&quot;,&quot;given&quot;:&quot;Mervyn&quot;,&quot;parse-names&quot;:false,&quot;dropping-particle&quot;:&quot;&quot;,&quot;non-dropping-particle&quot;:&quot;&quot;},{&quot;family&quot;:&quot;Deutschman&quot;,&quot;given&quot;:&quot;Clifford S.&quot;,&quot;parse-names&quot;:false,&quot;dropping-particle&quot;:&quot;&quot;,&quot;non-dropping-particle&quot;:&quot;&quot;},{&quot;family&quot;:&quot;Seymour&quot;,&quot;given&quot;:&quot;Christopherwarren&quot;,&quot;parse-names&quot;:false,&quot;dropping-particle&quot;:&quot;&quot;,&quot;non-dropping-particle&quot;:&quot;&quot;},{&quot;family&quot;:&quot;Shankar-Hari&quot;,&quot;given&quot;:&quot;Manu&quot;,&quot;parse-names&quot;:false,&quot;dropping-particle&quot;:&quot;&quot;,&quot;non-dropping-particle&quot;:&quot;&quot;},{&quot;family&quot;:&quot;Annane&quot;,&quot;given&quot;:&quot;Djillali&quot;,&quot;parse-names&quot;:false,&quot;dropping-particle&quot;:&quot;&quot;,&quot;non-dropping-particle&quot;:&quot;&quot;},{&quot;family&quot;:&quot;Bauer&quot;,&quot;given&quot;:&quot;Michael&quot;,&quot;parse-names&quot;:false,&quot;dropping-particle&quot;:&quot;&quot;,&quot;non-dropping-particle&quot;:&quot;&quot;},{&quot;family&quot;:&quot;Bellomo&quot;,&quot;given&quot;:&quot;Rinaldo&quot;,&quot;parse-names&quot;:false,&quot;dropping-particle&quot;:&quot;&quot;,&quot;non-dropping-particle&quot;:&quot;&quot;},{&quot;family&quot;:&quot;Bernard&quot;,&quot;given&quot;:&quot;Gordon R.&quot;,&quot;parse-names&quot;:false,&quot;dropping-particle&quot;:&quot;&quot;,&quot;non-dropping-particle&quot;:&quot;&quot;},{&quot;family&quot;:&quot;Chiche&quot;,&quot;given&quot;:&quot;Jean Daniel&quot;,&quot;parse-names&quot;:false,&quot;dropping-particle&quot;:&quot;&quot;,&quot;non-dropping-particle&quot;:&quot;&quot;},{&quot;family&quot;:&quot;Coopersmith&quot;,&quot;given&quot;:&quot;Craig M.&quot;,&quot;parse-names&quot;:false,&quot;dropping-particle&quot;:&quot;&quot;,&quot;non-dropping-particle&quot;:&quot;&quot;},{&quot;family&quot;:&quot;Hotchkiss&quot;,&quot;given&quot;:&quot;Richard S.&quot;,&quot;parse-names&quot;:false,&quot;dropping-particle&quot;:&quot;&quot;,&quot;non-dropping-particle&quot;:&quot;&quot;},{&quot;family&quot;:&quot;Levy&quot;,&quot;given&quot;:&quot;Mitchell M.&quot;,&quot;parse-names&quot;:false,&quot;dropping-particle&quot;:&quot;&quot;,&quot;non-dropping-particle&quot;:&quot;&quot;},{&quot;family&quot;:&quot;Marshall&quot;,&quot;given&quot;:&quot;John C.&quot;,&quot;parse-names&quot;:false,&quot;dropping-particle&quot;:&quot;&quot;,&quot;non-dropping-particle&quot;:&quot;&quot;},{&quot;family&quot;:&quot;Martin&quot;,&quot;given&quot;:&quot;Greg S.&quot;,&quot;parse-names&quot;:false,&quot;dropping-particle&quot;:&quot;&quot;,&quot;non-dropping-particle&quot;:&quot;&quot;},{&quot;family&quot;:&quot;Opal&quot;,&quot;given&quot;:&quot;Steven M.&quot;,&quot;parse-names&quot;:false,&quot;dropping-particle&quot;:&quot;&quot;,&quot;non-dropping-particle&quot;:&quot;&quot;},{&quot;family&quot;:&quot;Rubenfeld&quot;,&quot;given&quot;:&quot;Gordon D.&quot;,&quot;parse-names&quot;:false,&quot;dropping-particle&quot;:&quot;&quot;,&quot;non-dropping-particle&quot;:&quot;&quot;},{&quot;family&quot;:&quot;Poll&quot;,&quot;given&quot;:&quot;Tomvan&quot;,&quot;parse-names&quot;:false,&quot;dropping-particle&quot;:&quot;Der&quot;,&quot;non-dropping-particle&quot;:&quot;&quot;},{&quot;family&quot;:&quot;Vincent&quot;,&quot;given&quot;:&quot;Jean Louis&quot;,&quot;parse-names&quot;:false,&quot;dropping-particle&quot;:&quot;&quot;,&quot;non-dropping-particle&quot;:&quot;&quot;},{&quot;family&quot;:&quot;Angus&quot;,&quot;given&quot;:&quot;Derek C.&quot;,&quot;parse-names&quot;:false,&quot;dropping-particle&quot;:&quot;&quot;,&quot;non-dropping-particle&quot;:&quot;&quot;}],&quot;container-title&quot;:&quot;JAMA - Journal of the American Medical Association&quot;,&quot;DOI&quot;:&quot;10.1001/jama.2016.0287&quot;,&quot;ISSN&quot;:&quot;15383598&quot;,&quot;PMID&quot;:&quot;26903338&quot;,&quot;issued&quot;:{&quot;date-parts&quot;:[[2016,2,23]]},&quot;page&quot;:&quot;801-810&quot;,&quot;abstract&quot;:&quot;IMPORTANCE: Definitions of sepsis and septic shock were last revised in 2001. Considerable advances have since been made into the pathobiology (changes in organ function, morphology, cell biology, biochemistry, immunology, and circulation), management, and epidemiology of sepsis, suggesting the need for reexamination. OBJECTIVE: To evaluate and, as needed, update definitions for sepsis and septic shock. PROCESS A task force (n = 19) with expertise in sepsis pathobiology, clinical trials, and epidemiology was convened by the Society of Critical Care Medicine and the European Society of Intensive Care Medicine. Definitions and clinical criteria were generated through meetings, Delphi processes, analysis of electronic health record databases, and voting, followed by circulation to international professional societies, requesting peer review and endorsement (by 31 societies listed in the Acknowledgment). KEY FINDINGS FROMEVIDENCE SYNTHESIS: Limitations of previous definitions included an excessive focus on inflammation, the misleading model that sepsis follows a continuum through severe sepsis to shock, and inadequate specificity and sensitivity of the systemic inflammatory response syndrome (SIRS) criteria. Multiple definitions and terminologies are currently in use for sepsis, septic shock, and organ dysfunction, leading to discrepancies in reported incidence and observed mortality. The task force concluded the term severe sepsis was redundant. RECOMMENDATIONS: Sepsis should be defined as life-threatening organ dysfunction caused by a dysregulated host response to infection. For clinical operationalization, organ dysfunction can be represented by an increase in the Sequential [Sepsis-related] Organ Failure Assessment (SOFA) score of 2 points or more, which is associated with an in-hospital mortality greater than 10%. Septic shock should be defined as a subset of sepsis in which particularly profound circulatory, cellular, and metabolic abnormalities are associated with a greater risk of mortality than with sepsis alone. Patients with septic shock can be clinically identified by a vasopressor requirement to maintain a mean arterial pressure of 65mmHg or greater and serum lactate level greater than 2 mmol/L (&gt;18mg/dL) in the absence of hypovolemia. This combination is associated with hospital mortality rates greater than 40%. In out-of-hospital, emergency department, or general hospital ward settings, adult patients with suspected infection can be rapidly identified as being more likely to have poor outcomes typical of sepsis if they have at least 2 of the following clinical criteria that together constitute a new bedside clinical score termed quickSOFA (qSOFA): respiratory rate of 22/min or greater, altered mentation, or systolic blood pressure of 100mmHg or less. CONCLUSIONS AND RELEVANCE: These updated definitions and clinical criteria should replace previous definitions, offer greater consistency for epidemiologic studies and clinical trials, and facilitate earlier recognition and more timely management of patients with sepsis or at risk of developing sepsis.&quot;,&quot;publisher&quot;:&quot;American Medical Association&quot;,&quot;issue&quot;:&quot;8&quot;,&quot;volume&quot;:&quot;315&quot;,&quot;container-title-short&quot;:&quot;&quot;},&quot;isTemporary&quot;:false}]},{&quot;citationID&quot;:&quot;MENDELEY_CITATION_8bcae88f-4fbd-4066-898a-c63df96f294a&quot;,&quot;properties&quot;:{&quot;noteIndex&quot;:0},&quot;isEdited&quot;:false,&quot;manualOverride&quot;:{&quot;isManuallyOverridden&quot;:false,&quot;citeprocText&quot;:&quot;(Kogelmann et al., 2017)&quot;,&quot;manualOverrideText&quot;:&quot;&quot;},&quot;citationTag&quot;:&quot;MENDELEY_CITATION_v3_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&quot;,&quot;citationItems&quot;:[{&quot;id&quot;:&quot;3ea64c33-da7c-3e7e-8709-0354752a626f&quot;,&quot;itemData&quot;:{&quot;type&quot;:&quot;article-journal&quot;,&quot;id&quot;:&quot;3ea64c33-da7c-3e7e-8709-0354752a626f&quot;,&quot;title&quot;:&quot;Hemoadsorption by CytoSorb in septic patients: A case series&quot;,&quot;author&quot;:[{&quot;family&quot;:&quot;Kogelmann&quot;,&quot;given&quot;:&quot;Klaus&quot;,&quot;parse-names&quot;:false,&quot;dropping-particle&quot;:&quot;&quot;,&quot;non-dropping-particle&quot;:&quot;&quot;},{&quot;family&quot;:&quot;Jarczak&quot;,&quot;given&quot;:&quot;Dominik&quot;,&quot;parse-names&quot;:false,&quot;dropping-particle&quot;:&quot;&quot;,&quot;non-dropping-particle&quot;:&quot;&quot;},{&quot;family&quot;:&quot;Scheller&quot;,&quot;given&quot;:&quot;Morten&quot;,&quot;parse-names&quot;:false,&quot;dropping-particle&quot;:&quot;&quot;,&quot;non-dropping-particle&quot;:&quot;&quot;},{&quot;family&quot;:&quot;Drüner&quot;,&quot;given&quot;:&quot;Matthias&quot;,&quot;parse-names&quot;:false,&quot;dropping-particle&quot;:&quot;&quot;,&quot;non-dropping-particle&quot;:&quot;&quot;}],&quot;container-title&quot;:&quot;Critical Care&quot;,&quot;container-title-short&quot;:&quot;Crit Care&quot;,&quot;DOI&quot;:&quot;10.1186/s13054-017-1662-9&quot;,&quot;ISSN&quot;:&quot;1466609X&quot;,&quot;PMID&quot;:&quot;28343448&quot;,&quot;issued&quot;:{&quot;date-parts&quot;:[[2017,3,27]]},&quot;abstract&quot;:&quot;Background: Septic shock, defined as life-threatening organ dysfunction caused by a dysregulated host response to infection, is a highly lethal condition that causes substantial morbidity and mortality among critically ill patients. One of the hallmarks of sepsis is the excessive release of cytokines and other inflammatory mediators causing refractory hypotension, tissue damage, metabolic acidosis and ultimately multiple organ failure. In this context, cytokine reduction by hemoadsorption represents a new concept for blood purification, developed to attenuate the overwhelming systemic levels of pro-inflammatory and anti-inflammatory mediators released in the early phase of sepsis. Methods: In the present case series, we evaluated the impact of a new hemoadsorption device (CytoSorb) used as adjunctive therapy, on hemodynamics and clinically relevant outcome parameters in 26 critically ill patients with septic shock and in need of renal replacement therapy. Results: We found that treatment of these patients with septic shock was associated with hemodynamic stabilization and a reduction in blood lactate levels. Actual mortality in the overall patient population was lower than mortality predicted by acute physiology and chronic health evaluation II (APACHE II). These effects seem to be more pronounced in patients in whom therapy started within 24 h of sepsis diagnosis, whereas a delay in the start of therapy was associated with a poor response to therapy in terms of reduction of catecholamine demand and survival. Moreover, from our patient population, medical patients seemed to benefit more than post-surgical patients in terms of survival. Treatment using the CytoSorb device was safe and well-tolerated with no device-related adverse events during or after the treatment sessions. Conclusion: Hemoadsorption using CytoSorb resulted in rapid hemodynamic stabilization and increased survival, particularly in patients in whom therapy was started early. Given the positive clinical experience of this case series, randomized controlled trials are urgently needed to define the potential benefits of this new treatment option.&quot;,&quot;publisher&quot;:&quot;BioMed Central Ltd.&quot;,&quot;issue&quot;:&quot;1&quot;,&quot;volume&quot;:&quot;21&quot;},&quot;isTemporary&quot;:false}]},{&quot;citationID&quot;:&quot;MENDELEY_CITATION_dd6d860c-4fe4-47c7-a595-77959699e60d&quot;,&quot;properties&quot;:{&quot;noteIndex&quot;:0},&quot;isEdited&quot;:false,&quot;manualOverride&quot;:{&quot;isManuallyOverridden&quot;:false,&quot;citeprocText&quot;:&quot;(Friesecke et al., 2019)&quot;,&quot;manualOverrideText&quot;:&quot;&quot;},&quot;citationTag&quot;:&quot;MENDELEY_CITATION_v3_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&quot;,&quot;citationItems&quot;:[{&quot;id&quot;:&quot;384c8466-dfb6-314d-9794-58dab03fa058&quot;,&quot;itemData&quot;:{&quot;type&quot;:&quot;article-journal&quot;,&quot;id&quot;:&quot;384c8466-dfb6-314d-9794-58dab03fa058&quot;,&quot;title&quot;:&quot;International registry on the use of the CytoSorb® adsorber in ICU patients: Study protocol and preliminary results&quot;,&quot;author&quot;:[{&quot;family&quot;:&quot;Friesecke&quot;,&quot;given&quot;:&quot;S.&quot;,&quot;parse-names&quot;:false,&quot;dropping-particle&quot;:&quot;&quot;,&quot;non-dropping-particle&quot;:&quot;&quot;},{&quot;family&quot;:&quot;Träger&quot;,&quot;given&quot;:&quot;K.&quot;,&quot;parse-names&quot;:false,&quot;dropping-particle&quot;:&quot;&quot;,&quot;non-dropping-particle&quot;:&quot;&quot;},{&quot;family&quot;:&quot;Schittek&quot;,&quot;given&quot;:&quot;G. A.&quot;,&quot;parse-names&quot;:false,&quot;dropping-particle&quot;:&quot;&quot;,&quot;non-dropping-particle&quot;:&quot;&quot;},{&quot;family&quot;:&quot;Molnar&quot;,&quot;given&quot;:&quot;Z.&quot;,&quot;parse-names&quot;:false,&quot;dropping-particle&quot;:&quot;&quot;,&quot;non-dropping-particle&quot;:&quot;&quot;},{&quot;family&quot;:&quot;Bach&quot;,&quot;given&quot;:&quot;F.&quot;,&quot;parse-names&quot;:false,&quot;dropping-particle&quot;:&quot;&quot;,&quot;non-dropping-particle&quot;:&quot;&quot;},{&quot;family&quot;:&quot;Kogelmann&quot;,&quot;given&quot;:&quot;K.&quot;,&quot;parse-names&quot;:false,&quot;dropping-particle&quot;:&quot;&quot;,&quot;non-dropping-particle&quot;:&quot;&quot;},{&quot;family&quot;:&quot;Bogdanski&quot;,&quot;given&quot;:&quot;R.&quot;,&quot;parse-names&quot;:false,&quot;dropping-particle&quot;:&quot;&quot;,&quot;non-dropping-particle&quot;:&quot;&quot;},{&quot;family&quot;:&quot;Weyland&quot;,&quot;given&quot;:&quot;A.&quot;,&quot;parse-names&quot;:false,&quot;dropping-particle&quot;:&quot;&quot;,&quot;non-dropping-particle&quot;:&quot;&quot;},{&quot;family&quot;:&quot;Nierhaus&quot;,&quot;given&quot;:&quot;A.&quot;,&quot;parse-names&quot;:false,&quot;dropping-particle&quot;:&quot;&quot;,&quot;non-dropping-particle&quot;:&quot;&quot;},{&quot;family&quot;:&quot;Nestler&quot;,&quot;given&quot;:&quot;F.&quot;,&quot;parse-names&quot;:false,&quot;dropping-particle&quot;:&quot;&quot;,&quot;non-dropping-particle&quot;:&quot;&quot;},{&quot;family&quot;:&quot;Olboeter&quot;,&quot;given&quot;:&quot;D.&quot;,&quot;parse-names&quot;:false,&quot;dropping-particle&quot;:&quot;&quot;,&quot;non-dropping-particle&quot;:&quot;&quot;},{&quot;family&quot;:&quot;Tomescu&quot;,&quot;given&quot;:&quot;D.&quot;,&quot;parse-names&quot;:false,&quot;dropping-particle&quot;:&quot;&quot;,&quot;non-dropping-particle&quot;:&quot;&quot;},{&quot;family&quot;:&quot;Jacob&quot;,&quot;given&quot;:&quot;D.&quot;,&quot;parse-names&quot;:false,&quot;dropping-particle&quot;:&quot;&quot;,&quot;non-dropping-particle&quot;:&quot;&quot;},{&quot;family&quot;:&quot;Haake&quot;,&quot;given&quot;:&quot;H.&quot;,&quot;parse-names&quot;:false,&quot;dropping-particle&quot;:&quot;&quot;,&quot;non-dropping-particle&quot;:&quot;&quot;},{&quot;family&quot;:&quot;Grigoryev&quot;,&quot;given&quot;:&quot;E.&quot;,&quot;parse-names&quot;:false,&quot;dropping-particle&quot;:&quot;&quot;,&quot;non-dropping-particle&quot;:&quot;&quot;},{&quot;family&quot;:&quot;Nitsch&quot;,&quot;given&quot;:&quot;M.&quot;,&quot;parse-names&quot;:false,&quot;dropping-particle&quot;:&quot;&quot;,&quot;non-dropping-particle&quot;:&quot;&quot;},{&quot;family&quot;:&quot;Baumann&quot;,&quot;given&quot;:&quot;A.&quot;,&quot;parse-names&quot;:false,&quot;dropping-particle&quot;:&quot;&quot;,&quot;non-dropping-particle&quot;:&quot;&quot;},{&quot;family&quot;:&quot;Quintel&quot;,&quot;given&quot;:&quot;M.&quot;,&quot;parse-names&quot;:false,&quot;dropping-particle&quot;:&quot;&quot;,&quot;non-dropping-particle&quot;:&quot;&quot;},{&quot;family&quot;:&quot;Schott&quot;,&quot;given&quot;:&quot;M.&quot;,&quot;parse-names&quot;:false,&quot;dropping-particle&quot;:&quot;&quot;,&quot;non-dropping-particle&quot;:&quot;&quot;},{&quot;family&quot;:&quot;Kielstein&quot;,&quot;given&quot;:&quot;J. T.&quot;,&quot;parse-names&quot;:false,&quot;dropping-particle&quot;:&quot;&quot;,&quot;non-dropping-particle&quot;:&quot;&quot;},{&quot;family&quot;:&quot;Meier-Hellmann&quot;,&quot;given&quot;:&quot;A.&quot;,&quot;parse-names&quot;:false,&quot;dropping-particle&quot;:&quot;&quot;,&quot;non-dropping-particle&quot;:&quot;&quot;},{&quot;family&quot;:&quot;Born&quot;,&quot;given&quot;:&quot;F.&quot;,&quot;parse-names&quot;:false,&quot;dropping-particle&quot;:&quot;&quot;,&quot;non-dropping-particle&quot;:&quot;&quot;},{&quot;family&quot;:&quot;Schumacher&quot;,&quot;given&quot;:&quot;U.&quot;,&quot;parse-names&quot;:false,&quot;dropping-particle&quot;:&quot;&quot;,&quot;non-dropping-particle&quot;:&quot;&quot;},{&quot;family&quot;:&quot;Singer&quot;,&quot;given&quot;:&quot;M.&quot;,&quot;parse-names&quot;:false,&quot;dropping-particle&quot;:&quot;&quot;,&quot;non-dropping-particle&quot;:&quot;&quot;},{&quot;family&quot;:&quot;Kellum&quot;,&quot;given&quot;:&quot;J.&quot;,&quot;parse-names&quot;:false,&quot;dropping-particle&quot;:&quot;&quot;,&quot;non-dropping-particle&quot;:&quot;&quot;},{&quot;family&quot;:&quot;Brunkhorst&quot;,&quot;given&quot;:&quot;F. M.&quot;,&quot;parse-names&quot;:false,&quot;dropping-particle&quot;:&quot;&quot;,&quot;non-dropping-particle&quot;:&quot;&quot;}],&quot;container-title&quot;:&quot;Medizinische Klinik - Intensivmedizin und Notfallmedizin&quot;,&quot;container-title-short&quot;:&quot;Med Klin Intensivmed Notfmed&quot;,&quot;DOI&quot;:&quot;10.1007/s00063-017-0342-5&quot;,&quot;ISSN&quot;:&quot;21936226&quot;,&quot;PMID&quot;:&quot;28871441&quot;,&quot;issued&quot;:{&quot;date-parts&quot;:[[2019,11,1]]},&quot;page&quot;:&quot;699-707&quot;,&quot;abstract&quot;:&quot;Introduction: The aim of this clinical registry is to record the use of CytoSorb® adsorber device in critically ill patients under real-life conditions. Methods: The registry records all relevant information in the course of product use, e. g., diagnosis, comorbidities, course of the condition, treatment, concomitant medication, clinical laboratory parameters, and outcome (ClinicalTrials.gov Identifier: NCT02312024). Primary endpoint is in-hospital mortality as compared to the mortality predicted by the APACHE II and SAPS II score, respectively. Results: As of January 30, 2017, 130 centers from 22 countries were participating. Data available from the start of the registry on May 18, 2015 to November 24, 2016 (122 centers; 22 countries) were analyzed, of whom 20 centers from four countries provided data for a total of 198 patients (mean age 60.3 ± 15.1 years, 135 men [68.2%]). In all, 192 (97.0%) had 1 to 5 Cytosorb® adsorber applications. Sepsis was the most common indication for CytoSorb® treatment (135 patients). Mean APACHE II score in this group was 33.1 ± 8.4 [range 15–52] with a predicted risk of death of 78%, whereas the observed mortality was 65%. There were no significant decreases in the SOFA scores after treatment (17.2 ± 4.8 [3–24]). However interleukin-6 levels were markedly reduced after treatment (median 5000 pg/ml before and 289 pg/ml after treatment, respectively). Conclusions: This third interim report demonstrates the feasibility of the registry with excellent data quality and completeness from 20 study centers. The results must be interpreted with caution, since the numbers are still small; however the disease severity is remarkably high and suggests that adsorber treatment might be used as an ultimate treatment in life-threatening situations. There were no device-associated side effects.&quot;,&quot;publisher&quot;:&quot;Springer-Verlag&quot;,&quot;issue&quot;:&quot;8&quot;,&quot;volume&quot;:&quot;114&quot;},&quot;isTemporary&quot;:false}]},{&quot;citationID&quot;:&quot;MENDELEY_CITATION_bf692b3a-43ac-4d39-a3b8-ddd909bf8d39&quot;,&quot;properties&quot;:{&quot;noteIndex&quot;:0},&quot;isEdited&quot;:false,&quot;manualOverride&quot;:{&quot;isManuallyOverridden&quot;:false,&quot;citeprocText&quot;:&quot;(White, 2007)&quot;,&quot;manualOverrideText&quot;:&quot;&quot;},&quot;citationTag&quot;:&quot;MENDELEY_CITATION_v3_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&quot;,&quot;citationItems&quot;:[{&quot;id&quot;:&quot;7a997fe4-7fd5-3001-834c-4e306c75485d&quot;,&quot;itemData&quot;:{&quot;type&quot;:&quot;report&quot;,&quot;id&quot;:&quot;7a997fe4-7fd5-3001-834c-4e306c75485d&quot;,&quot;title&quot;:&quot;Pre-pump arterial pressure = what is going on with the patient's access. Post-pump arterial pressure = what is going on inside the dialyzer. Why is PBE an important tool? PBE Pressure of Blood Entry Another way of illustrating post-pump arterial pressure&quot;,&quot;author&quot;:[{&quot;family&quot;:&quot;White&quot;,&quot;given&quot;:&quot;Jennifer A&quot;,&quot;parse-names&quot;:false,&quot;dropping-particle&quot;:&quot;&quot;,&quot;non-dropping-particle&quot;:&quot;&quot;}],&quot;issued&quot;:{&quot;date-parts&quot;:[[2007]]},&quot;abstract&quot;:&quot;From the patient's perspective: Monitoring the PBE can help avoid clotted dialyzers, which will help in avoiding blood loss. From the nurse's perspective: • Nursing staff can avoid the time lost in having to change out the dialyzer and lines when clotting occurs. • Minimizing clotting episodes helps in anemia management. From the administrator's perspective: • Cost of nurse's time to change out a clotted system. • Cost of second setup of lines and dialyzer. • Poor reuse numbers = more dialyzers used per patient. Typical Uses for PBE There are four groups of patients who could benefit from PBE monitoring: • Patients who are not on heparin. • Patients with poor reuse numbers. • Patients with a history of clotting dialyzers. • New patients for whom heparin needs have not been determined.&quot;,&quot;container-title-short&quot;:&quot;&quot;},&quot;isTemporary&quot;:false}]},{&quot;citationID&quot;:&quot;MENDELEY_CITATION_a9b29a0c-0513-40b8-bcb4-fcc7a0ed8851&quot;,&quot;properties&quot;:{&quot;noteIndex&quot;:0},&quot;isEdited&quot;:false,&quot;manualOverride&quot;:{&quot;isManuallyOverridden&quot;:false,&quot;citeprocText&quot;:&quot;(Schädler et al., 2017)&quot;,&quot;manualOverrideText&quot;:&quot;&quot;},&quot;citationTag&quot;:&quot;MENDELEY_CITATION_v3_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&quot;,&quot;citationItems&quot;:[{&quot;id&quot;:&quot;d4c22728-d608-374c-b1f2-2764e098062e&quot;,&quot;itemData&quot;:{&quot;type&quot;:&quot;article-journal&quot;,&quot;id&quot;:&quot;d4c22728-d608-374c-b1f2-2764e098062e&quot;,&quot;title&quot;:&quot;The effect of a novel extracorporeal cytokine hemoadsorption device on IL-6 elimination in septic patients: A randomized controlled trial&quot;,&quot;author&quot;:[{&quot;family&quot;:&quot;Schädler&quot;,&quot;given&quot;:&quot;Dirk&quot;,&quot;parse-names&quot;:false,&quot;dropping-particle&quot;:&quot;&quot;,&quot;non-dropping-particle&quot;:&quot;&quot;},{&quot;family&quot;:&quot;Pausch&quot;,&quot;given&quot;:&quot;Christine&quot;,&quot;parse-names&quot;:false,&quot;dropping-particle&quot;:&quot;&quot;,&quot;non-dropping-particle&quot;:&quot;&quot;},{&quot;family&quot;:&quot;Heise&quot;,&quot;given&quot;:&quot;Daniel&quot;,&quot;parse-names&quot;:false,&quot;dropping-particle&quot;:&quot;&quot;,&quot;non-dropping-particle&quot;:&quot;&quot;},{&quot;family&quot;:&quot;Meier-Hellmann&quot;,&quot;given&quot;:&quot;Andreas&quot;,&quot;parse-names&quot;:false,&quot;dropping-particle&quot;:&quot;&quot;,&quot;non-dropping-particle&quot;:&quot;&quot;},{&quot;family&quot;:&quot;Brederlau&quot;,&quot;given&quot;:&quot;Jörg&quot;,&quot;parse-names&quot;:false,&quot;dropping-particle&quot;:&quot;&quot;,&quot;non-dropping-particle&quot;:&quot;&quot;},{&quot;family&quot;:&quot;Weiler&quot;,&quot;given&quot;:&quot;Norbert&quot;,&quot;parse-names&quot;:false,&quot;dropping-particle&quot;:&quot;&quot;,&quot;non-dropping-particle&quot;:&quot;&quot;},{&quot;family&quot;:&quot;Marx&quot;,&quot;given&quot;:&quot;Gernot&quot;,&quot;parse-names&quot;:false,&quot;dropping-particle&quot;:&quot;&quot;,&quot;non-dropping-particle&quot;:&quot;&quot;},{&quot;family&quot;:&quot;Putensen&quot;,&quot;given&quot;:&quot;Christian&quot;,&quot;parse-names&quot;:false,&quot;dropping-particle&quot;:&quot;&quot;,&quot;non-dropping-particle&quot;:&quot;&quot;},{&quot;family&quot;:&quot;Spies&quot;,&quot;given&quot;:&quot;Claudia&quot;,&quot;parse-names&quot;:false,&quot;dropping-particle&quot;:&quot;&quot;,&quot;non-dropping-particle&quot;:&quot;&quot;},{&quot;family&quot;:&quot;Jörres&quot;,&quot;given&quot;:&quot;Achim&quot;,&quot;parse-names&quot;:false,&quot;dropping-particle&quot;:&quot;&quot;,&quot;non-dropping-particle&quot;:&quot;&quot;},{&quot;family&quot;:&quot;Quintel&quot;,&quot;given&quot;:&quot;Michael&quot;,&quot;parse-names&quot;:false,&quot;dropping-particle&quot;:&quot;&quot;,&quot;non-dropping-particle&quot;:&quot;&quot;},{&quot;family&quot;:&quot;Engel&quot;,&quot;given&quot;:&quot;Christoph&quot;,&quot;parse-names&quot;:false,&quot;dropping-particle&quot;:&quot;&quot;,&quot;non-dropping-particle&quot;:&quot;&quot;},{&quot;family&quot;:&quot;Kellum&quot;,&quot;given&quot;:&quot;John A.&quot;,&quot;parse-names&quot;:false,&quot;dropping-particle&quot;:&quot;&quot;,&quot;non-dropping-particle&quot;:&quot;&quot;},{&quot;family&quot;:&quot;Kuhlmann&quot;,&quot;given&quot;:&quot;Martin K.&quot;,&quot;parse-names&quot;:false,&quot;dropping-particle&quot;:&quot;&quot;,&quot;non-dropping-particle&quot;:&quot;&quot;}],&quot;container-title&quot;:&quot;PLoS ONE&quot;,&quot;container-title-short&quot;:&quot;PLoS One&quot;,&quot;DOI&quot;:&quot;10.1371/journal.pone.0187015&quot;,&quot;ISSN&quot;:&quot;19326203&quot;,&quot;PMID&quot;:&quot;29084247&quot;,&quot;issued&quot;:{&quot;date-parts&quot;:[[2017,10,1]]},&quot;abstract&quot;:&quot;Objective: We report on the effect of hemoadsorption therapy to reduce cytokines in septic patients with respiratory failure. Methods: This was a randomized, controlled, open-label, multicenter trial. Mechanically ventilated patients with severe sepsis or septic shock and acute lung injury or acute respiratory distress syndrome were eligible for study inclusion. Patients were randomly assigned to either therapy with CytoSorb hemoperfusion for 6 hours per day for up to 7 consecutive days (treatment), or no hemoperfusion (control). Primary outcome was change in normalized IL-6-serum concentrations during study day 1 and 7. Results: 97 of the 100 randomized patients were analyzed. We were not able to detect differences in systemic plasma IL-6 levels between the two groups (n = 75; p = 0.15). Significant IL-6 elimination, averaging between 5 and 18% per blood pass throughout the entire treatment period was recorded. In the unadjusted analysis, 60-day-mortality was significantly higher in the treatment group (44.7%) compared to the control group (26.0%; p = 0.039). The proportion of patients receiving renal replacement therapy at the time of enrollment was higher in the treatment group (31.9%) when compared to the control group (16.3%). After adjustment for patient morbidity and baseline imbalances, no association of hemoperfusion with mortality was found (p = 0.19). Conclusions: In this patient population with predominantly septic shock and multiple organ failure, hemoadsorption removed IL-6 but this did not lead to lower plasma IL-6-levels. We did not detect statistically significant differences in the secondary outcomes multiple organ dysfunction score, ventilation time and time course of oxygenation.&quot;,&quot;publisher&quot;:&quot;Public Library of Science&quot;,&quot;issue&quot;:&quot;10&quot;,&quot;volume&quot;:&quot;12&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15124-177E-4638-A5C6-E67C7913E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Ashfak Al Arif Shuvon</dc:creator>
  <cp:keywords/>
  <dc:description/>
  <cp:lastModifiedBy>Microsoft account</cp:lastModifiedBy>
  <cp:revision>17</cp:revision>
  <dcterms:created xsi:type="dcterms:W3CDTF">2025-04-06T06:36:00Z</dcterms:created>
  <dcterms:modified xsi:type="dcterms:W3CDTF">2025-04-09T13:55:00Z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992f7e1b7b4f3ba08e73d5d6f03ae51c6d7e8e9471cd4d48dcfc17ef670831ee</vt:lpwstr>
  </property>
</Properties>
</file>