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25ED6">
      <w:pPr>
        <w:spacing w:before="240" w:line="240" w:lineRule="auto"/>
        <w:rPr>
          <w:rFonts w:ascii="Times New Roman" w:hAnsi="Times New Roman"/>
          <w:b/>
          <w:sz w:val="24"/>
          <w:u w:val="single"/>
        </w:rPr>
      </w:pPr>
      <w:r>
        <w:rPr>
          <w:rFonts w:ascii="Times New Roman" w:hAnsi="Times New Roman"/>
          <w:b/>
          <w:sz w:val="24"/>
          <w:u w:val="single"/>
        </w:rPr>
        <w:t>Original Research Article</w:t>
      </w:r>
    </w:p>
    <w:p w14:paraId="09981407">
      <w:pPr>
        <w:spacing w:before="240" w:line="240" w:lineRule="auto"/>
        <w:jc w:val="center"/>
        <w:rPr>
          <w:rFonts w:ascii="Times New Roman" w:hAnsi="Times New Roman"/>
          <w:b/>
          <w:sz w:val="24"/>
        </w:rPr>
      </w:pPr>
      <w:commentRangeStart w:id="0"/>
      <w:r>
        <w:rPr>
          <w:rFonts w:ascii="Times New Roman" w:hAnsi="Times New Roman"/>
          <w:b/>
          <w:sz w:val="24"/>
        </w:rPr>
        <w:t xml:space="preserve">EVALUATION OF SOME ANTIOXIDANTS AND HAEMATOLOGICAL INDICES IN GLAUCOMA PATIENTS IN BAYELSA STATE, SOUTHERN NIGERIA </w:t>
      </w:r>
      <w:commentRangeEnd w:id="0"/>
      <w:r>
        <w:commentReference w:id="0"/>
      </w:r>
    </w:p>
    <w:p w14:paraId="4FE47547">
      <w:pPr>
        <w:spacing w:after="0" w:line="240" w:lineRule="auto"/>
        <w:rPr>
          <w:rFonts w:ascii="Times New Roman" w:hAnsi="Times New Roman"/>
          <w:b/>
          <w:bCs/>
          <w:sz w:val="24"/>
          <w:szCs w:val="24"/>
        </w:rPr>
      </w:pPr>
    </w:p>
    <w:p w14:paraId="72180720">
      <w:pPr>
        <w:spacing w:after="0" w:line="240" w:lineRule="auto"/>
        <w:rPr>
          <w:rFonts w:ascii="Times New Roman" w:hAnsi="Times New Roman"/>
          <w:b/>
          <w:bCs/>
          <w:sz w:val="24"/>
          <w:szCs w:val="24"/>
        </w:rPr>
      </w:pPr>
    </w:p>
    <w:p w14:paraId="0A740A40">
      <w:pPr>
        <w:spacing w:after="0" w:line="240" w:lineRule="auto"/>
        <w:rPr>
          <w:rFonts w:ascii="Times New Roman" w:hAnsi="Times New Roman"/>
          <w:b/>
          <w:bCs/>
          <w:sz w:val="24"/>
          <w:szCs w:val="24"/>
        </w:rPr>
      </w:pPr>
      <w:bookmarkStart w:id="0" w:name="_Hlk191936800"/>
      <w:r>
        <w:rPr>
          <w:rFonts w:ascii="Times New Roman" w:hAnsi="Times New Roman"/>
          <w:b/>
          <w:bCs/>
          <w:sz w:val="24"/>
          <w:szCs w:val="24"/>
        </w:rPr>
        <w:t>ABSTRACT</w:t>
      </w:r>
    </w:p>
    <w:p w14:paraId="2343EF6C">
      <w:pPr>
        <w:spacing w:after="0" w:line="240" w:lineRule="auto"/>
        <w:jc w:val="both"/>
        <w:rPr>
          <w:rFonts w:ascii="Times New Roman" w:hAnsi="Times New Roman"/>
          <w:sz w:val="24"/>
          <w:szCs w:val="24"/>
        </w:rPr>
      </w:pPr>
      <w:r>
        <w:rPr>
          <w:rFonts w:ascii="Times New Roman" w:hAnsi="Times New Roman"/>
          <w:b/>
          <w:bCs/>
          <w:sz w:val="24"/>
          <w:szCs w:val="24"/>
        </w:rPr>
        <w:t>Introduction</w:t>
      </w:r>
      <w:r>
        <w:rPr>
          <w:rFonts w:ascii="Times New Roman" w:hAnsi="Times New Roman"/>
          <w:sz w:val="24"/>
          <w:szCs w:val="24"/>
        </w:rPr>
        <w:t xml:space="preserve">: </w:t>
      </w:r>
      <w:commentRangeStart w:id="1"/>
      <w:r>
        <w:rPr>
          <w:rFonts w:ascii="Times New Roman" w:hAnsi="Times New Roman"/>
          <w:sz w:val="24"/>
          <w:szCs w:val="24"/>
        </w:rPr>
        <w:t>Glaucoma is a progressive neurodegenerative eye disorder that can cause irreversible damage to the optic nerve resulting in complete blindness if left untreated.</w:t>
      </w:r>
      <w:commentRangeEnd w:id="1"/>
      <w:r>
        <w:commentReference w:id="1"/>
      </w:r>
      <w:r>
        <w:rPr>
          <w:rFonts w:ascii="Times New Roman" w:hAnsi="Times New Roman"/>
          <w:sz w:val="24"/>
          <w:szCs w:val="24"/>
        </w:rPr>
        <w:t xml:space="preserve"> </w:t>
      </w:r>
    </w:p>
    <w:p w14:paraId="0CCCD939">
      <w:pPr>
        <w:spacing w:after="0" w:line="240" w:lineRule="auto"/>
        <w:jc w:val="both"/>
        <w:rPr>
          <w:rFonts w:ascii="Times New Roman" w:hAnsi="Times New Roman"/>
          <w:sz w:val="24"/>
          <w:szCs w:val="24"/>
        </w:rPr>
      </w:pPr>
      <w:r>
        <w:rPr>
          <w:rFonts w:ascii="Times New Roman" w:hAnsi="Times New Roman"/>
          <w:b/>
          <w:bCs/>
          <w:sz w:val="24"/>
          <w:szCs w:val="24"/>
        </w:rPr>
        <w:t>Aim</w:t>
      </w:r>
      <w:r>
        <w:rPr>
          <w:rFonts w:ascii="Times New Roman" w:hAnsi="Times New Roman"/>
          <w:sz w:val="24"/>
          <w:szCs w:val="24"/>
        </w:rPr>
        <w:t xml:space="preserve">: </w:t>
      </w:r>
      <w:commentRangeStart w:id="2"/>
      <w:r>
        <w:rPr>
          <w:rFonts w:ascii="Times New Roman" w:hAnsi="Times New Roman"/>
          <w:sz w:val="24"/>
          <w:szCs w:val="24"/>
        </w:rPr>
        <w:t>This study evaluated some antioxidants levels and haematological indices in glaucoma patients.</w:t>
      </w:r>
      <w:commentRangeEnd w:id="2"/>
      <w:r>
        <w:commentReference w:id="2"/>
      </w:r>
      <w:r>
        <w:rPr>
          <w:rFonts w:ascii="Times New Roman" w:hAnsi="Times New Roman"/>
          <w:sz w:val="24"/>
          <w:szCs w:val="24"/>
        </w:rPr>
        <w:t xml:space="preserve"> </w:t>
      </w:r>
    </w:p>
    <w:p w14:paraId="78A9A52A">
      <w:pPr>
        <w:spacing w:after="0" w:line="240" w:lineRule="auto"/>
        <w:jc w:val="both"/>
        <w:rPr>
          <w:rFonts w:ascii="Times New Roman" w:hAnsi="Times New Roman"/>
          <w:sz w:val="24"/>
        </w:rPr>
      </w:pPr>
      <w:r>
        <w:rPr>
          <w:rFonts w:ascii="Times New Roman" w:hAnsi="Times New Roman"/>
          <w:b/>
          <w:bCs/>
          <w:sz w:val="24"/>
          <w:szCs w:val="24"/>
        </w:rPr>
        <w:t>Methods</w:t>
      </w:r>
      <w:r>
        <w:rPr>
          <w:rFonts w:ascii="Times New Roman" w:hAnsi="Times New Roman"/>
          <w:sz w:val="24"/>
          <w:szCs w:val="24"/>
        </w:rPr>
        <w:t xml:space="preserve">: A cross-sectional study design was used in this investigation to examine the relationship between variables, and a total of 80 subjects comprising; 50 glaucoma patients and 30 apparently healthy control subjects </w:t>
      </w:r>
      <w:commentRangeStart w:id="3"/>
      <w:r>
        <w:rPr>
          <w:rFonts w:ascii="Times New Roman" w:hAnsi="Times New Roman"/>
          <w:sz w:val="24"/>
          <w:szCs w:val="24"/>
        </w:rPr>
        <w:t>were</w:t>
      </w:r>
      <w:commentRangeEnd w:id="3"/>
      <w:r>
        <w:commentReference w:id="3"/>
      </w:r>
      <w:r>
        <w:rPr>
          <w:rFonts w:ascii="Times New Roman" w:hAnsi="Times New Roman"/>
          <w:sz w:val="24"/>
          <w:szCs w:val="24"/>
        </w:rPr>
        <w:t xml:space="preserve"> selected for the study. Following standard operating protocols, five milliliters of venous blood were aseptically drawn from each patient via the cubital fossa region and dispensed in ethylene diamine tetra-acetic acid and plain sample containers. The blood sample was used for determination of </w:t>
      </w:r>
      <w:commentRangeStart w:id="4"/>
      <w:r>
        <w:rPr>
          <w:rFonts w:ascii="Times New Roman" w:hAnsi="Times New Roman"/>
          <w:sz w:val="24"/>
          <w:szCs w:val="24"/>
        </w:rPr>
        <w:t>biochemical parameters</w:t>
      </w:r>
      <w:commentRangeEnd w:id="4"/>
      <w:r>
        <w:commentReference w:id="4"/>
      </w:r>
      <w:r>
        <w:rPr>
          <w:rFonts w:ascii="Times New Roman" w:hAnsi="Times New Roman"/>
          <w:sz w:val="24"/>
          <w:szCs w:val="24"/>
        </w:rPr>
        <w:t>: uric acid, albumin, bilirubin, Superoxide dismutase, catalase, and malondialdehyde using spectrophotometric techniques, and haematological parameters: packed cell volume, haemoglobin, total white blood cell count, neutrophil, lymphocytes, eosinophils, basophils, monocytes, and platelet count were measured using the Sysmex automated haematology analyser. Statistical analaysis was done using Special Package for Social Sciences (SPSS) version 23.0 and p&lt;0.05 was considered statistically significant.</w:t>
      </w:r>
      <w:r>
        <w:rPr>
          <w:rFonts w:ascii="Times New Roman" w:hAnsi="Times New Roman"/>
          <w:sz w:val="24"/>
        </w:rPr>
        <w:t xml:space="preserve"> </w:t>
      </w:r>
    </w:p>
    <w:p w14:paraId="76085E35">
      <w:pPr>
        <w:spacing w:after="0" w:line="240" w:lineRule="auto"/>
        <w:jc w:val="both"/>
        <w:rPr>
          <w:rFonts w:ascii="Times New Roman" w:hAnsi="Times New Roman"/>
          <w:sz w:val="24"/>
          <w:szCs w:val="24"/>
        </w:rPr>
      </w:pPr>
      <w:r>
        <w:rPr>
          <w:rFonts w:ascii="Times New Roman" w:hAnsi="Times New Roman"/>
          <w:b/>
          <w:bCs/>
          <w:sz w:val="24"/>
        </w:rPr>
        <w:t>Results</w:t>
      </w:r>
      <w:r>
        <w:rPr>
          <w:rFonts w:ascii="Times New Roman" w:hAnsi="Times New Roman"/>
          <w:sz w:val="24"/>
        </w:rPr>
        <w:t xml:space="preserve">: </w:t>
      </w:r>
      <w:commentRangeStart w:id="5"/>
      <w:r>
        <w:rPr>
          <w:rFonts w:ascii="Times New Roman" w:hAnsi="Times New Roman"/>
          <w:sz w:val="24"/>
        </w:rPr>
        <w:t xml:space="preserve">Serum uric acid, albumin, </w:t>
      </w:r>
      <w:r>
        <w:rPr>
          <w:rFonts w:ascii="Times New Roman" w:hAnsi="Times New Roman"/>
          <w:sz w:val="24"/>
          <w:szCs w:val="24"/>
        </w:rPr>
        <w:t>total bilirubin and conjugated bilirubin</w:t>
      </w:r>
      <w:commentRangeEnd w:id="5"/>
      <w:r>
        <w:commentReference w:id="5"/>
      </w:r>
      <w:r>
        <w:rPr>
          <w:rFonts w:ascii="Times New Roman" w:hAnsi="Times New Roman"/>
          <w:sz w:val="24"/>
          <w:szCs w:val="24"/>
        </w:rPr>
        <w:t xml:space="preserve"> levels in the glaucoma patients were significantly (p&lt;0.05) lower than the non-glaucomatous subjects. </w:t>
      </w:r>
      <w:r>
        <w:rPr>
          <w:rFonts w:ascii="Times New Roman" w:hAnsi="Times New Roman"/>
          <w:sz w:val="24"/>
        </w:rPr>
        <w:t>Serum superoxide dismutase, catalase and malondialdehyde levels showed no significant difference when compared with the control subjects.</w:t>
      </w:r>
      <w:r>
        <w:rPr>
          <w:rFonts w:ascii="Times New Roman" w:hAnsi="Times New Roman"/>
          <w:sz w:val="24"/>
          <w:szCs w:val="24"/>
        </w:rPr>
        <w:t xml:space="preserve"> </w:t>
      </w:r>
      <w:commentRangeStart w:id="6"/>
      <w:r>
        <w:rPr>
          <w:rFonts w:ascii="Times New Roman" w:hAnsi="Times New Roman"/>
          <w:sz w:val="24"/>
          <w:szCs w:val="24"/>
        </w:rPr>
        <w:t>Packed cell volume, haemoglobin, total white blood</w:t>
      </w:r>
      <w:commentRangeEnd w:id="6"/>
      <w:r>
        <w:commentReference w:id="6"/>
      </w:r>
      <w:r>
        <w:rPr>
          <w:rFonts w:ascii="Times New Roman" w:hAnsi="Times New Roman"/>
          <w:sz w:val="24"/>
          <w:szCs w:val="24"/>
        </w:rPr>
        <w:t xml:space="preserve"> cell count, and platelets showed no significant (p&gt;0.05) difference in the glaucoma patients compared to the control subjects. However, a statistically significant decrease in eosinophil count (p&lt;0.05) was observed in glaucoma patients compared to control subjects which indicated a significant association between glaucoma and eosinopenia. </w:t>
      </w:r>
    </w:p>
    <w:p w14:paraId="201A5432">
      <w:pPr>
        <w:spacing w:after="0" w:line="240" w:lineRule="auto"/>
        <w:jc w:val="both"/>
        <w:rPr>
          <w:rFonts w:ascii="Times New Roman" w:hAnsi="Times New Roman"/>
          <w:sz w:val="24"/>
          <w:szCs w:val="24"/>
        </w:rPr>
      </w:pPr>
      <w:r>
        <w:rPr>
          <w:rFonts w:ascii="Times New Roman" w:hAnsi="Times New Roman"/>
          <w:b/>
          <w:bCs/>
          <w:sz w:val="24"/>
          <w:szCs w:val="24"/>
        </w:rPr>
        <w:t>Conclusion</w:t>
      </w:r>
      <w:r>
        <w:rPr>
          <w:rFonts w:ascii="Times New Roman" w:hAnsi="Times New Roman"/>
          <w:sz w:val="24"/>
          <w:szCs w:val="24"/>
        </w:rPr>
        <w:t xml:space="preserve">: </w:t>
      </w:r>
      <w:commentRangeStart w:id="7"/>
      <w:r>
        <w:rPr>
          <w:rFonts w:ascii="Times New Roman" w:hAnsi="Times New Roman"/>
          <w:sz w:val="24"/>
          <w:szCs w:val="24"/>
        </w:rPr>
        <w:t>This finding suggests that reduced eosinophil level may be a potential risk for glaucoma.</w:t>
      </w:r>
      <w:commentRangeEnd w:id="7"/>
      <w:r>
        <w:commentReference w:id="7"/>
      </w:r>
    </w:p>
    <w:p w14:paraId="2D1CC527">
      <w:pPr>
        <w:spacing w:after="0" w:line="240" w:lineRule="auto"/>
        <w:rPr>
          <w:rFonts w:ascii="Times New Roman" w:hAnsi="Times New Roman"/>
          <w:b/>
          <w:bCs/>
          <w:sz w:val="24"/>
          <w:szCs w:val="24"/>
        </w:rPr>
      </w:pPr>
      <w:r>
        <w:rPr>
          <w:rFonts w:ascii="Times New Roman" w:hAnsi="Times New Roman"/>
          <w:b/>
          <w:bCs/>
          <w:sz w:val="24"/>
          <w:szCs w:val="24"/>
        </w:rPr>
        <w:t xml:space="preserve">Keywords: </w:t>
      </w:r>
      <w:r>
        <w:rPr>
          <w:rFonts w:ascii="Times New Roman" w:hAnsi="Times New Roman"/>
          <w:bCs/>
          <w:sz w:val="24"/>
        </w:rPr>
        <w:t xml:space="preserve">Antioxidants, Glaucoma, Haematological Indices, Malondialdehyde </w:t>
      </w:r>
      <w:r>
        <w:rPr>
          <w:rFonts w:ascii="Times New Roman" w:hAnsi="Times New Roman"/>
          <w:b/>
          <w:bCs/>
          <w:sz w:val="24"/>
          <w:szCs w:val="24"/>
        </w:rPr>
        <w:t xml:space="preserve"> </w:t>
      </w:r>
    </w:p>
    <w:p w14:paraId="43C42B7B">
      <w:pPr>
        <w:spacing w:after="0" w:line="240" w:lineRule="auto"/>
        <w:rPr>
          <w:rFonts w:ascii="Times New Roman" w:hAnsi="Times New Roman"/>
          <w:b/>
          <w:bCs/>
        </w:rPr>
      </w:pPr>
    </w:p>
    <w:p w14:paraId="32C736F3">
      <w:pPr>
        <w:spacing w:after="0" w:line="240" w:lineRule="auto"/>
        <w:rPr>
          <w:rFonts w:ascii="Times New Roman" w:hAnsi="Times New Roman"/>
          <w:b/>
          <w:bCs/>
        </w:rPr>
      </w:pPr>
    </w:p>
    <w:p w14:paraId="06C6B10A">
      <w:pPr>
        <w:spacing w:after="0" w:line="240" w:lineRule="auto"/>
        <w:rPr>
          <w:rFonts w:ascii="Times New Roman" w:hAnsi="Times New Roman"/>
          <w:b/>
          <w:bCs/>
        </w:rPr>
      </w:pPr>
    </w:p>
    <w:p w14:paraId="1E8A6C0D">
      <w:pPr>
        <w:spacing w:after="0" w:line="240" w:lineRule="auto"/>
        <w:rPr>
          <w:rFonts w:ascii="Times New Roman" w:hAnsi="Times New Roman"/>
          <w:b/>
          <w:bCs/>
        </w:rPr>
      </w:pPr>
    </w:p>
    <w:p w14:paraId="57C4DE01">
      <w:pPr>
        <w:spacing w:after="0" w:line="240" w:lineRule="auto"/>
        <w:rPr>
          <w:rFonts w:ascii="Times New Roman" w:hAnsi="Times New Roman"/>
          <w:b/>
          <w:bCs/>
          <w:sz w:val="24"/>
          <w:szCs w:val="24"/>
        </w:rPr>
      </w:pPr>
      <w:r>
        <w:rPr>
          <w:rFonts w:ascii="Times New Roman" w:hAnsi="Times New Roman"/>
          <w:b/>
          <w:bCs/>
          <w:sz w:val="24"/>
          <w:szCs w:val="24"/>
        </w:rPr>
        <w:t>INTRODUCTION</w:t>
      </w:r>
    </w:p>
    <w:p w14:paraId="3685C1C7">
      <w:pPr>
        <w:autoSpaceDE w:val="0"/>
        <w:autoSpaceDN w:val="0"/>
        <w:adjustRightInd w:val="0"/>
        <w:spacing w:after="0" w:line="240" w:lineRule="auto"/>
        <w:jc w:val="both"/>
        <w:rPr>
          <w:rFonts w:ascii="Times New Roman" w:hAnsi="Times New Roman"/>
          <w:sz w:val="24"/>
          <w:szCs w:val="24"/>
        </w:rPr>
      </w:pPr>
      <w:r>
        <w:rPr>
          <w:rFonts w:ascii="Times New Roman" w:hAnsi="Times New Roman" w:eastAsiaTheme="minorHAnsi"/>
          <w:sz w:val="24"/>
          <w:szCs w:val="24"/>
          <w:lang w:eastAsia="en-US"/>
        </w:rPr>
        <w:t xml:space="preserve">Glaucoma is a neurodegenerative disease with a complex origin that primarily damages the optic nerve and retinal ganglion cells. If left unmanaged, it can result </w:t>
      </w:r>
      <w:commentRangeStart w:id="8"/>
      <w:r>
        <w:rPr>
          <w:rFonts w:ascii="Times New Roman" w:hAnsi="Times New Roman" w:eastAsiaTheme="minorHAnsi"/>
          <w:sz w:val="24"/>
          <w:szCs w:val="24"/>
          <w:lang w:eastAsia="en-US"/>
        </w:rPr>
        <w:t>in</w:t>
      </w:r>
      <w:commentRangeEnd w:id="8"/>
      <w:r>
        <w:commentReference w:id="8"/>
      </w:r>
      <w:r>
        <w:rPr>
          <w:rFonts w:ascii="Times New Roman" w:hAnsi="Times New Roman" w:eastAsiaTheme="minorHAnsi"/>
          <w:sz w:val="24"/>
          <w:szCs w:val="24"/>
          <w:lang w:eastAsia="en-US"/>
        </w:rPr>
        <w:t xml:space="preserve"> irreversible or complete vision loss (</w:t>
      </w:r>
      <w:r>
        <w:rPr>
          <w:rFonts w:ascii="Times New Roman" w:hAnsi="Times New Roman"/>
          <w:sz w:val="24"/>
          <w:szCs w:val="24"/>
        </w:rPr>
        <w:t>Tham et al., 2014).</w:t>
      </w:r>
      <w:r>
        <w:rPr>
          <w:rFonts w:ascii="Times New Roman" w:hAnsi="Times New Roman" w:eastAsiaTheme="minorHAnsi"/>
          <w:sz w:val="24"/>
          <w:szCs w:val="24"/>
          <w:lang w:eastAsia="en-US"/>
        </w:rPr>
        <w:t xml:space="preserve"> </w:t>
      </w:r>
      <w:commentRangeStart w:id="9"/>
      <w:r>
        <w:rPr>
          <w:rFonts w:ascii="Times New Roman" w:hAnsi="Times New Roman" w:eastAsiaTheme="minorHAnsi"/>
          <w:sz w:val="24"/>
          <w:szCs w:val="24"/>
          <w:lang w:eastAsia="en-US"/>
        </w:rPr>
        <w:t>By 2020, it was estimated to impact around 80 million individuals, with projections indicating an increase to 111.8 million by 2040, particularly affecting a larger population in Asian and African regions (</w:t>
      </w:r>
      <w:r>
        <w:rPr>
          <w:rFonts w:ascii="Times New Roman" w:hAnsi="Times New Roman"/>
          <w:sz w:val="24"/>
          <w:szCs w:val="24"/>
        </w:rPr>
        <w:t>Tham et al., 2014).</w:t>
      </w:r>
      <w:commentRangeEnd w:id="9"/>
      <w:r>
        <w:commentReference w:id="9"/>
      </w:r>
      <w:r>
        <w:rPr>
          <w:rFonts w:ascii="Times New Roman" w:hAnsi="Times New Roman"/>
          <w:sz w:val="24"/>
          <w:szCs w:val="24"/>
        </w:rPr>
        <w:t xml:space="preserve"> </w:t>
      </w:r>
      <w:r>
        <w:rPr>
          <w:rFonts w:ascii="Times New Roman" w:hAnsi="Times New Roman" w:eastAsiaTheme="minorHAnsi"/>
          <w:sz w:val="24"/>
          <w:szCs w:val="24"/>
          <w:lang w:eastAsia="en-US"/>
        </w:rPr>
        <w:t xml:space="preserve">Glaucoma is one of the topmost causes of blindness globally, and </w:t>
      </w:r>
      <w:r>
        <w:rPr>
          <w:rFonts w:ascii="Times New Roman" w:hAnsi="Times New Roman"/>
          <w:sz w:val="24"/>
          <w:szCs w:val="24"/>
        </w:rPr>
        <w:t>it is the second most common cause of blindness in Nigeria, with an incidence of 19% (Akinlabi et al., 2009).</w:t>
      </w:r>
    </w:p>
    <w:p w14:paraId="4467BAF8">
      <w:pPr>
        <w:autoSpaceDE w:val="0"/>
        <w:autoSpaceDN w:val="0"/>
        <w:adjustRightInd w:val="0"/>
        <w:spacing w:after="0" w:line="240" w:lineRule="auto"/>
        <w:jc w:val="both"/>
        <w:rPr>
          <w:rFonts w:ascii="Times New Roman" w:hAnsi="Times New Roman"/>
          <w:sz w:val="8"/>
          <w:szCs w:val="8"/>
        </w:rPr>
      </w:pPr>
    </w:p>
    <w:p w14:paraId="5A7CA777">
      <w:pPr>
        <w:autoSpaceDE w:val="0"/>
        <w:autoSpaceDN w:val="0"/>
        <w:adjustRightInd w:val="0"/>
        <w:spacing w:after="0" w:line="240" w:lineRule="auto"/>
        <w:jc w:val="both"/>
        <w:rPr>
          <w:rFonts w:ascii="Times New Roman" w:hAnsi="Times New Roman"/>
          <w:sz w:val="4"/>
          <w:szCs w:val="16"/>
        </w:rPr>
      </w:pPr>
    </w:p>
    <w:p w14:paraId="7B31653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Glaucoma is classified into two primary types: open-angle glaucoma and closed-angle glaucoma. These types are subdivided into primary open angle glaucoma, primary angle closure glaucoma and secondary glaucoma (He et al., 2006). Primary open-angle glaucoma is the most widespread type of glaucoma, which is characterized by a gradual obstruction of drainage channels that raises intraocular pressure and gradually damages the optic nerve (</w:t>
      </w:r>
      <w:r>
        <w:rPr>
          <w:rFonts w:ascii="Times New Roman" w:hAnsi="Times New Roman" w:eastAsia="Times New Roman"/>
          <w:sz w:val="24"/>
          <w:szCs w:val="24"/>
          <w:lang w:eastAsia="en-US"/>
        </w:rPr>
        <w:t>Douglass et al., 2023)</w:t>
      </w:r>
      <w:r>
        <w:rPr>
          <w:rFonts w:ascii="Times New Roman" w:hAnsi="Times New Roman"/>
          <w:sz w:val="24"/>
          <w:szCs w:val="24"/>
        </w:rPr>
        <w:t xml:space="preserve">. Primary angle-closure glaucoma occurs when the iris bends forward, creating direct contact with the trabecular meshwork, which blocks the outflow of aqueous humor from the eye. The secondary glaucoma arises as a result of another </w:t>
      </w:r>
      <w:commentRangeStart w:id="10"/>
      <w:r>
        <w:rPr>
          <w:rFonts w:ascii="Times New Roman" w:hAnsi="Times New Roman"/>
          <w:sz w:val="24"/>
          <w:szCs w:val="24"/>
        </w:rPr>
        <w:t>illness, trauma, or drug</w:t>
      </w:r>
      <w:commentRangeEnd w:id="10"/>
      <w:r>
        <w:commentReference w:id="10"/>
      </w:r>
      <w:r>
        <w:rPr>
          <w:rFonts w:ascii="Times New Roman" w:hAnsi="Times New Roman"/>
          <w:sz w:val="24"/>
          <w:szCs w:val="24"/>
        </w:rPr>
        <w:t xml:space="preserve"> that raises intraocular pressure, and damages optic nerve which impair vision (Sena et al., 2017)</w:t>
      </w:r>
      <w:r>
        <w:commentReference w:id="11"/>
      </w:r>
    </w:p>
    <w:p w14:paraId="310582F1">
      <w:pPr>
        <w:spacing w:before="240" w:line="240" w:lineRule="auto"/>
        <w:jc w:val="both"/>
        <w:rPr>
          <w:rFonts w:ascii="Times New Roman" w:hAnsi="Times New Roman"/>
          <w:sz w:val="24"/>
          <w:szCs w:val="24"/>
        </w:rPr>
      </w:pPr>
      <w:r>
        <w:rPr>
          <w:rFonts w:ascii="Times New Roman" w:hAnsi="Times New Roman"/>
          <w:sz w:val="24"/>
          <w:szCs w:val="24"/>
          <w:shd w:val="clear" w:color="auto" w:fill="FFFFFF"/>
        </w:rPr>
        <w:t xml:space="preserve">The development of glaucoma is influenced by multiple factors and the exact pathways and mechanisms are not yet fully understood. Nonetheless, </w:t>
      </w:r>
      <w:r>
        <w:rPr>
          <w:rFonts w:ascii="Times New Roman" w:hAnsi="Times New Roman"/>
          <w:sz w:val="24"/>
          <w:szCs w:val="24"/>
        </w:rPr>
        <w:t>it has been demonstrated that several contributing risk factors, including vascular alterations, age, race, raised glutamate levels, corneal thickness, elevated intraocular pressure, and genetic variables, play a major role to the development of glaucoma ((Akinlabi et al., 2009; Zhang et al., 2011). Microvascular injury can result from hyper-viscosity brought on by alterations of blood cells and components of plasma. Impaired nitric oxide metabolism, endothelial dysfunction, neuroinflammation and vasospasm have been implicated as possible mechanisms of glaucoma (Astafurov et al., 2014).</w:t>
      </w:r>
    </w:p>
    <w:p w14:paraId="3B7D30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Primary haematological disorders are usually uncommon, while haematological manifestations due to other </w:t>
      </w:r>
      <w:commentRangeStart w:id="12"/>
      <w:r>
        <w:rPr>
          <w:rFonts w:ascii="Times New Roman" w:hAnsi="Times New Roman"/>
          <w:sz w:val="24"/>
          <w:szCs w:val="24"/>
        </w:rPr>
        <w:t>diseases</w:t>
      </w:r>
      <w:commentRangeEnd w:id="12"/>
      <w:r>
        <w:commentReference w:id="12"/>
      </w:r>
      <w:r>
        <w:rPr>
          <w:rFonts w:ascii="Times New Roman" w:hAnsi="Times New Roman"/>
          <w:sz w:val="24"/>
          <w:szCs w:val="24"/>
        </w:rPr>
        <w:t xml:space="preserve"> occur regularly. Haemorrhagic glaucoma is a medical complication of vascular disorder that is highly associated with glaucoma development and progression (Lee et al., 2021). Haematological indices are measurable components of blood like red blood cells, white blood cells and platelets, which originate from the haemopoeitic stem cell (Azuonwu et al., 2017). The evaluation of hematological indices plays a crucial role in healthcare, as they serve as essential indicators for assessing </w:t>
      </w:r>
      <w:commentRangeStart w:id="13"/>
      <w:r>
        <w:rPr>
          <w:rFonts w:ascii="Times New Roman" w:hAnsi="Times New Roman"/>
          <w:sz w:val="24"/>
          <w:szCs w:val="24"/>
        </w:rPr>
        <w:t>immune function,</w:t>
      </w:r>
      <w:commentRangeEnd w:id="13"/>
      <w:r>
        <w:commentReference w:id="13"/>
      </w:r>
      <w:r>
        <w:rPr>
          <w:rFonts w:ascii="Times New Roman" w:hAnsi="Times New Roman"/>
          <w:sz w:val="24"/>
          <w:szCs w:val="24"/>
        </w:rPr>
        <w:t xml:space="preserve"> g</w:t>
      </w:r>
      <w:commentRangeStart w:id="14"/>
      <w:r>
        <w:rPr>
          <w:rFonts w:ascii="Times New Roman" w:hAnsi="Times New Roman"/>
          <w:sz w:val="24"/>
          <w:szCs w:val="24"/>
        </w:rPr>
        <w:t>uiding treatment decisions, and monitoring disease progression and therapeutic outcomes.</w:t>
      </w:r>
      <w:commentRangeEnd w:id="14"/>
      <w:r>
        <w:commentReference w:id="14"/>
      </w:r>
      <w:r>
        <w:rPr>
          <w:rFonts w:ascii="Times New Roman" w:hAnsi="Times New Roman"/>
          <w:sz w:val="24"/>
          <w:szCs w:val="24"/>
        </w:rPr>
        <w:t xml:space="preserve"> To ensure accurate diagnosis and effective patient management, these indices are routinely analyzed (Amilo et al., 2024). Over the past decade, the understanding of glaucoma's causes has shifted from a solely pressure-based theory to an integrated mechanical and vascular perspective (</w:t>
      </w:r>
      <w:r>
        <w:rPr>
          <w:rFonts w:ascii="Times New Roman" w:hAnsi="Times New Roman" w:eastAsia="Times New Roman"/>
          <w:sz w:val="24"/>
          <w:szCs w:val="24"/>
          <w:lang w:eastAsia="en-US"/>
        </w:rPr>
        <w:t>Delaney et al., 2006).</w:t>
      </w:r>
      <w:r>
        <w:rPr>
          <w:rFonts w:ascii="Times New Roman" w:hAnsi="Times New Roman"/>
          <w:sz w:val="24"/>
          <w:szCs w:val="24"/>
        </w:rPr>
        <w:t xml:space="preserve"> Alterations in blood cell properties and plasma components leading to hyper-viscosity may contribute to microvascular damage (</w:t>
      </w:r>
      <w:r>
        <w:rPr>
          <w:rFonts w:ascii="Times New Roman" w:hAnsi="Times New Roman" w:eastAsia="Times New Roman"/>
          <w:sz w:val="24"/>
          <w:szCs w:val="24"/>
          <w:lang w:eastAsia="en-US"/>
        </w:rPr>
        <w:t>Mannini et al., 2007).</w:t>
      </w:r>
      <w:r>
        <w:rPr>
          <w:rFonts w:ascii="Times New Roman" w:hAnsi="Times New Roman"/>
          <w:sz w:val="24"/>
          <w:szCs w:val="24"/>
        </w:rPr>
        <w:t xml:space="preserve"> Additionally, factors such as reduced nitric oxide availability, endothelial dysfunction, and vasospasms are increasingly associated with glaucoma (</w:t>
      </w:r>
      <w:r>
        <w:rPr>
          <w:rFonts w:ascii="Times New Roman" w:hAnsi="Times New Roman" w:eastAsia="Times New Roman"/>
          <w:sz w:val="24"/>
          <w:szCs w:val="24"/>
          <w:lang w:eastAsia="en-US"/>
        </w:rPr>
        <w:t>Delaney et al., 2006).</w:t>
      </w:r>
    </w:p>
    <w:bookmarkEnd w:id="0"/>
    <w:p w14:paraId="4CC59C09">
      <w:pPr>
        <w:spacing w:before="240" w:line="240" w:lineRule="auto"/>
        <w:jc w:val="both"/>
        <w:rPr>
          <w:rStyle w:val="14"/>
          <w:rFonts w:ascii="Times New Roman" w:hAnsi="Times New Roman"/>
          <w:sz w:val="24"/>
        </w:rPr>
      </w:pPr>
      <w:r>
        <w:rPr>
          <w:rStyle w:val="14"/>
          <w:rFonts w:ascii="Times New Roman" w:hAnsi="Times New Roman"/>
          <w:sz w:val="24"/>
        </w:rPr>
        <w:t>Oxidative stress is thought to be a major etiological component that becomes increasingly important in the development of glaucoma (</w:t>
      </w:r>
      <w:r>
        <w:rPr>
          <w:rFonts w:ascii="Times New Roman" w:hAnsi="Times New Roman" w:eastAsiaTheme="minorHAnsi"/>
          <w:color w:val="131413"/>
          <w:sz w:val="24"/>
          <w:szCs w:val="18"/>
          <w:lang w:eastAsia="en-US"/>
        </w:rPr>
        <w:t>Goyal et al., 2013)</w:t>
      </w:r>
      <w:r>
        <w:rPr>
          <w:rStyle w:val="14"/>
          <w:rFonts w:ascii="Times New Roman" w:hAnsi="Times New Roman"/>
          <w:sz w:val="24"/>
        </w:rPr>
        <w:t xml:space="preserve">. </w:t>
      </w:r>
      <w:commentRangeStart w:id="15"/>
      <w:r>
        <w:rPr>
          <w:rFonts w:ascii="Times New Roman" w:hAnsi="Times New Roman"/>
          <w:sz w:val="24"/>
          <w:szCs w:val="24"/>
        </w:rPr>
        <w:t>According to data</w:t>
      </w:r>
      <w:commentRangeEnd w:id="15"/>
      <w:r>
        <w:commentReference w:id="15"/>
      </w:r>
      <w:r>
        <w:rPr>
          <w:rFonts w:ascii="Times New Roman" w:hAnsi="Times New Roman"/>
          <w:sz w:val="24"/>
          <w:szCs w:val="24"/>
        </w:rPr>
        <w:t>, an imbalance between oxidative stress and antioxidant defense activity contributes to the development of glaucoma and other ocular diseases (</w:t>
      </w:r>
      <w:commentRangeStart w:id="16"/>
      <w:r>
        <w:rPr>
          <w:rFonts w:ascii="Times New Roman" w:hAnsi="Times New Roman" w:eastAsia="Times New Roman"/>
          <w:bCs/>
          <w:kern w:val="36"/>
          <w:sz w:val="24"/>
          <w:szCs w:val="24"/>
          <w:lang w:eastAsia="en-US"/>
        </w:rPr>
        <w:t>Yi-Jen Hsueh</w:t>
      </w:r>
      <w:commentRangeEnd w:id="16"/>
      <w:r>
        <w:commentReference w:id="16"/>
      </w:r>
      <w:r>
        <w:rPr>
          <w:rFonts w:ascii="Times New Roman" w:hAnsi="Times New Roman" w:eastAsia="Times New Roman"/>
          <w:bCs/>
          <w:kern w:val="36"/>
          <w:sz w:val="24"/>
          <w:szCs w:val="24"/>
          <w:lang w:eastAsia="en-US"/>
        </w:rPr>
        <w:t xml:space="preserve"> et al., 2022; Kimura et al. 2017).</w:t>
      </w:r>
      <w:r>
        <w:rPr>
          <w:rFonts w:ascii="Times New Roman" w:hAnsi="Times New Roman"/>
          <w:sz w:val="24"/>
          <w:szCs w:val="24"/>
        </w:rPr>
        <w:t xml:space="preserve"> </w:t>
      </w:r>
      <w:r>
        <w:rPr>
          <w:rStyle w:val="14"/>
          <w:rFonts w:ascii="Times New Roman" w:hAnsi="Times New Roman"/>
          <w:sz w:val="24"/>
        </w:rPr>
        <w:t xml:space="preserve">According to Sacca et al. (2020), oxidative stress may have an impact on the retinal ganglion cells and other retinal cells in the posterior part of the eye. It may also cause degeneration of the human trabecular meshwork in the anterior part of the eye, which raises intraocular pressure and sets off the glaucoma pathogenetic cascade (Zhao et al., 2017).  </w:t>
      </w:r>
    </w:p>
    <w:p w14:paraId="53FFD943">
      <w:pPr>
        <w:spacing w:before="240" w:line="240" w:lineRule="auto"/>
        <w:jc w:val="both"/>
        <w:rPr>
          <w:rFonts w:ascii="Times New Roman" w:hAnsi="Times New Roman"/>
          <w:sz w:val="24"/>
          <w:szCs w:val="24"/>
        </w:rPr>
      </w:pPr>
      <w:r>
        <w:rPr>
          <w:rFonts w:ascii="Times New Roman" w:hAnsi="Times New Roman"/>
          <w:sz w:val="24"/>
        </w:rPr>
        <w:t xml:space="preserve">Antioxidants, </w:t>
      </w:r>
      <w:commentRangeStart w:id="17"/>
      <w:r>
        <w:rPr>
          <w:rFonts w:ascii="Times New Roman" w:hAnsi="Times New Roman"/>
          <w:sz w:val="24"/>
        </w:rPr>
        <w:t xml:space="preserve">both </w:t>
      </w:r>
      <w:commentRangeEnd w:id="17"/>
      <w:r>
        <w:commentReference w:id="17"/>
      </w:r>
      <w:r>
        <w:rPr>
          <w:rFonts w:ascii="Times New Roman" w:hAnsi="Times New Roman"/>
          <w:sz w:val="24"/>
        </w:rPr>
        <w:t>enzymatic and non-enzymatic, function as defense mechanisms for ocular tissues against oxidative stress (</w:t>
      </w:r>
      <w:r>
        <w:rPr>
          <w:rFonts w:ascii="Times New Roman" w:hAnsi="Times New Roman"/>
          <w:sz w:val="24"/>
          <w:szCs w:val="24"/>
        </w:rPr>
        <w:t>(</w:t>
      </w:r>
      <w:r>
        <w:rPr>
          <w:rFonts w:ascii="Times New Roman" w:hAnsi="Times New Roman" w:eastAsia="Times New Roman"/>
          <w:bCs/>
          <w:kern w:val="36"/>
          <w:sz w:val="24"/>
          <w:szCs w:val="24"/>
          <w:lang w:eastAsia="en-US"/>
        </w:rPr>
        <w:t>Yi-Jen Hsueh et al., 2022)</w:t>
      </w:r>
      <w:r>
        <w:rPr>
          <w:rFonts w:ascii="Times New Roman" w:hAnsi="Times New Roman"/>
          <w:sz w:val="24"/>
          <w:szCs w:val="24"/>
        </w:rPr>
        <w:t>. They may help protect against glaucoma through various mechanisms, including lowering intraocular pressure, supporting vascular health, and preventing the loss of retinal ganglion cells (</w:t>
      </w:r>
      <w:r>
        <w:rPr>
          <w:rStyle w:val="26"/>
          <w:rFonts w:ascii="Times New Roman" w:hAnsi="Times New Roman"/>
          <w:sz w:val="24"/>
          <w:szCs w:val="24"/>
        </w:rPr>
        <w:t>Jabbehdari et al., 2021)</w:t>
      </w:r>
      <w:r>
        <w:rPr>
          <w:rFonts w:ascii="Times New Roman" w:hAnsi="Times New Roman"/>
          <w:sz w:val="24"/>
          <w:szCs w:val="24"/>
        </w:rPr>
        <w:t>. Key enzymatic antioxidants include superoxide dismutase (SOD), catalase (CAT), glutathione peroxidase (GPx), and glutathione reductase, while non-enzymatic antioxidants such as uric acid, albumin, vitamin C, and vitamin E play a crucial role as major ocular antioxidants (</w:t>
      </w:r>
      <w:r>
        <w:rPr>
          <w:rFonts w:ascii="Times New Roman" w:hAnsi="Times New Roman"/>
          <w:sz w:val="24"/>
        </w:rPr>
        <w:t>Wojcik et al., 2013).</w:t>
      </w:r>
      <w:r>
        <w:t xml:space="preserve"> </w:t>
      </w:r>
      <w:r>
        <w:rPr>
          <w:rFonts w:ascii="Times New Roman" w:hAnsi="Times New Roman"/>
          <w:sz w:val="24"/>
        </w:rPr>
        <w:t xml:space="preserve">According to Das et al. (2017), bilirubin and albumin have antioxidant properties and may be </w:t>
      </w:r>
      <w:commentRangeStart w:id="18"/>
      <w:r>
        <w:rPr>
          <w:rFonts w:ascii="Times New Roman" w:hAnsi="Times New Roman"/>
          <w:sz w:val="24"/>
        </w:rPr>
        <w:t>utilized as blood biomarkers for disorders linked to oxidative stress.</w:t>
      </w:r>
      <w:commentRangeEnd w:id="18"/>
      <w:r>
        <w:commentReference w:id="18"/>
      </w:r>
      <w:r>
        <w:rPr>
          <w:rFonts w:ascii="Times New Roman" w:hAnsi="Times New Roman"/>
          <w:sz w:val="24"/>
        </w:rPr>
        <w:t xml:space="preserve"> An imbalance between oxidative stress and the body's antioxidant defenses plays a role in the development of various eye diseases. As a result, antioxidants may serve as biomarkers for prognosis and as potential therapeutic targets for managing conditions linked to oxidative stress (Umapathy et al., 2013).</w:t>
      </w:r>
      <w:r>
        <w:rPr>
          <w:rFonts w:ascii="Times New Roman" w:hAnsi="Times New Roman"/>
          <w:sz w:val="28"/>
          <w:szCs w:val="24"/>
        </w:rPr>
        <w:t xml:space="preserve"> </w:t>
      </w:r>
      <w:r>
        <w:rPr>
          <w:rStyle w:val="14"/>
          <w:rFonts w:ascii="Times New Roman" w:hAnsi="Times New Roman"/>
          <w:sz w:val="24"/>
          <w:szCs w:val="24"/>
        </w:rPr>
        <w:t>Abu-Amero and colleagues, (2013) and Abu-Amero and colleagues, (2014) have shown a decrease in</w:t>
      </w:r>
      <w:r>
        <w:rPr>
          <w:rFonts w:ascii="Times New Roman" w:hAnsi="Times New Roman"/>
          <w:sz w:val="24"/>
          <w:szCs w:val="24"/>
        </w:rPr>
        <w:t xml:space="preserve"> total antioxidant status (TAS) among glaucoma patients.</w:t>
      </w:r>
    </w:p>
    <w:p w14:paraId="193ED0EF">
      <w:pPr>
        <w:autoSpaceDE w:val="0"/>
        <w:autoSpaceDN w:val="0"/>
        <w:adjustRightInd w:val="0"/>
        <w:spacing w:after="0" w:line="240" w:lineRule="auto"/>
        <w:jc w:val="both"/>
        <w:rPr>
          <w:rFonts w:ascii="Times New Roman" w:hAnsi="Times New Roman" w:eastAsiaTheme="minorHAnsi"/>
          <w:sz w:val="24"/>
          <w:szCs w:val="18"/>
          <w:lang w:eastAsia="en-US"/>
        </w:rPr>
      </w:pPr>
      <w:r>
        <w:rPr>
          <w:rFonts w:ascii="Times New Roman" w:hAnsi="Times New Roman"/>
          <w:sz w:val="24"/>
        </w:rPr>
        <w:t xml:space="preserve">It has been reported that antioxidants like albumin, bilirubin, and uric acid have demonstrated a significant reduction in neurodegenerative diseases, but the nexus between serum uric acid, or albumin or bilirubin and glaucoma is unclear (Qin et al., 2015). Several authors have evaluated the role of antioxidants in glaucoma taking into consideration </w:t>
      </w:r>
      <w:commentRangeStart w:id="19"/>
      <w:r>
        <w:rPr>
          <w:rFonts w:ascii="Times New Roman" w:hAnsi="Times New Roman"/>
          <w:sz w:val="24"/>
        </w:rPr>
        <w:t>that there is</w:t>
      </w:r>
      <w:commentRangeEnd w:id="19"/>
      <w:r>
        <w:commentReference w:id="19"/>
      </w:r>
      <w:r>
        <w:rPr>
          <w:rFonts w:ascii="Times New Roman" w:hAnsi="Times New Roman"/>
          <w:sz w:val="24"/>
        </w:rPr>
        <w:t xml:space="preserve"> a strong link between oxidative stress and the development of glaucoma. However, the results obtained by different authors </w:t>
      </w:r>
      <w:commentRangeStart w:id="20"/>
      <w:r>
        <w:rPr>
          <w:rFonts w:ascii="Times New Roman" w:hAnsi="Times New Roman"/>
          <w:sz w:val="24"/>
        </w:rPr>
        <w:t>has</w:t>
      </w:r>
      <w:commentRangeEnd w:id="20"/>
      <w:r>
        <w:commentReference w:id="20"/>
      </w:r>
      <w:r>
        <w:rPr>
          <w:rFonts w:ascii="Times New Roman" w:hAnsi="Times New Roman"/>
          <w:sz w:val="24"/>
        </w:rPr>
        <w:t xml:space="preserve"> been </w:t>
      </w:r>
      <w:commentRangeStart w:id="21"/>
      <w:r>
        <w:rPr>
          <w:rFonts w:ascii="Times New Roman" w:hAnsi="Times New Roman"/>
          <w:sz w:val="24"/>
        </w:rPr>
        <w:t>conflicting</w:t>
      </w:r>
      <w:commentRangeEnd w:id="21"/>
      <w:r>
        <w:commentReference w:id="21"/>
      </w:r>
      <w:r>
        <w:rPr>
          <w:rFonts w:ascii="Times New Roman" w:hAnsi="Times New Roman"/>
          <w:sz w:val="24"/>
        </w:rPr>
        <w:t xml:space="preserve">. Also, there are only few studies carried out on the assessment </w:t>
      </w:r>
      <w:r>
        <w:rPr>
          <w:rFonts w:ascii="Times New Roman" w:hAnsi="Times New Roman"/>
          <w:sz w:val="24"/>
          <w:szCs w:val="24"/>
        </w:rPr>
        <w:t xml:space="preserve">of haematological indices in glaucoma with conflicting results. </w:t>
      </w:r>
      <w:commentRangeStart w:id="22"/>
      <w:r>
        <w:rPr>
          <w:rFonts w:ascii="Times New Roman" w:hAnsi="Times New Roman"/>
          <w:sz w:val="24"/>
        </w:rPr>
        <w:t>As a result, this study aimed to evaluate some haematological parameters and some plasma enzymatic and nonenzymatic antioxidants levels in glaucoma patients</w:t>
      </w:r>
      <w:r>
        <w:rPr>
          <w:rFonts w:ascii="Times New Roman" w:hAnsi="Times New Roman" w:eastAsiaTheme="minorHAnsi"/>
          <w:sz w:val="24"/>
          <w:szCs w:val="18"/>
          <w:lang w:eastAsia="en-US"/>
        </w:rPr>
        <w:t>.</w:t>
      </w:r>
      <w:commentRangeEnd w:id="22"/>
      <w:r>
        <w:commentReference w:id="22"/>
      </w:r>
    </w:p>
    <w:p w14:paraId="19E22264">
      <w:pPr>
        <w:autoSpaceDE w:val="0"/>
        <w:autoSpaceDN w:val="0"/>
        <w:adjustRightInd w:val="0"/>
        <w:spacing w:after="0" w:line="240" w:lineRule="auto"/>
        <w:jc w:val="both"/>
        <w:rPr>
          <w:rFonts w:ascii="Times New Roman" w:hAnsi="Times New Roman"/>
          <w:sz w:val="14"/>
          <w:szCs w:val="8"/>
        </w:rPr>
      </w:pPr>
    </w:p>
    <w:p w14:paraId="134E0756">
      <w:pPr>
        <w:spacing w:after="0" w:line="240" w:lineRule="auto"/>
        <w:jc w:val="both"/>
        <w:rPr>
          <w:rFonts w:ascii="Times New Roman" w:hAnsi="Times New Roman"/>
          <w:b/>
          <w:sz w:val="24"/>
          <w:szCs w:val="24"/>
        </w:rPr>
      </w:pPr>
      <w:r>
        <w:rPr>
          <w:rFonts w:ascii="Times New Roman" w:hAnsi="Times New Roman"/>
          <w:b/>
          <w:sz w:val="24"/>
          <w:szCs w:val="24"/>
        </w:rPr>
        <w:t>2.0 MATERIALS AND METHODS</w:t>
      </w:r>
    </w:p>
    <w:p w14:paraId="614B7999">
      <w:pPr>
        <w:pStyle w:val="3"/>
        <w:shd w:val="clear" w:color="auto" w:fill="FFFFFF"/>
        <w:spacing w:before="0" w:line="240" w:lineRule="auto"/>
        <w:jc w:val="both"/>
        <w:rPr>
          <w:rFonts w:ascii="Times New Roman" w:hAnsi="Times New Roman" w:cs="Times New Roman"/>
          <w:b/>
          <w:bCs/>
          <w:color w:val="auto"/>
          <w:spacing w:val="-2"/>
        </w:rPr>
      </w:pPr>
      <w:bookmarkStart w:id="1" w:name="_Hlk139050241"/>
    </w:p>
    <w:p w14:paraId="337C19C7">
      <w:pPr>
        <w:pStyle w:val="3"/>
        <w:shd w:val="clear" w:color="auto" w:fill="FFFFFF"/>
        <w:spacing w:before="0" w:line="240" w:lineRule="auto"/>
        <w:jc w:val="both"/>
        <w:rPr>
          <w:rFonts w:ascii="Times New Roman" w:hAnsi="Times New Roman" w:eastAsia="Times New Roman" w:cs="Times New Roman"/>
          <w:color w:val="auto"/>
          <w:spacing w:val="-2"/>
          <w:lang w:eastAsia="en-US"/>
        </w:rPr>
      </w:pPr>
      <w:r>
        <w:rPr>
          <w:rFonts w:ascii="Times New Roman" w:hAnsi="Times New Roman" w:cs="Times New Roman"/>
          <w:b/>
          <w:bCs/>
          <w:color w:val="auto"/>
          <w:spacing w:val="-2"/>
        </w:rPr>
        <w:t>2.1 Study Design and Subjects</w:t>
      </w:r>
    </w:p>
    <w:p w14:paraId="3AF5AF3A">
      <w:pPr>
        <w:spacing w:after="0" w:line="240" w:lineRule="auto"/>
        <w:jc w:val="both"/>
        <w:rPr>
          <w:rFonts w:ascii="Times New Roman" w:hAnsi="Times New Roman"/>
          <w:sz w:val="24"/>
          <w:szCs w:val="24"/>
        </w:rPr>
      </w:pPr>
      <w:r>
        <w:rPr>
          <w:rFonts w:ascii="Times New Roman" w:hAnsi="Times New Roman"/>
          <w:color w:val="212121"/>
          <w:sz w:val="24"/>
          <w:szCs w:val="24"/>
        </w:rPr>
        <w:t>The study utilized a cross-sectional study design, which was carried</w:t>
      </w:r>
      <w:r>
        <w:commentReference w:id="23"/>
      </w:r>
      <w:r>
        <w:rPr>
          <w:rFonts w:ascii="Times New Roman" w:hAnsi="Times New Roman"/>
          <w:color w:val="212121"/>
          <w:sz w:val="24"/>
          <w:szCs w:val="24"/>
        </w:rPr>
        <w:t xml:space="preserve"> between July</w:t>
      </w:r>
      <w:r>
        <w:rPr>
          <w:rFonts w:ascii="Times New Roman" w:hAnsi="Times New Roman"/>
          <w:sz w:val="24"/>
          <w:szCs w:val="24"/>
        </w:rPr>
        <w:t xml:space="preserve">, 2022 and May, 2023. </w:t>
      </w:r>
      <w:r>
        <w:rPr>
          <w:rFonts w:ascii="Times New Roman" w:hAnsi="Times New Roman"/>
          <w:color w:val="212121"/>
          <w:sz w:val="24"/>
          <w:szCs w:val="24"/>
        </w:rPr>
        <w:t xml:space="preserve">The study comprises </w:t>
      </w:r>
      <w:commentRangeStart w:id="24"/>
      <w:r>
        <w:rPr>
          <w:rFonts w:ascii="Times New Roman" w:hAnsi="Times New Roman"/>
          <w:color w:val="212121"/>
          <w:sz w:val="24"/>
          <w:szCs w:val="24"/>
        </w:rPr>
        <w:t xml:space="preserve">of </w:t>
      </w:r>
      <w:commentRangeEnd w:id="24"/>
      <w:r>
        <w:commentReference w:id="24"/>
      </w:r>
      <w:r>
        <w:rPr>
          <w:rFonts w:ascii="Times New Roman" w:hAnsi="Times New Roman"/>
          <w:color w:val="212121"/>
          <w:sz w:val="24"/>
          <w:szCs w:val="24"/>
        </w:rPr>
        <w:t xml:space="preserve">fifty (50) male and female subjects diagnosed with glaucoma, who visited the Ophthalmology Department, </w:t>
      </w:r>
      <w:r>
        <w:rPr>
          <w:rFonts w:ascii="Times New Roman" w:hAnsi="Times New Roman"/>
          <w:sz w:val="24"/>
          <w:szCs w:val="24"/>
        </w:rPr>
        <w:t xml:space="preserve">Niger Delta University Teaching Hospital (NDUTH) Okolobiri, Bayelsa State, between July, 2022 and May, 2023. Inclusion criteria of this study include; subjects diagnosed with any type of glaucoma, glaucoma patients without a known metabolic disorder, male and female subjects who consented to the study and are within the age of </w:t>
      </w:r>
      <w:commentRangeStart w:id="25"/>
      <w:r>
        <w:rPr>
          <w:rFonts w:ascii="Times New Roman" w:hAnsi="Times New Roman"/>
          <w:sz w:val="24"/>
          <w:szCs w:val="24"/>
        </w:rPr>
        <w:t xml:space="preserve">18 – 65 </w:t>
      </w:r>
      <w:commentRangeEnd w:id="25"/>
      <w:r>
        <w:commentReference w:id="25"/>
      </w:r>
      <w:r>
        <w:rPr>
          <w:rFonts w:ascii="Times New Roman" w:hAnsi="Times New Roman"/>
          <w:sz w:val="24"/>
          <w:szCs w:val="24"/>
        </w:rPr>
        <w:t xml:space="preserve">years. Exclusion criteria include; glaucoma patients with a known chronic metabolic, haematological and immunological disorder like diabetes, hypertension, coagulopathy, anemia, liver and renal diseases were excluded. Chronic smokers and alcoholics, and subjects who do not consent to the study were also excluded. The study also included a control group of </w:t>
      </w:r>
      <w:commentRangeStart w:id="26"/>
      <w:r>
        <w:rPr>
          <w:rFonts w:ascii="Times New Roman" w:hAnsi="Times New Roman"/>
          <w:sz w:val="24"/>
          <w:szCs w:val="24"/>
        </w:rPr>
        <w:t xml:space="preserve">thirty (30) </w:t>
      </w:r>
      <w:commentRangeEnd w:id="26"/>
      <w:r>
        <w:commentReference w:id="26"/>
      </w:r>
      <w:r>
        <w:rPr>
          <w:rFonts w:ascii="Times New Roman" w:hAnsi="Times New Roman"/>
          <w:sz w:val="24"/>
          <w:szCs w:val="24"/>
        </w:rPr>
        <w:t>age-matched subjects who were apparently healthy.</w:t>
      </w:r>
      <w:r>
        <w:rPr>
          <w:rFonts w:ascii="Times New Roman" w:hAnsi="Times New Roman"/>
          <w:color w:val="212121"/>
          <w:sz w:val="24"/>
          <w:szCs w:val="24"/>
        </w:rPr>
        <w:t xml:space="preserve"> </w:t>
      </w:r>
      <w:r>
        <w:rPr>
          <w:rFonts w:ascii="Times New Roman" w:hAnsi="Times New Roman"/>
          <w:sz w:val="24"/>
          <w:szCs w:val="24"/>
        </w:rPr>
        <w:t>The control subjects selected for this study had no history of ocular diseases and underwent the same examinations as the patients. They were also not on any medication and were non-smokers. Prior to the study, ethical approval was obtained from the Research and Ethical Committee of Niger Delta University Teaching Hospital, Okolobiri, Yenagoa, Bayelsa State. Additionally, informed consent was obtained from all participants before their enrollment.</w:t>
      </w:r>
    </w:p>
    <w:p w14:paraId="7E5005EE">
      <w:pPr>
        <w:spacing w:after="0" w:line="240" w:lineRule="auto"/>
        <w:jc w:val="both"/>
        <w:rPr>
          <w:rFonts w:ascii="Times New Roman" w:hAnsi="Times New Roman"/>
          <w:b/>
          <w:bCs/>
          <w:sz w:val="12"/>
          <w:szCs w:val="14"/>
        </w:rPr>
      </w:pPr>
    </w:p>
    <w:p w14:paraId="5F006EB3">
      <w:pPr>
        <w:spacing w:after="0" w:line="240" w:lineRule="auto"/>
        <w:jc w:val="both"/>
        <w:rPr>
          <w:rFonts w:ascii="Times New Roman" w:hAnsi="Times New Roman"/>
          <w:b/>
          <w:bCs/>
          <w:sz w:val="24"/>
          <w:szCs w:val="24"/>
        </w:rPr>
      </w:pPr>
      <w:r>
        <w:rPr>
          <w:rFonts w:ascii="Times New Roman" w:hAnsi="Times New Roman"/>
          <w:b/>
          <w:bCs/>
          <w:sz w:val="24"/>
          <w:szCs w:val="24"/>
        </w:rPr>
        <w:t xml:space="preserve">2.2 Collection of Blood Samples </w:t>
      </w:r>
    </w:p>
    <w:p w14:paraId="2EA3B0F4">
      <w:pPr>
        <w:spacing w:after="0" w:line="240" w:lineRule="auto"/>
        <w:jc w:val="both"/>
        <w:rPr>
          <w:rFonts w:ascii="Times New Roman" w:hAnsi="Times New Roman"/>
          <w:sz w:val="24"/>
          <w:szCs w:val="24"/>
        </w:rPr>
      </w:pPr>
      <w:r>
        <w:rPr>
          <w:rFonts w:ascii="Times New Roman" w:hAnsi="Times New Roman"/>
          <w:sz w:val="24"/>
          <w:szCs w:val="24"/>
        </w:rPr>
        <w:t xml:space="preserve">Venous blood samples (5ml) were collected from all subjects using </w:t>
      </w:r>
      <w:commentRangeStart w:id="27"/>
      <w:r>
        <w:rPr>
          <w:rFonts w:ascii="Times New Roman" w:hAnsi="Times New Roman"/>
          <w:sz w:val="24"/>
          <w:szCs w:val="24"/>
        </w:rPr>
        <w:t>aseptic technique</w:t>
      </w:r>
      <w:commentRangeEnd w:id="27"/>
      <w:r>
        <w:commentReference w:id="27"/>
      </w:r>
      <w:r>
        <w:rPr>
          <w:rFonts w:ascii="Times New Roman" w:hAnsi="Times New Roman"/>
          <w:sz w:val="24"/>
          <w:szCs w:val="24"/>
        </w:rPr>
        <w:t xml:space="preserve">s via the cubital fossa region following standard operation procedures. The blood was drawn into </w:t>
      </w:r>
      <w:commentRangeStart w:id="28"/>
      <w:r>
        <w:rPr>
          <w:rFonts w:ascii="Times New Roman" w:hAnsi="Times New Roman"/>
          <w:sz w:val="24"/>
          <w:szCs w:val="24"/>
        </w:rPr>
        <w:t>plain sample containers</w:t>
      </w:r>
      <w:commentRangeEnd w:id="28"/>
      <w:r>
        <w:commentReference w:id="28"/>
      </w:r>
      <w:r>
        <w:rPr>
          <w:rFonts w:ascii="Times New Roman" w:hAnsi="Times New Roman"/>
          <w:sz w:val="24"/>
          <w:szCs w:val="24"/>
        </w:rPr>
        <w:t xml:space="preserve"> and ethylene diamine tetra-acetic acid (EDTA) container. The blood samples in the plain containers were allowed to stand to clot properly for 1 hour at room temperature. The clot was retracted and the blood was centrifuged at 5000 rpm for 15 minutes. The supernatant (serum) obtained was aspirated into a separate labeled plain sample container. The samples were assayed within 1 hour for the biochemical parameters; Uric acid, albumin, bilirubin, Superoxide dismutase, Catalase (CAT), and Lipid peroxidation product malondialdehyde using spectrophotometric techniques. The blood samples in the EDTA container were analyzed within 1 hours for haematological indices using automated haematology analyzer (Mindray Auto Haematology Analyzer, HM-500X, 2016, Germany)  </w:t>
      </w:r>
    </w:p>
    <w:p w14:paraId="58C85801">
      <w:pPr>
        <w:spacing w:after="0" w:line="240" w:lineRule="auto"/>
        <w:jc w:val="both"/>
        <w:rPr>
          <w:rFonts w:ascii="Times New Roman" w:hAnsi="Times New Roman"/>
          <w:sz w:val="10"/>
          <w:szCs w:val="10"/>
        </w:rPr>
      </w:pPr>
    </w:p>
    <w:bookmarkEnd w:id="1"/>
    <w:p w14:paraId="5EC7D119">
      <w:pPr>
        <w:spacing w:line="240" w:lineRule="auto"/>
        <w:contextualSpacing/>
        <w:jc w:val="both"/>
        <w:rPr>
          <w:rFonts w:ascii="Times New Roman" w:hAnsi="Times New Roman"/>
          <w:b/>
          <w:sz w:val="24"/>
          <w:szCs w:val="24"/>
        </w:rPr>
      </w:pPr>
    </w:p>
    <w:p w14:paraId="18E516A0">
      <w:pPr>
        <w:spacing w:line="240" w:lineRule="auto"/>
        <w:contextualSpacing/>
        <w:jc w:val="both"/>
        <w:rPr>
          <w:rFonts w:ascii="Times New Roman" w:hAnsi="Times New Roman"/>
          <w:b/>
          <w:sz w:val="24"/>
          <w:szCs w:val="24"/>
        </w:rPr>
      </w:pPr>
      <w:r>
        <w:rPr>
          <w:rFonts w:ascii="Times New Roman" w:hAnsi="Times New Roman"/>
          <w:b/>
          <w:sz w:val="24"/>
          <w:szCs w:val="24"/>
        </w:rPr>
        <w:t>2.3 Determination of Haematological Indices</w:t>
      </w:r>
    </w:p>
    <w:p w14:paraId="27A1C00F">
      <w:pPr>
        <w:autoSpaceDE w:val="0"/>
        <w:autoSpaceDN w:val="0"/>
        <w:adjustRightInd w:val="0"/>
        <w:spacing w:after="0" w:line="240" w:lineRule="auto"/>
        <w:jc w:val="both"/>
        <w:rPr>
          <w:rFonts w:ascii="Times New Roman" w:hAnsi="Times New Roman"/>
          <w:sz w:val="24"/>
          <w:szCs w:val="24"/>
          <w:lang w:val="zh-CN"/>
        </w:rPr>
      </w:pPr>
      <w:r>
        <w:rPr>
          <w:rFonts w:ascii="Times New Roman" w:hAnsi="Times New Roman"/>
          <w:sz w:val="24"/>
          <w:szCs w:val="24"/>
          <w:lang w:val="zh-CN"/>
        </w:rPr>
        <w:t>Hematological indices were analyzed using an automated hematology analyzer (Mindray Auto Hematology Analyzer, HM-500X, 2016, Germany).</w:t>
      </w:r>
    </w:p>
    <w:p w14:paraId="0351C151">
      <w:pPr>
        <w:autoSpaceDE w:val="0"/>
        <w:autoSpaceDN w:val="0"/>
        <w:adjustRightInd w:val="0"/>
        <w:spacing w:after="0" w:line="240" w:lineRule="auto"/>
        <w:jc w:val="both"/>
        <w:rPr>
          <w:rFonts w:ascii="Times New Roman" w:hAnsi="Times New Roman"/>
          <w:sz w:val="24"/>
          <w:szCs w:val="24"/>
          <w:lang w:val="zh-CN"/>
        </w:rPr>
      </w:pPr>
      <w:r>
        <w:rPr>
          <w:rFonts w:ascii="Times New Roman" w:hAnsi="Times New Roman"/>
          <w:sz w:val="24"/>
          <w:szCs w:val="24"/>
          <w:lang w:val="zh-CN"/>
        </w:rPr>
        <w:t>Principle: The Beckman Coulter method, which is used for particle sizing and counting, relies on detecting changes in electrical resistance caused by non-conductive particles suspended in an electrolyte solution. As a suspension of blood cells passes through a narrow orifice alongside an electric current, each cell creates an impedance change proportional to its size. The system then counts individual cells and generates a size distribution profile. To enhance accuracy, the number of cells counted per sample is approximately 100 times greater than a conventional microscopic count, reducing statistical error by nearly tenfold.</w:t>
      </w:r>
    </w:p>
    <w:p w14:paraId="7271E6F0">
      <w:pPr>
        <w:autoSpaceDE w:val="0"/>
        <w:autoSpaceDN w:val="0"/>
        <w:adjustRightInd w:val="0"/>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Procedure: The hematology analyzer was powered on, and the sample ID was entered and verified on the touchscreen display. The blood sample was gently mixed by inverting the tube at least three times. The sample tube was then positioned for aspiration by the analyzer’s probe. Once aspirated, the machine processed the sample, displayed the results on the screen, and printed them out for further analysis </w:t>
      </w:r>
      <w:r>
        <w:rPr>
          <w:rFonts w:ascii="Times New Roman" w:hAnsi="Times New Roman"/>
          <w:sz w:val="24"/>
          <w:szCs w:val="24"/>
          <w:vertAlign w:val="superscript"/>
        </w:rPr>
        <w:t>[10]</w:t>
      </w:r>
      <w:r>
        <w:rPr>
          <w:rFonts w:ascii="Times New Roman" w:hAnsi="Times New Roman"/>
          <w:sz w:val="24"/>
          <w:szCs w:val="24"/>
          <w:vertAlign w:val="superscript"/>
          <w:lang w:val="zh-CN"/>
        </w:rPr>
        <w:t>.</w:t>
      </w:r>
    </w:p>
    <w:p w14:paraId="16B56CF8">
      <w:pPr>
        <w:autoSpaceDE w:val="0"/>
        <w:autoSpaceDN w:val="0"/>
        <w:adjustRightInd w:val="0"/>
        <w:spacing w:after="0" w:line="240" w:lineRule="auto"/>
        <w:jc w:val="both"/>
        <w:rPr>
          <w:rFonts w:ascii="Times New Roman" w:hAnsi="Times New Roman"/>
          <w:b/>
          <w:sz w:val="6"/>
          <w:szCs w:val="6"/>
        </w:rPr>
      </w:pPr>
    </w:p>
    <w:p w14:paraId="6E694BF0">
      <w:pPr>
        <w:autoSpaceDE w:val="0"/>
        <w:autoSpaceDN w:val="0"/>
        <w:adjustRightInd w:val="0"/>
        <w:spacing w:after="0" w:line="240" w:lineRule="auto"/>
        <w:jc w:val="both"/>
        <w:rPr>
          <w:rFonts w:ascii="Times New Roman" w:hAnsi="Times New Roman"/>
          <w:b/>
          <w:sz w:val="24"/>
          <w:szCs w:val="16"/>
        </w:rPr>
      </w:pPr>
    </w:p>
    <w:p w14:paraId="4922202A">
      <w:pPr>
        <w:autoSpaceDE w:val="0"/>
        <w:autoSpaceDN w:val="0"/>
        <w:adjustRightInd w:val="0"/>
        <w:spacing w:after="0" w:line="240" w:lineRule="auto"/>
        <w:jc w:val="both"/>
        <w:rPr>
          <w:rFonts w:ascii="Times New Roman" w:hAnsi="Times New Roman"/>
          <w:b/>
          <w:sz w:val="24"/>
          <w:szCs w:val="16"/>
        </w:rPr>
      </w:pPr>
      <w:r>
        <w:rPr>
          <w:rFonts w:ascii="Times New Roman" w:hAnsi="Times New Roman"/>
          <w:b/>
          <w:sz w:val="24"/>
          <w:szCs w:val="16"/>
        </w:rPr>
        <w:t xml:space="preserve">2.4 Determination of Enzymatic and Non-enzymatic Antioxidants </w:t>
      </w:r>
    </w:p>
    <w:p w14:paraId="3D38BC55">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Serum superoxide dismutase (SOD) levels were assessed using the direct </w:t>
      </w:r>
      <w:commentRangeStart w:id="29"/>
      <w:r>
        <w:rPr>
          <w:rFonts w:ascii="Times New Roman" w:hAnsi="Times New Roman"/>
          <w:sz w:val="24"/>
          <w:szCs w:val="24"/>
          <w:lang w:val="zh-CN"/>
        </w:rPr>
        <w:t xml:space="preserve">colorimetric method </w:t>
      </w:r>
      <w:commentRangeEnd w:id="29"/>
      <w:r>
        <w:commentReference w:id="29"/>
      </w:r>
      <w:r>
        <w:rPr>
          <w:rFonts w:ascii="Times New Roman" w:hAnsi="Times New Roman"/>
          <w:sz w:val="24"/>
          <w:szCs w:val="24"/>
          <w:lang w:val="zh-CN"/>
        </w:rPr>
        <w:t>described by Okutu and Onitsha</w:t>
      </w:r>
      <w:r>
        <w:rPr>
          <w:rFonts w:ascii="Times New Roman" w:hAnsi="Times New Roman"/>
          <w:sz w:val="24"/>
          <w:szCs w:val="24"/>
        </w:rPr>
        <w:t>, (Okutu et al., 2022)</w:t>
      </w:r>
      <w:r>
        <w:rPr>
          <w:rFonts w:ascii="Times New Roman" w:hAnsi="Times New Roman"/>
          <w:sz w:val="24"/>
          <w:szCs w:val="24"/>
          <w:lang w:val="zh-CN"/>
        </w:rPr>
        <w:t xml:space="preserve">. Principle: This method is based on the generation of superoxide radicals from xanthine and xanthine oxidase, which interact with </w:t>
      </w:r>
      <w:commentRangeStart w:id="30"/>
      <w:r>
        <w:rPr>
          <w:rFonts w:ascii="Times New Roman" w:hAnsi="Times New Roman"/>
          <w:sz w:val="24"/>
          <w:szCs w:val="24"/>
          <w:lang w:val="zh-CN"/>
        </w:rPr>
        <w:t>2-(4-iodophenyl)-3-(4-nitrophenyl)-5-phenyltetrazolium chloride</w:t>
      </w:r>
      <w:commentRangeEnd w:id="30"/>
      <w:r>
        <w:commentReference w:id="30"/>
      </w:r>
      <w:r>
        <w:rPr>
          <w:rFonts w:ascii="Times New Roman" w:hAnsi="Times New Roman"/>
          <w:sz w:val="24"/>
          <w:szCs w:val="24"/>
          <w:lang w:val="zh-CN"/>
        </w:rPr>
        <w:t>, resulting in the formation of a red formazan dye.</w:t>
      </w:r>
    </w:p>
    <w:p w14:paraId="449DD0E3">
      <w:pPr>
        <w:spacing w:after="0" w:line="240" w:lineRule="auto"/>
        <w:jc w:val="both"/>
        <w:rPr>
          <w:rFonts w:ascii="Times New Roman" w:hAnsi="Times New Roman"/>
          <w:sz w:val="24"/>
          <w:szCs w:val="24"/>
          <w:lang w:val="zh-CN"/>
        </w:rPr>
      </w:pPr>
      <w:r>
        <w:rPr>
          <w:rFonts w:ascii="Times New Roman" w:hAnsi="Times New Roman"/>
          <w:sz w:val="24"/>
          <w:szCs w:val="24"/>
          <w:lang w:val="zh-CN"/>
        </w:rPr>
        <w:t>Serum catalase (CAT) activity was determined following the direct colorimetric method outlined by Okutu and Onitsha</w:t>
      </w:r>
      <w:r>
        <w:rPr>
          <w:rFonts w:ascii="Times New Roman" w:hAnsi="Times New Roman"/>
          <w:sz w:val="24"/>
          <w:szCs w:val="24"/>
        </w:rPr>
        <w:t xml:space="preserve"> (2022)</w:t>
      </w:r>
      <w:r>
        <w:rPr>
          <w:rFonts w:ascii="Times New Roman" w:hAnsi="Times New Roman"/>
          <w:sz w:val="24"/>
          <w:szCs w:val="24"/>
          <w:lang w:val="zh-CN"/>
        </w:rPr>
        <w:t>. Principle: This technique relies on the reduction of dichromate to chromic acetate in the presence of hydrogen peroxide (H₂O₂) when heated. The chromic acetate produced is then measured spectrophotometrically at 570 nm.</w:t>
      </w:r>
    </w:p>
    <w:p w14:paraId="75635D4B">
      <w:pPr>
        <w:spacing w:after="0" w:line="240" w:lineRule="auto"/>
        <w:jc w:val="both"/>
        <w:rPr>
          <w:rFonts w:ascii="Times New Roman" w:hAnsi="Times New Roman"/>
          <w:sz w:val="24"/>
          <w:szCs w:val="24"/>
          <w:lang w:val="zh-CN"/>
        </w:rPr>
      </w:pPr>
      <w:r>
        <w:rPr>
          <w:rFonts w:ascii="Times New Roman" w:hAnsi="Times New Roman"/>
          <w:sz w:val="24"/>
          <w:szCs w:val="24"/>
          <w:lang w:val="zh-CN"/>
        </w:rPr>
        <w:t>Serum malondialdehyde (MDA) concentration was estimated using a spectrophotometric method as described by Onitsha and Okutu</w:t>
      </w:r>
      <w:r>
        <w:rPr>
          <w:rFonts w:ascii="Times New Roman" w:hAnsi="Times New Roman"/>
          <w:sz w:val="24"/>
          <w:szCs w:val="24"/>
        </w:rPr>
        <w:t xml:space="preserve"> (2021)</w:t>
      </w:r>
      <w:r>
        <w:rPr>
          <w:rFonts w:ascii="Times New Roman" w:hAnsi="Times New Roman"/>
          <w:sz w:val="24"/>
          <w:szCs w:val="24"/>
          <w:lang w:val="zh-CN"/>
        </w:rPr>
        <w:t>. Principle</w:t>
      </w:r>
      <w:r>
        <w:rPr>
          <w:rFonts w:ascii="Times New Roman" w:hAnsi="Times New Roman"/>
          <w:b/>
          <w:bCs/>
          <w:sz w:val="24"/>
          <w:szCs w:val="24"/>
          <w:lang w:val="zh-CN"/>
        </w:rPr>
        <w:t>:</w:t>
      </w:r>
      <w:r>
        <w:rPr>
          <w:rFonts w:ascii="Times New Roman" w:hAnsi="Times New Roman"/>
          <w:sz w:val="24"/>
          <w:szCs w:val="24"/>
          <w:lang w:val="zh-CN"/>
        </w:rPr>
        <w:t xml:space="preserve"> MDA forms a conjugate with thiobarbituric acid (TBA), which is separated and measured. </w:t>
      </w:r>
      <w:commentRangeStart w:id="31"/>
      <w:r>
        <w:rPr>
          <w:rFonts w:ascii="Times New Roman" w:hAnsi="Times New Roman"/>
          <w:sz w:val="24"/>
          <w:szCs w:val="24"/>
          <w:lang w:val="zh-CN"/>
        </w:rPr>
        <w:t>Trichloroacetic acid (TCA)</w:t>
      </w:r>
      <w:commentRangeEnd w:id="31"/>
      <w:r>
        <w:commentReference w:id="31"/>
      </w:r>
      <w:r>
        <w:rPr>
          <w:rFonts w:ascii="Times New Roman" w:hAnsi="Times New Roman"/>
          <w:sz w:val="24"/>
          <w:szCs w:val="24"/>
          <w:lang w:val="zh-CN"/>
        </w:rPr>
        <w:t xml:space="preserve"> is used to precipitate serum proteins, which are then removed by centrifugation. The MDA-TBA complex, which appears pink, is measured at 534 nm.</w:t>
      </w:r>
    </w:p>
    <w:p w14:paraId="7FFEF55C">
      <w:pPr>
        <w:spacing w:after="0" w:line="240" w:lineRule="auto"/>
        <w:jc w:val="both"/>
        <w:rPr>
          <w:rFonts w:ascii="Times New Roman" w:hAnsi="Times New Roman"/>
          <w:sz w:val="24"/>
          <w:szCs w:val="24"/>
          <w:lang w:val="zh-CN"/>
        </w:rPr>
      </w:pPr>
      <w:r>
        <w:rPr>
          <w:rFonts w:ascii="Times New Roman" w:hAnsi="Times New Roman"/>
          <w:sz w:val="24"/>
          <w:szCs w:val="24"/>
          <w:lang w:val="zh-CN"/>
        </w:rPr>
        <w:t>Total bilirubin (TB) and conjugated bilirubin (CB) were determined using the Jendrassik and Groff method</w:t>
      </w:r>
      <w:r>
        <w:rPr>
          <w:rFonts w:ascii="Times New Roman" w:hAnsi="Times New Roman"/>
          <w:sz w:val="24"/>
          <w:szCs w:val="24"/>
        </w:rPr>
        <w:t xml:space="preserve"> (Jendrassik and Groff, 1938)</w:t>
      </w:r>
      <w:r>
        <w:rPr>
          <w:rFonts w:ascii="Times New Roman" w:hAnsi="Times New Roman"/>
          <w:sz w:val="24"/>
          <w:szCs w:val="24"/>
          <w:lang w:val="zh-CN"/>
        </w:rPr>
        <w:t>. Principle</w:t>
      </w:r>
      <w:r>
        <w:rPr>
          <w:rFonts w:ascii="Times New Roman" w:hAnsi="Times New Roman"/>
          <w:b/>
          <w:bCs/>
          <w:sz w:val="24"/>
          <w:szCs w:val="24"/>
          <w:lang w:val="zh-CN"/>
        </w:rPr>
        <w:t>:</w:t>
      </w:r>
      <w:r>
        <w:rPr>
          <w:rFonts w:ascii="Times New Roman" w:hAnsi="Times New Roman"/>
          <w:sz w:val="24"/>
          <w:szCs w:val="24"/>
          <w:lang w:val="zh-CN"/>
        </w:rPr>
        <w:t xml:space="preserve"> Sulfanilic acid is converted into a highly reactive </w:t>
      </w:r>
      <w:commentRangeStart w:id="32"/>
      <w:r>
        <w:rPr>
          <w:rFonts w:ascii="Times New Roman" w:hAnsi="Times New Roman"/>
          <w:sz w:val="24"/>
          <w:szCs w:val="24"/>
          <w:lang w:val="zh-CN"/>
        </w:rPr>
        <w:t>diazonium salt</w:t>
      </w:r>
      <w:commentRangeEnd w:id="32"/>
      <w:r>
        <w:commentReference w:id="32"/>
      </w:r>
      <w:r>
        <w:rPr>
          <w:rFonts w:ascii="Times New Roman" w:hAnsi="Times New Roman"/>
          <w:sz w:val="24"/>
          <w:szCs w:val="24"/>
          <w:lang w:val="zh-CN"/>
        </w:rPr>
        <w:t xml:space="preserve"> through its reaction with nitrous acid, which is generated from sodium nitrite and hydrochloric acid. Conjugated bilirubin (water-soluble bilirubin diglucuronide) reacts with diazotized sulfanilic acid to produce red azobilirubin. Upon adding alkaline tartrate reagent, the red azobilirubin is transformed into a blue azobilirubin with higher absorbance.</w:t>
      </w:r>
    </w:p>
    <w:p w14:paraId="7317D902">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Uric acid levels were determined using the Uricase-PAP enzymatic method </w:t>
      </w:r>
      <w:r>
        <w:rPr>
          <w:rFonts w:ascii="Times New Roman" w:hAnsi="Times New Roman"/>
          <w:sz w:val="24"/>
          <w:szCs w:val="24"/>
        </w:rPr>
        <w:t>(Gochman &amp; Schmitz , 1971)</w:t>
      </w:r>
      <w:r>
        <w:rPr>
          <w:rFonts w:ascii="Times New Roman" w:hAnsi="Times New Roman"/>
          <w:sz w:val="24"/>
          <w:szCs w:val="24"/>
          <w:lang w:val="zh-CN"/>
        </w:rPr>
        <w:t>. Principle: The enzyme uricase converts uric acid into allantoin and hydrogen peroxide. The hydrogen peroxide then reacts with a phenolic compound and 4-aminophenazone in the presence of peroxidase, forming a red quinoneimine dye complex. The intensity of this complex is directly proportional to the uric acid concentration in the sample.</w:t>
      </w:r>
    </w:p>
    <w:p w14:paraId="74ED150A">
      <w:pPr>
        <w:spacing w:after="0" w:line="240" w:lineRule="auto"/>
        <w:jc w:val="both"/>
        <w:rPr>
          <w:rFonts w:ascii="Times New Roman" w:hAnsi="Times New Roman"/>
          <w:sz w:val="24"/>
          <w:szCs w:val="24"/>
          <w:lang w:val="zh-CN"/>
        </w:rPr>
      </w:pPr>
      <w:r>
        <w:rPr>
          <w:rFonts w:ascii="Times New Roman" w:hAnsi="Times New Roman"/>
          <w:sz w:val="24"/>
          <w:szCs w:val="24"/>
          <w:lang w:val="zh-CN"/>
        </w:rPr>
        <w:t xml:space="preserve">Serum albumin levels were measured using the </w:t>
      </w:r>
      <w:commentRangeStart w:id="33"/>
      <w:r>
        <w:rPr>
          <w:rFonts w:ascii="Times New Roman" w:hAnsi="Times New Roman"/>
          <w:sz w:val="24"/>
          <w:szCs w:val="24"/>
          <w:lang w:val="zh-CN"/>
        </w:rPr>
        <w:t>bromocresol gree</w:t>
      </w:r>
      <w:commentRangeEnd w:id="33"/>
      <w:r>
        <w:commentReference w:id="33"/>
      </w:r>
      <w:r>
        <w:rPr>
          <w:rFonts w:ascii="Times New Roman" w:hAnsi="Times New Roman"/>
          <w:sz w:val="24"/>
          <w:szCs w:val="24"/>
          <w:lang w:val="zh-CN"/>
        </w:rPr>
        <w:t xml:space="preserve">n (BCG) method, as described by Laitinen and Kolthoff </w:t>
      </w:r>
      <w:r>
        <w:rPr>
          <w:rFonts w:ascii="Times New Roman" w:hAnsi="Times New Roman"/>
          <w:sz w:val="24"/>
          <w:szCs w:val="24"/>
        </w:rPr>
        <w:t>(1939)</w:t>
      </w:r>
      <w:r>
        <w:rPr>
          <w:rFonts w:ascii="Times New Roman" w:hAnsi="Times New Roman"/>
          <w:sz w:val="24"/>
          <w:szCs w:val="24"/>
          <w:lang w:val="zh-CN"/>
        </w:rPr>
        <w:t>. Principle</w:t>
      </w:r>
      <w:r>
        <w:rPr>
          <w:rFonts w:ascii="Times New Roman" w:hAnsi="Times New Roman"/>
          <w:b/>
          <w:bCs/>
          <w:sz w:val="24"/>
          <w:szCs w:val="24"/>
          <w:lang w:val="zh-CN"/>
        </w:rPr>
        <w:t>:</w:t>
      </w:r>
      <w:r>
        <w:rPr>
          <w:rFonts w:ascii="Times New Roman" w:hAnsi="Times New Roman"/>
          <w:sz w:val="24"/>
          <w:szCs w:val="24"/>
          <w:lang w:val="zh-CN"/>
        </w:rPr>
        <w:t xml:space="preserve"> Bromocresol green, a yellow pH indicator at 3.5–4.2, binds specifically to albumin, forming a blue-green complex. The absorbance of this complex is measured at 632 nm, with the intensity of the color being directly proportional to the albumin concentration in the sample.</w:t>
      </w:r>
    </w:p>
    <w:p w14:paraId="2169B9C9">
      <w:pPr>
        <w:spacing w:after="0" w:line="240" w:lineRule="auto"/>
        <w:jc w:val="both"/>
        <w:rPr>
          <w:rFonts w:ascii="Times New Roman" w:hAnsi="Times New Roman"/>
          <w:b/>
          <w:sz w:val="24"/>
          <w:szCs w:val="24"/>
        </w:rPr>
      </w:pPr>
    </w:p>
    <w:p w14:paraId="464D0F74">
      <w:pPr>
        <w:spacing w:after="0" w:line="240" w:lineRule="auto"/>
        <w:jc w:val="both"/>
        <w:rPr>
          <w:rFonts w:ascii="Times New Roman" w:hAnsi="Times New Roman"/>
          <w:sz w:val="24"/>
          <w:szCs w:val="24"/>
        </w:rPr>
      </w:pPr>
      <w:r>
        <w:rPr>
          <w:rFonts w:ascii="Times New Roman" w:hAnsi="Times New Roman"/>
          <w:b/>
          <w:sz w:val="24"/>
          <w:szCs w:val="24"/>
        </w:rPr>
        <w:t>2.5 Statistical Analysis</w:t>
      </w:r>
      <w:r>
        <w:rPr>
          <w:rFonts w:ascii="Times New Roman" w:hAnsi="Times New Roman"/>
          <w:sz w:val="24"/>
          <w:szCs w:val="24"/>
        </w:rPr>
        <w:t xml:space="preserve"> </w:t>
      </w:r>
    </w:p>
    <w:p w14:paraId="1556A17F">
      <w:pPr>
        <w:spacing w:after="0" w:line="240" w:lineRule="auto"/>
        <w:jc w:val="both"/>
        <w:rPr>
          <w:rFonts w:ascii="Times New Roman" w:hAnsi="Times New Roman"/>
          <w:sz w:val="24"/>
          <w:szCs w:val="24"/>
          <w:lang w:val="zh-CN"/>
        </w:rPr>
      </w:pPr>
      <w:r>
        <w:rPr>
          <w:rFonts w:ascii="Times New Roman" w:hAnsi="Times New Roman"/>
          <w:sz w:val="24"/>
          <w:szCs w:val="24"/>
          <w:lang w:val="zh-CN"/>
        </w:rPr>
        <w:t>The collected data were analyzed using the Statistical Package for Social Sciences (SPSS) version 23. Results were presented in tables for clarity. A Student's t-test was conducted to compare the mean values between the test and control groups. Additionally, descriptive statistics such as frequency, mean, standard deviation, and standard error were calculated, along with an unpaired t-test for each parameter. Statistical significance was set at P &lt; 0.05.</w:t>
      </w:r>
    </w:p>
    <w:p w14:paraId="4357C1D1">
      <w:pPr>
        <w:spacing w:after="0" w:line="240" w:lineRule="auto"/>
        <w:jc w:val="both"/>
        <w:rPr>
          <w:rFonts w:ascii="Times New Roman" w:hAnsi="Times New Roman"/>
          <w:sz w:val="24"/>
          <w:szCs w:val="24"/>
        </w:rPr>
      </w:pPr>
    </w:p>
    <w:p w14:paraId="377E3C23">
      <w:pPr>
        <w:spacing w:after="0" w:line="240" w:lineRule="auto"/>
        <w:jc w:val="both"/>
        <w:rPr>
          <w:rFonts w:ascii="Times New Roman" w:hAnsi="Times New Roman"/>
          <w:b/>
          <w:bCs/>
          <w:sz w:val="24"/>
          <w:szCs w:val="24"/>
          <w:lang w:val="zh-CN"/>
        </w:rPr>
      </w:pPr>
      <w:r>
        <w:rPr>
          <w:rFonts w:ascii="Times New Roman" w:hAnsi="Times New Roman"/>
          <w:b/>
          <w:bCs/>
          <w:sz w:val="24"/>
          <w:szCs w:val="24"/>
        </w:rPr>
        <w:t xml:space="preserve">3.0 </w:t>
      </w:r>
      <w:r>
        <w:rPr>
          <w:rFonts w:ascii="Times New Roman" w:hAnsi="Times New Roman"/>
          <w:b/>
          <w:bCs/>
          <w:sz w:val="24"/>
          <w:szCs w:val="24"/>
          <w:lang w:val="zh-CN"/>
        </w:rPr>
        <w:t>RESULTS</w:t>
      </w:r>
    </w:p>
    <w:p w14:paraId="00D5CAA2">
      <w:pPr>
        <w:spacing w:after="0" w:line="240" w:lineRule="auto"/>
        <w:jc w:val="both"/>
        <w:rPr>
          <w:rFonts w:ascii="Times New Roman" w:hAnsi="Times New Roman"/>
          <w:sz w:val="24"/>
          <w:szCs w:val="24"/>
          <w:lang w:val="zh-CN"/>
        </w:rPr>
      </w:pPr>
      <w:r>
        <w:rPr>
          <w:rFonts w:ascii="Times New Roman" w:hAnsi="Times New Roman"/>
          <w:sz w:val="24"/>
          <w:szCs w:val="24"/>
          <w:lang w:val="zh-CN"/>
        </w:rPr>
        <w:t>T</w:t>
      </w:r>
      <w:r>
        <w:commentReference w:id="34"/>
      </w:r>
      <w:r>
        <w:rPr>
          <w:rFonts w:ascii="Times New Roman" w:hAnsi="Times New Roman"/>
          <w:sz w:val="24"/>
          <w:szCs w:val="24"/>
          <w:lang w:val="zh-CN"/>
        </w:rPr>
        <w:t xml:space="preserve">able 1 illustrates that the average age of glaucoma patients was significantly higher (P &lt; 0.05) </w:t>
      </w:r>
      <w:commentRangeStart w:id="35"/>
      <w:r>
        <w:rPr>
          <w:rFonts w:ascii="Times New Roman" w:hAnsi="Times New Roman"/>
          <w:sz w:val="24"/>
          <w:szCs w:val="24"/>
          <w:lang w:val="zh-CN"/>
        </w:rPr>
        <w:t>than that of the control group. Biochemical analysis revealed a significant (P &lt; 0.05) decrease in serum levels of uric acid, total bilirubin, albumin, catalase, and superoxide dismutase in glaucoma patients compared to controls. Conversely, serum malondialdehyde levels were significantly elevated (P &lt; 0.05) in glaucoma patients. However, serum conjugated bilirubin levels showed no significant difference (P &gt; 0.05) between the two groups.</w:t>
      </w:r>
    </w:p>
    <w:p w14:paraId="24CB5A02">
      <w:pPr>
        <w:spacing w:after="0" w:line="240" w:lineRule="auto"/>
        <w:jc w:val="both"/>
        <w:rPr>
          <w:rFonts w:ascii="Times New Roman" w:hAnsi="Times New Roman"/>
          <w:sz w:val="24"/>
          <w:szCs w:val="24"/>
          <w:lang w:val="zh-CN"/>
        </w:rPr>
      </w:pPr>
      <w:r>
        <w:rPr>
          <w:rFonts w:ascii="Times New Roman" w:hAnsi="Times New Roman"/>
          <w:sz w:val="24"/>
          <w:szCs w:val="24"/>
          <w:lang w:val="zh-CN"/>
        </w:rPr>
        <w:t>As shown in Table 2, there was no statistically significant difference (P &gt; 0.05) in the mean values of hematological parameters, including packed cell volume (PCV), hemoglobin (Hb), total white blood cell (WBC) count, lymphocytes, neutrophils, monocytes, and platelets, between glaucoma patients and the control group. However, eosinophil levels were significantly lower (P &lt; 0.05) in glaucoma patients compared to controls.</w:t>
      </w:r>
    </w:p>
    <w:p w14:paraId="2848B833">
      <w:pPr>
        <w:spacing w:after="0" w:line="240" w:lineRule="auto"/>
        <w:jc w:val="both"/>
        <w:rPr>
          <w:rFonts w:ascii="Times New Roman" w:hAnsi="Times New Roman"/>
          <w:sz w:val="24"/>
          <w:szCs w:val="24"/>
          <w:lang w:val="zh-CN"/>
        </w:rPr>
      </w:pPr>
      <w:r>
        <w:rPr>
          <w:rFonts w:ascii="Times New Roman" w:hAnsi="Times New Roman"/>
          <w:sz w:val="24"/>
          <w:szCs w:val="24"/>
          <w:lang w:val="zh-CN"/>
        </w:rPr>
        <w:t>Table 3 further indicates that serum uric acid (U/A), total bilirubin (TB), and conjugated bilirubin (CB) levels were significantly higher (P &lt; 0.05) in male glaucoma patients compared to females. However, albumin (ALB), superoxide dismutase (SOD), and malondialdehyde (MDA) showed no significant difference (P &gt; 0.05) between male and female patients.</w:t>
      </w:r>
    </w:p>
    <w:p w14:paraId="08CF47B9">
      <w:pPr>
        <w:spacing w:after="0" w:line="240" w:lineRule="auto"/>
        <w:jc w:val="both"/>
        <w:rPr>
          <w:rFonts w:ascii="Times New Roman" w:hAnsi="Times New Roman"/>
          <w:sz w:val="24"/>
          <w:szCs w:val="24"/>
          <w:lang w:val="zh-CN"/>
        </w:rPr>
      </w:pPr>
      <w:r>
        <w:rPr>
          <w:rFonts w:ascii="Times New Roman" w:hAnsi="Times New Roman"/>
          <w:sz w:val="24"/>
          <w:szCs w:val="24"/>
          <w:lang w:val="zh-CN"/>
        </w:rPr>
        <w:t>Additionally, serum uric acid (U/A) and albumin (ALB) levels showed a slight but significant (P &lt; 0.05) increase with prolonged exposure to glaucoma. However, no correlation was found between the duration of glaucoma exposure and the hematological parameters analyzed in this study.</w:t>
      </w:r>
      <w:commentRangeEnd w:id="35"/>
      <w:r>
        <w:commentReference w:id="35"/>
      </w:r>
    </w:p>
    <w:p w14:paraId="2BAFF61E">
      <w:pPr>
        <w:spacing w:after="0" w:line="240" w:lineRule="auto"/>
        <w:jc w:val="both"/>
        <w:rPr>
          <w:rFonts w:ascii="Times New Roman" w:hAnsi="Times New Roman"/>
          <w:b/>
          <w:bCs/>
          <w:sz w:val="24"/>
          <w:szCs w:val="24"/>
        </w:rPr>
      </w:pPr>
    </w:p>
    <w:p w14:paraId="3821936B">
      <w:pPr>
        <w:spacing w:after="0" w:line="240" w:lineRule="auto"/>
        <w:jc w:val="both"/>
        <w:rPr>
          <w:rFonts w:ascii="Times New Roman" w:hAnsi="Times New Roman"/>
          <w:b/>
          <w:bCs/>
          <w:sz w:val="24"/>
          <w:szCs w:val="24"/>
        </w:rPr>
      </w:pPr>
    </w:p>
    <w:p w14:paraId="436C926A">
      <w:pPr>
        <w:spacing w:after="0" w:line="240" w:lineRule="auto"/>
        <w:jc w:val="both"/>
        <w:rPr>
          <w:rFonts w:ascii="Times New Roman" w:hAnsi="Times New Roman"/>
          <w:b/>
          <w:bCs/>
          <w:sz w:val="24"/>
          <w:szCs w:val="24"/>
        </w:rPr>
      </w:pPr>
    </w:p>
    <w:p w14:paraId="3D55E332">
      <w:pPr>
        <w:spacing w:after="0" w:line="240" w:lineRule="auto"/>
        <w:jc w:val="both"/>
        <w:rPr>
          <w:rFonts w:ascii="Times New Roman" w:hAnsi="Times New Roman"/>
          <w:b/>
          <w:bCs/>
          <w:sz w:val="24"/>
          <w:szCs w:val="24"/>
        </w:rPr>
      </w:pPr>
    </w:p>
    <w:p w14:paraId="6436AEA8">
      <w:pPr>
        <w:spacing w:after="0" w:line="240" w:lineRule="auto"/>
        <w:jc w:val="both"/>
        <w:rPr>
          <w:rFonts w:ascii="Times New Roman" w:hAnsi="Times New Roman"/>
          <w:b/>
          <w:bCs/>
          <w:sz w:val="24"/>
          <w:szCs w:val="24"/>
        </w:rPr>
      </w:pPr>
    </w:p>
    <w:p w14:paraId="7C4148F0">
      <w:pPr>
        <w:spacing w:after="0" w:line="240" w:lineRule="auto"/>
        <w:jc w:val="both"/>
        <w:rPr>
          <w:rFonts w:ascii="Times New Roman" w:hAnsi="Times New Roman"/>
          <w:b/>
          <w:bCs/>
          <w:sz w:val="24"/>
          <w:szCs w:val="24"/>
        </w:rPr>
      </w:pPr>
    </w:p>
    <w:p w14:paraId="3B2403A0">
      <w:pPr>
        <w:spacing w:after="0" w:line="240" w:lineRule="auto"/>
        <w:jc w:val="both"/>
        <w:rPr>
          <w:rFonts w:ascii="Times New Roman" w:hAnsi="Times New Roman"/>
          <w:b/>
          <w:bCs/>
          <w:sz w:val="24"/>
          <w:szCs w:val="24"/>
        </w:rPr>
      </w:pPr>
    </w:p>
    <w:p w14:paraId="12FF2F1B">
      <w:pPr>
        <w:spacing w:after="0" w:line="240" w:lineRule="auto"/>
        <w:jc w:val="both"/>
        <w:rPr>
          <w:rFonts w:ascii="Times New Roman" w:hAnsi="Times New Roman"/>
          <w:b/>
          <w:bCs/>
          <w:sz w:val="24"/>
          <w:szCs w:val="24"/>
        </w:rPr>
      </w:pPr>
      <w:r>
        <w:rPr>
          <w:rFonts w:ascii="Times New Roman" w:hAnsi="Times New Roman"/>
          <w:b/>
          <w:bCs/>
          <w:sz w:val="24"/>
          <w:szCs w:val="24"/>
        </w:rPr>
        <w:t>Table 1: Comparison of Mean Values of Serum Antioxidants and Malondialdehyde Levels in Glaucoma Patients and Non-glaucomatou</w:t>
      </w:r>
      <w:r>
        <w:commentReference w:id="36"/>
      </w:r>
      <w:r>
        <w:rPr>
          <w:rFonts w:ascii="Times New Roman" w:hAnsi="Times New Roman"/>
          <w:b/>
          <w:bCs/>
          <w:sz w:val="24"/>
          <w:szCs w:val="24"/>
        </w:rPr>
        <w:t>s Subjects Under Study</w:t>
      </w:r>
    </w:p>
    <w:tbl>
      <w:tblPr>
        <w:tblStyle w:val="5"/>
        <w:tblW w:w="0" w:type="auto"/>
        <w:tblInd w:w="11" w:type="dxa"/>
        <w:tblLayout w:type="autofit"/>
        <w:tblCellMar>
          <w:top w:w="0" w:type="dxa"/>
          <w:left w:w="108" w:type="dxa"/>
          <w:bottom w:w="0" w:type="dxa"/>
          <w:right w:w="108" w:type="dxa"/>
        </w:tblCellMar>
      </w:tblPr>
      <w:tblGrid>
        <w:gridCol w:w="1789"/>
        <w:gridCol w:w="2160"/>
        <w:gridCol w:w="2250"/>
        <w:gridCol w:w="1530"/>
        <w:gridCol w:w="1530"/>
      </w:tblGrid>
      <w:tr w14:paraId="28A2BDCB">
        <w:tblPrEx>
          <w:tblCellMar>
            <w:top w:w="0" w:type="dxa"/>
            <w:left w:w="108" w:type="dxa"/>
            <w:bottom w:w="0" w:type="dxa"/>
            <w:right w:w="108" w:type="dxa"/>
          </w:tblCellMar>
        </w:tblPrEx>
        <w:tc>
          <w:tcPr>
            <w:tcW w:w="1789" w:type="dxa"/>
            <w:tcBorders>
              <w:top w:val="single" w:color="auto" w:sz="4" w:space="0"/>
              <w:bottom w:val="single" w:color="auto" w:sz="4" w:space="0"/>
            </w:tcBorders>
            <w:shd w:val="clear" w:color="auto" w:fill="auto"/>
          </w:tcPr>
          <w:p w14:paraId="62BEE50D">
            <w:pPr>
              <w:spacing w:after="0" w:line="240" w:lineRule="auto"/>
              <w:jc w:val="center"/>
              <w:rPr>
                <w:rFonts w:ascii="Times New Roman" w:hAnsi="Times New Roman"/>
                <w:bCs/>
                <w:sz w:val="24"/>
                <w:szCs w:val="24"/>
              </w:rPr>
            </w:pPr>
            <w:r>
              <w:rPr>
                <w:rFonts w:ascii="Times New Roman" w:hAnsi="Times New Roman"/>
                <w:bCs/>
                <w:sz w:val="24"/>
                <w:szCs w:val="24"/>
              </w:rPr>
              <w:t>Parameter</w:t>
            </w:r>
          </w:p>
        </w:tc>
        <w:tc>
          <w:tcPr>
            <w:tcW w:w="2160" w:type="dxa"/>
            <w:tcBorders>
              <w:top w:val="single" w:color="auto" w:sz="4" w:space="0"/>
              <w:bottom w:val="single" w:color="auto" w:sz="4" w:space="0"/>
            </w:tcBorders>
            <w:shd w:val="clear" w:color="auto" w:fill="auto"/>
          </w:tcPr>
          <w:p w14:paraId="50661BCB">
            <w:pPr>
              <w:spacing w:after="0" w:line="240" w:lineRule="auto"/>
              <w:jc w:val="center"/>
              <w:rPr>
                <w:rFonts w:ascii="Times New Roman" w:hAnsi="Times New Roman"/>
                <w:sz w:val="24"/>
                <w:szCs w:val="24"/>
              </w:rPr>
            </w:pPr>
            <w:r>
              <w:rPr>
                <w:rFonts w:ascii="Times New Roman" w:hAnsi="Times New Roman"/>
                <w:sz w:val="24"/>
                <w:szCs w:val="24"/>
              </w:rPr>
              <w:t>Non-Glaucoma n=30 (X±SD)</w:t>
            </w:r>
          </w:p>
        </w:tc>
        <w:tc>
          <w:tcPr>
            <w:tcW w:w="2250" w:type="dxa"/>
            <w:tcBorders>
              <w:top w:val="single" w:color="auto" w:sz="4" w:space="0"/>
              <w:bottom w:val="single" w:color="auto" w:sz="4" w:space="0"/>
            </w:tcBorders>
            <w:shd w:val="clear" w:color="auto" w:fill="auto"/>
          </w:tcPr>
          <w:p w14:paraId="78452AD6">
            <w:pPr>
              <w:spacing w:after="0" w:line="240" w:lineRule="auto"/>
              <w:jc w:val="center"/>
              <w:rPr>
                <w:rFonts w:ascii="Times New Roman" w:hAnsi="Times New Roman"/>
                <w:sz w:val="24"/>
                <w:szCs w:val="24"/>
              </w:rPr>
            </w:pPr>
            <w:r>
              <w:rPr>
                <w:rFonts w:ascii="Times New Roman" w:hAnsi="Times New Roman"/>
                <w:sz w:val="24"/>
                <w:szCs w:val="24"/>
              </w:rPr>
              <w:t>Glaucoma n=50</w:t>
            </w:r>
          </w:p>
          <w:p w14:paraId="108949C2">
            <w:pPr>
              <w:spacing w:after="0" w:line="240" w:lineRule="auto"/>
              <w:jc w:val="center"/>
              <w:rPr>
                <w:rFonts w:ascii="Times New Roman" w:hAnsi="Times New Roman"/>
                <w:sz w:val="24"/>
                <w:szCs w:val="24"/>
              </w:rPr>
            </w:pPr>
            <w:r>
              <w:rPr>
                <w:rFonts w:ascii="Times New Roman" w:hAnsi="Times New Roman"/>
                <w:sz w:val="24"/>
                <w:szCs w:val="24"/>
              </w:rPr>
              <w:t>(X±SD)</w:t>
            </w:r>
          </w:p>
        </w:tc>
        <w:tc>
          <w:tcPr>
            <w:tcW w:w="1530" w:type="dxa"/>
            <w:tcBorders>
              <w:top w:val="single" w:color="auto" w:sz="4" w:space="0"/>
              <w:bottom w:val="single" w:color="auto" w:sz="4" w:space="0"/>
            </w:tcBorders>
            <w:shd w:val="clear" w:color="auto" w:fill="auto"/>
          </w:tcPr>
          <w:p w14:paraId="7DDF4E3F">
            <w:pPr>
              <w:spacing w:after="0" w:line="240" w:lineRule="auto"/>
              <w:jc w:val="center"/>
              <w:rPr>
                <w:rFonts w:ascii="Times New Roman" w:hAnsi="Times New Roman"/>
                <w:bCs/>
                <w:sz w:val="24"/>
                <w:szCs w:val="24"/>
              </w:rPr>
            </w:pPr>
            <w:r>
              <w:rPr>
                <w:rFonts w:ascii="Times New Roman" w:hAnsi="Times New Roman"/>
                <w:bCs/>
                <w:sz w:val="24"/>
                <w:szCs w:val="24"/>
              </w:rPr>
              <w:t>P-Value</w:t>
            </w:r>
          </w:p>
        </w:tc>
        <w:tc>
          <w:tcPr>
            <w:tcW w:w="1530" w:type="dxa"/>
            <w:tcBorders>
              <w:top w:val="single" w:color="auto" w:sz="4" w:space="0"/>
              <w:bottom w:val="single" w:color="auto" w:sz="4" w:space="0"/>
            </w:tcBorders>
            <w:shd w:val="clear" w:color="auto" w:fill="auto"/>
          </w:tcPr>
          <w:p w14:paraId="7AC9BE9E">
            <w:pPr>
              <w:spacing w:after="0" w:line="240" w:lineRule="auto"/>
              <w:jc w:val="center"/>
              <w:rPr>
                <w:rFonts w:ascii="Times New Roman" w:hAnsi="Times New Roman"/>
                <w:bCs/>
                <w:sz w:val="24"/>
                <w:szCs w:val="24"/>
              </w:rPr>
            </w:pPr>
            <w:r>
              <w:rPr>
                <w:rFonts w:ascii="Times New Roman" w:hAnsi="Times New Roman"/>
                <w:bCs/>
                <w:sz w:val="24"/>
                <w:szCs w:val="24"/>
              </w:rPr>
              <w:t>Remark</w:t>
            </w:r>
          </w:p>
        </w:tc>
      </w:tr>
      <w:tr w14:paraId="76587416">
        <w:tblPrEx>
          <w:tblCellMar>
            <w:top w:w="0" w:type="dxa"/>
            <w:left w:w="108" w:type="dxa"/>
            <w:bottom w:w="0" w:type="dxa"/>
            <w:right w:w="108" w:type="dxa"/>
          </w:tblCellMar>
        </w:tblPrEx>
        <w:trPr>
          <w:trHeight w:val="314" w:hRule="atLeast"/>
        </w:trPr>
        <w:tc>
          <w:tcPr>
            <w:tcW w:w="1789" w:type="dxa"/>
            <w:tcBorders>
              <w:top w:val="single" w:color="auto" w:sz="4" w:space="0"/>
            </w:tcBorders>
            <w:shd w:val="clear" w:color="auto" w:fill="auto"/>
          </w:tcPr>
          <w:p w14:paraId="0657DB1C">
            <w:pPr>
              <w:spacing w:after="0" w:line="240" w:lineRule="auto"/>
              <w:rPr>
                <w:rFonts w:ascii="Times New Roman" w:hAnsi="Times New Roman"/>
                <w:sz w:val="24"/>
                <w:szCs w:val="24"/>
              </w:rPr>
            </w:pPr>
            <w:r>
              <w:rPr>
                <w:rFonts w:ascii="Times New Roman" w:hAnsi="Times New Roman"/>
                <w:sz w:val="24"/>
                <w:szCs w:val="24"/>
              </w:rPr>
              <w:t>U/A (mmol/L</w:t>
            </w:r>
          </w:p>
        </w:tc>
        <w:tc>
          <w:tcPr>
            <w:tcW w:w="2160" w:type="dxa"/>
            <w:tcBorders>
              <w:top w:val="single" w:color="auto" w:sz="4" w:space="0"/>
            </w:tcBorders>
            <w:shd w:val="clear" w:color="auto" w:fill="auto"/>
          </w:tcPr>
          <w:p w14:paraId="737D63C9">
            <w:pPr>
              <w:spacing w:after="0" w:line="240" w:lineRule="auto"/>
              <w:jc w:val="center"/>
              <w:rPr>
                <w:rFonts w:ascii="Times New Roman" w:hAnsi="Times New Roman"/>
                <w:sz w:val="24"/>
                <w:szCs w:val="24"/>
              </w:rPr>
            </w:pPr>
            <w:r>
              <w:rPr>
                <w:rFonts w:ascii="Times New Roman" w:hAnsi="Times New Roman"/>
                <w:sz w:val="24"/>
                <w:szCs w:val="24"/>
              </w:rPr>
              <w:t>0.32 ± 0.12</w:t>
            </w:r>
          </w:p>
        </w:tc>
        <w:tc>
          <w:tcPr>
            <w:tcW w:w="2250" w:type="dxa"/>
            <w:tcBorders>
              <w:top w:val="single" w:color="auto" w:sz="4" w:space="0"/>
            </w:tcBorders>
            <w:shd w:val="clear" w:color="auto" w:fill="auto"/>
          </w:tcPr>
          <w:p w14:paraId="2C6A1314">
            <w:pPr>
              <w:spacing w:after="0" w:line="240" w:lineRule="auto"/>
              <w:jc w:val="center"/>
              <w:rPr>
                <w:rFonts w:ascii="Times New Roman" w:hAnsi="Times New Roman"/>
                <w:sz w:val="24"/>
                <w:szCs w:val="24"/>
              </w:rPr>
            </w:pPr>
            <w:r>
              <w:rPr>
                <w:rFonts w:ascii="Times New Roman" w:hAnsi="Times New Roman"/>
                <w:sz w:val="24"/>
                <w:szCs w:val="24"/>
              </w:rPr>
              <w:t>0.17 ± 0.06</w:t>
            </w:r>
          </w:p>
        </w:tc>
        <w:tc>
          <w:tcPr>
            <w:tcW w:w="1530" w:type="dxa"/>
            <w:tcBorders>
              <w:top w:val="single" w:color="auto" w:sz="4" w:space="0"/>
            </w:tcBorders>
            <w:shd w:val="clear" w:color="auto" w:fill="auto"/>
          </w:tcPr>
          <w:p w14:paraId="7C6A9FE2">
            <w:pPr>
              <w:spacing w:after="0" w:line="240" w:lineRule="auto"/>
              <w:jc w:val="center"/>
              <w:rPr>
                <w:rFonts w:ascii="Times New Roman" w:hAnsi="Times New Roman"/>
                <w:sz w:val="24"/>
                <w:szCs w:val="24"/>
              </w:rPr>
            </w:pPr>
            <w:r>
              <w:rPr>
                <w:rFonts w:ascii="Times New Roman" w:hAnsi="Times New Roman"/>
                <w:sz w:val="24"/>
                <w:szCs w:val="24"/>
              </w:rPr>
              <w:t>0.001</w:t>
            </w:r>
          </w:p>
        </w:tc>
        <w:tc>
          <w:tcPr>
            <w:tcW w:w="1530" w:type="dxa"/>
            <w:tcBorders>
              <w:top w:val="single" w:color="auto" w:sz="4" w:space="0"/>
            </w:tcBorders>
            <w:shd w:val="clear" w:color="auto" w:fill="auto"/>
          </w:tcPr>
          <w:p w14:paraId="21849518">
            <w:pPr>
              <w:spacing w:after="0" w:line="240" w:lineRule="auto"/>
              <w:jc w:val="center"/>
              <w:rPr>
                <w:rFonts w:ascii="Times New Roman" w:hAnsi="Times New Roman"/>
                <w:sz w:val="24"/>
                <w:szCs w:val="24"/>
              </w:rPr>
            </w:pPr>
            <w:r>
              <w:rPr>
                <w:rFonts w:ascii="Times New Roman" w:hAnsi="Times New Roman"/>
                <w:sz w:val="24"/>
                <w:szCs w:val="24"/>
              </w:rPr>
              <w:t>S</w:t>
            </w:r>
          </w:p>
        </w:tc>
      </w:tr>
      <w:tr w14:paraId="6EDF0F13">
        <w:tblPrEx>
          <w:tblCellMar>
            <w:top w:w="0" w:type="dxa"/>
            <w:left w:w="108" w:type="dxa"/>
            <w:bottom w:w="0" w:type="dxa"/>
            <w:right w:w="108" w:type="dxa"/>
          </w:tblCellMar>
        </w:tblPrEx>
        <w:tc>
          <w:tcPr>
            <w:tcW w:w="1789" w:type="dxa"/>
            <w:shd w:val="clear" w:color="auto" w:fill="auto"/>
          </w:tcPr>
          <w:p w14:paraId="3A6A5CF0">
            <w:pPr>
              <w:spacing w:after="0" w:line="240" w:lineRule="auto"/>
              <w:rPr>
                <w:rFonts w:ascii="Times New Roman" w:hAnsi="Times New Roman"/>
                <w:sz w:val="24"/>
                <w:szCs w:val="24"/>
              </w:rPr>
            </w:pPr>
            <w:r>
              <w:rPr>
                <w:rFonts w:ascii="Times New Roman" w:hAnsi="Times New Roman"/>
                <w:sz w:val="24"/>
                <w:szCs w:val="24"/>
              </w:rPr>
              <w:t>TB (µmol/L</w:t>
            </w:r>
          </w:p>
        </w:tc>
        <w:tc>
          <w:tcPr>
            <w:tcW w:w="2160" w:type="dxa"/>
            <w:shd w:val="clear" w:color="auto" w:fill="auto"/>
          </w:tcPr>
          <w:p w14:paraId="1D7C413A">
            <w:pPr>
              <w:spacing w:after="0" w:line="240" w:lineRule="auto"/>
              <w:jc w:val="center"/>
              <w:rPr>
                <w:rFonts w:ascii="Times New Roman" w:hAnsi="Times New Roman"/>
                <w:sz w:val="24"/>
                <w:szCs w:val="24"/>
              </w:rPr>
            </w:pPr>
            <w:r>
              <w:rPr>
                <w:rFonts w:ascii="Times New Roman" w:hAnsi="Times New Roman"/>
                <w:sz w:val="24"/>
                <w:szCs w:val="24"/>
              </w:rPr>
              <w:t>8.77 ± 2.31</w:t>
            </w:r>
          </w:p>
        </w:tc>
        <w:tc>
          <w:tcPr>
            <w:tcW w:w="2250" w:type="dxa"/>
            <w:shd w:val="clear" w:color="auto" w:fill="auto"/>
          </w:tcPr>
          <w:p w14:paraId="42DEFFF9">
            <w:pPr>
              <w:spacing w:after="0" w:line="240" w:lineRule="auto"/>
              <w:jc w:val="center"/>
              <w:rPr>
                <w:rFonts w:ascii="Times New Roman" w:hAnsi="Times New Roman"/>
                <w:sz w:val="24"/>
                <w:szCs w:val="24"/>
              </w:rPr>
            </w:pPr>
            <w:r>
              <w:rPr>
                <w:rFonts w:ascii="Times New Roman" w:hAnsi="Times New Roman"/>
                <w:sz w:val="24"/>
                <w:szCs w:val="24"/>
              </w:rPr>
              <w:t>7.25 ± 2.11</w:t>
            </w:r>
          </w:p>
        </w:tc>
        <w:tc>
          <w:tcPr>
            <w:tcW w:w="1530" w:type="dxa"/>
            <w:shd w:val="clear" w:color="auto" w:fill="auto"/>
          </w:tcPr>
          <w:p w14:paraId="000ECC40">
            <w:pPr>
              <w:spacing w:after="0" w:line="240" w:lineRule="auto"/>
              <w:jc w:val="center"/>
              <w:rPr>
                <w:rFonts w:ascii="Times New Roman" w:hAnsi="Times New Roman"/>
                <w:sz w:val="24"/>
                <w:szCs w:val="24"/>
              </w:rPr>
            </w:pPr>
            <w:r>
              <w:rPr>
                <w:rFonts w:ascii="Times New Roman" w:hAnsi="Times New Roman"/>
                <w:sz w:val="24"/>
                <w:szCs w:val="24"/>
              </w:rPr>
              <w:t>0.027</w:t>
            </w:r>
          </w:p>
        </w:tc>
        <w:tc>
          <w:tcPr>
            <w:tcW w:w="1530" w:type="dxa"/>
            <w:shd w:val="clear" w:color="auto" w:fill="auto"/>
          </w:tcPr>
          <w:p w14:paraId="52BE7017">
            <w:pPr>
              <w:spacing w:after="0" w:line="240" w:lineRule="auto"/>
              <w:jc w:val="center"/>
              <w:rPr>
                <w:rFonts w:ascii="Times New Roman" w:hAnsi="Times New Roman"/>
                <w:sz w:val="24"/>
                <w:szCs w:val="24"/>
              </w:rPr>
            </w:pPr>
            <w:r>
              <w:rPr>
                <w:rFonts w:ascii="Times New Roman" w:hAnsi="Times New Roman"/>
                <w:sz w:val="24"/>
                <w:szCs w:val="24"/>
              </w:rPr>
              <w:t>S</w:t>
            </w:r>
          </w:p>
        </w:tc>
      </w:tr>
      <w:tr w14:paraId="2EE9513A">
        <w:tblPrEx>
          <w:tblCellMar>
            <w:top w:w="0" w:type="dxa"/>
            <w:left w:w="108" w:type="dxa"/>
            <w:bottom w:w="0" w:type="dxa"/>
            <w:right w:w="108" w:type="dxa"/>
          </w:tblCellMar>
        </w:tblPrEx>
        <w:tc>
          <w:tcPr>
            <w:tcW w:w="1789" w:type="dxa"/>
            <w:shd w:val="clear" w:color="auto" w:fill="auto"/>
          </w:tcPr>
          <w:p w14:paraId="7E5248E1">
            <w:pPr>
              <w:spacing w:after="0" w:line="240" w:lineRule="auto"/>
              <w:rPr>
                <w:rFonts w:ascii="Times New Roman" w:hAnsi="Times New Roman"/>
                <w:sz w:val="24"/>
                <w:szCs w:val="24"/>
              </w:rPr>
            </w:pPr>
            <w:r>
              <w:rPr>
                <w:rFonts w:ascii="Times New Roman" w:hAnsi="Times New Roman"/>
                <w:sz w:val="24"/>
                <w:szCs w:val="24"/>
              </w:rPr>
              <w:t>CB (µmol/L</w:t>
            </w:r>
          </w:p>
        </w:tc>
        <w:tc>
          <w:tcPr>
            <w:tcW w:w="2160" w:type="dxa"/>
            <w:shd w:val="clear" w:color="auto" w:fill="auto"/>
          </w:tcPr>
          <w:p w14:paraId="35C2DF0B">
            <w:pPr>
              <w:spacing w:after="0" w:line="240" w:lineRule="auto"/>
              <w:jc w:val="center"/>
              <w:rPr>
                <w:rFonts w:ascii="Times New Roman" w:hAnsi="Times New Roman"/>
                <w:sz w:val="24"/>
                <w:szCs w:val="24"/>
              </w:rPr>
            </w:pPr>
            <w:r>
              <w:rPr>
                <w:rFonts w:ascii="Times New Roman" w:hAnsi="Times New Roman"/>
                <w:sz w:val="24"/>
                <w:szCs w:val="24"/>
              </w:rPr>
              <w:t>3.53 ± 1.02</w:t>
            </w:r>
          </w:p>
        </w:tc>
        <w:tc>
          <w:tcPr>
            <w:tcW w:w="2250" w:type="dxa"/>
            <w:shd w:val="clear" w:color="auto" w:fill="auto"/>
          </w:tcPr>
          <w:p w14:paraId="0FF373DA">
            <w:pPr>
              <w:spacing w:after="0" w:line="240" w:lineRule="auto"/>
              <w:jc w:val="center"/>
              <w:rPr>
                <w:rFonts w:ascii="Times New Roman" w:hAnsi="Times New Roman"/>
                <w:sz w:val="24"/>
                <w:szCs w:val="24"/>
              </w:rPr>
            </w:pPr>
            <w:r>
              <w:rPr>
                <w:rFonts w:ascii="Times New Roman" w:hAnsi="Times New Roman"/>
                <w:sz w:val="24"/>
                <w:szCs w:val="24"/>
              </w:rPr>
              <w:t>2.38 ± 1.31</w:t>
            </w:r>
          </w:p>
        </w:tc>
        <w:tc>
          <w:tcPr>
            <w:tcW w:w="1530" w:type="dxa"/>
            <w:shd w:val="clear" w:color="auto" w:fill="auto"/>
          </w:tcPr>
          <w:p w14:paraId="09B03748">
            <w:pPr>
              <w:spacing w:after="0" w:line="240" w:lineRule="auto"/>
              <w:jc w:val="center"/>
              <w:rPr>
                <w:rFonts w:ascii="Times New Roman" w:hAnsi="Times New Roman"/>
                <w:sz w:val="24"/>
                <w:szCs w:val="24"/>
              </w:rPr>
            </w:pPr>
            <w:r>
              <w:rPr>
                <w:rFonts w:ascii="Times New Roman" w:hAnsi="Times New Roman"/>
                <w:sz w:val="24"/>
                <w:szCs w:val="24"/>
              </w:rPr>
              <w:t>0.010</w:t>
            </w:r>
          </w:p>
        </w:tc>
        <w:tc>
          <w:tcPr>
            <w:tcW w:w="1530" w:type="dxa"/>
            <w:shd w:val="clear" w:color="auto" w:fill="auto"/>
          </w:tcPr>
          <w:p w14:paraId="48458AC4">
            <w:pPr>
              <w:spacing w:after="0" w:line="240" w:lineRule="auto"/>
              <w:jc w:val="center"/>
              <w:rPr>
                <w:rFonts w:ascii="Times New Roman" w:hAnsi="Times New Roman"/>
                <w:sz w:val="24"/>
                <w:szCs w:val="24"/>
              </w:rPr>
            </w:pPr>
            <w:r>
              <w:rPr>
                <w:rFonts w:ascii="Times New Roman" w:hAnsi="Times New Roman"/>
                <w:sz w:val="24"/>
                <w:szCs w:val="24"/>
              </w:rPr>
              <w:t>S</w:t>
            </w:r>
          </w:p>
        </w:tc>
      </w:tr>
      <w:tr w14:paraId="6FAE8815">
        <w:tblPrEx>
          <w:tblCellMar>
            <w:top w:w="0" w:type="dxa"/>
            <w:left w:w="108" w:type="dxa"/>
            <w:bottom w:w="0" w:type="dxa"/>
            <w:right w:w="108" w:type="dxa"/>
          </w:tblCellMar>
        </w:tblPrEx>
        <w:tc>
          <w:tcPr>
            <w:tcW w:w="1789" w:type="dxa"/>
            <w:shd w:val="clear" w:color="auto" w:fill="auto"/>
          </w:tcPr>
          <w:p w14:paraId="47DDF79C">
            <w:pPr>
              <w:spacing w:after="0" w:line="240" w:lineRule="auto"/>
              <w:rPr>
                <w:rFonts w:ascii="Times New Roman" w:hAnsi="Times New Roman"/>
                <w:sz w:val="24"/>
                <w:szCs w:val="24"/>
              </w:rPr>
            </w:pPr>
            <w:r>
              <w:rPr>
                <w:rFonts w:ascii="Times New Roman" w:hAnsi="Times New Roman"/>
                <w:sz w:val="24"/>
                <w:szCs w:val="24"/>
              </w:rPr>
              <w:t>ALB (g/L)</w:t>
            </w:r>
          </w:p>
        </w:tc>
        <w:tc>
          <w:tcPr>
            <w:tcW w:w="2160" w:type="dxa"/>
            <w:shd w:val="clear" w:color="auto" w:fill="auto"/>
          </w:tcPr>
          <w:p w14:paraId="2970F7D6">
            <w:pPr>
              <w:spacing w:after="0" w:line="240" w:lineRule="auto"/>
              <w:jc w:val="center"/>
              <w:rPr>
                <w:rFonts w:ascii="Times New Roman" w:hAnsi="Times New Roman"/>
                <w:sz w:val="24"/>
                <w:szCs w:val="24"/>
              </w:rPr>
            </w:pPr>
            <w:r>
              <w:rPr>
                <w:rFonts w:ascii="Times New Roman" w:hAnsi="Times New Roman"/>
                <w:sz w:val="24"/>
                <w:szCs w:val="24"/>
              </w:rPr>
              <w:t>54.2 ± 4.33</w:t>
            </w:r>
          </w:p>
        </w:tc>
        <w:tc>
          <w:tcPr>
            <w:tcW w:w="2250" w:type="dxa"/>
            <w:shd w:val="clear" w:color="auto" w:fill="auto"/>
          </w:tcPr>
          <w:p w14:paraId="6DE09040">
            <w:pPr>
              <w:spacing w:after="0" w:line="240" w:lineRule="auto"/>
              <w:jc w:val="center"/>
              <w:rPr>
                <w:rFonts w:ascii="Times New Roman" w:hAnsi="Times New Roman"/>
                <w:sz w:val="24"/>
                <w:szCs w:val="24"/>
              </w:rPr>
            </w:pPr>
            <w:r>
              <w:rPr>
                <w:rFonts w:ascii="Times New Roman" w:hAnsi="Times New Roman"/>
                <w:sz w:val="24"/>
                <w:szCs w:val="24"/>
              </w:rPr>
              <w:t>40.3 ± 3.03</w:t>
            </w:r>
          </w:p>
        </w:tc>
        <w:tc>
          <w:tcPr>
            <w:tcW w:w="1530" w:type="dxa"/>
            <w:shd w:val="clear" w:color="auto" w:fill="auto"/>
          </w:tcPr>
          <w:p w14:paraId="5B0ADA57">
            <w:pPr>
              <w:spacing w:after="0" w:line="240" w:lineRule="auto"/>
              <w:jc w:val="center"/>
              <w:rPr>
                <w:rFonts w:ascii="Times New Roman" w:hAnsi="Times New Roman"/>
                <w:sz w:val="24"/>
                <w:szCs w:val="24"/>
              </w:rPr>
            </w:pPr>
            <w:r>
              <w:rPr>
                <w:rFonts w:ascii="Times New Roman" w:hAnsi="Times New Roman"/>
                <w:sz w:val="24"/>
                <w:szCs w:val="24"/>
              </w:rPr>
              <w:t>0.001</w:t>
            </w:r>
          </w:p>
        </w:tc>
        <w:tc>
          <w:tcPr>
            <w:tcW w:w="1530" w:type="dxa"/>
            <w:shd w:val="clear" w:color="auto" w:fill="auto"/>
          </w:tcPr>
          <w:p w14:paraId="4A671572">
            <w:pPr>
              <w:spacing w:after="0" w:line="240" w:lineRule="auto"/>
              <w:jc w:val="center"/>
              <w:rPr>
                <w:rFonts w:ascii="Times New Roman" w:hAnsi="Times New Roman"/>
                <w:sz w:val="24"/>
                <w:szCs w:val="24"/>
              </w:rPr>
            </w:pPr>
            <w:r>
              <w:rPr>
                <w:rFonts w:ascii="Times New Roman" w:hAnsi="Times New Roman"/>
                <w:sz w:val="24"/>
                <w:szCs w:val="24"/>
              </w:rPr>
              <w:t>S</w:t>
            </w:r>
          </w:p>
        </w:tc>
      </w:tr>
      <w:tr w14:paraId="45A6D4FF">
        <w:tblPrEx>
          <w:tblCellMar>
            <w:top w:w="0" w:type="dxa"/>
            <w:left w:w="108" w:type="dxa"/>
            <w:bottom w:w="0" w:type="dxa"/>
            <w:right w:w="108" w:type="dxa"/>
          </w:tblCellMar>
        </w:tblPrEx>
        <w:tc>
          <w:tcPr>
            <w:tcW w:w="1789" w:type="dxa"/>
            <w:shd w:val="clear" w:color="auto" w:fill="auto"/>
          </w:tcPr>
          <w:p w14:paraId="15A78D62">
            <w:pPr>
              <w:spacing w:after="0" w:line="240" w:lineRule="auto"/>
              <w:rPr>
                <w:rFonts w:ascii="Times New Roman" w:hAnsi="Times New Roman"/>
                <w:sz w:val="24"/>
                <w:szCs w:val="24"/>
              </w:rPr>
            </w:pPr>
            <w:r>
              <w:rPr>
                <w:rFonts w:ascii="Times New Roman" w:hAnsi="Times New Roman"/>
                <w:sz w:val="24"/>
                <w:szCs w:val="24"/>
              </w:rPr>
              <w:t>CAT (µl/L)</w:t>
            </w:r>
          </w:p>
        </w:tc>
        <w:tc>
          <w:tcPr>
            <w:tcW w:w="2160" w:type="dxa"/>
            <w:shd w:val="clear" w:color="auto" w:fill="auto"/>
          </w:tcPr>
          <w:p w14:paraId="57E7B6E7">
            <w:pPr>
              <w:spacing w:after="0" w:line="240" w:lineRule="auto"/>
              <w:jc w:val="center"/>
              <w:rPr>
                <w:rFonts w:ascii="Times New Roman" w:hAnsi="Times New Roman"/>
                <w:sz w:val="24"/>
                <w:szCs w:val="24"/>
              </w:rPr>
            </w:pPr>
            <w:r>
              <w:rPr>
                <w:rFonts w:ascii="Times New Roman" w:hAnsi="Times New Roman"/>
                <w:sz w:val="24"/>
                <w:szCs w:val="24"/>
              </w:rPr>
              <w:t>56.1 ± 3.74</w:t>
            </w:r>
          </w:p>
        </w:tc>
        <w:tc>
          <w:tcPr>
            <w:tcW w:w="2250" w:type="dxa"/>
            <w:shd w:val="clear" w:color="auto" w:fill="auto"/>
          </w:tcPr>
          <w:p w14:paraId="6F608EA3">
            <w:pPr>
              <w:spacing w:after="0" w:line="240" w:lineRule="auto"/>
              <w:jc w:val="center"/>
              <w:rPr>
                <w:rFonts w:ascii="Times New Roman" w:hAnsi="Times New Roman"/>
                <w:sz w:val="24"/>
                <w:szCs w:val="24"/>
              </w:rPr>
            </w:pPr>
            <w:r>
              <w:rPr>
                <w:rFonts w:ascii="Times New Roman" w:hAnsi="Times New Roman"/>
                <w:sz w:val="24"/>
                <w:szCs w:val="24"/>
              </w:rPr>
              <w:t>52.5 ± 3.21</w:t>
            </w:r>
          </w:p>
        </w:tc>
        <w:tc>
          <w:tcPr>
            <w:tcW w:w="1530" w:type="dxa"/>
            <w:shd w:val="clear" w:color="auto" w:fill="auto"/>
          </w:tcPr>
          <w:p w14:paraId="664CF16F">
            <w:pPr>
              <w:spacing w:after="0" w:line="240" w:lineRule="auto"/>
              <w:jc w:val="center"/>
              <w:rPr>
                <w:rFonts w:ascii="Times New Roman" w:hAnsi="Times New Roman"/>
                <w:sz w:val="24"/>
                <w:szCs w:val="24"/>
              </w:rPr>
            </w:pPr>
            <w:r>
              <w:rPr>
                <w:rFonts w:ascii="Times New Roman" w:hAnsi="Times New Roman"/>
                <w:sz w:val="24"/>
                <w:szCs w:val="24"/>
              </w:rPr>
              <w:t>0.171</w:t>
            </w:r>
          </w:p>
        </w:tc>
        <w:tc>
          <w:tcPr>
            <w:tcW w:w="1530" w:type="dxa"/>
            <w:shd w:val="clear" w:color="auto" w:fill="auto"/>
          </w:tcPr>
          <w:p w14:paraId="30D710A8">
            <w:pPr>
              <w:spacing w:after="0" w:line="240" w:lineRule="auto"/>
              <w:jc w:val="center"/>
              <w:rPr>
                <w:rFonts w:ascii="Times New Roman" w:hAnsi="Times New Roman"/>
                <w:sz w:val="24"/>
                <w:szCs w:val="24"/>
              </w:rPr>
            </w:pPr>
            <w:r>
              <w:rPr>
                <w:rFonts w:ascii="Times New Roman" w:hAnsi="Times New Roman"/>
                <w:sz w:val="24"/>
                <w:szCs w:val="24"/>
              </w:rPr>
              <w:t>NS</w:t>
            </w:r>
          </w:p>
        </w:tc>
      </w:tr>
      <w:tr w14:paraId="58877029">
        <w:tblPrEx>
          <w:tblCellMar>
            <w:top w:w="0" w:type="dxa"/>
            <w:left w:w="108" w:type="dxa"/>
            <w:bottom w:w="0" w:type="dxa"/>
            <w:right w:w="108" w:type="dxa"/>
          </w:tblCellMar>
        </w:tblPrEx>
        <w:tc>
          <w:tcPr>
            <w:tcW w:w="1789" w:type="dxa"/>
            <w:shd w:val="clear" w:color="auto" w:fill="auto"/>
          </w:tcPr>
          <w:p w14:paraId="2C461DEB">
            <w:pPr>
              <w:spacing w:after="0" w:line="240" w:lineRule="auto"/>
              <w:rPr>
                <w:rFonts w:ascii="Times New Roman" w:hAnsi="Times New Roman"/>
                <w:sz w:val="24"/>
                <w:szCs w:val="24"/>
              </w:rPr>
            </w:pPr>
            <w:r>
              <w:rPr>
                <w:rFonts w:ascii="Times New Roman" w:hAnsi="Times New Roman"/>
                <w:sz w:val="24"/>
                <w:szCs w:val="24"/>
              </w:rPr>
              <w:t>SOD (µl/L)</w:t>
            </w:r>
          </w:p>
        </w:tc>
        <w:tc>
          <w:tcPr>
            <w:tcW w:w="2160" w:type="dxa"/>
            <w:shd w:val="clear" w:color="auto" w:fill="auto"/>
          </w:tcPr>
          <w:p w14:paraId="18F68DB3">
            <w:pPr>
              <w:spacing w:after="0" w:line="240" w:lineRule="auto"/>
              <w:jc w:val="center"/>
              <w:rPr>
                <w:rFonts w:ascii="Times New Roman" w:hAnsi="Times New Roman"/>
                <w:sz w:val="24"/>
                <w:szCs w:val="24"/>
              </w:rPr>
            </w:pPr>
            <w:r>
              <w:rPr>
                <w:rFonts w:ascii="Times New Roman" w:hAnsi="Times New Roman"/>
                <w:sz w:val="24"/>
                <w:szCs w:val="24"/>
              </w:rPr>
              <w:t>59.3 ± 4.31</w:t>
            </w:r>
          </w:p>
        </w:tc>
        <w:tc>
          <w:tcPr>
            <w:tcW w:w="2250" w:type="dxa"/>
            <w:shd w:val="clear" w:color="auto" w:fill="auto"/>
          </w:tcPr>
          <w:p w14:paraId="45A6D0E3">
            <w:pPr>
              <w:spacing w:after="0" w:line="240" w:lineRule="auto"/>
              <w:jc w:val="center"/>
              <w:rPr>
                <w:rFonts w:ascii="Times New Roman" w:hAnsi="Times New Roman"/>
                <w:sz w:val="24"/>
                <w:szCs w:val="24"/>
              </w:rPr>
            </w:pPr>
            <w:r>
              <w:rPr>
                <w:rFonts w:ascii="Times New Roman" w:hAnsi="Times New Roman"/>
                <w:sz w:val="24"/>
                <w:szCs w:val="24"/>
              </w:rPr>
              <w:t>52.9 ± 4.01</w:t>
            </w:r>
          </w:p>
        </w:tc>
        <w:tc>
          <w:tcPr>
            <w:tcW w:w="1530" w:type="dxa"/>
            <w:shd w:val="clear" w:color="auto" w:fill="auto"/>
          </w:tcPr>
          <w:p w14:paraId="2BA86B88">
            <w:pPr>
              <w:spacing w:after="0" w:line="240" w:lineRule="auto"/>
              <w:jc w:val="center"/>
              <w:rPr>
                <w:rFonts w:ascii="Times New Roman" w:hAnsi="Times New Roman"/>
                <w:sz w:val="24"/>
                <w:szCs w:val="24"/>
              </w:rPr>
            </w:pPr>
            <w:r>
              <w:rPr>
                <w:rFonts w:ascii="Times New Roman" w:hAnsi="Times New Roman"/>
                <w:sz w:val="24"/>
                <w:szCs w:val="24"/>
              </w:rPr>
              <w:t>0.135</w:t>
            </w:r>
          </w:p>
        </w:tc>
        <w:tc>
          <w:tcPr>
            <w:tcW w:w="1530" w:type="dxa"/>
            <w:shd w:val="clear" w:color="auto" w:fill="auto"/>
          </w:tcPr>
          <w:p w14:paraId="77321CCA">
            <w:pPr>
              <w:spacing w:after="0" w:line="240" w:lineRule="auto"/>
              <w:jc w:val="center"/>
              <w:rPr>
                <w:rFonts w:ascii="Times New Roman" w:hAnsi="Times New Roman"/>
                <w:sz w:val="24"/>
                <w:szCs w:val="24"/>
              </w:rPr>
            </w:pPr>
            <w:r>
              <w:rPr>
                <w:rFonts w:ascii="Times New Roman" w:hAnsi="Times New Roman"/>
                <w:sz w:val="24"/>
                <w:szCs w:val="24"/>
              </w:rPr>
              <w:t>NS</w:t>
            </w:r>
          </w:p>
        </w:tc>
      </w:tr>
      <w:tr w14:paraId="45BABD09">
        <w:tblPrEx>
          <w:tblCellMar>
            <w:top w:w="0" w:type="dxa"/>
            <w:left w:w="108" w:type="dxa"/>
            <w:bottom w:w="0" w:type="dxa"/>
            <w:right w:w="108" w:type="dxa"/>
          </w:tblCellMar>
        </w:tblPrEx>
        <w:tc>
          <w:tcPr>
            <w:tcW w:w="1789" w:type="dxa"/>
            <w:tcBorders>
              <w:bottom w:val="single" w:color="auto" w:sz="4" w:space="0"/>
            </w:tcBorders>
            <w:shd w:val="clear" w:color="auto" w:fill="auto"/>
          </w:tcPr>
          <w:p w14:paraId="5EE6BB9F">
            <w:pPr>
              <w:spacing w:after="0" w:line="240" w:lineRule="auto"/>
              <w:rPr>
                <w:rFonts w:ascii="Times New Roman" w:hAnsi="Times New Roman"/>
                <w:sz w:val="24"/>
                <w:szCs w:val="24"/>
              </w:rPr>
            </w:pPr>
            <w:r>
              <w:rPr>
                <w:rFonts w:ascii="Times New Roman" w:hAnsi="Times New Roman"/>
                <w:sz w:val="24"/>
                <w:szCs w:val="24"/>
              </w:rPr>
              <w:t xml:space="preserve">MDA </w:t>
            </w:r>
            <w:r>
              <w:rPr>
                <w:rFonts w:ascii="Times New Roman" w:hAnsi="Times New Roman"/>
                <w:sz w:val="20"/>
                <w:szCs w:val="24"/>
              </w:rPr>
              <w:t>(nmol/ml)</w:t>
            </w:r>
          </w:p>
        </w:tc>
        <w:tc>
          <w:tcPr>
            <w:tcW w:w="2160" w:type="dxa"/>
            <w:tcBorders>
              <w:bottom w:val="single" w:color="auto" w:sz="4" w:space="0"/>
            </w:tcBorders>
            <w:shd w:val="clear" w:color="auto" w:fill="auto"/>
          </w:tcPr>
          <w:p w14:paraId="54B89DB9">
            <w:pPr>
              <w:spacing w:after="0" w:line="240" w:lineRule="auto"/>
              <w:jc w:val="center"/>
              <w:rPr>
                <w:rFonts w:ascii="Times New Roman" w:hAnsi="Times New Roman"/>
                <w:sz w:val="24"/>
                <w:szCs w:val="24"/>
              </w:rPr>
            </w:pPr>
            <w:r>
              <w:rPr>
                <w:rFonts w:ascii="Times New Roman" w:hAnsi="Times New Roman"/>
                <w:sz w:val="24"/>
                <w:szCs w:val="24"/>
              </w:rPr>
              <w:t>3.85 ± 1.21</w:t>
            </w:r>
          </w:p>
        </w:tc>
        <w:tc>
          <w:tcPr>
            <w:tcW w:w="2250" w:type="dxa"/>
            <w:tcBorders>
              <w:bottom w:val="single" w:color="auto" w:sz="4" w:space="0"/>
            </w:tcBorders>
            <w:shd w:val="clear" w:color="auto" w:fill="auto"/>
          </w:tcPr>
          <w:p w14:paraId="4987AFAD">
            <w:pPr>
              <w:spacing w:after="0" w:line="240" w:lineRule="auto"/>
              <w:jc w:val="center"/>
              <w:rPr>
                <w:rFonts w:ascii="Times New Roman" w:hAnsi="Times New Roman"/>
                <w:sz w:val="24"/>
                <w:szCs w:val="24"/>
              </w:rPr>
            </w:pPr>
            <w:r>
              <w:rPr>
                <w:rFonts w:ascii="Times New Roman" w:hAnsi="Times New Roman"/>
                <w:sz w:val="24"/>
                <w:szCs w:val="24"/>
              </w:rPr>
              <w:t>4.01 ± 1.24</w:t>
            </w:r>
          </w:p>
        </w:tc>
        <w:tc>
          <w:tcPr>
            <w:tcW w:w="1530" w:type="dxa"/>
            <w:tcBorders>
              <w:bottom w:val="single" w:color="auto" w:sz="4" w:space="0"/>
            </w:tcBorders>
            <w:shd w:val="clear" w:color="auto" w:fill="auto"/>
          </w:tcPr>
          <w:p w14:paraId="756B6825">
            <w:pPr>
              <w:spacing w:after="0" w:line="240" w:lineRule="auto"/>
              <w:jc w:val="center"/>
              <w:rPr>
                <w:rFonts w:ascii="Times New Roman" w:hAnsi="Times New Roman"/>
                <w:sz w:val="24"/>
                <w:szCs w:val="24"/>
              </w:rPr>
            </w:pPr>
            <w:r>
              <w:rPr>
                <w:rFonts w:ascii="Times New Roman" w:hAnsi="Times New Roman"/>
                <w:sz w:val="24"/>
                <w:szCs w:val="24"/>
              </w:rPr>
              <w:t>0.352</w:t>
            </w:r>
          </w:p>
        </w:tc>
        <w:tc>
          <w:tcPr>
            <w:tcW w:w="1530" w:type="dxa"/>
            <w:tcBorders>
              <w:bottom w:val="single" w:color="auto" w:sz="4" w:space="0"/>
            </w:tcBorders>
            <w:shd w:val="clear" w:color="auto" w:fill="auto"/>
          </w:tcPr>
          <w:p w14:paraId="34874DA7">
            <w:pPr>
              <w:spacing w:after="0" w:line="240" w:lineRule="auto"/>
              <w:jc w:val="center"/>
              <w:rPr>
                <w:rFonts w:ascii="Times New Roman" w:hAnsi="Times New Roman"/>
                <w:sz w:val="24"/>
                <w:szCs w:val="24"/>
              </w:rPr>
            </w:pPr>
            <w:r>
              <w:rPr>
                <w:rFonts w:ascii="Times New Roman" w:hAnsi="Times New Roman"/>
                <w:sz w:val="24"/>
                <w:szCs w:val="24"/>
              </w:rPr>
              <w:t>NS</w:t>
            </w:r>
          </w:p>
        </w:tc>
      </w:tr>
    </w:tbl>
    <w:p w14:paraId="27F2D30B">
      <w:pPr>
        <w:spacing w:after="0" w:line="240" w:lineRule="auto"/>
        <w:jc w:val="both"/>
        <w:rPr>
          <w:rFonts w:ascii="Times New Roman" w:hAnsi="Times New Roman"/>
          <w:sz w:val="24"/>
          <w:szCs w:val="24"/>
        </w:rPr>
      </w:pPr>
      <w:r>
        <w:rPr>
          <w:rFonts w:ascii="Times New Roman" w:hAnsi="Times New Roman"/>
          <w:sz w:val="24"/>
          <w:szCs w:val="24"/>
        </w:rPr>
        <w:t>Results were represented in mean and standard deviation. Student T-test was used for comparing the groups. Keys: S=Significant; NS=Non-significant; MDA=Malonaldehyde; TB=Total bilirubin; CB=Conjugated bilirubin; CAT=Catalase; SOD=Superoxide Dismutase; ALB= Albumin; U/A=uric acid.</w:t>
      </w:r>
    </w:p>
    <w:p w14:paraId="29971F7E">
      <w:pPr>
        <w:autoSpaceDE w:val="0"/>
        <w:autoSpaceDN w:val="0"/>
        <w:adjustRightInd w:val="0"/>
        <w:spacing w:after="0" w:line="240" w:lineRule="auto"/>
        <w:jc w:val="both"/>
        <w:rPr>
          <w:rStyle w:val="22"/>
          <w:rFonts w:ascii="Times New Roman" w:hAnsi="Times New Roman"/>
          <w:b/>
          <w:bCs/>
          <w:sz w:val="12"/>
          <w:szCs w:val="12"/>
        </w:rPr>
      </w:pPr>
    </w:p>
    <w:p w14:paraId="0E172396">
      <w:pPr>
        <w:autoSpaceDE w:val="0"/>
        <w:autoSpaceDN w:val="0"/>
        <w:adjustRightInd w:val="0"/>
        <w:spacing w:after="0" w:line="240" w:lineRule="auto"/>
        <w:jc w:val="both"/>
        <w:rPr>
          <w:rStyle w:val="22"/>
          <w:rFonts w:ascii="Times New Roman" w:hAnsi="Times New Roman"/>
          <w:b/>
          <w:bCs/>
          <w:sz w:val="24"/>
          <w:szCs w:val="24"/>
        </w:rPr>
      </w:pPr>
    </w:p>
    <w:p w14:paraId="05E37F9E">
      <w:pPr>
        <w:autoSpaceDE w:val="0"/>
        <w:autoSpaceDN w:val="0"/>
        <w:adjustRightInd w:val="0"/>
        <w:spacing w:after="0" w:line="240" w:lineRule="auto"/>
        <w:jc w:val="both"/>
        <w:rPr>
          <w:rStyle w:val="22"/>
          <w:rFonts w:ascii="Times New Roman" w:hAnsi="Times New Roman" w:eastAsia="MinionPro-Regular"/>
          <w:b/>
          <w:bCs/>
          <w:sz w:val="24"/>
          <w:szCs w:val="24"/>
        </w:rPr>
      </w:pPr>
      <w:r>
        <w:rPr>
          <w:rStyle w:val="22"/>
          <w:rFonts w:ascii="Times New Roman" w:hAnsi="Times New Roman"/>
          <w:b/>
          <w:bCs/>
          <w:sz w:val="24"/>
          <w:szCs w:val="24"/>
        </w:rPr>
        <w:t xml:space="preserve">Table 2: Comparison of the </w:t>
      </w:r>
      <w:r>
        <w:rPr>
          <w:rFonts w:ascii="Times New Roman" w:hAnsi="Times New Roman"/>
          <w:b/>
          <w:bCs/>
          <w:sz w:val="24"/>
          <w:szCs w:val="24"/>
        </w:rPr>
        <w:t>Mean Values</w:t>
      </w:r>
      <w:r>
        <w:rPr>
          <w:rStyle w:val="22"/>
          <w:rFonts w:ascii="Times New Roman" w:hAnsi="Times New Roman"/>
          <w:b/>
          <w:bCs/>
          <w:sz w:val="24"/>
          <w:szCs w:val="24"/>
        </w:rPr>
        <w:t xml:space="preserve"> of Haematological Indices o</w:t>
      </w:r>
      <w:r>
        <w:rPr>
          <w:rFonts w:ascii="Times New Roman" w:hAnsi="Times New Roman" w:eastAsia="MinionPro-Regular"/>
          <w:b/>
          <w:bCs/>
          <w:sz w:val="24"/>
          <w:szCs w:val="24"/>
        </w:rPr>
        <w:t>f Glaucoma Patients and Non-glaucomatous Subjects Under Study</w:t>
      </w:r>
    </w:p>
    <w:p w14:paraId="03A379EA">
      <w:pPr>
        <w:pBdr>
          <w:top w:val="single" w:color="auto" w:sz="4" w:space="1"/>
          <w:bottom w:val="single" w:color="auto" w:sz="4" w:space="1"/>
        </w:pBdr>
        <w:spacing w:after="0" w:line="240" w:lineRule="auto"/>
        <w:jc w:val="both"/>
        <w:rPr>
          <w:rFonts w:ascii="Times New Roman" w:hAnsi="Times New Roman"/>
          <w:bCs/>
          <w:sz w:val="24"/>
          <w:szCs w:val="24"/>
        </w:rPr>
      </w:pPr>
      <w:r>
        <w:rPr>
          <w:rFonts w:ascii="Times New Roman" w:hAnsi="Times New Roman"/>
          <w:bCs/>
          <w:sz w:val="24"/>
          <w:szCs w:val="24"/>
        </w:rPr>
        <w:t>Haematological              Glaucoma Patients      Non- Glaucoma Patients    P-         Remark</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(n=50)                           (n=30)</w:t>
      </w:r>
      <w:r>
        <w:rPr>
          <w:rFonts w:ascii="Times New Roman" w:hAnsi="Times New Roman"/>
          <w:bCs/>
          <w:sz w:val="24"/>
          <w:szCs w:val="24"/>
        </w:rPr>
        <w:tab/>
      </w:r>
      <w:r>
        <w:rPr>
          <w:rFonts w:ascii="Times New Roman" w:hAnsi="Times New Roman"/>
          <w:bCs/>
          <w:sz w:val="24"/>
          <w:szCs w:val="24"/>
        </w:rPr>
        <w:t xml:space="preserve">          value</w:t>
      </w:r>
    </w:p>
    <w:p w14:paraId="3188AB4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Age (years)                          38.33 ± 6.34                    33.53 ± 5.32              0.003</w:t>
      </w:r>
      <w:r>
        <w:rPr>
          <w:rFonts w:ascii="Times New Roman" w:hAnsi="Times New Roman"/>
          <w:sz w:val="24"/>
          <w:szCs w:val="24"/>
          <w:vertAlign w:val="superscript"/>
        </w:rPr>
        <w:t xml:space="preserve">*              </w:t>
      </w:r>
      <w:r>
        <w:rPr>
          <w:rFonts w:ascii="Times New Roman" w:hAnsi="Times New Roman"/>
          <w:sz w:val="24"/>
          <w:szCs w:val="24"/>
        </w:rPr>
        <w:t>S</w:t>
      </w:r>
    </w:p>
    <w:p w14:paraId="631E744A">
      <w:pPr>
        <w:pStyle w:val="24"/>
        <w:spacing w:before="20" w:after="20" w:line="240" w:lineRule="auto"/>
        <w:jc w:val="both"/>
        <w:rPr>
          <w:rFonts w:ascii="Times New Roman" w:hAnsi="Times New Roman" w:cs="Times New Roman"/>
        </w:rPr>
      </w:pPr>
      <w:r>
        <w:rPr>
          <w:rFonts w:ascii="Times New Roman" w:hAnsi="Times New Roman" w:cs="Times New Roman"/>
        </w:rPr>
        <w:t>PCV (%)                              40.5 ± 1.07                     41.5 ± 2.23</w:t>
      </w:r>
      <w:r>
        <w:rPr>
          <w:rStyle w:val="21"/>
          <w:rFonts w:ascii="Times New Roman" w:hAnsi="Times New Roman" w:cs="Times New Roman"/>
          <w:sz w:val="24"/>
          <w:szCs w:val="24"/>
        </w:rPr>
        <w:t xml:space="preserve">                 0.762           </w:t>
      </w:r>
      <w:r>
        <w:rPr>
          <w:rFonts w:ascii="Times New Roman" w:hAnsi="Times New Roman" w:cs="Times New Roman"/>
        </w:rPr>
        <w:t>NS</w:t>
      </w:r>
    </w:p>
    <w:p w14:paraId="22602402">
      <w:pPr>
        <w:spacing w:after="0" w:line="240" w:lineRule="auto"/>
        <w:rPr>
          <w:rFonts w:ascii="Times New Roman" w:hAnsi="Times New Roman"/>
          <w:sz w:val="24"/>
          <w:szCs w:val="24"/>
        </w:rPr>
      </w:pPr>
      <w:r>
        <w:rPr>
          <w:rFonts w:ascii="Times New Roman" w:hAnsi="Times New Roman"/>
          <w:sz w:val="24"/>
          <w:szCs w:val="24"/>
        </w:rPr>
        <w:t>Hb (g/dl)                             12.78 ± 1.07                   12.99 ± 2.23</w:t>
      </w:r>
      <w:r>
        <w:rPr>
          <w:rStyle w:val="21"/>
          <w:rFonts w:ascii="Times New Roman" w:hAnsi="Times New Roman"/>
          <w:sz w:val="24"/>
          <w:szCs w:val="24"/>
        </w:rPr>
        <w:t xml:space="preserve">                0.642           </w:t>
      </w:r>
      <w:r>
        <w:rPr>
          <w:rFonts w:ascii="Times New Roman" w:hAnsi="Times New Roman"/>
          <w:sz w:val="24"/>
          <w:szCs w:val="24"/>
        </w:rPr>
        <w:t>NS</w:t>
      </w:r>
    </w:p>
    <w:p w14:paraId="5D52347F">
      <w:pPr>
        <w:pStyle w:val="24"/>
        <w:spacing w:before="20" w:line="240" w:lineRule="auto"/>
        <w:jc w:val="both"/>
        <w:rPr>
          <w:rFonts w:ascii="Times New Roman" w:hAnsi="Times New Roman" w:cs="Times New Roman"/>
        </w:rPr>
      </w:pPr>
      <w:r>
        <w:rPr>
          <w:rFonts w:ascii="Times New Roman" w:hAnsi="Times New Roman" w:cs="Times New Roman"/>
        </w:rPr>
        <w:t>TWBC (x 10</w:t>
      </w:r>
      <w:r>
        <w:rPr>
          <w:rFonts w:ascii="Times New Roman" w:hAnsi="Times New Roman" w:cs="Times New Roman"/>
          <w:vertAlign w:val="superscript"/>
        </w:rPr>
        <w:t>9</w:t>
      </w:r>
      <w:r>
        <w:rPr>
          <w:rFonts w:ascii="Times New Roman" w:hAnsi="Times New Roman" w:cs="Times New Roman"/>
        </w:rPr>
        <w:t>/L)                  7.21 ± 1.07                      6.65 ± 1.23</w:t>
      </w:r>
      <w:r>
        <w:rPr>
          <w:rStyle w:val="21"/>
          <w:rFonts w:ascii="Times New Roman" w:hAnsi="Times New Roman" w:cs="Times New Roman"/>
          <w:sz w:val="24"/>
          <w:szCs w:val="24"/>
        </w:rPr>
        <w:t xml:space="preserve">                0.182           </w:t>
      </w:r>
      <w:r>
        <w:rPr>
          <w:rFonts w:ascii="Times New Roman" w:hAnsi="Times New Roman" w:cs="Times New Roman"/>
        </w:rPr>
        <w:t>NS</w:t>
      </w:r>
    </w:p>
    <w:p w14:paraId="35B4C8D3">
      <w:pPr>
        <w:pStyle w:val="24"/>
        <w:spacing w:before="20" w:after="20" w:line="240" w:lineRule="auto"/>
        <w:jc w:val="both"/>
        <w:rPr>
          <w:rStyle w:val="21"/>
          <w:rFonts w:ascii="Times New Roman" w:hAnsi="Times New Roman" w:cs="Times New Roman"/>
          <w:sz w:val="24"/>
          <w:szCs w:val="24"/>
        </w:rPr>
      </w:pPr>
      <w:r>
        <w:rPr>
          <w:rFonts w:ascii="Times New Roman" w:hAnsi="Times New Roman" w:cs="Times New Roman"/>
        </w:rPr>
        <w:t xml:space="preserve">NEUT (%)                          47.35 ± 7.13                   44.02 ± 6.04                0.856           NS                               </w:t>
      </w:r>
      <w:r>
        <w:rPr>
          <w:rStyle w:val="21"/>
          <w:rFonts w:ascii="Times New Roman" w:hAnsi="Times New Roman" w:cs="Times New Roman"/>
          <w:sz w:val="24"/>
          <w:szCs w:val="24"/>
        </w:rPr>
        <w:t xml:space="preserve"> </w:t>
      </w:r>
      <w:r>
        <w:rPr>
          <w:rFonts w:ascii="Times New Roman" w:hAnsi="Times New Roman" w:cs="Times New Roman"/>
        </w:rPr>
        <w:t xml:space="preserve">                                                                  </w:t>
      </w:r>
      <w:r>
        <w:rPr>
          <w:rStyle w:val="21"/>
          <w:rFonts w:ascii="Times New Roman" w:hAnsi="Times New Roman" w:cs="Times New Roman"/>
          <w:sz w:val="24"/>
          <w:szCs w:val="24"/>
        </w:rPr>
        <w:t xml:space="preserve"> </w:t>
      </w:r>
    </w:p>
    <w:p w14:paraId="73891493">
      <w:pPr>
        <w:pStyle w:val="24"/>
        <w:spacing w:before="20" w:after="20" w:line="240" w:lineRule="auto"/>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LYMP </w:t>
      </w:r>
      <w:r>
        <w:rPr>
          <w:rFonts w:ascii="Times New Roman" w:hAnsi="Times New Roman" w:cs="Times New Roman"/>
        </w:rPr>
        <w:t>(%)</w:t>
      </w:r>
      <w:r>
        <w:rPr>
          <w:rStyle w:val="21"/>
          <w:rFonts w:ascii="Times New Roman" w:hAnsi="Times New Roman" w:cs="Times New Roman"/>
          <w:sz w:val="24"/>
          <w:szCs w:val="24"/>
        </w:rPr>
        <w:t xml:space="preserve">                         49</w:t>
      </w:r>
      <w:r>
        <w:rPr>
          <w:rFonts w:ascii="Times New Roman" w:hAnsi="Times New Roman" w:cs="Times New Roman"/>
        </w:rPr>
        <w:t>.02 ± 5.13                   49.05 ± 5.21                 0.256           NS</w:t>
      </w:r>
    </w:p>
    <w:p w14:paraId="6CE74801">
      <w:pPr>
        <w:pStyle w:val="24"/>
        <w:spacing w:before="20" w:after="20" w:line="240" w:lineRule="auto"/>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MONO </w:t>
      </w:r>
      <w:r>
        <w:rPr>
          <w:rFonts w:ascii="Times New Roman" w:hAnsi="Times New Roman" w:cs="Times New Roman"/>
        </w:rPr>
        <w:t>(%)</w:t>
      </w:r>
      <w:r>
        <w:rPr>
          <w:rStyle w:val="21"/>
          <w:rFonts w:ascii="Times New Roman" w:hAnsi="Times New Roman" w:cs="Times New Roman"/>
          <w:sz w:val="24"/>
          <w:szCs w:val="24"/>
        </w:rPr>
        <w:t xml:space="preserve">                          1.72 ± 0.12                     1.99 ± 0.14                 0.504           </w:t>
      </w:r>
      <w:r>
        <w:rPr>
          <w:rFonts w:ascii="Times New Roman" w:hAnsi="Times New Roman" w:cs="Times New Roman"/>
        </w:rPr>
        <w:t>NS</w:t>
      </w:r>
    </w:p>
    <w:p w14:paraId="7FC25142">
      <w:pPr>
        <w:pStyle w:val="24"/>
        <w:pBdr>
          <w:bottom w:val="single" w:color="auto" w:sz="4" w:space="1"/>
        </w:pBdr>
        <w:spacing w:before="20" w:after="20" w:line="240" w:lineRule="auto"/>
        <w:jc w:val="both"/>
        <w:rPr>
          <w:rFonts w:ascii="Times New Roman" w:hAnsi="Times New Roman" w:cs="Times New Roman"/>
        </w:rPr>
      </w:pPr>
      <w:r>
        <w:rPr>
          <w:rStyle w:val="21"/>
          <w:rFonts w:ascii="Times New Roman" w:hAnsi="Times New Roman" w:cs="Times New Roman"/>
          <w:sz w:val="24"/>
          <w:szCs w:val="24"/>
        </w:rPr>
        <w:t xml:space="preserve">EOSIN </w:t>
      </w:r>
      <w:r>
        <w:rPr>
          <w:rFonts w:ascii="Times New Roman" w:hAnsi="Times New Roman" w:cs="Times New Roman"/>
        </w:rPr>
        <w:t>(%)</w:t>
      </w:r>
      <w:r>
        <w:rPr>
          <w:rStyle w:val="21"/>
          <w:rFonts w:ascii="Times New Roman" w:hAnsi="Times New Roman" w:cs="Times New Roman"/>
          <w:sz w:val="24"/>
          <w:szCs w:val="24"/>
        </w:rPr>
        <w:t xml:space="preserve">                          </w:t>
      </w:r>
      <w:bookmarkStart w:id="2" w:name="_Hlk138742527"/>
      <w:r>
        <w:rPr>
          <w:rStyle w:val="21"/>
          <w:rFonts w:ascii="Times New Roman" w:hAnsi="Times New Roman" w:cs="Times New Roman"/>
          <w:sz w:val="24"/>
          <w:szCs w:val="24"/>
        </w:rPr>
        <w:t>1.02 ± 1.08</w:t>
      </w:r>
      <w:r>
        <w:rPr>
          <w:rFonts w:ascii="Times New Roman" w:hAnsi="Times New Roman" w:cs="Times New Roman"/>
        </w:rPr>
        <w:t xml:space="preserve">                    4.45 </w:t>
      </w:r>
      <w:r>
        <w:rPr>
          <w:rStyle w:val="21"/>
          <w:rFonts w:ascii="Times New Roman" w:hAnsi="Times New Roman" w:cs="Times New Roman"/>
          <w:sz w:val="24"/>
          <w:szCs w:val="24"/>
        </w:rPr>
        <w:t>± 1.21</w:t>
      </w:r>
      <w:bookmarkEnd w:id="2"/>
      <w:r>
        <w:rPr>
          <w:rStyle w:val="21"/>
          <w:rFonts w:ascii="Times New Roman" w:hAnsi="Times New Roman" w:cs="Times New Roman"/>
          <w:sz w:val="24"/>
          <w:szCs w:val="24"/>
        </w:rPr>
        <w:t xml:space="preserve"> </w:t>
      </w:r>
      <w:r>
        <w:rPr>
          <w:rFonts w:ascii="Times New Roman" w:hAnsi="Times New Roman" w:cs="Times New Roman"/>
        </w:rPr>
        <w:t xml:space="preserve">                 0.002*           S</w:t>
      </w:r>
    </w:p>
    <w:p w14:paraId="5CB45DC4">
      <w:pPr>
        <w:pStyle w:val="24"/>
        <w:pBdr>
          <w:bottom w:val="single" w:color="auto" w:sz="4" w:space="1"/>
        </w:pBdr>
        <w:spacing w:before="20" w:after="20" w:line="240" w:lineRule="auto"/>
        <w:jc w:val="both"/>
        <w:rPr>
          <w:rFonts w:ascii="Times New Roman" w:hAnsi="Times New Roman" w:cs="Times New Roman"/>
        </w:rPr>
      </w:pPr>
      <w:r>
        <w:rPr>
          <w:rStyle w:val="21"/>
          <w:rFonts w:ascii="Times New Roman" w:hAnsi="Times New Roman" w:cs="Times New Roman"/>
          <w:sz w:val="24"/>
          <w:szCs w:val="24"/>
        </w:rPr>
        <w:t>PLT(x10</w:t>
      </w:r>
      <w:r>
        <w:rPr>
          <w:rStyle w:val="25"/>
          <w:rFonts w:ascii="Times New Roman" w:hAnsi="Times New Roman" w:cs="Times New Roman"/>
          <w:sz w:val="24"/>
          <w:szCs w:val="24"/>
          <w:vertAlign w:val="superscript"/>
        </w:rPr>
        <w:t>9</w:t>
      </w:r>
      <w:r>
        <w:rPr>
          <w:rStyle w:val="21"/>
          <w:rFonts w:ascii="Times New Roman" w:hAnsi="Times New Roman" w:cs="Times New Roman"/>
          <w:sz w:val="24"/>
          <w:szCs w:val="24"/>
        </w:rPr>
        <w:t xml:space="preserve">/l)                       203.45 ± 20.22                231.48 ± 21.43             0.378          </w:t>
      </w:r>
      <w:r>
        <w:rPr>
          <w:rFonts w:ascii="Times New Roman" w:hAnsi="Times New Roman" w:cs="Times New Roman"/>
        </w:rPr>
        <w:t>NS</w:t>
      </w:r>
    </w:p>
    <w:p w14:paraId="0E7E0DBC">
      <w:pPr>
        <w:spacing w:line="240" w:lineRule="auto"/>
        <w:jc w:val="both"/>
        <w:rPr>
          <w:rFonts w:ascii="Times New Roman" w:hAnsi="Times New Roman"/>
          <w:sz w:val="24"/>
          <w:szCs w:val="24"/>
        </w:rPr>
      </w:pPr>
      <w:r>
        <w:rPr>
          <w:rFonts w:ascii="Times New Roman" w:hAnsi="Times New Roman"/>
          <w:sz w:val="24"/>
          <w:szCs w:val="24"/>
        </w:rPr>
        <w:t>Key: Values marked with an asterisk (*) indicate statistical significance at P &lt; 0.05. Results are presented as Mean ± Standard Deviation (SEM). A Student’s t-test was used for analysis, with P &lt; 0.05 considered statistically significant. 'NS' denotes non-significant results, while 'S' indicates statistical significance. Abbreviations: TWBC – Total White Blood Cell count, NEUT – Neutrophil, LYMP – Lymphocyte, MONO – Monocyte, EOSIN – Eosinophil, and PLT – Platelet.</w:t>
      </w:r>
    </w:p>
    <w:p w14:paraId="14E19D7F">
      <w:pPr>
        <w:spacing w:after="0" w:line="240" w:lineRule="auto"/>
        <w:jc w:val="both"/>
        <w:rPr>
          <w:rFonts w:ascii="Times New Roman" w:hAnsi="Times New Roman"/>
          <w:b/>
          <w:bCs/>
          <w:sz w:val="2"/>
          <w:szCs w:val="2"/>
        </w:rPr>
      </w:pPr>
    </w:p>
    <w:p w14:paraId="2E63CD75">
      <w:pPr>
        <w:spacing w:after="0" w:line="240" w:lineRule="auto"/>
        <w:jc w:val="both"/>
        <w:rPr>
          <w:rFonts w:ascii="Times New Roman" w:hAnsi="Times New Roman"/>
          <w:b/>
          <w:bCs/>
          <w:sz w:val="24"/>
          <w:szCs w:val="24"/>
        </w:rPr>
      </w:pPr>
      <w:r>
        <w:rPr>
          <w:rFonts w:ascii="Times New Roman" w:hAnsi="Times New Roman"/>
          <w:b/>
          <w:bCs/>
          <w:sz w:val="24"/>
          <w:szCs w:val="24"/>
        </w:rPr>
        <w:t xml:space="preserve">Table </w:t>
      </w:r>
      <w:bookmarkStart w:id="3" w:name="_Hlk139050879"/>
      <w:r>
        <w:rPr>
          <w:rFonts w:ascii="Times New Roman" w:hAnsi="Times New Roman"/>
          <w:b/>
          <w:bCs/>
          <w:sz w:val="24"/>
          <w:szCs w:val="24"/>
        </w:rPr>
        <w:t>3: Comparison of Serum Antioxidants and Malondialdehyde levels in Glaucoma patients by Gender.</w:t>
      </w:r>
    </w:p>
    <w:bookmarkEnd w:id="3"/>
    <w:tbl>
      <w:tblPr>
        <w:tblStyle w:val="5"/>
        <w:tblW w:w="0" w:type="auto"/>
        <w:tblInd w:w="11" w:type="dxa"/>
        <w:tblLayout w:type="autofit"/>
        <w:tblCellMar>
          <w:top w:w="0" w:type="dxa"/>
          <w:left w:w="108" w:type="dxa"/>
          <w:bottom w:w="0" w:type="dxa"/>
          <w:right w:w="108" w:type="dxa"/>
        </w:tblCellMar>
      </w:tblPr>
      <w:tblGrid>
        <w:gridCol w:w="1750"/>
        <w:gridCol w:w="2393"/>
        <w:gridCol w:w="1800"/>
        <w:gridCol w:w="1710"/>
        <w:gridCol w:w="1800"/>
      </w:tblGrid>
      <w:tr w14:paraId="6439713A">
        <w:tblPrEx>
          <w:tblCellMar>
            <w:top w:w="0" w:type="dxa"/>
            <w:left w:w="108" w:type="dxa"/>
            <w:bottom w:w="0" w:type="dxa"/>
            <w:right w:w="108" w:type="dxa"/>
          </w:tblCellMar>
        </w:tblPrEx>
        <w:tc>
          <w:tcPr>
            <w:tcW w:w="1556" w:type="dxa"/>
            <w:tcBorders>
              <w:top w:val="single" w:color="auto" w:sz="4" w:space="0"/>
              <w:bottom w:val="single" w:color="auto" w:sz="4" w:space="0"/>
            </w:tcBorders>
            <w:shd w:val="clear" w:color="auto" w:fill="auto"/>
          </w:tcPr>
          <w:p w14:paraId="45CDBD72">
            <w:pPr>
              <w:spacing w:after="0" w:line="240" w:lineRule="auto"/>
              <w:jc w:val="center"/>
              <w:rPr>
                <w:rFonts w:ascii="Times New Roman" w:hAnsi="Times New Roman"/>
                <w:bCs/>
                <w:sz w:val="24"/>
                <w:szCs w:val="24"/>
              </w:rPr>
            </w:pPr>
            <w:r>
              <w:rPr>
                <w:rFonts w:ascii="Times New Roman" w:hAnsi="Times New Roman"/>
                <w:bCs/>
                <w:sz w:val="24"/>
                <w:szCs w:val="24"/>
              </w:rPr>
              <w:t>Parameter</w:t>
            </w:r>
          </w:p>
        </w:tc>
        <w:tc>
          <w:tcPr>
            <w:tcW w:w="2393" w:type="dxa"/>
            <w:tcBorders>
              <w:top w:val="single" w:color="auto" w:sz="4" w:space="0"/>
              <w:bottom w:val="single" w:color="auto" w:sz="4" w:space="0"/>
            </w:tcBorders>
            <w:shd w:val="clear" w:color="auto" w:fill="auto"/>
          </w:tcPr>
          <w:p w14:paraId="00E9A43F">
            <w:pPr>
              <w:spacing w:after="0" w:line="240" w:lineRule="auto"/>
              <w:jc w:val="center"/>
              <w:rPr>
                <w:rFonts w:ascii="Times New Roman" w:hAnsi="Times New Roman"/>
                <w:bCs/>
                <w:sz w:val="24"/>
                <w:szCs w:val="24"/>
              </w:rPr>
            </w:pPr>
            <w:r>
              <w:rPr>
                <w:rFonts w:ascii="Times New Roman" w:hAnsi="Times New Roman"/>
                <w:bCs/>
                <w:sz w:val="24"/>
                <w:szCs w:val="24"/>
              </w:rPr>
              <w:t>Male (n=21)</w:t>
            </w:r>
          </w:p>
          <w:p w14:paraId="1E4EB298">
            <w:pPr>
              <w:spacing w:after="0" w:line="240" w:lineRule="auto"/>
              <w:jc w:val="center"/>
              <w:rPr>
                <w:rFonts w:ascii="Times New Roman" w:hAnsi="Times New Roman"/>
                <w:bCs/>
                <w:sz w:val="24"/>
                <w:szCs w:val="24"/>
              </w:rPr>
            </w:pPr>
            <w:r>
              <w:rPr>
                <w:rFonts w:ascii="Times New Roman" w:hAnsi="Times New Roman"/>
                <w:bCs/>
                <w:sz w:val="24"/>
                <w:szCs w:val="24"/>
              </w:rPr>
              <w:t>(X±SD)</w:t>
            </w:r>
          </w:p>
        </w:tc>
        <w:tc>
          <w:tcPr>
            <w:tcW w:w="1800" w:type="dxa"/>
            <w:tcBorders>
              <w:top w:val="single" w:color="auto" w:sz="4" w:space="0"/>
              <w:bottom w:val="single" w:color="auto" w:sz="4" w:space="0"/>
            </w:tcBorders>
            <w:shd w:val="clear" w:color="auto" w:fill="auto"/>
          </w:tcPr>
          <w:p w14:paraId="4C26436A">
            <w:pPr>
              <w:spacing w:after="0" w:line="240" w:lineRule="auto"/>
              <w:jc w:val="center"/>
              <w:rPr>
                <w:rFonts w:ascii="Times New Roman" w:hAnsi="Times New Roman"/>
                <w:bCs/>
                <w:sz w:val="24"/>
                <w:szCs w:val="24"/>
              </w:rPr>
            </w:pPr>
            <w:r>
              <w:rPr>
                <w:rFonts w:ascii="Times New Roman" w:hAnsi="Times New Roman"/>
                <w:bCs/>
                <w:sz w:val="24"/>
                <w:szCs w:val="24"/>
              </w:rPr>
              <w:t>Female (n=29)</w:t>
            </w:r>
          </w:p>
          <w:p w14:paraId="72F528D0">
            <w:pPr>
              <w:spacing w:after="0" w:line="240" w:lineRule="auto"/>
              <w:jc w:val="center"/>
              <w:rPr>
                <w:rFonts w:ascii="Times New Roman" w:hAnsi="Times New Roman"/>
                <w:bCs/>
                <w:sz w:val="24"/>
                <w:szCs w:val="24"/>
              </w:rPr>
            </w:pPr>
            <w:r>
              <w:rPr>
                <w:rFonts w:ascii="Times New Roman" w:hAnsi="Times New Roman"/>
                <w:bCs/>
                <w:sz w:val="24"/>
                <w:szCs w:val="24"/>
              </w:rPr>
              <w:t>(X±SD)</w:t>
            </w:r>
          </w:p>
        </w:tc>
        <w:tc>
          <w:tcPr>
            <w:tcW w:w="1710" w:type="dxa"/>
            <w:tcBorders>
              <w:top w:val="single" w:color="auto" w:sz="4" w:space="0"/>
              <w:bottom w:val="single" w:color="auto" w:sz="4" w:space="0"/>
            </w:tcBorders>
            <w:shd w:val="clear" w:color="auto" w:fill="auto"/>
          </w:tcPr>
          <w:p w14:paraId="422B99EA">
            <w:pPr>
              <w:spacing w:after="0" w:line="240" w:lineRule="auto"/>
              <w:jc w:val="center"/>
              <w:rPr>
                <w:rFonts w:ascii="Times New Roman" w:hAnsi="Times New Roman"/>
                <w:bCs/>
                <w:sz w:val="24"/>
                <w:szCs w:val="24"/>
              </w:rPr>
            </w:pPr>
            <w:r>
              <w:rPr>
                <w:rFonts w:ascii="Times New Roman" w:hAnsi="Times New Roman"/>
                <w:bCs/>
                <w:sz w:val="24"/>
                <w:szCs w:val="24"/>
              </w:rPr>
              <w:t>P-Value</w:t>
            </w:r>
          </w:p>
        </w:tc>
        <w:tc>
          <w:tcPr>
            <w:tcW w:w="1800" w:type="dxa"/>
            <w:tcBorders>
              <w:top w:val="single" w:color="auto" w:sz="4" w:space="0"/>
              <w:bottom w:val="single" w:color="auto" w:sz="4" w:space="0"/>
            </w:tcBorders>
            <w:shd w:val="clear" w:color="auto" w:fill="auto"/>
          </w:tcPr>
          <w:p w14:paraId="1DBC84A5">
            <w:pPr>
              <w:spacing w:after="0" w:line="240" w:lineRule="auto"/>
              <w:jc w:val="center"/>
              <w:rPr>
                <w:rFonts w:ascii="Times New Roman" w:hAnsi="Times New Roman"/>
                <w:bCs/>
                <w:sz w:val="24"/>
                <w:szCs w:val="24"/>
              </w:rPr>
            </w:pPr>
            <w:r>
              <w:rPr>
                <w:rFonts w:ascii="Times New Roman" w:hAnsi="Times New Roman"/>
                <w:bCs/>
                <w:sz w:val="24"/>
                <w:szCs w:val="24"/>
              </w:rPr>
              <w:t>Remark</w:t>
            </w:r>
          </w:p>
        </w:tc>
      </w:tr>
      <w:tr w14:paraId="6745DC5C">
        <w:tblPrEx>
          <w:tblCellMar>
            <w:top w:w="0" w:type="dxa"/>
            <w:left w:w="108" w:type="dxa"/>
            <w:bottom w:w="0" w:type="dxa"/>
            <w:right w:w="108" w:type="dxa"/>
          </w:tblCellMar>
        </w:tblPrEx>
        <w:trPr>
          <w:trHeight w:val="314" w:hRule="atLeast"/>
        </w:trPr>
        <w:tc>
          <w:tcPr>
            <w:tcW w:w="1556" w:type="dxa"/>
            <w:tcBorders>
              <w:top w:val="single" w:color="auto" w:sz="4" w:space="0"/>
            </w:tcBorders>
            <w:shd w:val="clear" w:color="auto" w:fill="auto"/>
          </w:tcPr>
          <w:p w14:paraId="0AB99C42">
            <w:pPr>
              <w:spacing w:after="0" w:line="240" w:lineRule="auto"/>
              <w:rPr>
                <w:rFonts w:ascii="Times New Roman" w:hAnsi="Times New Roman"/>
                <w:sz w:val="24"/>
                <w:szCs w:val="24"/>
              </w:rPr>
            </w:pPr>
            <w:r>
              <w:rPr>
                <w:rFonts w:ascii="Times New Roman" w:hAnsi="Times New Roman"/>
                <w:sz w:val="24"/>
                <w:szCs w:val="24"/>
              </w:rPr>
              <w:t>U/A (mmol/L</w:t>
            </w:r>
          </w:p>
        </w:tc>
        <w:tc>
          <w:tcPr>
            <w:tcW w:w="2393" w:type="dxa"/>
            <w:tcBorders>
              <w:top w:val="single" w:color="auto" w:sz="4" w:space="0"/>
            </w:tcBorders>
            <w:shd w:val="clear" w:color="auto" w:fill="auto"/>
          </w:tcPr>
          <w:p w14:paraId="0DAC4FD2">
            <w:pPr>
              <w:spacing w:after="0" w:line="240" w:lineRule="auto"/>
              <w:jc w:val="center"/>
              <w:rPr>
                <w:rFonts w:ascii="Times New Roman" w:hAnsi="Times New Roman"/>
                <w:sz w:val="24"/>
                <w:szCs w:val="24"/>
              </w:rPr>
            </w:pPr>
            <w:r>
              <w:rPr>
                <w:rFonts w:ascii="Times New Roman" w:hAnsi="Times New Roman"/>
                <w:sz w:val="24"/>
                <w:szCs w:val="24"/>
              </w:rPr>
              <w:t>0.37 ± 0.11</w:t>
            </w:r>
          </w:p>
        </w:tc>
        <w:tc>
          <w:tcPr>
            <w:tcW w:w="1800" w:type="dxa"/>
            <w:tcBorders>
              <w:top w:val="single" w:color="auto" w:sz="4" w:space="0"/>
            </w:tcBorders>
            <w:shd w:val="clear" w:color="auto" w:fill="auto"/>
          </w:tcPr>
          <w:p w14:paraId="267ED57A">
            <w:pPr>
              <w:spacing w:after="0" w:line="240" w:lineRule="auto"/>
              <w:jc w:val="center"/>
              <w:rPr>
                <w:rFonts w:ascii="Times New Roman" w:hAnsi="Times New Roman"/>
                <w:sz w:val="24"/>
                <w:szCs w:val="24"/>
              </w:rPr>
            </w:pPr>
            <w:r>
              <w:rPr>
                <w:rFonts w:ascii="Times New Roman" w:hAnsi="Times New Roman"/>
                <w:sz w:val="24"/>
                <w:szCs w:val="24"/>
              </w:rPr>
              <w:t>0.24 ± 0.02</w:t>
            </w:r>
          </w:p>
        </w:tc>
        <w:tc>
          <w:tcPr>
            <w:tcW w:w="1710" w:type="dxa"/>
            <w:tcBorders>
              <w:top w:val="single" w:color="auto" w:sz="4" w:space="0"/>
            </w:tcBorders>
            <w:shd w:val="clear" w:color="auto" w:fill="auto"/>
          </w:tcPr>
          <w:p w14:paraId="6AD066E9">
            <w:pPr>
              <w:spacing w:after="0" w:line="240" w:lineRule="auto"/>
              <w:jc w:val="center"/>
              <w:rPr>
                <w:rFonts w:ascii="Times New Roman" w:hAnsi="Times New Roman"/>
                <w:sz w:val="24"/>
                <w:szCs w:val="24"/>
              </w:rPr>
            </w:pPr>
            <w:r>
              <w:rPr>
                <w:rFonts w:ascii="Times New Roman" w:hAnsi="Times New Roman"/>
                <w:sz w:val="24"/>
                <w:szCs w:val="24"/>
              </w:rPr>
              <w:t>0.001</w:t>
            </w:r>
          </w:p>
        </w:tc>
        <w:tc>
          <w:tcPr>
            <w:tcW w:w="1800" w:type="dxa"/>
            <w:tcBorders>
              <w:top w:val="single" w:color="auto" w:sz="4" w:space="0"/>
            </w:tcBorders>
            <w:shd w:val="clear" w:color="auto" w:fill="auto"/>
          </w:tcPr>
          <w:p w14:paraId="5808DE52">
            <w:pPr>
              <w:spacing w:after="0" w:line="240" w:lineRule="auto"/>
              <w:jc w:val="center"/>
              <w:rPr>
                <w:rFonts w:ascii="Times New Roman" w:hAnsi="Times New Roman"/>
                <w:sz w:val="24"/>
                <w:szCs w:val="24"/>
              </w:rPr>
            </w:pPr>
            <w:r>
              <w:rPr>
                <w:rFonts w:ascii="Times New Roman" w:hAnsi="Times New Roman"/>
                <w:sz w:val="24"/>
                <w:szCs w:val="24"/>
              </w:rPr>
              <w:t>S</w:t>
            </w:r>
          </w:p>
        </w:tc>
      </w:tr>
      <w:tr w14:paraId="37AB7FC9">
        <w:tblPrEx>
          <w:tblCellMar>
            <w:top w:w="0" w:type="dxa"/>
            <w:left w:w="108" w:type="dxa"/>
            <w:bottom w:w="0" w:type="dxa"/>
            <w:right w:w="108" w:type="dxa"/>
          </w:tblCellMar>
        </w:tblPrEx>
        <w:tc>
          <w:tcPr>
            <w:tcW w:w="1556" w:type="dxa"/>
            <w:shd w:val="clear" w:color="auto" w:fill="auto"/>
          </w:tcPr>
          <w:p w14:paraId="7E2396D3">
            <w:pPr>
              <w:spacing w:after="0" w:line="240" w:lineRule="auto"/>
              <w:rPr>
                <w:rFonts w:ascii="Times New Roman" w:hAnsi="Times New Roman"/>
                <w:sz w:val="24"/>
                <w:szCs w:val="24"/>
              </w:rPr>
            </w:pPr>
            <w:r>
              <w:rPr>
                <w:rFonts w:ascii="Times New Roman" w:hAnsi="Times New Roman"/>
                <w:sz w:val="24"/>
                <w:szCs w:val="24"/>
              </w:rPr>
              <w:t>TB (µmol/L</w:t>
            </w:r>
          </w:p>
        </w:tc>
        <w:tc>
          <w:tcPr>
            <w:tcW w:w="2393" w:type="dxa"/>
            <w:shd w:val="clear" w:color="auto" w:fill="auto"/>
          </w:tcPr>
          <w:p w14:paraId="365E21F3">
            <w:pPr>
              <w:spacing w:after="0" w:line="240" w:lineRule="auto"/>
              <w:jc w:val="center"/>
              <w:rPr>
                <w:rFonts w:ascii="Times New Roman" w:hAnsi="Times New Roman"/>
                <w:sz w:val="24"/>
                <w:szCs w:val="24"/>
              </w:rPr>
            </w:pPr>
            <w:r>
              <w:rPr>
                <w:rFonts w:ascii="Times New Roman" w:hAnsi="Times New Roman"/>
                <w:sz w:val="24"/>
                <w:szCs w:val="24"/>
              </w:rPr>
              <w:t>8.81 ± 2.23</w:t>
            </w:r>
          </w:p>
        </w:tc>
        <w:tc>
          <w:tcPr>
            <w:tcW w:w="1800" w:type="dxa"/>
            <w:shd w:val="clear" w:color="auto" w:fill="auto"/>
          </w:tcPr>
          <w:p w14:paraId="54494683">
            <w:pPr>
              <w:spacing w:after="0" w:line="240" w:lineRule="auto"/>
              <w:jc w:val="center"/>
              <w:rPr>
                <w:rFonts w:ascii="Times New Roman" w:hAnsi="Times New Roman"/>
                <w:sz w:val="24"/>
                <w:szCs w:val="24"/>
              </w:rPr>
            </w:pPr>
            <w:r>
              <w:rPr>
                <w:rFonts w:ascii="Times New Roman" w:hAnsi="Times New Roman"/>
                <w:sz w:val="24"/>
                <w:szCs w:val="24"/>
              </w:rPr>
              <w:t>8.07 ± 2.01</w:t>
            </w:r>
          </w:p>
        </w:tc>
        <w:tc>
          <w:tcPr>
            <w:tcW w:w="1710" w:type="dxa"/>
            <w:shd w:val="clear" w:color="auto" w:fill="auto"/>
          </w:tcPr>
          <w:p w14:paraId="1A22E443">
            <w:pPr>
              <w:spacing w:after="0" w:line="240" w:lineRule="auto"/>
              <w:jc w:val="center"/>
              <w:rPr>
                <w:rFonts w:ascii="Times New Roman" w:hAnsi="Times New Roman"/>
                <w:sz w:val="24"/>
                <w:szCs w:val="24"/>
              </w:rPr>
            </w:pPr>
            <w:r>
              <w:rPr>
                <w:rFonts w:ascii="Times New Roman" w:hAnsi="Times New Roman"/>
                <w:sz w:val="24"/>
                <w:szCs w:val="24"/>
              </w:rPr>
              <w:t>0.022</w:t>
            </w:r>
          </w:p>
        </w:tc>
        <w:tc>
          <w:tcPr>
            <w:tcW w:w="1800" w:type="dxa"/>
            <w:shd w:val="clear" w:color="auto" w:fill="auto"/>
          </w:tcPr>
          <w:p w14:paraId="479B9B8E">
            <w:pPr>
              <w:spacing w:after="0" w:line="240" w:lineRule="auto"/>
              <w:jc w:val="center"/>
              <w:rPr>
                <w:rFonts w:ascii="Times New Roman" w:hAnsi="Times New Roman"/>
                <w:sz w:val="24"/>
                <w:szCs w:val="24"/>
              </w:rPr>
            </w:pPr>
            <w:r>
              <w:rPr>
                <w:rFonts w:ascii="Times New Roman" w:hAnsi="Times New Roman"/>
                <w:sz w:val="24"/>
                <w:szCs w:val="24"/>
              </w:rPr>
              <w:t>S</w:t>
            </w:r>
          </w:p>
        </w:tc>
      </w:tr>
      <w:tr w14:paraId="296EDC72">
        <w:tblPrEx>
          <w:tblCellMar>
            <w:top w:w="0" w:type="dxa"/>
            <w:left w:w="108" w:type="dxa"/>
            <w:bottom w:w="0" w:type="dxa"/>
            <w:right w:w="108" w:type="dxa"/>
          </w:tblCellMar>
        </w:tblPrEx>
        <w:tc>
          <w:tcPr>
            <w:tcW w:w="1556" w:type="dxa"/>
            <w:shd w:val="clear" w:color="auto" w:fill="auto"/>
          </w:tcPr>
          <w:p w14:paraId="49521CC2">
            <w:pPr>
              <w:spacing w:after="0" w:line="240" w:lineRule="auto"/>
              <w:rPr>
                <w:rFonts w:ascii="Times New Roman" w:hAnsi="Times New Roman"/>
                <w:sz w:val="24"/>
                <w:szCs w:val="24"/>
              </w:rPr>
            </w:pPr>
            <w:r>
              <w:rPr>
                <w:rFonts w:ascii="Times New Roman" w:hAnsi="Times New Roman"/>
                <w:sz w:val="24"/>
                <w:szCs w:val="24"/>
              </w:rPr>
              <w:t>CB (µmol/L</w:t>
            </w:r>
          </w:p>
        </w:tc>
        <w:tc>
          <w:tcPr>
            <w:tcW w:w="2393" w:type="dxa"/>
            <w:shd w:val="clear" w:color="auto" w:fill="auto"/>
          </w:tcPr>
          <w:p w14:paraId="6E26170A">
            <w:pPr>
              <w:spacing w:after="0" w:line="240" w:lineRule="auto"/>
              <w:jc w:val="center"/>
              <w:rPr>
                <w:rFonts w:ascii="Times New Roman" w:hAnsi="Times New Roman"/>
                <w:sz w:val="24"/>
                <w:szCs w:val="24"/>
              </w:rPr>
            </w:pPr>
            <w:r>
              <w:rPr>
                <w:rFonts w:ascii="Times New Roman" w:hAnsi="Times New Roman"/>
                <w:sz w:val="24"/>
                <w:szCs w:val="24"/>
              </w:rPr>
              <w:t>3.68 ± 1.42</w:t>
            </w:r>
          </w:p>
        </w:tc>
        <w:tc>
          <w:tcPr>
            <w:tcW w:w="1800" w:type="dxa"/>
            <w:shd w:val="clear" w:color="auto" w:fill="auto"/>
          </w:tcPr>
          <w:p w14:paraId="464ECF4C">
            <w:pPr>
              <w:spacing w:after="0" w:line="240" w:lineRule="auto"/>
              <w:jc w:val="center"/>
              <w:rPr>
                <w:rFonts w:ascii="Times New Roman" w:hAnsi="Times New Roman"/>
                <w:sz w:val="24"/>
                <w:szCs w:val="24"/>
              </w:rPr>
            </w:pPr>
            <w:r>
              <w:rPr>
                <w:rFonts w:ascii="Times New Roman" w:hAnsi="Times New Roman"/>
                <w:sz w:val="24"/>
                <w:szCs w:val="24"/>
              </w:rPr>
              <w:t>3.17 ± 1.04</w:t>
            </w:r>
          </w:p>
        </w:tc>
        <w:tc>
          <w:tcPr>
            <w:tcW w:w="1710" w:type="dxa"/>
            <w:shd w:val="clear" w:color="auto" w:fill="auto"/>
          </w:tcPr>
          <w:p w14:paraId="58736967">
            <w:pPr>
              <w:spacing w:after="0" w:line="240" w:lineRule="auto"/>
              <w:jc w:val="center"/>
              <w:rPr>
                <w:rFonts w:ascii="Times New Roman" w:hAnsi="Times New Roman"/>
                <w:sz w:val="24"/>
                <w:szCs w:val="24"/>
              </w:rPr>
            </w:pPr>
            <w:r>
              <w:rPr>
                <w:rFonts w:ascii="Times New Roman" w:hAnsi="Times New Roman"/>
                <w:sz w:val="24"/>
                <w:szCs w:val="24"/>
              </w:rPr>
              <w:t>0.045</w:t>
            </w:r>
          </w:p>
        </w:tc>
        <w:tc>
          <w:tcPr>
            <w:tcW w:w="1800" w:type="dxa"/>
            <w:shd w:val="clear" w:color="auto" w:fill="auto"/>
          </w:tcPr>
          <w:p w14:paraId="5E9F899B">
            <w:pPr>
              <w:spacing w:after="0" w:line="240" w:lineRule="auto"/>
              <w:jc w:val="center"/>
              <w:rPr>
                <w:rFonts w:ascii="Times New Roman" w:hAnsi="Times New Roman"/>
                <w:sz w:val="24"/>
                <w:szCs w:val="24"/>
              </w:rPr>
            </w:pPr>
            <w:r>
              <w:rPr>
                <w:rFonts w:ascii="Times New Roman" w:hAnsi="Times New Roman"/>
                <w:sz w:val="24"/>
                <w:szCs w:val="24"/>
              </w:rPr>
              <w:t>S</w:t>
            </w:r>
          </w:p>
        </w:tc>
      </w:tr>
      <w:tr w14:paraId="086423E8">
        <w:tblPrEx>
          <w:tblCellMar>
            <w:top w:w="0" w:type="dxa"/>
            <w:left w:w="108" w:type="dxa"/>
            <w:bottom w:w="0" w:type="dxa"/>
            <w:right w:w="108" w:type="dxa"/>
          </w:tblCellMar>
        </w:tblPrEx>
        <w:tc>
          <w:tcPr>
            <w:tcW w:w="1556" w:type="dxa"/>
            <w:shd w:val="clear" w:color="auto" w:fill="auto"/>
          </w:tcPr>
          <w:p w14:paraId="1D0BD2CA">
            <w:pPr>
              <w:spacing w:after="0" w:line="240" w:lineRule="auto"/>
              <w:rPr>
                <w:rFonts w:ascii="Times New Roman" w:hAnsi="Times New Roman"/>
                <w:sz w:val="24"/>
                <w:szCs w:val="24"/>
              </w:rPr>
            </w:pPr>
            <w:r>
              <w:rPr>
                <w:rFonts w:ascii="Times New Roman" w:hAnsi="Times New Roman"/>
                <w:sz w:val="24"/>
                <w:szCs w:val="24"/>
              </w:rPr>
              <w:t>ALB (g/L)</w:t>
            </w:r>
          </w:p>
        </w:tc>
        <w:tc>
          <w:tcPr>
            <w:tcW w:w="2393" w:type="dxa"/>
            <w:shd w:val="clear" w:color="auto" w:fill="auto"/>
          </w:tcPr>
          <w:p w14:paraId="69A24CE6">
            <w:pPr>
              <w:spacing w:after="0" w:line="240" w:lineRule="auto"/>
              <w:jc w:val="center"/>
              <w:rPr>
                <w:rFonts w:ascii="Times New Roman" w:hAnsi="Times New Roman"/>
                <w:sz w:val="24"/>
                <w:szCs w:val="24"/>
              </w:rPr>
            </w:pPr>
            <w:r>
              <w:rPr>
                <w:rFonts w:ascii="Times New Roman" w:hAnsi="Times New Roman"/>
                <w:sz w:val="24"/>
                <w:szCs w:val="24"/>
              </w:rPr>
              <w:t>40.9 ± 4.00</w:t>
            </w:r>
          </w:p>
        </w:tc>
        <w:tc>
          <w:tcPr>
            <w:tcW w:w="1800" w:type="dxa"/>
            <w:shd w:val="clear" w:color="auto" w:fill="auto"/>
          </w:tcPr>
          <w:p w14:paraId="126CF244">
            <w:pPr>
              <w:spacing w:after="0" w:line="240" w:lineRule="auto"/>
              <w:jc w:val="center"/>
              <w:rPr>
                <w:rFonts w:ascii="Times New Roman" w:hAnsi="Times New Roman"/>
                <w:sz w:val="24"/>
                <w:szCs w:val="24"/>
              </w:rPr>
            </w:pPr>
            <w:r>
              <w:rPr>
                <w:rFonts w:ascii="Times New Roman" w:hAnsi="Times New Roman"/>
                <w:sz w:val="24"/>
                <w:szCs w:val="24"/>
              </w:rPr>
              <w:t>40.7 ± 4.13</w:t>
            </w:r>
          </w:p>
        </w:tc>
        <w:tc>
          <w:tcPr>
            <w:tcW w:w="1710" w:type="dxa"/>
            <w:shd w:val="clear" w:color="auto" w:fill="auto"/>
          </w:tcPr>
          <w:p w14:paraId="7896E4F4">
            <w:pPr>
              <w:spacing w:after="0" w:line="240" w:lineRule="auto"/>
              <w:jc w:val="center"/>
              <w:rPr>
                <w:rFonts w:ascii="Times New Roman" w:hAnsi="Times New Roman"/>
                <w:sz w:val="24"/>
                <w:szCs w:val="24"/>
              </w:rPr>
            </w:pPr>
            <w:r>
              <w:rPr>
                <w:rFonts w:ascii="Times New Roman" w:hAnsi="Times New Roman"/>
                <w:sz w:val="24"/>
                <w:szCs w:val="24"/>
              </w:rPr>
              <w:t>0.720</w:t>
            </w:r>
          </w:p>
        </w:tc>
        <w:tc>
          <w:tcPr>
            <w:tcW w:w="1800" w:type="dxa"/>
            <w:shd w:val="clear" w:color="auto" w:fill="auto"/>
          </w:tcPr>
          <w:p w14:paraId="4FDA6511">
            <w:pPr>
              <w:spacing w:after="0" w:line="240" w:lineRule="auto"/>
              <w:jc w:val="center"/>
              <w:rPr>
                <w:rFonts w:ascii="Times New Roman" w:hAnsi="Times New Roman"/>
                <w:sz w:val="24"/>
                <w:szCs w:val="24"/>
              </w:rPr>
            </w:pPr>
            <w:r>
              <w:rPr>
                <w:rFonts w:ascii="Times New Roman" w:hAnsi="Times New Roman"/>
                <w:sz w:val="24"/>
                <w:szCs w:val="24"/>
              </w:rPr>
              <w:t>NS</w:t>
            </w:r>
          </w:p>
        </w:tc>
      </w:tr>
      <w:tr w14:paraId="2751A25B">
        <w:tblPrEx>
          <w:tblCellMar>
            <w:top w:w="0" w:type="dxa"/>
            <w:left w:w="108" w:type="dxa"/>
            <w:bottom w:w="0" w:type="dxa"/>
            <w:right w:w="108" w:type="dxa"/>
          </w:tblCellMar>
        </w:tblPrEx>
        <w:tc>
          <w:tcPr>
            <w:tcW w:w="1556" w:type="dxa"/>
            <w:shd w:val="clear" w:color="auto" w:fill="auto"/>
          </w:tcPr>
          <w:p w14:paraId="04C22FE3">
            <w:pPr>
              <w:spacing w:after="0" w:line="240" w:lineRule="auto"/>
              <w:rPr>
                <w:rFonts w:ascii="Times New Roman" w:hAnsi="Times New Roman"/>
                <w:sz w:val="24"/>
                <w:szCs w:val="24"/>
              </w:rPr>
            </w:pPr>
            <w:r>
              <w:rPr>
                <w:rFonts w:ascii="Times New Roman" w:hAnsi="Times New Roman"/>
                <w:sz w:val="24"/>
                <w:szCs w:val="24"/>
              </w:rPr>
              <w:t>CAT (µl/L)</w:t>
            </w:r>
          </w:p>
        </w:tc>
        <w:tc>
          <w:tcPr>
            <w:tcW w:w="2393" w:type="dxa"/>
            <w:shd w:val="clear" w:color="auto" w:fill="auto"/>
          </w:tcPr>
          <w:p w14:paraId="28B3B836">
            <w:pPr>
              <w:spacing w:after="0" w:line="240" w:lineRule="auto"/>
              <w:jc w:val="center"/>
              <w:rPr>
                <w:rFonts w:ascii="Times New Roman" w:hAnsi="Times New Roman"/>
                <w:sz w:val="24"/>
                <w:szCs w:val="24"/>
              </w:rPr>
            </w:pPr>
            <w:r>
              <w:rPr>
                <w:rFonts w:ascii="Times New Roman" w:hAnsi="Times New Roman"/>
                <w:sz w:val="24"/>
                <w:szCs w:val="24"/>
              </w:rPr>
              <w:t>45.1 ± 3.11</w:t>
            </w:r>
          </w:p>
        </w:tc>
        <w:tc>
          <w:tcPr>
            <w:tcW w:w="1800" w:type="dxa"/>
            <w:shd w:val="clear" w:color="auto" w:fill="auto"/>
          </w:tcPr>
          <w:p w14:paraId="11AEB18F">
            <w:pPr>
              <w:spacing w:after="0" w:line="240" w:lineRule="auto"/>
              <w:jc w:val="center"/>
              <w:rPr>
                <w:rFonts w:ascii="Times New Roman" w:hAnsi="Times New Roman"/>
                <w:sz w:val="24"/>
                <w:szCs w:val="24"/>
              </w:rPr>
            </w:pPr>
            <w:r>
              <w:rPr>
                <w:rFonts w:ascii="Times New Roman" w:hAnsi="Times New Roman"/>
                <w:sz w:val="24"/>
                <w:szCs w:val="24"/>
              </w:rPr>
              <w:t>45.3 ± 3.21</w:t>
            </w:r>
          </w:p>
        </w:tc>
        <w:tc>
          <w:tcPr>
            <w:tcW w:w="1710" w:type="dxa"/>
            <w:shd w:val="clear" w:color="auto" w:fill="auto"/>
          </w:tcPr>
          <w:p w14:paraId="75DE686E">
            <w:pPr>
              <w:spacing w:after="0" w:line="240" w:lineRule="auto"/>
              <w:jc w:val="center"/>
              <w:rPr>
                <w:rFonts w:ascii="Times New Roman" w:hAnsi="Times New Roman"/>
                <w:sz w:val="24"/>
                <w:szCs w:val="24"/>
              </w:rPr>
            </w:pPr>
            <w:r>
              <w:rPr>
                <w:rFonts w:ascii="Times New Roman" w:hAnsi="Times New Roman"/>
                <w:sz w:val="24"/>
                <w:szCs w:val="24"/>
              </w:rPr>
              <w:t>0.241</w:t>
            </w:r>
          </w:p>
        </w:tc>
        <w:tc>
          <w:tcPr>
            <w:tcW w:w="1800" w:type="dxa"/>
            <w:shd w:val="clear" w:color="auto" w:fill="auto"/>
          </w:tcPr>
          <w:p w14:paraId="7059279D">
            <w:pPr>
              <w:spacing w:after="0" w:line="240" w:lineRule="auto"/>
              <w:jc w:val="center"/>
              <w:rPr>
                <w:rFonts w:ascii="Times New Roman" w:hAnsi="Times New Roman"/>
                <w:sz w:val="24"/>
                <w:szCs w:val="24"/>
              </w:rPr>
            </w:pPr>
            <w:r>
              <w:rPr>
                <w:rFonts w:ascii="Times New Roman" w:hAnsi="Times New Roman"/>
                <w:sz w:val="24"/>
                <w:szCs w:val="24"/>
              </w:rPr>
              <w:t>NS</w:t>
            </w:r>
          </w:p>
        </w:tc>
      </w:tr>
      <w:tr w14:paraId="32F81ECD">
        <w:tblPrEx>
          <w:tblCellMar>
            <w:top w:w="0" w:type="dxa"/>
            <w:left w:w="108" w:type="dxa"/>
            <w:bottom w:w="0" w:type="dxa"/>
            <w:right w:w="108" w:type="dxa"/>
          </w:tblCellMar>
        </w:tblPrEx>
        <w:tc>
          <w:tcPr>
            <w:tcW w:w="1556" w:type="dxa"/>
            <w:shd w:val="clear" w:color="auto" w:fill="auto"/>
          </w:tcPr>
          <w:p w14:paraId="01CE3B54">
            <w:pPr>
              <w:spacing w:after="0" w:line="240" w:lineRule="auto"/>
              <w:rPr>
                <w:rFonts w:ascii="Times New Roman" w:hAnsi="Times New Roman"/>
                <w:sz w:val="24"/>
                <w:szCs w:val="24"/>
              </w:rPr>
            </w:pPr>
            <w:r>
              <w:rPr>
                <w:rFonts w:ascii="Times New Roman" w:hAnsi="Times New Roman"/>
                <w:sz w:val="24"/>
                <w:szCs w:val="24"/>
              </w:rPr>
              <w:t>SOD (µl/L)</w:t>
            </w:r>
          </w:p>
        </w:tc>
        <w:tc>
          <w:tcPr>
            <w:tcW w:w="2393" w:type="dxa"/>
            <w:shd w:val="clear" w:color="auto" w:fill="auto"/>
          </w:tcPr>
          <w:p w14:paraId="5FC6B6D1">
            <w:pPr>
              <w:spacing w:after="0" w:line="240" w:lineRule="auto"/>
              <w:jc w:val="center"/>
              <w:rPr>
                <w:rFonts w:ascii="Times New Roman" w:hAnsi="Times New Roman"/>
                <w:sz w:val="24"/>
                <w:szCs w:val="24"/>
              </w:rPr>
            </w:pPr>
            <w:r>
              <w:rPr>
                <w:rFonts w:ascii="Times New Roman" w:hAnsi="Times New Roman"/>
                <w:sz w:val="24"/>
                <w:szCs w:val="24"/>
              </w:rPr>
              <w:t>54.1 ± 4.01</w:t>
            </w:r>
          </w:p>
        </w:tc>
        <w:tc>
          <w:tcPr>
            <w:tcW w:w="1800" w:type="dxa"/>
            <w:shd w:val="clear" w:color="auto" w:fill="auto"/>
          </w:tcPr>
          <w:p w14:paraId="65605DB2">
            <w:pPr>
              <w:spacing w:after="0" w:line="240" w:lineRule="auto"/>
              <w:jc w:val="center"/>
              <w:rPr>
                <w:rFonts w:ascii="Times New Roman" w:hAnsi="Times New Roman"/>
                <w:sz w:val="24"/>
                <w:szCs w:val="24"/>
              </w:rPr>
            </w:pPr>
            <w:r>
              <w:rPr>
                <w:rFonts w:ascii="Times New Roman" w:hAnsi="Times New Roman"/>
                <w:sz w:val="24"/>
                <w:szCs w:val="24"/>
              </w:rPr>
              <w:t>53.9 ± 4.33</w:t>
            </w:r>
          </w:p>
        </w:tc>
        <w:tc>
          <w:tcPr>
            <w:tcW w:w="1710" w:type="dxa"/>
            <w:shd w:val="clear" w:color="auto" w:fill="auto"/>
          </w:tcPr>
          <w:p w14:paraId="3CF76A7A">
            <w:pPr>
              <w:spacing w:after="0" w:line="240" w:lineRule="auto"/>
              <w:jc w:val="center"/>
              <w:rPr>
                <w:rFonts w:ascii="Times New Roman" w:hAnsi="Times New Roman"/>
                <w:sz w:val="24"/>
                <w:szCs w:val="24"/>
              </w:rPr>
            </w:pPr>
            <w:r>
              <w:rPr>
                <w:rFonts w:ascii="Times New Roman" w:hAnsi="Times New Roman"/>
                <w:sz w:val="24"/>
                <w:szCs w:val="24"/>
              </w:rPr>
              <w:t>0.132</w:t>
            </w:r>
          </w:p>
        </w:tc>
        <w:tc>
          <w:tcPr>
            <w:tcW w:w="1800" w:type="dxa"/>
            <w:shd w:val="clear" w:color="auto" w:fill="auto"/>
          </w:tcPr>
          <w:p w14:paraId="7ABCAAF9">
            <w:pPr>
              <w:spacing w:after="0" w:line="240" w:lineRule="auto"/>
              <w:jc w:val="center"/>
              <w:rPr>
                <w:rFonts w:ascii="Times New Roman" w:hAnsi="Times New Roman"/>
                <w:sz w:val="24"/>
                <w:szCs w:val="24"/>
              </w:rPr>
            </w:pPr>
            <w:r>
              <w:rPr>
                <w:rFonts w:ascii="Times New Roman" w:hAnsi="Times New Roman"/>
                <w:sz w:val="24"/>
                <w:szCs w:val="24"/>
              </w:rPr>
              <w:t>NS</w:t>
            </w:r>
          </w:p>
        </w:tc>
      </w:tr>
      <w:tr w14:paraId="42005ED9">
        <w:tblPrEx>
          <w:tblCellMar>
            <w:top w:w="0" w:type="dxa"/>
            <w:left w:w="108" w:type="dxa"/>
            <w:bottom w:w="0" w:type="dxa"/>
            <w:right w:w="108" w:type="dxa"/>
          </w:tblCellMar>
        </w:tblPrEx>
        <w:tc>
          <w:tcPr>
            <w:tcW w:w="1556" w:type="dxa"/>
            <w:tcBorders>
              <w:bottom w:val="single" w:color="auto" w:sz="4" w:space="0"/>
            </w:tcBorders>
            <w:shd w:val="clear" w:color="auto" w:fill="auto"/>
          </w:tcPr>
          <w:p w14:paraId="73C25A30">
            <w:pPr>
              <w:spacing w:after="0" w:line="240" w:lineRule="auto"/>
              <w:rPr>
                <w:rFonts w:ascii="Times New Roman" w:hAnsi="Times New Roman"/>
                <w:sz w:val="24"/>
                <w:szCs w:val="24"/>
              </w:rPr>
            </w:pPr>
            <w:r>
              <w:rPr>
                <w:rFonts w:ascii="Times New Roman" w:hAnsi="Times New Roman"/>
                <w:sz w:val="24"/>
                <w:szCs w:val="24"/>
              </w:rPr>
              <w:t>MDA(nmol/ml)</w:t>
            </w:r>
          </w:p>
        </w:tc>
        <w:tc>
          <w:tcPr>
            <w:tcW w:w="2393" w:type="dxa"/>
            <w:tcBorders>
              <w:bottom w:val="single" w:color="auto" w:sz="4" w:space="0"/>
            </w:tcBorders>
            <w:shd w:val="clear" w:color="auto" w:fill="auto"/>
          </w:tcPr>
          <w:p w14:paraId="020ADABA">
            <w:pPr>
              <w:spacing w:after="0" w:line="240" w:lineRule="auto"/>
              <w:jc w:val="center"/>
              <w:rPr>
                <w:rFonts w:ascii="Times New Roman" w:hAnsi="Times New Roman"/>
                <w:sz w:val="24"/>
                <w:szCs w:val="24"/>
              </w:rPr>
            </w:pPr>
            <w:r>
              <w:rPr>
                <w:rFonts w:ascii="Times New Roman" w:hAnsi="Times New Roman"/>
                <w:sz w:val="24"/>
                <w:szCs w:val="24"/>
              </w:rPr>
              <w:t>4.06 ± 1.20</w:t>
            </w:r>
          </w:p>
        </w:tc>
        <w:tc>
          <w:tcPr>
            <w:tcW w:w="1800" w:type="dxa"/>
            <w:tcBorders>
              <w:bottom w:val="single" w:color="auto" w:sz="4" w:space="0"/>
            </w:tcBorders>
            <w:shd w:val="clear" w:color="auto" w:fill="auto"/>
          </w:tcPr>
          <w:p w14:paraId="7575CBA3">
            <w:pPr>
              <w:spacing w:after="0" w:line="240" w:lineRule="auto"/>
              <w:jc w:val="center"/>
              <w:rPr>
                <w:rFonts w:ascii="Times New Roman" w:hAnsi="Times New Roman"/>
                <w:sz w:val="24"/>
                <w:szCs w:val="24"/>
              </w:rPr>
            </w:pPr>
            <w:r>
              <w:rPr>
                <w:rFonts w:ascii="Times New Roman" w:hAnsi="Times New Roman"/>
                <w:sz w:val="24"/>
                <w:szCs w:val="24"/>
              </w:rPr>
              <w:t>4.02 ± 1.10</w:t>
            </w:r>
          </w:p>
        </w:tc>
        <w:tc>
          <w:tcPr>
            <w:tcW w:w="1710" w:type="dxa"/>
            <w:tcBorders>
              <w:bottom w:val="single" w:color="auto" w:sz="4" w:space="0"/>
            </w:tcBorders>
            <w:shd w:val="clear" w:color="auto" w:fill="auto"/>
          </w:tcPr>
          <w:p w14:paraId="431223A7">
            <w:pPr>
              <w:spacing w:after="0" w:line="240" w:lineRule="auto"/>
              <w:jc w:val="center"/>
              <w:rPr>
                <w:rFonts w:ascii="Times New Roman" w:hAnsi="Times New Roman"/>
                <w:sz w:val="24"/>
                <w:szCs w:val="24"/>
              </w:rPr>
            </w:pPr>
            <w:r>
              <w:rPr>
                <w:rFonts w:ascii="Times New Roman" w:hAnsi="Times New Roman"/>
                <w:sz w:val="24"/>
                <w:szCs w:val="24"/>
              </w:rPr>
              <w:t>0.751</w:t>
            </w:r>
          </w:p>
        </w:tc>
        <w:tc>
          <w:tcPr>
            <w:tcW w:w="1800" w:type="dxa"/>
            <w:tcBorders>
              <w:bottom w:val="single" w:color="auto" w:sz="4" w:space="0"/>
            </w:tcBorders>
            <w:shd w:val="clear" w:color="auto" w:fill="auto"/>
          </w:tcPr>
          <w:p w14:paraId="29EE9CC1">
            <w:pPr>
              <w:spacing w:after="0" w:line="240" w:lineRule="auto"/>
              <w:jc w:val="center"/>
              <w:rPr>
                <w:rFonts w:ascii="Times New Roman" w:hAnsi="Times New Roman"/>
                <w:sz w:val="24"/>
                <w:szCs w:val="24"/>
              </w:rPr>
            </w:pPr>
            <w:r>
              <w:rPr>
                <w:rFonts w:ascii="Times New Roman" w:hAnsi="Times New Roman"/>
                <w:sz w:val="24"/>
                <w:szCs w:val="24"/>
              </w:rPr>
              <w:t>NS</w:t>
            </w:r>
          </w:p>
        </w:tc>
      </w:tr>
    </w:tbl>
    <w:p w14:paraId="2343704B">
      <w:pPr>
        <w:spacing w:after="0" w:line="240" w:lineRule="auto"/>
        <w:jc w:val="both"/>
        <w:rPr>
          <w:rFonts w:ascii="Times New Roman" w:hAnsi="Times New Roman"/>
          <w:sz w:val="24"/>
          <w:szCs w:val="24"/>
        </w:rPr>
      </w:pPr>
      <w:r>
        <w:rPr>
          <w:rFonts w:ascii="Times New Roman" w:hAnsi="Times New Roman"/>
          <w:sz w:val="24"/>
          <w:szCs w:val="24"/>
        </w:rPr>
        <w:t>Results were represented in mean and standard deviation. Student T-test was used for comparing the groups. Keys: S=Significant, NS=Non-significant, MDA=Malonaldehyde, TB=Total bilirubin, CB= Conjugated bilirubin, CAT=Catalase, SOD=Superoxide Dismutase, ALB=Albumin, U/A=Uric acid.</w:t>
      </w:r>
    </w:p>
    <w:p w14:paraId="6D37AF55">
      <w:pPr>
        <w:spacing w:after="0" w:line="240" w:lineRule="auto"/>
        <w:jc w:val="both"/>
        <w:rPr>
          <w:rFonts w:ascii="Times New Roman" w:hAnsi="Times New Roman"/>
          <w:sz w:val="24"/>
          <w:szCs w:val="24"/>
        </w:rPr>
      </w:pPr>
    </w:p>
    <w:p w14:paraId="0C4E31AA">
      <w:pPr>
        <w:spacing w:after="0" w:line="240" w:lineRule="auto"/>
        <w:jc w:val="both"/>
        <w:rPr>
          <w:rFonts w:ascii="Times New Roman" w:hAnsi="Times New Roman"/>
          <w:b/>
          <w:sz w:val="24"/>
          <w:szCs w:val="24"/>
        </w:rPr>
      </w:pPr>
      <w:r>
        <w:rPr>
          <w:rFonts w:ascii="Times New Roman" w:hAnsi="Times New Roman"/>
          <w:b/>
          <w:sz w:val="24"/>
          <w:szCs w:val="24"/>
        </w:rPr>
        <w:t>4.0 DISCUSSION</w:t>
      </w:r>
    </w:p>
    <w:p w14:paraId="2ED3FBE2">
      <w:pPr>
        <w:spacing w:after="0" w:line="240" w:lineRule="auto"/>
        <w:jc w:val="both"/>
        <w:rPr>
          <w:rFonts w:ascii="Times New Roman" w:hAnsi="Times New Roman"/>
          <w:sz w:val="24"/>
          <w:szCs w:val="24"/>
        </w:rPr>
      </w:pPr>
      <w:r>
        <w:rPr>
          <w:rFonts w:ascii="Times New Roman" w:hAnsi="Times New Roman"/>
          <w:sz w:val="24"/>
          <w:szCs w:val="24"/>
        </w:rPr>
        <w:t>G</w:t>
      </w:r>
      <w:commentRangeStart w:id="37"/>
      <w:r>
        <w:rPr>
          <w:rFonts w:ascii="Times New Roman" w:hAnsi="Times New Roman"/>
          <w:sz w:val="24"/>
          <w:szCs w:val="24"/>
        </w:rPr>
        <w:t xml:space="preserve">laucoma is a neurodegenerative condition that damages the eye's optic nerve, and when left untreated, may causes irreversible blindness (Steinmetz et al., 2022). It occurs as a result of buildup of intraocular pressure in the optic nerve cells of the eye. </w:t>
      </w:r>
      <w:commentRangeEnd w:id="37"/>
      <w:r>
        <w:commentReference w:id="37"/>
      </w:r>
      <w:commentRangeStart w:id="38"/>
      <w:r>
        <w:rPr>
          <w:rFonts w:ascii="Times New Roman" w:hAnsi="Times New Roman"/>
          <w:sz w:val="24"/>
          <w:szCs w:val="24"/>
        </w:rPr>
        <w:t>According to report,</w:t>
      </w:r>
      <w:commentRangeEnd w:id="38"/>
      <w:r>
        <w:commentReference w:id="38"/>
      </w:r>
      <w:r>
        <w:rPr>
          <w:rFonts w:ascii="Times New Roman" w:hAnsi="Times New Roman"/>
          <w:sz w:val="24"/>
          <w:szCs w:val="24"/>
        </w:rPr>
        <w:t xml:space="preserve"> its prevalence is rising and varies globally, and it is</w:t>
      </w:r>
      <w:r>
        <w:t xml:space="preserve"> </w:t>
      </w:r>
      <w:r>
        <w:rPr>
          <w:rFonts w:ascii="Times New Roman" w:hAnsi="Times New Roman"/>
          <w:sz w:val="24"/>
          <w:szCs w:val="24"/>
        </w:rPr>
        <w:t xml:space="preserve">projected that the number of glaucoma cases </w:t>
      </w:r>
      <w:commentRangeStart w:id="39"/>
      <w:r>
        <w:rPr>
          <w:rFonts w:ascii="Times New Roman" w:hAnsi="Times New Roman"/>
          <w:sz w:val="24"/>
          <w:szCs w:val="24"/>
        </w:rPr>
        <w:t>will</w:t>
      </w:r>
      <w:commentRangeEnd w:id="39"/>
      <w:r>
        <w:commentReference w:id="39"/>
      </w:r>
      <w:r>
        <w:rPr>
          <w:rFonts w:ascii="Times New Roman" w:hAnsi="Times New Roman"/>
          <w:sz w:val="24"/>
          <w:szCs w:val="24"/>
        </w:rPr>
        <w:t xml:space="preserve"> be higher than 111.8 million people by 2040 (Tham et al., 2014). In Nigeria, glaucoma is reported as the second leading cause of blindness with incidence rate of 19%. </w:t>
      </w:r>
      <w:commentRangeStart w:id="40"/>
      <w:r>
        <w:rPr>
          <w:rFonts w:ascii="Times New Roman" w:hAnsi="Times New Roman"/>
          <w:sz w:val="24"/>
          <w:szCs w:val="24"/>
        </w:rPr>
        <w:t xml:space="preserve">The present study evaluated some haematological indices, and enzymatic and non-enzymatic antioxidant levels in glaucoma patients. </w:t>
      </w:r>
      <w:commentRangeEnd w:id="40"/>
      <w:r>
        <w:commentReference w:id="40"/>
      </w:r>
    </w:p>
    <w:p w14:paraId="1572DEA0">
      <w:pPr>
        <w:spacing w:after="0" w:line="240" w:lineRule="auto"/>
        <w:jc w:val="both"/>
        <w:rPr>
          <w:rFonts w:ascii="Times New Roman" w:hAnsi="Times New Roman"/>
          <w:sz w:val="12"/>
          <w:szCs w:val="12"/>
        </w:rPr>
      </w:pPr>
    </w:p>
    <w:p w14:paraId="72D36B93">
      <w:pPr>
        <w:spacing w:after="0" w:line="240" w:lineRule="auto"/>
        <w:jc w:val="both"/>
        <w:rPr>
          <w:lang w:val="zh-CN"/>
        </w:rPr>
      </w:pPr>
      <w:r>
        <w:rPr>
          <w:rFonts w:ascii="Times New Roman" w:hAnsi="Times New Roman"/>
          <w:sz w:val="24"/>
        </w:rPr>
        <w:t>Antioxidants function as defense mechanisms for ocular tissues against oxidative stress (</w:t>
      </w:r>
      <w:r>
        <w:rPr>
          <w:rFonts w:ascii="Times New Roman" w:hAnsi="Times New Roman" w:eastAsia="Times New Roman"/>
          <w:bCs/>
          <w:kern w:val="36"/>
          <w:sz w:val="24"/>
          <w:szCs w:val="24"/>
          <w:lang w:eastAsia="en-US"/>
        </w:rPr>
        <w:t>Yi-Jen Hsueh et a., 2022)</w:t>
      </w:r>
      <w:r>
        <w:rPr>
          <w:rFonts w:ascii="Times New Roman" w:hAnsi="Times New Roman"/>
          <w:sz w:val="24"/>
        </w:rPr>
        <w:t>. The non-enzymatic antioxidants such as uric acid, albumin, bilirubin, vitamin C, and vitamin E are considered as the main ocular antioxidant’s molecules (Wojcik et al., 2013).</w:t>
      </w:r>
      <w:r>
        <w:t xml:space="preserve"> </w:t>
      </w:r>
      <w:r>
        <w:rPr>
          <w:rFonts w:ascii="Times New Roman" w:hAnsi="Times New Roman"/>
          <w:sz w:val="24"/>
        </w:rPr>
        <w:t xml:space="preserve">According to Das and colleagues, (2017), bilirubin and albumin have antioxidant properties and may be utilized as blood biomarkers for disorders linked to oxidative stress. </w:t>
      </w:r>
      <w:r>
        <w:rPr>
          <w:rFonts w:ascii="Times New Roman" w:hAnsi="Times New Roman"/>
          <w:sz w:val="24"/>
          <w:szCs w:val="24"/>
          <w:lang w:val="zh-CN"/>
        </w:rPr>
        <w:t>Previous research has highlighted a decline in serum bilirubin and albumin levels in individuals suffering from neurodegenerative and neuroinflammatory conditions, including multiple sclerosis and Parkinson’s disease</w:t>
      </w:r>
      <w:r>
        <w:rPr>
          <w:rFonts w:ascii="Times New Roman" w:hAnsi="Times New Roman"/>
          <w:sz w:val="24"/>
          <w:szCs w:val="24"/>
        </w:rPr>
        <w:t xml:space="preserve"> (Liu et al., 2008).</w:t>
      </w:r>
      <w:r>
        <w:rPr>
          <w:rFonts w:ascii="Times New Roman" w:hAnsi="Times New Roman"/>
          <w:sz w:val="24"/>
          <w:szCs w:val="24"/>
          <w:lang w:val="zh-CN"/>
        </w:rPr>
        <w:t xml:space="preserve"> Erdurmus et al.</w:t>
      </w:r>
      <w:r>
        <w:rPr>
          <w:rFonts w:ascii="Times New Roman" w:hAnsi="Times New Roman"/>
          <w:sz w:val="24"/>
          <w:szCs w:val="24"/>
        </w:rPr>
        <w:t xml:space="preserve"> (2019)</w:t>
      </w:r>
      <w:r>
        <w:rPr>
          <w:rFonts w:ascii="Times New Roman" w:hAnsi="Times New Roman"/>
          <w:sz w:val="24"/>
          <w:szCs w:val="24"/>
          <w:lang w:val="zh-CN"/>
        </w:rPr>
        <w:t xml:space="preserve"> also reported a reduction in total antioxidant capacity in patients with primary open-angle glaucoma and pseudoexfoliation glaucoma. Similarly, our study observed a significant decrease in serum albumin, total bilirubin, and conjugated bilirubin levels among glaucoma patients compared to the control group. These findings align with studies by Chong et al.</w:t>
      </w:r>
      <w:r>
        <w:rPr>
          <w:rFonts w:ascii="Times New Roman" w:hAnsi="Times New Roman"/>
          <w:sz w:val="24"/>
          <w:szCs w:val="24"/>
        </w:rPr>
        <w:t xml:space="preserve"> (2022)</w:t>
      </w:r>
      <w:r>
        <w:rPr>
          <w:rFonts w:ascii="Times New Roman" w:hAnsi="Times New Roman"/>
          <w:sz w:val="24"/>
          <w:szCs w:val="24"/>
          <w:lang w:val="zh-CN"/>
        </w:rPr>
        <w:t xml:space="preserve"> and Rubia et al.</w:t>
      </w:r>
      <w:r>
        <w:rPr>
          <w:rFonts w:ascii="Times New Roman" w:hAnsi="Times New Roman"/>
          <w:sz w:val="24"/>
          <w:szCs w:val="24"/>
        </w:rPr>
        <w:t xml:space="preserve"> (2022)</w:t>
      </w:r>
      <w:r>
        <w:rPr>
          <w:rFonts w:ascii="Times New Roman" w:hAnsi="Times New Roman"/>
          <w:sz w:val="24"/>
          <w:szCs w:val="24"/>
          <w:lang w:val="zh-CN"/>
        </w:rPr>
        <w:t>. The results suggest that elevated bilirubin and albumin levels could be linked to intraocular pressure (IOP) regulation and bilirubin-related neurological dysfunction.</w:t>
      </w:r>
    </w:p>
    <w:p w14:paraId="33D2E33C">
      <w:pPr>
        <w:spacing w:after="0" w:line="240" w:lineRule="auto"/>
        <w:jc w:val="both"/>
        <w:rPr>
          <w:rFonts w:ascii="Times New Roman" w:hAnsi="Times New Roman"/>
          <w:sz w:val="24"/>
          <w:lang w:val="zh-CN"/>
        </w:rPr>
      </w:pPr>
      <w:commentRangeStart w:id="41"/>
      <w:r>
        <w:rPr>
          <w:rFonts w:ascii="Times New Roman" w:hAnsi="Times New Roman"/>
          <w:sz w:val="24"/>
          <w:lang w:val="zh-CN"/>
        </w:rPr>
        <w:t>Uric acid (UA) plays a vital role as an antioxidant, possessing metal-chelating properties and the ability to neutralize nitrogen radicals and superoxide, thereby preventing the formation of potent oxidants like peroxynitrite</w:t>
      </w:r>
      <w:commentRangeEnd w:id="41"/>
      <w:r>
        <w:commentReference w:id="41"/>
      </w:r>
      <w:r>
        <w:rPr>
          <w:rFonts w:ascii="Times New Roman" w:hAnsi="Times New Roman"/>
          <w:sz w:val="24"/>
        </w:rPr>
        <w:t xml:space="preserve"> (Li et al., 2016)</w:t>
      </w:r>
      <w:r>
        <w:rPr>
          <w:rFonts w:ascii="Times New Roman" w:hAnsi="Times New Roman"/>
          <w:sz w:val="24"/>
          <w:lang w:val="zh-CN"/>
        </w:rPr>
        <w:t>. It has been proposed that UA may provide neuroprotection against oxidative stress-related damage</w:t>
      </w:r>
      <w:r>
        <w:rPr>
          <w:rFonts w:ascii="Times New Roman" w:hAnsi="Times New Roman"/>
          <w:sz w:val="24"/>
        </w:rPr>
        <w:t xml:space="preserve"> (Bowman et al., 2010; Irizarry et al., 2009)</w:t>
      </w:r>
      <w:r>
        <w:rPr>
          <w:rFonts w:ascii="Times New Roman" w:hAnsi="Times New Roman"/>
          <w:sz w:val="24"/>
          <w:lang w:val="zh-CN"/>
        </w:rPr>
        <w:t xml:space="preserve">. In this study, glaucoma patients exhibited </w:t>
      </w:r>
      <w:commentRangeStart w:id="42"/>
      <w:r>
        <w:rPr>
          <w:rFonts w:ascii="Times New Roman" w:hAnsi="Times New Roman"/>
          <w:sz w:val="24"/>
          <w:lang w:val="zh-CN"/>
        </w:rPr>
        <w:t xml:space="preserve">significantly lower uric acid </w:t>
      </w:r>
      <w:commentRangeEnd w:id="42"/>
      <w:r>
        <w:commentReference w:id="42"/>
      </w:r>
      <w:r>
        <w:rPr>
          <w:rFonts w:ascii="Times New Roman" w:hAnsi="Times New Roman"/>
          <w:sz w:val="24"/>
          <w:lang w:val="zh-CN"/>
        </w:rPr>
        <w:t>levels than the control group. According to Tanito et al.</w:t>
      </w:r>
      <w:r>
        <w:rPr>
          <w:rFonts w:ascii="Times New Roman" w:hAnsi="Times New Roman"/>
          <w:sz w:val="24"/>
        </w:rPr>
        <w:t xml:space="preserve"> (2012)</w:t>
      </w:r>
      <w:r>
        <w:rPr>
          <w:rFonts w:ascii="Times New Roman" w:hAnsi="Times New Roman"/>
          <w:sz w:val="24"/>
          <w:lang w:val="zh-CN"/>
        </w:rPr>
        <w:t>, a decrease in serum UA may contribute to oxidative stress insufficiency, which could be a factor in glaucoma progression. However, this observation contrasts with findings from Yuki et al.</w:t>
      </w:r>
      <w:r>
        <w:rPr>
          <w:rFonts w:ascii="Times New Roman" w:hAnsi="Times New Roman"/>
          <w:sz w:val="24"/>
        </w:rPr>
        <w:t xml:space="preserve"> (2020)</w:t>
      </w:r>
      <w:r>
        <w:rPr>
          <w:rFonts w:ascii="Times New Roman" w:hAnsi="Times New Roman"/>
          <w:sz w:val="24"/>
          <w:lang w:val="zh-CN"/>
        </w:rPr>
        <w:t xml:space="preserve"> and Li et al.</w:t>
      </w:r>
      <w:r>
        <w:rPr>
          <w:rFonts w:ascii="Times New Roman" w:hAnsi="Times New Roman"/>
          <w:sz w:val="24"/>
        </w:rPr>
        <w:t xml:space="preserve"> (2019)</w:t>
      </w:r>
      <w:r>
        <w:rPr>
          <w:rFonts w:ascii="Times New Roman" w:hAnsi="Times New Roman"/>
          <w:sz w:val="24"/>
          <w:lang w:val="zh-CN"/>
        </w:rPr>
        <w:t xml:space="preserve">, who reported elevated UA levels in glaucoma patients compared to healthy individuals. </w:t>
      </w:r>
      <w:r>
        <w:rPr>
          <w:rFonts w:ascii="Times New Roman" w:hAnsi="Times New Roman"/>
          <w:sz w:val="24"/>
        </w:rPr>
        <w:t>Li</w:t>
      </w:r>
      <w:r>
        <w:rPr>
          <w:rFonts w:ascii="Times New Roman" w:hAnsi="Times New Roman"/>
          <w:sz w:val="24"/>
          <w:lang w:val="zh-CN"/>
        </w:rPr>
        <w:t xml:space="preserve"> et al.</w:t>
      </w:r>
      <w:r>
        <w:rPr>
          <w:rFonts w:ascii="Times New Roman" w:hAnsi="Times New Roman"/>
          <w:sz w:val="24"/>
        </w:rPr>
        <w:t xml:space="preserve"> (2016)</w:t>
      </w:r>
      <w:r>
        <w:rPr>
          <w:rFonts w:ascii="Times New Roman" w:hAnsi="Times New Roman"/>
          <w:sz w:val="24"/>
          <w:lang w:val="zh-CN"/>
        </w:rPr>
        <w:t xml:space="preserve"> found that glaucoma patients had significantly lower UA levels, while Al-Khateeb et al.</w:t>
      </w:r>
      <w:r>
        <w:rPr>
          <w:rFonts w:ascii="Times New Roman" w:hAnsi="Times New Roman"/>
          <w:sz w:val="24"/>
        </w:rPr>
        <w:t xml:space="preserve"> (2015)</w:t>
      </w:r>
      <w:r>
        <w:rPr>
          <w:rFonts w:ascii="Times New Roman" w:hAnsi="Times New Roman"/>
          <w:sz w:val="24"/>
          <w:lang w:val="zh-CN"/>
        </w:rPr>
        <w:t xml:space="preserve"> documented those individuals with lower baseline UA levels had a higher likelihood of glaucoma progression over time. These results indicate that reduced serum UA levels may serve as a risk factor for glaucoma. Conversely, Yang et al.</w:t>
      </w:r>
      <w:r>
        <w:rPr>
          <w:rFonts w:ascii="Times New Roman" w:hAnsi="Times New Roman"/>
          <w:sz w:val="24"/>
        </w:rPr>
        <w:t xml:space="preserve"> (2022)</w:t>
      </w:r>
      <w:r>
        <w:rPr>
          <w:rFonts w:ascii="Times New Roman" w:hAnsi="Times New Roman"/>
          <w:sz w:val="24"/>
          <w:lang w:val="zh-CN"/>
        </w:rPr>
        <w:t xml:space="preserve"> found that higher UA levels were associated with reduced retinal capillary plexus vessel density, suggesting a potential detrimental effect on the retinal microvasculature and underscoring the need to regulate UA levels to prevent vascular changes.</w:t>
      </w:r>
    </w:p>
    <w:p w14:paraId="3C643FF3">
      <w:pPr>
        <w:spacing w:after="0" w:line="240" w:lineRule="auto"/>
        <w:jc w:val="both"/>
        <w:rPr>
          <w:rFonts w:ascii="Times New Roman" w:hAnsi="Times New Roman"/>
          <w:sz w:val="24"/>
          <w:lang w:val="zh-CN"/>
        </w:rPr>
      </w:pPr>
      <w:r>
        <w:rPr>
          <w:rFonts w:ascii="Times New Roman" w:hAnsi="Times New Roman"/>
          <w:sz w:val="24"/>
          <w:lang w:val="zh-CN"/>
        </w:rPr>
        <w:t xml:space="preserve">Antioxidant enzymes, including superoxide dismutase (SOD), catalase (CAT), glutathione peroxidase (GPx), and glutathione reductase (GST), play a crucial role in mitigating oxidative stress by eliminating harmful by-products and protecting cells from free radical-induced damage </w:t>
      </w:r>
      <w:r>
        <w:rPr>
          <w:rFonts w:ascii="Times New Roman" w:hAnsi="Times New Roman"/>
          <w:sz w:val="24"/>
        </w:rPr>
        <w:t>(Wojcik et al., 2013)</w:t>
      </w:r>
      <w:r>
        <w:rPr>
          <w:rFonts w:ascii="Times New Roman" w:hAnsi="Times New Roman"/>
          <w:sz w:val="24"/>
          <w:lang w:val="zh-CN"/>
        </w:rPr>
        <w:t xml:space="preserve">. </w:t>
      </w:r>
      <w:commentRangeStart w:id="43"/>
      <w:r>
        <w:rPr>
          <w:rFonts w:ascii="Times New Roman" w:hAnsi="Times New Roman"/>
          <w:sz w:val="24"/>
          <w:lang w:val="zh-CN"/>
        </w:rPr>
        <w:t>While some studies have documented reduced total antioxidant capacity in glaucoma patients,</w:t>
      </w:r>
      <w:commentRangeEnd w:id="43"/>
      <w:r>
        <w:commentReference w:id="43"/>
      </w:r>
      <w:r>
        <w:rPr>
          <w:rFonts w:ascii="Times New Roman" w:hAnsi="Times New Roman"/>
          <w:sz w:val="24"/>
          <w:lang w:val="zh-CN"/>
        </w:rPr>
        <w:t xml:space="preserve"> our findings revealed no </w:t>
      </w:r>
      <w:commentRangeStart w:id="44"/>
      <w:r>
        <w:rPr>
          <w:rFonts w:ascii="Times New Roman" w:hAnsi="Times New Roman"/>
          <w:sz w:val="24"/>
          <w:lang w:val="zh-CN"/>
        </w:rPr>
        <w:t>statistically significant</w:t>
      </w:r>
      <w:commentRangeEnd w:id="44"/>
      <w:r>
        <w:commentReference w:id="44"/>
      </w:r>
      <w:r>
        <w:rPr>
          <w:rFonts w:ascii="Times New Roman" w:hAnsi="Times New Roman"/>
          <w:sz w:val="24"/>
          <w:lang w:val="zh-CN"/>
        </w:rPr>
        <w:t xml:space="preserve"> difference in serum SOD and CAT levels between the glaucoma and control groups, though a </w:t>
      </w:r>
      <w:commentRangeStart w:id="45"/>
      <w:r>
        <w:rPr>
          <w:rFonts w:ascii="Times New Roman" w:hAnsi="Times New Roman"/>
          <w:sz w:val="24"/>
          <w:lang w:val="zh-CN"/>
        </w:rPr>
        <w:t xml:space="preserve">slight reduction </w:t>
      </w:r>
      <w:commentRangeEnd w:id="45"/>
      <w:r>
        <w:commentReference w:id="45"/>
      </w:r>
      <w:r>
        <w:rPr>
          <w:rFonts w:ascii="Times New Roman" w:hAnsi="Times New Roman"/>
          <w:sz w:val="24"/>
          <w:lang w:val="zh-CN"/>
        </w:rPr>
        <w:t xml:space="preserve">was observed in the affected individuals. Malondialdehyde (MDA), an oxidative stress biomarker formed from the peroxidation of polyunsaturated fatty acids such as arachidonic acid, is typically measured as Thiobarbituric Acid Reactive Substances (TBARS). In this study, MDA levels showed no statistically significant difference between glaucoma patients and the control group, though they were marginally higher in the glaucoma group. These results align with Hasan et al. </w:t>
      </w:r>
      <w:r>
        <w:rPr>
          <w:rFonts w:ascii="Times New Roman" w:hAnsi="Times New Roman"/>
          <w:sz w:val="24"/>
        </w:rPr>
        <w:t>(2017)</w:t>
      </w:r>
      <w:r>
        <w:rPr>
          <w:rFonts w:ascii="Times New Roman" w:hAnsi="Times New Roman"/>
          <w:sz w:val="24"/>
          <w:lang w:val="zh-CN"/>
        </w:rPr>
        <w:t>, who found no significant variations in SOD, CAT, and MDA levels between glaucoma patients and controls. However,</w:t>
      </w:r>
      <w:commentRangeStart w:id="46"/>
      <w:r>
        <w:rPr>
          <w:rFonts w:ascii="Times New Roman" w:hAnsi="Times New Roman"/>
          <w:sz w:val="24"/>
          <w:lang w:val="zh-CN"/>
        </w:rPr>
        <w:t xml:space="preserve"> Ferreira et al. </w:t>
      </w:r>
      <w:r>
        <w:rPr>
          <w:rFonts w:ascii="Times New Roman" w:hAnsi="Times New Roman"/>
          <w:sz w:val="24"/>
        </w:rPr>
        <w:t>(2004)</w:t>
      </w:r>
      <w:r>
        <w:rPr>
          <w:rFonts w:ascii="Times New Roman" w:hAnsi="Times New Roman"/>
          <w:sz w:val="24"/>
          <w:lang w:val="zh-CN"/>
        </w:rPr>
        <w:t xml:space="preserve"> reported increased SOD and GPx activity in glaucoma patients, with no significant changes in CAT levels</w:t>
      </w:r>
      <w:commentRangeEnd w:id="46"/>
      <w:r>
        <w:commentReference w:id="46"/>
      </w:r>
      <w:r>
        <w:rPr>
          <w:rFonts w:ascii="Times New Roman" w:hAnsi="Times New Roman"/>
          <w:sz w:val="24"/>
          <w:lang w:val="zh-CN"/>
        </w:rPr>
        <w:t>.</w:t>
      </w:r>
    </w:p>
    <w:p w14:paraId="6CF62E3B">
      <w:pPr>
        <w:spacing w:after="0" w:line="240" w:lineRule="auto"/>
        <w:jc w:val="both"/>
        <w:rPr>
          <w:rFonts w:ascii="Times New Roman" w:hAnsi="Times New Roman"/>
          <w:sz w:val="24"/>
          <w:lang w:val="zh-CN"/>
        </w:rPr>
      </w:pPr>
      <w:commentRangeStart w:id="47"/>
      <w:r>
        <w:rPr>
          <w:rFonts w:ascii="Times New Roman" w:hAnsi="Times New Roman"/>
          <w:sz w:val="24"/>
          <w:lang w:val="zh-CN"/>
        </w:rPr>
        <w:t>Our study further revealed that male glaucoma patients had significantly higher serum UA, total bilirubin, and conjugated bilirubin levels compared to female patients (P&lt;0.05). This contradicts the findings of Octavia et al</w:t>
      </w:r>
      <w:r>
        <w:rPr>
          <w:rFonts w:ascii="Times New Roman" w:hAnsi="Times New Roman"/>
          <w:sz w:val="24"/>
        </w:rPr>
        <w:t xml:space="preserve"> (2012)</w:t>
      </w:r>
      <w:r>
        <w:rPr>
          <w:rFonts w:ascii="Times New Roman" w:hAnsi="Times New Roman"/>
          <w:sz w:val="24"/>
          <w:lang w:val="zh-CN"/>
        </w:rPr>
        <w:t>, who suggested that women possess stronger antioxidant defense mechanisms than men, likely due to the protective effects of estrogen, which may enhance resistance to oxidative stress.</w:t>
      </w:r>
      <w:commentRangeEnd w:id="47"/>
      <w:r>
        <w:commentReference w:id="47"/>
      </w:r>
    </w:p>
    <w:p w14:paraId="3B588F49">
      <w:pPr>
        <w:spacing w:after="0" w:line="240" w:lineRule="auto"/>
        <w:jc w:val="both"/>
        <w:rPr>
          <w:rFonts w:ascii="Times New Roman" w:hAnsi="Times New Roman"/>
          <w:sz w:val="24"/>
        </w:rPr>
      </w:pPr>
      <w:r>
        <w:rPr>
          <w:rFonts w:ascii="Times New Roman" w:hAnsi="Times New Roman"/>
          <w:sz w:val="24"/>
          <w:lang w:val="zh-CN"/>
        </w:rPr>
        <w:t xml:space="preserve">Studies on the relationship between glaucoma and hematological indices have yielded </w:t>
      </w:r>
      <w:commentRangeStart w:id="48"/>
      <w:r>
        <w:rPr>
          <w:rFonts w:ascii="Times New Roman" w:hAnsi="Times New Roman"/>
          <w:sz w:val="24"/>
          <w:lang w:val="zh-CN"/>
        </w:rPr>
        <w:t>conflicting results.</w:t>
      </w:r>
      <w:commentRangeEnd w:id="48"/>
      <w:r>
        <w:commentReference w:id="48"/>
      </w:r>
      <w:r>
        <w:rPr>
          <w:rFonts w:ascii="Times New Roman" w:hAnsi="Times New Roman"/>
          <w:sz w:val="24"/>
          <w:lang w:val="zh-CN"/>
        </w:rPr>
        <w:t xml:space="preserve"> Gwyn et al. </w:t>
      </w:r>
      <w:r>
        <w:rPr>
          <w:rFonts w:ascii="Times New Roman" w:hAnsi="Times New Roman"/>
          <w:sz w:val="24"/>
        </w:rPr>
        <w:t xml:space="preserve">(1993) </w:t>
      </w:r>
      <w:r>
        <w:rPr>
          <w:rFonts w:ascii="Times New Roman" w:hAnsi="Times New Roman"/>
          <w:sz w:val="24"/>
          <w:lang w:val="zh-CN"/>
        </w:rPr>
        <w:t xml:space="preserve">noted minimal changes in inflammatory cell counts with age progression in primary glaucoma patients, while Akinlabi and Iyawe </w:t>
      </w:r>
      <w:r>
        <w:rPr>
          <w:rFonts w:ascii="Times New Roman" w:hAnsi="Times New Roman"/>
          <w:sz w:val="24"/>
        </w:rPr>
        <w:t>(2009)</w:t>
      </w:r>
      <w:r>
        <w:rPr>
          <w:rFonts w:ascii="Times New Roman" w:hAnsi="Times New Roman"/>
          <w:sz w:val="24"/>
          <w:lang w:val="zh-CN"/>
        </w:rPr>
        <w:t xml:space="preserve"> reported eosinopenia (reductio</w:t>
      </w:r>
      <w:commentRangeStart w:id="49"/>
      <w:r>
        <w:rPr>
          <w:rFonts w:ascii="Times New Roman" w:hAnsi="Times New Roman"/>
          <w:sz w:val="24"/>
          <w:lang w:val="zh-CN"/>
        </w:rPr>
        <w:t>n in eosinophil count) in glaucoma patients, with no significant differences in packed cell volume, total, or differential white blood cell counts. Similarly, our study found no notable variations in packed cell volume, hemoglobin levels, total white blood cell count, differential white blood cell count, or platelet count between glaucoma patients and the control group. However, a significant reduction (P&lt;0.05) in eosinophil levels was observed among glaucoma patients. This reduction may be attributed to the use of corticosteroids such as dexamethasone, which is known to suppress eosinophil survival while simultaneously increasing intraocular pressure</w:t>
      </w:r>
      <w:r>
        <w:rPr>
          <w:rFonts w:ascii="Times New Roman" w:hAnsi="Times New Roman"/>
          <w:sz w:val="24"/>
        </w:rPr>
        <w:t xml:space="preserve"> (</w:t>
      </w:r>
      <w:r>
        <w:rPr>
          <w:rFonts w:ascii="Times New Roman" w:hAnsi="Times New Roman"/>
          <w:sz w:val="24"/>
          <w:szCs w:val="24"/>
        </w:rPr>
        <w:t>Bartlett et al., 1993).</w:t>
      </w:r>
    </w:p>
    <w:p w14:paraId="4F7DB51E">
      <w:pPr>
        <w:spacing w:after="0" w:line="240" w:lineRule="auto"/>
        <w:jc w:val="both"/>
        <w:rPr>
          <w:rFonts w:ascii="Times New Roman" w:hAnsi="Times New Roman"/>
          <w:sz w:val="24"/>
          <w:lang w:val="zh-CN"/>
        </w:rPr>
      </w:pPr>
      <w:r>
        <w:rPr>
          <w:rFonts w:ascii="Times New Roman" w:hAnsi="Times New Roman"/>
          <w:sz w:val="24"/>
          <w:lang w:val="zh-CN"/>
        </w:rPr>
        <w:t xml:space="preserve">Another possible explanation for eosinopenia in glaucoma patients could be stress, which has been shown to lower eosinophil counts. Elevated intraocular pressure has been linked to psychological stressors, including anxiety, anger, and depression, whereas a decrease in IOP has been associated with states of relaxation and happiness </w:t>
      </w:r>
      <w:r>
        <w:rPr>
          <w:rFonts w:ascii="Times New Roman" w:hAnsi="Times New Roman"/>
          <w:sz w:val="24"/>
        </w:rPr>
        <w:t>(Akinlabi et al., 2009)</w:t>
      </w:r>
      <w:r>
        <w:rPr>
          <w:rFonts w:ascii="Times New Roman" w:hAnsi="Times New Roman"/>
          <w:sz w:val="24"/>
          <w:lang w:val="zh-CN"/>
        </w:rPr>
        <w:t>. Additionally, prostaglandins, which play a role in eosinophil activation, may also contribute to this phenomenon. Prostaglandin analogs like latanoprost are widely used in managing glaucoma by reducing IOP</w:t>
      </w:r>
      <w:r>
        <w:rPr>
          <w:rFonts w:ascii="Times New Roman" w:hAnsi="Times New Roman"/>
          <w:sz w:val="24"/>
        </w:rPr>
        <w:t xml:space="preserve"> (</w:t>
      </w:r>
      <w:r>
        <w:rPr>
          <w:rFonts w:ascii="Times New Roman" w:hAnsi="Times New Roman" w:eastAsia="Times New Roman"/>
          <w:sz w:val="24"/>
          <w:szCs w:val="24"/>
          <w:lang w:eastAsia="en-US"/>
        </w:rPr>
        <w:t>Mannini et al., 2007)</w:t>
      </w:r>
      <w:r>
        <w:rPr>
          <w:rFonts w:ascii="Times New Roman" w:hAnsi="Times New Roman"/>
          <w:sz w:val="24"/>
          <w:lang w:val="zh-CN"/>
        </w:rPr>
        <w:t>.</w:t>
      </w:r>
      <w:commentRangeEnd w:id="49"/>
      <w:r>
        <w:commentReference w:id="49"/>
      </w:r>
    </w:p>
    <w:p w14:paraId="24E3E661">
      <w:pPr>
        <w:spacing w:after="0" w:line="240" w:lineRule="auto"/>
        <w:jc w:val="both"/>
        <w:rPr>
          <w:rFonts w:ascii="Times New Roman" w:hAnsi="Times New Roman"/>
          <w:b/>
          <w:bCs/>
          <w:sz w:val="24"/>
        </w:rPr>
      </w:pPr>
    </w:p>
    <w:p w14:paraId="249A1252">
      <w:pPr>
        <w:spacing w:after="0" w:line="240" w:lineRule="auto"/>
        <w:jc w:val="both"/>
        <w:rPr>
          <w:rFonts w:ascii="Times New Roman" w:hAnsi="Times New Roman"/>
          <w:b/>
          <w:bCs/>
          <w:sz w:val="24"/>
          <w:lang w:val="zh-CN"/>
        </w:rPr>
      </w:pPr>
      <w:r>
        <w:rPr>
          <w:rFonts w:ascii="Times New Roman" w:hAnsi="Times New Roman"/>
          <w:b/>
          <w:bCs/>
          <w:sz w:val="24"/>
          <w:lang w:val="zh-CN"/>
        </w:rPr>
        <w:t>5.</w:t>
      </w:r>
      <w:r>
        <w:rPr>
          <w:rFonts w:ascii="Times New Roman" w:hAnsi="Times New Roman"/>
          <w:b/>
          <w:bCs/>
          <w:sz w:val="24"/>
        </w:rPr>
        <w:t>0</w:t>
      </w:r>
      <w:r>
        <w:rPr>
          <w:rFonts w:ascii="Times New Roman" w:hAnsi="Times New Roman"/>
          <w:b/>
          <w:bCs/>
          <w:sz w:val="24"/>
          <w:lang w:val="zh-CN"/>
        </w:rPr>
        <w:t xml:space="preserve"> Conclusion</w:t>
      </w:r>
    </w:p>
    <w:p w14:paraId="45BDA623">
      <w:pPr>
        <w:spacing w:after="0" w:line="240" w:lineRule="auto"/>
        <w:jc w:val="both"/>
        <w:rPr>
          <w:rFonts w:ascii="Times New Roman" w:hAnsi="Times New Roman"/>
          <w:sz w:val="24"/>
          <w:lang w:val="zh-CN"/>
        </w:rPr>
      </w:pPr>
      <w:r>
        <w:rPr>
          <w:rFonts w:ascii="Times New Roman" w:hAnsi="Times New Roman"/>
          <w:sz w:val="24"/>
          <w:lang w:val="zh-CN"/>
        </w:rPr>
        <w:t xml:space="preserve">This study has demonstrated a significant decline in serum albumin, total bilirubin, conjugated bilirubin, and uric acid levels in glaucoma patients compared to healthy individuals. These findings </w:t>
      </w:r>
      <w:r>
        <w:rPr>
          <w:rFonts w:ascii="Times New Roman" w:hAnsi="Times New Roman"/>
          <w:sz w:val="24"/>
          <w:highlight w:val="yellow"/>
          <w:lang w:val="zh-CN"/>
        </w:rPr>
        <w:t>suggest</w:t>
      </w:r>
      <w:r>
        <w:rPr>
          <w:rFonts w:ascii="Times New Roman" w:hAnsi="Times New Roman"/>
          <w:sz w:val="24"/>
          <w:lang w:val="zh-CN"/>
        </w:rPr>
        <w:t xml:space="preserve"> that oxidative stress exposure alters antioxidant levels, potentially contributing to increased intraocular pressure and optic nerve damage, which could ultimately result in vision loss. Additionally, the observed relationship between glaucoma and eosinophil levels </w:t>
      </w:r>
      <w:r>
        <w:rPr>
          <w:rFonts w:ascii="Times New Roman" w:hAnsi="Times New Roman"/>
          <w:sz w:val="24"/>
          <w:highlight w:val="yellow"/>
          <w:lang w:val="zh-CN"/>
        </w:rPr>
        <w:t>sugge</w:t>
      </w:r>
      <w:r>
        <w:commentReference w:id="50"/>
      </w:r>
      <w:r>
        <w:rPr>
          <w:rFonts w:ascii="Times New Roman" w:hAnsi="Times New Roman"/>
          <w:sz w:val="24"/>
          <w:highlight w:val="yellow"/>
          <w:lang w:val="zh-CN"/>
        </w:rPr>
        <w:t xml:space="preserve">sts </w:t>
      </w:r>
      <w:r>
        <w:rPr>
          <w:rFonts w:ascii="Times New Roman" w:hAnsi="Times New Roman"/>
          <w:sz w:val="24"/>
          <w:lang w:val="zh-CN"/>
        </w:rPr>
        <w:t>that eosinopenia could be a potential risk factor for the disease. Further large-scale investigations are recommended to establish a more definitive link between eosinophil levels and glaucoma.</w:t>
      </w:r>
    </w:p>
    <w:p w14:paraId="179B5818">
      <w:pPr>
        <w:spacing w:after="0" w:line="240" w:lineRule="auto"/>
        <w:jc w:val="both"/>
        <w:rPr>
          <w:rFonts w:cs="Helvetica Neue"/>
          <w:color w:val="000000"/>
          <w:sz w:val="18"/>
          <w:szCs w:val="18"/>
        </w:rPr>
      </w:pPr>
    </w:p>
    <w:p w14:paraId="3DEE3871">
      <w:pPr>
        <w:autoSpaceDE w:val="0"/>
        <w:autoSpaceDN w:val="0"/>
        <w:adjustRightInd w:val="0"/>
        <w:spacing w:after="0" w:line="240" w:lineRule="auto"/>
        <w:jc w:val="both"/>
        <w:rPr>
          <w:rFonts w:ascii="Times New Roman" w:hAnsi="Times New Roman" w:eastAsiaTheme="minorHAnsi"/>
          <w:b/>
          <w:color w:val="131413"/>
          <w:sz w:val="24"/>
          <w:szCs w:val="18"/>
          <w:lang w:eastAsia="en-US"/>
        </w:rPr>
      </w:pPr>
    </w:p>
    <w:p w14:paraId="3E73E87D">
      <w:pPr>
        <w:autoSpaceDE w:val="0"/>
        <w:autoSpaceDN w:val="0"/>
        <w:adjustRightInd w:val="0"/>
        <w:spacing w:after="0" w:line="240" w:lineRule="auto"/>
        <w:jc w:val="both"/>
        <w:rPr>
          <w:rFonts w:ascii="Times New Roman" w:hAnsi="Times New Roman" w:eastAsiaTheme="minorHAnsi"/>
          <w:b/>
          <w:color w:val="131413"/>
          <w:sz w:val="24"/>
          <w:szCs w:val="18"/>
          <w:lang w:eastAsia="en-US"/>
        </w:rPr>
      </w:pPr>
      <w:r>
        <w:rPr>
          <w:rFonts w:ascii="Times New Roman" w:hAnsi="Times New Roman" w:eastAsiaTheme="minorHAnsi"/>
          <w:b/>
          <w:color w:val="131413"/>
          <w:sz w:val="24"/>
          <w:szCs w:val="18"/>
          <w:lang w:eastAsia="en-US"/>
        </w:rPr>
        <w:t>DISCLAIMER (ARTIFICIAL INTELLIGENCE)</w:t>
      </w:r>
    </w:p>
    <w:p w14:paraId="6BDD530A">
      <w:pPr>
        <w:autoSpaceDE w:val="0"/>
        <w:autoSpaceDN w:val="0"/>
        <w:adjustRightInd w:val="0"/>
        <w:spacing w:after="0" w:line="240" w:lineRule="auto"/>
        <w:jc w:val="both"/>
        <w:rPr>
          <w:rFonts w:ascii="Times New Roman" w:hAnsi="Times New Roman" w:eastAsiaTheme="minorHAnsi"/>
          <w:bCs/>
          <w:color w:val="131413"/>
          <w:sz w:val="24"/>
          <w:szCs w:val="18"/>
          <w:lang w:eastAsia="en-US"/>
        </w:rPr>
      </w:pPr>
      <w:r>
        <w:rPr>
          <w:rFonts w:ascii="Times New Roman" w:hAnsi="Times New Roman" w:eastAsiaTheme="minorHAnsi"/>
          <w:bCs/>
          <w:color w:val="131413"/>
          <w:sz w:val="24"/>
          <w:szCs w:val="18"/>
          <w:lang w:eastAsia="en-US"/>
        </w:rPr>
        <w:t xml:space="preserve">We hereby declare that NO generative AI technologies such as Large Language Models (ChatGPT, COPILOT, etc.) and text-to-image generators have been used during the writing or editing of this manuscript. </w:t>
      </w:r>
    </w:p>
    <w:p w14:paraId="1AB42D5A">
      <w:pPr>
        <w:autoSpaceDE w:val="0"/>
        <w:autoSpaceDN w:val="0"/>
        <w:adjustRightInd w:val="0"/>
        <w:spacing w:after="0" w:line="240" w:lineRule="auto"/>
        <w:jc w:val="both"/>
        <w:rPr>
          <w:rFonts w:ascii="Times New Roman" w:hAnsi="Times New Roman" w:eastAsiaTheme="minorHAnsi"/>
          <w:b/>
          <w:color w:val="131413"/>
          <w:sz w:val="24"/>
          <w:szCs w:val="18"/>
          <w:lang w:eastAsia="en-US"/>
        </w:rPr>
      </w:pPr>
    </w:p>
    <w:p w14:paraId="038345A9">
      <w:pPr>
        <w:autoSpaceDE w:val="0"/>
        <w:autoSpaceDN w:val="0"/>
        <w:adjustRightInd w:val="0"/>
        <w:spacing w:after="0" w:line="240" w:lineRule="auto"/>
        <w:jc w:val="both"/>
        <w:rPr>
          <w:rFonts w:ascii="Times New Roman" w:hAnsi="Times New Roman" w:eastAsiaTheme="minorHAnsi"/>
          <w:b/>
          <w:color w:val="131413"/>
          <w:sz w:val="24"/>
          <w:szCs w:val="18"/>
          <w:lang w:eastAsia="en-US"/>
        </w:rPr>
      </w:pPr>
    </w:p>
    <w:p w14:paraId="6A9D1E28">
      <w:pPr>
        <w:autoSpaceDE w:val="0"/>
        <w:autoSpaceDN w:val="0"/>
        <w:adjustRightInd w:val="0"/>
        <w:spacing w:after="0" w:line="240" w:lineRule="auto"/>
        <w:jc w:val="both"/>
        <w:rPr>
          <w:rFonts w:ascii="Times New Roman" w:hAnsi="Times New Roman" w:eastAsiaTheme="minorHAnsi"/>
          <w:b/>
          <w:color w:val="131413"/>
          <w:sz w:val="24"/>
          <w:szCs w:val="18"/>
          <w:lang w:eastAsia="en-US"/>
        </w:rPr>
      </w:pPr>
      <w:r>
        <w:rPr>
          <w:rFonts w:ascii="Times New Roman" w:hAnsi="Times New Roman" w:eastAsiaTheme="minorHAnsi"/>
          <w:b/>
          <w:color w:val="131413"/>
          <w:sz w:val="24"/>
          <w:szCs w:val="18"/>
          <w:lang w:eastAsia="en-US"/>
        </w:rPr>
        <w:t>CONSENT</w:t>
      </w:r>
    </w:p>
    <w:p w14:paraId="39180AF2">
      <w:pPr>
        <w:spacing w:after="0" w:line="240" w:lineRule="auto"/>
        <w:jc w:val="both"/>
        <w:rPr>
          <w:rFonts w:ascii="Times New Roman" w:hAnsi="Times New Roman"/>
          <w:sz w:val="24"/>
          <w:szCs w:val="24"/>
        </w:rPr>
      </w:pPr>
      <w:r>
        <w:rPr>
          <w:rFonts w:ascii="Times New Roman" w:hAnsi="Times New Roman" w:eastAsiaTheme="minorHAnsi"/>
          <w:bCs/>
          <w:color w:val="131413"/>
          <w:sz w:val="24"/>
          <w:szCs w:val="18"/>
          <w:lang w:eastAsia="en-US"/>
        </w:rPr>
        <w:t>A written informed consent</w:t>
      </w:r>
      <w:r>
        <w:rPr>
          <w:rFonts w:ascii="Times New Roman" w:hAnsi="Times New Roman"/>
          <w:sz w:val="24"/>
          <w:szCs w:val="24"/>
        </w:rPr>
        <w:t xml:space="preserve"> was obtained from all participants before their enrollment into the study</w:t>
      </w:r>
    </w:p>
    <w:p w14:paraId="19193D50">
      <w:pPr>
        <w:autoSpaceDE w:val="0"/>
        <w:autoSpaceDN w:val="0"/>
        <w:adjustRightInd w:val="0"/>
        <w:spacing w:after="0" w:line="240" w:lineRule="auto"/>
        <w:jc w:val="both"/>
        <w:rPr>
          <w:rFonts w:ascii="Times New Roman" w:hAnsi="Times New Roman" w:eastAsiaTheme="minorHAnsi"/>
          <w:b/>
          <w:color w:val="131413"/>
          <w:sz w:val="24"/>
          <w:szCs w:val="18"/>
          <w:lang w:eastAsia="en-US"/>
        </w:rPr>
      </w:pPr>
    </w:p>
    <w:p w14:paraId="666058A5">
      <w:pPr>
        <w:autoSpaceDE w:val="0"/>
        <w:autoSpaceDN w:val="0"/>
        <w:adjustRightInd w:val="0"/>
        <w:spacing w:after="0" w:line="240" w:lineRule="auto"/>
        <w:jc w:val="both"/>
        <w:rPr>
          <w:rFonts w:ascii="Times New Roman" w:hAnsi="Times New Roman" w:eastAsiaTheme="minorHAnsi"/>
          <w:b/>
          <w:color w:val="131413"/>
          <w:sz w:val="24"/>
          <w:szCs w:val="18"/>
          <w:lang w:eastAsia="en-US"/>
        </w:rPr>
      </w:pPr>
      <w:r>
        <w:rPr>
          <w:rFonts w:ascii="Times New Roman" w:hAnsi="Times New Roman" w:eastAsiaTheme="minorHAnsi"/>
          <w:b/>
          <w:color w:val="131413"/>
          <w:sz w:val="24"/>
          <w:szCs w:val="18"/>
          <w:lang w:eastAsia="en-US"/>
        </w:rPr>
        <w:t xml:space="preserve">ETHICAL APPROVAL </w:t>
      </w:r>
    </w:p>
    <w:p w14:paraId="0869A906">
      <w:pPr>
        <w:spacing w:after="0" w:line="240" w:lineRule="auto"/>
        <w:jc w:val="both"/>
        <w:rPr>
          <w:rFonts w:ascii="Times New Roman" w:hAnsi="Times New Roman"/>
          <w:sz w:val="24"/>
          <w:szCs w:val="24"/>
        </w:rPr>
      </w:pPr>
      <w:r>
        <w:rPr>
          <w:rFonts w:ascii="Times New Roman" w:hAnsi="Times New Roman"/>
          <w:sz w:val="24"/>
          <w:szCs w:val="24"/>
        </w:rPr>
        <w:t xml:space="preserve">Prior to the study, ethical approval was obtained from the Research and Ethical Committee of Niger Delta University Teaching Hospital, Okolobiri, Yenagoa, Bayelsa State. </w:t>
      </w:r>
    </w:p>
    <w:p w14:paraId="1F983C0A">
      <w:pPr>
        <w:spacing w:after="0" w:line="240" w:lineRule="auto"/>
        <w:jc w:val="both"/>
        <w:rPr>
          <w:rFonts w:ascii="Times New Roman" w:hAnsi="Times New Roman"/>
          <w:sz w:val="24"/>
          <w:szCs w:val="24"/>
        </w:rPr>
      </w:pPr>
    </w:p>
    <w:p w14:paraId="17C219A9">
      <w:pPr>
        <w:spacing w:after="0" w:line="240" w:lineRule="auto"/>
        <w:jc w:val="both"/>
        <w:rPr>
          <w:rFonts w:ascii="Times New Roman" w:hAnsi="Times New Roman" w:eastAsiaTheme="minorHAnsi"/>
          <w:b/>
          <w:color w:val="131413"/>
          <w:sz w:val="24"/>
          <w:szCs w:val="18"/>
          <w:lang w:eastAsia="en-US"/>
        </w:rPr>
      </w:pPr>
      <w:r>
        <w:rPr>
          <w:rFonts w:ascii="Times New Roman" w:hAnsi="Times New Roman" w:eastAsiaTheme="minorHAnsi"/>
          <w:b/>
          <w:color w:val="131413"/>
          <w:sz w:val="24"/>
          <w:szCs w:val="18"/>
          <w:lang w:eastAsia="en-US"/>
        </w:rPr>
        <w:t>COMPETING INTERESTS DISCLAIMER:</w:t>
      </w:r>
    </w:p>
    <w:p w14:paraId="05AC5829">
      <w:pPr>
        <w:spacing w:after="0" w:line="240" w:lineRule="auto"/>
        <w:jc w:val="both"/>
        <w:rPr>
          <w:rFonts w:ascii="Times New Roman" w:hAnsi="Times New Roman" w:eastAsiaTheme="minorHAnsi"/>
          <w:bCs/>
          <w:color w:val="131413"/>
          <w:sz w:val="24"/>
          <w:szCs w:val="18"/>
          <w:lang w:eastAsia="en-US"/>
        </w:rPr>
      </w:pPr>
      <w:r>
        <w:rPr>
          <w:rFonts w:ascii="Times New Roman" w:hAnsi="Times New Roman" w:eastAsiaTheme="minorHAnsi"/>
          <w:bCs/>
          <w:color w:val="131413"/>
          <w:sz w:val="24"/>
          <w:szCs w:val="18"/>
          <w:lang w:eastAsia="en-US"/>
        </w:rPr>
        <w:t>Authors have declared that they have no known competing financial interests OR non-financial interests OR personal relationships that could have appeared to influence the work reported in this paper.</w:t>
      </w:r>
    </w:p>
    <w:p w14:paraId="7094C030">
      <w:pPr>
        <w:autoSpaceDE w:val="0"/>
        <w:autoSpaceDN w:val="0"/>
        <w:adjustRightInd w:val="0"/>
        <w:spacing w:after="0" w:line="240" w:lineRule="auto"/>
        <w:rPr>
          <w:rFonts w:ascii="Times New Roman" w:hAnsi="Times New Roman" w:eastAsiaTheme="minorHAnsi"/>
          <w:b/>
          <w:color w:val="131413"/>
          <w:sz w:val="24"/>
          <w:szCs w:val="18"/>
          <w:lang w:eastAsia="en-US"/>
        </w:rPr>
      </w:pPr>
    </w:p>
    <w:p w14:paraId="5D1BC17A">
      <w:pPr>
        <w:autoSpaceDE w:val="0"/>
        <w:autoSpaceDN w:val="0"/>
        <w:adjustRightInd w:val="0"/>
        <w:spacing w:after="0" w:line="240" w:lineRule="auto"/>
        <w:rPr>
          <w:rFonts w:ascii="Times New Roman" w:hAnsi="Times New Roman" w:eastAsiaTheme="minorHAnsi"/>
          <w:b/>
          <w:color w:val="131413"/>
          <w:sz w:val="24"/>
          <w:szCs w:val="18"/>
          <w:lang w:eastAsia="en-US"/>
        </w:rPr>
      </w:pPr>
    </w:p>
    <w:p w14:paraId="2D87E6A6">
      <w:pPr>
        <w:autoSpaceDE w:val="0"/>
        <w:autoSpaceDN w:val="0"/>
        <w:adjustRightInd w:val="0"/>
        <w:spacing w:after="0" w:line="240" w:lineRule="auto"/>
        <w:rPr>
          <w:rFonts w:ascii="Times New Roman" w:hAnsi="Times New Roman" w:eastAsiaTheme="minorHAnsi"/>
          <w:b/>
          <w:color w:val="131413"/>
          <w:sz w:val="24"/>
          <w:szCs w:val="18"/>
          <w:lang w:eastAsia="en-US"/>
        </w:rPr>
      </w:pPr>
      <w:r>
        <w:rPr>
          <w:rFonts w:ascii="Times New Roman" w:hAnsi="Times New Roman" w:eastAsiaTheme="minorHAnsi"/>
          <w:b/>
          <w:color w:val="131413"/>
          <w:sz w:val="24"/>
          <w:szCs w:val="18"/>
          <w:lang w:eastAsia="en-US"/>
        </w:rPr>
        <w:t>REFERENCES</w:t>
      </w:r>
    </w:p>
    <w:p w14:paraId="3DEA1810">
      <w:pPr>
        <w:autoSpaceDE w:val="0"/>
        <w:autoSpaceDN w:val="0"/>
        <w:adjustRightInd w:val="0"/>
        <w:spacing w:after="0" w:line="240" w:lineRule="auto"/>
        <w:rPr>
          <w:rFonts w:ascii="Times New Roman" w:hAnsi="Times New Roman" w:eastAsiaTheme="minorHAnsi"/>
          <w:b/>
          <w:color w:val="131413"/>
          <w:sz w:val="8"/>
          <w:szCs w:val="2"/>
          <w:lang w:eastAsia="en-US"/>
        </w:rPr>
      </w:pPr>
    </w:p>
    <w:p w14:paraId="51A84BE4">
      <w:pPr>
        <w:spacing w:after="0" w:line="240" w:lineRule="auto"/>
        <w:jc w:val="both"/>
        <w:rPr>
          <w:rFonts w:ascii="Times New Roman" w:hAnsi="Times New Roman"/>
          <w:sz w:val="24"/>
          <w:highlight w:val="yellow"/>
        </w:rPr>
      </w:pPr>
      <w:r>
        <w:rPr>
          <w:rFonts w:ascii="Times New Roman" w:hAnsi="Times New Roman"/>
          <w:sz w:val="24"/>
          <w:highlight w:val="yellow"/>
        </w:rPr>
        <w:t xml:space="preserve">Abu-Amero, K. K., Azad, T. A., Mousa, A., Osman, E. A., Sultan, T., &amp; Al-Obeidan, S. A. (2014). </w:t>
      </w:r>
      <w:r>
        <w:commentReference w:id="51"/>
      </w:r>
      <w:r>
        <w:rPr>
          <w:rFonts w:ascii="Times New Roman" w:hAnsi="Times New Roman"/>
          <w:sz w:val="24"/>
          <w:highlight w:val="yellow"/>
        </w:rPr>
        <w:tab/>
      </w:r>
      <w:r>
        <w:rPr>
          <w:rFonts w:ascii="Times New Roman" w:hAnsi="Times New Roman"/>
          <w:sz w:val="24"/>
          <w:highlight w:val="yellow"/>
        </w:rPr>
        <w:t xml:space="preserve">Total antioxidant level is correlated with intraocular pressure in patients with primary angle </w:t>
      </w:r>
      <w:r>
        <w:rPr>
          <w:rFonts w:ascii="Times New Roman" w:hAnsi="Times New Roman"/>
          <w:sz w:val="24"/>
          <w:highlight w:val="yellow"/>
        </w:rPr>
        <w:tab/>
      </w:r>
      <w:r>
        <w:rPr>
          <w:rFonts w:ascii="Times New Roman" w:hAnsi="Times New Roman"/>
          <w:sz w:val="24"/>
          <w:highlight w:val="yellow"/>
        </w:rPr>
        <w:t xml:space="preserve">closure glaucoma. </w:t>
      </w:r>
      <w:r>
        <w:rPr>
          <w:rFonts w:ascii="Times New Roman" w:hAnsi="Times New Roman"/>
          <w:i/>
          <w:iCs/>
          <w:sz w:val="24"/>
          <w:highlight w:val="yellow"/>
        </w:rPr>
        <w:t>BMC Research Notes, 7</w:t>
      </w:r>
      <w:r>
        <w:rPr>
          <w:rFonts w:ascii="Times New Roman" w:hAnsi="Times New Roman"/>
          <w:sz w:val="24"/>
          <w:highlight w:val="yellow"/>
        </w:rPr>
        <w:t xml:space="preserve">, 163. </w:t>
      </w:r>
    </w:p>
    <w:p w14:paraId="40743EA6">
      <w:pPr>
        <w:spacing w:after="0" w:line="240" w:lineRule="auto"/>
        <w:jc w:val="both"/>
        <w:rPr>
          <w:rFonts w:ascii="Times New Roman" w:hAnsi="Times New Roman"/>
          <w:sz w:val="24"/>
        </w:rPr>
      </w:pPr>
      <w:r>
        <w:rPr>
          <w:rFonts w:ascii="Times New Roman" w:hAnsi="Times New Roman"/>
          <w:sz w:val="24"/>
        </w:rPr>
        <w:t xml:space="preserve">Abu-Amero, K. K., Kondkar, A. A., Mousa, A., Osman, E. A., &amp; Al-Obeidan, S. A. (2013). </w:t>
      </w:r>
      <w:r>
        <w:rPr>
          <w:rFonts w:ascii="Times New Roman" w:hAnsi="Times New Roman"/>
          <w:sz w:val="24"/>
        </w:rPr>
        <w:tab/>
      </w:r>
      <w:r>
        <w:rPr>
          <w:rFonts w:ascii="Times New Roman" w:hAnsi="Times New Roman"/>
          <w:sz w:val="24"/>
        </w:rPr>
        <w:t xml:space="preserve">Decreased total antioxidants in patients with primary open-angle glaucoma. </w:t>
      </w:r>
      <w:r>
        <w:rPr>
          <w:rFonts w:ascii="Times New Roman" w:hAnsi="Times New Roman"/>
          <w:i/>
          <w:iCs/>
          <w:sz w:val="24"/>
        </w:rPr>
        <w:t xml:space="preserve">Current Eye </w:t>
      </w:r>
      <w:r>
        <w:rPr>
          <w:rFonts w:ascii="Times New Roman" w:hAnsi="Times New Roman"/>
          <w:i/>
          <w:iCs/>
          <w:sz w:val="24"/>
        </w:rPr>
        <w:tab/>
      </w:r>
      <w:r>
        <w:rPr>
          <w:rFonts w:ascii="Times New Roman" w:hAnsi="Times New Roman"/>
          <w:i/>
          <w:iCs/>
          <w:sz w:val="24"/>
        </w:rPr>
        <w:t>Research, 38</w:t>
      </w:r>
      <w:r>
        <w:rPr>
          <w:rFonts w:ascii="Times New Roman" w:hAnsi="Times New Roman"/>
          <w:sz w:val="24"/>
        </w:rPr>
        <w:t xml:space="preserve">, 959–964. </w:t>
      </w:r>
    </w:p>
    <w:p w14:paraId="46943175">
      <w:pPr>
        <w:jc w:val="both"/>
        <w:rPr>
          <w:rFonts w:ascii="Times New Roman" w:hAnsi="Times New Roman"/>
          <w:sz w:val="24"/>
        </w:rPr>
      </w:pPr>
      <w:r>
        <w:rPr>
          <w:rFonts w:ascii="Times New Roman" w:hAnsi="Times New Roman"/>
          <w:sz w:val="24"/>
        </w:rPr>
        <w:t xml:space="preserve">Ahmad, R., Sarfaraz, M., Javaid, M. F., Sarfaraz, A., Farooq, A., &amp; Awan, M. N. (2022). Role of </w:t>
      </w:r>
      <w:r>
        <w:rPr>
          <w:rFonts w:ascii="Times New Roman" w:hAnsi="Times New Roman"/>
          <w:sz w:val="24"/>
        </w:rPr>
        <w:tab/>
      </w:r>
      <w:r>
        <w:rPr>
          <w:rFonts w:ascii="Times New Roman" w:hAnsi="Times New Roman"/>
          <w:sz w:val="24"/>
        </w:rPr>
        <w:t xml:space="preserve">serum albumin- and bilirubin biomarkers in glaucoma patients. </w:t>
      </w:r>
      <w:r>
        <w:rPr>
          <w:rFonts w:ascii="Times New Roman" w:hAnsi="Times New Roman"/>
          <w:i/>
          <w:iCs/>
          <w:sz w:val="24"/>
        </w:rPr>
        <w:t xml:space="preserve">Pakistan Journal of </w:t>
      </w:r>
      <w:r>
        <w:rPr>
          <w:rFonts w:ascii="Times New Roman" w:hAnsi="Times New Roman"/>
          <w:i/>
          <w:iCs/>
          <w:sz w:val="24"/>
        </w:rPr>
        <w:tab/>
      </w:r>
      <w:r>
        <w:rPr>
          <w:rFonts w:ascii="Times New Roman" w:hAnsi="Times New Roman"/>
          <w:i/>
          <w:iCs/>
          <w:sz w:val="24"/>
        </w:rPr>
        <w:t>Medical &amp; Health Sciences, 16</w:t>
      </w:r>
      <w:r>
        <w:rPr>
          <w:rFonts w:ascii="Times New Roman" w:hAnsi="Times New Roman"/>
          <w:sz w:val="24"/>
        </w:rPr>
        <w:t>(5), 501–509.</w:t>
      </w:r>
    </w:p>
    <w:p w14:paraId="3E3A3676">
      <w:pPr>
        <w:jc w:val="both"/>
        <w:rPr>
          <w:rFonts w:ascii="Times New Roman" w:hAnsi="Times New Roman"/>
          <w:sz w:val="24"/>
          <w:szCs w:val="24"/>
        </w:rPr>
      </w:pPr>
      <w:r>
        <w:rPr>
          <w:rFonts w:ascii="Times New Roman" w:hAnsi="Times New Roman"/>
          <w:sz w:val="24"/>
          <w:szCs w:val="24"/>
        </w:rPr>
        <w:t xml:space="preserve">Akinlabi, G. A., &amp; Iyawe, V. I. (2009). Haematological Parameters in Open Angle Glaucoma </w:t>
      </w:r>
      <w:r>
        <w:rPr>
          <w:rFonts w:ascii="Times New Roman" w:hAnsi="Times New Roman"/>
          <w:sz w:val="24"/>
          <w:szCs w:val="24"/>
        </w:rPr>
        <w:tab/>
      </w:r>
      <w:r>
        <w:rPr>
          <w:rFonts w:ascii="Times New Roman" w:hAnsi="Times New Roman"/>
          <w:sz w:val="24"/>
          <w:szCs w:val="24"/>
        </w:rPr>
        <w:t xml:space="preserve">Patients. </w:t>
      </w:r>
      <w:r>
        <w:rPr>
          <w:rFonts w:ascii="Times New Roman" w:hAnsi="Times New Roman"/>
          <w:i/>
          <w:iCs/>
          <w:sz w:val="24"/>
          <w:szCs w:val="24"/>
        </w:rPr>
        <w:t>Journal of Medicine and Biomedical Research</w:t>
      </w:r>
      <w:r>
        <w:rPr>
          <w:rFonts w:ascii="Times New Roman" w:hAnsi="Times New Roman"/>
          <w:sz w:val="24"/>
          <w:szCs w:val="24"/>
        </w:rPr>
        <w:t xml:space="preserve">, </w:t>
      </w:r>
      <w:r>
        <w:rPr>
          <w:rFonts w:ascii="Times New Roman" w:hAnsi="Times New Roman"/>
          <w:b/>
          <w:bCs/>
          <w:sz w:val="24"/>
          <w:szCs w:val="24"/>
        </w:rPr>
        <w:t>6</w:t>
      </w:r>
      <w:r>
        <w:rPr>
          <w:rFonts w:ascii="Times New Roman" w:hAnsi="Times New Roman"/>
          <w:sz w:val="24"/>
          <w:szCs w:val="24"/>
        </w:rPr>
        <w:t>(1-2), 35-40.</w:t>
      </w:r>
    </w:p>
    <w:p w14:paraId="5A48285A">
      <w:pPr>
        <w:jc w:val="both"/>
        <w:rPr>
          <w:rFonts w:ascii="Times New Roman" w:hAnsi="Times New Roman"/>
          <w:sz w:val="24"/>
          <w:szCs w:val="24"/>
        </w:rPr>
      </w:pPr>
      <w:r>
        <w:rPr>
          <w:rFonts w:ascii="Times New Roman" w:hAnsi="Times New Roman"/>
          <w:sz w:val="24"/>
          <w:szCs w:val="24"/>
        </w:rPr>
        <w:t xml:space="preserve">Al-Khateeb, E., Althaher, A., Al-Khateeb, M., Al-Musawi, H., Azzouqah, O., Al-Shweiki, S., &amp; </w:t>
      </w:r>
      <w:r>
        <w:rPr>
          <w:rFonts w:ascii="Times New Roman" w:hAnsi="Times New Roman"/>
          <w:sz w:val="24"/>
          <w:szCs w:val="24"/>
        </w:rPr>
        <w:tab/>
      </w:r>
      <w:r>
        <w:rPr>
          <w:rFonts w:ascii="Times New Roman" w:hAnsi="Times New Roman"/>
          <w:sz w:val="24"/>
          <w:szCs w:val="24"/>
        </w:rPr>
        <w:t xml:space="preserve">Shafagoj, Y. (2015). Relation between uric acid and Alzheimer’s disease in elderly </w:t>
      </w:r>
      <w:r>
        <w:rPr>
          <w:rFonts w:ascii="Times New Roman" w:hAnsi="Times New Roman"/>
          <w:sz w:val="24"/>
          <w:szCs w:val="24"/>
        </w:rPr>
        <w:tab/>
      </w:r>
      <w:r>
        <w:rPr>
          <w:rFonts w:ascii="Times New Roman" w:hAnsi="Times New Roman"/>
          <w:sz w:val="24"/>
          <w:szCs w:val="24"/>
        </w:rPr>
        <w:t xml:space="preserve">Jordanians. </w:t>
      </w:r>
      <w:r>
        <w:rPr>
          <w:rFonts w:ascii="Times New Roman" w:hAnsi="Times New Roman"/>
          <w:i/>
          <w:iCs/>
          <w:sz w:val="24"/>
          <w:szCs w:val="24"/>
        </w:rPr>
        <w:t>Journal of Alzheimer’s Disease, 44</w:t>
      </w:r>
      <w:r>
        <w:rPr>
          <w:rFonts w:ascii="Times New Roman" w:hAnsi="Times New Roman"/>
          <w:sz w:val="24"/>
          <w:szCs w:val="24"/>
        </w:rPr>
        <w:t>, 859–865.</w:t>
      </w:r>
    </w:p>
    <w:p w14:paraId="1D40FC95">
      <w:pPr>
        <w:autoSpaceDE w:val="0"/>
        <w:autoSpaceDN w:val="0"/>
        <w:adjustRightInd w:val="0"/>
        <w:spacing w:after="0" w:line="240" w:lineRule="auto"/>
        <w:ind w:left="360" w:hanging="360"/>
        <w:jc w:val="both"/>
        <w:rPr>
          <w:rFonts w:ascii="Times New Roman" w:hAnsi="Times New Roman"/>
          <w:sz w:val="24"/>
          <w:szCs w:val="24"/>
          <w:highlight w:val="yellow"/>
        </w:rPr>
      </w:pPr>
      <w:r>
        <w:rPr>
          <w:rFonts w:ascii="Times New Roman" w:hAnsi="Times New Roman"/>
          <w:sz w:val="24"/>
          <w:szCs w:val="24"/>
          <w:highlight w:val="yellow"/>
        </w:rPr>
        <w:t>Amilo, D., Izuchukwu, C., Sadri, K., Yao, H. R., Hincal, E., &amp; Shehu, Y. (2024). A fractional-</w:t>
      </w:r>
      <w:r>
        <w:rPr>
          <w:rFonts w:ascii="Times New Roman" w:hAnsi="Times New Roman"/>
          <w:sz w:val="24"/>
          <w:szCs w:val="24"/>
          <w:highlight w:val="yellow"/>
        </w:rPr>
        <w:tab/>
      </w:r>
      <w:r>
        <w:rPr>
          <w:rFonts w:ascii="Times New Roman" w:hAnsi="Times New Roman"/>
          <w:sz w:val="24"/>
          <w:szCs w:val="24"/>
          <w:highlight w:val="yellow"/>
        </w:rPr>
        <w:t xml:space="preserve">order model for optimizing combination therapy in heterogeneous lung cancer: Integrating </w:t>
      </w:r>
      <w:r>
        <w:rPr>
          <w:rFonts w:ascii="Times New Roman" w:hAnsi="Times New Roman"/>
          <w:sz w:val="24"/>
          <w:szCs w:val="24"/>
          <w:highlight w:val="yellow"/>
        </w:rPr>
        <w:tab/>
      </w:r>
      <w:r>
        <w:rPr>
          <w:rFonts w:ascii="Times New Roman" w:hAnsi="Times New Roman"/>
          <w:sz w:val="24"/>
          <w:szCs w:val="24"/>
          <w:highlight w:val="yellow"/>
        </w:rPr>
        <w:t xml:space="preserve">immunotherapy and targeted therapy to minimize side effects. </w:t>
      </w:r>
      <w:r>
        <w:rPr>
          <w:rFonts w:ascii="Times New Roman" w:hAnsi="Times New Roman"/>
          <w:i/>
          <w:iCs/>
          <w:sz w:val="24"/>
          <w:szCs w:val="24"/>
          <w:highlight w:val="yellow"/>
        </w:rPr>
        <w:t>Scientific Reports, 14</w:t>
      </w:r>
      <w:r>
        <w:rPr>
          <w:rFonts w:ascii="Times New Roman" w:hAnsi="Times New Roman"/>
          <w:sz w:val="24"/>
          <w:szCs w:val="24"/>
          <w:highlight w:val="yellow"/>
        </w:rPr>
        <w:t xml:space="preserve">(1), </w:t>
      </w:r>
      <w:r>
        <w:rPr>
          <w:rFonts w:ascii="Times New Roman" w:hAnsi="Times New Roman"/>
          <w:sz w:val="24"/>
          <w:szCs w:val="24"/>
          <w:highlight w:val="yellow"/>
        </w:rPr>
        <w:tab/>
      </w:r>
      <w:r>
        <w:rPr>
          <w:rFonts w:ascii="Times New Roman" w:hAnsi="Times New Roman"/>
          <w:sz w:val="24"/>
          <w:szCs w:val="24"/>
          <w:highlight w:val="yellow"/>
        </w:rPr>
        <w:t xml:space="preserve">18484. </w:t>
      </w:r>
    </w:p>
    <w:p w14:paraId="6126AB94">
      <w:pPr>
        <w:autoSpaceDE w:val="0"/>
        <w:autoSpaceDN w:val="0"/>
        <w:adjustRightInd w:val="0"/>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Astafurov, K., Elhawy, E., Ren, L., Dong, C. Q., Igboin, C., Hyman, L.,  &amp; Danias, J. (2014). Oral </w:t>
      </w:r>
      <w:r>
        <w:rPr>
          <w:rFonts w:ascii="Times New Roman" w:hAnsi="Times New Roman"/>
          <w:sz w:val="24"/>
          <w:szCs w:val="24"/>
          <w:highlight w:val="yellow"/>
        </w:rPr>
        <w:tab/>
      </w:r>
      <w:r>
        <w:rPr>
          <w:rFonts w:ascii="Times New Roman" w:hAnsi="Times New Roman"/>
          <w:sz w:val="24"/>
          <w:szCs w:val="24"/>
          <w:highlight w:val="yellow"/>
        </w:rPr>
        <w:t xml:space="preserve">microbiome link to neurodegeneration in glaucoma. </w:t>
      </w:r>
      <w:r>
        <w:rPr>
          <w:rFonts w:ascii="Times New Roman" w:hAnsi="Times New Roman"/>
          <w:i/>
          <w:iCs/>
          <w:sz w:val="24"/>
          <w:szCs w:val="24"/>
          <w:highlight w:val="yellow"/>
        </w:rPr>
        <w:t>PloS one</w:t>
      </w:r>
      <w:r>
        <w:rPr>
          <w:rFonts w:ascii="Times New Roman" w:hAnsi="Times New Roman"/>
          <w:sz w:val="24"/>
          <w:szCs w:val="24"/>
          <w:highlight w:val="yellow"/>
        </w:rPr>
        <w:t xml:space="preserve">, </w:t>
      </w:r>
      <w:r>
        <w:rPr>
          <w:rFonts w:ascii="Times New Roman" w:hAnsi="Times New Roman"/>
          <w:i/>
          <w:iCs/>
          <w:sz w:val="24"/>
          <w:szCs w:val="24"/>
          <w:highlight w:val="yellow"/>
        </w:rPr>
        <w:t>9</w:t>
      </w:r>
      <w:r>
        <w:rPr>
          <w:rFonts w:ascii="Times New Roman" w:hAnsi="Times New Roman"/>
          <w:sz w:val="24"/>
          <w:szCs w:val="24"/>
          <w:highlight w:val="yellow"/>
        </w:rPr>
        <w:t>(9), e104416</w:t>
      </w:r>
    </w:p>
    <w:p w14:paraId="36E807B3">
      <w:pPr>
        <w:autoSpaceDE w:val="0"/>
        <w:autoSpaceDN w:val="0"/>
        <w:adjustRightInd w:val="0"/>
        <w:spacing w:after="0" w:line="240" w:lineRule="auto"/>
        <w:ind w:left="360" w:hanging="360"/>
        <w:jc w:val="both"/>
        <w:rPr>
          <w:rFonts w:ascii="Times New Roman" w:hAnsi="Times New Roman"/>
          <w:sz w:val="24"/>
          <w:szCs w:val="24"/>
        </w:rPr>
      </w:pPr>
    </w:p>
    <w:p w14:paraId="23914999">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Azuonwu, O., Nnenna, I., &amp; Uwuma, O. E. (2017). Evaluation of haematological profile of </w:t>
      </w:r>
      <w:r>
        <w:rPr>
          <w:rFonts w:ascii="Times New Roman" w:hAnsi="Times New Roman"/>
          <w:sz w:val="24"/>
          <w:szCs w:val="24"/>
        </w:rPr>
        <w:tab/>
      </w:r>
      <w:r>
        <w:rPr>
          <w:rFonts w:ascii="Times New Roman" w:hAnsi="Times New Roman"/>
          <w:sz w:val="24"/>
          <w:szCs w:val="24"/>
        </w:rPr>
        <w:t xml:space="preserve">geriatric subjects in Port Harcourt metropolis of Niger Delta of Nigeria. </w:t>
      </w:r>
      <w:r>
        <w:rPr>
          <w:rFonts w:ascii="Times New Roman" w:hAnsi="Times New Roman"/>
          <w:i/>
          <w:iCs/>
          <w:sz w:val="24"/>
          <w:szCs w:val="24"/>
        </w:rPr>
        <w:t xml:space="preserve">Journal of </w:t>
      </w:r>
      <w:r>
        <w:rPr>
          <w:rFonts w:ascii="Times New Roman" w:hAnsi="Times New Roman"/>
          <w:i/>
          <w:iCs/>
          <w:sz w:val="24"/>
          <w:szCs w:val="24"/>
          <w:highlight w:val="yellow"/>
        </w:rPr>
        <w:t xml:space="preserve">Clinical </w:t>
      </w:r>
      <w:r>
        <w:rPr>
          <w:rFonts w:ascii="Times New Roman" w:hAnsi="Times New Roman"/>
          <w:i/>
          <w:iCs/>
          <w:sz w:val="24"/>
          <w:szCs w:val="24"/>
          <w:highlight w:val="yellow"/>
        </w:rPr>
        <w:tab/>
      </w:r>
      <w:r>
        <w:rPr>
          <w:rFonts w:ascii="Times New Roman" w:hAnsi="Times New Roman"/>
          <w:i/>
          <w:iCs/>
          <w:sz w:val="24"/>
          <w:szCs w:val="24"/>
          <w:highlight w:val="yellow"/>
        </w:rPr>
        <w:t>Laboratory Medicine, 2</w:t>
      </w:r>
      <w:r>
        <w:rPr>
          <w:rFonts w:ascii="Times New Roman" w:hAnsi="Times New Roman"/>
          <w:sz w:val="24"/>
          <w:szCs w:val="24"/>
          <w:highlight w:val="yellow"/>
        </w:rPr>
        <w:t>(1), xx–xx.</w:t>
      </w:r>
    </w:p>
    <w:p w14:paraId="7E5B529C">
      <w:pPr>
        <w:jc w:val="both"/>
        <w:rPr>
          <w:rFonts w:ascii="Times New Roman" w:hAnsi="Times New Roman"/>
          <w:sz w:val="10"/>
          <w:szCs w:val="10"/>
        </w:rPr>
      </w:pPr>
    </w:p>
    <w:p w14:paraId="17C13D97">
      <w:pPr>
        <w:jc w:val="both"/>
        <w:rPr>
          <w:rFonts w:ascii="Times New Roman" w:hAnsi="Times New Roman"/>
          <w:sz w:val="24"/>
          <w:szCs w:val="24"/>
        </w:rPr>
      </w:pPr>
      <w:r>
        <w:rPr>
          <w:rFonts w:ascii="Times New Roman" w:hAnsi="Times New Roman"/>
          <w:sz w:val="24"/>
          <w:szCs w:val="24"/>
        </w:rPr>
        <w:t xml:space="preserve">Bartlett, J. D., Horwitz, B., Laibovitz, R., &amp; Howes, J. F. (1993). Intraocular pressure response to </w:t>
      </w:r>
      <w:r>
        <w:rPr>
          <w:rFonts w:ascii="Times New Roman" w:hAnsi="Times New Roman"/>
          <w:sz w:val="24"/>
          <w:szCs w:val="24"/>
        </w:rPr>
        <w:tab/>
      </w:r>
      <w:r>
        <w:rPr>
          <w:rFonts w:ascii="Times New Roman" w:hAnsi="Times New Roman"/>
          <w:sz w:val="24"/>
          <w:szCs w:val="24"/>
        </w:rPr>
        <w:t xml:space="preserve">loteprednol etabonate in known steroid responders. </w:t>
      </w:r>
      <w:r>
        <w:rPr>
          <w:rFonts w:ascii="Times New Roman" w:hAnsi="Times New Roman"/>
          <w:i/>
          <w:iCs/>
          <w:sz w:val="24"/>
          <w:szCs w:val="24"/>
        </w:rPr>
        <w:t xml:space="preserve">Journal of Ocular Pharmacology and </w:t>
      </w:r>
      <w:r>
        <w:rPr>
          <w:rFonts w:ascii="Times New Roman" w:hAnsi="Times New Roman"/>
          <w:i/>
          <w:iCs/>
          <w:sz w:val="24"/>
          <w:szCs w:val="24"/>
        </w:rPr>
        <w:tab/>
      </w:r>
      <w:r>
        <w:rPr>
          <w:rFonts w:ascii="Times New Roman" w:hAnsi="Times New Roman"/>
          <w:i/>
          <w:iCs/>
          <w:sz w:val="24"/>
          <w:szCs w:val="24"/>
        </w:rPr>
        <w:t>Therapeutics, 9</w:t>
      </w:r>
      <w:r>
        <w:rPr>
          <w:rFonts w:ascii="Times New Roman" w:hAnsi="Times New Roman"/>
          <w:sz w:val="24"/>
          <w:szCs w:val="24"/>
        </w:rPr>
        <w:t>(2), 157–165</w:t>
      </w:r>
    </w:p>
    <w:p w14:paraId="6B647683">
      <w:pPr>
        <w:jc w:val="both"/>
        <w:rPr>
          <w:rFonts w:ascii="Times New Roman" w:hAnsi="Times New Roman"/>
          <w:sz w:val="24"/>
        </w:rPr>
      </w:pPr>
      <w:r>
        <w:rPr>
          <w:rFonts w:ascii="Times New Roman" w:hAnsi="Times New Roman"/>
          <w:sz w:val="24"/>
        </w:rPr>
        <w:t xml:space="preserve">Bowman, G. L., Shannon, J., Frei, B., Kaye, J. A., &amp; Quinn, J. F. (2010). Uric acid as a CNS </w:t>
      </w:r>
      <w:r>
        <w:rPr>
          <w:rFonts w:ascii="Times New Roman" w:hAnsi="Times New Roman"/>
          <w:sz w:val="24"/>
        </w:rPr>
        <w:tab/>
      </w:r>
      <w:r>
        <w:rPr>
          <w:rFonts w:ascii="Times New Roman" w:hAnsi="Times New Roman"/>
          <w:sz w:val="24"/>
        </w:rPr>
        <w:t xml:space="preserve">antioxidant. </w:t>
      </w:r>
      <w:r>
        <w:rPr>
          <w:rFonts w:ascii="Times New Roman" w:hAnsi="Times New Roman"/>
          <w:i/>
          <w:iCs/>
          <w:sz w:val="24"/>
        </w:rPr>
        <w:t>Journal of Alzheimer’s Disease, 19</w:t>
      </w:r>
      <w:r>
        <w:rPr>
          <w:rFonts w:ascii="Times New Roman" w:hAnsi="Times New Roman"/>
          <w:sz w:val="24"/>
        </w:rPr>
        <w:t>, 1331–1336.</w:t>
      </w:r>
    </w:p>
    <w:p w14:paraId="08236353">
      <w:pPr>
        <w:spacing w:after="0" w:line="240" w:lineRule="auto"/>
        <w:jc w:val="both"/>
        <w:rPr>
          <w:rFonts w:ascii="Times New Roman" w:hAnsi="Times New Roman"/>
          <w:sz w:val="24"/>
        </w:rPr>
      </w:pPr>
      <w:r>
        <w:rPr>
          <w:rFonts w:ascii="Times New Roman" w:hAnsi="Times New Roman"/>
          <w:sz w:val="24"/>
        </w:rPr>
        <w:t xml:space="preserve">Das, S., Maras, J. S., Hussain, M. S., Sharma, S., David, P., Sukriti, S., Shasthry, S. M., Maiwall, </w:t>
      </w:r>
      <w:r>
        <w:rPr>
          <w:rFonts w:ascii="Times New Roman" w:hAnsi="Times New Roman"/>
          <w:sz w:val="24"/>
        </w:rPr>
        <w:tab/>
      </w:r>
      <w:r>
        <w:rPr>
          <w:rFonts w:ascii="Times New Roman" w:hAnsi="Times New Roman"/>
          <w:sz w:val="24"/>
        </w:rPr>
        <w:t xml:space="preserve">R., Trehanpati, N., Singh, T. P., &amp; Sarin, S. K. (2017). Hyperoxidized albumin modulates </w:t>
      </w:r>
      <w:r>
        <w:rPr>
          <w:rFonts w:ascii="Times New Roman" w:hAnsi="Times New Roman"/>
          <w:sz w:val="24"/>
        </w:rPr>
        <w:tab/>
      </w:r>
      <w:r>
        <w:rPr>
          <w:rFonts w:ascii="Times New Roman" w:hAnsi="Times New Roman"/>
          <w:sz w:val="24"/>
        </w:rPr>
        <w:t xml:space="preserve">neutrophils to induce oxidative stress and inflammation in severe alcoholic hepatitis. </w:t>
      </w:r>
      <w:r>
        <w:rPr>
          <w:rFonts w:ascii="Times New Roman" w:hAnsi="Times New Roman"/>
          <w:sz w:val="24"/>
        </w:rPr>
        <w:tab/>
      </w:r>
      <w:r>
        <w:rPr>
          <w:rFonts w:ascii="Times New Roman" w:hAnsi="Times New Roman"/>
          <w:i/>
          <w:iCs/>
          <w:sz w:val="24"/>
        </w:rPr>
        <w:t>Hepatology, 65</w:t>
      </w:r>
      <w:r>
        <w:rPr>
          <w:rFonts w:ascii="Times New Roman" w:hAnsi="Times New Roman"/>
          <w:sz w:val="24"/>
        </w:rPr>
        <w:t xml:space="preserve">(2), 631–646. </w:t>
      </w:r>
    </w:p>
    <w:p w14:paraId="3370EAD0">
      <w:pPr>
        <w:autoSpaceDE w:val="0"/>
        <w:autoSpaceDN w:val="0"/>
        <w:adjustRightInd w:val="0"/>
        <w:spacing w:after="0" w:line="240" w:lineRule="auto"/>
        <w:ind w:left="360" w:hanging="360"/>
        <w:jc w:val="both"/>
        <w:rPr>
          <w:rFonts w:ascii="Times New Roman" w:hAnsi="Times New Roman"/>
          <w:sz w:val="24"/>
          <w:szCs w:val="24"/>
        </w:rPr>
      </w:pPr>
    </w:p>
    <w:p w14:paraId="50A611A3">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Delaney, Y., Walshe, T. E., &amp; O’Brien, C. O. (2006). Vasospasm in glaucoma: Clinical and </w:t>
      </w:r>
      <w:r>
        <w:rPr>
          <w:rFonts w:ascii="Times New Roman" w:hAnsi="Times New Roman"/>
          <w:sz w:val="24"/>
          <w:szCs w:val="24"/>
        </w:rPr>
        <w:tab/>
      </w:r>
      <w:r>
        <w:rPr>
          <w:rFonts w:ascii="Times New Roman" w:hAnsi="Times New Roman"/>
          <w:sz w:val="24"/>
          <w:szCs w:val="24"/>
        </w:rPr>
        <w:t xml:space="preserve">laboratory aspects. </w:t>
      </w:r>
      <w:r>
        <w:rPr>
          <w:rFonts w:ascii="Times New Roman" w:hAnsi="Times New Roman"/>
          <w:i/>
          <w:iCs/>
          <w:sz w:val="24"/>
          <w:szCs w:val="24"/>
        </w:rPr>
        <w:t>Optometry and Vision Science, 83</w:t>
      </w:r>
      <w:r>
        <w:rPr>
          <w:rFonts w:ascii="Times New Roman" w:hAnsi="Times New Roman"/>
          <w:sz w:val="24"/>
          <w:szCs w:val="24"/>
        </w:rPr>
        <w:t xml:space="preserve">(7), 406–414. </w:t>
      </w:r>
    </w:p>
    <w:p w14:paraId="03721C66">
      <w:pPr>
        <w:autoSpaceDE w:val="0"/>
        <w:autoSpaceDN w:val="0"/>
        <w:adjustRightInd w:val="0"/>
        <w:spacing w:after="0" w:line="240" w:lineRule="auto"/>
        <w:jc w:val="both"/>
        <w:rPr>
          <w:rFonts w:ascii="Times New Roman" w:hAnsi="Times New Roman" w:eastAsia="Times New Roman"/>
          <w:sz w:val="24"/>
          <w:szCs w:val="24"/>
          <w:lang w:eastAsia="en-US"/>
        </w:rPr>
      </w:pPr>
    </w:p>
    <w:p w14:paraId="0DFF73AF">
      <w:pPr>
        <w:autoSpaceDE w:val="0"/>
        <w:autoSpaceDN w:val="0"/>
        <w:adjustRightInd w:val="0"/>
        <w:spacing w:after="0" w:line="240" w:lineRule="auto"/>
        <w:jc w:val="both"/>
        <w:rPr>
          <w:rFonts w:ascii="Times New Roman" w:hAnsi="Times New Roman" w:eastAsia="Times New Roman"/>
          <w:sz w:val="24"/>
          <w:szCs w:val="24"/>
          <w:lang w:eastAsia="en-US"/>
        </w:rPr>
      </w:pPr>
      <w:r>
        <w:rPr>
          <w:rFonts w:ascii="Times New Roman" w:hAnsi="Times New Roman" w:eastAsia="Times New Roman"/>
          <w:sz w:val="24"/>
          <w:szCs w:val="24"/>
          <w:lang w:eastAsia="en-US"/>
        </w:rPr>
        <w:t xml:space="preserve">Douglass, A., Dattilo, M., &amp; Feola, A. J. (2023). Evidence for menopause as a sex-specific risk </w:t>
      </w:r>
      <w:r>
        <w:rPr>
          <w:rFonts w:ascii="Times New Roman" w:hAnsi="Times New Roman" w:eastAsia="Times New Roman"/>
          <w:sz w:val="24"/>
          <w:szCs w:val="24"/>
          <w:lang w:eastAsia="en-US"/>
        </w:rPr>
        <w:tab/>
      </w:r>
      <w:r>
        <w:rPr>
          <w:rFonts w:ascii="Times New Roman" w:hAnsi="Times New Roman" w:eastAsia="Times New Roman"/>
          <w:sz w:val="24"/>
          <w:szCs w:val="24"/>
          <w:lang w:eastAsia="en-US"/>
        </w:rPr>
        <w:t xml:space="preserve">factor for glaucoma. </w:t>
      </w:r>
      <w:r>
        <w:rPr>
          <w:rFonts w:ascii="Times New Roman" w:hAnsi="Times New Roman" w:eastAsia="Times New Roman"/>
          <w:i/>
          <w:iCs/>
          <w:sz w:val="24"/>
          <w:szCs w:val="24"/>
          <w:lang w:eastAsia="en-US"/>
        </w:rPr>
        <w:t>Cellular and molecular neurobiology</w:t>
      </w:r>
      <w:r>
        <w:rPr>
          <w:rFonts w:ascii="Times New Roman" w:hAnsi="Times New Roman" w:eastAsia="Times New Roman"/>
          <w:sz w:val="24"/>
          <w:szCs w:val="24"/>
          <w:lang w:eastAsia="en-US"/>
        </w:rPr>
        <w:t xml:space="preserve">, </w:t>
      </w:r>
      <w:r>
        <w:rPr>
          <w:rFonts w:ascii="Times New Roman" w:hAnsi="Times New Roman" w:eastAsia="Times New Roman"/>
          <w:i/>
          <w:iCs/>
          <w:sz w:val="24"/>
          <w:szCs w:val="24"/>
          <w:lang w:eastAsia="en-US"/>
        </w:rPr>
        <w:t>43</w:t>
      </w:r>
      <w:r>
        <w:rPr>
          <w:rFonts w:ascii="Times New Roman" w:hAnsi="Times New Roman" w:eastAsia="Times New Roman"/>
          <w:sz w:val="24"/>
          <w:szCs w:val="24"/>
          <w:lang w:eastAsia="en-US"/>
        </w:rPr>
        <w:t>(1), 79-97.</w:t>
      </w:r>
    </w:p>
    <w:p w14:paraId="708DB6E1">
      <w:pPr>
        <w:jc w:val="both"/>
        <w:rPr>
          <w:rFonts w:ascii="Times New Roman" w:hAnsi="Times New Roman"/>
          <w:sz w:val="24"/>
          <w:szCs w:val="24"/>
        </w:rPr>
      </w:pPr>
    </w:p>
    <w:p w14:paraId="1C05AF68">
      <w:pPr>
        <w:jc w:val="both"/>
        <w:rPr>
          <w:rFonts w:ascii="Times New Roman" w:hAnsi="Times New Roman"/>
          <w:sz w:val="24"/>
          <w:szCs w:val="24"/>
          <w:highlight w:val="yellow"/>
        </w:rPr>
      </w:pPr>
      <w:r>
        <w:rPr>
          <w:rFonts w:ascii="Times New Roman" w:hAnsi="Times New Roman"/>
          <w:sz w:val="24"/>
          <w:szCs w:val="24"/>
          <w:highlight w:val="yellow"/>
        </w:rPr>
        <w:t xml:space="preserve">Ferreira, S. M., Lerner, S. F., Brunzini, R., Evelson, P. A., &amp; Llesuy, S. F. (2004). Oxidative stress </w:t>
      </w:r>
      <w:r>
        <w:rPr>
          <w:rFonts w:ascii="Times New Roman" w:hAnsi="Times New Roman"/>
          <w:sz w:val="24"/>
          <w:szCs w:val="24"/>
          <w:highlight w:val="yellow"/>
        </w:rPr>
        <w:tab/>
      </w:r>
      <w:r>
        <w:rPr>
          <w:rFonts w:ascii="Times New Roman" w:hAnsi="Times New Roman"/>
          <w:sz w:val="24"/>
          <w:szCs w:val="24"/>
          <w:highlight w:val="yellow"/>
        </w:rPr>
        <w:t xml:space="preserve">markers in aqueous humor of glaucoma patients. </w:t>
      </w:r>
      <w:r>
        <w:rPr>
          <w:rFonts w:ascii="Times New Roman" w:hAnsi="Times New Roman"/>
          <w:i/>
          <w:iCs/>
          <w:sz w:val="24"/>
          <w:szCs w:val="24"/>
          <w:highlight w:val="yellow"/>
        </w:rPr>
        <w:t xml:space="preserve">American Journal of Ophthalmology, </w:t>
      </w:r>
      <w:r>
        <w:rPr>
          <w:rFonts w:ascii="Times New Roman" w:hAnsi="Times New Roman"/>
          <w:i/>
          <w:iCs/>
          <w:sz w:val="24"/>
          <w:szCs w:val="24"/>
          <w:highlight w:val="yellow"/>
        </w:rPr>
        <w:tab/>
      </w:r>
      <w:r>
        <w:rPr>
          <w:rFonts w:ascii="Times New Roman" w:hAnsi="Times New Roman"/>
          <w:i/>
          <w:iCs/>
          <w:sz w:val="24"/>
          <w:szCs w:val="24"/>
          <w:highlight w:val="yellow"/>
        </w:rPr>
        <w:t>137</w:t>
      </w:r>
      <w:r>
        <w:rPr>
          <w:rFonts w:ascii="Times New Roman" w:hAnsi="Times New Roman"/>
          <w:sz w:val="24"/>
          <w:szCs w:val="24"/>
          <w:highlight w:val="yellow"/>
        </w:rPr>
        <w:t>(1), 62–69.</w:t>
      </w:r>
    </w:p>
    <w:p w14:paraId="2126F06A">
      <w:pPr>
        <w:jc w:val="both"/>
        <w:rPr>
          <w:rFonts w:ascii="Times New Roman" w:hAnsi="Times New Roman"/>
          <w:sz w:val="24"/>
        </w:rPr>
      </w:pPr>
      <w:r>
        <w:rPr>
          <w:rFonts w:ascii="Times New Roman" w:hAnsi="Times New Roman"/>
          <w:sz w:val="24"/>
        </w:rPr>
        <w:t xml:space="preserve">Gochman, N., &amp; Schmitz, J. M. (1971). Automated determination of uric acid, with use of a </w:t>
      </w:r>
      <w:r>
        <w:rPr>
          <w:rFonts w:ascii="Times New Roman" w:hAnsi="Times New Roman"/>
          <w:sz w:val="24"/>
        </w:rPr>
        <w:tab/>
      </w:r>
      <w:r>
        <w:rPr>
          <w:rFonts w:ascii="Times New Roman" w:hAnsi="Times New Roman"/>
          <w:sz w:val="24"/>
        </w:rPr>
        <w:t xml:space="preserve">uricase-peroxidase system. </w:t>
      </w:r>
      <w:r>
        <w:rPr>
          <w:rFonts w:ascii="Times New Roman" w:hAnsi="Times New Roman"/>
          <w:i/>
          <w:iCs/>
          <w:sz w:val="24"/>
        </w:rPr>
        <w:t>Clinical Chemistry, 17</w:t>
      </w:r>
      <w:r>
        <w:rPr>
          <w:rFonts w:ascii="Times New Roman" w:hAnsi="Times New Roman"/>
          <w:sz w:val="24"/>
        </w:rPr>
        <w:t>(12), 1154–1159.</w:t>
      </w:r>
    </w:p>
    <w:p w14:paraId="6DE1DEDB">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Goyal, A., Srivastava, A., Sihota, R., &amp; Kaur, J. (2014). Evaluation of oxidative stress markers in </w:t>
      </w:r>
      <w:r>
        <w:rPr>
          <w:rFonts w:ascii="Times New Roman" w:hAnsi="Times New Roman"/>
          <w:sz w:val="24"/>
          <w:szCs w:val="24"/>
        </w:rPr>
        <w:tab/>
      </w:r>
      <w:r>
        <w:rPr>
          <w:rFonts w:ascii="Times New Roman" w:hAnsi="Times New Roman"/>
          <w:sz w:val="24"/>
          <w:szCs w:val="24"/>
        </w:rPr>
        <w:t xml:space="preserve">aqueous humor of primary open-angle glaucoma and primary angle closure glaucoma </w:t>
      </w:r>
      <w:r>
        <w:rPr>
          <w:rFonts w:ascii="Times New Roman" w:hAnsi="Times New Roman"/>
          <w:sz w:val="24"/>
          <w:szCs w:val="24"/>
        </w:rPr>
        <w:tab/>
      </w:r>
      <w:r>
        <w:rPr>
          <w:rFonts w:ascii="Times New Roman" w:hAnsi="Times New Roman"/>
          <w:sz w:val="24"/>
          <w:szCs w:val="24"/>
        </w:rPr>
        <w:t xml:space="preserve">patients. </w:t>
      </w:r>
      <w:r>
        <w:rPr>
          <w:rFonts w:ascii="Times New Roman" w:hAnsi="Times New Roman"/>
          <w:i/>
          <w:iCs/>
          <w:sz w:val="24"/>
          <w:szCs w:val="24"/>
        </w:rPr>
        <w:t>Current Eye Research, 39</w:t>
      </w:r>
      <w:r>
        <w:rPr>
          <w:rFonts w:ascii="Times New Roman" w:hAnsi="Times New Roman"/>
          <w:sz w:val="24"/>
          <w:szCs w:val="24"/>
        </w:rPr>
        <w:t xml:space="preserve">(8), 823–829. </w:t>
      </w:r>
    </w:p>
    <w:p w14:paraId="57B7FDCE">
      <w:pPr>
        <w:jc w:val="both"/>
        <w:rPr>
          <w:rFonts w:ascii="Times New Roman" w:hAnsi="Times New Roman"/>
          <w:sz w:val="24"/>
          <w:szCs w:val="24"/>
        </w:rPr>
      </w:pPr>
    </w:p>
    <w:p w14:paraId="0D2F7B49">
      <w:pPr>
        <w:jc w:val="both"/>
        <w:rPr>
          <w:rFonts w:ascii="Times New Roman" w:hAnsi="Times New Roman"/>
          <w:sz w:val="24"/>
          <w:szCs w:val="24"/>
        </w:rPr>
      </w:pPr>
      <w:r>
        <w:rPr>
          <w:rFonts w:ascii="Times New Roman" w:hAnsi="Times New Roman"/>
          <w:sz w:val="24"/>
          <w:szCs w:val="24"/>
        </w:rPr>
        <w:t xml:space="preserve">Gwyn, D. R., Stewart, W., Hennis, H. L., McMillan, T. A., &amp; Pitts, R. A. (1993). The influence of </w:t>
      </w:r>
      <w:r>
        <w:rPr>
          <w:rFonts w:ascii="Times New Roman" w:hAnsi="Times New Roman"/>
          <w:sz w:val="24"/>
          <w:szCs w:val="24"/>
        </w:rPr>
        <w:tab/>
      </w:r>
      <w:r>
        <w:rPr>
          <w:rFonts w:ascii="Times New Roman" w:hAnsi="Times New Roman"/>
          <w:sz w:val="24"/>
          <w:szCs w:val="24"/>
        </w:rPr>
        <w:t xml:space="preserve">age upon inflammatory cell count and structure in chronic open-angle glaucoma. </w:t>
      </w:r>
      <w:r>
        <w:rPr>
          <w:rFonts w:ascii="Times New Roman" w:hAnsi="Times New Roman"/>
          <w:i/>
          <w:iCs/>
          <w:sz w:val="24"/>
          <w:szCs w:val="24"/>
        </w:rPr>
        <w:t xml:space="preserve">Acta </w:t>
      </w:r>
      <w:r>
        <w:rPr>
          <w:rFonts w:ascii="Times New Roman" w:hAnsi="Times New Roman"/>
          <w:i/>
          <w:iCs/>
          <w:sz w:val="24"/>
          <w:szCs w:val="24"/>
        </w:rPr>
        <w:tab/>
      </w:r>
      <w:r>
        <w:rPr>
          <w:rFonts w:ascii="Times New Roman" w:hAnsi="Times New Roman"/>
          <w:i/>
          <w:iCs/>
          <w:sz w:val="24"/>
          <w:szCs w:val="24"/>
        </w:rPr>
        <w:t>Ophthalmologica (Copenhagen), 71</w:t>
      </w:r>
      <w:r>
        <w:rPr>
          <w:rFonts w:ascii="Times New Roman" w:hAnsi="Times New Roman"/>
          <w:sz w:val="24"/>
          <w:szCs w:val="24"/>
        </w:rPr>
        <w:t>(5), 691–695.</w:t>
      </w:r>
    </w:p>
    <w:p w14:paraId="71995F95">
      <w:pPr>
        <w:jc w:val="both"/>
        <w:rPr>
          <w:rFonts w:ascii="Times New Roman" w:hAnsi="Times New Roman"/>
          <w:sz w:val="24"/>
          <w:szCs w:val="24"/>
        </w:rPr>
      </w:pPr>
      <w:r>
        <w:rPr>
          <w:rFonts w:ascii="Times New Roman" w:hAnsi="Times New Roman"/>
          <w:sz w:val="24"/>
          <w:szCs w:val="24"/>
        </w:rPr>
        <w:t xml:space="preserve">Hasan, A., Garg, P., Chandra, A., &amp; Gupta, M. (2017). Relationship between oxidative stress and </w:t>
      </w:r>
      <w:r>
        <w:rPr>
          <w:rFonts w:ascii="Times New Roman" w:hAnsi="Times New Roman"/>
          <w:sz w:val="24"/>
          <w:szCs w:val="24"/>
        </w:rPr>
        <w:tab/>
      </w:r>
      <w:r>
        <w:rPr>
          <w:rFonts w:ascii="Times New Roman" w:hAnsi="Times New Roman"/>
          <w:sz w:val="24"/>
          <w:szCs w:val="24"/>
        </w:rPr>
        <w:t xml:space="preserve">primary open-angle glaucoma. </w:t>
      </w:r>
      <w:r>
        <w:rPr>
          <w:rFonts w:ascii="Times New Roman" w:hAnsi="Times New Roman"/>
          <w:i/>
          <w:iCs/>
          <w:sz w:val="24"/>
          <w:szCs w:val="24"/>
        </w:rPr>
        <w:t xml:space="preserve">Journal of Evidence-Based Medicine and Healthcare, </w:t>
      </w:r>
      <w:r>
        <w:rPr>
          <w:rFonts w:ascii="Times New Roman" w:hAnsi="Times New Roman"/>
          <w:i/>
          <w:iCs/>
          <w:sz w:val="24"/>
          <w:szCs w:val="24"/>
        </w:rPr>
        <w:tab/>
      </w:r>
      <w:r>
        <w:rPr>
          <w:rFonts w:ascii="Times New Roman" w:hAnsi="Times New Roman"/>
          <w:i/>
          <w:iCs/>
          <w:sz w:val="24"/>
          <w:szCs w:val="24"/>
        </w:rPr>
        <w:t>4</w:t>
      </w:r>
      <w:r>
        <w:rPr>
          <w:rFonts w:ascii="Times New Roman" w:hAnsi="Times New Roman"/>
          <w:sz w:val="24"/>
          <w:szCs w:val="24"/>
        </w:rPr>
        <w:t>(82), 4830–4834.</w:t>
      </w:r>
    </w:p>
    <w:p w14:paraId="23F4BC95">
      <w:pPr>
        <w:jc w:val="both"/>
        <w:rPr>
          <w:rFonts w:ascii="Times New Roman" w:hAnsi="Times New Roman"/>
          <w:sz w:val="24"/>
        </w:rPr>
      </w:pPr>
      <w:r>
        <w:rPr>
          <w:rFonts w:ascii="Times New Roman" w:hAnsi="Times New Roman"/>
          <w:sz w:val="24"/>
        </w:rPr>
        <w:t xml:space="preserve">He, C., Zhang, G., Fu, J., Zhang, R., Li, A., Liu, D., Li, B., Chen, Y., Deng, B., Chen, Y., &amp; Shuai, </w:t>
      </w:r>
      <w:r>
        <w:rPr>
          <w:rFonts w:ascii="Times New Roman" w:hAnsi="Times New Roman"/>
          <w:sz w:val="24"/>
        </w:rPr>
        <w:tab/>
      </w:r>
      <w:r>
        <w:rPr>
          <w:rFonts w:ascii="Times New Roman" w:hAnsi="Times New Roman"/>
          <w:sz w:val="24"/>
        </w:rPr>
        <w:t xml:space="preserve">P. (2022). Clinical significance of albumin- and bilirubin-based biomarkers in glaucoma: </w:t>
      </w:r>
      <w:r>
        <w:rPr>
          <w:rFonts w:ascii="Times New Roman" w:hAnsi="Times New Roman"/>
          <w:sz w:val="24"/>
        </w:rPr>
        <w:tab/>
      </w:r>
      <w:r>
        <w:rPr>
          <w:rFonts w:ascii="Times New Roman" w:hAnsi="Times New Roman"/>
          <w:sz w:val="24"/>
        </w:rPr>
        <w:t xml:space="preserve">A retrospective case-control study. </w:t>
      </w:r>
      <w:r>
        <w:rPr>
          <w:rFonts w:ascii="Times New Roman" w:hAnsi="Times New Roman"/>
          <w:i/>
          <w:iCs/>
          <w:sz w:val="24"/>
        </w:rPr>
        <w:t>Oxidative Medicine and Cellular Longevity, 2022</w:t>
      </w:r>
      <w:r>
        <w:rPr>
          <w:rFonts w:ascii="Times New Roman" w:hAnsi="Times New Roman"/>
          <w:sz w:val="24"/>
        </w:rPr>
        <w:t xml:space="preserve">, </w:t>
      </w:r>
      <w:r>
        <w:rPr>
          <w:rFonts w:ascii="Times New Roman" w:hAnsi="Times New Roman"/>
          <w:sz w:val="24"/>
        </w:rPr>
        <w:tab/>
      </w:r>
      <w:r>
        <w:rPr>
          <w:rFonts w:ascii="Times New Roman" w:hAnsi="Times New Roman"/>
          <w:sz w:val="24"/>
        </w:rPr>
        <w:t>8063651.</w:t>
      </w:r>
    </w:p>
    <w:p w14:paraId="7EF377DE">
      <w:pPr>
        <w:autoSpaceDE w:val="0"/>
        <w:autoSpaceDN w:val="0"/>
        <w:adjustRightInd w:val="0"/>
        <w:spacing w:after="0" w:line="240" w:lineRule="auto"/>
        <w:jc w:val="both"/>
        <w:rPr>
          <w:rFonts w:ascii="Times New Roman" w:hAnsi="Times New Roman" w:eastAsiaTheme="minorHAnsi"/>
          <w:szCs w:val="14"/>
          <w:lang w:eastAsia="en-US"/>
        </w:rPr>
      </w:pPr>
      <w:r>
        <w:rPr>
          <w:rFonts w:ascii="Times New Roman" w:hAnsi="Times New Roman"/>
          <w:sz w:val="24"/>
          <w:szCs w:val="24"/>
        </w:rPr>
        <w:t xml:space="preserve">He, M., Foster, P. J., Ge, J., Huang, W., Zheng, Y., Friedman, D. S., ... &amp; Khaw, P. T. (2006). </w:t>
      </w:r>
      <w:r>
        <w:rPr>
          <w:rFonts w:ascii="Times New Roman" w:hAnsi="Times New Roman"/>
          <w:sz w:val="24"/>
          <w:szCs w:val="24"/>
        </w:rPr>
        <w:tab/>
      </w:r>
      <w:r>
        <w:rPr>
          <w:rFonts w:ascii="Times New Roman" w:hAnsi="Times New Roman"/>
          <w:sz w:val="24"/>
          <w:szCs w:val="24"/>
        </w:rPr>
        <w:t xml:space="preserve">Prevalence and clinical characteristics of glaucoma in adult Chinese: a population-based </w:t>
      </w:r>
      <w:r>
        <w:rPr>
          <w:rFonts w:ascii="Times New Roman" w:hAnsi="Times New Roman"/>
          <w:sz w:val="24"/>
          <w:szCs w:val="24"/>
        </w:rPr>
        <w:tab/>
      </w:r>
      <w:r>
        <w:rPr>
          <w:rFonts w:ascii="Times New Roman" w:hAnsi="Times New Roman"/>
          <w:sz w:val="24"/>
          <w:szCs w:val="24"/>
        </w:rPr>
        <w:t xml:space="preserve">study in Liwan District, Guangzhou. </w:t>
      </w:r>
      <w:r>
        <w:rPr>
          <w:rFonts w:ascii="Times New Roman" w:hAnsi="Times New Roman"/>
          <w:i/>
          <w:iCs/>
          <w:sz w:val="24"/>
          <w:szCs w:val="24"/>
        </w:rPr>
        <w:t>Investigative ophthalmology &amp; visual science</w:t>
      </w:r>
      <w:r>
        <w:rPr>
          <w:rFonts w:ascii="Times New Roman" w:hAnsi="Times New Roman"/>
          <w:sz w:val="24"/>
          <w:szCs w:val="24"/>
        </w:rPr>
        <w:t xml:space="preserve">, </w:t>
      </w:r>
      <w:r>
        <w:rPr>
          <w:rFonts w:ascii="Times New Roman" w:hAnsi="Times New Roman"/>
          <w:i/>
          <w:iCs/>
          <w:sz w:val="24"/>
          <w:szCs w:val="24"/>
        </w:rPr>
        <w:t>47</w:t>
      </w:r>
      <w:r>
        <w:rPr>
          <w:rFonts w:ascii="Times New Roman" w:hAnsi="Times New Roman"/>
          <w:sz w:val="24"/>
          <w:szCs w:val="24"/>
        </w:rPr>
        <w:t xml:space="preserve">(7), </w:t>
      </w:r>
      <w:r>
        <w:rPr>
          <w:rFonts w:ascii="Times New Roman" w:hAnsi="Times New Roman"/>
          <w:sz w:val="24"/>
          <w:szCs w:val="24"/>
        </w:rPr>
        <w:tab/>
      </w:r>
      <w:r>
        <w:rPr>
          <w:rFonts w:ascii="Times New Roman" w:hAnsi="Times New Roman"/>
          <w:sz w:val="24"/>
          <w:szCs w:val="24"/>
        </w:rPr>
        <w:t>2782-2788.</w:t>
      </w:r>
    </w:p>
    <w:p w14:paraId="5D4A7463">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Hsueh, Y. J., Chen, Y. N., Tsao, Y. T., Cheng, C. M., Wu, W. C., &amp; Chen, H. C. (2022). The </w:t>
      </w:r>
      <w:r>
        <w:rPr>
          <w:rFonts w:ascii="Times New Roman" w:hAnsi="Times New Roman"/>
          <w:sz w:val="24"/>
          <w:szCs w:val="24"/>
        </w:rPr>
        <w:tab/>
      </w:r>
      <w:r>
        <w:rPr>
          <w:rFonts w:ascii="Times New Roman" w:hAnsi="Times New Roman"/>
          <w:sz w:val="24"/>
          <w:szCs w:val="24"/>
        </w:rPr>
        <w:t xml:space="preserve">patho-mechanism, antioxidant biomarkers, and treatment of oxidative stress-related eye </w:t>
      </w:r>
      <w:r>
        <w:rPr>
          <w:rFonts w:ascii="Times New Roman" w:hAnsi="Times New Roman"/>
          <w:sz w:val="24"/>
          <w:szCs w:val="24"/>
        </w:rPr>
        <w:tab/>
      </w:r>
      <w:r>
        <w:rPr>
          <w:rFonts w:ascii="Times New Roman" w:hAnsi="Times New Roman"/>
          <w:sz w:val="24"/>
          <w:szCs w:val="24"/>
        </w:rPr>
        <w:t xml:space="preserve">diseases. </w:t>
      </w:r>
      <w:r>
        <w:rPr>
          <w:rFonts w:ascii="Times New Roman" w:hAnsi="Times New Roman"/>
          <w:i/>
          <w:iCs/>
          <w:sz w:val="24"/>
          <w:szCs w:val="24"/>
        </w:rPr>
        <w:t>International Journal of Molecular Sciences, 23</w:t>
      </w:r>
      <w:r>
        <w:rPr>
          <w:rFonts w:ascii="Times New Roman" w:hAnsi="Times New Roman"/>
          <w:sz w:val="24"/>
          <w:szCs w:val="24"/>
        </w:rPr>
        <w:t xml:space="preserve">(3), 1255. </w:t>
      </w:r>
    </w:p>
    <w:p w14:paraId="73A4ECD4">
      <w:pPr>
        <w:jc w:val="both"/>
        <w:rPr>
          <w:rFonts w:ascii="Times New Roman" w:hAnsi="Times New Roman"/>
          <w:sz w:val="24"/>
        </w:rPr>
      </w:pPr>
    </w:p>
    <w:p w14:paraId="0C5FD3CF">
      <w:pPr>
        <w:jc w:val="both"/>
        <w:rPr>
          <w:rFonts w:ascii="Times New Roman" w:hAnsi="Times New Roman"/>
          <w:sz w:val="24"/>
        </w:rPr>
      </w:pPr>
      <w:r>
        <w:rPr>
          <w:rFonts w:ascii="Times New Roman" w:hAnsi="Times New Roman"/>
          <w:sz w:val="24"/>
        </w:rPr>
        <w:t xml:space="preserve">Irizarry, M. C., Raman, R., Schwarzschild, M. A., Becerra, L. M., Thomas, R. G., Peterson, R. C., </w:t>
      </w:r>
      <w:r>
        <w:rPr>
          <w:rFonts w:ascii="Times New Roman" w:hAnsi="Times New Roman"/>
          <w:sz w:val="24"/>
        </w:rPr>
        <w:tab/>
      </w:r>
      <w:r>
        <w:rPr>
          <w:rFonts w:ascii="Times New Roman" w:hAnsi="Times New Roman"/>
          <w:sz w:val="24"/>
        </w:rPr>
        <w:t xml:space="preserve">Ascherio, A., &amp; Aisen, P. S. (2009). Plasma urate and progression of mild cognitive </w:t>
      </w:r>
      <w:r>
        <w:rPr>
          <w:rFonts w:ascii="Times New Roman" w:hAnsi="Times New Roman"/>
          <w:sz w:val="24"/>
        </w:rPr>
        <w:tab/>
      </w:r>
      <w:r>
        <w:rPr>
          <w:rFonts w:ascii="Times New Roman" w:hAnsi="Times New Roman"/>
          <w:sz w:val="24"/>
        </w:rPr>
        <w:t xml:space="preserve">impairment. </w:t>
      </w:r>
      <w:r>
        <w:rPr>
          <w:rFonts w:ascii="Times New Roman" w:hAnsi="Times New Roman"/>
          <w:i/>
          <w:iCs/>
          <w:sz w:val="24"/>
        </w:rPr>
        <w:t>Neurodegenerative Diseases, 6</w:t>
      </w:r>
      <w:r>
        <w:rPr>
          <w:rFonts w:ascii="Times New Roman" w:hAnsi="Times New Roman"/>
          <w:sz w:val="24"/>
        </w:rPr>
        <w:t>, 23–28.</w:t>
      </w:r>
    </w:p>
    <w:p w14:paraId="534D5782">
      <w:pPr>
        <w:autoSpaceDE w:val="0"/>
        <w:autoSpaceDN w:val="0"/>
        <w:adjustRightInd w:val="0"/>
        <w:spacing w:after="0" w:line="240" w:lineRule="auto"/>
        <w:jc w:val="both"/>
        <w:rPr>
          <w:rFonts w:ascii="Times New Roman" w:hAnsi="Times New Roman" w:eastAsiaTheme="minorHAnsi"/>
          <w:szCs w:val="14"/>
          <w:lang w:eastAsia="en-US"/>
        </w:rPr>
      </w:pPr>
      <w:r>
        <w:rPr>
          <w:rFonts w:ascii="Times New Roman" w:hAnsi="Times New Roman"/>
          <w:sz w:val="24"/>
        </w:rPr>
        <w:t xml:space="preserve">Jabbehdari, S., Chen, J. L., &amp; Vajaranant, T. S. (2021). Effect of dietary modification and </w:t>
      </w:r>
      <w:r>
        <w:rPr>
          <w:rFonts w:ascii="Times New Roman" w:hAnsi="Times New Roman"/>
          <w:sz w:val="24"/>
        </w:rPr>
        <w:tab/>
      </w:r>
      <w:r>
        <w:rPr>
          <w:rFonts w:ascii="Times New Roman" w:hAnsi="Times New Roman"/>
          <w:sz w:val="24"/>
        </w:rPr>
        <w:t xml:space="preserve">antioxidant supplementation on intraocular pressure and open-angle glaucoma. </w:t>
      </w:r>
      <w:r>
        <w:rPr>
          <w:rFonts w:ascii="Times New Roman" w:hAnsi="Times New Roman"/>
          <w:i/>
          <w:iCs/>
          <w:sz w:val="24"/>
        </w:rPr>
        <w:t xml:space="preserve">European </w:t>
      </w:r>
      <w:r>
        <w:rPr>
          <w:rFonts w:ascii="Times New Roman" w:hAnsi="Times New Roman"/>
          <w:i/>
          <w:iCs/>
          <w:sz w:val="24"/>
        </w:rPr>
        <w:tab/>
      </w:r>
      <w:r>
        <w:rPr>
          <w:rFonts w:ascii="Times New Roman" w:hAnsi="Times New Roman"/>
          <w:i/>
          <w:iCs/>
          <w:sz w:val="24"/>
        </w:rPr>
        <w:t>Journal of Ophthalmology, 31</w:t>
      </w:r>
      <w:r>
        <w:rPr>
          <w:rFonts w:ascii="Times New Roman" w:hAnsi="Times New Roman"/>
          <w:sz w:val="24"/>
        </w:rPr>
        <w:t xml:space="preserve">, 1588–1605. </w:t>
      </w:r>
    </w:p>
    <w:p w14:paraId="4383A554">
      <w:pPr>
        <w:spacing w:after="0" w:line="240" w:lineRule="auto"/>
        <w:jc w:val="both"/>
        <w:rPr>
          <w:rFonts w:ascii="Times New Roman" w:hAnsi="Times New Roman"/>
          <w:sz w:val="24"/>
        </w:rPr>
      </w:pPr>
    </w:p>
    <w:p w14:paraId="5922EF9D">
      <w:pPr>
        <w:spacing w:after="0" w:line="240" w:lineRule="auto"/>
        <w:jc w:val="both"/>
        <w:rPr>
          <w:rFonts w:ascii="Times New Roman" w:hAnsi="Times New Roman"/>
          <w:sz w:val="24"/>
          <w:highlight w:val="yellow"/>
        </w:rPr>
      </w:pPr>
      <w:r>
        <w:rPr>
          <w:rFonts w:ascii="Times New Roman" w:hAnsi="Times New Roman"/>
          <w:sz w:val="24"/>
          <w:highlight w:val="yellow"/>
        </w:rPr>
        <w:t xml:space="preserve">Jendrassik, L., &amp; Groff, P. (1938). Colorimetric method for measurement of bilirubin. </w:t>
      </w:r>
      <w:r>
        <w:rPr>
          <w:rFonts w:ascii="Times New Roman" w:hAnsi="Times New Roman"/>
          <w:i/>
          <w:iCs/>
          <w:sz w:val="24"/>
          <w:highlight w:val="yellow"/>
        </w:rPr>
        <w:t xml:space="preserve">Biochemical </w:t>
      </w:r>
      <w:r>
        <w:rPr>
          <w:rFonts w:ascii="Times New Roman" w:hAnsi="Times New Roman"/>
          <w:i/>
          <w:iCs/>
          <w:sz w:val="24"/>
          <w:highlight w:val="yellow"/>
        </w:rPr>
        <w:tab/>
      </w:r>
      <w:r>
        <w:rPr>
          <w:rFonts w:ascii="Times New Roman" w:hAnsi="Times New Roman"/>
          <w:i/>
          <w:iCs/>
          <w:sz w:val="24"/>
          <w:highlight w:val="yellow"/>
        </w:rPr>
        <w:t>Journal, 297</w:t>
      </w:r>
      <w:r>
        <w:rPr>
          <w:rFonts w:ascii="Times New Roman" w:hAnsi="Times New Roman"/>
          <w:sz w:val="24"/>
          <w:highlight w:val="yellow"/>
        </w:rPr>
        <w:t xml:space="preserve">(81), 160–166. </w:t>
      </w:r>
    </w:p>
    <w:p w14:paraId="0753DB2D">
      <w:pPr>
        <w:autoSpaceDE w:val="0"/>
        <w:autoSpaceDN w:val="0"/>
        <w:adjustRightInd w:val="0"/>
        <w:spacing w:after="0" w:line="240" w:lineRule="auto"/>
        <w:ind w:left="360" w:hanging="360"/>
        <w:jc w:val="both"/>
        <w:rPr>
          <w:rFonts w:ascii="Times New Roman" w:hAnsi="Times New Roman"/>
          <w:sz w:val="24"/>
          <w:szCs w:val="24"/>
        </w:rPr>
      </w:pPr>
    </w:p>
    <w:p w14:paraId="2C4F4EA0">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Kimura, A., Namekata, K., Guo, X., Noro, T., Harada, C., &amp; Harada, T. (2017). Targeting </w:t>
      </w:r>
      <w:r>
        <w:rPr>
          <w:rFonts w:ascii="Times New Roman" w:hAnsi="Times New Roman"/>
          <w:sz w:val="24"/>
          <w:szCs w:val="24"/>
        </w:rPr>
        <w:tab/>
      </w:r>
      <w:r>
        <w:rPr>
          <w:rFonts w:ascii="Times New Roman" w:hAnsi="Times New Roman"/>
          <w:sz w:val="24"/>
          <w:szCs w:val="24"/>
        </w:rPr>
        <w:t xml:space="preserve">oxidative stress for treatment of glaucoma and optic neuritis. </w:t>
      </w:r>
      <w:r>
        <w:rPr>
          <w:rFonts w:ascii="Times New Roman" w:hAnsi="Times New Roman"/>
          <w:i/>
          <w:iCs/>
          <w:sz w:val="24"/>
          <w:szCs w:val="24"/>
        </w:rPr>
        <w:t xml:space="preserve">Oxidative Medicine and </w:t>
      </w:r>
      <w:r>
        <w:rPr>
          <w:rFonts w:ascii="Times New Roman" w:hAnsi="Times New Roman"/>
          <w:i/>
          <w:iCs/>
          <w:sz w:val="24"/>
          <w:szCs w:val="24"/>
        </w:rPr>
        <w:tab/>
      </w:r>
      <w:r>
        <w:rPr>
          <w:rFonts w:ascii="Times New Roman" w:hAnsi="Times New Roman"/>
          <w:i/>
          <w:iCs/>
          <w:sz w:val="24"/>
          <w:szCs w:val="24"/>
        </w:rPr>
        <w:t>Cellular Longevity, 2017</w:t>
      </w:r>
      <w:r>
        <w:rPr>
          <w:rFonts w:ascii="Times New Roman" w:hAnsi="Times New Roman"/>
          <w:sz w:val="24"/>
          <w:szCs w:val="24"/>
        </w:rPr>
        <w:t xml:space="preserve">, 2817252. </w:t>
      </w:r>
    </w:p>
    <w:p w14:paraId="3D07D615">
      <w:pPr>
        <w:autoSpaceDE w:val="0"/>
        <w:autoSpaceDN w:val="0"/>
        <w:adjustRightInd w:val="0"/>
        <w:spacing w:after="0" w:line="240" w:lineRule="auto"/>
        <w:ind w:left="360" w:hanging="360"/>
        <w:jc w:val="both"/>
        <w:rPr>
          <w:rFonts w:ascii="Times New Roman" w:hAnsi="Times New Roman"/>
          <w:sz w:val="24"/>
          <w:szCs w:val="24"/>
        </w:rPr>
      </w:pPr>
    </w:p>
    <w:p w14:paraId="79881BE0">
      <w:pPr>
        <w:jc w:val="both"/>
        <w:rPr>
          <w:rFonts w:ascii="Times New Roman" w:hAnsi="Times New Roman"/>
          <w:sz w:val="24"/>
        </w:rPr>
      </w:pPr>
      <w:r>
        <w:rPr>
          <w:rFonts w:ascii="Times New Roman" w:hAnsi="Times New Roman"/>
          <w:sz w:val="24"/>
        </w:rPr>
        <w:t xml:space="preserve">Laitinen, H. A., &amp; Kolthoff, I. M. (1939). A study of diffusion processes by electrolysis with </w:t>
      </w:r>
      <w:r>
        <w:rPr>
          <w:rFonts w:ascii="Times New Roman" w:hAnsi="Times New Roman"/>
          <w:sz w:val="24"/>
        </w:rPr>
        <w:tab/>
      </w:r>
      <w:r>
        <w:rPr>
          <w:rFonts w:ascii="Times New Roman" w:hAnsi="Times New Roman"/>
          <w:sz w:val="24"/>
        </w:rPr>
        <w:t xml:space="preserve">microelectrodes. </w:t>
      </w:r>
      <w:r>
        <w:rPr>
          <w:rFonts w:ascii="Times New Roman" w:hAnsi="Times New Roman"/>
          <w:i/>
          <w:iCs/>
          <w:sz w:val="24"/>
        </w:rPr>
        <w:t>Journal of the American Chemical Society, 61</w:t>
      </w:r>
      <w:r>
        <w:rPr>
          <w:rFonts w:ascii="Times New Roman" w:hAnsi="Times New Roman"/>
          <w:sz w:val="24"/>
        </w:rPr>
        <w:t>(12), 3344–3349.</w:t>
      </w:r>
    </w:p>
    <w:p w14:paraId="75A252B6">
      <w:pPr>
        <w:autoSpaceDE w:val="0"/>
        <w:autoSpaceDN w:val="0"/>
        <w:adjustRightInd w:val="0"/>
        <w:spacing w:after="0" w:line="240" w:lineRule="auto"/>
        <w:ind w:left="360" w:hanging="360"/>
        <w:jc w:val="both"/>
        <w:rPr>
          <w:rFonts w:ascii="Times New Roman" w:hAnsi="Times New Roman"/>
          <w:sz w:val="24"/>
          <w:szCs w:val="24"/>
          <w:highlight w:val="yellow"/>
        </w:rPr>
      </w:pPr>
      <w:r>
        <w:rPr>
          <w:rFonts w:ascii="Times New Roman" w:hAnsi="Times New Roman"/>
          <w:sz w:val="24"/>
          <w:szCs w:val="24"/>
          <w:highlight w:val="yellow"/>
        </w:rPr>
        <w:t xml:space="preserve">Lee, E. J., Jung, H. J., Jong, C. H., &amp; Changwon, K. (2021). Evidence-based understanding of disc </w:t>
      </w:r>
      <w:r>
        <w:rPr>
          <w:rFonts w:ascii="Times New Roman" w:hAnsi="Times New Roman"/>
          <w:sz w:val="24"/>
          <w:szCs w:val="24"/>
          <w:highlight w:val="yellow"/>
        </w:rPr>
        <w:tab/>
      </w:r>
      <w:r>
        <w:rPr>
          <w:rFonts w:ascii="Times New Roman" w:hAnsi="Times New Roman"/>
          <w:sz w:val="24"/>
          <w:szCs w:val="24"/>
          <w:highlight w:val="yellow"/>
        </w:rPr>
        <w:t xml:space="preserve">hemorrhage in glaucoma. </w:t>
      </w:r>
      <w:r>
        <w:rPr>
          <w:rFonts w:ascii="Times New Roman" w:hAnsi="Times New Roman"/>
          <w:i/>
          <w:iCs/>
          <w:sz w:val="24"/>
          <w:szCs w:val="24"/>
          <w:highlight w:val="yellow"/>
        </w:rPr>
        <w:t>Survey of Ophthalmology, 66</w:t>
      </w:r>
      <w:r>
        <w:rPr>
          <w:rFonts w:ascii="Times New Roman" w:hAnsi="Times New Roman"/>
          <w:sz w:val="24"/>
          <w:szCs w:val="24"/>
          <w:highlight w:val="yellow"/>
        </w:rPr>
        <w:t xml:space="preserve">(3), 412–422 </w:t>
      </w:r>
    </w:p>
    <w:p w14:paraId="2BBCEF7C">
      <w:pPr>
        <w:autoSpaceDE w:val="0"/>
        <w:autoSpaceDN w:val="0"/>
        <w:adjustRightInd w:val="0"/>
        <w:spacing w:after="0" w:line="240" w:lineRule="auto"/>
        <w:ind w:left="360" w:hanging="360"/>
        <w:jc w:val="both"/>
        <w:rPr>
          <w:rFonts w:ascii="Times New Roman" w:hAnsi="Times New Roman"/>
          <w:sz w:val="24"/>
          <w:szCs w:val="24"/>
        </w:rPr>
      </w:pPr>
    </w:p>
    <w:p w14:paraId="6F4C1783">
      <w:pPr>
        <w:jc w:val="both"/>
        <w:rPr>
          <w:rFonts w:ascii="Times New Roman" w:hAnsi="Times New Roman"/>
          <w:sz w:val="24"/>
          <w:szCs w:val="24"/>
          <w:highlight w:val="yellow"/>
        </w:rPr>
      </w:pPr>
      <w:r>
        <w:rPr>
          <w:rFonts w:ascii="Times New Roman" w:hAnsi="Times New Roman"/>
          <w:sz w:val="24"/>
          <w:szCs w:val="24"/>
          <w:highlight w:val="yellow"/>
        </w:rPr>
        <w:t xml:space="preserve">Li, S., Shao, M., Cao, W., &amp; Sun, X. (2019). Association between pretreatment serum uric acid </w:t>
      </w:r>
      <w:r>
        <w:rPr>
          <w:rFonts w:ascii="Times New Roman" w:hAnsi="Times New Roman"/>
          <w:sz w:val="24"/>
          <w:szCs w:val="24"/>
          <w:highlight w:val="yellow"/>
        </w:rPr>
        <w:tab/>
      </w:r>
      <w:r>
        <w:rPr>
          <w:rFonts w:ascii="Times New Roman" w:hAnsi="Times New Roman"/>
          <w:sz w:val="24"/>
          <w:szCs w:val="24"/>
          <w:highlight w:val="yellow"/>
        </w:rPr>
        <w:t xml:space="preserve">levels and progression of newly diagnosed primary angle‐closure glaucoma: A prospective </w:t>
      </w:r>
      <w:r>
        <w:rPr>
          <w:rFonts w:ascii="Times New Roman" w:hAnsi="Times New Roman"/>
          <w:sz w:val="24"/>
          <w:szCs w:val="24"/>
          <w:highlight w:val="yellow"/>
        </w:rPr>
        <w:tab/>
      </w:r>
      <w:r>
        <w:rPr>
          <w:rFonts w:ascii="Times New Roman" w:hAnsi="Times New Roman"/>
          <w:sz w:val="24"/>
          <w:szCs w:val="24"/>
          <w:highlight w:val="yellow"/>
        </w:rPr>
        <w:t xml:space="preserve">cohort study. </w:t>
      </w:r>
      <w:r>
        <w:rPr>
          <w:rFonts w:ascii="Times New Roman" w:hAnsi="Times New Roman"/>
          <w:i/>
          <w:iCs/>
          <w:sz w:val="24"/>
          <w:szCs w:val="24"/>
          <w:highlight w:val="yellow"/>
        </w:rPr>
        <w:t>Oxidative Medicine and Cellular Longevity, 2019</w:t>
      </w:r>
      <w:r>
        <w:rPr>
          <w:rFonts w:ascii="Times New Roman" w:hAnsi="Times New Roman"/>
          <w:sz w:val="24"/>
          <w:szCs w:val="24"/>
          <w:highlight w:val="yellow"/>
        </w:rPr>
        <w:t>(1), 7919836.</w:t>
      </w:r>
    </w:p>
    <w:p w14:paraId="552EDF1F">
      <w:pPr>
        <w:jc w:val="both"/>
        <w:rPr>
          <w:rFonts w:ascii="Times New Roman" w:hAnsi="Times New Roman"/>
          <w:sz w:val="24"/>
          <w:highlight w:val="yellow"/>
        </w:rPr>
      </w:pPr>
      <w:r>
        <w:rPr>
          <w:rFonts w:ascii="Times New Roman" w:hAnsi="Times New Roman"/>
          <w:sz w:val="24"/>
          <w:highlight w:val="yellow"/>
        </w:rPr>
        <w:t xml:space="preserve">Li, S., Shao, M., Tang, B., Zhang, A., Cao, W., &amp; Sun, X. (2016). The association between serum </w:t>
      </w:r>
      <w:r>
        <w:rPr>
          <w:rFonts w:ascii="Times New Roman" w:hAnsi="Times New Roman"/>
          <w:sz w:val="24"/>
          <w:highlight w:val="yellow"/>
        </w:rPr>
        <w:tab/>
      </w:r>
      <w:r>
        <w:rPr>
          <w:rFonts w:ascii="Times New Roman" w:hAnsi="Times New Roman"/>
          <w:sz w:val="24"/>
          <w:highlight w:val="yellow"/>
        </w:rPr>
        <w:t>uric acid and glaucoma severity in primary angle closure glaucoma: A retrospective case-</w:t>
      </w:r>
      <w:r>
        <w:rPr>
          <w:rFonts w:ascii="Times New Roman" w:hAnsi="Times New Roman"/>
          <w:sz w:val="24"/>
          <w:highlight w:val="yellow"/>
        </w:rPr>
        <w:tab/>
      </w:r>
      <w:r>
        <w:rPr>
          <w:rFonts w:ascii="Times New Roman" w:hAnsi="Times New Roman"/>
          <w:sz w:val="24"/>
          <w:highlight w:val="yellow"/>
        </w:rPr>
        <w:t xml:space="preserve">control study. </w:t>
      </w:r>
      <w:r>
        <w:rPr>
          <w:rFonts w:ascii="Times New Roman" w:hAnsi="Times New Roman"/>
          <w:i/>
          <w:iCs/>
          <w:sz w:val="24"/>
          <w:highlight w:val="yellow"/>
        </w:rPr>
        <w:t>Oncotarget, 8</w:t>
      </w:r>
      <w:r>
        <w:rPr>
          <w:rFonts w:ascii="Times New Roman" w:hAnsi="Times New Roman"/>
          <w:sz w:val="24"/>
          <w:highlight w:val="yellow"/>
        </w:rPr>
        <w:t>(2), 2816.</w:t>
      </w:r>
    </w:p>
    <w:p w14:paraId="02327CB6">
      <w:pPr>
        <w:jc w:val="both"/>
        <w:rPr>
          <w:rFonts w:ascii="Times New Roman" w:hAnsi="Times New Roman"/>
          <w:sz w:val="24"/>
          <w:highlight w:val="yellow"/>
        </w:rPr>
      </w:pPr>
      <w:r>
        <w:rPr>
          <w:rFonts w:ascii="Times New Roman" w:hAnsi="Times New Roman"/>
          <w:sz w:val="24"/>
          <w:highlight w:val="yellow"/>
        </w:rPr>
        <w:t xml:space="preserve">Liu, Y., Li, P., Lu, J., Xiong, W., Oger, J., Tetzlaff, W., &amp; Cynader, M. (2008). Bilirubin possesses </w:t>
      </w:r>
      <w:r>
        <w:rPr>
          <w:rFonts w:ascii="Times New Roman" w:hAnsi="Times New Roman"/>
          <w:sz w:val="24"/>
          <w:highlight w:val="yellow"/>
        </w:rPr>
        <w:tab/>
      </w:r>
      <w:r>
        <w:rPr>
          <w:rFonts w:ascii="Times New Roman" w:hAnsi="Times New Roman"/>
          <w:sz w:val="24"/>
          <w:highlight w:val="yellow"/>
        </w:rPr>
        <w:t xml:space="preserve">powerful immunomodulatory activity and suppresses experimental autoimmune </w:t>
      </w:r>
      <w:r>
        <w:rPr>
          <w:rFonts w:ascii="Times New Roman" w:hAnsi="Times New Roman"/>
          <w:sz w:val="24"/>
          <w:highlight w:val="yellow"/>
        </w:rPr>
        <w:tab/>
      </w:r>
      <w:r>
        <w:rPr>
          <w:rFonts w:ascii="Times New Roman" w:hAnsi="Times New Roman"/>
          <w:sz w:val="24"/>
          <w:highlight w:val="yellow"/>
        </w:rPr>
        <w:t xml:space="preserve">encephalomyelitis. </w:t>
      </w:r>
      <w:r>
        <w:rPr>
          <w:rFonts w:ascii="Times New Roman" w:hAnsi="Times New Roman"/>
          <w:i/>
          <w:iCs/>
          <w:sz w:val="24"/>
          <w:highlight w:val="yellow"/>
        </w:rPr>
        <w:t>The Journal of Immunology, 181</w:t>
      </w:r>
      <w:r>
        <w:rPr>
          <w:rFonts w:ascii="Times New Roman" w:hAnsi="Times New Roman"/>
          <w:sz w:val="24"/>
          <w:highlight w:val="yellow"/>
        </w:rPr>
        <w:t>(3), 1887–1897.</w:t>
      </w:r>
    </w:p>
    <w:p w14:paraId="65E6FA6D">
      <w:pPr>
        <w:autoSpaceDE w:val="0"/>
        <w:autoSpaceDN w:val="0"/>
        <w:adjustRightInd w:val="0"/>
        <w:spacing w:after="0" w:line="240" w:lineRule="auto"/>
        <w:ind w:left="360" w:hanging="360"/>
        <w:jc w:val="both"/>
        <w:rPr>
          <w:rFonts w:ascii="Times New Roman" w:hAnsi="Times New Roman"/>
          <w:sz w:val="24"/>
          <w:szCs w:val="24"/>
          <w:highlight w:val="yellow"/>
        </w:rPr>
      </w:pPr>
      <w:r>
        <w:rPr>
          <w:rFonts w:ascii="Times New Roman" w:hAnsi="Times New Roman"/>
          <w:sz w:val="24"/>
          <w:szCs w:val="24"/>
          <w:highlight w:val="yellow"/>
        </w:rPr>
        <w:t xml:space="preserve">Mannini, L., Cecchi, E., Fatini, C., Marcucci, R., Alessandriello, A., Matucci-Cerinic, M., Abbate, </w:t>
      </w:r>
      <w:r>
        <w:rPr>
          <w:rFonts w:ascii="Times New Roman" w:hAnsi="Times New Roman"/>
          <w:sz w:val="24"/>
          <w:szCs w:val="24"/>
          <w:highlight w:val="yellow"/>
        </w:rPr>
        <w:tab/>
      </w:r>
      <w:r>
        <w:rPr>
          <w:rFonts w:ascii="Times New Roman" w:hAnsi="Times New Roman"/>
          <w:sz w:val="24"/>
          <w:szCs w:val="24"/>
          <w:highlight w:val="yellow"/>
        </w:rPr>
        <w:t xml:space="preserve">R., &amp; Gensini, G. F. (2007). Clinical hemorheology and microcirculation. </w:t>
      </w:r>
      <w:r>
        <w:rPr>
          <w:rFonts w:ascii="Times New Roman" w:hAnsi="Times New Roman"/>
          <w:i/>
          <w:iCs/>
          <w:sz w:val="24"/>
          <w:szCs w:val="24"/>
          <w:highlight w:val="yellow"/>
        </w:rPr>
        <w:t xml:space="preserve">Annali </w:t>
      </w:r>
      <w:r>
        <w:rPr>
          <w:rFonts w:ascii="Times New Roman" w:hAnsi="Times New Roman"/>
          <w:i/>
          <w:iCs/>
          <w:sz w:val="24"/>
          <w:szCs w:val="24"/>
          <w:highlight w:val="yellow"/>
        </w:rPr>
        <w:tab/>
      </w:r>
      <w:r>
        <w:rPr>
          <w:rFonts w:ascii="Times New Roman" w:hAnsi="Times New Roman"/>
          <w:i/>
          <w:iCs/>
          <w:sz w:val="24"/>
          <w:szCs w:val="24"/>
          <w:highlight w:val="yellow"/>
        </w:rPr>
        <w:t>dell'Istituto Superiore di Sanità, 43</w:t>
      </w:r>
      <w:r>
        <w:rPr>
          <w:rFonts w:ascii="Times New Roman" w:hAnsi="Times New Roman"/>
          <w:sz w:val="24"/>
          <w:szCs w:val="24"/>
          <w:highlight w:val="yellow"/>
        </w:rPr>
        <w:t>(2), 144–150.</w:t>
      </w:r>
    </w:p>
    <w:p w14:paraId="445C7746">
      <w:pPr>
        <w:jc w:val="both"/>
        <w:rPr>
          <w:rFonts w:ascii="Times New Roman" w:hAnsi="Times New Roman"/>
          <w:sz w:val="24"/>
          <w:szCs w:val="24"/>
          <w:highlight w:val="yellow"/>
        </w:rPr>
      </w:pPr>
    </w:p>
    <w:p w14:paraId="69221D29">
      <w:pPr>
        <w:jc w:val="both"/>
        <w:rPr>
          <w:rFonts w:ascii="Times New Roman" w:hAnsi="Times New Roman"/>
          <w:sz w:val="24"/>
          <w:szCs w:val="24"/>
          <w:highlight w:val="yellow"/>
        </w:rPr>
      </w:pPr>
      <w:r>
        <w:rPr>
          <w:rFonts w:ascii="Times New Roman" w:hAnsi="Times New Roman"/>
          <w:sz w:val="24"/>
          <w:szCs w:val="24"/>
          <w:highlight w:val="yellow"/>
        </w:rPr>
        <w:t xml:space="preserve">Octavia, Y., Tocchetti, C. G., Gabrielson, K. L., Janssens, S., Crijns, H. J., &amp; Moens, A. L. (2012). </w:t>
      </w:r>
      <w:r>
        <w:rPr>
          <w:rFonts w:ascii="Times New Roman" w:hAnsi="Times New Roman"/>
          <w:sz w:val="24"/>
          <w:szCs w:val="24"/>
          <w:highlight w:val="yellow"/>
        </w:rPr>
        <w:tab/>
      </w:r>
      <w:r>
        <w:rPr>
          <w:rFonts w:ascii="Times New Roman" w:hAnsi="Times New Roman"/>
          <w:sz w:val="24"/>
          <w:szCs w:val="24"/>
          <w:highlight w:val="yellow"/>
        </w:rPr>
        <w:t xml:space="preserve">Doxorubicin-induced cardiomyopathy: From molecular mechanisms to therapeutic </w:t>
      </w:r>
      <w:r>
        <w:rPr>
          <w:rFonts w:ascii="Times New Roman" w:hAnsi="Times New Roman"/>
          <w:sz w:val="24"/>
          <w:szCs w:val="24"/>
          <w:highlight w:val="yellow"/>
        </w:rPr>
        <w:tab/>
      </w:r>
      <w:r>
        <w:rPr>
          <w:rFonts w:ascii="Times New Roman" w:hAnsi="Times New Roman"/>
          <w:sz w:val="24"/>
          <w:szCs w:val="24"/>
          <w:highlight w:val="yellow"/>
        </w:rPr>
        <w:t xml:space="preserve">strategies. </w:t>
      </w:r>
      <w:r>
        <w:rPr>
          <w:rFonts w:ascii="Times New Roman" w:hAnsi="Times New Roman"/>
          <w:i/>
          <w:iCs/>
          <w:sz w:val="24"/>
          <w:szCs w:val="24"/>
          <w:highlight w:val="yellow"/>
        </w:rPr>
        <w:t>Journal of Molecular and Cellular Cardiology, 52</w:t>
      </w:r>
      <w:r>
        <w:rPr>
          <w:rFonts w:ascii="Times New Roman" w:hAnsi="Times New Roman"/>
          <w:sz w:val="24"/>
          <w:szCs w:val="24"/>
          <w:highlight w:val="yellow"/>
        </w:rPr>
        <w:t>(6), 1213–1225.</w:t>
      </w:r>
    </w:p>
    <w:p w14:paraId="5CC59E83">
      <w:pPr>
        <w:spacing w:after="0" w:line="240" w:lineRule="auto"/>
        <w:jc w:val="both"/>
        <w:rPr>
          <w:rFonts w:ascii="Times New Roman" w:hAnsi="Times New Roman"/>
          <w:sz w:val="24"/>
        </w:rPr>
      </w:pPr>
      <w:r>
        <w:rPr>
          <w:rFonts w:ascii="Times New Roman" w:hAnsi="Times New Roman"/>
          <w:sz w:val="24"/>
        </w:rPr>
        <w:t xml:space="preserve">Okutu, J. B., &amp; Enebrayi, O. (2022). Ameliorative effect of </w:t>
      </w:r>
      <w:r>
        <w:rPr>
          <w:rFonts w:ascii="Times New Roman" w:hAnsi="Times New Roman"/>
          <w:i/>
          <w:iCs/>
          <w:sz w:val="24"/>
        </w:rPr>
        <w:t>Allium sativum</w:t>
      </w:r>
      <w:r>
        <w:rPr>
          <w:rFonts w:ascii="Times New Roman" w:hAnsi="Times New Roman"/>
          <w:sz w:val="24"/>
        </w:rPr>
        <w:t xml:space="preserve"> and </w:t>
      </w:r>
      <w:r>
        <w:rPr>
          <w:rFonts w:ascii="Times New Roman" w:hAnsi="Times New Roman"/>
          <w:i/>
          <w:iCs/>
          <w:sz w:val="24"/>
        </w:rPr>
        <w:t>Justicia carnea</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extracts co-administration on acute cadmium chloride-induced changes on liver function </w:t>
      </w:r>
      <w:r>
        <w:rPr>
          <w:rFonts w:ascii="Times New Roman" w:hAnsi="Times New Roman"/>
          <w:sz w:val="24"/>
        </w:rPr>
        <w:tab/>
      </w:r>
      <w:r>
        <w:rPr>
          <w:rFonts w:ascii="Times New Roman" w:hAnsi="Times New Roman"/>
          <w:sz w:val="24"/>
        </w:rPr>
        <w:t xml:space="preserve">parameters of albino rats. </w:t>
      </w:r>
      <w:r>
        <w:rPr>
          <w:rFonts w:ascii="Times New Roman" w:hAnsi="Times New Roman"/>
          <w:i/>
          <w:iCs/>
          <w:sz w:val="24"/>
        </w:rPr>
        <w:t>World Journal of Pharmacy and Life Sciences, 4</w:t>
      </w:r>
      <w:r>
        <w:rPr>
          <w:rFonts w:ascii="Times New Roman" w:hAnsi="Times New Roman"/>
          <w:sz w:val="24"/>
        </w:rPr>
        <w:t>, 11–24.</w:t>
      </w:r>
    </w:p>
    <w:p w14:paraId="2562D68C">
      <w:pPr>
        <w:spacing w:after="0" w:line="240" w:lineRule="auto"/>
        <w:jc w:val="both"/>
        <w:rPr>
          <w:rFonts w:ascii="Times New Roman" w:hAnsi="Times New Roman"/>
          <w:sz w:val="24"/>
        </w:rPr>
      </w:pPr>
    </w:p>
    <w:p w14:paraId="245EE1A8">
      <w:pPr>
        <w:spacing w:after="0" w:line="240" w:lineRule="auto"/>
        <w:jc w:val="both"/>
        <w:rPr>
          <w:rFonts w:ascii="Times New Roman" w:hAnsi="Times New Roman"/>
          <w:sz w:val="24"/>
        </w:rPr>
      </w:pPr>
      <w:r>
        <w:rPr>
          <w:rFonts w:ascii="Times New Roman" w:hAnsi="Times New Roman"/>
          <w:sz w:val="24"/>
        </w:rPr>
        <w:t xml:space="preserve">Onitsha, E. N., &amp; Okutu, J. B. (2021). Influence of vitamin E and selenium on reproductive </w:t>
      </w:r>
      <w:r>
        <w:rPr>
          <w:rFonts w:ascii="Times New Roman" w:hAnsi="Times New Roman"/>
          <w:sz w:val="24"/>
        </w:rPr>
        <w:tab/>
      </w:r>
      <w:r>
        <w:rPr>
          <w:rFonts w:ascii="Times New Roman" w:hAnsi="Times New Roman"/>
          <w:sz w:val="24"/>
        </w:rPr>
        <w:t xml:space="preserve">hormones and lipid peroxidation levels in lead-induced toxicity in female Wistar rats. </w:t>
      </w:r>
      <w:r>
        <w:rPr>
          <w:rFonts w:ascii="Times New Roman" w:hAnsi="Times New Roman"/>
          <w:i/>
          <w:iCs/>
          <w:sz w:val="24"/>
        </w:rPr>
        <w:t xml:space="preserve">IOSR </w:t>
      </w:r>
      <w:r>
        <w:rPr>
          <w:rFonts w:ascii="Times New Roman" w:hAnsi="Times New Roman"/>
          <w:i/>
          <w:iCs/>
          <w:sz w:val="24"/>
        </w:rPr>
        <w:tab/>
      </w:r>
      <w:r>
        <w:rPr>
          <w:rFonts w:ascii="Times New Roman" w:hAnsi="Times New Roman"/>
          <w:i/>
          <w:iCs/>
          <w:sz w:val="24"/>
        </w:rPr>
        <w:t>Journal of Environmental Science, Toxicology, and Food Technology, 15</w:t>
      </w:r>
      <w:r>
        <w:rPr>
          <w:rFonts w:ascii="Times New Roman" w:hAnsi="Times New Roman"/>
          <w:sz w:val="24"/>
        </w:rPr>
        <w:t>(2), 1–9.</w:t>
      </w:r>
    </w:p>
    <w:p w14:paraId="6703AA3E">
      <w:pPr>
        <w:spacing w:after="0" w:line="240" w:lineRule="auto"/>
        <w:jc w:val="both"/>
        <w:rPr>
          <w:rFonts w:ascii="Times New Roman" w:hAnsi="Times New Roman"/>
          <w:sz w:val="24"/>
        </w:rPr>
      </w:pPr>
      <w:r>
        <w:rPr>
          <w:rFonts w:ascii="Times New Roman" w:hAnsi="Times New Roman"/>
          <w:sz w:val="24"/>
        </w:rPr>
        <w:t xml:space="preserve">Qin, X. L., Zhang, Q., Sun, H. M. W., &amp; Hu, Z. T. (2015). Lower serum bilirubin and uric acid </w:t>
      </w:r>
      <w:r>
        <w:rPr>
          <w:rFonts w:ascii="Times New Roman" w:hAnsi="Times New Roman"/>
          <w:sz w:val="24"/>
        </w:rPr>
        <w:tab/>
      </w:r>
      <w:r>
        <w:rPr>
          <w:rFonts w:ascii="Times New Roman" w:hAnsi="Times New Roman"/>
          <w:sz w:val="24"/>
        </w:rPr>
        <w:t xml:space="preserve">concentrations in patients with Parkinson's disease in China. </w:t>
      </w:r>
      <w:r>
        <w:rPr>
          <w:rFonts w:ascii="Times New Roman" w:hAnsi="Times New Roman"/>
          <w:i/>
          <w:iCs/>
          <w:sz w:val="24"/>
        </w:rPr>
        <w:t xml:space="preserve">Cell Biochemistry and </w:t>
      </w:r>
      <w:r>
        <w:rPr>
          <w:rFonts w:ascii="Times New Roman" w:hAnsi="Times New Roman"/>
          <w:i/>
          <w:iCs/>
          <w:sz w:val="24"/>
        </w:rPr>
        <w:tab/>
      </w:r>
      <w:r>
        <w:rPr>
          <w:rFonts w:ascii="Times New Roman" w:hAnsi="Times New Roman"/>
          <w:i/>
          <w:iCs/>
          <w:sz w:val="24"/>
        </w:rPr>
        <w:t>Biophysics, 72</w:t>
      </w:r>
      <w:r>
        <w:rPr>
          <w:rFonts w:ascii="Times New Roman" w:hAnsi="Times New Roman"/>
          <w:sz w:val="24"/>
        </w:rPr>
        <w:t xml:space="preserve">(1), 49–56. </w:t>
      </w:r>
    </w:p>
    <w:p w14:paraId="76094B26">
      <w:pPr>
        <w:autoSpaceDE w:val="0"/>
        <w:autoSpaceDN w:val="0"/>
        <w:adjustRightInd w:val="0"/>
        <w:spacing w:after="0" w:line="240" w:lineRule="auto"/>
        <w:ind w:left="360" w:hanging="360"/>
        <w:jc w:val="both"/>
        <w:rPr>
          <w:rFonts w:ascii="Times New Roman" w:hAnsi="Times New Roman"/>
          <w:sz w:val="24"/>
          <w:szCs w:val="24"/>
        </w:rPr>
      </w:pPr>
    </w:p>
    <w:p w14:paraId="12A6FFEB">
      <w:pPr>
        <w:autoSpaceDE w:val="0"/>
        <w:autoSpaceDN w:val="0"/>
        <w:adjustRightInd w:val="0"/>
        <w:spacing w:after="0" w:line="240" w:lineRule="auto"/>
        <w:ind w:left="360" w:hanging="360"/>
        <w:jc w:val="both"/>
        <w:rPr>
          <w:rFonts w:ascii="Times New Roman" w:hAnsi="Times New Roman"/>
          <w:sz w:val="24"/>
          <w:szCs w:val="24"/>
          <w:highlight w:val="yellow"/>
        </w:rPr>
      </w:pPr>
      <w:r>
        <w:rPr>
          <w:rFonts w:ascii="Times New Roman" w:hAnsi="Times New Roman"/>
          <w:sz w:val="24"/>
          <w:szCs w:val="24"/>
          <w:highlight w:val="yellow"/>
        </w:rPr>
        <w:t xml:space="preserve">Saccà, S. C., Vernazza, S., Iorio, E. L., Tirendi, S., Bassi, A. M., Gandolfi, S., &amp; Izzotti, A. (2020). </w:t>
      </w:r>
      <w:r>
        <w:rPr>
          <w:rFonts w:ascii="Times New Roman" w:hAnsi="Times New Roman"/>
          <w:sz w:val="24"/>
          <w:szCs w:val="24"/>
          <w:highlight w:val="yellow"/>
        </w:rPr>
        <w:tab/>
      </w:r>
      <w:r>
        <w:rPr>
          <w:rFonts w:ascii="Times New Roman" w:hAnsi="Times New Roman"/>
          <w:sz w:val="24"/>
          <w:szCs w:val="24"/>
          <w:highlight w:val="yellow"/>
        </w:rPr>
        <w:t xml:space="preserve">Molecular changes in glaucomatous trabecular meshwork: Correlations with retinal </w:t>
      </w:r>
      <w:r>
        <w:rPr>
          <w:rFonts w:ascii="Times New Roman" w:hAnsi="Times New Roman"/>
          <w:sz w:val="24"/>
          <w:szCs w:val="24"/>
          <w:highlight w:val="yellow"/>
        </w:rPr>
        <w:tab/>
      </w:r>
      <w:r>
        <w:rPr>
          <w:rFonts w:ascii="Times New Roman" w:hAnsi="Times New Roman"/>
          <w:sz w:val="24"/>
          <w:szCs w:val="24"/>
          <w:highlight w:val="yellow"/>
        </w:rPr>
        <w:t xml:space="preserve">ganglion cell death and novel strategies for neuroprotection. </w:t>
      </w:r>
      <w:r>
        <w:rPr>
          <w:rFonts w:ascii="Times New Roman" w:hAnsi="Times New Roman"/>
          <w:i/>
          <w:iCs/>
          <w:sz w:val="24"/>
          <w:szCs w:val="24"/>
          <w:highlight w:val="yellow"/>
        </w:rPr>
        <w:t xml:space="preserve">Progress in Brain Research, </w:t>
      </w:r>
      <w:r>
        <w:rPr>
          <w:rFonts w:ascii="Times New Roman" w:hAnsi="Times New Roman"/>
          <w:i/>
          <w:iCs/>
          <w:sz w:val="24"/>
          <w:szCs w:val="24"/>
          <w:highlight w:val="yellow"/>
        </w:rPr>
        <w:tab/>
      </w:r>
      <w:r>
        <w:rPr>
          <w:rFonts w:ascii="Times New Roman" w:hAnsi="Times New Roman"/>
          <w:i/>
          <w:iCs/>
          <w:sz w:val="24"/>
          <w:szCs w:val="24"/>
          <w:highlight w:val="yellow"/>
        </w:rPr>
        <w:t>256</w:t>
      </w:r>
      <w:r>
        <w:rPr>
          <w:rFonts w:ascii="Times New Roman" w:hAnsi="Times New Roman"/>
          <w:sz w:val="24"/>
          <w:szCs w:val="24"/>
          <w:highlight w:val="yellow"/>
        </w:rPr>
        <w:t xml:space="preserve">, 151–188. </w:t>
      </w:r>
    </w:p>
    <w:p w14:paraId="33C10490">
      <w:pPr>
        <w:rPr>
          <w:rFonts w:ascii="Times New Roman" w:hAnsi="Times New Roman"/>
          <w:sz w:val="24"/>
          <w:szCs w:val="24"/>
        </w:rPr>
      </w:pPr>
    </w:p>
    <w:p w14:paraId="2BB4835C">
      <w:pPr>
        <w:rPr>
          <w:rFonts w:ascii="Times New Roman" w:hAnsi="Times New Roman"/>
          <w:sz w:val="24"/>
          <w:szCs w:val="24"/>
        </w:rPr>
      </w:pPr>
      <w:r>
        <w:rPr>
          <w:rFonts w:ascii="Times New Roman" w:hAnsi="Times New Roman"/>
          <w:sz w:val="24"/>
          <w:szCs w:val="24"/>
        </w:rPr>
        <w:t xml:space="preserve">Sena, D. F., &amp; Lindsley, K. (2017). Neuroprotection for treatment of glaucoma in adults. </w:t>
      </w:r>
      <w:r>
        <w:rPr>
          <w:rFonts w:ascii="Times New Roman" w:hAnsi="Times New Roman"/>
          <w:sz w:val="24"/>
          <w:szCs w:val="24"/>
        </w:rPr>
        <w:tab/>
      </w:r>
      <w:r>
        <w:rPr>
          <w:rFonts w:ascii="Times New Roman" w:hAnsi="Times New Roman"/>
          <w:i/>
          <w:iCs/>
          <w:sz w:val="24"/>
          <w:szCs w:val="24"/>
        </w:rPr>
        <w:t>Cochrane Database of Systematic Reviews</w:t>
      </w:r>
      <w:r>
        <w:rPr>
          <w:rFonts w:ascii="Times New Roman" w:hAnsi="Times New Roman"/>
          <w:sz w:val="24"/>
          <w:szCs w:val="24"/>
        </w:rPr>
        <w:t>, (1).</w:t>
      </w:r>
    </w:p>
    <w:p w14:paraId="4720219C">
      <w:pPr>
        <w:jc w:val="both"/>
        <w:rPr>
          <w:rFonts w:ascii="Times New Roman" w:hAnsi="Times New Roman"/>
          <w:sz w:val="24"/>
        </w:rPr>
      </w:pPr>
      <w:r>
        <w:rPr>
          <w:rFonts w:ascii="Times New Roman" w:hAnsi="Times New Roman"/>
          <w:sz w:val="24"/>
        </w:rPr>
        <w:t xml:space="preserve">Steinmetz, J. D., Bourne, R. R., Briant, P. S., Flaxman, S. R., Taylor, H. R., Jonas, J. B., Abdoli, </w:t>
      </w:r>
      <w:r>
        <w:rPr>
          <w:rFonts w:ascii="Times New Roman" w:hAnsi="Times New Roman"/>
          <w:sz w:val="24"/>
        </w:rPr>
        <w:tab/>
      </w:r>
      <w:r>
        <w:rPr>
          <w:rFonts w:ascii="Times New Roman" w:hAnsi="Times New Roman"/>
          <w:sz w:val="24"/>
        </w:rPr>
        <w:t xml:space="preserve">A. A., Abrha, W. A., Abualhasan, A., Abu-Gharbieh, E. G., &amp; Adal, T. G. (2021). Causes </w:t>
      </w:r>
      <w:r>
        <w:rPr>
          <w:rFonts w:ascii="Times New Roman" w:hAnsi="Times New Roman"/>
          <w:sz w:val="24"/>
        </w:rPr>
        <w:tab/>
      </w:r>
      <w:r>
        <w:rPr>
          <w:rFonts w:ascii="Times New Roman" w:hAnsi="Times New Roman"/>
          <w:sz w:val="24"/>
        </w:rPr>
        <w:t xml:space="preserve">of blindness and vision impairment in 2020 and trends over 30 years, and prevalence of </w:t>
      </w:r>
      <w:r>
        <w:rPr>
          <w:rFonts w:ascii="Times New Roman" w:hAnsi="Times New Roman"/>
          <w:sz w:val="24"/>
        </w:rPr>
        <w:tab/>
      </w:r>
      <w:r>
        <w:rPr>
          <w:rFonts w:ascii="Times New Roman" w:hAnsi="Times New Roman"/>
          <w:sz w:val="24"/>
        </w:rPr>
        <w:t xml:space="preserve">avoidable blindness in relation to VISION 2020: The Right to Sight: An analysis for the </w:t>
      </w:r>
      <w:r>
        <w:rPr>
          <w:rFonts w:ascii="Times New Roman" w:hAnsi="Times New Roman"/>
          <w:sz w:val="24"/>
        </w:rPr>
        <w:tab/>
      </w:r>
      <w:r>
        <w:rPr>
          <w:rFonts w:ascii="Times New Roman" w:hAnsi="Times New Roman"/>
          <w:sz w:val="24"/>
        </w:rPr>
        <w:t xml:space="preserve">Global </w:t>
      </w:r>
      <w:r>
        <w:rPr>
          <w:rFonts w:ascii="Times New Roman" w:hAnsi="Times New Roman"/>
          <w:sz w:val="24"/>
        </w:rPr>
        <w:tab/>
      </w:r>
      <w:r>
        <w:rPr>
          <w:rFonts w:ascii="Times New Roman" w:hAnsi="Times New Roman"/>
          <w:sz w:val="24"/>
        </w:rPr>
        <w:t xml:space="preserve">Burden of Disease Study. </w:t>
      </w:r>
      <w:r>
        <w:rPr>
          <w:rFonts w:ascii="Times New Roman" w:hAnsi="Times New Roman"/>
          <w:i/>
          <w:iCs/>
          <w:sz w:val="24"/>
        </w:rPr>
        <w:t>The Lancet Global Health, 9</w:t>
      </w:r>
      <w:r>
        <w:rPr>
          <w:rFonts w:ascii="Times New Roman" w:hAnsi="Times New Roman"/>
          <w:sz w:val="24"/>
        </w:rPr>
        <w:t>(2), e144–e160.</w:t>
      </w:r>
    </w:p>
    <w:p w14:paraId="36B63890">
      <w:pPr>
        <w:jc w:val="both"/>
        <w:rPr>
          <w:rFonts w:ascii="Times New Roman" w:hAnsi="Times New Roman"/>
          <w:sz w:val="24"/>
        </w:rPr>
      </w:pPr>
      <w:r>
        <w:rPr>
          <w:rFonts w:ascii="Times New Roman" w:hAnsi="Times New Roman"/>
          <w:sz w:val="24"/>
        </w:rPr>
        <w:t xml:space="preserve">Tanito, M., Kaidzu, S., Takai, Y., &amp; Ohira, A. (2012). Status of systemic oxidative stresses in </w:t>
      </w:r>
      <w:r>
        <w:rPr>
          <w:rFonts w:ascii="Times New Roman" w:hAnsi="Times New Roman"/>
          <w:sz w:val="24"/>
        </w:rPr>
        <w:tab/>
      </w:r>
      <w:r>
        <w:rPr>
          <w:rFonts w:ascii="Times New Roman" w:hAnsi="Times New Roman"/>
          <w:sz w:val="24"/>
        </w:rPr>
        <w:t xml:space="preserve">patients with primary open-angle glaucoma and pseudoexfoliation syndrome. </w:t>
      </w:r>
      <w:r>
        <w:rPr>
          <w:rFonts w:ascii="Times New Roman" w:hAnsi="Times New Roman"/>
          <w:i/>
          <w:iCs/>
          <w:sz w:val="24"/>
        </w:rPr>
        <w:t xml:space="preserve">PLoS One, </w:t>
      </w:r>
      <w:r>
        <w:rPr>
          <w:rFonts w:ascii="Times New Roman" w:hAnsi="Times New Roman"/>
          <w:i/>
          <w:iCs/>
          <w:sz w:val="24"/>
        </w:rPr>
        <w:tab/>
      </w:r>
      <w:r>
        <w:rPr>
          <w:rFonts w:ascii="Times New Roman" w:hAnsi="Times New Roman"/>
          <w:i/>
          <w:iCs/>
          <w:sz w:val="24"/>
        </w:rPr>
        <w:t>7</w:t>
      </w:r>
      <w:r>
        <w:rPr>
          <w:rFonts w:ascii="Times New Roman" w:hAnsi="Times New Roman"/>
          <w:sz w:val="24"/>
        </w:rPr>
        <w:t>(11), e49680.</w:t>
      </w:r>
    </w:p>
    <w:p w14:paraId="07A4AC74">
      <w:pPr>
        <w:jc w:val="both"/>
        <w:rPr>
          <w:rFonts w:ascii="Times New Roman" w:hAnsi="Times New Roman"/>
          <w:sz w:val="24"/>
          <w:szCs w:val="24"/>
        </w:rPr>
      </w:pPr>
      <w:r>
        <w:rPr>
          <w:rFonts w:ascii="Times New Roman" w:hAnsi="Times New Roman"/>
          <w:sz w:val="24"/>
          <w:szCs w:val="24"/>
        </w:rPr>
        <w:t xml:space="preserve">Tham, Y. C., Li, X., Wong, T. Y., Quigley, H. A., Aung, T., &amp; Cheng, C. Y. (2014). Global </w:t>
      </w:r>
      <w:r>
        <w:rPr>
          <w:rFonts w:ascii="Times New Roman" w:hAnsi="Times New Roman"/>
          <w:sz w:val="24"/>
          <w:szCs w:val="24"/>
        </w:rPr>
        <w:tab/>
      </w:r>
      <w:r>
        <w:rPr>
          <w:rFonts w:ascii="Times New Roman" w:hAnsi="Times New Roman"/>
          <w:sz w:val="24"/>
          <w:szCs w:val="24"/>
        </w:rPr>
        <w:t xml:space="preserve">prevalence of glaucoma and projections of glaucoma burden through 2040: a systematic </w:t>
      </w:r>
      <w:r>
        <w:rPr>
          <w:rFonts w:ascii="Times New Roman" w:hAnsi="Times New Roman"/>
          <w:sz w:val="24"/>
          <w:szCs w:val="24"/>
        </w:rPr>
        <w:tab/>
      </w:r>
      <w:r>
        <w:rPr>
          <w:rFonts w:ascii="Times New Roman" w:hAnsi="Times New Roman"/>
          <w:sz w:val="24"/>
          <w:szCs w:val="24"/>
        </w:rPr>
        <w:t xml:space="preserve">review and meta-analysis. </w:t>
      </w:r>
      <w:r>
        <w:rPr>
          <w:rFonts w:ascii="Times New Roman" w:hAnsi="Times New Roman"/>
          <w:i/>
          <w:iCs/>
          <w:sz w:val="24"/>
          <w:szCs w:val="24"/>
        </w:rPr>
        <w:t>Ophthalmology</w:t>
      </w:r>
      <w:r>
        <w:rPr>
          <w:rFonts w:ascii="Times New Roman" w:hAnsi="Times New Roman"/>
          <w:sz w:val="24"/>
          <w:szCs w:val="24"/>
        </w:rPr>
        <w:t xml:space="preserve">, </w:t>
      </w:r>
      <w:r>
        <w:rPr>
          <w:rFonts w:ascii="Times New Roman" w:hAnsi="Times New Roman"/>
          <w:i/>
          <w:iCs/>
          <w:sz w:val="24"/>
          <w:szCs w:val="24"/>
        </w:rPr>
        <w:t>121</w:t>
      </w:r>
      <w:r>
        <w:rPr>
          <w:rFonts w:ascii="Times New Roman" w:hAnsi="Times New Roman"/>
          <w:sz w:val="24"/>
          <w:szCs w:val="24"/>
        </w:rPr>
        <w:t>(11), 2081-2090.</w:t>
      </w:r>
    </w:p>
    <w:p w14:paraId="5378A433">
      <w:pPr>
        <w:jc w:val="both"/>
        <w:rPr>
          <w:rFonts w:ascii="Times New Roman" w:hAnsi="Times New Roman"/>
          <w:sz w:val="24"/>
        </w:rPr>
      </w:pPr>
      <w:r>
        <w:rPr>
          <w:rFonts w:ascii="Times New Roman" w:hAnsi="Times New Roman"/>
          <w:sz w:val="24"/>
        </w:rPr>
        <w:t xml:space="preserve">Tosun, M., Yağcı, R., &amp; Erdurmuş, M. (2019). Glaucoma and antioxidant status. In </w:t>
      </w:r>
      <w:r>
        <w:rPr>
          <w:rFonts w:ascii="Times New Roman" w:hAnsi="Times New Roman"/>
          <w:i/>
          <w:iCs/>
          <w:sz w:val="24"/>
        </w:rPr>
        <w:t xml:space="preserve">Handbook of </w:t>
      </w:r>
      <w:r>
        <w:rPr>
          <w:rFonts w:ascii="Times New Roman" w:hAnsi="Times New Roman"/>
          <w:i/>
          <w:iCs/>
          <w:sz w:val="24"/>
        </w:rPr>
        <w:tab/>
      </w:r>
      <w:r>
        <w:rPr>
          <w:rFonts w:ascii="Times New Roman" w:hAnsi="Times New Roman"/>
          <w:i/>
          <w:iCs/>
          <w:sz w:val="24"/>
        </w:rPr>
        <w:t>Nutrition, Diet, and the Eye</w:t>
      </w:r>
      <w:r>
        <w:rPr>
          <w:rFonts w:ascii="Times New Roman" w:hAnsi="Times New Roman"/>
          <w:sz w:val="24"/>
        </w:rPr>
        <w:t xml:space="preserve"> (pp. 203–219). Academic Press.</w:t>
      </w:r>
    </w:p>
    <w:p w14:paraId="56400BFF">
      <w:pPr>
        <w:spacing w:after="0" w:line="240" w:lineRule="auto"/>
        <w:jc w:val="both"/>
        <w:rPr>
          <w:rFonts w:ascii="Times New Roman" w:hAnsi="Times New Roman"/>
          <w:sz w:val="24"/>
        </w:rPr>
      </w:pPr>
      <w:r>
        <w:rPr>
          <w:rFonts w:ascii="Times New Roman" w:hAnsi="Times New Roman"/>
          <w:sz w:val="24"/>
          <w:highlight w:val="yellow"/>
        </w:rPr>
        <w:t xml:space="preserve">Umapathy, A., Donaldson, P., &amp; Lim, J. (2013). Antioxidant delivery pathways in the anterior eye. </w:t>
      </w:r>
      <w:r>
        <w:rPr>
          <w:rFonts w:ascii="Times New Roman" w:hAnsi="Times New Roman"/>
          <w:sz w:val="24"/>
          <w:highlight w:val="yellow"/>
        </w:rPr>
        <w:tab/>
      </w:r>
      <w:r>
        <w:rPr>
          <w:rFonts w:ascii="Times New Roman" w:hAnsi="Times New Roman"/>
          <w:i/>
          <w:iCs/>
          <w:sz w:val="24"/>
          <w:highlight w:val="yellow"/>
        </w:rPr>
        <w:t>Biomedical Research International, 2013</w:t>
      </w:r>
      <w:r>
        <w:rPr>
          <w:rFonts w:ascii="Times New Roman" w:hAnsi="Times New Roman"/>
          <w:sz w:val="24"/>
          <w:highlight w:val="yellow"/>
        </w:rPr>
        <w:t xml:space="preserve">, 207250. </w:t>
      </w:r>
    </w:p>
    <w:p w14:paraId="72191CCF">
      <w:pPr>
        <w:spacing w:after="0" w:line="240" w:lineRule="auto"/>
        <w:jc w:val="both"/>
        <w:rPr>
          <w:rFonts w:ascii="Times New Roman" w:hAnsi="Times New Roman"/>
          <w:sz w:val="24"/>
        </w:rPr>
      </w:pPr>
      <w:r>
        <w:rPr>
          <w:rFonts w:ascii="Times New Roman" w:hAnsi="Times New Roman"/>
          <w:sz w:val="24"/>
        </w:rPr>
        <w:t xml:space="preserve">Wojcik, K. A., Kaminska, A., Blasiak, J., Szaflik, J., &amp; Szaflik, J. P. (2013). Oxidative stress in </w:t>
      </w:r>
      <w:r>
        <w:rPr>
          <w:rFonts w:ascii="Times New Roman" w:hAnsi="Times New Roman"/>
          <w:sz w:val="24"/>
        </w:rPr>
        <w:tab/>
      </w:r>
      <w:r>
        <w:rPr>
          <w:rFonts w:ascii="Times New Roman" w:hAnsi="Times New Roman"/>
          <w:sz w:val="24"/>
        </w:rPr>
        <w:t xml:space="preserve">the pathogenesis of keratoconus and Fuchs endothelial corneal dystrophy. </w:t>
      </w:r>
      <w:r>
        <w:rPr>
          <w:rFonts w:ascii="Times New Roman" w:hAnsi="Times New Roman"/>
          <w:i/>
          <w:iCs/>
          <w:sz w:val="24"/>
        </w:rPr>
        <w:t xml:space="preserve">International </w:t>
      </w:r>
      <w:r>
        <w:rPr>
          <w:rFonts w:ascii="Times New Roman" w:hAnsi="Times New Roman"/>
          <w:i/>
          <w:iCs/>
          <w:sz w:val="24"/>
        </w:rPr>
        <w:tab/>
      </w:r>
      <w:r>
        <w:rPr>
          <w:rFonts w:ascii="Times New Roman" w:hAnsi="Times New Roman"/>
          <w:i/>
          <w:iCs/>
          <w:sz w:val="24"/>
        </w:rPr>
        <w:t>Journal of Molecular Sciences, 14</w:t>
      </w:r>
      <w:r>
        <w:rPr>
          <w:rFonts w:ascii="Times New Roman" w:hAnsi="Times New Roman"/>
          <w:sz w:val="24"/>
        </w:rPr>
        <w:t xml:space="preserve">, 19294–19308. </w:t>
      </w:r>
    </w:p>
    <w:p w14:paraId="487335F9">
      <w:pPr>
        <w:jc w:val="both"/>
        <w:rPr>
          <w:rFonts w:ascii="Times New Roman" w:hAnsi="Times New Roman"/>
          <w:sz w:val="24"/>
          <w:szCs w:val="24"/>
          <w:highlight w:val="yellow"/>
        </w:rPr>
      </w:pPr>
      <w:bookmarkStart w:id="4" w:name="_GoBack"/>
      <w:r>
        <w:rPr>
          <w:rFonts w:ascii="Times New Roman" w:hAnsi="Times New Roman"/>
          <w:sz w:val="24"/>
          <w:szCs w:val="24"/>
          <w:highlight w:val="yellow"/>
        </w:rPr>
        <w:t xml:space="preserve">Yang, K., Li, C., Shi, K., Zhu, X., Xiao, Y., Su, B., Ju, Y., Lu, F., Qu, J., Cui, L., &amp; Li, M. (2022). </w:t>
      </w:r>
      <w:r>
        <w:rPr>
          <w:rFonts w:ascii="Times New Roman" w:hAnsi="Times New Roman"/>
          <w:sz w:val="24"/>
          <w:szCs w:val="24"/>
          <w:highlight w:val="yellow"/>
        </w:rPr>
        <w:tab/>
      </w:r>
      <w:r>
        <w:rPr>
          <w:rFonts w:ascii="Times New Roman" w:hAnsi="Times New Roman"/>
          <w:sz w:val="24"/>
          <w:szCs w:val="24"/>
          <w:highlight w:val="yellow"/>
        </w:rPr>
        <w:t xml:space="preserve">Association of serum uric acid with retinal capillary plexus. </w:t>
      </w:r>
      <w:r>
        <w:rPr>
          <w:rFonts w:ascii="Times New Roman" w:hAnsi="Times New Roman"/>
          <w:i/>
          <w:iCs/>
          <w:sz w:val="24"/>
          <w:szCs w:val="24"/>
          <w:highlight w:val="yellow"/>
        </w:rPr>
        <w:t xml:space="preserve">Frontiers in Endocrinology, </w:t>
      </w:r>
      <w:r>
        <w:rPr>
          <w:rFonts w:ascii="Times New Roman" w:hAnsi="Times New Roman"/>
          <w:i/>
          <w:iCs/>
          <w:sz w:val="24"/>
          <w:szCs w:val="24"/>
          <w:highlight w:val="yellow"/>
        </w:rPr>
        <w:tab/>
      </w:r>
      <w:r>
        <w:rPr>
          <w:rFonts w:ascii="Times New Roman" w:hAnsi="Times New Roman"/>
          <w:i/>
          <w:iCs/>
          <w:sz w:val="24"/>
          <w:szCs w:val="24"/>
          <w:highlight w:val="yellow"/>
        </w:rPr>
        <w:t>13</w:t>
      </w:r>
      <w:r>
        <w:rPr>
          <w:rFonts w:ascii="Times New Roman" w:hAnsi="Times New Roman"/>
          <w:sz w:val="24"/>
          <w:szCs w:val="24"/>
          <w:highlight w:val="yellow"/>
        </w:rPr>
        <w:t>, 855430.</w:t>
      </w:r>
    </w:p>
    <w:bookmarkEnd w:id="4"/>
    <w:p w14:paraId="06EA6634">
      <w:pPr>
        <w:jc w:val="both"/>
        <w:rPr>
          <w:rFonts w:ascii="Times New Roman" w:hAnsi="Times New Roman"/>
          <w:sz w:val="24"/>
          <w:szCs w:val="24"/>
        </w:rPr>
      </w:pPr>
      <w:r>
        <w:rPr>
          <w:rFonts w:ascii="Times New Roman" w:hAnsi="Times New Roman"/>
          <w:sz w:val="24"/>
          <w:szCs w:val="24"/>
        </w:rPr>
        <w:t xml:space="preserve">Yuki, K., Asaoka, R., Ono, T., Awano-Tanabe, S., Murata, H., &amp; Tsubota, K. (2020). Evaluation </w:t>
      </w:r>
      <w:r>
        <w:rPr>
          <w:rFonts w:ascii="Times New Roman" w:hAnsi="Times New Roman"/>
          <w:sz w:val="24"/>
          <w:szCs w:val="24"/>
        </w:rPr>
        <w:tab/>
      </w:r>
      <w:r>
        <w:rPr>
          <w:rFonts w:ascii="Times New Roman" w:hAnsi="Times New Roman"/>
          <w:sz w:val="24"/>
          <w:szCs w:val="24"/>
        </w:rPr>
        <w:t xml:space="preserve">of fear of falling in patients with primary open-angle glaucoma and the importance of </w:t>
      </w:r>
      <w:r>
        <w:rPr>
          <w:rFonts w:ascii="Times New Roman" w:hAnsi="Times New Roman"/>
          <w:sz w:val="24"/>
          <w:szCs w:val="24"/>
        </w:rPr>
        <w:tab/>
      </w:r>
      <w:r>
        <w:rPr>
          <w:rFonts w:ascii="Times New Roman" w:hAnsi="Times New Roman"/>
          <w:sz w:val="24"/>
          <w:szCs w:val="24"/>
        </w:rPr>
        <w:t xml:space="preserve">inferior visual field damage. </w:t>
      </w:r>
      <w:r>
        <w:rPr>
          <w:rFonts w:ascii="Times New Roman" w:hAnsi="Times New Roman"/>
          <w:i/>
          <w:iCs/>
          <w:sz w:val="24"/>
          <w:szCs w:val="24"/>
        </w:rPr>
        <w:t>Investigative Ophthalmology &amp; Visual Science, 61</w:t>
      </w:r>
      <w:r>
        <w:rPr>
          <w:rFonts w:ascii="Times New Roman" w:hAnsi="Times New Roman"/>
          <w:sz w:val="24"/>
          <w:szCs w:val="24"/>
        </w:rPr>
        <w:t>(3), 52.</w:t>
      </w:r>
    </w:p>
    <w:p w14:paraId="695F9D13">
      <w:pPr>
        <w:rPr>
          <w:rFonts w:ascii="Times New Roman" w:hAnsi="Times New Roman"/>
          <w:sz w:val="24"/>
          <w:szCs w:val="24"/>
        </w:rPr>
      </w:pPr>
      <w:r>
        <w:rPr>
          <w:rFonts w:ascii="Times New Roman" w:hAnsi="Times New Roman"/>
          <w:sz w:val="24"/>
          <w:szCs w:val="24"/>
        </w:rPr>
        <w:t xml:space="preserve">Zhang, S. H., Dong, F. T., Mao, J., &amp; Bian, A. L. (2011). Factors related to prognosis of </w:t>
      </w:r>
      <w:r>
        <w:rPr>
          <w:rFonts w:ascii="Times New Roman" w:hAnsi="Times New Roman"/>
          <w:sz w:val="24"/>
          <w:szCs w:val="24"/>
        </w:rPr>
        <w:tab/>
      </w:r>
      <w:r>
        <w:rPr>
          <w:rFonts w:ascii="Times New Roman" w:hAnsi="Times New Roman"/>
          <w:sz w:val="24"/>
          <w:szCs w:val="24"/>
        </w:rPr>
        <w:t xml:space="preserve">refractory glaucoma with diode laser transscleral cyclophotocoagulation treatment. </w:t>
      </w:r>
      <w:r>
        <w:rPr>
          <w:rFonts w:ascii="Times New Roman" w:hAnsi="Times New Roman"/>
          <w:sz w:val="24"/>
          <w:szCs w:val="24"/>
        </w:rPr>
        <w:tab/>
      </w:r>
      <w:r>
        <w:rPr>
          <w:rFonts w:ascii="Times New Roman" w:hAnsi="Times New Roman"/>
          <w:i/>
          <w:iCs/>
          <w:sz w:val="24"/>
          <w:szCs w:val="24"/>
        </w:rPr>
        <w:t>Chinese Medical Sciences Journal</w:t>
      </w:r>
      <w:r>
        <w:rPr>
          <w:rFonts w:ascii="Times New Roman" w:hAnsi="Times New Roman"/>
          <w:sz w:val="24"/>
          <w:szCs w:val="24"/>
        </w:rPr>
        <w:t xml:space="preserve">, </w:t>
      </w:r>
      <w:r>
        <w:rPr>
          <w:rFonts w:ascii="Times New Roman" w:hAnsi="Times New Roman"/>
          <w:i/>
          <w:iCs/>
          <w:sz w:val="24"/>
          <w:szCs w:val="24"/>
        </w:rPr>
        <w:t>26</w:t>
      </w:r>
      <w:r>
        <w:rPr>
          <w:rFonts w:ascii="Times New Roman" w:hAnsi="Times New Roman"/>
          <w:sz w:val="24"/>
          <w:szCs w:val="24"/>
        </w:rPr>
        <w:t>(3), 137-140.</w:t>
      </w:r>
    </w:p>
    <w:p w14:paraId="1419C6FC">
      <w:pPr>
        <w:autoSpaceDE w:val="0"/>
        <w:autoSpaceDN w:val="0"/>
        <w:adjustRightInd w:val="0"/>
        <w:spacing w:after="0" w:line="240" w:lineRule="auto"/>
        <w:ind w:left="360" w:hanging="360"/>
        <w:jc w:val="both"/>
        <w:rPr>
          <w:rFonts w:ascii="Times New Roman" w:hAnsi="Times New Roman"/>
          <w:sz w:val="24"/>
          <w:szCs w:val="24"/>
        </w:rPr>
      </w:pPr>
      <w:r>
        <w:rPr>
          <w:rFonts w:ascii="Times New Roman" w:hAnsi="Times New Roman"/>
          <w:sz w:val="24"/>
          <w:szCs w:val="24"/>
        </w:rPr>
        <w:t xml:space="preserve">Zhao, J., Wang, S., Zhong, W., Yang, B., Sun, L., &amp; Zheng, Y. (2016). Oxidative stress in the </w:t>
      </w:r>
      <w:r>
        <w:rPr>
          <w:rFonts w:ascii="Times New Roman" w:hAnsi="Times New Roman"/>
          <w:sz w:val="24"/>
          <w:szCs w:val="24"/>
        </w:rPr>
        <w:tab/>
      </w:r>
      <w:r>
        <w:rPr>
          <w:rFonts w:ascii="Times New Roman" w:hAnsi="Times New Roman"/>
          <w:sz w:val="24"/>
          <w:szCs w:val="24"/>
        </w:rPr>
        <w:t xml:space="preserve">trabecular meshwork (Review). </w:t>
      </w:r>
      <w:r>
        <w:rPr>
          <w:rFonts w:ascii="Times New Roman" w:hAnsi="Times New Roman"/>
          <w:i/>
          <w:iCs/>
          <w:sz w:val="24"/>
          <w:szCs w:val="24"/>
        </w:rPr>
        <w:t>International Journal of Molecular Medicine, 38</w:t>
      </w:r>
      <w:r>
        <w:rPr>
          <w:rFonts w:ascii="Times New Roman" w:hAnsi="Times New Roman"/>
          <w:sz w:val="24"/>
          <w:szCs w:val="24"/>
        </w:rPr>
        <w:t>, 995–</w:t>
      </w:r>
      <w:r>
        <w:rPr>
          <w:rFonts w:ascii="Times New Roman" w:hAnsi="Times New Roman"/>
          <w:sz w:val="24"/>
          <w:szCs w:val="24"/>
        </w:rPr>
        <w:tab/>
      </w:r>
      <w:r>
        <w:rPr>
          <w:rFonts w:ascii="Times New Roman" w:hAnsi="Times New Roman"/>
          <w:sz w:val="24"/>
          <w:szCs w:val="24"/>
        </w:rPr>
        <w:t xml:space="preserve">1002. </w:t>
      </w:r>
    </w:p>
    <w:sectPr>
      <w:headerReference r:id="rId9" w:type="first"/>
      <w:footerReference r:id="rId12" w:type="first"/>
      <w:headerReference r:id="rId7" w:type="default"/>
      <w:footerReference r:id="rId10" w:type="default"/>
      <w:headerReference r:id="rId8" w:type="even"/>
      <w:footerReference r:id="rId11" w:type="even"/>
      <w:pgSz w:w="12240" w:h="15840"/>
      <w:pgMar w:top="1008"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gabriel benjamin" w:date="2025-03-24T10:15:37Z" w:initials="">
    <w:p w14:paraId="4649D5DE">
      <w:pPr>
        <w:pStyle w:val="6"/>
        <w:rPr>
          <w:rFonts w:hint="default"/>
          <w:lang w:val="en-US"/>
        </w:rPr>
      </w:pPr>
      <w:r>
        <w:rPr>
          <w:rFonts w:hint="default"/>
          <w:lang w:val="en-US"/>
        </w:rPr>
        <w:t>Recast topic to possibly evalaution of antioxidant,  and hematological indices in glaucoma patients; A case study of Bayelsa state, Nigeria</w:t>
      </w:r>
    </w:p>
  </w:comment>
  <w:comment w:id="1" w:author="gabriel benjamin" w:date="2025-03-24T10:28:03Z" w:initials="">
    <w:p w14:paraId="4FD038C3">
      <w:pPr>
        <w:pStyle w:val="6"/>
        <w:rPr>
          <w:rFonts w:hint="default"/>
          <w:lang w:val="en-US"/>
        </w:rPr>
      </w:pPr>
      <w:r>
        <w:rPr>
          <w:rFonts w:hint="default"/>
          <w:lang w:val="en-US"/>
        </w:rPr>
        <w:t>Check on the flow of this statement and  correct the wrong expression</w:t>
      </w:r>
    </w:p>
  </w:comment>
  <w:comment w:id="2" w:author="gabriel benjamin" w:date="2025-03-24T10:29:22Z" w:initials="">
    <w:p w14:paraId="150FEC87">
      <w:pPr>
        <w:pStyle w:val="6"/>
        <w:rPr>
          <w:rFonts w:hint="default"/>
          <w:lang w:val="en-US"/>
        </w:rPr>
      </w:pPr>
      <w:r>
        <w:rPr>
          <w:rFonts w:hint="default"/>
          <w:lang w:val="en-US"/>
        </w:rPr>
        <w:t>reconstruct</w:t>
      </w:r>
    </w:p>
  </w:comment>
  <w:comment w:id="3" w:author="gabriel benjamin" w:date="2025-03-24T10:35:42Z" w:initials="">
    <w:p w14:paraId="0FA72748">
      <w:pPr>
        <w:pStyle w:val="6"/>
        <w:rPr>
          <w:rFonts w:hint="default"/>
          <w:lang w:val="en-US"/>
        </w:rPr>
      </w:pPr>
      <w:r>
        <w:rPr>
          <w:rFonts w:hint="default"/>
          <w:lang w:val="en-US"/>
        </w:rPr>
        <w:t>exclude</w:t>
      </w:r>
    </w:p>
  </w:comment>
  <w:comment w:id="4" w:author="gabriel benjamin" w:date="2025-03-24T10:45:04Z" w:initials="">
    <w:p w14:paraId="56F00A8C">
      <w:pPr>
        <w:pStyle w:val="6"/>
        <w:rPr>
          <w:rFonts w:hint="default"/>
          <w:lang w:val="en-US"/>
        </w:rPr>
      </w:pPr>
      <w:r>
        <w:rPr>
          <w:rFonts w:hint="default"/>
          <w:lang w:val="en-US"/>
        </w:rPr>
        <w:t>This was not captured in your topic</w:t>
      </w:r>
    </w:p>
  </w:comment>
  <w:comment w:id="5" w:author="gabriel benjamin" w:date="2025-03-24T10:38:40Z" w:initials="">
    <w:p w14:paraId="1E4D5417">
      <w:pPr>
        <w:pStyle w:val="6"/>
        <w:rPr>
          <w:rFonts w:hint="default"/>
          <w:lang w:val="en-US"/>
        </w:rPr>
      </w:pPr>
      <w:r>
        <w:rPr>
          <w:rFonts w:hint="default"/>
          <w:lang w:val="en-US"/>
        </w:rPr>
        <w:t>Inter-relae the relevance of these to glaucoma</w:t>
      </w:r>
    </w:p>
  </w:comment>
  <w:comment w:id="6" w:author="gabriel benjamin" w:date="2025-03-24T10:40:17Z" w:initials="">
    <w:p w14:paraId="09312775">
      <w:pPr>
        <w:pStyle w:val="6"/>
        <w:rPr>
          <w:rFonts w:hint="default"/>
          <w:lang w:val="en-US"/>
        </w:rPr>
      </w:pPr>
      <w:r>
        <w:rPr>
          <w:rFonts w:hint="default"/>
          <w:lang w:val="en-US"/>
        </w:rPr>
        <w:t>How does these contribute to the effects of glaucoma</w:t>
      </w:r>
    </w:p>
  </w:comment>
  <w:comment w:id="7" w:author="gabriel benjamin" w:date="2025-03-24T10:41:24Z" w:initials="">
    <w:p w14:paraId="23613765">
      <w:pPr>
        <w:pStyle w:val="6"/>
        <w:rPr>
          <w:rFonts w:hint="default"/>
          <w:lang w:val="en-US"/>
        </w:rPr>
      </w:pPr>
      <w:r>
        <w:rPr>
          <w:rFonts w:hint="default"/>
          <w:lang w:val="en-US"/>
        </w:rPr>
        <w:t>Your focus wasn’t only on eosinophil, relate further studies that can  enhance the feasibility of your study to end users</w:t>
      </w:r>
    </w:p>
  </w:comment>
  <w:comment w:id="8" w:author="gabriel benjamin" w:date="2025-03-24T10:48:40Z" w:initials="">
    <w:p w14:paraId="6BF2DAE0">
      <w:pPr>
        <w:pStyle w:val="6"/>
        <w:rPr>
          <w:rFonts w:hint="default"/>
          <w:lang w:val="en-US"/>
        </w:rPr>
      </w:pPr>
      <w:r>
        <w:rPr>
          <w:rFonts w:hint="default"/>
          <w:lang w:val="en-US"/>
        </w:rPr>
        <w:t>to an</w:t>
      </w:r>
    </w:p>
  </w:comment>
  <w:comment w:id="9" w:author="gabriel benjamin" w:date="2025-03-24T10:49:46Z" w:initials="">
    <w:p w14:paraId="0EEB64C6">
      <w:pPr>
        <w:pStyle w:val="6"/>
        <w:rPr>
          <w:rFonts w:hint="default"/>
          <w:lang w:val="en-US"/>
        </w:rPr>
      </w:pPr>
      <w:r>
        <w:rPr>
          <w:rFonts w:hint="default"/>
          <w:lang w:val="en-US"/>
        </w:rPr>
        <w:t>Recast and reconstruct poorly written</w:t>
      </w:r>
    </w:p>
  </w:comment>
  <w:comment w:id="10" w:author="gabriel benjamin" w:date="2025-03-24T10:52:23Z" w:initials="">
    <w:p w14:paraId="6A5DA3DF">
      <w:pPr>
        <w:pStyle w:val="6"/>
        <w:rPr>
          <w:rFonts w:hint="default"/>
          <w:lang w:val="en-US"/>
        </w:rPr>
      </w:pPr>
      <w:r>
        <w:rPr>
          <w:rFonts w:hint="default"/>
          <w:lang w:val="en-US"/>
        </w:rPr>
        <w:t>Examples are</w:t>
      </w:r>
    </w:p>
  </w:comment>
  <w:comment w:id="11" w:author="gabriel benjamin" w:date="2025-03-24T10:53:02Z" w:initials="">
    <w:p w14:paraId="2D6D634F">
      <w:pPr>
        <w:pStyle w:val="6"/>
        <w:rPr>
          <w:rFonts w:hint="default"/>
          <w:lang w:val="en-US"/>
        </w:rPr>
      </w:pPr>
      <w:r>
        <w:rPr>
          <w:rFonts w:hint="default"/>
          <w:lang w:val="en-US"/>
        </w:rPr>
        <w:t>Recast this paragram message to obvious</w:t>
      </w:r>
    </w:p>
  </w:comment>
  <w:comment w:id="12" w:author="gabriel benjamin" w:date="2025-03-24T10:56:20Z" w:initials="">
    <w:p w14:paraId="72D2C0DA">
      <w:pPr>
        <w:pStyle w:val="6"/>
        <w:rPr>
          <w:rFonts w:hint="default"/>
          <w:lang w:val="en-US"/>
        </w:rPr>
      </w:pPr>
      <w:r>
        <w:rPr>
          <w:rFonts w:hint="default"/>
          <w:lang w:val="en-US"/>
        </w:rPr>
        <w:t>like</w:t>
      </w:r>
    </w:p>
  </w:comment>
  <w:comment w:id="13" w:author="gabriel benjamin" w:date="2025-03-24T10:57:21Z" w:initials="">
    <w:p w14:paraId="6B6EAE03">
      <w:pPr>
        <w:pStyle w:val="6"/>
        <w:rPr>
          <w:rFonts w:hint="default"/>
          <w:lang w:val="en-US"/>
        </w:rPr>
      </w:pPr>
      <w:r>
        <w:rPr>
          <w:rFonts w:hint="default"/>
          <w:lang w:val="en-US"/>
        </w:rPr>
        <w:t>Are you saying all hematological indices are for immunitity</w:t>
      </w:r>
    </w:p>
  </w:comment>
  <w:comment w:id="14" w:author="gabriel benjamin" w:date="2025-03-24T10:58:56Z" w:initials="">
    <w:p w14:paraId="45132347">
      <w:pPr>
        <w:pStyle w:val="6"/>
        <w:rPr>
          <w:rFonts w:hint="default"/>
          <w:lang w:val="en-US"/>
        </w:rPr>
      </w:pPr>
      <w:r>
        <w:rPr>
          <w:rFonts w:hint="default"/>
          <w:lang w:val="en-US"/>
        </w:rPr>
        <w:t>Clarify this fact with reference</w:t>
      </w:r>
    </w:p>
  </w:comment>
  <w:comment w:id="15" w:author="gabriel benjamin" w:date="2025-03-24T11:01:29Z" w:initials="">
    <w:p w14:paraId="17A3F4AE">
      <w:pPr>
        <w:pStyle w:val="6"/>
        <w:rPr>
          <w:rFonts w:hint="default"/>
          <w:lang w:val="en-US"/>
        </w:rPr>
      </w:pPr>
      <w:r>
        <w:rPr>
          <w:rFonts w:hint="default"/>
          <w:lang w:val="en-US"/>
        </w:rPr>
        <w:t>What data and who deviced it</w:t>
      </w:r>
    </w:p>
  </w:comment>
  <w:comment w:id="16" w:author="gabriel benjamin" w:date="2025-03-24T11:02:32Z" w:initials="">
    <w:p w14:paraId="2B03F549">
      <w:pPr>
        <w:pStyle w:val="6"/>
        <w:rPr>
          <w:rFonts w:hint="default"/>
          <w:lang w:val="en-US"/>
        </w:rPr>
      </w:pPr>
      <w:r>
        <w:rPr>
          <w:rFonts w:hint="default"/>
          <w:lang w:val="en-US"/>
        </w:rPr>
        <w:t>Is this a compound name?</w:t>
      </w:r>
    </w:p>
  </w:comment>
  <w:comment w:id="17" w:author="gabriel benjamin" w:date="2025-03-24T11:03:44Z" w:initials="">
    <w:p w14:paraId="57B1CB34">
      <w:pPr>
        <w:pStyle w:val="6"/>
        <w:rPr>
          <w:rFonts w:hint="default"/>
          <w:lang w:val="en-US"/>
        </w:rPr>
      </w:pPr>
      <w:r>
        <w:rPr>
          <w:rFonts w:hint="default"/>
          <w:lang w:val="en-US"/>
        </w:rPr>
        <w:t>(enzymatic and non-enzymatic)</w:t>
      </w:r>
    </w:p>
  </w:comment>
  <w:comment w:id="18" w:author="gabriel benjamin" w:date="2025-03-24T11:08:44Z" w:initials="">
    <w:p w14:paraId="2A87A4A9">
      <w:pPr>
        <w:pStyle w:val="6"/>
        <w:rPr>
          <w:rFonts w:hint="default"/>
          <w:lang w:val="en-US"/>
        </w:rPr>
      </w:pPr>
      <w:r>
        <w:rPr>
          <w:rFonts w:hint="default"/>
          <w:lang w:val="en-US"/>
        </w:rPr>
        <w:t>Check not well spelt out</w:t>
      </w:r>
    </w:p>
  </w:comment>
  <w:comment w:id="19" w:author="gabriel benjamin" w:date="2025-03-24T11:09:50Z" w:initials="">
    <w:p w14:paraId="1E9F3265">
      <w:pPr>
        <w:pStyle w:val="6"/>
        <w:rPr>
          <w:rFonts w:hint="default"/>
          <w:lang w:val="en-US"/>
        </w:rPr>
      </w:pPr>
      <w:r>
        <w:rPr>
          <w:rFonts w:hint="default"/>
          <w:lang w:val="en-US"/>
        </w:rPr>
        <w:t>delete</w:t>
      </w:r>
    </w:p>
  </w:comment>
  <w:comment w:id="20" w:author="gabriel benjamin" w:date="2025-03-24T11:10:09Z" w:initials="">
    <w:p w14:paraId="31D2FB4E">
      <w:pPr>
        <w:pStyle w:val="6"/>
        <w:rPr>
          <w:rFonts w:hint="default"/>
          <w:lang w:val="en-US"/>
        </w:rPr>
      </w:pPr>
      <w:r>
        <w:rPr>
          <w:rFonts w:hint="default"/>
          <w:lang w:val="en-US"/>
        </w:rPr>
        <w:t>have</w:t>
      </w:r>
    </w:p>
  </w:comment>
  <w:comment w:id="21" w:author="gabriel benjamin" w:date="2025-03-24T11:10:20Z" w:initials="">
    <w:p w14:paraId="7721796D">
      <w:pPr>
        <w:pStyle w:val="6"/>
        <w:rPr>
          <w:rFonts w:hint="default"/>
          <w:lang w:val="en-US"/>
        </w:rPr>
      </w:pPr>
      <w:r>
        <w:rPr>
          <w:rFonts w:hint="default"/>
          <w:lang w:val="en-US"/>
        </w:rPr>
        <w:t>Incomplete statement</w:t>
      </w:r>
    </w:p>
  </w:comment>
  <w:comment w:id="22" w:author="gabriel benjamin" w:date="2025-03-24T11:11:17Z" w:initials="">
    <w:p w14:paraId="66DD90F4">
      <w:pPr>
        <w:autoSpaceDE w:val="0"/>
        <w:autoSpaceDN w:val="0"/>
        <w:adjustRightInd w:val="0"/>
        <w:spacing w:after="0" w:line="240" w:lineRule="auto"/>
        <w:jc w:val="both"/>
        <w:rPr>
          <w:rFonts w:ascii="Times New Roman" w:hAnsi="Times New Roman" w:eastAsiaTheme="minorHAnsi"/>
          <w:sz w:val="24"/>
          <w:szCs w:val="18"/>
          <w:lang w:eastAsia="en-US"/>
        </w:rPr>
      </w:pPr>
      <w:r>
        <w:rPr>
          <w:rFonts w:hint="default" w:ascii="Times New Roman" w:hAnsi="Times New Roman"/>
          <w:sz w:val="24"/>
          <w:lang w:val="en-US"/>
        </w:rPr>
        <w:t xml:space="preserve">Preferably: </w:t>
      </w:r>
      <w:r>
        <w:rPr>
          <w:rFonts w:ascii="Times New Roman" w:hAnsi="Times New Roman"/>
          <w:sz w:val="24"/>
        </w:rPr>
        <w:t>this study aimed to evaluate</w:t>
      </w:r>
      <w:r>
        <w:rPr>
          <w:rFonts w:hint="default" w:ascii="Times New Roman" w:hAnsi="Times New Roman"/>
          <w:sz w:val="24"/>
          <w:lang w:val="en-US"/>
        </w:rPr>
        <w:t xml:space="preserve"> </w:t>
      </w:r>
      <w:r>
        <w:rPr>
          <w:rFonts w:ascii="Times New Roman" w:hAnsi="Times New Roman"/>
          <w:sz w:val="24"/>
        </w:rPr>
        <w:t xml:space="preserve"> plasma enzymatic and nonenzymatic antioxidants levels</w:t>
      </w:r>
      <w:r>
        <w:rPr>
          <w:rFonts w:hint="default" w:ascii="Times New Roman" w:hAnsi="Times New Roman"/>
          <w:sz w:val="24"/>
          <w:lang w:val="en-US"/>
        </w:rPr>
        <w:t xml:space="preserve"> and </w:t>
      </w:r>
      <w:r>
        <w:rPr>
          <w:rFonts w:ascii="Times New Roman" w:hAnsi="Times New Roman"/>
          <w:sz w:val="24"/>
        </w:rPr>
        <w:t>haematological parameters in glaucoma patients</w:t>
      </w:r>
      <w:r>
        <w:rPr>
          <w:rFonts w:ascii="Times New Roman" w:hAnsi="Times New Roman" w:eastAsiaTheme="minorHAnsi"/>
          <w:sz w:val="24"/>
          <w:szCs w:val="18"/>
          <w:lang w:eastAsia="en-US"/>
        </w:rPr>
        <w:t>.</w:t>
      </w:r>
    </w:p>
    <w:p w14:paraId="4B7F3DD1">
      <w:pPr>
        <w:pStyle w:val="6"/>
      </w:pPr>
    </w:p>
  </w:comment>
  <w:comment w:id="23" w:author="gabriel benjamin" w:date="2025-03-24T11:14:02Z" w:initials="">
    <w:p w14:paraId="4E35DF9B">
      <w:pPr>
        <w:pStyle w:val="6"/>
        <w:rPr>
          <w:rFonts w:hint="default"/>
          <w:lang w:val="en-US"/>
        </w:rPr>
      </w:pPr>
      <w:r>
        <w:rPr>
          <w:rFonts w:hint="default"/>
          <w:lang w:val="en-US"/>
        </w:rPr>
        <w:t>Carried-out</w:t>
      </w:r>
    </w:p>
  </w:comment>
  <w:comment w:id="24" w:author="gabriel benjamin" w:date="2025-03-24T11:14:25Z" w:initials="">
    <w:p w14:paraId="1DA07E72">
      <w:pPr>
        <w:pStyle w:val="6"/>
        <w:rPr>
          <w:rFonts w:hint="default"/>
          <w:lang w:val="en-US"/>
        </w:rPr>
      </w:pPr>
      <w:r>
        <w:rPr>
          <w:rFonts w:hint="default"/>
          <w:lang w:val="en-US"/>
        </w:rPr>
        <w:t>delete</w:t>
      </w:r>
    </w:p>
  </w:comment>
  <w:comment w:id="25" w:author="gabriel benjamin" w:date="2025-03-24T11:16:31Z" w:initials="">
    <w:p w14:paraId="37DB9BFF">
      <w:pPr>
        <w:pStyle w:val="6"/>
        <w:rPr>
          <w:rFonts w:hint="default"/>
          <w:lang w:val="en-US"/>
        </w:rPr>
      </w:pPr>
      <w:r>
        <w:rPr>
          <w:rFonts w:hint="default"/>
          <w:lang w:val="en-US"/>
        </w:rPr>
        <w:t>Cant a less that 18 patient have this same disease</w:t>
      </w:r>
    </w:p>
  </w:comment>
  <w:comment w:id="26" w:author="gabriel benjamin" w:date="2025-03-24T11:16:02Z" w:initials="">
    <w:p w14:paraId="59E6BAB0">
      <w:pPr>
        <w:pStyle w:val="6"/>
        <w:rPr>
          <w:rFonts w:hint="default"/>
          <w:lang w:val="en-US"/>
        </w:rPr>
      </w:pPr>
      <w:r>
        <w:rPr>
          <w:rFonts w:hint="default"/>
          <w:lang w:val="en-US"/>
        </w:rPr>
        <w:t>How was this derived</w:t>
      </w:r>
    </w:p>
  </w:comment>
  <w:comment w:id="27" w:author="gabriel benjamin" w:date="2025-03-24T11:28:19Z" w:initials="">
    <w:p w14:paraId="1F234D8D">
      <w:pPr>
        <w:pStyle w:val="6"/>
        <w:rPr>
          <w:rFonts w:hint="default"/>
          <w:lang w:val="en-US"/>
        </w:rPr>
      </w:pPr>
      <w:r>
        <w:rPr>
          <w:rFonts w:hint="default"/>
          <w:lang w:val="en-US"/>
        </w:rPr>
        <w:t>explain</w:t>
      </w:r>
    </w:p>
  </w:comment>
  <w:comment w:id="28" w:author="gabriel benjamin" w:date="2025-03-24T11:29:15Z" w:initials="">
    <w:p w14:paraId="624A33C6">
      <w:pPr>
        <w:pStyle w:val="6"/>
        <w:rPr>
          <w:rFonts w:hint="default"/>
          <w:lang w:val="en-US"/>
        </w:rPr>
      </w:pPr>
      <w:r>
        <w:rPr>
          <w:rFonts w:hint="default"/>
          <w:lang w:val="en-US"/>
        </w:rPr>
        <w:t>Why not in lithium heparinized container</w:t>
      </w:r>
    </w:p>
  </w:comment>
  <w:comment w:id="29" w:author="gabriel benjamin" w:date="2025-03-24T11:33:16Z" w:initials="">
    <w:p w14:paraId="13987CAE">
      <w:pPr>
        <w:pStyle w:val="6"/>
        <w:rPr>
          <w:rFonts w:hint="default"/>
          <w:lang w:val="en-US"/>
        </w:rPr>
      </w:pPr>
      <w:r>
        <w:rPr>
          <w:rFonts w:hint="default"/>
          <w:lang w:val="en-US"/>
        </w:rPr>
        <w:t>Determined by what aquipment</w:t>
      </w:r>
    </w:p>
  </w:comment>
  <w:comment w:id="30" w:author="gabriel benjamin" w:date="2025-03-24T11:35:38Z" w:initials="">
    <w:p w14:paraId="0EC475D6">
      <w:pPr>
        <w:pStyle w:val="6"/>
      </w:pPr>
      <w:r>
        <w:rPr>
          <w:rFonts w:hint="default"/>
          <w:lang w:val="en-US"/>
        </w:rPr>
        <w:t>State the make and  brands</w:t>
      </w:r>
    </w:p>
  </w:comment>
  <w:comment w:id="31" w:author="gabriel benjamin" w:date="2025-03-24T11:36:34Z" w:initials="">
    <w:p w14:paraId="0D027869">
      <w:pPr>
        <w:pStyle w:val="6"/>
      </w:pPr>
      <w:r>
        <w:rPr>
          <w:rFonts w:hint="default"/>
          <w:lang w:val="en-US"/>
        </w:rPr>
        <w:t>State the make and  brands</w:t>
      </w:r>
    </w:p>
  </w:comment>
  <w:comment w:id="32" w:author="gabriel benjamin" w:date="2025-03-24T11:38:36Z" w:initials="">
    <w:p w14:paraId="718E4DCD">
      <w:pPr>
        <w:pStyle w:val="6"/>
      </w:pPr>
      <w:r>
        <w:rPr>
          <w:rFonts w:hint="default"/>
          <w:lang w:val="en-US"/>
        </w:rPr>
        <w:t>State the make and  brands</w:t>
      </w:r>
    </w:p>
  </w:comment>
  <w:comment w:id="33" w:author="gabriel benjamin" w:date="2025-03-24T11:40:16Z" w:initials="">
    <w:p w14:paraId="759DC3C7">
      <w:pPr>
        <w:pStyle w:val="6"/>
      </w:pPr>
      <w:r>
        <w:rPr>
          <w:rFonts w:hint="default"/>
          <w:lang w:val="en-US"/>
        </w:rPr>
        <w:t>State the make and  brands</w:t>
      </w:r>
    </w:p>
  </w:comment>
  <w:comment w:id="34" w:author="gabriel benjamin" w:date="2025-03-24T11:47:43Z" w:initials="">
    <w:p w14:paraId="6EF33B71">
      <w:pPr>
        <w:pStyle w:val="6"/>
      </w:pPr>
      <w:r>
        <w:annotationRef/>
      </w:r>
    </w:p>
  </w:comment>
  <w:comment w:id="35" w:author="gabriel benjamin" w:date="2025-03-24T11:47:55Z" w:initials="">
    <w:p w14:paraId="6FFF4F74">
      <w:pPr>
        <w:pStyle w:val="6"/>
        <w:rPr>
          <w:rFonts w:hint="default"/>
          <w:lang w:val="en-US"/>
        </w:rPr>
      </w:pPr>
      <w:r>
        <w:rPr>
          <w:rFonts w:hint="default"/>
          <w:lang w:val="en-US"/>
        </w:rPr>
        <w:t>Most statements not completed</w:t>
      </w:r>
    </w:p>
  </w:comment>
  <w:comment w:id="36" w:author="gabriel benjamin" w:date="2025-03-24T11:44:52Z" w:initials="">
    <w:p w14:paraId="0720517F">
      <w:pPr>
        <w:pStyle w:val="6"/>
        <w:rPr>
          <w:rFonts w:hint="default"/>
          <w:lang w:val="en-US"/>
        </w:rPr>
      </w:pPr>
      <w:r>
        <w:rPr>
          <w:rFonts w:hint="default"/>
          <w:lang w:val="en-US"/>
        </w:rPr>
        <w:t>Insert the asteric in the significance showed</w:t>
      </w:r>
    </w:p>
  </w:comment>
  <w:comment w:id="37" w:author="gabriel benjamin" w:date="2025-03-24T11:53:43Z" w:initials="">
    <w:p w14:paraId="2862CE5F">
      <w:pPr>
        <w:pStyle w:val="6"/>
        <w:rPr>
          <w:rFonts w:hint="default"/>
          <w:lang w:val="en-US"/>
        </w:rPr>
      </w:pPr>
      <w:r>
        <w:rPr>
          <w:rFonts w:hint="default"/>
          <w:lang w:val="en-US"/>
        </w:rPr>
        <w:t>Recast and rewrite using another ideal</w:t>
      </w:r>
    </w:p>
  </w:comment>
  <w:comment w:id="38" w:author="gabriel benjamin" w:date="2025-03-24T11:50:41Z" w:initials="">
    <w:p w14:paraId="1A575C56">
      <w:pPr>
        <w:pStyle w:val="6"/>
        <w:rPr>
          <w:rFonts w:hint="default"/>
          <w:lang w:val="en-US"/>
        </w:rPr>
      </w:pPr>
      <w:r>
        <w:rPr>
          <w:rFonts w:hint="default"/>
          <w:lang w:val="en-US"/>
        </w:rPr>
        <w:t>What report and who invent it</w:t>
      </w:r>
    </w:p>
  </w:comment>
  <w:comment w:id="39" w:author="gabriel benjamin" w:date="2025-03-24T11:51:35Z" w:initials="">
    <w:p w14:paraId="78EA2482">
      <w:pPr>
        <w:pStyle w:val="6"/>
        <w:rPr>
          <w:rFonts w:hint="default"/>
          <w:lang w:val="en-US"/>
        </w:rPr>
      </w:pPr>
      <w:r>
        <w:rPr>
          <w:rFonts w:hint="default"/>
          <w:lang w:val="en-US"/>
        </w:rPr>
        <w:t>Be careful of the choice of word used</w:t>
      </w:r>
    </w:p>
  </w:comment>
  <w:comment w:id="40" w:author="gabriel benjamin" w:date="2025-03-24T11:52:51Z" w:initials="">
    <w:p w14:paraId="46DFDCC4">
      <w:pPr>
        <w:pStyle w:val="6"/>
        <w:rPr>
          <w:rFonts w:hint="default"/>
          <w:lang w:val="en-US"/>
        </w:rPr>
      </w:pPr>
      <w:r>
        <w:rPr>
          <w:rFonts w:hint="default"/>
          <w:lang w:val="en-US"/>
        </w:rPr>
        <w:t>This no necessary in this section</w:t>
      </w:r>
    </w:p>
  </w:comment>
  <w:comment w:id="41" w:author="gabriel benjamin" w:date="2025-03-24T12:05:37Z" w:initials="">
    <w:p w14:paraId="022ECD3C">
      <w:pPr>
        <w:pStyle w:val="6"/>
        <w:rPr>
          <w:rFonts w:hint="default"/>
          <w:lang w:val="en-US"/>
        </w:rPr>
      </w:pPr>
      <w:r>
        <w:rPr>
          <w:rFonts w:hint="default"/>
          <w:lang w:val="en-US"/>
        </w:rPr>
        <w:t>explain</w:t>
      </w:r>
    </w:p>
  </w:comment>
  <w:comment w:id="42" w:author="gabriel benjamin" w:date="2025-03-24T12:06:05Z" w:initials="">
    <w:p w14:paraId="48E689CE">
      <w:pPr>
        <w:pStyle w:val="6"/>
        <w:rPr>
          <w:rFonts w:hint="default"/>
          <w:lang w:val="en-US"/>
        </w:rPr>
      </w:pPr>
      <w:r>
        <w:rPr>
          <w:rFonts w:hint="default"/>
          <w:lang w:val="en-US"/>
        </w:rPr>
        <w:t>Poor expression</w:t>
      </w:r>
    </w:p>
  </w:comment>
  <w:comment w:id="43" w:author="gabriel benjamin" w:date="2025-03-24T12:01:21Z" w:initials="">
    <w:p w14:paraId="2F1A006E">
      <w:pPr>
        <w:pStyle w:val="6"/>
        <w:rPr>
          <w:rFonts w:hint="default"/>
          <w:lang w:val="en-US"/>
        </w:rPr>
      </w:pPr>
      <w:r>
        <w:rPr>
          <w:rFonts w:hint="default"/>
          <w:lang w:val="en-US"/>
        </w:rPr>
        <w:t>Poor expression</w:t>
      </w:r>
    </w:p>
  </w:comment>
  <w:comment w:id="44" w:author="gabriel benjamin" w:date="2025-03-24T12:01:41Z" w:initials="">
    <w:p w14:paraId="43CC8576">
      <w:pPr>
        <w:pStyle w:val="6"/>
        <w:rPr>
          <w:rFonts w:hint="default"/>
          <w:lang w:val="en-US"/>
        </w:rPr>
      </w:pPr>
      <w:r>
        <w:rPr>
          <w:rFonts w:hint="default"/>
          <w:lang w:val="en-US"/>
        </w:rPr>
        <w:t>Nothing like statistically significant either use significant</w:t>
      </w:r>
    </w:p>
  </w:comment>
  <w:comment w:id="45" w:author="gabriel benjamin" w:date="2025-03-24T12:02:54Z" w:initials="">
    <w:p w14:paraId="1FD5D370">
      <w:pPr>
        <w:pStyle w:val="6"/>
        <w:rPr>
          <w:rFonts w:hint="default"/>
          <w:lang w:val="en-US"/>
        </w:rPr>
      </w:pPr>
      <w:r>
        <w:rPr>
          <w:rFonts w:hint="default"/>
          <w:lang w:val="en-US"/>
        </w:rPr>
        <w:t>indicate</w:t>
      </w:r>
    </w:p>
  </w:comment>
  <w:comment w:id="46" w:author="gabriel benjamin" w:date="2025-03-24T12:03:50Z" w:initials="">
    <w:p w14:paraId="333B3F23">
      <w:pPr>
        <w:pStyle w:val="6"/>
        <w:rPr>
          <w:rFonts w:hint="default"/>
          <w:lang w:val="en-US"/>
        </w:rPr>
      </w:pPr>
      <w:r>
        <w:rPr>
          <w:rFonts w:hint="default"/>
          <w:lang w:val="en-US"/>
        </w:rPr>
        <w:t>Does this also agreed with your work</w:t>
      </w:r>
    </w:p>
  </w:comment>
  <w:comment w:id="47" w:author="gabriel benjamin" w:date="2025-03-24T12:04:44Z" w:initials="">
    <w:p w14:paraId="60F0594F">
      <w:pPr>
        <w:pStyle w:val="6"/>
        <w:rPr>
          <w:rFonts w:hint="default"/>
          <w:lang w:val="en-US"/>
        </w:rPr>
      </w:pPr>
      <w:r>
        <w:rPr>
          <w:rFonts w:hint="default"/>
          <w:lang w:val="en-US"/>
        </w:rPr>
        <w:t>Recast using correction and good expression</w:t>
      </w:r>
    </w:p>
  </w:comment>
  <w:comment w:id="48" w:author="gabriel benjamin" w:date="2025-03-24T11:59:55Z" w:initials="">
    <w:p w14:paraId="796D0599">
      <w:pPr>
        <w:pStyle w:val="6"/>
        <w:rPr>
          <w:rFonts w:hint="default"/>
          <w:lang w:val="en-US"/>
        </w:rPr>
      </w:pPr>
      <w:r>
        <w:rPr>
          <w:rFonts w:hint="default"/>
          <w:lang w:val="en-US"/>
        </w:rPr>
        <w:t>About what</w:t>
      </w:r>
    </w:p>
  </w:comment>
  <w:comment w:id="49" w:author="gabriel benjamin" w:date="2025-03-24T12:06:52Z" w:initials="">
    <w:p w14:paraId="12C6FD96">
      <w:pPr>
        <w:pStyle w:val="6"/>
        <w:rPr>
          <w:rFonts w:hint="default"/>
          <w:lang w:val="en-US"/>
        </w:rPr>
      </w:pPr>
      <w:r>
        <w:rPr>
          <w:rFonts w:hint="default"/>
          <w:lang w:val="en-US"/>
        </w:rPr>
        <w:t>Discussion is poorly written needs total overhauling</w:t>
      </w:r>
    </w:p>
  </w:comment>
  <w:comment w:id="50" w:author="gabriel benjamin" w:date="2025-03-24T12:08:22Z" w:initials="">
    <w:p w14:paraId="2E11FA07">
      <w:pPr>
        <w:pStyle w:val="6"/>
        <w:rPr>
          <w:rFonts w:hint="default"/>
          <w:lang w:val="en-US"/>
        </w:rPr>
      </w:pPr>
      <w:r>
        <w:rPr>
          <w:rFonts w:hint="default"/>
          <w:lang w:val="en-US"/>
        </w:rPr>
        <w:t>Use another scientific word</w:t>
      </w:r>
    </w:p>
  </w:comment>
  <w:comment w:id="51" w:author="gabriel benjamin" w:date="2025-03-24T12:09:16Z" w:initials="">
    <w:p w14:paraId="2F939675">
      <w:pPr>
        <w:pStyle w:val="6"/>
        <w:rPr>
          <w:rFonts w:hint="default"/>
          <w:lang w:val="en-US"/>
        </w:rPr>
      </w:pPr>
      <w:r>
        <w:rPr>
          <w:rFonts w:hint="default"/>
          <w:lang w:val="en-US"/>
        </w:rPr>
        <w:t>Pattern differs fom other contrary to journal format. Same to similar colored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649D5DE" w15:done="0"/>
  <w15:commentEx w15:paraId="4FD038C3" w15:done="0"/>
  <w15:commentEx w15:paraId="150FEC87" w15:done="0"/>
  <w15:commentEx w15:paraId="0FA72748" w15:done="0"/>
  <w15:commentEx w15:paraId="56F00A8C" w15:done="0"/>
  <w15:commentEx w15:paraId="1E4D5417" w15:done="0"/>
  <w15:commentEx w15:paraId="09312775" w15:done="0"/>
  <w15:commentEx w15:paraId="23613765" w15:done="0"/>
  <w15:commentEx w15:paraId="6BF2DAE0" w15:done="0"/>
  <w15:commentEx w15:paraId="0EEB64C6" w15:done="0"/>
  <w15:commentEx w15:paraId="6A5DA3DF" w15:done="0"/>
  <w15:commentEx w15:paraId="2D6D634F" w15:done="0"/>
  <w15:commentEx w15:paraId="72D2C0DA" w15:done="0"/>
  <w15:commentEx w15:paraId="6B6EAE03" w15:done="0"/>
  <w15:commentEx w15:paraId="45132347" w15:done="0"/>
  <w15:commentEx w15:paraId="17A3F4AE" w15:done="0"/>
  <w15:commentEx w15:paraId="2B03F549" w15:done="0"/>
  <w15:commentEx w15:paraId="57B1CB34" w15:done="0"/>
  <w15:commentEx w15:paraId="2A87A4A9" w15:done="0"/>
  <w15:commentEx w15:paraId="1E9F3265" w15:done="0"/>
  <w15:commentEx w15:paraId="31D2FB4E" w15:done="0"/>
  <w15:commentEx w15:paraId="7721796D" w15:done="0"/>
  <w15:commentEx w15:paraId="4B7F3DD1" w15:done="0"/>
  <w15:commentEx w15:paraId="4E35DF9B" w15:done="0"/>
  <w15:commentEx w15:paraId="1DA07E72" w15:done="0"/>
  <w15:commentEx w15:paraId="37DB9BFF" w15:done="0"/>
  <w15:commentEx w15:paraId="59E6BAB0" w15:done="0"/>
  <w15:commentEx w15:paraId="1F234D8D" w15:done="0"/>
  <w15:commentEx w15:paraId="624A33C6" w15:done="0"/>
  <w15:commentEx w15:paraId="13987CAE" w15:done="0"/>
  <w15:commentEx w15:paraId="0EC475D6" w15:done="0"/>
  <w15:commentEx w15:paraId="0D027869" w15:done="0"/>
  <w15:commentEx w15:paraId="718E4DCD" w15:done="0"/>
  <w15:commentEx w15:paraId="759DC3C7" w15:done="0"/>
  <w15:commentEx w15:paraId="6EF33B71" w15:done="0"/>
  <w15:commentEx w15:paraId="6FFF4F74" w15:done="0"/>
  <w15:commentEx w15:paraId="0720517F" w15:done="0"/>
  <w15:commentEx w15:paraId="2862CE5F" w15:done="0"/>
  <w15:commentEx w15:paraId="1A575C56" w15:done="0"/>
  <w15:commentEx w15:paraId="78EA2482" w15:done="0"/>
  <w15:commentEx w15:paraId="46DFDCC4" w15:done="0"/>
  <w15:commentEx w15:paraId="022ECD3C" w15:done="0"/>
  <w15:commentEx w15:paraId="48E689CE" w15:done="0"/>
  <w15:commentEx w15:paraId="2F1A006E" w15:done="0"/>
  <w15:commentEx w15:paraId="43CC8576" w15:done="0"/>
  <w15:commentEx w15:paraId="1FD5D370" w15:done="0"/>
  <w15:commentEx w15:paraId="333B3F23" w15:done="0"/>
  <w15:commentEx w15:paraId="60F0594F" w15:done="0"/>
  <w15:commentEx w15:paraId="796D0599" w15:done="0"/>
  <w15:commentEx w15:paraId="12C6FD96" w15:done="0"/>
  <w15:commentEx w15:paraId="2E11FA07" w15:done="0"/>
  <w15:commentEx w15:paraId="2F9396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inionPro-Regular">
    <w:altName w:val="Yu Gothic"/>
    <w:panose1 w:val="00000000000000000000"/>
    <w:charset w:val="80"/>
    <w:family w:val="auto"/>
    <w:pitch w:val="default"/>
    <w:sig w:usb0="00000000" w:usb1="00000000" w:usb2="00000010" w:usb3="00000000" w:csb0="00020009" w:csb1="00000000"/>
  </w:font>
  <w:font w:name="Helvetica Neue">
    <w:altName w:val="SimSun"/>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A295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1E2F9">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CFE1">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4DD23F">
    <w:pPr>
      <w:pStyle w:val="9"/>
    </w:pPr>
    <w:r>
      <w:pict>
        <v:shape id="PowerPlusWaterMarkObject283105939" o:spid="_x0000_s2051" o:spt="136" type="#_x0000_t136" style="position:absolute;left:0pt;height:104.15pt;width:555.6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7080B">
    <w:pPr>
      <w:pStyle w:val="9"/>
    </w:pPr>
    <w:r>
      <w:pict>
        <v:shape id="PowerPlusWaterMarkObject283105938" o:spid="_x0000_s2050" o:spt="136" type="#_x0000_t136" style="position:absolute;left:0pt;height:104.15pt;width:555.6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2A6F">
    <w:pPr>
      <w:pStyle w:val="9"/>
    </w:pPr>
    <w:r>
      <w:pict>
        <v:shape id="PowerPlusWaterMarkObject283105937" o:spid="_x0000_s2049" o:spt="136" type="#_x0000_t136" style="position:absolute;left:0pt;height:104.15pt;width:555.6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path="t" trim="f" xscale="f" string="UNDER PEER REVIEW" style="font-family:Calibri;font-size:1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abriel benjamin">
    <w15:presenceInfo w15:providerId="WPS Office" w15:userId="953784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2F"/>
    <w:rsid w:val="00000221"/>
    <w:rsid w:val="00000B4B"/>
    <w:rsid w:val="00001373"/>
    <w:rsid w:val="00002BB6"/>
    <w:rsid w:val="00002FF3"/>
    <w:rsid w:val="000033C7"/>
    <w:rsid w:val="000056B3"/>
    <w:rsid w:val="00007267"/>
    <w:rsid w:val="00010B97"/>
    <w:rsid w:val="000119A7"/>
    <w:rsid w:val="0001353D"/>
    <w:rsid w:val="0001559B"/>
    <w:rsid w:val="00022E42"/>
    <w:rsid w:val="00023AA1"/>
    <w:rsid w:val="000245E2"/>
    <w:rsid w:val="00024CA0"/>
    <w:rsid w:val="00030A79"/>
    <w:rsid w:val="0003324B"/>
    <w:rsid w:val="00035E15"/>
    <w:rsid w:val="00035E1C"/>
    <w:rsid w:val="00037AC2"/>
    <w:rsid w:val="00041D28"/>
    <w:rsid w:val="000429B7"/>
    <w:rsid w:val="000434FD"/>
    <w:rsid w:val="00043663"/>
    <w:rsid w:val="000440FC"/>
    <w:rsid w:val="00051BEA"/>
    <w:rsid w:val="0005754B"/>
    <w:rsid w:val="00060DD4"/>
    <w:rsid w:val="00061A9B"/>
    <w:rsid w:val="00063CC6"/>
    <w:rsid w:val="000657A8"/>
    <w:rsid w:val="000657CA"/>
    <w:rsid w:val="00071A04"/>
    <w:rsid w:val="00074072"/>
    <w:rsid w:val="000758BB"/>
    <w:rsid w:val="00076264"/>
    <w:rsid w:val="00077A42"/>
    <w:rsid w:val="00077EFC"/>
    <w:rsid w:val="0008059B"/>
    <w:rsid w:val="00080805"/>
    <w:rsid w:val="00080A2E"/>
    <w:rsid w:val="00080F66"/>
    <w:rsid w:val="00082B30"/>
    <w:rsid w:val="00083844"/>
    <w:rsid w:val="00084363"/>
    <w:rsid w:val="0008541F"/>
    <w:rsid w:val="00090E19"/>
    <w:rsid w:val="00090E6B"/>
    <w:rsid w:val="00091762"/>
    <w:rsid w:val="00092CC6"/>
    <w:rsid w:val="000947F2"/>
    <w:rsid w:val="000A0AD9"/>
    <w:rsid w:val="000A51E2"/>
    <w:rsid w:val="000A638B"/>
    <w:rsid w:val="000A6D29"/>
    <w:rsid w:val="000B2080"/>
    <w:rsid w:val="000B211C"/>
    <w:rsid w:val="000B5050"/>
    <w:rsid w:val="000B535B"/>
    <w:rsid w:val="000B53DD"/>
    <w:rsid w:val="000B7770"/>
    <w:rsid w:val="000C06E6"/>
    <w:rsid w:val="000C23E4"/>
    <w:rsid w:val="000C5B04"/>
    <w:rsid w:val="000D1B56"/>
    <w:rsid w:val="000D4588"/>
    <w:rsid w:val="000D51D0"/>
    <w:rsid w:val="000D5774"/>
    <w:rsid w:val="000E122B"/>
    <w:rsid w:val="000E6BC1"/>
    <w:rsid w:val="000E7153"/>
    <w:rsid w:val="000F0477"/>
    <w:rsid w:val="000F0AFD"/>
    <w:rsid w:val="000F15EC"/>
    <w:rsid w:val="000F51CF"/>
    <w:rsid w:val="000F6081"/>
    <w:rsid w:val="000F6418"/>
    <w:rsid w:val="000F7193"/>
    <w:rsid w:val="000F7DCE"/>
    <w:rsid w:val="00100D21"/>
    <w:rsid w:val="00102E93"/>
    <w:rsid w:val="0010487B"/>
    <w:rsid w:val="00104A7F"/>
    <w:rsid w:val="00104D15"/>
    <w:rsid w:val="00106F15"/>
    <w:rsid w:val="001139CD"/>
    <w:rsid w:val="00115341"/>
    <w:rsid w:val="001159E1"/>
    <w:rsid w:val="001203D6"/>
    <w:rsid w:val="0012044F"/>
    <w:rsid w:val="00122AE1"/>
    <w:rsid w:val="00123C85"/>
    <w:rsid w:val="00126A63"/>
    <w:rsid w:val="0012752F"/>
    <w:rsid w:val="001378FD"/>
    <w:rsid w:val="00141D46"/>
    <w:rsid w:val="00143D80"/>
    <w:rsid w:val="001457D8"/>
    <w:rsid w:val="00147842"/>
    <w:rsid w:val="001519FA"/>
    <w:rsid w:val="0015651E"/>
    <w:rsid w:val="0016020C"/>
    <w:rsid w:val="00162783"/>
    <w:rsid w:val="0016469C"/>
    <w:rsid w:val="00164B87"/>
    <w:rsid w:val="0016619C"/>
    <w:rsid w:val="00166EFB"/>
    <w:rsid w:val="00171BF4"/>
    <w:rsid w:val="00175541"/>
    <w:rsid w:val="0017708A"/>
    <w:rsid w:val="001806E4"/>
    <w:rsid w:val="001814DA"/>
    <w:rsid w:val="00182F86"/>
    <w:rsid w:val="001837AF"/>
    <w:rsid w:val="001848EB"/>
    <w:rsid w:val="00184FD6"/>
    <w:rsid w:val="00187139"/>
    <w:rsid w:val="00191E57"/>
    <w:rsid w:val="00191FF9"/>
    <w:rsid w:val="001948B5"/>
    <w:rsid w:val="001950F7"/>
    <w:rsid w:val="001A09DE"/>
    <w:rsid w:val="001A199B"/>
    <w:rsid w:val="001A1C21"/>
    <w:rsid w:val="001A51BB"/>
    <w:rsid w:val="001B0383"/>
    <w:rsid w:val="001B2348"/>
    <w:rsid w:val="001B262B"/>
    <w:rsid w:val="001B2995"/>
    <w:rsid w:val="001B5E1B"/>
    <w:rsid w:val="001B6CF5"/>
    <w:rsid w:val="001C0097"/>
    <w:rsid w:val="001C2EBE"/>
    <w:rsid w:val="001C4B33"/>
    <w:rsid w:val="001C7639"/>
    <w:rsid w:val="001D073A"/>
    <w:rsid w:val="001D11A3"/>
    <w:rsid w:val="001D3C7D"/>
    <w:rsid w:val="001D3EEA"/>
    <w:rsid w:val="001E2029"/>
    <w:rsid w:val="001E5A5E"/>
    <w:rsid w:val="001E5E5C"/>
    <w:rsid w:val="001F39FA"/>
    <w:rsid w:val="001F444C"/>
    <w:rsid w:val="00200C21"/>
    <w:rsid w:val="00202AEA"/>
    <w:rsid w:val="00207E6E"/>
    <w:rsid w:val="00211450"/>
    <w:rsid w:val="00212FC2"/>
    <w:rsid w:val="002151BA"/>
    <w:rsid w:val="00216BE7"/>
    <w:rsid w:val="002202C0"/>
    <w:rsid w:val="002209FA"/>
    <w:rsid w:val="0022599D"/>
    <w:rsid w:val="00225CFE"/>
    <w:rsid w:val="00227124"/>
    <w:rsid w:val="0022734F"/>
    <w:rsid w:val="00227720"/>
    <w:rsid w:val="002300A6"/>
    <w:rsid w:val="002325C1"/>
    <w:rsid w:val="00241478"/>
    <w:rsid w:val="0024409A"/>
    <w:rsid w:val="0024463C"/>
    <w:rsid w:val="00246397"/>
    <w:rsid w:val="00250748"/>
    <w:rsid w:val="00251E4B"/>
    <w:rsid w:val="002533E8"/>
    <w:rsid w:val="00253EDA"/>
    <w:rsid w:val="00254A6E"/>
    <w:rsid w:val="00255298"/>
    <w:rsid w:val="00255EE9"/>
    <w:rsid w:val="0025787C"/>
    <w:rsid w:val="00257C39"/>
    <w:rsid w:val="00262FC0"/>
    <w:rsid w:val="00265716"/>
    <w:rsid w:val="002665C9"/>
    <w:rsid w:val="002666E0"/>
    <w:rsid w:val="002669A1"/>
    <w:rsid w:val="002718E1"/>
    <w:rsid w:val="00273597"/>
    <w:rsid w:val="00274359"/>
    <w:rsid w:val="002746FB"/>
    <w:rsid w:val="002755BE"/>
    <w:rsid w:val="0027751B"/>
    <w:rsid w:val="00277BC7"/>
    <w:rsid w:val="00281F30"/>
    <w:rsid w:val="00282117"/>
    <w:rsid w:val="0028235F"/>
    <w:rsid w:val="00282DA5"/>
    <w:rsid w:val="00284A68"/>
    <w:rsid w:val="0028533F"/>
    <w:rsid w:val="002855E1"/>
    <w:rsid w:val="00285845"/>
    <w:rsid w:val="002858B8"/>
    <w:rsid w:val="00290E51"/>
    <w:rsid w:val="00292241"/>
    <w:rsid w:val="00292738"/>
    <w:rsid w:val="0029374E"/>
    <w:rsid w:val="00294577"/>
    <w:rsid w:val="00294B62"/>
    <w:rsid w:val="002A3924"/>
    <w:rsid w:val="002A58DF"/>
    <w:rsid w:val="002B0220"/>
    <w:rsid w:val="002B1C05"/>
    <w:rsid w:val="002B23F7"/>
    <w:rsid w:val="002B2EBE"/>
    <w:rsid w:val="002B3F5F"/>
    <w:rsid w:val="002B46AF"/>
    <w:rsid w:val="002B7F02"/>
    <w:rsid w:val="002C13DF"/>
    <w:rsid w:val="002C3ABB"/>
    <w:rsid w:val="002C4228"/>
    <w:rsid w:val="002D0A2D"/>
    <w:rsid w:val="002D0CDF"/>
    <w:rsid w:val="002D100F"/>
    <w:rsid w:val="002D2A89"/>
    <w:rsid w:val="002D2AC2"/>
    <w:rsid w:val="002D2CBF"/>
    <w:rsid w:val="002D66F1"/>
    <w:rsid w:val="002E0B9B"/>
    <w:rsid w:val="002E15BE"/>
    <w:rsid w:val="002E2BD1"/>
    <w:rsid w:val="002E3C59"/>
    <w:rsid w:val="002E6634"/>
    <w:rsid w:val="002E7DD0"/>
    <w:rsid w:val="002F019A"/>
    <w:rsid w:val="002F0DBB"/>
    <w:rsid w:val="002F5197"/>
    <w:rsid w:val="002F5C61"/>
    <w:rsid w:val="0030353A"/>
    <w:rsid w:val="00304D76"/>
    <w:rsid w:val="00305B04"/>
    <w:rsid w:val="00306BCA"/>
    <w:rsid w:val="00316A86"/>
    <w:rsid w:val="00320670"/>
    <w:rsid w:val="00323593"/>
    <w:rsid w:val="0032367B"/>
    <w:rsid w:val="00324FED"/>
    <w:rsid w:val="00325164"/>
    <w:rsid w:val="003306D4"/>
    <w:rsid w:val="003324C5"/>
    <w:rsid w:val="00332EB2"/>
    <w:rsid w:val="00333ACC"/>
    <w:rsid w:val="0033432E"/>
    <w:rsid w:val="0033664E"/>
    <w:rsid w:val="00340697"/>
    <w:rsid w:val="00343137"/>
    <w:rsid w:val="00351886"/>
    <w:rsid w:val="00351E27"/>
    <w:rsid w:val="00352D2E"/>
    <w:rsid w:val="00354A45"/>
    <w:rsid w:val="00354A73"/>
    <w:rsid w:val="003551BE"/>
    <w:rsid w:val="0035601B"/>
    <w:rsid w:val="00360EC5"/>
    <w:rsid w:val="0036403B"/>
    <w:rsid w:val="00366ACE"/>
    <w:rsid w:val="00366B69"/>
    <w:rsid w:val="00366D69"/>
    <w:rsid w:val="0037014C"/>
    <w:rsid w:val="00375DAB"/>
    <w:rsid w:val="00377026"/>
    <w:rsid w:val="003842EC"/>
    <w:rsid w:val="0038457F"/>
    <w:rsid w:val="003855BD"/>
    <w:rsid w:val="0039001A"/>
    <w:rsid w:val="003920E2"/>
    <w:rsid w:val="003921E6"/>
    <w:rsid w:val="00393785"/>
    <w:rsid w:val="003978D7"/>
    <w:rsid w:val="003A258D"/>
    <w:rsid w:val="003A52C8"/>
    <w:rsid w:val="003A5AC7"/>
    <w:rsid w:val="003A6258"/>
    <w:rsid w:val="003A6FBC"/>
    <w:rsid w:val="003A743A"/>
    <w:rsid w:val="003B0F2F"/>
    <w:rsid w:val="003B19FB"/>
    <w:rsid w:val="003B3F3B"/>
    <w:rsid w:val="003C4064"/>
    <w:rsid w:val="003C7476"/>
    <w:rsid w:val="003D44F2"/>
    <w:rsid w:val="003E075C"/>
    <w:rsid w:val="003E0D13"/>
    <w:rsid w:val="003E23CD"/>
    <w:rsid w:val="003E7018"/>
    <w:rsid w:val="003F130C"/>
    <w:rsid w:val="003F6378"/>
    <w:rsid w:val="003F6CC1"/>
    <w:rsid w:val="003F733B"/>
    <w:rsid w:val="00400D09"/>
    <w:rsid w:val="00401DAF"/>
    <w:rsid w:val="004026E0"/>
    <w:rsid w:val="00407684"/>
    <w:rsid w:val="00407AAE"/>
    <w:rsid w:val="004120F1"/>
    <w:rsid w:val="00413393"/>
    <w:rsid w:val="004138B5"/>
    <w:rsid w:val="00417367"/>
    <w:rsid w:val="004204D7"/>
    <w:rsid w:val="004218F4"/>
    <w:rsid w:val="00425338"/>
    <w:rsid w:val="00427BAF"/>
    <w:rsid w:val="0043238B"/>
    <w:rsid w:val="00433145"/>
    <w:rsid w:val="00433CD0"/>
    <w:rsid w:val="00440070"/>
    <w:rsid w:val="00440EB3"/>
    <w:rsid w:val="00441D5F"/>
    <w:rsid w:val="00443960"/>
    <w:rsid w:val="0044733D"/>
    <w:rsid w:val="004507C0"/>
    <w:rsid w:val="004509C7"/>
    <w:rsid w:val="00454289"/>
    <w:rsid w:val="00456AF8"/>
    <w:rsid w:val="00461B83"/>
    <w:rsid w:val="00467F22"/>
    <w:rsid w:val="00470384"/>
    <w:rsid w:val="0047445F"/>
    <w:rsid w:val="00474BFC"/>
    <w:rsid w:val="00481AAD"/>
    <w:rsid w:val="004831C4"/>
    <w:rsid w:val="004840C3"/>
    <w:rsid w:val="00485044"/>
    <w:rsid w:val="004905D7"/>
    <w:rsid w:val="00493B4F"/>
    <w:rsid w:val="00493DB0"/>
    <w:rsid w:val="004A0D2B"/>
    <w:rsid w:val="004A35DD"/>
    <w:rsid w:val="004A4405"/>
    <w:rsid w:val="004A522C"/>
    <w:rsid w:val="004A5EE7"/>
    <w:rsid w:val="004A67AA"/>
    <w:rsid w:val="004A7783"/>
    <w:rsid w:val="004B0AB0"/>
    <w:rsid w:val="004B0FE8"/>
    <w:rsid w:val="004B2D2C"/>
    <w:rsid w:val="004B3265"/>
    <w:rsid w:val="004B3F67"/>
    <w:rsid w:val="004B4BF2"/>
    <w:rsid w:val="004B5CC3"/>
    <w:rsid w:val="004B7815"/>
    <w:rsid w:val="004C07EC"/>
    <w:rsid w:val="004C11ED"/>
    <w:rsid w:val="004C2EAE"/>
    <w:rsid w:val="004C404D"/>
    <w:rsid w:val="004C6C9E"/>
    <w:rsid w:val="004D3114"/>
    <w:rsid w:val="004D6BC9"/>
    <w:rsid w:val="004E17B8"/>
    <w:rsid w:val="004E194B"/>
    <w:rsid w:val="004E4CA4"/>
    <w:rsid w:val="004E57F1"/>
    <w:rsid w:val="004E6ADC"/>
    <w:rsid w:val="004E6D50"/>
    <w:rsid w:val="004E78B8"/>
    <w:rsid w:val="004F220C"/>
    <w:rsid w:val="004F2B66"/>
    <w:rsid w:val="004F608E"/>
    <w:rsid w:val="004F664D"/>
    <w:rsid w:val="004F7690"/>
    <w:rsid w:val="005017D3"/>
    <w:rsid w:val="00502864"/>
    <w:rsid w:val="005047F2"/>
    <w:rsid w:val="00504C44"/>
    <w:rsid w:val="00506DA6"/>
    <w:rsid w:val="00507BFB"/>
    <w:rsid w:val="00511AB3"/>
    <w:rsid w:val="00513E5B"/>
    <w:rsid w:val="00515475"/>
    <w:rsid w:val="00517C00"/>
    <w:rsid w:val="005239B7"/>
    <w:rsid w:val="00523E9A"/>
    <w:rsid w:val="00524F05"/>
    <w:rsid w:val="00526ABE"/>
    <w:rsid w:val="00530F7B"/>
    <w:rsid w:val="00532569"/>
    <w:rsid w:val="00535699"/>
    <w:rsid w:val="005406A4"/>
    <w:rsid w:val="005413EF"/>
    <w:rsid w:val="00553281"/>
    <w:rsid w:val="005554D7"/>
    <w:rsid w:val="00556987"/>
    <w:rsid w:val="00560D18"/>
    <w:rsid w:val="00561C71"/>
    <w:rsid w:val="00566D2F"/>
    <w:rsid w:val="00566E13"/>
    <w:rsid w:val="00574E34"/>
    <w:rsid w:val="0057552D"/>
    <w:rsid w:val="005755BC"/>
    <w:rsid w:val="00581C32"/>
    <w:rsid w:val="00582F9D"/>
    <w:rsid w:val="00586FCC"/>
    <w:rsid w:val="005872D8"/>
    <w:rsid w:val="005933F0"/>
    <w:rsid w:val="005A0490"/>
    <w:rsid w:val="005B1296"/>
    <w:rsid w:val="005B3E60"/>
    <w:rsid w:val="005B4B86"/>
    <w:rsid w:val="005C0427"/>
    <w:rsid w:val="005C0700"/>
    <w:rsid w:val="005C4C90"/>
    <w:rsid w:val="005C5001"/>
    <w:rsid w:val="005C73D9"/>
    <w:rsid w:val="005D0535"/>
    <w:rsid w:val="005D34D3"/>
    <w:rsid w:val="005D5556"/>
    <w:rsid w:val="005D6D0C"/>
    <w:rsid w:val="005D737C"/>
    <w:rsid w:val="005E169D"/>
    <w:rsid w:val="005E1B9F"/>
    <w:rsid w:val="005E3541"/>
    <w:rsid w:val="005E715B"/>
    <w:rsid w:val="005F15CF"/>
    <w:rsid w:val="005F64D9"/>
    <w:rsid w:val="0060174E"/>
    <w:rsid w:val="00602F3E"/>
    <w:rsid w:val="006035BF"/>
    <w:rsid w:val="006041FB"/>
    <w:rsid w:val="006043C6"/>
    <w:rsid w:val="00605949"/>
    <w:rsid w:val="00605AFC"/>
    <w:rsid w:val="0060636E"/>
    <w:rsid w:val="00606431"/>
    <w:rsid w:val="0061496E"/>
    <w:rsid w:val="00615C85"/>
    <w:rsid w:val="00615D01"/>
    <w:rsid w:val="00616083"/>
    <w:rsid w:val="00616CDD"/>
    <w:rsid w:val="006170F0"/>
    <w:rsid w:val="00620A84"/>
    <w:rsid w:val="00620AA6"/>
    <w:rsid w:val="00622649"/>
    <w:rsid w:val="0062443C"/>
    <w:rsid w:val="006244B2"/>
    <w:rsid w:val="006245C5"/>
    <w:rsid w:val="00626ECF"/>
    <w:rsid w:val="006273BD"/>
    <w:rsid w:val="0062780D"/>
    <w:rsid w:val="00630C3B"/>
    <w:rsid w:val="00633550"/>
    <w:rsid w:val="00640931"/>
    <w:rsid w:val="00644FA4"/>
    <w:rsid w:val="00645DE6"/>
    <w:rsid w:val="00646486"/>
    <w:rsid w:val="006514EC"/>
    <w:rsid w:val="00656DCA"/>
    <w:rsid w:val="00657FA2"/>
    <w:rsid w:val="00663022"/>
    <w:rsid w:val="00663CE2"/>
    <w:rsid w:val="00664E62"/>
    <w:rsid w:val="0066669B"/>
    <w:rsid w:val="00670CF5"/>
    <w:rsid w:val="006717FD"/>
    <w:rsid w:val="00671C20"/>
    <w:rsid w:val="006733BF"/>
    <w:rsid w:val="00674A17"/>
    <w:rsid w:val="00676EC7"/>
    <w:rsid w:val="00677113"/>
    <w:rsid w:val="00677571"/>
    <w:rsid w:val="00677CC9"/>
    <w:rsid w:val="00680266"/>
    <w:rsid w:val="006804E5"/>
    <w:rsid w:val="00680971"/>
    <w:rsid w:val="006809E2"/>
    <w:rsid w:val="006855CF"/>
    <w:rsid w:val="00685AEB"/>
    <w:rsid w:val="00686FAB"/>
    <w:rsid w:val="006871A0"/>
    <w:rsid w:val="0068787D"/>
    <w:rsid w:val="006920BB"/>
    <w:rsid w:val="00693159"/>
    <w:rsid w:val="0069319C"/>
    <w:rsid w:val="00695D5D"/>
    <w:rsid w:val="006A1EAA"/>
    <w:rsid w:val="006A2D13"/>
    <w:rsid w:val="006B0D0E"/>
    <w:rsid w:val="006B381A"/>
    <w:rsid w:val="006C470C"/>
    <w:rsid w:val="006C491C"/>
    <w:rsid w:val="006D7948"/>
    <w:rsid w:val="006E376F"/>
    <w:rsid w:val="006E490C"/>
    <w:rsid w:val="006E5D27"/>
    <w:rsid w:val="006F0A22"/>
    <w:rsid w:val="006F2B92"/>
    <w:rsid w:val="006F6584"/>
    <w:rsid w:val="006F700D"/>
    <w:rsid w:val="00700A49"/>
    <w:rsid w:val="00702656"/>
    <w:rsid w:val="00702DD5"/>
    <w:rsid w:val="00703030"/>
    <w:rsid w:val="0070483D"/>
    <w:rsid w:val="007060A2"/>
    <w:rsid w:val="007061A5"/>
    <w:rsid w:val="00712829"/>
    <w:rsid w:val="007156B3"/>
    <w:rsid w:val="007166C3"/>
    <w:rsid w:val="00717946"/>
    <w:rsid w:val="007258D1"/>
    <w:rsid w:val="007261B4"/>
    <w:rsid w:val="007279CE"/>
    <w:rsid w:val="00731773"/>
    <w:rsid w:val="00732A94"/>
    <w:rsid w:val="00741294"/>
    <w:rsid w:val="00741A66"/>
    <w:rsid w:val="00746E0E"/>
    <w:rsid w:val="00753B67"/>
    <w:rsid w:val="00755E89"/>
    <w:rsid w:val="00756CC2"/>
    <w:rsid w:val="0076006E"/>
    <w:rsid w:val="00762D16"/>
    <w:rsid w:val="0076335E"/>
    <w:rsid w:val="00764247"/>
    <w:rsid w:val="007657D7"/>
    <w:rsid w:val="00765C78"/>
    <w:rsid w:val="0077362E"/>
    <w:rsid w:val="00774120"/>
    <w:rsid w:val="00775CC7"/>
    <w:rsid w:val="007762FB"/>
    <w:rsid w:val="00781BC7"/>
    <w:rsid w:val="00781D2B"/>
    <w:rsid w:val="007835B1"/>
    <w:rsid w:val="00787387"/>
    <w:rsid w:val="007879A5"/>
    <w:rsid w:val="00793748"/>
    <w:rsid w:val="0079666C"/>
    <w:rsid w:val="00796CA3"/>
    <w:rsid w:val="007B15A4"/>
    <w:rsid w:val="007B2925"/>
    <w:rsid w:val="007B51D2"/>
    <w:rsid w:val="007B642C"/>
    <w:rsid w:val="007C36FC"/>
    <w:rsid w:val="007D4E46"/>
    <w:rsid w:val="007D5D1B"/>
    <w:rsid w:val="007D7E64"/>
    <w:rsid w:val="007E3605"/>
    <w:rsid w:val="007E4EA8"/>
    <w:rsid w:val="007E53FA"/>
    <w:rsid w:val="007F028D"/>
    <w:rsid w:val="007F5480"/>
    <w:rsid w:val="008013CD"/>
    <w:rsid w:val="00805612"/>
    <w:rsid w:val="008121F1"/>
    <w:rsid w:val="00812918"/>
    <w:rsid w:val="0081303B"/>
    <w:rsid w:val="00815093"/>
    <w:rsid w:val="0081637B"/>
    <w:rsid w:val="00817B5C"/>
    <w:rsid w:val="0082149E"/>
    <w:rsid w:val="00821C98"/>
    <w:rsid w:val="008245B1"/>
    <w:rsid w:val="0082537F"/>
    <w:rsid w:val="00833A52"/>
    <w:rsid w:val="00837093"/>
    <w:rsid w:val="008372F1"/>
    <w:rsid w:val="00837A46"/>
    <w:rsid w:val="00847ABD"/>
    <w:rsid w:val="00852262"/>
    <w:rsid w:val="008534DF"/>
    <w:rsid w:val="00855FF7"/>
    <w:rsid w:val="008561BD"/>
    <w:rsid w:val="00856464"/>
    <w:rsid w:val="00856594"/>
    <w:rsid w:val="00856ACA"/>
    <w:rsid w:val="0086161B"/>
    <w:rsid w:val="00862252"/>
    <w:rsid w:val="00864B78"/>
    <w:rsid w:val="008666E5"/>
    <w:rsid w:val="00866CAD"/>
    <w:rsid w:val="0087269B"/>
    <w:rsid w:val="00872919"/>
    <w:rsid w:val="0087411E"/>
    <w:rsid w:val="00880D4C"/>
    <w:rsid w:val="00886185"/>
    <w:rsid w:val="0088665D"/>
    <w:rsid w:val="00891175"/>
    <w:rsid w:val="00891787"/>
    <w:rsid w:val="00892AE6"/>
    <w:rsid w:val="00897409"/>
    <w:rsid w:val="008A088B"/>
    <w:rsid w:val="008A13F9"/>
    <w:rsid w:val="008A251F"/>
    <w:rsid w:val="008A29BF"/>
    <w:rsid w:val="008A337E"/>
    <w:rsid w:val="008A64DD"/>
    <w:rsid w:val="008B27B6"/>
    <w:rsid w:val="008B2F9D"/>
    <w:rsid w:val="008B773F"/>
    <w:rsid w:val="008C1F07"/>
    <w:rsid w:val="008C260C"/>
    <w:rsid w:val="008C5C7F"/>
    <w:rsid w:val="008C74D9"/>
    <w:rsid w:val="008D17A4"/>
    <w:rsid w:val="008D2623"/>
    <w:rsid w:val="008D337A"/>
    <w:rsid w:val="008D56FF"/>
    <w:rsid w:val="008D71A3"/>
    <w:rsid w:val="008D71BB"/>
    <w:rsid w:val="008D751D"/>
    <w:rsid w:val="008E0D18"/>
    <w:rsid w:val="008E17D3"/>
    <w:rsid w:val="008E6A35"/>
    <w:rsid w:val="008F0DCD"/>
    <w:rsid w:val="008F4305"/>
    <w:rsid w:val="008F4AF9"/>
    <w:rsid w:val="008F6275"/>
    <w:rsid w:val="008F64B7"/>
    <w:rsid w:val="008F743B"/>
    <w:rsid w:val="00901729"/>
    <w:rsid w:val="00901A68"/>
    <w:rsid w:val="009021AD"/>
    <w:rsid w:val="00905328"/>
    <w:rsid w:val="0090607B"/>
    <w:rsid w:val="00912074"/>
    <w:rsid w:val="00912337"/>
    <w:rsid w:val="00912628"/>
    <w:rsid w:val="00912A41"/>
    <w:rsid w:val="00913133"/>
    <w:rsid w:val="00916A31"/>
    <w:rsid w:val="009203E3"/>
    <w:rsid w:val="00925574"/>
    <w:rsid w:val="00925F99"/>
    <w:rsid w:val="00930567"/>
    <w:rsid w:val="00933FF2"/>
    <w:rsid w:val="009352BE"/>
    <w:rsid w:val="00937C61"/>
    <w:rsid w:val="00944B91"/>
    <w:rsid w:val="00947597"/>
    <w:rsid w:val="009561B1"/>
    <w:rsid w:val="00962E46"/>
    <w:rsid w:val="00966620"/>
    <w:rsid w:val="009666AF"/>
    <w:rsid w:val="00967542"/>
    <w:rsid w:val="00967F17"/>
    <w:rsid w:val="00970E49"/>
    <w:rsid w:val="0097370F"/>
    <w:rsid w:val="00973AFE"/>
    <w:rsid w:val="00975861"/>
    <w:rsid w:val="00981241"/>
    <w:rsid w:val="0098161F"/>
    <w:rsid w:val="00981948"/>
    <w:rsid w:val="009870C1"/>
    <w:rsid w:val="00990759"/>
    <w:rsid w:val="009908F1"/>
    <w:rsid w:val="009909D5"/>
    <w:rsid w:val="00990F29"/>
    <w:rsid w:val="00991693"/>
    <w:rsid w:val="0099450B"/>
    <w:rsid w:val="0099650D"/>
    <w:rsid w:val="00997EA4"/>
    <w:rsid w:val="009A0BC8"/>
    <w:rsid w:val="009A3023"/>
    <w:rsid w:val="009A6893"/>
    <w:rsid w:val="009B56CE"/>
    <w:rsid w:val="009B5DFB"/>
    <w:rsid w:val="009C0A63"/>
    <w:rsid w:val="009C3896"/>
    <w:rsid w:val="009C4A36"/>
    <w:rsid w:val="009C50D9"/>
    <w:rsid w:val="009D0D71"/>
    <w:rsid w:val="009D176C"/>
    <w:rsid w:val="009D5AA8"/>
    <w:rsid w:val="009E3713"/>
    <w:rsid w:val="009E3D5E"/>
    <w:rsid w:val="009E536B"/>
    <w:rsid w:val="009E6810"/>
    <w:rsid w:val="009E725A"/>
    <w:rsid w:val="009F0EBC"/>
    <w:rsid w:val="009F0FDD"/>
    <w:rsid w:val="009F29E8"/>
    <w:rsid w:val="009F3141"/>
    <w:rsid w:val="009F6B1F"/>
    <w:rsid w:val="00A0044A"/>
    <w:rsid w:val="00A01413"/>
    <w:rsid w:val="00A02C05"/>
    <w:rsid w:val="00A03AD1"/>
    <w:rsid w:val="00A05736"/>
    <w:rsid w:val="00A06FF4"/>
    <w:rsid w:val="00A07030"/>
    <w:rsid w:val="00A1158F"/>
    <w:rsid w:val="00A132C2"/>
    <w:rsid w:val="00A138B4"/>
    <w:rsid w:val="00A14255"/>
    <w:rsid w:val="00A1520F"/>
    <w:rsid w:val="00A16369"/>
    <w:rsid w:val="00A16B83"/>
    <w:rsid w:val="00A16CEB"/>
    <w:rsid w:val="00A17D3E"/>
    <w:rsid w:val="00A2110E"/>
    <w:rsid w:val="00A23393"/>
    <w:rsid w:val="00A23A05"/>
    <w:rsid w:val="00A2436E"/>
    <w:rsid w:val="00A2619F"/>
    <w:rsid w:val="00A273DE"/>
    <w:rsid w:val="00A3104E"/>
    <w:rsid w:val="00A321B3"/>
    <w:rsid w:val="00A33141"/>
    <w:rsid w:val="00A34BCC"/>
    <w:rsid w:val="00A3621A"/>
    <w:rsid w:val="00A37566"/>
    <w:rsid w:val="00A37ED1"/>
    <w:rsid w:val="00A37EF4"/>
    <w:rsid w:val="00A41816"/>
    <w:rsid w:val="00A438AF"/>
    <w:rsid w:val="00A45862"/>
    <w:rsid w:val="00A47974"/>
    <w:rsid w:val="00A50972"/>
    <w:rsid w:val="00A51129"/>
    <w:rsid w:val="00A513F4"/>
    <w:rsid w:val="00A54972"/>
    <w:rsid w:val="00A61410"/>
    <w:rsid w:val="00A6198E"/>
    <w:rsid w:val="00A61E2F"/>
    <w:rsid w:val="00A64312"/>
    <w:rsid w:val="00A648DB"/>
    <w:rsid w:val="00A64B2D"/>
    <w:rsid w:val="00A65F18"/>
    <w:rsid w:val="00A705C8"/>
    <w:rsid w:val="00A71287"/>
    <w:rsid w:val="00A7319F"/>
    <w:rsid w:val="00A753D7"/>
    <w:rsid w:val="00A757C3"/>
    <w:rsid w:val="00A75EF2"/>
    <w:rsid w:val="00A76457"/>
    <w:rsid w:val="00A77D10"/>
    <w:rsid w:val="00A77DCE"/>
    <w:rsid w:val="00A84F2C"/>
    <w:rsid w:val="00A85215"/>
    <w:rsid w:val="00A8548F"/>
    <w:rsid w:val="00A85AA9"/>
    <w:rsid w:val="00A864C0"/>
    <w:rsid w:val="00A92D13"/>
    <w:rsid w:val="00A938CB"/>
    <w:rsid w:val="00AA3319"/>
    <w:rsid w:val="00AA5261"/>
    <w:rsid w:val="00AA5EA9"/>
    <w:rsid w:val="00AA653F"/>
    <w:rsid w:val="00AB0AD1"/>
    <w:rsid w:val="00AB0D0F"/>
    <w:rsid w:val="00AB1731"/>
    <w:rsid w:val="00AB1E86"/>
    <w:rsid w:val="00AB1F84"/>
    <w:rsid w:val="00AB2B72"/>
    <w:rsid w:val="00AB4254"/>
    <w:rsid w:val="00AB5B7C"/>
    <w:rsid w:val="00AC1C33"/>
    <w:rsid w:val="00AC64C1"/>
    <w:rsid w:val="00AC7375"/>
    <w:rsid w:val="00AC74CE"/>
    <w:rsid w:val="00AD2007"/>
    <w:rsid w:val="00AD211B"/>
    <w:rsid w:val="00AD2977"/>
    <w:rsid w:val="00AD48AD"/>
    <w:rsid w:val="00AD530A"/>
    <w:rsid w:val="00AD5E48"/>
    <w:rsid w:val="00AD63FA"/>
    <w:rsid w:val="00AE0E56"/>
    <w:rsid w:val="00AE512A"/>
    <w:rsid w:val="00AE667A"/>
    <w:rsid w:val="00AE6C14"/>
    <w:rsid w:val="00AF1131"/>
    <w:rsid w:val="00AF1487"/>
    <w:rsid w:val="00AF1F0F"/>
    <w:rsid w:val="00AF4264"/>
    <w:rsid w:val="00AF649A"/>
    <w:rsid w:val="00AF7DEF"/>
    <w:rsid w:val="00B03252"/>
    <w:rsid w:val="00B077EB"/>
    <w:rsid w:val="00B07941"/>
    <w:rsid w:val="00B079D5"/>
    <w:rsid w:val="00B12B5D"/>
    <w:rsid w:val="00B1740E"/>
    <w:rsid w:val="00B20642"/>
    <w:rsid w:val="00B21B3F"/>
    <w:rsid w:val="00B23A83"/>
    <w:rsid w:val="00B25058"/>
    <w:rsid w:val="00B310EB"/>
    <w:rsid w:val="00B32C74"/>
    <w:rsid w:val="00B3357C"/>
    <w:rsid w:val="00B341E6"/>
    <w:rsid w:val="00B34627"/>
    <w:rsid w:val="00B41367"/>
    <w:rsid w:val="00B43699"/>
    <w:rsid w:val="00B44D71"/>
    <w:rsid w:val="00B46C16"/>
    <w:rsid w:val="00B52A5F"/>
    <w:rsid w:val="00B52ADA"/>
    <w:rsid w:val="00B54B28"/>
    <w:rsid w:val="00B5576B"/>
    <w:rsid w:val="00B571E5"/>
    <w:rsid w:val="00B60F9C"/>
    <w:rsid w:val="00B61367"/>
    <w:rsid w:val="00B61D19"/>
    <w:rsid w:val="00B65346"/>
    <w:rsid w:val="00B66078"/>
    <w:rsid w:val="00B7017B"/>
    <w:rsid w:val="00B72ECF"/>
    <w:rsid w:val="00B75620"/>
    <w:rsid w:val="00B77455"/>
    <w:rsid w:val="00B77A7B"/>
    <w:rsid w:val="00B8082D"/>
    <w:rsid w:val="00B80A5B"/>
    <w:rsid w:val="00B81911"/>
    <w:rsid w:val="00B85BF5"/>
    <w:rsid w:val="00B8746C"/>
    <w:rsid w:val="00B878F4"/>
    <w:rsid w:val="00B9197B"/>
    <w:rsid w:val="00B93236"/>
    <w:rsid w:val="00B944DB"/>
    <w:rsid w:val="00B96A11"/>
    <w:rsid w:val="00B96B2A"/>
    <w:rsid w:val="00B9701C"/>
    <w:rsid w:val="00BA124B"/>
    <w:rsid w:val="00BA1A8F"/>
    <w:rsid w:val="00BA2A3D"/>
    <w:rsid w:val="00BA4787"/>
    <w:rsid w:val="00BA6C8B"/>
    <w:rsid w:val="00BB1A9E"/>
    <w:rsid w:val="00BB301C"/>
    <w:rsid w:val="00BB3B57"/>
    <w:rsid w:val="00BB759A"/>
    <w:rsid w:val="00BB7EE5"/>
    <w:rsid w:val="00BC0CA9"/>
    <w:rsid w:val="00BC139B"/>
    <w:rsid w:val="00BC200A"/>
    <w:rsid w:val="00BC49F4"/>
    <w:rsid w:val="00BC5E1A"/>
    <w:rsid w:val="00BD04C8"/>
    <w:rsid w:val="00BD075D"/>
    <w:rsid w:val="00BD0790"/>
    <w:rsid w:val="00BD3A9D"/>
    <w:rsid w:val="00BD64B0"/>
    <w:rsid w:val="00BD7B30"/>
    <w:rsid w:val="00BE00A1"/>
    <w:rsid w:val="00BE1245"/>
    <w:rsid w:val="00BE14BE"/>
    <w:rsid w:val="00BE2DB5"/>
    <w:rsid w:val="00BE51D8"/>
    <w:rsid w:val="00BF0694"/>
    <w:rsid w:val="00BF232B"/>
    <w:rsid w:val="00BF317B"/>
    <w:rsid w:val="00BF4787"/>
    <w:rsid w:val="00BF49BE"/>
    <w:rsid w:val="00BF74A7"/>
    <w:rsid w:val="00BF7B2D"/>
    <w:rsid w:val="00C00E6A"/>
    <w:rsid w:val="00C05CD9"/>
    <w:rsid w:val="00C05D57"/>
    <w:rsid w:val="00C07414"/>
    <w:rsid w:val="00C13116"/>
    <w:rsid w:val="00C15EDA"/>
    <w:rsid w:val="00C164BB"/>
    <w:rsid w:val="00C21243"/>
    <w:rsid w:val="00C2151B"/>
    <w:rsid w:val="00C21A2D"/>
    <w:rsid w:val="00C22CC9"/>
    <w:rsid w:val="00C23C11"/>
    <w:rsid w:val="00C26A20"/>
    <w:rsid w:val="00C26EAD"/>
    <w:rsid w:val="00C27981"/>
    <w:rsid w:val="00C27B01"/>
    <w:rsid w:val="00C3039E"/>
    <w:rsid w:val="00C3364E"/>
    <w:rsid w:val="00C34870"/>
    <w:rsid w:val="00C417C4"/>
    <w:rsid w:val="00C42BD6"/>
    <w:rsid w:val="00C43244"/>
    <w:rsid w:val="00C43A61"/>
    <w:rsid w:val="00C43B27"/>
    <w:rsid w:val="00C44DCE"/>
    <w:rsid w:val="00C5425D"/>
    <w:rsid w:val="00C6105B"/>
    <w:rsid w:val="00C610FE"/>
    <w:rsid w:val="00C67DA7"/>
    <w:rsid w:val="00C73422"/>
    <w:rsid w:val="00C76335"/>
    <w:rsid w:val="00C76705"/>
    <w:rsid w:val="00C767E1"/>
    <w:rsid w:val="00C82345"/>
    <w:rsid w:val="00C8257F"/>
    <w:rsid w:val="00C85389"/>
    <w:rsid w:val="00C85D9D"/>
    <w:rsid w:val="00C937CE"/>
    <w:rsid w:val="00C938A1"/>
    <w:rsid w:val="00C95AF8"/>
    <w:rsid w:val="00C963A2"/>
    <w:rsid w:val="00CA075B"/>
    <w:rsid w:val="00CA1E36"/>
    <w:rsid w:val="00CA35EE"/>
    <w:rsid w:val="00CA3EFB"/>
    <w:rsid w:val="00CA58D4"/>
    <w:rsid w:val="00CA6BDE"/>
    <w:rsid w:val="00CB038D"/>
    <w:rsid w:val="00CB09A8"/>
    <w:rsid w:val="00CB0B3F"/>
    <w:rsid w:val="00CB0B83"/>
    <w:rsid w:val="00CB5542"/>
    <w:rsid w:val="00CB628F"/>
    <w:rsid w:val="00CB74BF"/>
    <w:rsid w:val="00CC0860"/>
    <w:rsid w:val="00CC725D"/>
    <w:rsid w:val="00CD2C3F"/>
    <w:rsid w:val="00CD3491"/>
    <w:rsid w:val="00CD4CCE"/>
    <w:rsid w:val="00CD5138"/>
    <w:rsid w:val="00CD6A99"/>
    <w:rsid w:val="00CD78E7"/>
    <w:rsid w:val="00CE15AC"/>
    <w:rsid w:val="00CE2712"/>
    <w:rsid w:val="00CF20F2"/>
    <w:rsid w:val="00CF2812"/>
    <w:rsid w:val="00CF33AE"/>
    <w:rsid w:val="00CF3FCE"/>
    <w:rsid w:val="00D000DA"/>
    <w:rsid w:val="00D005B8"/>
    <w:rsid w:val="00D04460"/>
    <w:rsid w:val="00D044ED"/>
    <w:rsid w:val="00D05797"/>
    <w:rsid w:val="00D05B90"/>
    <w:rsid w:val="00D07C18"/>
    <w:rsid w:val="00D10863"/>
    <w:rsid w:val="00D119C5"/>
    <w:rsid w:val="00D12876"/>
    <w:rsid w:val="00D1408B"/>
    <w:rsid w:val="00D21427"/>
    <w:rsid w:val="00D23F5D"/>
    <w:rsid w:val="00D24649"/>
    <w:rsid w:val="00D2560B"/>
    <w:rsid w:val="00D26E6B"/>
    <w:rsid w:val="00D27297"/>
    <w:rsid w:val="00D276CD"/>
    <w:rsid w:val="00D30AD1"/>
    <w:rsid w:val="00D325B4"/>
    <w:rsid w:val="00D33E4B"/>
    <w:rsid w:val="00D350AD"/>
    <w:rsid w:val="00D3628F"/>
    <w:rsid w:val="00D4077B"/>
    <w:rsid w:val="00D44242"/>
    <w:rsid w:val="00D473DA"/>
    <w:rsid w:val="00D52530"/>
    <w:rsid w:val="00D528AD"/>
    <w:rsid w:val="00D559A7"/>
    <w:rsid w:val="00D57A26"/>
    <w:rsid w:val="00D61BCA"/>
    <w:rsid w:val="00D64391"/>
    <w:rsid w:val="00D83F1B"/>
    <w:rsid w:val="00D87D5C"/>
    <w:rsid w:val="00D91C74"/>
    <w:rsid w:val="00D923EC"/>
    <w:rsid w:val="00D92DB0"/>
    <w:rsid w:val="00D9373B"/>
    <w:rsid w:val="00D949AD"/>
    <w:rsid w:val="00D94EB8"/>
    <w:rsid w:val="00DA1BAF"/>
    <w:rsid w:val="00DA4B73"/>
    <w:rsid w:val="00DB2B10"/>
    <w:rsid w:val="00DB47AF"/>
    <w:rsid w:val="00DB6BD3"/>
    <w:rsid w:val="00DB7060"/>
    <w:rsid w:val="00DB7811"/>
    <w:rsid w:val="00DC7F9D"/>
    <w:rsid w:val="00DD1E5B"/>
    <w:rsid w:val="00DD681A"/>
    <w:rsid w:val="00DE275A"/>
    <w:rsid w:val="00DE3273"/>
    <w:rsid w:val="00DE3E5F"/>
    <w:rsid w:val="00DE3EA4"/>
    <w:rsid w:val="00DE4522"/>
    <w:rsid w:val="00DE458B"/>
    <w:rsid w:val="00DE58E9"/>
    <w:rsid w:val="00DF084F"/>
    <w:rsid w:val="00DF2BC6"/>
    <w:rsid w:val="00DF4806"/>
    <w:rsid w:val="00E01650"/>
    <w:rsid w:val="00E03B51"/>
    <w:rsid w:val="00E05C71"/>
    <w:rsid w:val="00E07B2C"/>
    <w:rsid w:val="00E12156"/>
    <w:rsid w:val="00E12259"/>
    <w:rsid w:val="00E123EE"/>
    <w:rsid w:val="00E12DAD"/>
    <w:rsid w:val="00E15A62"/>
    <w:rsid w:val="00E216E3"/>
    <w:rsid w:val="00E22260"/>
    <w:rsid w:val="00E3095F"/>
    <w:rsid w:val="00E32769"/>
    <w:rsid w:val="00E32CA6"/>
    <w:rsid w:val="00E36944"/>
    <w:rsid w:val="00E430F5"/>
    <w:rsid w:val="00E43AB8"/>
    <w:rsid w:val="00E45D51"/>
    <w:rsid w:val="00E465EE"/>
    <w:rsid w:val="00E47E8A"/>
    <w:rsid w:val="00E54B96"/>
    <w:rsid w:val="00E57A92"/>
    <w:rsid w:val="00E57CFD"/>
    <w:rsid w:val="00E60173"/>
    <w:rsid w:val="00E60E83"/>
    <w:rsid w:val="00E63E88"/>
    <w:rsid w:val="00E64168"/>
    <w:rsid w:val="00E66948"/>
    <w:rsid w:val="00E70524"/>
    <w:rsid w:val="00E7267C"/>
    <w:rsid w:val="00E736FC"/>
    <w:rsid w:val="00E73C9D"/>
    <w:rsid w:val="00E746BE"/>
    <w:rsid w:val="00E756CA"/>
    <w:rsid w:val="00E762A7"/>
    <w:rsid w:val="00E76F5B"/>
    <w:rsid w:val="00E771A2"/>
    <w:rsid w:val="00E837BC"/>
    <w:rsid w:val="00E8382F"/>
    <w:rsid w:val="00E83CD7"/>
    <w:rsid w:val="00E905EB"/>
    <w:rsid w:val="00E90AFB"/>
    <w:rsid w:val="00E90F02"/>
    <w:rsid w:val="00E920BE"/>
    <w:rsid w:val="00E93CB1"/>
    <w:rsid w:val="00E96ED9"/>
    <w:rsid w:val="00E9773D"/>
    <w:rsid w:val="00EA3981"/>
    <w:rsid w:val="00EA48DF"/>
    <w:rsid w:val="00EA4C27"/>
    <w:rsid w:val="00EB0CC2"/>
    <w:rsid w:val="00EB1DA4"/>
    <w:rsid w:val="00EB5680"/>
    <w:rsid w:val="00EC06F5"/>
    <w:rsid w:val="00EC0A9C"/>
    <w:rsid w:val="00EC2A2C"/>
    <w:rsid w:val="00EC3F10"/>
    <w:rsid w:val="00ED012A"/>
    <w:rsid w:val="00ED1488"/>
    <w:rsid w:val="00ED3E34"/>
    <w:rsid w:val="00ED5FCF"/>
    <w:rsid w:val="00EE1A7F"/>
    <w:rsid w:val="00EE3FE2"/>
    <w:rsid w:val="00EE490F"/>
    <w:rsid w:val="00EE57EE"/>
    <w:rsid w:val="00EE655A"/>
    <w:rsid w:val="00EE6B72"/>
    <w:rsid w:val="00EF2A4E"/>
    <w:rsid w:val="00EF5566"/>
    <w:rsid w:val="00EF587B"/>
    <w:rsid w:val="00EF6760"/>
    <w:rsid w:val="00EF7E39"/>
    <w:rsid w:val="00F00909"/>
    <w:rsid w:val="00F02050"/>
    <w:rsid w:val="00F02A26"/>
    <w:rsid w:val="00F1148C"/>
    <w:rsid w:val="00F1309A"/>
    <w:rsid w:val="00F13717"/>
    <w:rsid w:val="00F142CD"/>
    <w:rsid w:val="00F1775F"/>
    <w:rsid w:val="00F179A6"/>
    <w:rsid w:val="00F2343F"/>
    <w:rsid w:val="00F31370"/>
    <w:rsid w:val="00F3439A"/>
    <w:rsid w:val="00F351C1"/>
    <w:rsid w:val="00F370D4"/>
    <w:rsid w:val="00F401C2"/>
    <w:rsid w:val="00F42CC5"/>
    <w:rsid w:val="00F43CB2"/>
    <w:rsid w:val="00F463F1"/>
    <w:rsid w:val="00F467E7"/>
    <w:rsid w:val="00F4684C"/>
    <w:rsid w:val="00F5193F"/>
    <w:rsid w:val="00F51F21"/>
    <w:rsid w:val="00F52819"/>
    <w:rsid w:val="00F52C66"/>
    <w:rsid w:val="00F54E58"/>
    <w:rsid w:val="00F572EA"/>
    <w:rsid w:val="00F578BA"/>
    <w:rsid w:val="00F6066E"/>
    <w:rsid w:val="00F61E27"/>
    <w:rsid w:val="00F623F3"/>
    <w:rsid w:val="00F635F6"/>
    <w:rsid w:val="00F66CAF"/>
    <w:rsid w:val="00F67E44"/>
    <w:rsid w:val="00F703C6"/>
    <w:rsid w:val="00F70C92"/>
    <w:rsid w:val="00F72F06"/>
    <w:rsid w:val="00F766B7"/>
    <w:rsid w:val="00F807FB"/>
    <w:rsid w:val="00F825AD"/>
    <w:rsid w:val="00F84218"/>
    <w:rsid w:val="00F8663E"/>
    <w:rsid w:val="00F90298"/>
    <w:rsid w:val="00F9457B"/>
    <w:rsid w:val="00F96409"/>
    <w:rsid w:val="00FA01E3"/>
    <w:rsid w:val="00FA0DFC"/>
    <w:rsid w:val="00FA1109"/>
    <w:rsid w:val="00FA4A26"/>
    <w:rsid w:val="00FA6CAF"/>
    <w:rsid w:val="00FA746C"/>
    <w:rsid w:val="00FB6A96"/>
    <w:rsid w:val="00FC1F56"/>
    <w:rsid w:val="00FC29F0"/>
    <w:rsid w:val="00FC3668"/>
    <w:rsid w:val="00FC3DAA"/>
    <w:rsid w:val="00FC412B"/>
    <w:rsid w:val="00FC4624"/>
    <w:rsid w:val="00FC51A1"/>
    <w:rsid w:val="00FC794B"/>
    <w:rsid w:val="00FD3A0D"/>
    <w:rsid w:val="00FD45AB"/>
    <w:rsid w:val="00FD4602"/>
    <w:rsid w:val="00FD47FC"/>
    <w:rsid w:val="00FD78C9"/>
    <w:rsid w:val="00FD79D9"/>
    <w:rsid w:val="00FE2E96"/>
    <w:rsid w:val="00FF0322"/>
    <w:rsid w:val="00FF06D0"/>
    <w:rsid w:val="00FF09ED"/>
    <w:rsid w:val="00FF2BC2"/>
    <w:rsid w:val="00FF2DCE"/>
    <w:rsid w:val="00FF3177"/>
    <w:rsid w:val="00FF3FE7"/>
    <w:rsid w:val="00FF570B"/>
    <w:rsid w:val="00FF64E2"/>
    <w:rsid w:val="00FF651F"/>
    <w:rsid w:val="00FF75E6"/>
    <w:rsid w:val="12EA61F2"/>
    <w:rsid w:val="3C6418E5"/>
    <w:rsid w:val="45362927"/>
    <w:rsid w:val="46C44FE3"/>
    <w:rsid w:val="473171DF"/>
    <w:rsid w:val="49834DA9"/>
    <w:rsid w:val="53E24E44"/>
    <w:rsid w:val="5A65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SimSun" w:cs="Times New Roman"/>
      <w:sz w:val="22"/>
      <w:szCs w:val="22"/>
      <w:lang w:val="en-US" w:eastAsia="zh-CN" w:bidi="ar-SA"/>
    </w:rPr>
  </w:style>
  <w:style w:type="paragraph" w:styleId="2">
    <w:name w:val="heading 1"/>
    <w:basedOn w:val="1"/>
    <w:link w:val="16"/>
    <w:qFormat/>
    <w:uiPriority w:val="9"/>
    <w:pPr>
      <w:spacing w:before="100" w:beforeAutospacing="1" w:after="100" w:afterAutospacing="1" w:line="240" w:lineRule="auto"/>
      <w:outlineLvl w:val="0"/>
    </w:pPr>
    <w:rPr>
      <w:rFonts w:ascii="Times New Roman" w:hAnsi="Times New Roman" w:eastAsia="Times New Roman"/>
      <w:b/>
      <w:bCs/>
      <w:kern w:val="36"/>
      <w:sz w:val="48"/>
      <w:szCs w:val="48"/>
      <w:lang w:eastAsia="en-US"/>
    </w:rPr>
  </w:style>
  <w:style w:type="paragraph" w:styleId="3">
    <w:name w:val="heading 3"/>
    <w:basedOn w:val="1"/>
    <w:next w:val="1"/>
    <w:link w:val="19"/>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uiPriority w:val="99"/>
    <w:pPr>
      <w:jc w:val="left"/>
    </w:pPr>
  </w:style>
  <w:style w:type="character" w:styleId="7">
    <w:name w:val="Emphasis"/>
    <w:basedOn w:val="4"/>
    <w:qFormat/>
    <w:uiPriority w:val="20"/>
    <w:rPr>
      <w:i/>
      <w:iCs/>
    </w:rPr>
  </w:style>
  <w:style w:type="paragraph" w:styleId="8">
    <w:name w:val="footer"/>
    <w:basedOn w:val="1"/>
    <w:link w:val="34"/>
    <w:unhideWhenUsed/>
    <w:uiPriority w:val="99"/>
    <w:pPr>
      <w:tabs>
        <w:tab w:val="center" w:pos="4680"/>
        <w:tab w:val="right" w:pos="9360"/>
      </w:tabs>
      <w:spacing w:after="0" w:line="240" w:lineRule="auto"/>
    </w:pPr>
  </w:style>
  <w:style w:type="paragraph" w:styleId="9">
    <w:name w:val="header"/>
    <w:basedOn w:val="1"/>
    <w:link w:val="33"/>
    <w:unhideWhenUsed/>
    <w:qFormat/>
    <w:uiPriority w:val="99"/>
    <w:pPr>
      <w:tabs>
        <w:tab w:val="center" w:pos="4680"/>
        <w:tab w:val="right" w:pos="9360"/>
      </w:tabs>
      <w:spacing w:after="0" w:line="240" w:lineRule="auto"/>
    </w:pPr>
  </w:style>
  <w:style w:type="character" w:styleId="10">
    <w:name w:val="Hyperlink"/>
    <w:basedOn w:val="4"/>
    <w:unhideWhenUsed/>
    <w:qFormat/>
    <w:uiPriority w:val="99"/>
    <w:rPr>
      <w:color w:val="0000FF"/>
      <w:u w:val="single"/>
    </w:rPr>
  </w:style>
  <w:style w:type="paragraph" w:styleId="11">
    <w:name w:val="Normal (Web)"/>
    <w:basedOn w:val="1"/>
    <w:semiHidden/>
    <w:unhideWhenUsed/>
    <w:qFormat/>
    <w:uiPriority w:val="99"/>
    <w:rPr>
      <w:rFonts w:ascii="Times New Roman" w:hAnsi="Times New Roman"/>
      <w:sz w:val="24"/>
      <w:szCs w:val="24"/>
    </w:rPr>
  </w:style>
  <w:style w:type="character" w:customStyle="1" w:styleId="12">
    <w:name w:val="ref-journal"/>
    <w:basedOn w:val="4"/>
    <w:qFormat/>
    <w:uiPriority w:val="0"/>
  </w:style>
  <w:style w:type="character" w:customStyle="1" w:styleId="13">
    <w:name w:val="ref-vol"/>
    <w:basedOn w:val="4"/>
    <w:qFormat/>
    <w:uiPriority w:val="0"/>
  </w:style>
  <w:style w:type="character" w:customStyle="1" w:styleId="14">
    <w:name w:val="element-citation"/>
    <w:basedOn w:val="4"/>
    <w:qFormat/>
    <w:uiPriority w:val="0"/>
  </w:style>
  <w:style w:type="character" w:customStyle="1" w:styleId="15">
    <w:name w:val="nowrap"/>
    <w:basedOn w:val="4"/>
    <w:qFormat/>
    <w:uiPriority w:val="0"/>
  </w:style>
  <w:style w:type="character" w:customStyle="1" w:styleId="16">
    <w:name w:val="Heading 1 Char"/>
    <w:basedOn w:val="4"/>
    <w:link w:val="2"/>
    <w:qFormat/>
    <w:uiPriority w:val="9"/>
    <w:rPr>
      <w:rFonts w:ascii="Times New Roman" w:hAnsi="Times New Roman" w:eastAsia="Times New Roman" w:cs="Times New Roman"/>
      <w:b/>
      <w:bCs/>
      <w:kern w:val="36"/>
      <w:sz w:val="48"/>
      <w:szCs w:val="48"/>
    </w:rPr>
  </w:style>
  <w:style w:type="character" w:customStyle="1" w:styleId="17">
    <w:name w:val="html-italic"/>
    <w:basedOn w:val="4"/>
    <w:qFormat/>
    <w:uiPriority w:val="0"/>
  </w:style>
  <w:style w:type="character" w:customStyle="1" w:styleId="18">
    <w:name w:val="Unresolved Mention1"/>
    <w:basedOn w:val="4"/>
    <w:semiHidden/>
    <w:unhideWhenUsed/>
    <w:qFormat/>
    <w:uiPriority w:val="99"/>
    <w:rPr>
      <w:color w:val="605E5C"/>
      <w:shd w:val="clear" w:color="auto" w:fill="E1DFDD"/>
    </w:rPr>
  </w:style>
  <w:style w:type="character" w:customStyle="1" w:styleId="19">
    <w:name w:val="Heading 3 Char"/>
    <w:basedOn w:val="4"/>
    <w:link w:val="3"/>
    <w:semiHidden/>
    <w:qFormat/>
    <w:uiPriority w:val="9"/>
    <w:rPr>
      <w:rFonts w:asciiTheme="majorHAnsi" w:hAnsiTheme="majorHAnsi" w:eastAsiaTheme="majorEastAsia" w:cstheme="majorBidi"/>
      <w:color w:val="203864" w:themeColor="accent1" w:themeShade="80"/>
      <w:sz w:val="24"/>
      <w:szCs w:val="24"/>
      <w:lang w:eastAsia="zh-CN"/>
    </w:rPr>
  </w:style>
  <w:style w:type="paragraph" w:customStyle="1" w:styleId="20">
    <w:name w:val="p"/>
    <w:basedOn w:val="1"/>
    <w:qFormat/>
    <w:uiPriority w:val="0"/>
    <w:pPr>
      <w:spacing w:before="100" w:beforeAutospacing="1" w:after="100" w:afterAutospacing="1" w:line="240" w:lineRule="auto"/>
    </w:pPr>
    <w:rPr>
      <w:rFonts w:ascii="Times New Roman" w:hAnsi="Times New Roman" w:eastAsia="Times New Roman"/>
      <w:sz w:val="24"/>
      <w:szCs w:val="24"/>
      <w:lang w:eastAsia="en-US"/>
    </w:rPr>
  </w:style>
  <w:style w:type="character" w:customStyle="1" w:styleId="21">
    <w:name w:val="A7"/>
    <w:qFormat/>
    <w:uiPriority w:val="99"/>
    <w:rPr>
      <w:rFonts w:cs="Cambria"/>
      <w:color w:val="000000"/>
      <w:sz w:val="18"/>
      <w:szCs w:val="18"/>
    </w:rPr>
  </w:style>
  <w:style w:type="character" w:customStyle="1" w:styleId="22">
    <w:name w:val="A0"/>
    <w:qFormat/>
    <w:uiPriority w:val="99"/>
    <w:rPr>
      <w:rFonts w:cs="Cambria"/>
      <w:color w:val="000000"/>
      <w:sz w:val="20"/>
      <w:szCs w:val="20"/>
    </w:rPr>
  </w:style>
  <w:style w:type="paragraph" w:customStyle="1" w:styleId="23">
    <w:name w:val="Default"/>
    <w:qFormat/>
    <w:uiPriority w:val="0"/>
    <w:pPr>
      <w:autoSpaceDE w:val="0"/>
      <w:autoSpaceDN w:val="0"/>
      <w:adjustRightInd w:val="0"/>
    </w:pPr>
    <w:rPr>
      <w:rFonts w:ascii="Arial" w:hAnsi="Arial" w:cs="Arial" w:eastAsiaTheme="minorHAnsi"/>
      <w:color w:val="000000"/>
      <w:sz w:val="24"/>
      <w:szCs w:val="24"/>
      <w:lang w:val="en-US" w:eastAsia="en-US" w:bidi="ar-SA"/>
    </w:rPr>
  </w:style>
  <w:style w:type="paragraph" w:customStyle="1" w:styleId="24">
    <w:name w:val="Pa9"/>
    <w:basedOn w:val="1"/>
    <w:next w:val="1"/>
    <w:uiPriority w:val="99"/>
    <w:pPr>
      <w:autoSpaceDE w:val="0"/>
      <w:autoSpaceDN w:val="0"/>
      <w:adjustRightInd w:val="0"/>
      <w:spacing w:after="0" w:line="221" w:lineRule="atLeast"/>
    </w:pPr>
    <w:rPr>
      <w:rFonts w:ascii="Cambria" w:hAnsi="Cambria" w:eastAsiaTheme="minorHAnsi" w:cstheme="minorBidi"/>
      <w:sz w:val="24"/>
      <w:szCs w:val="24"/>
      <w:lang w:eastAsia="en-US"/>
    </w:rPr>
  </w:style>
  <w:style w:type="character" w:customStyle="1" w:styleId="25">
    <w:name w:val="A8"/>
    <w:uiPriority w:val="99"/>
    <w:rPr>
      <w:rFonts w:cs="Cambria"/>
      <w:color w:val="000000"/>
      <w:sz w:val="10"/>
      <w:szCs w:val="10"/>
    </w:rPr>
  </w:style>
  <w:style w:type="character" w:customStyle="1" w:styleId="26">
    <w:name w:val="mixed-citation"/>
    <w:basedOn w:val="4"/>
    <w:qFormat/>
    <w:uiPriority w:val="0"/>
  </w:style>
  <w:style w:type="character" w:customStyle="1" w:styleId="27">
    <w:name w:val="ref-title"/>
    <w:basedOn w:val="4"/>
    <w:uiPriority w:val="0"/>
  </w:style>
  <w:style w:type="character" w:customStyle="1" w:styleId="28">
    <w:name w:val="fm-vol-iss-date"/>
    <w:basedOn w:val="4"/>
    <w:qFormat/>
    <w:uiPriority w:val="0"/>
  </w:style>
  <w:style w:type="character" w:customStyle="1" w:styleId="29">
    <w:name w:val="doi"/>
    <w:basedOn w:val="4"/>
    <w:uiPriority w:val="0"/>
  </w:style>
  <w:style w:type="character" w:customStyle="1" w:styleId="30">
    <w:name w:val="fm-citation-ids-label"/>
    <w:basedOn w:val="4"/>
    <w:qFormat/>
    <w:uiPriority w:val="0"/>
  </w:style>
  <w:style w:type="paragraph" w:styleId="31">
    <w:name w:val="List Paragraph"/>
    <w:basedOn w:val="1"/>
    <w:unhideWhenUsed/>
    <w:uiPriority w:val="99"/>
    <w:pPr>
      <w:ind w:left="720"/>
      <w:contextualSpacing/>
    </w:pPr>
  </w:style>
  <w:style w:type="character" w:customStyle="1" w:styleId="32">
    <w:name w:val="Unresolved Mention"/>
    <w:basedOn w:val="4"/>
    <w:semiHidden/>
    <w:unhideWhenUsed/>
    <w:uiPriority w:val="99"/>
    <w:rPr>
      <w:color w:val="605E5C"/>
      <w:shd w:val="clear" w:color="auto" w:fill="E1DFDD"/>
    </w:rPr>
  </w:style>
  <w:style w:type="character" w:customStyle="1" w:styleId="33">
    <w:name w:val="Header Char"/>
    <w:basedOn w:val="4"/>
    <w:link w:val="9"/>
    <w:uiPriority w:val="99"/>
    <w:rPr>
      <w:rFonts w:ascii="Calibri" w:hAnsi="Calibri" w:eastAsia="SimSun" w:cs="Times New Roman"/>
      <w:sz w:val="22"/>
      <w:szCs w:val="22"/>
      <w:lang w:eastAsia="zh-CN"/>
    </w:rPr>
  </w:style>
  <w:style w:type="character" w:customStyle="1" w:styleId="34">
    <w:name w:val="Footer Char"/>
    <w:basedOn w:val="4"/>
    <w:link w:val="8"/>
    <w:qFormat/>
    <w:uiPriority w:val="99"/>
    <w:rPr>
      <w:rFonts w:ascii="Calibri" w:hAnsi="Calibri" w:eastAsia="SimSun" w:cs="Times New Roman"/>
      <w:sz w:val="22"/>
      <w:szCs w:val="22"/>
      <w:lang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5849</Words>
  <Characters>33344</Characters>
  <Lines>277</Lines>
  <Paragraphs>78</Paragraphs>
  <TotalTime>131</TotalTime>
  <ScaleCrop>false</ScaleCrop>
  <LinksUpToDate>false</LinksUpToDate>
  <CharactersWithSpaces>39115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2023-08-10T14:57:00Z</dcterms:created>
  <dc:creator>King-David Aremu</dc:creator>
  <cp:lastModifiedBy>gabriel benjamin</cp:lastModifiedBy>
  <cp:lastPrinted>2024-03-18T13:32:00Z</cp:lastPrinted>
  <dcterms:modified xsi:type="dcterms:W3CDTF">2025-03-24T11:17:14Z</dcterms:modified>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CC71F5DD1D184153A54484A6F85FEA43_13</vt:lpwstr>
  </property>
</Properties>
</file>