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48071" w14:textId="389865E1" w:rsidR="00DA62C4" w:rsidRDefault="00DA62C4" w:rsidP="004B28CD">
      <w:pPr>
        <w:pStyle w:val="NormalWeb"/>
        <w:spacing w:line="360" w:lineRule="auto"/>
        <w:jc w:val="right"/>
        <w:rPr>
          <w:rFonts w:ascii="Arial" w:hAnsi="Arial" w:cs="Arial"/>
          <w:b/>
          <w:bCs/>
          <w:iCs/>
          <w:color w:val="000000" w:themeColor="text1"/>
          <w:sz w:val="28"/>
          <w:szCs w:val="28"/>
          <w:lang w:val="en-US"/>
        </w:rPr>
      </w:pPr>
      <w:bookmarkStart w:id="0" w:name="_Hlk195110947"/>
      <w:bookmarkStart w:id="1" w:name="_Hlk173312186"/>
      <w:bookmarkStart w:id="2" w:name="_Toc137166411"/>
      <w:r w:rsidRPr="00DA62C4">
        <w:rPr>
          <w:rFonts w:ascii="Arial" w:hAnsi="Arial" w:cs="Arial"/>
          <w:b/>
          <w:bCs/>
          <w:i/>
          <w:iCs/>
          <w:color w:val="000000" w:themeColor="text1"/>
          <w:sz w:val="28"/>
          <w:szCs w:val="28"/>
          <w:u w:val="single"/>
          <w:lang w:val="en-US"/>
        </w:rPr>
        <w:t>Original Research Article</w:t>
      </w:r>
    </w:p>
    <w:p w14:paraId="0DF5CFE0" w14:textId="7477EAB8" w:rsidR="00200433" w:rsidRPr="00200433" w:rsidRDefault="00200433" w:rsidP="004B28CD">
      <w:pPr>
        <w:pStyle w:val="NormalWeb"/>
        <w:spacing w:line="360" w:lineRule="auto"/>
        <w:jc w:val="right"/>
        <w:rPr>
          <w:rFonts w:ascii="Arial" w:hAnsi="Arial" w:cs="Arial"/>
          <w:b/>
          <w:iCs/>
          <w:color w:val="000000" w:themeColor="text1"/>
          <w:sz w:val="28"/>
          <w:szCs w:val="28"/>
          <w:lang w:val="en-US"/>
        </w:rPr>
      </w:pPr>
      <w:r w:rsidRPr="00200433">
        <w:rPr>
          <w:rFonts w:ascii="Arial" w:hAnsi="Arial" w:cs="Arial"/>
          <w:b/>
          <w:bCs/>
          <w:iCs/>
          <w:color w:val="000000" w:themeColor="text1"/>
          <w:sz w:val="28"/>
          <w:szCs w:val="28"/>
          <w:lang w:val="en-US"/>
        </w:rPr>
        <w:t xml:space="preserve">Some </w:t>
      </w:r>
      <w:r>
        <w:rPr>
          <w:rFonts w:ascii="Arial" w:hAnsi="Arial" w:cs="Arial"/>
          <w:b/>
          <w:bCs/>
          <w:iCs/>
          <w:color w:val="000000" w:themeColor="text1"/>
          <w:sz w:val="28"/>
          <w:szCs w:val="28"/>
          <w:lang w:val="en-US"/>
        </w:rPr>
        <w:t>n</w:t>
      </w:r>
      <w:r w:rsidRPr="00200433">
        <w:rPr>
          <w:rFonts w:ascii="Arial" w:hAnsi="Arial" w:cs="Arial"/>
          <w:b/>
          <w:bCs/>
          <w:iCs/>
          <w:color w:val="000000" w:themeColor="text1"/>
          <w:sz w:val="28"/>
          <w:szCs w:val="28"/>
          <w:lang w:val="en-US"/>
        </w:rPr>
        <w:t xml:space="preserve">utritional and </w:t>
      </w:r>
      <w:r>
        <w:rPr>
          <w:rFonts w:ascii="Arial" w:hAnsi="Arial" w:cs="Arial"/>
          <w:b/>
          <w:bCs/>
          <w:iCs/>
          <w:color w:val="000000" w:themeColor="text1"/>
          <w:sz w:val="28"/>
          <w:szCs w:val="28"/>
          <w:lang w:val="en-US"/>
        </w:rPr>
        <w:t>b</w:t>
      </w:r>
      <w:r w:rsidRPr="00200433">
        <w:rPr>
          <w:rFonts w:ascii="Arial" w:hAnsi="Arial" w:cs="Arial"/>
          <w:b/>
          <w:bCs/>
          <w:iCs/>
          <w:color w:val="000000" w:themeColor="text1"/>
          <w:sz w:val="28"/>
          <w:szCs w:val="28"/>
          <w:lang w:val="en-US"/>
        </w:rPr>
        <w:t xml:space="preserve">ioactive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haracteristics of </w:t>
      </w:r>
      <w:r>
        <w:rPr>
          <w:rFonts w:ascii="Arial" w:hAnsi="Arial" w:cs="Arial"/>
          <w:b/>
          <w:bCs/>
          <w:iCs/>
          <w:color w:val="000000" w:themeColor="text1"/>
          <w:sz w:val="28"/>
          <w:szCs w:val="28"/>
          <w:lang w:val="en-US"/>
        </w:rPr>
        <w:t>p</w:t>
      </w:r>
      <w:r w:rsidRPr="00200433">
        <w:rPr>
          <w:rFonts w:ascii="Arial" w:hAnsi="Arial" w:cs="Arial"/>
          <w:b/>
          <w:bCs/>
          <w:iCs/>
          <w:color w:val="000000" w:themeColor="text1"/>
          <w:sz w:val="28"/>
          <w:szCs w:val="28"/>
          <w:lang w:val="en-US"/>
        </w:rPr>
        <w:t xml:space="preserve">owders from </w:t>
      </w:r>
      <w:proofErr w:type="spellStart"/>
      <w:r w:rsidRPr="00200433">
        <w:rPr>
          <w:rFonts w:ascii="Arial" w:hAnsi="Arial" w:cs="Arial"/>
          <w:b/>
          <w:bCs/>
          <w:i/>
          <w:iCs/>
          <w:color w:val="000000" w:themeColor="text1"/>
          <w:sz w:val="28"/>
          <w:szCs w:val="28"/>
          <w:lang w:val="en-US"/>
        </w:rPr>
        <w:t>Corchorus</w:t>
      </w:r>
      <w:proofErr w:type="spellEnd"/>
      <w:r w:rsidRPr="00200433">
        <w:rPr>
          <w:rFonts w:ascii="Arial" w:hAnsi="Arial" w:cs="Arial"/>
          <w:b/>
          <w:bCs/>
          <w:i/>
          <w:iCs/>
          <w:color w:val="000000" w:themeColor="text1"/>
          <w:sz w:val="28"/>
          <w:szCs w:val="28"/>
          <w:lang w:val="en-US"/>
        </w:rPr>
        <w:t xml:space="preserve"> </w:t>
      </w:r>
      <w:proofErr w:type="spellStart"/>
      <w:r w:rsidRPr="00200433">
        <w:rPr>
          <w:rFonts w:ascii="Arial" w:hAnsi="Arial" w:cs="Arial"/>
          <w:b/>
          <w:bCs/>
          <w:i/>
          <w:iCs/>
          <w:color w:val="000000" w:themeColor="text1"/>
          <w:sz w:val="28"/>
          <w:szCs w:val="28"/>
          <w:lang w:val="en-US"/>
        </w:rPr>
        <w:t>olitorius</w:t>
      </w:r>
      <w:proofErr w:type="spellEnd"/>
      <w:r w:rsidRPr="00200433">
        <w:rPr>
          <w:rFonts w:ascii="Arial" w:hAnsi="Arial" w:cs="Arial"/>
          <w:b/>
          <w:bCs/>
          <w:iCs/>
          <w:color w:val="000000" w:themeColor="text1"/>
          <w:sz w:val="28"/>
          <w:szCs w:val="28"/>
          <w:lang w:val="en-US"/>
        </w:rPr>
        <w:t xml:space="preserve"> L. and </w:t>
      </w:r>
      <w:proofErr w:type="spellStart"/>
      <w:r w:rsidRPr="00200433">
        <w:rPr>
          <w:rFonts w:ascii="Arial" w:hAnsi="Arial" w:cs="Arial"/>
          <w:b/>
          <w:bCs/>
          <w:i/>
          <w:iCs/>
          <w:color w:val="000000" w:themeColor="text1"/>
          <w:sz w:val="28"/>
          <w:szCs w:val="28"/>
          <w:lang w:val="en-US"/>
        </w:rPr>
        <w:t>Abelmoschus</w:t>
      </w:r>
      <w:proofErr w:type="spellEnd"/>
      <w:r w:rsidRPr="00200433">
        <w:rPr>
          <w:rFonts w:ascii="Arial" w:hAnsi="Arial" w:cs="Arial"/>
          <w:b/>
          <w:bCs/>
          <w:i/>
          <w:iCs/>
          <w:color w:val="000000" w:themeColor="text1"/>
          <w:sz w:val="28"/>
          <w:szCs w:val="28"/>
          <w:lang w:val="en-US"/>
        </w:rPr>
        <w:t xml:space="preserve"> </w:t>
      </w:r>
      <w:proofErr w:type="spellStart"/>
      <w:r w:rsidRPr="00200433">
        <w:rPr>
          <w:rFonts w:ascii="Arial" w:hAnsi="Arial" w:cs="Arial"/>
          <w:b/>
          <w:bCs/>
          <w:i/>
          <w:iCs/>
          <w:color w:val="000000" w:themeColor="text1"/>
          <w:sz w:val="28"/>
          <w:szCs w:val="28"/>
          <w:lang w:val="en-US"/>
        </w:rPr>
        <w:t>esculentus</w:t>
      </w:r>
      <w:proofErr w:type="spellEnd"/>
      <w:r w:rsidRPr="00200433">
        <w:rPr>
          <w:rFonts w:ascii="Arial" w:hAnsi="Arial" w:cs="Arial"/>
          <w:b/>
          <w:bCs/>
          <w:iCs/>
          <w:color w:val="000000" w:themeColor="text1"/>
          <w:sz w:val="28"/>
          <w:szCs w:val="28"/>
          <w:lang w:val="en-US"/>
        </w:rPr>
        <w:t xml:space="preserve"> L. </w:t>
      </w:r>
      <w:proofErr w:type="spellStart"/>
      <w:r w:rsidRPr="00200433">
        <w:rPr>
          <w:rFonts w:ascii="Arial" w:hAnsi="Arial" w:cs="Arial"/>
          <w:b/>
          <w:bCs/>
          <w:iCs/>
          <w:color w:val="000000" w:themeColor="text1"/>
          <w:sz w:val="28"/>
          <w:szCs w:val="28"/>
          <w:lang w:val="en-US"/>
        </w:rPr>
        <w:t>Moench</w:t>
      </w:r>
      <w:proofErr w:type="spellEnd"/>
      <w:r w:rsidRPr="00200433">
        <w:rPr>
          <w:rFonts w:ascii="Arial" w:hAnsi="Arial" w:cs="Arial"/>
          <w:b/>
          <w:bCs/>
          <w:iCs/>
          <w:color w:val="000000" w:themeColor="text1"/>
          <w:sz w:val="28"/>
          <w:szCs w:val="28"/>
          <w:lang w:val="en-US"/>
        </w:rPr>
        <w:t xml:space="preserve"> </w:t>
      </w:r>
      <w:commentRangeStart w:id="3"/>
      <w:r>
        <w:rPr>
          <w:rFonts w:ascii="Arial" w:hAnsi="Arial" w:cs="Arial"/>
          <w:b/>
          <w:bCs/>
          <w:iCs/>
          <w:color w:val="000000" w:themeColor="text1"/>
          <w:sz w:val="28"/>
          <w:szCs w:val="28"/>
          <w:lang w:val="en-US"/>
        </w:rPr>
        <w:t>h</w:t>
      </w:r>
      <w:r w:rsidRPr="00200433">
        <w:rPr>
          <w:rFonts w:ascii="Arial" w:hAnsi="Arial" w:cs="Arial"/>
          <w:b/>
          <w:bCs/>
          <w:iCs/>
          <w:color w:val="000000" w:themeColor="text1"/>
          <w:sz w:val="28"/>
          <w:szCs w:val="28"/>
          <w:lang w:val="en-US"/>
        </w:rPr>
        <w:t xml:space="preserve">ighly </w:t>
      </w:r>
      <w:r>
        <w:rPr>
          <w:rFonts w:ascii="Arial" w:hAnsi="Arial" w:cs="Arial"/>
          <w:b/>
          <w:bCs/>
          <w:iCs/>
          <w:color w:val="000000" w:themeColor="text1"/>
          <w:sz w:val="28"/>
          <w:szCs w:val="28"/>
          <w:lang w:val="en-US"/>
        </w:rPr>
        <w:t>s</w:t>
      </w:r>
      <w:r w:rsidRPr="00200433">
        <w:rPr>
          <w:rFonts w:ascii="Arial" w:hAnsi="Arial" w:cs="Arial"/>
          <w:b/>
          <w:bCs/>
          <w:iCs/>
          <w:color w:val="000000" w:themeColor="text1"/>
          <w:sz w:val="28"/>
          <w:szCs w:val="28"/>
          <w:lang w:val="en-US"/>
        </w:rPr>
        <w:t xml:space="preserve">ought </w:t>
      </w:r>
      <w:commentRangeEnd w:id="3"/>
      <w:r w:rsidR="00885888">
        <w:rPr>
          <w:rStyle w:val="Marquedecommentaire"/>
          <w:rFonts w:asciiTheme="minorHAnsi" w:eastAsiaTheme="minorHAnsi" w:hAnsiTheme="minorHAnsi" w:cstheme="minorBidi"/>
          <w:lang w:eastAsia="en-US"/>
        </w:rPr>
        <w:commentReference w:id="3"/>
      </w:r>
      <w:r w:rsidRPr="00200433">
        <w:rPr>
          <w:rFonts w:ascii="Arial" w:hAnsi="Arial" w:cs="Arial"/>
          <w:b/>
          <w:bCs/>
          <w:iCs/>
          <w:color w:val="000000" w:themeColor="text1"/>
          <w:sz w:val="28"/>
          <w:szCs w:val="28"/>
          <w:lang w:val="en-US"/>
        </w:rPr>
        <w:t xml:space="preserve">for </w:t>
      </w:r>
      <w:r>
        <w:rPr>
          <w:rFonts w:ascii="Arial" w:hAnsi="Arial" w:cs="Arial"/>
          <w:b/>
          <w:bCs/>
          <w:iCs/>
          <w:color w:val="000000" w:themeColor="text1"/>
          <w:sz w:val="28"/>
          <w:szCs w:val="28"/>
          <w:lang w:val="en-US"/>
        </w:rPr>
        <w:t>c</w:t>
      </w:r>
      <w:r w:rsidRPr="00200433">
        <w:rPr>
          <w:rFonts w:ascii="Arial" w:hAnsi="Arial" w:cs="Arial"/>
          <w:b/>
          <w:bCs/>
          <w:iCs/>
          <w:color w:val="000000" w:themeColor="text1"/>
          <w:sz w:val="28"/>
          <w:szCs w:val="28"/>
          <w:lang w:val="en-US"/>
        </w:rPr>
        <w:t xml:space="preserve">hronic </w:t>
      </w:r>
      <w:r>
        <w:rPr>
          <w:rFonts w:ascii="Arial" w:hAnsi="Arial" w:cs="Arial"/>
          <w:b/>
          <w:bCs/>
          <w:iCs/>
          <w:color w:val="000000" w:themeColor="text1"/>
          <w:sz w:val="28"/>
          <w:szCs w:val="28"/>
          <w:lang w:val="en-US"/>
        </w:rPr>
        <w:t>d</w:t>
      </w:r>
      <w:r w:rsidRPr="00200433">
        <w:rPr>
          <w:rFonts w:ascii="Arial" w:hAnsi="Arial" w:cs="Arial"/>
          <w:b/>
          <w:bCs/>
          <w:iCs/>
          <w:color w:val="000000" w:themeColor="text1"/>
          <w:sz w:val="28"/>
          <w:szCs w:val="28"/>
          <w:lang w:val="en-US"/>
        </w:rPr>
        <w:t xml:space="preserve">isease </w:t>
      </w:r>
      <w:r>
        <w:rPr>
          <w:rFonts w:ascii="Arial" w:hAnsi="Arial" w:cs="Arial"/>
          <w:b/>
          <w:bCs/>
          <w:iCs/>
          <w:color w:val="000000" w:themeColor="text1"/>
          <w:sz w:val="28"/>
          <w:szCs w:val="28"/>
          <w:lang w:val="en-US"/>
        </w:rPr>
        <w:t>m</w:t>
      </w:r>
      <w:r w:rsidRPr="00200433">
        <w:rPr>
          <w:rFonts w:ascii="Arial" w:hAnsi="Arial" w:cs="Arial"/>
          <w:b/>
          <w:bCs/>
          <w:iCs/>
          <w:color w:val="000000" w:themeColor="text1"/>
          <w:sz w:val="28"/>
          <w:szCs w:val="28"/>
          <w:lang w:val="en-US"/>
        </w:rPr>
        <w:t>anagement</w:t>
      </w:r>
    </w:p>
    <w:bookmarkEnd w:id="0"/>
    <w:bookmarkEnd w:id="1"/>
    <w:p w14:paraId="71AAD97B"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36C4A036" w14:textId="77777777" w:rsidR="00F83D5D" w:rsidRDefault="00F83D5D" w:rsidP="00006337">
      <w:pPr>
        <w:tabs>
          <w:tab w:val="left" w:pos="2910"/>
        </w:tabs>
        <w:spacing w:line="276" w:lineRule="auto"/>
        <w:jc w:val="both"/>
        <w:rPr>
          <w:rFonts w:ascii="Arial" w:hAnsi="Arial" w:cs="Arial"/>
          <w:b/>
          <w:color w:val="000000" w:themeColor="text1"/>
          <w:lang w:val="en-US"/>
        </w:rPr>
      </w:pPr>
    </w:p>
    <w:p w14:paraId="1CC53B8C" w14:textId="133C8C73" w:rsidR="005B7291" w:rsidRPr="00E91D2D" w:rsidRDefault="005B7291" w:rsidP="00E91D2D">
      <w:pPr>
        <w:tabs>
          <w:tab w:val="left" w:pos="3374"/>
        </w:tabs>
        <w:spacing w:before="240" w:line="276" w:lineRule="auto"/>
        <w:jc w:val="both"/>
        <w:rPr>
          <w:rFonts w:ascii="Arial" w:hAnsi="Arial" w:cs="Arial"/>
          <w:b/>
          <w:color w:val="000000" w:themeColor="text1"/>
          <w:lang w:val="en-US"/>
        </w:rPr>
      </w:pPr>
      <w:r w:rsidRPr="005B7291">
        <w:rPr>
          <w:rFonts w:ascii="Arial" w:hAnsi="Arial" w:cs="Arial"/>
          <w:b/>
          <w:color w:val="000000" w:themeColor="text1"/>
          <w:lang w:val="en-US"/>
        </w:rPr>
        <w:t>ABSTRACT</w:t>
      </w:r>
    </w:p>
    <w:p w14:paraId="02A6B6C1" w14:textId="6C6DEFBC" w:rsidR="005B7291" w:rsidRPr="005B7291" w:rsidRDefault="00E91D2D" w:rsidP="004B28CD">
      <w:pPr>
        <w:tabs>
          <w:tab w:val="left" w:pos="3374"/>
        </w:tabs>
        <w:spacing w:line="276" w:lineRule="auto"/>
        <w:jc w:val="both"/>
        <w:rPr>
          <w:rFonts w:ascii="Times New Roman" w:hAnsi="Times New Roman" w:cs="Times New Roman"/>
          <w:color w:val="000000" w:themeColor="text1"/>
          <w:sz w:val="16"/>
          <w:szCs w:val="16"/>
          <w:lang w:val="en-US"/>
        </w:rPr>
      </w:pPr>
      <w:r w:rsidRPr="005B7291">
        <w:rPr>
          <w:rFonts w:ascii="Arial" w:hAnsi="Arial" w:cs="Arial"/>
          <w:b/>
          <w:noProof/>
          <w:color w:val="000000" w:themeColor="text1"/>
          <w:lang w:val="en-US"/>
        </w:rPr>
        <mc:AlternateContent>
          <mc:Choice Requires="wps">
            <w:drawing>
              <wp:anchor distT="0" distB="0" distL="114300" distR="114300" simplePos="0" relativeHeight="251659264" behindDoc="0" locked="0" layoutInCell="1" allowOverlap="1" wp14:anchorId="5B634B3A" wp14:editId="459B56A2">
                <wp:simplePos x="0" y="0"/>
                <wp:positionH relativeFrom="margin">
                  <wp:posOffset>-13970</wp:posOffset>
                </wp:positionH>
                <wp:positionV relativeFrom="paragraph">
                  <wp:posOffset>22225</wp:posOffset>
                </wp:positionV>
                <wp:extent cx="5667375" cy="4410075"/>
                <wp:effectExtent l="0" t="0" r="28575" b="28575"/>
                <wp:wrapNone/>
                <wp:docPr id="901979056" name="Rectangle 1"/>
                <wp:cNvGraphicFramePr/>
                <a:graphic xmlns:a="http://schemas.openxmlformats.org/drawingml/2006/main">
                  <a:graphicData uri="http://schemas.microsoft.com/office/word/2010/wordprocessingShape">
                    <wps:wsp>
                      <wps:cNvSpPr/>
                      <wps:spPr>
                        <a:xfrm>
                          <a:off x="0" y="0"/>
                          <a:ext cx="5667375" cy="4410075"/>
                        </a:xfrm>
                        <a:prstGeom prst="rect">
                          <a:avLst/>
                        </a:prstGeom>
                        <a:solidFill>
                          <a:schemeClr val="bg2"/>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66865F" w14:textId="4CABDB36" w:rsidR="00885888" w:rsidRDefault="00885888"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To determine </w:t>
                            </w:r>
                            <w:r w:rsidRPr="00440A1F">
                              <w:rPr>
                                <w:rFonts w:ascii="Arial" w:hAnsi="Arial" w:cs="Arial"/>
                                <w:color w:val="000000" w:themeColor="text1"/>
                                <w:sz w:val="20"/>
                                <w:szCs w:val="20"/>
                                <w:lang w:val="en-US"/>
                              </w:rPr>
                              <w:t xml:space="preserve">the powders from the leaves and fruits of </w:t>
                            </w:r>
                            <w:proofErr w:type="spellStart"/>
                            <w:r w:rsidRPr="00440A1F">
                              <w:rPr>
                                <w:rStyle w:val="lev"/>
                                <w:rFonts w:ascii="Arial" w:hAnsi="Arial" w:cs="Arial"/>
                                <w:b w:val="0"/>
                                <w:bCs w:val="0"/>
                                <w:i/>
                                <w:iCs/>
                                <w:color w:val="000000" w:themeColor="text1"/>
                                <w:sz w:val="20"/>
                                <w:szCs w:val="20"/>
                                <w:lang w:val="en-US"/>
                              </w:rPr>
                              <w:t>Corchorus</w:t>
                            </w:r>
                            <w:proofErr w:type="spellEnd"/>
                            <w:r w:rsidRPr="00440A1F">
                              <w:rPr>
                                <w:rStyle w:val="lev"/>
                                <w:rFonts w:ascii="Arial" w:hAnsi="Arial" w:cs="Arial"/>
                                <w:b w:val="0"/>
                                <w:bCs w:val="0"/>
                                <w:i/>
                                <w:iCs/>
                                <w:color w:val="000000" w:themeColor="text1"/>
                                <w:sz w:val="20"/>
                                <w:szCs w:val="20"/>
                                <w:lang w:val="en-US"/>
                              </w:rPr>
                              <w:t xml:space="preserve"> </w:t>
                            </w:r>
                            <w:proofErr w:type="spellStart"/>
                            <w:r w:rsidRPr="00440A1F">
                              <w:rPr>
                                <w:rStyle w:val="lev"/>
                                <w:rFonts w:ascii="Arial" w:hAnsi="Arial" w:cs="Arial"/>
                                <w:b w:val="0"/>
                                <w:bCs w:val="0"/>
                                <w:i/>
                                <w:iCs/>
                                <w:color w:val="000000" w:themeColor="text1"/>
                                <w:sz w:val="20"/>
                                <w:szCs w:val="20"/>
                                <w:lang w:val="en-US"/>
                              </w:rPr>
                              <w:t>olitorius</w:t>
                            </w:r>
                            <w:proofErr w:type="spellEnd"/>
                            <w:r w:rsidRPr="00440A1F">
                              <w:rPr>
                                <w:rFonts w:ascii="Arial" w:hAnsi="Arial" w:cs="Arial"/>
                                <w:b/>
                                <w:bCs/>
                                <w:i/>
                                <w:iCs/>
                                <w:color w:val="000000" w:themeColor="text1"/>
                                <w:sz w:val="20"/>
                                <w:szCs w:val="20"/>
                                <w:lang w:val="en-US"/>
                              </w:rPr>
                              <w:t xml:space="preserve"> </w:t>
                            </w:r>
                            <w:r w:rsidRPr="00440A1F">
                              <w:rPr>
                                <w:rFonts w:ascii="Arial" w:hAnsi="Arial" w:cs="Arial"/>
                                <w:color w:val="000000" w:themeColor="text1"/>
                                <w:sz w:val="20"/>
                                <w:szCs w:val="20"/>
                                <w:lang w:val="en-US"/>
                              </w:rPr>
                              <w:t>and</w:t>
                            </w:r>
                            <w:r w:rsidRPr="00440A1F">
                              <w:rPr>
                                <w:rFonts w:ascii="Arial" w:hAnsi="Arial" w:cs="Arial"/>
                                <w:b/>
                                <w:bCs/>
                                <w:color w:val="000000" w:themeColor="text1"/>
                                <w:sz w:val="20"/>
                                <w:szCs w:val="20"/>
                                <w:lang w:val="en-US"/>
                              </w:rPr>
                              <w:t xml:space="preserve"> </w:t>
                            </w:r>
                            <w:proofErr w:type="spellStart"/>
                            <w:r w:rsidRPr="00440A1F">
                              <w:rPr>
                                <w:rStyle w:val="lev"/>
                                <w:rFonts w:ascii="Arial" w:hAnsi="Arial" w:cs="Arial"/>
                                <w:b w:val="0"/>
                                <w:bCs w:val="0"/>
                                <w:i/>
                                <w:iCs/>
                                <w:color w:val="000000" w:themeColor="text1"/>
                                <w:sz w:val="20"/>
                                <w:szCs w:val="20"/>
                                <w:lang w:val="en-US"/>
                              </w:rPr>
                              <w:t>Abelmoschus</w:t>
                            </w:r>
                            <w:proofErr w:type="spellEnd"/>
                            <w:r w:rsidRPr="00440A1F">
                              <w:rPr>
                                <w:rStyle w:val="lev"/>
                                <w:rFonts w:ascii="Arial" w:hAnsi="Arial" w:cs="Arial"/>
                                <w:b w:val="0"/>
                                <w:bCs w:val="0"/>
                                <w:i/>
                                <w:iCs/>
                                <w:color w:val="000000" w:themeColor="text1"/>
                                <w:sz w:val="20"/>
                                <w:szCs w:val="20"/>
                                <w:lang w:val="en-US"/>
                              </w:rPr>
                              <w:t xml:space="preserve"> </w:t>
                            </w:r>
                            <w:proofErr w:type="spellStart"/>
                            <w:r w:rsidRPr="00440A1F">
                              <w:rPr>
                                <w:rStyle w:val="lev"/>
                                <w:rFonts w:ascii="Arial" w:hAnsi="Arial" w:cs="Arial"/>
                                <w:b w:val="0"/>
                                <w:bCs w:val="0"/>
                                <w:i/>
                                <w:iCs/>
                                <w:color w:val="000000" w:themeColor="text1"/>
                                <w:sz w:val="20"/>
                                <w:szCs w:val="20"/>
                                <w:lang w:val="en-US"/>
                              </w:rPr>
                              <w:t>esculentus</w:t>
                            </w:r>
                            <w:proofErr w:type="spellEnd"/>
                            <w:r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885888" w:rsidRPr="001550B4" w:rsidRDefault="00885888"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design: </w:t>
                            </w:r>
                            <w:r w:rsidRPr="001550B4">
                              <w:rPr>
                                <w:rFonts w:ascii="Arial" w:hAnsi="Arial" w:cs="Arial"/>
                                <w:color w:val="000000" w:themeColor="text1"/>
                                <w:sz w:val="20"/>
                                <w:szCs w:val="20"/>
                                <w:lang w:val="en-US"/>
                              </w:rPr>
                              <w:t>Samples are collected from the f</w:t>
                            </w:r>
                            <w:r>
                              <w:rPr>
                                <w:rFonts w:ascii="Arial" w:hAnsi="Arial" w:cs="Arial"/>
                                <w:color w:val="000000" w:themeColor="text1"/>
                                <w:sz w:val="20"/>
                                <w:szCs w:val="20"/>
                                <w:lang w:val="en-US"/>
                              </w:rPr>
                              <w:t>arms</w:t>
                            </w:r>
                            <w:r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885888" w:rsidRPr="005211BC" w:rsidRDefault="00885888"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Pr="005B7291">
                              <w:rPr>
                                <w:rFonts w:ascii="Arial" w:eastAsia="Calibri" w:hAnsi="Arial" w:cs="Arial"/>
                                <w:color w:val="000000" w:themeColor="text1"/>
                                <w:sz w:val="20"/>
                                <w:szCs w:val="20"/>
                                <w:lang w:val="en-GB"/>
                              </w:rPr>
                              <w:t>Department of Home Economics, Advanced Teacher’s Training College for Technical Education</w:t>
                            </w:r>
                            <w:r>
                              <w:rPr>
                                <w:rFonts w:ascii="Arial" w:eastAsia="Calibri" w:hAnsi="Arial" w:cs="Arial"/>
                                <w:color w:val="000000" w:themeColor="text1"/>
                                <w:sz w:val="20"/>
                                <w:szCs w:val="20"/>
                                <w:lang w:val="en-GB"/>
                              </w:rPr>
                              <w:t>, between April 2024 and November 2024.</w:t>
                            </w:r>
                          </w:p>
                          <w:p w14:paraId="5E88D17C" w14:textId="6BF18FE6" w:rsidR="00885888" w:rsidRDefault="00885888"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Fresh leaves and fruits of these plants</w:t>
                            </w:r>
                            <w:r>
                              <w:rPr>
                                <w:rFonts w:ascii="Arial" w:hAnsi="Arial" w:cs="Arial"/>
                                <w:color w:val="000000" w:themeColor="text1"/>
                                <w:sz w:val="20"/>
                                <w:szCs w:val="20"/>
                                <w:lang w:val="en-US"/>
                              </w:rPr>
                              <w:t xml:space="preserve"> (</w:t>
                            </w:r>
                            <w:r w:rsidRPr="005B7291">
                              <w:rPr>
                                <w:rFonts w:ascii="Arial" w:hAnsi="Arial" w:cs="Arial"/>
                                <w:i/>
                                <w:iCs/>
                                <w:color w:val="000000" w:themeColor="text1"/>
                                <w:sz w:val="20"/>
                                <w:szCs w:val="20"/>
                                <w:lang w:val="en-US"/>
                              </w:rPr>
                              <w:t>C</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olitorius</w:t>
                            </w:r>
                            <w:proofErr w:type="spellEnd"/>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and </w:t>
                            </w:r>
                            <w:r w:rsidRPr="005B7291">
                              <w:rPr>
                                <w:rFonts w:ascii="Arial" w:hAnsi="Arial" w:cs="Arial"/>
                                <w:i/>
                                <w:iCs/>
                                <w:color w:val="000000" w:themeColor="text1"/>
                                <w:sz w:val="20"/>
                                <w:szCs w:val="20"/>
                                <w:lang w:val="en-US"/>
                              </w:rPr>
                              <w:t>A</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esculentus</w:t>
                            </w:r>
                            <w:proofErr w:type="spellEnd"/>
                            <w:r>
                              <w:rPr>
                                <w:rFonts w:ascii="Arial" w:hAnsi="Arial" w:cs="Arial"/>
                                <w:i/>
                                <w:iCs/>
                                <w:color w:val="000000" w:themeColor="text1"/>
                                <w:sz w:val="20"/>
                                <w:szCs w:val="20"/>
                                <w:lang w:val="en-US"/>
                              </w:rPr>
                              <w:t>)</w:t>
                            </w:r>
                            <w:r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were analyzed. </w:t>
                            </w:r>
                          </w:p>
                          <w:p w14:paraId="43C4523F" w14:textId="6C500133" w:rsidR="00885888" w:rsidRDefault="00885888"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Four</w:t>
                            </w:r>
                            <w:r w:rsidRPr="005B7291">
                              <w:rPr>
                                <w:rFonts w:ascii="Arial" w:hAnsi="Arial" w:cs="Arial"/>
                                <w:color w:val="000000" w:themeColor="text1"/>
                                <w:sz w:val="20"/>
                                <w:szCs w:val="20"/>
                                <w:lang w:val="en-US"/>
                              </w:rPr>
                              <w:t xml:space="preserve"> main powder</w:t>
                            </w:r>
                            <w:r>
                              <w:rPr>
                                <w:rFonts w:ascii="Arial" w:hAnsi="Arial" w:cs="Arial"/>
                                <w:color w:val="000000" w:themeColor="text1"/>
                                <w:sz w:val="20"/>
                                <w:szCs w:val="20"/>
                                <w:lang w:val="en-US"/>
                              </w:rPr>
                              <w:t>s</w:t>
                            </w:r>
                            <w:r w:rsidRPr="005B7291">
                              <w:rPr>
                                <w:rFonts w:ascii="Arial" w:hAnsi="Arial" w:cs="Arial"/>
                                <w:color w:val="000000" w:themeColor="text1"/>
                                <w:sz w:val="20"/>
                                <w:szCs w:val="20"/>
                                <w:lang w:val="en-US"/>
                              </w:rPr>
                              <w:t xml:space="preserve"> emerged, each suitable for specific applications. Powders from</w:t>
                            </w:r>
                            <w:r>
                              <w:rPr>
                                <w:rFonts w:ascii="Arial" w:hAnsi="Arial" w:cs="Arial"/>
                                <w:color w:val="000000" w:themeColor="text1"/>
                                <w:sz w:val="20"/>
                                <w:szCs w:val="20"/>
                                <w:lang w:val="en-US"/>
                              </w:rPr>
                              <w:t xml:space="preserve"> </w:t>
                            </w:r>
                            <w:r w:rsidRPr="005B7291">
                              <w:rPr>
                                <w:rFonts w:ascii="Arial" w:hAnsi="Arial" w:cs="Arial"/>
                                <w:i/>
                                <w:iCs/>
                                <w:color w:val="000000" w:themeColor="text1"/>
                                <w:sz w:val="20"/>
                                <w:szCs w:val="20"/>
                                <w:lang w:val="en-US"/>
                              </w:rPr>
                              <w:t>C</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olitorius</w:t>
                            </w:r>
                            <w:proofErr w:type="spellEnd"/>
                            <w:r w:rsidRPr="005B7291">
                              <w:rPr>
                                <w:rFonts w:ascii="Arial" w:hAnsi="Arial" w:cs="Arial"/>
                                <w:color w:val="000000" w:themeColor="text1"/>
                                <w:sz w:val="20"/>
                                <w:szCs w:val="20"/>
                                <w:lang w:val="en-US"/>
                              </w:rPr>
                              <w:t xml:space="preserve"> leaves and </w:t>
                            </w:r>
                            <w:r w:rsidRPr="005B7291">
                              <w:rPr>
                                <w:rFonts w:ascii="Arial" w:hAnsi="Arial" w:cs="Arial"/>
                                <w:i/>
                                <w:iCs/>
                                <w:color w:val="000000" w:themeColor="text1"/>
                                <w:sz w:val="20"/>
                                <w:szCs w:val="20"/>
                                <w:lang w:val="en-US"/>
                              </w:rPr>
                              <w:t>A</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esculentus</w:t>
                            </w:r>
                            <w:proofErr w:type="spellEnd"/>
                            <w:r w:rsidRPr="005B7291">
                              <w:rPr>
                                <w:rFonts w:ascii="Arial" w:hAnsi="Arial" w:cs="Arial"/>
                                <w:color w:val="000000" w:themeColor="text1"/>
                                <w:sz w:val="20"/>
                                <w:szCs w:val="20"/>
                                <w:lang w:val="en-US"/>
                              </w:rPr>
                              <w:t xml:space="preserve"> fruit exhibited high antioxidant activity (close to the standard, vitamin C). Only </w:t>
                            </w:r>
                            <w:r w:rsidRPr="005B7291">
                              <w:rPr>
                                <w:rFonts w:ascii="Arial" w:hAnsi="Arial" w:cs="Arial"/>
                                <w:i/>
                                <w:iCs/>
                                <w:color w:val="000000" w:themeColor="text1"/>
                                <w:sz w:val="20"/>
                                <w:szCs w:val="20"/>
                                <w:lang w:val="en-US"/>
                              </w:rPr>
                              <w:t>A</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esculentus</w:t>
                            </w:r>
                            <w:proofErr w:type="spellEnd"/>
                            <w:r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Pr="005B7291">
                              <w:rPr>
                                <w:rFonts w:ascii="Arial" w:hAnsi="Arial" w:cs="Arial"/>
                                <w:color w:val="000000" w:themeColor="text1"/>
                                <w:sz w:val="20"/>
                                <w:szCs w:val="20"/>
                                <w:lang w:val="en-US"/>
                              </w:rPr>
                              <w:t xml:space="preserve">and reduced </w:t>
                            </w:r>
                            <w:r>
                              <w:rPr>
                                <w:rFonts w:ascii="Arial" w:hAnsi="Arial" w:cs="Arial"/>
                                <w:color w:val="000000" w:themeColor="text1"/>
                                <w:sz w:val="20"/>
                                <w:szCs w:val="20"/>
                                <w:lang w:val="en-US"/>
                              </w:rPr>
                              <w:t>energy density</w:t>
                            </w:r>
                            <w:r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QE/g DM), </w:t>
                            </w:r>
                          </w:p>
                          <w:p w14:paraId="3AF7B486" w14:textId="54447C9F" w:rsidR="00885888" w:rsidRPr="00E91D2D" w:rsidRDefault="00885888"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Only the powder from </w:t>
                            </w:r>
                            <w:r w:rsidRPr="005250A4">
                              <w:rPr>
                                <w:rFonts w:ascii="Arial" w:hAnsi="Arial" w:cs="Arial"/>
                                <w:i/>
                                <w:iCs/>
                                <w:color w:val="000000" w:themeColor="text1"/>
                                <w:sz w:val="20"/>
                                <w:szCs w:val="20"/>
                                <w:lang w:val="en-US"/>
                              </w:rPr>
                              <w:t xml:space="preserve">A. </w:t>
                            </w:r>
                            <w:proofErr w:type="spellStart"/>
                            <w:r w:rsidRPr="005250A4">
                              <w:rPr>
                                <w:rFonts w:ascii="Arial" w:hAnsi="Arial" w:cs="Arial"/>
                                <w:i/>
                                <w:iCs/>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fruits exhibited </w:t>
                            </w:r>
                            <w:r w:rsidRPr="005B7291">
                              <w:rPr>
                                <w:rFonts w:ascii="Arial" w:hAnsi="Arial" w:cs="Arial"/>
                                <w:color w:val="000000" w:themeColor="text1"/>
                                <w:sz w:val="20"/>
                                <w:szCs w:val="20"/>
                                <w:lang w:val="en-US"/>
                              </w:rPr>
                              <w:t>high antioxidant activity</w:t>
                            </w:r>
                            <w:r>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34B3A" id="Rectangle 1" o:spid="_x0000_s1026" style="position:absolute;left:0;text-align:left;margin-left:-1.1pt;margin-top:1.75pt;width:446.25pt;height:3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" fillcolor="#e7e6e6 [3214]" strokecolor="black [3213]" strokeweight=".25pt">
                <v:textbox>
                  <w:txbxContent>
                    <w:p w14:paraId="4366865F" w14:textId="4CABDB36" w:rsidR="00885888" w:rsidRDefault="00885888" w:rsidP="001313B4">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Aims:</w:t>
                      </w:r>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To determine </w:t>
                      </w:r>
                      <w:r w:rsidRPr="00440A1F">
                        <w:rPr>
                          <w:rFonts w:ascii="Arial" w:hAnsi="Arial" w:cs="Arial"/>
                          <w:color w:val="000000" w:themeColor="text1"/>
                          <w:sz w:val="20"/>
                          <w:szCs w:val="20"/>
                          <w:lang w:val="en-US"/>
                        </w:rPr>
                        <w:t xml:space="preserve">the powders from the leaves and fruits of </w:t>
                      </w:r>
                      <w:proofErr w:type="spellStart"/>
                      <w:r w:rsidRPr="00440A1F">
                        <w:rPr>
                          <w:rStyle w:val="lev"/>
                          <w:rFonts w:ascii="Arial" w:hAnsi="Arial" w:cs="Arial"/>
                          <w:b w:val="0"/>
                          <w:bCs w:val="0"/>
                          <w:i/>
                          <w:iCs/>
                          <w:color w:val="000000" w:themeColor="text1"/>
                          <w:sz w:val="20"/>
                          <w:szCs w:val="20"/>
                          <w:lang w:val="en-US"/>
                        </w:rPr>
                        <w:t>Corchorus</w:t>
                      </w:r>
                      <w:proofErr w:type="spellEnd"/>
                      <w:r w:rsidRPr="00440A1F">
                        <w:rPr>
                          <w:rStyle w:val="lev"/>
                          <w:rFonts w:ascii="Arial" w:hAnsi="Arial" w:cs="Arial"/>
                          <w:b w:val="0"/>
                          <w:bCs w:val="0"/>
                          <w:i/>
                          <w:iCs/>
                          <w:color w:val="000000" w:themeColor="text1"/>
                          <w:sz w:val="20"/>
                          <w:szCs w:val="20"/>
                          <w:lang w:val="en-US"/>
                        </w:rPr>
                        <w:t xml:space="preserve"> </w:t>
                      </w:r>
                      <w:proofErr w:type="spellStart"/>
                      <w:r w:rsidRPr="00440A1F">
                        <w:rPr>
                          <w:rStyle w:val="lev"/>
                          <w:rFonts w:ascii="Arial" w:hAnsi="Arial" w:cs="Arial"/>
                          <w:b w:val="0"/>
                          <w:bCs w:val="0"/>
                          <w:i/>
                          <w:iCs/>
                          <w:color w:val="000000" w:themeColor="text1"/>
                          <w:sz w:val="20"/>
                          <w:szCs w:val="20"/>
                          <w:lang w:val="en-US"/>
                        </w:rPr>
                        <w:t>olitorius</w:t>
                      </w:r>
                      <w:proofErr w:type="spellEnd"/>
                      <w:r w:rsidRPr="00440A1F">
                        <w:rPr>
                          <w:rFonts w:ascii="Arial" w:hAnsi="Arial" w:cs="Arial"/>
                          <w:b/>
                          <w:bCs/>
                          <w:i/>
                          <w:iCs/>
                          <w:color w:val="000000" w:themeColor="text1"/>
                          <w:sz w:val="20"/>
                          <w:szCs w:val="20"/>
                          <w:lang w:val="en-US"/>
                        </w:rPr>
                        <w:t xml:space="preserve"> </w:t>
                      </w:r>
                      <w:r w:rsidRPr="00440A1F">
                        <w:rPr>
                          <w:rFonts w:ascii="Arial" w:hAnsi="Arial" w:cs="Arial"/>
                          <w:color w:val="000000" w:themeColor="text1"/>
                          <w:sz w:val="20"/>
                          <w:szCs w:val="20"/>
                          <w:lang w:val="en-US"/>
                        </w:rPr>
                        <w:t>and</w:t>
                      </w:r>
                      <w:r w:rsidRPr="00440A1F">
                        <w:rPr>
                          <w:rFonts w:ascii="Arial" w:hAnsi="Arial" w:cs="Arial"/>
                          <w:b/>
                          <w:bCs/>
                          <w:color w:val="000000" w:themeColor="text1"/>
                          <w:sz w:val="20"/>
                          <w:szCs w:val="20"/>
                          <w:lang w:val="en-US"/>
                        </w:rPr>
                        <w:t xml:space="preserve"> </w:t>
                      </w:r>
                      <w:proofErr w:type="spellStart"/>
                      <w:r w:rsidRPr="00440A1F">
                        <w:rPr>
                          <w:rStyle w:val="lev"/>
                          <w:rFonts w:ascii="Arial" w:hAnsi="Arial" w:cs="Arial"/>
                          <w:b w:val="0"/>
                          <w:bCs w:val="0"/>
                          <w:i/>
                          <w:iCs/>
                          <w:color w:val="000000" w:themeColor="text1"/>
                          <w:sz w:val="20"/>
                          <w:szCs w:val="20"/>
                          <w:lang w:val="en-US"/>
                        </w:rPr>
                        <w:t>Abelmoschus</w:t>
                      </w:r>
                      <w:proofErr w:type="spellEnd"/>
                      <w:r w:rsidRPr="00440A1F">
                        <w:rPr>
                          <w:rStyle w:val="lev"/>
                          <w:rFonts w:ascii="Arial" w:hAnsi="Arial" w:cs="Arial"/>
                          <w:b w:val="0"/>
                          <w:bCs w:val="0"/>
                          <w:i/>
                          <w:iCs/>
                          <w:color w:val="000000" w:themeColor="text1"/>
                          <w:sz w:val="20"/>
                          <w:szCs w:val="20"/>
                          <w:lang w:val="en-US"/>
                        </w:rPr>
                        <w:t xml:space="preserve"> </w:t>
                      </w:r>
                      <w:proofErr w:type="spellStart"/>
                      <w:r w:rsidRPr="00440A1F">
                        <w:rPr>
                          <w:rStyle w:val="lev"/>
                          <w:rFonts w:ascii="Arial" w:hAnsi="Arial" w:cs="Arial"/>
                          <w:b w:val="0"/>
                          <w:bCs w:val="0"/>
                          <w:i/>
                          <w:iCs/>
                          <w:color w:val="000000" w:themeColor="text1"/>
                          <w:sz w:val="20"/>
                          <w:szCs w:val="20"/>
                          <w:lang w:val="en-US"/>
                        </w:rPr>
                        <w:t>esculentus</w:t>
                      </w:r>
                      <w:proofErr w:type="spellEnd"/>
                      <w:r w:rsidRPr="00440A1F">
                        <w:rPr>
                          <w:rFonts w:ascii="Arial" w:hAnsi="Arial" w:cs="Arial"/>
                          <w:color w:val="000000" w:themeColor="text1"/>
                          <w:sz w:val="20"/>
                          <w:szCs w:val="20"/>
                          <w:lang w:val="en-US"/>
                        </w:rPr>
                        <w:t>, which simultaneously exhibit high antioxidant activity, high nutrient density, and reduced energy density</w:t>
                      </w:r>
                    </w:p>
                    <w:p w14:paraId="6ABB1D50" w14:textId="2F9318E1" w:rsidR="00885888" w:rsidRPr="001550B4" w:rsidRDefault="00885888" w:rsidP="001313B4">
                      <w:pPr>
                        <w:shd w:val="clear" w:color="auto" w:fill="E7E6E6" w:themeFill="background2"/>
                        <w:spacing w:line="276" w:lineRule="auto"/>
                        <w:jc w:val="both"/>
                        <w:rPr>
                          <w:rFonts w:ascii="Arial" w:hAnsi="Arial" w:cs="Arial"/>
                          <w:color w:val="000000" w:themeColor="text1"/>
                          <w:sz w:val="20"/>
                          <w:szCs w:val="20"/>
                          <w:lang w:val="en-US"/>
                        </w:rPr>
                      </w:pPr>
                      <w:r w:rsidRPr="001550B4">
                        <w:rPr>
                          <w:rFonts w:ascii="Arial" w:hAnsi="Arial" w:cs="Arial"/>
                          <w:b/>
                          <w:bCs/>
                          <w:color w:val="000000" w:themeColor="text1"/>
                          <w:sz w:val="20"/>
                          <w:szCs w:val="20"/>
                          <w:lang w:val="en-US"/>
                        </w:rPr>
                        <w:t xml:space="preserve">Study design: </w:t>
                      </w:r>
                      <w:r w:rsidRPr="001550B4">
                        <w:rPr>
                          <w:rFonts w:ascii="Arial" w:hAnsi="Arial" w:cs="Arial"/>
                          <w:color w:val="000000" w:themeColor="text1"/>
                          <w:sz w:val="20"/>
                          <w:szCs w:val="20"/>
                          <w:lang w:val="en-US"/>
                        </w:rPr>
                        <w:t>Samples are collected from the f</w:t>
                      </w:r>
                      <w:r>
                        <w:rPr>
                          <w:rFonts w:ascii="Arial" w:hAnsi="Arial" w:cs="Arial"/>
                          <w:color w:val="000000" w:themeColor="text1"/>
                          <w:sz w:val="20"/>
                          <w:szCs w:val="20"/>
                          <w:lang w:val="en-US"/>
                        </w:rPr>
                        <w:t>arms</w:t>
                      </w:r>
                      <w:r w:rsidRPr="001550B4">
                        <w:rPr>
                          <w:rFonts w:ascii="Arial" w:hAnsi="Arial" w:cs="Arial"/>
                          <w:color w:val="000000" w:themeColor="text1"/>
                          <w:sz w:val="20"/>
                          <w:szCs w:val="20"/>
                          <w:lang w:val="en-US"/>
                        </w:rPr>
                        <w:t xml:space="preserve"> and then processed into powders prior to analysis. The obtained results are analyzed, interpreted, and discussed in accordance with the study's objectives.</w:t>
                      </w:r>
                    </w:p>
                    <w:p w14:paraId="7F360271" w14:textId="5D43706D" w:rsidR="00885888" w:rsidRPr="005211BC" w:rsidRDefault="00885888" w:rsidP="001313B4">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 xml:space="preserve">Place and duration of study: </w:t>
                      </w:r>
                      <w:r w:rsidRPr="005B7291">
                        <w:rPr>
                          <w:rFonts w:ascii="Arial" w:eastAsia="Calibri" w:hAnsi="Arial" w:cs="Arial"/>
                          <w:color w:val="000000" w:themeColor="text1"/>
                          <w:sz w:val="20"/>
                          <w:szCs w:val="20"/>
                          <w:lang w:val="en-GB"/>
                        </w:rPr>
                        <w:t>Department of Home Economics, Advanced Teacher’s Training College for Technical Education</w:t>
                      </w:r>
                      <w:r>
                        <w:rPr>
                          <w:rFonts w:ascii="Arial" w:eastAsia="Calibri" w:hAnsi="Arial" w:cs="Arial"/>
                          <w:color w:val="000000" w:themeColor="text1"/>
                          <w:sz w:val="20"/>
                          <w:szCs w:val="20"/>
                          <w:lang w:val="en-GB"/>
                        </w:rPr>
                        <w:t>, between April 2024 and November 2024.</w:t>
                      </w:r>
                    </w:p>
                    <w:p w14:paraId="5E88D17C" w14:textId="6BF18FE6" w:rsidR="00885888" w:rsidRDefault="00885888" w:rsidP="00440A1F">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Methodology:</w:t>
                      </w:r>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Fresh leaves and fruits of these plants</w:t>
                      </w:r>
                      <w:r>
                        <w:rPr>
                          <w:rFonts w:ascii="Arial" w:hAnsi="Arial" w:cs="Arial"/>
                          <w:color w:val="000000" w:themeColor="text1"/>
                          <w:sz w:val="20"/>
                          <w:szCs w:val="20"/>
                          <w:lang w:val="en-US"/>
                        </w:rPr>
                        <w:t xml:space="preserve"> (</w:t>
                      </w:r>
                      <w:r w:rsidRPr="005B7291">
                        <w:rPr>
                          <w:rFonts w:ascii="Arial" w:hAnsi="Arial" w:cs="Arial"/>
                          <w:i/>
                          <w:iCs/>
                          <w:color w:val="000000" w:themeColor="text1"/>
                          <w:sz w:val="20"/>
                          <w:szCs w:val="20"/>
                          <w:lang w:val="en-US"/>
                        </w:rPr>
                        <w:t>C</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olitorius</w:t>
                      </w:r>
                      <w:proofErr w:type="spellEnd"/>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and </w:t>
                      </w:r>
                      <w:r w:rsidRPr="005B7291">
                        <w:rPr>
                          <w:rFonts w:ascii="Arial" w:hAnsi="Arial" w:cs="Arial"/>
                          <w:i/>
                          <w:iCs/>
                          <w:color w:val="000000" w:themeColor="text1"/>
                          <w:sz w:val="20"/>
                          <w:szCs w:val="20"/>
                          <w:lang w:val="en-US"/>
                        </w:rPr>
                        <w:t>A</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esculentus</w:t>
                      </w:r>
                      <w:proofErr w:type="spellEnd"/>
                      <w:r>
                        <w:rPr>
                          <w:rFonts w:ascii="Arial" w:hAnsi="Arial" w:cs="Arial"/>
                          <w:i/>
                          <w:iCs/>
                          <w:color w:val="000000" w:themeColor="text1"/>
                          <w:sz w:val="20"/>
                          <w:szCs w:val="20"/>
                          <w:lang w:val="en-US"/>
                        </w:rPr>
                        <w:t>)</w:t>
                      </w:r>
                      <w:r w:rsidRPr="005B7291">
                        <w:rPr>
                          <w:rFonts w:ascii="Arial" w:hAnsi="Arial" w:cs="Arial"/>
                          <w:color w:val="000000" w:themeColor="text1"/>
                          <w:sz w:val="20"/>
                          <w:szCs w:val="20"/>
                          <w:lang w:val="en-US"/>
                        </w:rPr>
                        <w:t xml:space="preserve"> were harvested and processed into powders. The macronutrient content, mineral composition, bioactive compounds, antioxidant activity</w:t>
                      </w:r>
                      <w:r>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were analyzed. </w:t>
                      </w:r>
                    </w:p>
                    <w:p w14:paraId="43C4523F" w14:textId="6C500133" w:rsidR="00885888" w:rsidRDefault="00885888" w:rsidP="00006337">
                      <w:pPr>
                        <w:shd w:val="clear" w:color="auto" w:fill="E7E6E6" w:themeFill="background2"/>
                        <w:spacing w:line="276" w:lineRule="auto"/>
                        <w:jc w:val="both"/>
                        <w:rPr>
                          <w:rFonts w:ascii="Arial" w:hAnsi="Arial" w:cs="Arial"/>
                          <w:color w:val="000000" w:themeColor="text1"/>
                          <w:sz w:val="20"/>
                          <w:szCs w:val="20"/>
                          <w:lang w:val="en-US"/>
                        </w:rPr>
                      </w:pPr>
                      <w:r w:rsidRPr="00446612">
                        <w:rPr>
                          <w:rFonts w:ascii="Arial" w:hAnsi="Arial" w:cs="Arial"/>
                          <w:b/>
                          <w:bCs/>
                          <w:color w:val="000000" w:themeColor="text1"/>
                          <w:sz w:val="20"/>
                          <w:szCs w:val="20"/>
                          <w:lang w:val="en-US"/>
                        </w:rPr>
                        <w:t>Results:</w:t>
                      </w:r>
                      <w:r>
                        <w:rPr>
                          <w:rFonts w:ascii="Arial" w:hAnsi="Arial" w:cs="Arial"/>
                          <w:color w:val="000000" w:themeColor="text1"/>
                          <w:sz w:val="20"/>
                          <w:szCs w:val="20"/>
                          <w:lang w:val="en-US"/>
                        </w:rPr>
                        <w:t xml:space="preserve"> Four</w:t>
                      </w:r>
                      <w:r w:rsidRPr="005B7291">
                        <w:rPr>
                          <w:rFonts w:ascii="Arial" w:hAnsi="Arial" w:cs="Arial"/>
                          <w:color w:val="000000" w:themeColor="text1"/>
                          <w:sz w:val="20"/>
                          <w:szCs w:val="20"/>
                          <w:lang w:val="en-US"/>
                        </w:rPr>
                        <w:t xml:space="preserve"> main powder</w:t>
                      </w:r>
                      <w:r>
                        <w:rPr>
                          <w:rFonts w:ascii="Arial" w:hAnsi="Arial" w:cs="Arial"/>
                          <w:color w:val="000000" w:themeColor="text1"/>
                          <w:sz w:val="20"/>
                          <w:szCs w:val="20"/>
                          <w:lang w:val="en-US"/>
                        </w:rPr>
                        <w:t>s</w:t>
                      </w:r>
                      <w:r w:rsidRPr="005B7291">
                        <w:rPr>
                          <w:rFonts w:ascii="Arial" w:hAnsi="Arial" w:cs="Arial"/>
                          <w:color w:val="000000" w:themeColor="text1"/>
                          <w:sz w:val="20"/>
                          <w:szCs w:val="20"/>
                          <w:lang w:val="en-US"/>
                        </w:rPr>
                        <w:t xml:space="preserve"> emerged, each suitable for specific applications. Powders from</w:t>
                      </w:r>
                      <w:r>
                        <w:rPr>
                          <w:rFonts w:ascii="Arial" w:hAnsi="Arial" w:cs="Arial"/>
                          <w:color w:val="000000" w:themeColor="text1"/>
                          <w:sz w:val="20"/>
                          <w:szCs w:val="20"/>
                          <w:lang w:val="en-US"/>
                        </w:rPr>
                        <w:t xml:space="preserve"> </w:t>
                      </w:r>
                      <w:r w:rsidRPr="005B7291">
                        <w:rPr>
                          <w:rFonts w:ascii="Arial" w:hAnsi="Arial" w:cs="Arial"/>
                          <w:i/>
                          <w:iCs/>
                          <w:color w:val="000000" w:themeColor="text1"/>
                          <w:sz w:val="20"/>
                          <w:szCs w:val="20"/>
                          <w:lang w:val="en-US"/>
                        </w:rPr>
                        <w:t>C</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olitorius</w:t>
                      </w:r>
                      <w:proofErr w:type="spellEnd"/>
                      <w:r w:rsidRPr="005B7291">
                        <w:rPr>
                          <w:rFonts w:ascii="Arial" w:hAnsi="Arial" w:cs="Arial"/>
                          <w:color w:val="000000" w:themeColor="text1"/>
                          <w:sz w:val="20"/>
                          <w:szCs w:val="20"/>
                          <w:lang w:val="en-US"/>
                        </w:rPr>
                        <w:t xml:space="preserve"> leaves and </w:t>
                      </w:r>
                      <w:r w:rsidRPr="005B7291">
                        <w:rPr>
                          <w:rFonts w:ascii="Arial" w:hAnsi="Arial" w:cs="Arial"/>
                          <w:i/>
                          <w:iCs/>
                          <w:color w:val="000000" w:themeColor="text1"/>
                          <w:sz w:val="20"/>
                          <w:szCs w:val="20"/>
                          <w:lang w:val="en-US"/>
                        </w:rPr>
                        <w:t>A</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esculentus</w:t>
                      </w:r>
                      <w:proofErr w:type="spellEnd"/>
                      <w:r w:rsidRPr="005B7291">
                        <w:rPr>
                          <w:rFonts w:ascii="Arial" w:hAnsi="Arial" w:cs="Arial"/>
                          <w:color w:val="000000" w:themeColor="text1"/>
                          <w:sz w:val="20"/>
                          <w:szCs w:val="20"/>
                          <w:lang w:val="en-US"/>
                        </w:rPr>
                        <w:t xml:space="preserve"> fruit exhibited high antioxidant activity (close to the standard, vitamin C). Only </w:t>
                      </w:r>
                      <w:r w:rsidRPr="005B7291">
                        <w:rPr>
                          <w:rFonts w:ascii="Arial" w:hAnsi="Arial" w:cs="Arial"/>
                          <w:i/>
                          <w:iCs/>
                          <w:color w:val="000000" w:themeColor="text1"/>
                          <w:sz w:val="20"/>
                          <w:szCs w:val="20"/>
                          <w:lang w:val="en-US"/>
                        </w:rPr>
                        <w:t>A</w:t>
                      </w:r>
                      <w:r>
                        <w:rPr>
                          <w:rFonts w:ascii="Arial" w:hAnsi="Arial" w:cs="Arial"/>
                          <w:i/>
                          <w:iCs/>
                          <w:color w:val="000000" w:themeColor="text1"/>
                          <w:sz w:val="20"/>
                          <w:szCs w:val="20"/>
                          <w:lang w:val="en-US"/>
                        </w:rPr>
                        <w:t>.</w:t>
                      </w:r>
                      <w:r w:rsidRPr="005B7291">
                        <w:rPr>
                          <w:rFonts w:ascii="Arial" w:hAnsi="Arial" w:cs="Arial"/>
                          <w:i/>
                          <w:iCs/>
                          <w:color w:val="000000" w:themeColor="text1"/>
                          <w:sz w:val="20"/>
                          <w:szCs w:val="20"/>
                          <w:lang w:val="en-US"/>
                        </w:rPr>
                        <w:t xml:space="preserve"> </w:t>
                      </w:r>
                      <w:proofErr w:type="spellStart"/>
                      <w:r w:rsidRPr="005B7291">
                        <w:rPr>
                          <w:rFonts w:ascii="Arial" w:hAnsi="Arial" w:cs="Arial"/>
                          <w:i/>
                          <w:iCs/>
                          <w:color w:val="000000" w:themeColor="text1"/>
                          <w:sz w:val="20"/>
                          <w:szCs w:val="20"/>
                          <w:lang w:val="en-US"/>
                        </w:rPr>
                        <w:t>esculentus</w:t>
                      </w:r>
                      <w:proofErr w:type="spellEnd"/>
                      <w:r w:rsidRPr="005B7291">
                        <w:rPr>
                          <w:rFonts w:ascii="Arial" w:hAnsi="Arial" w:cs="Arial"/>
                          <w:color w:val="000000" w:themeColor="text1"/>
                          <w:sz w:val="20"/>
                          <w:szCs w:val="20"/>
                          <w:lang w:val="en-US"/>
                        </w:rPr>
                        <w:t xml:space="preserve"> fruit powders showed high </w:t>
                      </w:r>
                      <w:r>
                        <w:rPr>
                          <w:rFonts w:ascii="Arial" w:hAnsi="Arial" w:cs="Arial"/>
                          <w:color w:val="000000" w:themeColor="text1"/>
                          <w:sz w:val="20"/>
                          <w:szCs w:val="20"/>
                          <w:lang w:val="en-US"/>
                        </w:rPr>
                        <w:t xml:space="preserve">nutrient density </w:t>
                      </w:r>
                      <w:r w:rsidRPr="005B7291">
                        <w:rPr>
                          <w:rFonts w:ascii="Arial" w:hAnsi="Arial" w:cs="Arial"/>
                          <w:color w:val="000000" w:themeColor="text1"/>
                          <w:sz w:val="20"/>
                          <w:szCs w:val="20"/>
                          <w:lang w:val="en-US"/>
                        </w:rPr>
                        <w:t xml:space="preserve">and reduced </w:t>
                      </w:r>
                      <w:r>
                        <w:rPr>
                          <w:rFonts w:ascii="Arial" w:hAnsi="Arial" w:cs="Arial"/>
                          <w:color w:val="000000" w:themeColor="text1"/>
                          <w:sz w:val="20"/>
                          <w:szCs w:val="20"/>
                          <w:lang w:val="en-US"/>
                        </w:rPr>
                        <w:t>energy density</w:t>
                      </w:r>
                      <w:r w:rsidRPr="005B7291">
                        <w:rPr>
                          <w:rFonts w:ascii="Arial" w:hAnsi="Arial" w:cs="Arial"/>
                          <w:color w:val="000000" w:themeColor="text1"/>
                          <w:sz w:val="20"/>
                          <w:szCs w:val="20"/>
                          <w:lang w:val="en-US"/>
                        </w:rPr>
                        <w:t xml:space="preserve"> (average). It is characterized by high contents of iron (1.29 ± 0.01 mg/100g DM), zinc (2.70 ± 0.02 mg/100g DM), magnesium (257.58 ± 2.34 mg/100g DM), potassium (2684.62 ± 2.43 mg/100g DM), sodium (153.63 ± 2.78 mg/100g DM), and total flavonoids (15.03 ± 0.97 mg QE/g DM), </w:t>
                      </w:r>
                    </w:p>
                    <w:p w14:paraId="3AF7B486" w14:textId="54447C9F" w:rsidR="00885888" w:rsidRPr="00E91D2D" w:rsidRDefault="00885888" w:rsidP="00E91D2D">
                      <w:pPr>
                        <w:shd w:val="clear" w:color="auto" w:fill="E7E6E6" w:themeFill="background2"/>
                        <w:spacing w:line="276" w:lineRule="auto"/>
                        <w:jc w:val="both"/>
                        <w:rPr>
                          <w:rFonts w:ascii="Arial" w:hAnsi="Arial" w:cs="Arial"/>
                          <w:color w:val="000000" w:themeColor="text1"/>
                          <w:sz w:val="20"/>
                          <w:szCs w:val="20"/>
                          <w:lang w:val="en-US"/>
                        </w:rPr>
                      </w:pPr>
                      <w:r w:rsidRPr="002D7EF6">
                        <w:rPr>
                          <w:rFonts w:ascii="Arial" w:hAnsi="Arial" w:cs="Arial"/>
                          <w:b/>
                          <w:bCs/>
                          <w:color w:val="000000" w:themeColor="text1"/>
                          <w:sz w:val="20"/>
                          <w:szCs w:val="20"/>
                          <w:lang w:val="en-US"/>
                        </w:rPr>
                        <w:t>Conclusion:</w:t>
                      </w:r>
                      <w:r>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Only the powder from </w:t>
                      </w:r>
                      <w:r w:rsidRPr="005250A4">
                        <w:rPr>
                          <w:rFonts w:ascii="Arial" w:hAnsi="Arial" w:cs="Arial"/>
                          <w:i/>
                          <w:iCs/>
                          <w:color w:val="000000" w:themeColor="text1"/>
                          <w:sz w:val="20"/>
                          <w:szCs w:val="20"/>
                          <w:lang w:val="en-US"/>
                        </w:rPr>
                        <w:t xml:space="preserve">A. </w:t>
                      </w:r>
                      <w:proofErr w:type="spellStart"/>
                      <w:r w:rsidRPr="005250A4">
                        <w:rPr>
                          <w:rFonts w:ascii="Arial" w:hAnsi="Arial" w:cs="Arial"/>
                          <w:i/>
                          <w:iCs/>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fruits exhibited </w:t>
                      </w:r>
                      <w:r w:rsidRPr="005B7291">
                        <w:rPr>
                          <w:rFonts w:ascii="Arial" w:hAnsi="Arial" w:cs="Arial"/>
                          <w:color w:val="000000" w:themeColor="text1"/>
                          <w:sz w:val="20"/>
                          <w:szCs w:val="20"/>
                          <w:lang w:val="en-US"/>
                        </w:rPr>
                        <w:t>high antioxidant activity</w:t>
                      </w:r>
                      <w:r>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high nutrient density and reduced energy density (average). It is more advisable than other powders for meeting the needs of patients with chronic diseases specifically overweight and obesity. </w:t>
                      </w:r>
                    </w:p>
                  </w:txbxContent>
                </v:textbox>
                <w10:wrap anchorx="margin"/>
              </v:rect>
            </w:pict>
          </mc:Fallback>
        </mc:AlternateContent>
      </w:r>
    </w:p>
    <w:p w14:paraId="13937EA6" w14:textId="77777777" w:rsidR="00331859" w:rsidRPr="00175578" w:rsidRDefault="00331859" w:rsidP="00331859">
      <w:pPr>
        <w:rPr>
          <w:rFonts w:ascii="Times New Roman" w:hAnsi="Times New Roman" w:cs="Times New Roman"/>
          <w:b/>
          <w:color w:val="000000" w:themeColor="text1"/>
          <w:sz w:val="26"/>
          <w:szCs w:val="26"/>
          <w:lang w:val="en-US"/>
        </w:rPr>
      </w:pPr>
    </w:p>
    <w:p w14:paraId="1C6E74AF" w14:textId="77777777" w:rsidR="00331859" w:rsidRPr="00175578" w:rsidRDefault="00331859" w:rsidP="00331859">
      <w:pPr>
        <w:rPr>
          <w:rFonts w:ascii="Times New Roman" w:hAnsi="Times New Roman" w:cs="Times New Roman"/>
          <w:b/>
          <w:color w:val="000000" w:themeColor="text1"/>
          <w:sz w:val="26"/>
          <w:szCs w:val="26"/>
          <w:lang w:val="en-US"/>
        </w:rPr>
      </w:pPr>
    </w:p>
    <w:p w14:paraId="547F1C67" w14:textId="77777777" w:rsidR="00331859" w:rsidRPr="00175578" w:rsidRDefault="00331859" w:rsidP="00331859">
      <w:pPr>
        <w:rPr>
          <w:color w:val="000000" w:themeColor="text1"/>
          <w:lang w:val="en-US"/>
        </w:rPr>
      </w:pPr>
    </w:p>
    <w:p w14:paraId="2B716DCE" w14:textId="77777777" w:rsidR="00331859" w:rsidRPr="00175578" w:rsidRDefault="00331859" w:rsidP="00C80BBD">
      <w:pPr>
        <w:tabs>
          <w:tab w:val="left" w:pos="3450"/>
        </w:tabs>
        <w:rPr>
          <w:rFonts w:ascii="Times New Roman" w:hAnsi="Times New Roman" w:cs="Times New Roman"/>
          <w:b/>
          <w:color w:val="000000" w:themeColor="text1"/>
          <w:sz w:val="26"/>
          <w:szCs w:val="26"/>
          <w:lang w:val="en-US"/>
        </w:rPr>
        <w:sectPr w:rsidR="00331859" w:rsidRPr="00175578" w:rsidSect="00E95FD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cols w:space="708"/>
          <w:docGrid w:linePitch="360"/>
        </w:sectPr>
      </w:pPr>
    </w:p>
    <w:p w14:paraId="5119B4C5" w14:textId="1CAB79F3" w:rsidR="00C80BBD" w:rsidRPr="005B7291" w:rsidRDefault="00006CC6" w:rsidP="00292DA0">
      <w:pPr>
        <w:tabs>
          <w:tab w:val="left" w:pos="3450"/>
        </w:tabs>
        <w:spacing w:before="240" w:line="360" w:lineRule="auto"/>
        <w:jc w:val="both"/>
        <w:rPr>
          <w:rFonts w:ascii="Arial" w:hAnsi="Arial" w:cs="Arial"/>
          <w:b/>
          <w:color w:val="000000" w:themeColor="text1"/>
          <w:sz w:val="20"/>
          <w:szCs w:val="20"/>
          <w:lang w:val="en-US"/>
        </w:rPr>
      </w:pPr>
      <w:r w:rsidRPr="005B7291">
        <w:rPr>
          <w:rFonts w:ascii="Arial" w:eastAsia="Times New Roman" w:hAnsi="Arial" w:cs="Arial"/>
          <w:b/>
          <w:color w:val="000000" w:themeColor="text1"/>
          <w:sz w:val="20"/>
          <w:szCs w:val="20"/>
          <w:lang w:val="en-US" w:eastAsia="fr-FR"/>
        </w:rPr>
        <w:lastRenderedPageBreak/>
        <w:t>Keywords:</w:t>
      </w:r>
      <w:r w:rsidR="00C80BBD" w:rsidRPr="005B7291">
        <w:rPr>
          <w:rFonts w:ascii="Arial" w:eastAsia="Times New Roman" w:hAnsi="Arial" w:cs="Arial"/>
          <w:b/>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 xml:space="preserve">Plant organ powders; </w:t>
      </w:r>
      <w:r w:rsidR="00B80A90" w:rsidRPr="005B7291">
        <w:rPr>
          <w:rFonts w:ascii="Arial" w:eastAsia="Times New Roman" w:hAnsi="Arial" w:cs="Arial"/>
          <w:color w:val="000000" w:themeColor="text1"/>
          <w:sz w:val="20"/>
          <w:szCs w:val="20"/>
          <w:lang w:val="en-US" w:eastAsia="fr-FR"/>
        </w:rPr>
        <w:t xml:space="preserve">Antioxidant </w:t>
      </w:r>
      <w:r w:rsidR="00861540" w:rsidRPr="005B7291">
        <w:rPr>
          <w:rFonts w:ascii="Arial" w:eastAsia="Times New Roman" w:hAnsi="Arial" w:cs="Arial"/>
          <w:color w:val="000000" w:themeColor="text1"/>
          <w:sz w:val="20"/>
          <w:szCs w:val="20"/>
          <w:lang w:val="en-US" w:eastAsia="fr-FR"/>
        </w:rPr>
        <w:t>activity</w:t>
      </w:r>
      <w:r w:rsidR="00B80A90" w:rsidRPr="005B7291">
        <w:rPr>
          <w:rFonts w:ascii="Arial" w:eastAsia="Times New Roman" w:hAnsi="Arial" w:cs="Arial"/>
          <w:color w:val="000000" w:themeColor="text1"/>
          <w:sz w:val="20"/>
          <w:szCs w:val="20"/>
          <w:lang w:val="en-US" w:eastAsia="fr-FR"/>
        </w:rPr>
        <w:t xml:space="preserve">; </w:t>
      </w:r>
      <w:r w:rsidR="004968E9" w:rsidRPr="005B7291">
        <w:rPr>
          <w:rFonts w:ascii="Arial" w:eastAsia="Times New Roman" w:hAnsi="Arial" w:cs="Arial"/>
          <w:color w:val="000000" w:themeColor="text1"/>
          <w:sz w:val="20"/>
          <w:szCs w:val="20"/>
          <w:lang w:val="en-US" w:eastAsia="fr-FR"/>
        </w:rPr>
        <w:t>Nutri</w:t>
      </w:r>
      <w:r w:rsidR="00255DA3" w:rsidRPr="005B7291">
        <w:rPr>
          <w:rFonts w:ascii="Arial" w:eastAsia="Times New Roman" w:hAnsi="Arial" w:cs="Arial"/>
          <w:color w:val="000000" w:themeColor="text1"/>
          <w:sz w:val="20"/>
          <w:szCs w:val="20"/>
          <w:lang w:val="en-US" w:eastAsia="fr-FR"/>
        </w:rPr>
        <w:t>ent</w:t>
      </w:r>
      <w:r w:rsidR="004968E9"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density</w:t>
      </w:r>
      <w:r w:rsidR="00B80A90" w:rsidRPr="005B7291">
        <w:rPr>
          <w:rFonts w:ascii="Arial" w:eastAsia="Times New Roman" w:hAnsi="Arial" w:cs="Arial"/>
          <w:color w:val="000000" w:themeColor="text1"/>
          <w:sz w:val="20"/>
          <w:szCs w:val="20"/>
          <w:lang w:val="en-US" w:eastAsia="fr-FR"/>
        </w:rPr>
        <w:t>;</w:t>
      </w:r>
      <w:r w:rsidR="00255DA3" w:rsidRPr="005B7291">
        <w:rPr>
          <w:rFonts w:ascii="Arial" w:eastAsia="Times New Roman" w:hAnsi="Arial" w:cs="Arial"/>
          <w:color w:val="000000" w:themeColor="text1"/>
          <w:sz w:val="20"/>
          <w:szCs w:val="20"/>
          <w:lang w:val="en-US" w:eastAsia="fr-FR"/>
        </w:rPr>
        <w:t xml:space="preserve"> </w:t>
      </w:r>
      <w:r w:rsidR="00277288" w:rsidRPr="005B7291">
        <w:rPr>
          <w:rFonts w:ascii="Arial" w:eastAsia="Times New Roman" w:hAnsi="Arial" w:cs="Arial"/>
          <w:color w:val="000000" w:themeColor="text1"/>
          <w:sz w:val="20"/>
          <w:szCs w:val="20"/>
          <w:lang w:val="en-US" w:eastAsia="fr-FR"/>
        </w:rPr>
        <w:t>Energy density</w:t>
      </w:r>
      <w:r w:rsidR="00255DA3" w:rsidRPr="005B7291">
        <w:rPr>
          <w:rFonts w:ascii="Arial" w:eastAsia="Times New Roman" w:hAnsi="Arial" w:cs="Arial"/>
          <w:color w:val="000000" w:themeColor="text1"/>
          <w:sz w:val="20"/>
          <w:szCs w:val="20"/>
          <w:lang w:val="en-US" w:eastAsia="fr-FR"/>
        </w:rPr>
        <w:t xml:space="preserve"> </w:t>
      </w:r>
    </w:p>
    <w:p w14:paraId="11D69668" w14:textId="77777777" w:rsidR="002B4BF4" w:rsidRDefault="002B4BF4" w:rsidP="00B073F5">
      <w:pPr>
        <w:rPr>
          <w:rFonts w:ascii="Times New Roman" w:hAnsi="Times New Roman" w:cs="Times New Roman"/>
          <w:b/>
          <w:color w:val="000000" w:themeColor="text1"/>
          <w:sz w:val="26"/>
          <w:szCs w:val="26"/>
          <w:lang w:val="en-US"/>
        </w:rPr>
      </w:pPr>
    </w:p>
    <w:p w14:paraId="7F1AC063" w14:textId="0E7D9499" w:rsidR="00C3180E" w:rsidRPr="005250A4" w:rsidRDefault="005250A4" w:rsidP="00C3180E">
      <w:pPr>
        <w:pStyle w:val="Paragraphedeliste"/>
        <w:numPr>
          <w:ilvl w:val="0"/>
          <w:numId w:val="1"/>
        </w:numPr>
        <w:rPr>
          <w:rFonts w:ascii="Arial" w:hAnsi="Arial" w:cs="Arial"/>
          <w:b/>
          <w:color w:val="000000" w:themeColor="text1"/>
        </w:rPr>
      </w:pPr>
      <w:r w:rsidRPr="005250A4">
        <w:rPr>
          <w:rFonts w:ascii="Arial" w:hAnsi="Arial" w:cs="Arial"/>
          <w:b/>
          <w:color w:val="000000" w:themeColor="text1"/>
        </w:rPr>
        <w:t xml:space="preserve">INTRODUCTION </w:t>
      </w:r>
    </w:p>
    <w:p w14:paraId="40539C9C" w14:textId="30CBC306" w:rsidR="0081278D" w:rsidRPr="005B7291" w:rsidRDefault="0081278D" w:rsidP="0081278D">
      <w:pPr>
        <w:spacing w:before="240" w:line="360" w:lineRule="auto"/>
        <w:jc w:val="both"/>
        <w:rPr>
          <w:rFonts w:ascii="Arial" w:hAnsi="Arial" w:cs="Arial"/>
          <w:color w:val="000000" w:themeColor="text1"/>
          <w:sz w:val="20"/>
          <w:szCs w:val="20"/>
          <w:lang w:val="en-US"/>
        </w:rPr>
      </w:pPr>
      <w:r w:rsidRPr="005B7291">
        <w:rPr>
          <w:rFonts w:ascii="Arial" w:hAnsi="Arial" w:cs="Arial"/>
          <w:color w:val="000000" w:themeColor="text1"/>
          <w:sz w:val="20"/>
          <w:szCs w:val="20"/>
          <w:lang w:val="en-US"/>
        </w:rPr>
        <w:t xml:space="preserve">Patients suffering from chronic diseases, specifically overweight or obesity, are at high risk of mineral deficiencies (such as </w:t>
      </w:r>
      <w:r w:rsidR="00D86813" w:rsidRPr="005B7291">
        <w:rPr>
          <w:rFonts w:ascii="Arial" w:hAnsi="Arial" w:cs="Arial"/>
          <w:color w:val="000000" w:themeColor="text1"/>
          <w:sz w:val="20"/>
          <w:szCs w:val="20"/>
          <w:lang w:val="en-US"/>
        </w:rPr>
        <w:t xml:space="preserve">calcium, </w:t>
      </w:r>
      <w:r w:rsidRPr="005B7291">
        <w:rPr>
          <w:rFonts w:ascii="Arial" w:hAnsi="Arial" w:cs="Arial"/>
          <w:color w:val="000000" w:themeColor="text1"/>
          <w:sz w:val="20"/>
          <w:szCs w:val="20"/>
          <w:lang w:val="en-US"/>
        </w:rPr>
        <w:t xml:space="preserve">iron, zinc, </w:t>
      </w:r>
      <w:r w:rsidR="00D86813" w:rsidRPr="005B7291">
        <w:rPr>
          <w:rFonts w:ascii="Arial" w:hAnsi="Arial" w:cs="Arial"/>
          <w:color w:val="000000" w:themeColor="text1"/>
          <w:sz w:val="20"/>
          <w:szCs w:val="20"/>
          <w:lang w:val="en-US"/>
        </w:rPr>
        <w:t xml:space="preserve">copper, </w:t>
      </w:r>
      <w:r w:rsidRPr="005B7291">
        <w:rPr>
          <w:rFonts w:ascii="Arial" w:hAnsi="Arial" w:cs="Arial"/>
          <w:color w:val="000000" w:themeColor="text1"/>
          <w:sz w:val="20"/>
          <w:szCs w:val="20"/>
          <w:lang w:val="en-US"/>
        </w:rPr>
        <w:t>etc.), low intake of antioxidants, and various other essential nutrients</w:t>
      </w:r>
      <w:r w:rsidR="00D3428E"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{"citationItems":[{"id":"ITEM-1","itemData":{"DOI":"10.1016/j.pcl.2009.07.002","ISSN":"00313955","PMID":"19931066","abstract":"The presence of nutritional deficiencies in overweight and obesity may seem paradoxical in light of excess caloric intake, but several micronutrient deficiencies appear to be higher in prevalence in overweight and obese adults and children. Causes are multifactorial and include decreased consumption of fruits and vegetables, increased intake of high-calorie, but nutritionally poor-quality foods, and increased adiposity, which may influence the storage and availability of some nutrients. As the obesity epidemic continues unabated and the popularity of bariatric surgery rises for severely obese adults and adolescents, medical practitioners must be aware of pre-existing nutritional deficiencies in overweight and obese patients and appropriately recognize and treat common and rare nutritional deficiencies that may arise or worsen following bariatric surgery. This article reviews current knowledge of nutritional deficits in obese and overweight individuals and those that commonly present after bariatric surgery and summarizes current recommendations for screening and supplementation. © 2009 Elsevier Inc. All rights reserved.","author":[{"dropping-particle":"","family":"Xanthakos","given":"Stavra A.","non-dropping-particle":"","parse-names":false,"suffix":""}],"container-title":"Pediatric Clinics of North America","id":"ITEM-1","issue":"5","issued":{"date-parts":[["2009"]]},"page":"1105-1121","publisher":"Elsevier Ltd","title":"Nutritional Deficiencies in Obesity and After Bariatric Surgery","type":"article-journal","volume":"56"},"uris":["http://www.mendeley.com/documents/?uuid=e703f2cc-1d7b-4305-9b46-a4a1e7ba295f"]}],"mendeley":{"formattedCitation":"(Xanthakos, 2009)","plainTextFormattedCitation":"(Xanthakos, 2009)","previouslyFormattedCitation":"(Xanthakos, 2009)"},"properties":{"noteIndex":0},"schema":"https://github.com/citation-style-language/schema/raw/master/csl-citation.json"}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(Xanthakos, 2009)</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xml:space="preserve">. Dietary management for these patients, based on calorie reduction, does not always address these mineral deficiencies </w:t>
      </w:r>
      <w:r w:rsidR="00D3428E" w:rsidRPr="005B7291">
        <w:rPr>
          <w:rFonts w:ascii="Arial" w:hAnsi="Arial" w:cs="Arial"/>
          <w:color w:val="000000" w:themeColor="text1"/>
          <w:sz w:val="20"/>
          <w:szCs w:val="20"/>
          <w:lang w:val="en-US"/>
        </w:rPr>
        <w:t xml:space="preserve">(low nutrient density) </w:t>
      </w:r>
      <w:r w:rsidRPr="005B7291">
        <w:rPr>
          <w:rFonts w:ascii="Arial" w:hAnsi="Arial" w:cs="Arial"/>
          <w:color w:val="000000" w:themeColor="text1"/>
          <w:sz w:val="20"/>
          <w:szCs w:val="20"/>
          <w:lang w:val="en-US"/>
        </w:rPr>
        <w:t xml:space="preserve">or even </w:t>
      </w:r>
      <w:r w:rsidR="00D86813" w:rsidRPr="005B7291">
        <w:rPr>
          <w:rFonts w:ascii="Arial" w:hAnsi="Arial" w:cs="Arial"/>
          <w:color w:val="000000" w:themeColor="text1"/>
          <w:sz w:val="20"/>
          <w:szCs w:val="20"/>
          <w:lang w:val="en-US"/>
        </w:rPr>
        <w:t>antioxidants</w:t>
      </w:r>
      <w:r w:rsidRPr="005B7291">
        <w:rPr>
          <w:rFonts w:ascii="Arial" w:hAnsi="Arial" w:cs="Arial"/>
          <w:color w:val="000000" w:themeColor="text1"/>
          <w:sz w:val="20"/>
          <w:szCs w:val="20"/>
          <w:lang w:val="en-US"/>
        </w:rPr>
        <w:t xml:space="preserve"> </w:t>
      </w:r>
      <w:r w:rsidR="00D3428E"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10.1038/s41366-018-0143-9","ISSN":"1476-5497","author":[{"dropping-particle":"","family":"Astrup","given":"Arne","non-dropping-particle":"","parse-names":false,"suffix":""},{"dropping-particle":"","family":"Bügel","given":"Susanne","non-dropping-particle":"","parse-names":false,"suffix":""}],"container-title":"International Journal of Obesity","id":"ITEM-1","issued":{"date-parts":[["2018"]]},"publisher":"Springer US","title":"Overfed but undernourished : recognizing nutritional inadequacies/deficiencies in patients with overweight or obesity","type":"article-journal"},"uris":["http://www.mendeley.com/documents/?uuid=3eb7a59a-b170-4001-9943-fea61cd5ab2d"]}],"mendeley":{"formattedCitation":"(Astrup &amp; Bügel, 2018)","plainTextFormattedCitation":"(Astrup &amp; Bügel, 2018)","previouslyFormattedCitation":"(Astrup &amp; Bügel, 2018)"},"properties":{"noteIndex":0},"schema":"https://github.com/citation-style-language/schema/raw/master/csl-citation.json"}</w:instrText>
      </w:r>
      <w:r w:rsidR="00D3428E"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(Astrup &amp; Bügel, 2018)</w:t>
      </w:r>
      <w:r w:rsidR="00D3428E"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Given this problem, the selection of foods and dietary supplements should be informed by precise knowledge of the content of food matrices and their derivatives</w:t>
      </w:r>
      <w:r w:rsidR="00D86813" w:rsidRPr="005B7291">
        <w:rPr>
          <w:rFonts w:ascii="Arial" w:hAnsi="Arial" w:cs="Arial"/>
          <w:color w:val="000000" w:themeColor="text1"/>
          <w:sz w:val="20"/>
          <w:szCs w:val="20"/>
          <w:lang w:val="en-US"/>
        </w:rPr>
        <w:t>. Among these foods, plant-based food powders are particularly relevant.</w:t>
      </w:r>
    </w:p>
    <w:p w14:paraId="62ABF63E" w14:textId="3DCF017D" w:rsidR="00BA51D3"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r w:rsidRPr="005B7291">
        <w:rPr>
          <w:rFonts w:ascii="Arial" w:eastAsia="Times New Roman" w:hAnsi="Arial" w:cs="Arial"/>
          <w:color w:val="000000" w:themeColor="text1"/>
          <w:sz w:val="20"/>
          <w:szCs w:val="20"/>
          <w:lang w:val="en-US" w:eastAsia="fr-FR"/>
        </w:rPr>
        <w:t>Food powders are extensively uti</w:t>
      </w:r>
      <w:r w:rsidR="00097F75" w:rsidRPr="005B7291">
        <w:rPr>
          <w:rFonts w:ascii="Arial" w:eastAsia="Times New Roman" w:hAnsi="Arial" w:cs="Arial"/>
          <w:color w:val="000000" w:themeColor="text1"/>
          <w:sz w:val="20"/>
          <w:szCs w:val="20"/>
          <w:lang w:val="en-US" w:eastAsia="fr-FR"/>
        </w:rPr>
        <w:t xml:space="preserve">lized </w:t>
      </w:r>
      <w:r w:rsidR="00B80A90" w:rsidRPr="005B7291">
        <w:rPr>
          <w:rFonts w:ascii="Arial" w:eastAsia="Times New Roman" w:hAnsi="Arial" w:cs="Arial"/>
          <w:color w:val="000000" w:themeColor="text1"/>
          <w:sz w:val="20"/>
          <w:szCs w:val="20"/>
          <w:lang w:val="en-US" w:eastAsia="fr-FR"/>
        </w:rPr>
        <w:t>in their</w:t>
      </w:r>
      <w:r w:rsidR="00097F75" w:rsidRPr="005B7291">
        <w:rPr>
          <w:rFonts w:ascii="Arial" w:eastAsia="Times New Roman" w:hAnsi="Arial" w:cs="Arial"/>
          <w:color w:val="000000" w:themeColor="text1"/>
          <w:sz w:val="20"/>
          <w:szCs w:val="20"/>
          <w:lang w:val="en-US" w:eastAsia="fr-FR"/>
        </w:rPr>
        <w:t xml:space="preserve"> </w:t>
      </w:r>
      <w:proofErr w:type="spellStart"/>
      <w:r w:rsidR="00097F75" w:rsidRPr="005B7291">
        <w:rPr>
          <w:rFonts w:ascii="Arial" w:eastAsia="Times New Roman" w:hAnsi="Arial" w:cs="Arial"/>
          <w:color w:val="000000" w:themeColor="text1"/>
          <w:sz w:val="20"/>
          <w:szCs w:val="20"/>
          <w:lang w:val="en-US" w:eastAsia="fr-FR"/>
        </w:rPr>
        <w:t>galenic</w:t>
      </w:r>
      <w:proofErr w:type="spellEnd"/>
      <w:r w:rsidR="00097F75" w:rsidRPr="005B7291">
        <w:rPr>
          <w:rFonts w:ascii="Arial" w:eastAsia="Times New Roman" w:hAnsi="Arial" w:cs="Arial"/>
          <w:color w:val="000000" w:themeColor="text1"/>
          <w:sz w:val="20"/>
          <w:szCs w:val="20"/>
          <w:lang w:val="en-US" w:eastAsia="fr-FR"/>
        </w:rPr>
        <w:t xml:space="preserve"> forms </w:t>
      </w:r>
      <w:r w:rsidR="00B80A90" w:rsidRPr="005B7291">
        <w:rPr>
          <w:rFonts w:ascii="Arial" w:eastAsia="Times New Roman" w:hAnsi="Arial" w:cs="Arial"/>
          <w:color w:val="000000" w:themeColor="text1"/>
          <w:sz w:val="20"/>
          <w:szCs w:val="20"/>
          <w:lang w:val="en-US" w:eastAsia="fr-FR"/>
        </w:rPr>
        <w:t>for</w:t>
      </w:r>
      <w:r w:rsidR="00097F75" w:rsidRPr="005B7291">
        <w:rPr>
          <w:rFonts w:ascii="Arial" w:eastAsia="Times New Roman" w:hAnsi="Arial" w:cs="Arial"/>
          <w:color w:val="000000" w:themeColor="text1"/>
          <w:sz w:val="20"/>
          <w:szCs w:val="20"/>
          <w:lang w:val="en-US" w:eastAsia="fr-FR"/>
        </w:rPr>
        <w:t xml:space="preserve"> fight</w:t>
      </w:r>
      <w:r w:rsidRPr="005B7291">
        <w:rPr>
          <w:rFonts w:ascii="Arial" w:eastAsia="Times New Roman" w:hAnsi="Arial" w:cs="Arial"/>
          <w:color w:val="000000" w:themeColor="text1"/>
          <w:sz w:val="20"/>
          <w:szCs w:val="20"/>
          <w:lang w:val="en-US" w:eastAsia="fr-FR"/>
        </w:rPr>
        <w:t xml:space="preserve">ing malnutrition (as food supplements) </w:t>
      </w:r>
      <w:r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{"citationItems":[{"id":"ITEM-1","itemData":{"DOI":"10.3233/JCB-189012","ISSN":"23523697","abstract":"Spirulina platensis, a multicelluar, photosynthetic prokaryote (algae) contains a high amount of proteins, vitamins and minerals superior to many foods as e.g. soybeans. Thus, Spirulina platensis was recognized as nutritious food by the United Nations World Food Conference. Due to the high amount of nutritive ingredients Spirulina has a long history as dietary supplement. In addition, spirulina platensis is also efficiently used as forage with known effects on flesh, egg and plumage color, milk yield and fertility. The versatile utilization of the alga can be explained on the one hand with the nutrient levels and on the other hand with recognized effects as anti-viral, anti-bacterial, anti-oxidant, anti-diabetic, anti-cancer and anti-inflammatory substance. Therefore, this alga is named as \"superfood\". Beyond, these algae convert carbon dioxide into organic substances and produce oxygen during their growth in alkaline and saline water thereby not wasting fresh water allowing the production in barren areas. Despite this diverse use of Spirulina platensis due to its beneficial properties, many basic mechanisms on a molecular and cellular level are not well understood and should be explored in future studies.","author":[{"dropping-particle":"","family":"Jung","given":"F.","non-dropping-particle":"","parse-names":false,"suffix":""},{"dropping-particle":"","family":"Krüger-Genge","given":"A.","non-dropping-particle":"","parse-names":false,"suffix":""},{"dropping-particle":"","family":"Waldeck","given":"P.","non-dropping-particle":"","parse-names":false,"suffix":""},{"dropping-particle":"","family":"Küpper","given":"J. H.","non-dropping-particle":"","parse-names":false,"suffix":""}],"container-title":"Journal of Cellular Biotechnology","id":"ITEM-1","issue":"1","issued":{"date-parts":[["2019"]]},"page":"43-54","title":"Spirulina platensis, a super food?","type":"article-journal","volume":"5"},"uris":["http://www.mendeley.com/documents/?uuid=43269571-f969-47d3-adab-e5d4f5daea03"]}],"mendeley":{"formattedCitation":"(Jung et al., 2019)","plainTextFormattedCitation":"(Jung et al., 2019)","previouslyFormattedCitation":"(Jung et al., 2019)"},"properties":{"noteIndex":0},"schema":"https://github.com/citation-style-language/schema/raw/master/csl-citation.json"}</w:instrText>
      </w:r>
      <w:r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(Jung et al., 2019)</w:t>
      </w:r>
      <w:r w:rsidRPr="005B7291">
        <w:rPr>
          <w:rFonts w:ascii="Arial" w:hAnsi="Arial" w:cs="Arial"/>
          <w:color w:val="000000" w:themeColor="text1"/>
          <w:sz w:val="20"/>
          <w:szCs w:val="20"/>
        </w:rPr>
        <w:fldChar w:fldCharType="end"/>
      </w:r>
      <w:r w:rsidR="00B80A90" w:rsidRPr="005B7291">
        <w:rPr>
          <w:rFonts w:ascii="Arial" w:eastAsia="Times New Roman" w:hAnsi="Arial" w:cs="Arial"/>
          <w:color w:val="000000" w:themeColor="text1"/>
          <w:sz w:val="20"/>
          <w:szCs w:val="20"/>
          <w:lang w:val="en-US" w:eastAsia="fr-FR"/>
        </w:rPr>
        <w:t xml:space="preserve"> and </w:t>
      </w:r>
      <w:r w:rsidRPr="005B7291">
        <w:rPr>
          <w:rFonts w:ascii="Arial" w:eastAsia="Times New Roman" w:hAnsi="Arial" w:cs="Arial"/>
          <w:color w:val="000000" w:themeColor="text1"/>
          <w:sz w:val="20"/>
          <w:szCs w:val="20"/>
          <w:lang w:val="en-US" w:eastAsia="fr-FR"/>
        </w:rPr>
        <w:t>chronic diseases</w:t>
      </w:r>
      <w:r w:rsidR="00AE79F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(as food supplements, infusions, decoctions) </w:t>
      </w:r>
      <w:r w:rsidR="00217190"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{"citationItems":[{"id":"ITEM-1","itemData":{"DOI":"10.1016/j.afres.2024.100436","author":[{"dropping-particle":"","family":"Assiéné","given":"Agamou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Serge","non-dropping-particle":"","parse-names":false,"suffix":""},{"dropping-particle":"","family":"Mbida-Mbida","given":"Yolande Isabelle","non-dropping-particle":"","parse-names":false,"suffix":""},{"dropping-particle":"","family":"Nyangono","given":"Biyegue Christine Fernande","non-dropping-particle":"","parse-names":false,"suffix":""}],"container-title":"Applied Food Research","id":"ITEM-1","issue":"2024","issued":{"date-parts":[["2024"]]},"page":"100436","title":"Nutritional and bioactive potentials of a powder and a decoction made from Ceylon cinnamon bark , Laurus nobilis leaves , and Curcuma longa Linn rhizome","type":"article-journal","volume":"4"},"uris":["http://www.mendeley.com/documents/?uuid=247f6682-a14b-4aa3-98f0-35be9cfb12e9"]}],"mendeley":{"formattedCitation":"(Assiéné, Djeukeu, Assiéné, Mbida-Mbida, et al., 2024)","plainTextFormattedCitation":"(Assiéné, Djeukeu, Assiéné, Mbida-Mbida, et al., 2024)","previouslyFormattedCitation":"(Assiéné, Djeukeu, Assiéné, Mbida-Mbida, et al., 2024)"},"properties":{"noteIndex":0},"schema":"https://github.com/citation-style-language/schema/raw/master/csl-citation.json"}</w:instrText>
      </w:r>
      <w:r w:rsidR="00217190"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Djeukeu, Assiéné, Mbida-Mbida, et al., 2024)</w:t>
      </w:r>
      <w:r w:rsidR="00217190" w:rsidRPr="005B7291">
        <w:rPr>
          <w:rFonts w:ascii="Arial" w:hAnsi="Arial" w:cs="Arial"/>
          <w:color w:val="000000" w:themeColor="text1"/>
          <w:sz w:val="20"/>
          <w:szCs w:val="20"/>
        </w:rPr>
        <w:fldChar w:fldCharType="end"/>
      </w:r>
      <w:r w:rsidR="00C931A2" w:rsidRPr="005B7291">
        <w:rPr>
          <w:rFonts w:ascii="Arial" w:hAnsi="Arial" w:cs="Arial"/>
          <w:color w:val="000000" w:themeColor="text1"/>
          <w:sz w:val="20"/>
          <w:szCs w:val="20"/>
          <w:lang w:val="en-US"/>
        </w:rPr>
        <w:t>. They are also used as the main ingredient in</w:t>
      </w:r>
      <w:r w:rsidR="00B80A90" w:rsidRPr="005B7291">
        <w:rPr>
          <w:rFonts w:ascii="Arial" w:hAnsi="Arial" w:cs="Arial"/>
          <w:color w:val="000000" w:themeColor="text1"/>
          <w:sz w:val="20"/>
          <w:szCs w:val="20"/>
          <w:lang w:val="en-US"/>
        </w:rPr>
        <w:t xml:space="preserve"> </w:t>
      </w:r>
      <w:r w:rsidR="00C931A2" w:rsidRPr="005B7291">
        <w:rPr>
          <w:rFonts w:ascii="Arial" w:hAnsi="Arial" w:cs="Arial"/>
          <w:color w:val="000000" w:themeColor="text1"/>
          <w:sz w:val="20"/>
          <w:szCs w:val="20"/>
          <w:lang w:val="en-US"/>
        </w:rPr>
        <w:t>traditional dishes</w:t>
      </w:r>
      <w:r w:rsidRPr="005B7291">
        <w:rPr>
          <w:rFonts w:ascii="Arial" w:hAnsi="Arial" w:cs="Arial"/>
          <w:color w:val="000000" w:themeColor="text1"/>
          <w:sz w:val="20"/>
          <w:szCs w:val="20"/>
          <w:lang w:val="en-US"/>
        </w:rPr>
        <w:t xml:space="preserve">. </w:t>
      </w:r>
      <w:r w:rsidRPr="005B7291">
        <w:rPr>
          <w:rFonts w:ascii="Arial" w:eastAsia="Times New Roman" w:hAnsi="Arial" w:cs="Arial"/>
          <w:color w:val="000000" w:themeColor="text1"/>
          <w:sz w:val="20"/>
          <w:szCs w:val="20"/>
          <w:lang w:val="en-US" w:eastAsia="fr-FR"/>
        </w:rPr>
        <w:t xml:space="preserve">The plant organs </w:t>
      </w:r>
      <w:r w:rsidR="00B80A90" w:rsidRPr="005B7291">
        <w:rPr>
          <w:rFonts w:ascii="Arial" w:eastAsia="Times New Roman" w:hAnsi="Arial" w:cs="Arial"/>
          <w:color w:val="000000" w:themeColor="text1"/>
          <w:sz w:val="20"/>
          <w:szCs w:val="20"/>
          <w:lang w:val="en-US" w:eastAsia="fr-FR"/>
        </w:rPr>
        <w:t>used</w:t>
      </w:r>
      <w:r w:rsidRPr="005B7291">
        <w:rPr>
          <w:rFonts w:ascii="Arial" w:eastAsia="Times New Roman" w:hAnsi="Arial" w:cs="Arial"/>
          <w:color w:val="000000" w:themeColor="text1"/>
          <w:sz w:val="20"/>
          <w:szCs w:val="20"/>
          <w:lang w:val="en-US" w:eastAsia="fr-FR"/>
        </w:rPr>
        <w:t xml:space="preserve"> for these purposes </w:t>
      </w:r>
      <w:r w:rsidR="00B80A90" w:rsidRPr="005B7291">
        <w:rPr>
          <w:rFonts w:ascii="Arial" w:eastAsia="Times New Roman" w:hAnsi="Arial" w:cs="Arial"/>
          <w:color w:val="000000" w:themeColor="text1"/>
          <w:sz w:val="20"/>
          <w:szCs w:val="20"/>
          <w:lang w:val="en-US" w:eastAsia="fr-FR"/>
        </w:rPr>
        <w:t>include</w:t>
      </w:r>
      <w:r w:rsidRPr="005B7291">
        <w:rPr>
          <w:rFonts w:ascii="Arial" w:eastAsia="Times New Roman" w:hAnsi="Arial" w:cs="Arial"/>
          <w:color w:val="000000" w:themeColor="text1"/>
          <w:sz w:val="20"/>
          <w:szCs w:val="20"/>
          <w:lang w:val="en-US" w:eastAsia="fr-FR"/>
        </w:rPr>
        <w:t xml:space="preserve"> leaves, fruits, bark, and roots</w:t>
      </w:r>
      <w:r w:rsidR="00612C3C" w:rsidRPr="005B7291">
        <w:rPr>
          <w:rFonts w:ascii="Arial" w:hAnsi="Arial" w:cs="Arial"/>
          <w:color w:val="000000" w:themeColor="text1"/>
          <w:sz w:val="20"/>
          <w:szCs w:val="20"/>
          <w:lang w:val="en-US"/>
        </w:rPr>
        <w:t>.</w:t>
      </w:r>
      <w:r w:rsidR="007345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These organs are rich in primary metabolites (proteins, carbohydrates, lipids, minerals, and vitamins) and secondary metabolites (polyphenols, tannins, flavonoids, </w:t>
      </w:r>
      <w:proofErr w:type="spellStart"/>
      <w:r w:rsidRPr="005B7291">
        <w:rPr>
          <w:rFonts w:ascii="Arial" w:eastAsia="Times New Roman" w:hAnsi="Arial" w:cs="Arial"/>
          <w:color w:val="000000" w:themeColor="text1"/>
          <w:sz w:val="20"/>
          <w:szCs w:val="20"/>
          <w:lang w:val="en-US" w:eastAsia="fr-FR"/>
        </w:rPr>
        <w:t>phytates</w:t>
      </w:r>
      <w:proofErr w:type="spellEnd"/>
      <w:r w:rsidRPr="005B7291">
        <w:rPr>
          <w:rFonts w:ascii="Arial" w:eastAsia="Times New Roman" w:hAnsi="Arial" w:cs="Arial"/>
          <w:color w:val="000000" w:themeColor="text1"/>
          <w:sz w:val="20"/>
          <w:szCs w:val="20"/>
          <w:lang w:val="en-US" w:eastAsia="fr-FR"/>
        </w:rPr>
        <w:t>, oxalates, etc.). Their content is subject to variation based on several factors</w:t>
      </w:r>
      <w:r w:rsidR="00B80A90"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such as species, soil, climate, herbivore attacks, and human activities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2007)","plainTextFormattedCitation":"(Makkar et al., 2007)","previouslyFormattedCitation":"(Makkar et al., 2007)"},"properties":{"noteIndex":0},"schema":"https://github.com/citation-style-language/schema/raw/master/csl-citation.json"}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(Makkar et al., 2007)</w:t>
      </w:r>
      <w:r w:rsidR="00612C3C" w:rsidRPr="005B7291">
        <w:rPr>
          <w:rFonts w:ascii="Arial" w:hAnsi="Arial" w:cs="Arial"/>
          <w:color w:val="000000" w:themeColor="text1"/>
          <w:sz w:val="20"/>
          <w:szCs w:val="20"/>
        </w:rPr>
        <w:fldChar w:fldCharType="end"/>
      </w:r>
      <w:r w:rsidR="00612C3C" w:rsidRPr="005B7291">
        <w:rPr>
          <w:rFonts w:ascii="Arial" w:hAnsi="Arial" w:cs="Arial"/>
          <w:color w:val="000000" w:themeColor="text1"/>
          <w:sz w:val="20"/>
          <w:szCs w:val="20"/>
          <w:lang w:val="en-US"/>
        </w:rPr>
        <w:t>.</w:t>
      </w:r>
      <w:r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One key factor often overlooked by many </w:t>
      </w:r>
      <w:r w:rsidR="008A0CCC"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during powder production is the influence of particle size (</w:t>
      </w:r>
      <w:proofErr w:type="spellStart"/>
      <w:r w:rsidR="00553A4E" w:rsidRPr="005B7291">
        <w:rPr>
          <w:rFonts w:ascii="Arial" w:hAnsi="Arial" w:cs="Arial"/>
          <w:color w:val="000000" w:themeColor="text1"/>
          <w:sz w:val="20"/>
          <w:szCs w:val="20"/>
          <w:lang w:val="en-US"/>
        </w:rPr>
        <w:t>granulometry</w:t>
      </w:r>
      <w:proofErr w:type="spellEnd"/>
      <w:r w:rsidR="00553A4E" w:rsidRPr="005B7291">
        <w:rPr>
          <w:rFonts w:ascii="Arial" w:hAnsi="Arial" w:cs="Arial"/>
          <w:color w:val="000000" w:themeColor="text1"/>
          <w:sz w:val="20"/>
          <w:szCs w:val="20"/>
          <w:lang w:val="en-US"/>
        </w:rPr>
        <w:t xml:space="preserve">) on nutritional and bioactive </w:t>
      </w:r>
      <w:r w:rsidR="008A0CCC" w:rsidRPr="005B7291">
        <w:rPr>
          <w:rFonts w:ascii="Arial" w:hAnsi="Arial" w:cs="Arial"/>
          <w:color w:val="000000" w:themeColor="text1"/>
          <w:sz w:val="20"/>
          <w:szCs w:val="20"/>
          <w:lang w:val="en-US"/>
        </w:rPr>
        <w:t>potential</w:t>
      </w:r>
      <w:r w:rsidR="00553A4E" w:rsidRPr="005B7291">
        <w:rPr>
          <w:rFonts w:ascii="Arial" w:hAnsi="Arial" w:cs="Arial"/>
          <w:color w:val="000000" w:themeColor="text1"/>
          <w:sz w:val="20"/>
          <w:szCs w:val="20"/>
          <w:lang w:val="en-US"/>
        </w:rPr>
        <w:t xml:space="preserve">. Numerous scientific studies </w:t>
      </w:r>
      <w:r w:rsidR="00B80A90" w:rsidRPr="005B7291">
        <w:rPr>
          <w:rFonts w:ascii="Arial" w:hAnsi="Arial" w:cs="Arial"/>
          <w:color w:val="000000" w:themeColor="text1"/>
          <w:sz w:val="20"/>
          <w:szCs w:val="20"/>
          <w:lang w:val="en-US"/>
        </w:rPr>
        <w:t xml:space="preserve">have </w:t>
      </w:r>
      <w:r w:rsidR="00553A4E" w:rsidRPr="005B7291">
        <w:rPr>
          <w:rFonts w:ascii="Arial" w:hAnsi="Arial" w:cs="Arial"/>
          <w:color w:val="000000" w:themeColor="text1"/>
          <w:sz w:val="20"/>
          <w:szCs w:val="20"/>
          <w:lang w:val="en-US"/>
        </w:rPr>
        <w:t>highlight</w:t>
      </w:r>
      <w:r w:rsidR="00B80A90" w:rsidRPr="005B7291">
        <w:rPr>
          <w:rFonts w:ascii="Arial" w:hAnsi="Arial" w:cs="Arial"/>
          <w:color w:val="000000" w:themeColor="text1"/>
          <w:sz w:val="20"/>
          <w:szCs w:val="20"/>
          <w:lang w:val="en-US"/>
        </w:rPr>
        <w:t>ed</w:t>
      </w:r>
      <w:r w:rsidR="00553A4E" w:rsidRPr="005B7291">
        <w:rPr>
          <w:rFonts w:ascii="Arial" w:hAnsi="Arial" w:cs="Arial"/>
          <w:color w:val="000000" w:themeColor="text1"/>
          <w:sz w:val="20"/>
          <w:szCs w:val="20"/>
          <w:lang w:val="en-US"/>
        </w:rPr>
        <w:t xml:space="preserve"> the significant </w:t>
      </w:r>
      <w:r w:rsidR="002B46C2" w:rsidRPr="005B7291">
        <w:rPr>
          <w:rFonts w:ascii="Arial" w:hAnsi="Arial" w:cs="Arial"/>
          <w:color w:val="000000" w:themeColor="text1"/>
          <w:sz w:val="20"/>
          <w:szCs w:val="20"/>
          <w:lang w:val="en-US"/>
        </w:rPr>
        <w:t>effect</w:t>
      </w:r>
      <w:r w:rsidR="00553A4E" w:rsidRPr="005B7291">
        <w:rPr>
          <w:rFonts w:ascii="Arial" w:hAnsi="Arial" w:cs="Arial"/>
          <w:color w:val="000000" w:themeColor="text1"/>
          <w:sz w:val="20"/>
          <w:szCs w:val="20"/>
          <w:lang w:val="en-US"/>
        </w:rPr>
        <w:t xml:space="preserve"> of </w:t>
      </w:r>
      <w:proofErr w:type="spellStart"/>
      <w:r w:rsidR="00553A4E" w:rsidRPr="005B7291">
        <w:rPr>
          <w:rFonts w:ascii="Arial" w:hAnsi="Arial" w:cs="Arial"/>
          <w:color w:val="000000" w:themeColor="text1"/>
          <w:sz w:val="20"/>
          <w:szCs w:val="20"/>
          <w:lang w:val="en-US"/>
        </w:rPr>
        <w:t>granulometry</w:t>
      </w:r>
      <w:proofErr w:type="spellEnd"/>
      <w:r w:rsidR="00553A4E" w:rsidRPr="005B7291">
        <w:rPr>
          <w:rFonts w:ascii="Arial" w:hAnsi="Arial" w:cs="Arial"/>
          <w:color w:val="000000" w:themeColor="text1"/>
          <w:sz w:val="20"/>
          <w:szCs w:val="20"/>
          <w:lang w:val="en-US"/>
        </w:rPr>
        <w:t xml:space="preserve"> on nutrient contents and bioactive compounds</w:t>
      </w:r>
      <w:r w:rsidR="008A0CCC" w:rsidRPr="005B7291">
        <w:rPr>
          <w:rFonts w:ascii="Arial" w:hAnsi="Arial" w:cs="Arial"/>
          <w:color w:val="000000" w:themeColor="text1"/>
          <w:sz w:val="20"/>
          <w:szCs w:val="20"/>
          <w:lang w:val="en-US"/>
        </w:rPr>
        <w:t xml:space="preserve"> </w:t>
      </w:r>
      <w:r w:rsidR="008A0CCC"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8A0CCC"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 2024)</w:t>
      </w:r>
      <w:r w:rsidR="008A0CCC"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 xml:space="preserve">. It is evident that food powders obtained from any plant organ, without considering </w:t>
      </w:r>
      <w:proofErr w:type="spellStart"/>
      <w:r w:rsidR="00553A4E" w:rsidRPr="005B7291">
        <w:rPr>
          <w:rFonts w:ascii="Arial" w:hAnsi="Arial" w:cs="Arial"/>
          <w:color w:val="000000" w:themeColor="text1"/>
          <w:sz w:val="20"/>
          <w:szCs w:val="20"/>
          <w:lang w:val="en-US"/>
        </w:rPr>
        <w:t>granulometry</w:t>
      </w:r>
      <w:proofErr w:type="spellEnd"/>
      <w:r w:rsidR="00553A4E" w:rsidRPr="005B7291">
        <w:rPr>
          <w:rFonts w:ascii="Arial" w:hAnsi="Arial" w:cs="Arial"/>
          <w:color w:val="000000" w:themeColor="text1"/>
          <w:sz w:val="20"/>
          <w:szCs w:val="20"/>
          <w:lang w:val="en-US"/>
        </w:rPr>
        <w:t xml:space="preserve">, cannot be effectively harnessed. Surprisingly, despite this, many </w:t>
      </w:r>
      <w:r w:rsidR="00D96E3E" w:rsidRPr="005B7291">
        <w:rPr>
          <w:rFonts w:ascii="Arial" w:hAnsi="Arial" w:cs="Arial"/>
          <w:color w:val="000000" w:themeColor="text1"/>
          <w:sz w:val="20"/>
          <w:szCs w:val="20"/>
          <w:lang w:val="en-US"/>
        </w:rPr>
        <w:t>therapists</w:t>
      </w:r>
      <w:r w:rsidR="00553A4E" w:rsidRPr="005B7291">
        <w:rPr>
          <w:rFonts w:ascii="Arial" w:hAnsi="Arial" w:cs="Arial"/>
          <w:color w:val="000000" w:themeColor="text1"/>
          <w:sz w:val="20"/>
          <w:szCs w:val="20"/>
          <w:lang w:val="en-US"/>
        </w:rPr>
        <w:t xml:space="preserve"> recommend plant-based powders </w:t>
      </w:r>
      <w:r w:rsidR="00B80A90" w:rsidRPr="005B7291">
        <w:rPr>
          <w:rFonts w:ascii="Arial" w:hAnsi="Arial" w:cs="Arial"/>
          <w:color w:val="000000" w:themeColor="text1"/>
          <w:sz w:val="20"/>
          <w:szCs w:val="20"/>
          <w:lang w:val="en-US"/>
        </w:rPr>
        <w:t>for</w:t>
      </w:r>
      <w:r w:rsidR="00553A4E" w:rsidRPr="005B7291">
        <w:rPr>
          <w:rFonts w:ascii="Arial" w:hAnsi="Arial" w:cs="Arial"/>
          <w:color w:val="000000" w:themeColor="text1"/>
          <w:sz w:val="20"/>
          <w:szCs w:val="20"/>
          <w:lang w:val="en-US"/>
        </w:rPr>
        <w:t xml:space="preserve"> patients suffering from malnutrition and chronic diseases without a prior understanding of how </w:t>
      </w:r>
      <w:proofErr w:type="spellStart"/>
      <w:r w:rsidR="00553A4E" w:rsidRPr="005B7291">
        <w:rPr>
          <w:rFonts w:ascii="Arial" w:hAnsi="Arial" w:cs="Arial"/>
          <w:color w:val="000000" w:themeColor="text1"/>
          <w:sz w:val="20"/>
          <w:szCs w:val="20"/>
          <w:lang w:val="en-US"/>
        </w:rPr>
        <w:t>granulometry</w:t>
      </w:r>
      <w:proofErr w:type="spellEnd"/>
      <w:r w:rsidR="00553A4E" w:rsidRPr="005B7291">
        <w:rPr>
          <w:rFonts w:ascii="Arial" w:hAnsi="Arial" w:cs="Arial"/>
          <w:color w:val="000000" w:themeColor="text1"/>
          <w:sz w:val="20"/>
          <w:szCs w:val="20"/>
          <w:lang w:val="en-US"/>
        </w:rPr>
        <w:t xml:space="preserve"> affects nutrient and bioactive content. The most informed </w:t>
      </w:r>
      <w:r w:rsidR="00D96E3E" w:rsidRPr="005B7291">
        <w:rPr>
          <w:rFonts w:ascii="Arial" w:hAnsi="Arial" w:cs="Arial"/>
          <w:color w:val="000000" w:themeColor="text1"/>
          <w:sz w:val="20"/>
          <w:szCs w:val="20"/>
          <w:lang w:val="en-US"/>
        </w:rPr>
        <w:t xml:space="preserve">therapists </w:t>
      </w:r>
      <w:r w:rsidR="00553A4E" w:rsidRPr="005B7291">
        <w:rPr>
          <w:rFonts w:ascii="Arial" w:hAnsi="Arial" w:cs="Arial"/>
          <w:color w:val="000000" w:themeColor="text1"/>
          <w:sz w:val="20"/>
          <w:szCs w:val="20"/>
          <w:lang w:val="en-US"/>
        </w:rPr>
        <w:t xml:space="preserve">advocate for specific particle sizes (&lt; 1000 µm or &lt; 500 µm) during the production process. Their motivation stems from ancestral knowledge of the health benefits (antidiabetic, anticancer, </w:t>
      </w:r>
      <w:proofErr w:type="spellStart"/>
      <w:r w:rsidR="00553A4E" w:rsidRPr="005B7291">
        <w:rPr>
          <w:rFonts w:ascii="Arial" w:hAnsi="Arial" w:cs="Arial"/>
          <w:color w:val="000000" w:themeColor="text1"/>
          <w:sz w:val="20"/>
          <w:szCs w:val="20"/>
          <w:lang w:val="en-US"/>
        </w:rPr>
        <w:t>antiobesity</w:t>
      </w:r>
      <w:proofErr w:type="spellEnd"/>
      <w:r w:rsidR="002B46C2" w:rsidRPr="005B7291">
        <w:rPr>
          <w:rFonts w:ascii="Arial" w:hAnsi="Arial" w:cs="Arial"/>
          <w:color w:val="000000" w:themeColor="text1"/>
          <w:sz w:val="20"/>
          <w:szCs w:val="20"/>
          <w:lang w:val="en-US"/>
        </w:rPr>
        <w:t>, etc.</w:t>
      </w:r>
      <w:r w:rsidR="00553A4E" w:rsidRPr="005B7291">
        <w:rPr>
          <w:rFonts w:ascii="Arial" w:hAnsi="Arial" w:cs="Arial"/>
          <w:color w:val="000000" w:themeColor="text1"/>
          <w:sz w:val="20"/>
          <w:szCs w:val="20"/>
          <w:lang w:val="en-US"/>
        </w:rPr>
        <w:t>) associated with plant organs</w:t>
      </w:r>
      <w:r w:rsidR="002B46C2" w:rsidRPr="005B7291">
        <w:rPr>
          <w:rFonts w:ascii="Arial" w:hAnsi="Arial" w:cs="Arial"/>
          <w:color w:val="000000" w:themeColor="text1"/>
          <w:sz w:val="20"/>
          <w:szCs w:val="20"/>
          <w:lang w:val="en-US"/>
        </w:rPr>
        <w:t>.</w:t>
      </w:r>
      <w:r w:rsidR="00BA51D3" w:rsidRPr="005B7291">
        <w:rPr>
          <w:rFonts w:ascii="Arial" w:hAnsi="Arial" w:cs="Arial"/>
          <w:color w:val="000000" w:themeColor="text1"/>
          <w:sz w:val="20"/>
          <w:szCs w:val="20"/>
          <w:lang w:val="en-US"/>
        </w:rPr>
        <w:t xml:space="preserve"> In this regard, the leaves and fruits of </w:t>
      </w:r>
      <w:proofErr w:type="spellStart"/>
      <w:r w:rsidR="00BA51D3" w:rsidRPr="005B7291">
        <w:rPr>
          <w:rStyle w:val="Accentuation"/>
          <w:rFonts w:ascii="Arial" w:hAnsi="Arial" w:cs="Arial"/>
          <w:color w:val="000000" w:themeColor="text1"/>
          <w:sz w:val="20"/>
          <w:szCs w:val="20"/>
          <w:lang w:val="en-US"/>
        </w:rPr>
        <w:t>Corchorus</w:t>
      </w:r>
      <w:proofErr w:type="spellEnd"/>
      <w:r w:rsidR="00BA51D3" w:rsidRPr="005B7291">
        <w:rPr>
          <w:rStyle w:val="Accentuation"/>
          <w:rFonts w:ascii="Arial" w:hAnsi="Arial" w:cs="Arial"/>
          <w:color w:val="000000" w:themeColor="text1"/>
          <w:sz w:val="20"/>
          <w:szCs w:val="20"/>
          <w:lang w:val="en-US"/>
        </w:rPr>
        <w:t xml:space="preserve"> </w:t>
      </w:r>
      <w:proofErr w:type="spellStart"/>
      <w:r w:rsidR="00BA51D3" w:rsidRPr="005B7291">
        <w:rPr>
          <w:rStyle w:val="Accentuation"/>
          <w:rFonts w:ascii="Arial" w:hAnsi="Arial" w:cs="Arial"/>
          <w:color w:val="000000" w:themeColor="text1"/>
          <w:sz w:val="20"/>
          <w:szCs w:val="20"/>
          <w:lang w:val="en-US"/>
        </w:rPr>
        <w:t>olitorius</w:t>
      </w:r>
      <w:proofErr w:type="spellEnd"/>
      <w:r w:rsidR="00BA51D3" w:rsidRPr="005B7291">
        <w:rPr>
          <w:rFonts w:ascii="Arial" w:hAnsi="Arial" w:cs="Arial"/>
          <w:color w:val="000000" w:themeColor="text1"/>
          <w:sz w:val="20"/>
          <w:szCs w:val="20"/>
          <w:lang w:val="en-US"/>
        </w:rPr>
        <w:t xml:space="preserve"> and </w:t>
      </w:r>
      <w:proofErr w:type="spellStart"/>
      <w:r w:rsidR="00BA51D3" w:rsidRPr="005B7291">
        <w:rPr>
          <w:rStyle w:val="Accentuation"/>
          <w:rFonts w:ascii="Arial" w:hAnsi="Arial" w:cs="Arial"/>
          <w:color w:val="000000" w:themeColor="text1"/>
          <w:sz w:val="20"/>
          <w:szCs w:val="20"/>
          <w:lang w:val="en-US"/>
        </w:rPr>
        <w:t>Abelmoschus</w:t>
      </w:r>
      <w:proofErr w:type="spellEnd"/>
      <w:r w:rsidR="00BA51D3" w:rsidRPr="005B7291">
        <w:rPr>
          <w:rStyle w:val="Accentuation"/>
          <w:rFonts w:ascii="Arial" w:hAnsi="Arial" w:cs="Arial"/>
          <w:color w:val="000000" w:themeColor="text1"/>
          <w:sz w:val="20"/>
          <w:szCs w:val="20"/>
          <w:lang w:val="en-US"/>
        </w:rPr>
        <w:t xml:space="preserve"> </w:t>
      </w:r>
      <w:proofErr w:type="spellStart"/>
      <w:r w:rsidR="00BA51D3" w:rsidRPr="005B7291">
        <w:rPr>
          <w:rStyle w:val="Accentuation"/>
          <w:rFonts w:ascii="Arial" w:hAnsi="Arial" w:cs="Arial"/>
          <w:color w:val="000000" w:themeColor="text1"/>
          <w:sz w:val="20"/>
          <w:szCs w:val="20"/>
          <w:lang w:val="en-US"/>
        </w:rPr>
        <w:t>esculentus</w:t>
      </w:r>
      <w:proofErr w:type="spellEnd"/>
      <w:r w:rsidR="00BA51D3" w:rsidRPr="005B7291">
        <w:rPr>
          <w:rFonts w:ascii="Arial" w:hAnsi="Arial" w:cs="Arial"/>
          <w:color w:val="000000" w:themeColor="text1"/>
          <w:sz w:val="20"/>
          <w:szCs w:val="20"/>
          <w:lang w:val="en-US"/>
        </w:rPr>
        <w:t xml:space="preserve"> </w:t>
      </w:r>
      <w:r w:rsidR="00B80A90" w:rsidRPr="005B7291">
        <w:rPr>
          <w:rFonts w:ascii="Arial" w:hAnsi="Arial" w:cs="Arial"/>
          <w:color w:val="000000" w:themeColor="text1"/>
          <w:sz w:val="20"/>
          <w:szCs w:val="20"/>
          <w:lang w:val="en-US"/>
        </w:rPr>
        <w:t>are</w:t>
      </w:r>
      <w:r w:rsidR="00BA51D3" w:rsidRPr="005B7291">
        <w:rPr>
          <w:rFonts w:ascii="Arial" w:hAnsi="Arial" w:cs="Arial"/>
          <w:color w:val="000000" w:themeColor="text1"/>
          <w:sz w:val="20"/>
          <w:szCs w:val="20"/>
          <w:lang w:val="en-US"/>
        </w:rPr>
        <w:t xml:space="preserve"> among the</w:t>
      </w:r>
      <w:r w:rsidR="00B80A90" w:rsidRPr="005B7291">
        <w:rPr>
          <w:rFonts w:ascii="Arial" w:hAnsi="Arial" w:cs="Arial"/>
          <w:color w:val="000000" w:themeColor="text1"/>
          <w:sz w:val="20"/>
          <w:szCs w:val="20"/>
          <w:lang w:val="en-US"/>
        </w:rPr>
        <w:t xml:space="preserve"> most common</w:t>
      </w:r>
      <w:r w:rsidR="00BA51D3" w:rsidRPr="005B7291">
        <w:rPr>
          <w:rFonts w:ascii="Arial" w:hAnsi="Arial" w:cs="Arial"/>
          <w:color w:val="000000" w:themeColor="text1"/>
          <w:sz w:val="20"/>
          <w:szCs w:val="20"/>
          <w:lang w:val="en-US"/>
        </w:rPr>
        <w:t xml:space="preserve"> organs utilized by many therapists. </w:t>
      </w:r>
    </w:p>
    <w:p w14:paraId="7A12A61A" w14:textId="2AF3ED09" w:rsidR="00FE436E" w:rsidRPr="005B7291" w:rsidRDefault="00F76DC2" w:rsidP="007C64A7">
      <w:pPr>
        <w:spacing w:before="100" w:beforeAutospacing="1" w:after="100" w:afterAutospacing="1" w:line="360" w:lineRule="auto"/>
        <w:jc w:val="both"/>
        <w:rPr>
          <w:rFonts w:ascii="Arial" w:hAnsi="Arial" w:cs="Arial"/>
          <w:color w:val="000000" w:themeColor="text1"/>
          <w:sz w:val="20"/>
          <w:szCs w:val="20"/>
          <w:lang w:val="en-US"/>
        </w:rPr>
      </w:pPr>
      <w:proofErr w:type="spellStart"/>
      <w:r w:rsidRPr="005B7291">
        <w:rPr>
          <w:rFonts w:ascii="Arial" w:eastAsia="Times New Roman" w:hAnsi="Arial" w:cs="Arial"/>
          <w:i/>
          <w:color w:val="000000" w:themeColor="text1"/>
          <w:sz w:val="20"/>
          <w:szCs w:val="20"/>
          <w:lang w:val="en-US" w:eastAsia="fr-FR"/>
        </w:rPr>
        <w:t>Corchorus</w:t>
      </w:r>
      <w:proofErr w:type="spellEnd"/>
      <w:r w:rsidRPr="005B7291">
        <w:rPr>
          <w:rFonts w:ascii="Arial" w:eastAsia="Times New Roman" w:hAnsi="Arial" w:cs="Arial"/>
          <w:i/>
          <w:color w:val="000000" w:themeColor="text1"/>
          <w:sz w:val="20"/>
          <w:szCs w:val="20"/>
          <w:lang w:val="en-US" w:eastAsia="fr-FR"/>
        </w:rPr>
        <w:t xml:space="preserve"> </w:t>
      </w:r>
      <w:proofErr w:type="spellStart"/>
      <w:r w:rsidR="00D3428E" w:rsidRPr="005B7291">
        <w:rPr>
          <w:rFonts w:ascii="Arial" w:eastAsia="Times New Roman" w:hAnsi="Arial" w:cs="Arial"/>
          <w:i/>
          <w:color w:val="000000" w:themeColor="text1"/>
          <w:sz w:val="20"/>
          <w:szCs w:val="20"/>
          <w:lang w:val="en-US" w:eastAsia="fr-FR"/>
        </w:rPr>
        <w:t>olitorius</w:t>
      </w:r>
      <w:proofErr w:type="spellEnd"/>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w:t>
      </w:r>
      <w:r w:rsidR="008B5385" w:rsidRPr="005B7291">
        <w:rPr>
          <w:rFonts w:ascii="Arial" w:eastAsia="Times New Roman" w:hAnsi="Arial" w:cs="Arial"/>
          <w:color w:val="000000" w:themeColor="text1"/>
          <w:sz w:val="20"/>
          <w:szCs w:val="20"/>
          <w:lang w:val="en-US" w:eastAsia="fr-FR"/>
        </w:rPr>
        <w:t xml:space="preserve">which is </w:t>
      </w:r>
      <w:r w:rsidRPr="005B7291">
        <w:rPr>
          <w:rFonts w:ascii="Arial" w:eastAsia="Times New Roman" w:hAnsi="Arial" w:cs="Arial"/>
          <w:color w:val="000000" w:themeColor="text1"/>
          <w:sz w:val="20"/>
          <w:szCs w:val="20"/>
          <w:lang w:val="en-US" w:eastAsia="fr-FR"/>
        </w:rPr>
        <w:t>native to tropical and subtropical regions worldwid</w:t>
      </w:r>
      <w:r w:rsidR="003D632B"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 is found in several African countries, including Egypt, </w:t>
      </w:r>
      <w:r w:rsidR="008B5385"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 xml:space="preserve">Ivory Coast, Benin, Nigeria, and Cameroon. Its leaves, </w:t>
      </w:r>
      <w:r w:rsidR="008B5385" w:rsidRPr="005B7291">
        <w:rPr>
          <w:rFonts w:ascii="Arial" w:eastAsia="Times New Roman" w:hAnsi="Arial" w:cs="Arial"/>
          <w:color w:val="000000" w:themeColor="text1"/>
          <w:sz w:val="20"/>
          <w:szCs w:val="20"/>
          <w:lang w:val="en-US" w:eastAsia="fr-FR"/>
        </w:rPr>
        <w:t xml:space="preserve">which are </w:t>
      </w:r>
      <w:r w:rsidRPr="005B7291">
        <w:rPr>
          <w:rFonts w:ascii="Arial" w:eastAsia="Times New Roman" w:hAnsi="Arial" w:cs="Arial"/>
          <w:color w:val="000000" w:themeColor="text1"/>
          <w:sz w:val="20"/>
          <w:szCs w:val="20"/>
          <w:lang w:val="en-US" w:eastAsia="fr-FR"/>
        </w:rPr>
        <w:t xml:space="preserve">commonly consumed as leafy vegetables </w:t>
      </w:r>
      <w:r w:rsidR="008B5385" w:rsidRPr="005B7291">
        <w:rPr>
          <w:rFonts w:ascii="Arial" w:eastAsia="Times New Roman" w:hAnsi="Arial" w:cs="Arial"/>
          <w:color w:val="000000" w:themeColor="text1"/>
          <w:sz w:val="20"/>
          <w:szCs w:val="20"/>
          <w:lang w:val="en-US" w:eastAsia="fr-FR"/>
        </w:rPr>
        <w:t xml:space="preserve">because of </w:t>
      </w:r>
      <w:r w:rsidRPr="005B7291">
        <w:rPr>
          <w:rFonts w:ascii="Arial" w:eastAsia="Times New Roman" w:hAnsi="Arial" w:cs="Arial"/>
          <w:color w:val="000000" w:themeColor="text1"/>
          <w:sz w:val="20"/>
          <w:szCs w:val="20"/>
          <w:lang w:val="en-US" w:eastAsia="fr-FR"/>
        </w:rPr>
        <w:t xml:space="preserve">their viscosity, are used to treat a broad spectrum of pathologies (dysentery, malaria, fever, gonorrhea, etc.)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2022)","plainTextFormattedCitation":"(Abdel-Razek et al., 2022)","previouslyFormattedCitation":"(Abdel-Razek et al., 2022)"},"properties":{"noteIndex":0},"schema":"https://github.com/citation-style-language/schema/raw/master/csl-citation.json"}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(Abdel-Razek et al., 2022)</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The fruits are capsules containing multiple seeds used for plant reproduction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{"citationItems":[{"id":"ITEM-1","itemData":{"DOI":"10.1007/s10722-016-0415-y","ISSN":"15735109","abstract":"Detailed information about genetic differences among individuals or groups of accessions can be helpful for management and utilization of germplasm collections. So, descriptor assist scientists to improve their capacity to describe, store, manage and share information about plant resources, whether stored in genebanks or growing in natural environments. It is also an important tool to enable information sharing for crops, facilitate the international exchange and use of plant resources, uniformity in data description. Provide an international format and a universally understood language for plant genetic resources data. They are targeted at farmers, curators, breeders and users and facilitate the exchange and use of resources (Rana et al. 1991, Van Hintum in Genet Resour Crop Evol 40:133–136, 1993). This test guideline was developed to apply to all varieties of C. olitorius and C. capsularis. It is an important tool to enable gathering and sharing information about the two cultivated species, C. olitorius and C. capsularis biodiversity. C. olitorius and C. capsularis, are tall, usually annual herbs, reaching a height of 2.4 m. They are used as a major source of natural fibres mainly in Asian and Latin American countries. C. olitorius (jute mallow) is an important green leafy vegetable in many areas. Different parts of C. olitorius are also used in folk medicine (Patel and Datta in Grana Palynol 1:18–24, 1958; Rao in Sydowia 30:164–185, 1977; Sajib et al. in Plant Cell Tissue Organ Cult 95:333–340, 2008).","author":[{"dropping-particle":"","family":"Loumerem","given":"Mohamed","non-dropping-particle":"","parse-names":false,"suffix":""},{"dropping-particle":"","family":"Alercia","given":"Adriana","non-dropping-particle":"","parse-names":false,"suffix":""}],"container-title":"Genetic Resources and Crop Evolution","id":"ITEM-1","issue":"7","issued":{"date-parts":[["2016"]]},"page":"1103-1111","title":"Descriptors for jute (Corchorus olitorius L.)","type":"article-journal","volume":"63"},"uris":["http://www.mendeley.com/documents/?uuid=51b0582b-b5ab-430c-a0bf-e6d493bdb448"]}],"mendeley":{"formattedCitation":"(Loumerem &amp; Alercia, 2016)","plainTextFormattedCitation":"(Loumerem &amp; Alercia, 2016)","previouslyFormattedCitation":"(Loumerem &amp; Alercia,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(Loumerem &amp; Alercia,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i/>
          <w:color w:val="000000" w:themeColor="text1"/>
          <w:sz w:val="20"/>
          <w:szCs w:val="20"/>
          <w:lang w:val="en-US" w:eastAsia="fr-FR"/>
        </w:rPr>
        <w:t>Abelmoschus</w:t>
      </w:r>
      <w:proofErr w:type="spellEnd"/>
      <w:r w:rsidRPr="005B7291">
        <w:rPr>
          <w:rFonts w:ascii="Arial" w:eastAsia="Times New Roman" w:hAnsi="Arial" w:cs="Arial"/>
          <w:i/>
          <w:color w:val="000000" w:themeColor="text1"/>
          <w:sz w:val="20"/>
          <w:szCs w:val="20"/>
          <w:lang w:val="en-US" w:eastAsia="fr-FR"/>
        </w:rPr>
        <w:t xml:space="preserve"> </w:t>
      </w:r>
      <w:proofErr w:type="spellStart"/>
      <w:r w:rsidRPr="005B7291">
        <w:rPr>
          <w:rFonts w:ascii="Arial" w:eastAsia="Times New Roman" w:hAnsi="Arial" w:cs="Arial"/>
          <w:i/>
          <w:color w:val="000000" w:themeColor="text1"/>
          <w:sz w:val="20"/>
          <w:szCs w:val="20"/>
          <w:lang w:val="en-US" w:eastAsia="fr-FR"/>
        </w:rPr>
        <w:t>esculentus</w:t>
      </w:r>
      <w:proofErr w:type="spellEnd"/>
      <w:r w:rsidRPr="005B7291">
        <w:rPr>
          <w:rFonts w:ascii="Arial" w:eastAsia="Times New Roman" w:hAnsi="Arial" w:cs="Arial"/>
          <w:color w:val="000000" w:themeColor="text1"/>
          <w:sz w:val="20"/>
          <w:szCs w:val="20"/>
          <w:lang w:val="en-US" w:eastAsia="fr-FR"/>
        </w:rPr>
        <w:t xml:space="preserve">, or okra, is a vegetable plant from the </w:t>
      </w:r>
      <w:proofErr w:type="spellStart"/>
      <w:r w:rsidRPr="005B7291">
        <w:rPr>
          <w:rFonts w:ascii="Arial" w:eastAsia="Times New Roman" w:hAnsi="Arial" w:cs="Arial"/>
          <w:color w:val="000000" w:themeColor="text1"/>
          <w:sz w:val="20"/>
          <w:szCs w:val="20"/>
          <w:lang w:val="en-US" w:eastAsia="fr-FR"/>
        </w:rPr>
        <w:t>Malvaceae</w:t>
      </w:r>
      <w:proofErr w:type="spellEnd"/>
      <w:r w:rsidRPr="005B7291">
        <w:rPr>
          <w:rFonts w:ascii="Arial" w:eastAsia="Times New Roman" w:hAnsi="Arial" w:cs="Arial"/>
          <w:color w:val="000000" w:themeColor="text1"/>
          <w:sz w:val="20"/>
          <w:szCs w:val="20"/>
          <w:lang w:val="en-US" w:eastAsia="fr-FR"/>
        </w:rPr>
        <w:t xml:space="preserve"> family</w:t>
      </w:r>
      <w:r w:rsidR="008B5385" w:rsidRPr="005B7291">
        <w:rPr>
          <w:rFonts w:ascii="Arial" w:eastAsia="Times New Roman" w:hAnsi="Arial" w:cs="Arial"/>
          <w:color w:val="000000" w:themeColor="text1"/>
          <w:sz w:val="20"/>
          <w:szCs w:val="20"/>
          <w:lang w:val="en-US" w:eastAsia="fr-FR"/>
        </w:rPr>
        <w:t xml:space="preserve">; that is </w:t>
      </w:r>
      <w:r w:rsidRPr="005B7291">
        <w:rPr>
          <w:rFonts w:ascii="Arial" w:eastAsia="Times New Roman" w:hAnsi="Arial" w:cs="Arial"/>
          <w:color w:val="000000" w:themeColor="text1"/>
          <w:sz w:val="20"/>
          <w:szCs w:val="20"/>
          <w:lang w:val="en-US" w:eastAsia="fr-FR"/>
        </w:rPr>
        <w:t xml:space="preserve">commonly used for its edible immature fruit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Like </w:t>
      </w:r>
      <w:proofErr w:type="spellStart"/>
      <w:r w:rsidRPr="005B7291">
        <w:rPr>
          <w:rFonts w:ascii="Arial" w:eastAsia="Times New Roman" w:hAnsi="Arial" w:cs="Arial"/>
          <w:i/>
          <w:color w:val="000000" w:themeColor="text1"/>
          <w:sz w:val="20"/>
          <w:szCs w:val="20"/>
          <w:lang w:val="en-US" w:eastAsia="fr-FR"/>
        </w:rPr>
        <w:t>Corchorus</w:t>
      </w:r>
      <w:proofErr w:type="spellEnd"/>
      <w:r w:rsidRPr="005B7291">
        <w:rPr>
          <w:rFonts w:ascii="Arial" w:eastAsia="Times New Roman" w:hAnsi="Arial" w:cs="Arial"/>
          <w:i/>
          <w:color w:val="000000" w:themeColor="text1"/>
          <w:sz w:val="20"/>
          <w:szCs w:val="20"/>
          <w:lang w:val="en-US" w:eastAsia="fr-FR"/>
        </w:rPr>
        <w:t xml:space="preserve"> </w:t>
      </w:r>
      <w:proofErr w:type="spellStart"/>
      <w:r w:rsidR="00D3428E" w:rsidRPr="005B7291">
        <w:rPr>
          <w:rFonts w:ascii="Arial" w:eastAsia="Times New Roman" w:hAnsi="Arial" w:cs="Arial"/>
          <w:i/>
          <w:color w:val="000000" w:themeColor="text1"/>
          <w:sz w:val="20"/>
          <w:szCs w:val="20"/>
          <w:lang w:val="en-US" w:eastAsia="fr-FR"/>
        </w:rPr>
        <w:t>olitorius</w:t>
      </w:r>
      <w:proofErr w:type="spellEnd"/>
      <w:r w:rsidRPr="005B7291">
        <w:rPr>
          <w:rFonts w:ascii="Arial" w:eastAsia="Times New Roman" w:hAnsi="Arial" w:cs="Arial"/>
          <w:color w:val="000000" w:themeColor="text1"/>
          <w:sz w:val="20"/>
          <w:szCs w:val="20"/>
          <w:lang w:val="en-US" w:eastAsia="fr-FR"/>
        </w:rPr>
        <w:t xml:space="preserve">, it thrives in tropical and subtropical regions worldwide </w:t>
      </w:r>
      <w:r w:rsidR="00612C3C" w:rsidRPr="005B7291">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2015)","plainTextFormattedCitation":"(Gemede et al., 2015)","previouslyFormattedCitation":"(Gemede et al., 2015)"},"properties":{"noteIndex":0},"schema":"https://github.com/citation-style-language/schema/raw/master/csl-citation.json"}</w:instrText>
      </w:r>
      <w:r w:rsidR="00612C3C" w:rsidRPr="005B7291">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(Gemede et al., 2015)</w:t>
      </w:r>
      <w:r w:rsidR="00612C3C" w:rsidRPr="005B7291">
        <w:rPr>
          <w:rFonts w:ascii="Arial" w:hAnsi="Arial" w:cs="Arial"/>
          <w:color w:val="000000" w:themeColor="text1"/>
          <w:sz w:val="20"/>
          <w:szCs w:val="20"/>
        </w:rPr>
        <w:fldChar w:fldCharType="end"/>
      </w:r>
      <w:r w:rsidRPr="005B7291">
        <w:rPr>
          <w:rFonts w:ascii="Arial" w:eastAsia="Times New Roman" w:hAnsi="Arial" w:cs="Arial"/>
          <w:color w:val="000000" w:themeColor="text1"/>
          <w:sz w:val="20"/>
          <w:szCs w:val="20"/>
          <w:lang w:val="en-US" w:eastAsia="fr-FR"/>
        </w:rPr>
        <w:t xml:space="preserve"> and is found in East and Central Africa. All its </w:t>
      </w:r>
      <w:r w:rsidRPr="005B7291">
        <w:rPr>
          <w:rFonts w:ascii="Arial" w:eastAsia="Times New Roman" w:hAnsi="Arial" w:cs="Arial"/>
          <w:color w:val="000000" w:themeColor="text1"/>
          <w:sz w:val="20"/>
          <w:szCs w:val="20"/>
          <w:lang w:val="en-US" w:eastAsia="fr-FR"/>
        </w:rPr>
        <w:lastRenderedPageBreak/>
        <w:t>organs (leaves, flowers, stems, seeds) are edible.</w:t>
      </w:r>
      <w:r w:rsidR="00D96F61" w:rsidRPr="005B7291">
        <w:rPr>
          <w:rFonts w:ascii="Arial" w:eastAsia="Times New Roman" w:hAnsi="Arial" w:cs="Arial"/>
          <w:color w:val="000000" w:themeColor="text1"/>
          <w:sz w:val="20"/>
          <w:szCs w:val="20"/>
          <w:lang w:val="en-US" w:eastAsia="fr-FR"/>
        </w:rPr>
        <w:t xml:space="preserve"> </w:t>
      </w:r>
      <w:r w:rsidR="00553A4E" w:rsidRPr="005B7291">
        <w:rPr>
          <w:rFonts w:ascii="Arial" w:hAnsi="Arial" w:cs="Arial"/>
          <w:color w:val="000000" w:themeColor="text1"/>
          <w:sz w:val="20"/>
          <w:szCs w:val="20"/>
          <w:lang w:val="en-US"/>
        </w:rPr>
        <w:t xml:space="preserve">The leaves and fruits of </w:t>
      </w:r>
      <w:proofErr w:type="spellStart"/>
      <w:r w:rsidR="00553A4E" w:rsidRPr="005B7291">
        <w:rPr>
          <w:rStyle w:val="lev"/>
          <w:rFonts w:ascii="Arial" w:hAnsi="Arial" w:cs="Arial"/>
          <w:b w:val="0"/>
          <w:bCs w:val="0"/>
          <w:i/>
          <w:iCs/>
          <w:color w:val="000000" w:themeColor="text1"/>
          <w:sz w:val="20"/>
          <w:szCs w:val="20"/>
          <w:lang w:val="en-US"/>
        </w:rPr>
        <w:t>Corchorus</w:t>
      </w:r>
      <w:proofErr w:type="spellEnd"/>
      <w:r w:rsidR="00553A4E" w:rsidRPr="005B7291">
        <w:rPr>
          <w:rStyle w:val="lev"/>
          <w:rFonts w:ascii="Arial" w:hAnsi="Arial" w:cs="Arial"/>
          <w:b w:val="0"/>
          <w:bCs w:val="0"/>
          <w:i/>
          <w:iCs/>
          <w:color w:val="000000" w:themeColor="text1"/>
          <w:sz w:val="20"/>
          <w:szCs w:val="20"/>
          <w:lang w:val="en-US"/>
        </w:rPr>
        <w:t xml:space="preserve"> </w:t>
      </w:r>
      <w:proofErr w:type="spellStart"/>
      <w:r w:rsidR="00553A4E" w:rsidRPr="005B7291">
        <w:rPr>
          <w:rStyle w:val="lev"/>
          <w:rFonts w:ascii="Arial" w:hAnsi="Arial" w:cs="Arial"/>
          <w:b w:val="0"/>
          <w:bCs w:val="0"/>
          <w:i/>
          <w:iCs/>
          <w:color w:val="000000" w:themeColor="text1"/>
          <w:sz w:val="20"/>
          <w:szCs w:val="20"/>
          <w:lang w:val="en-US"/>
        </w:rPr>
        <w:t>olitorius</w:t>
      </w:r>
      <w:proofErr w:type="spellEnd"/>
      <w:r w:rsidR="00553A4E" w:rsidRPr="005B7291">
        <w:rPr>
          <w:rFonts w:ascii="Arial" w:hAnsi="Arial" w:cs="Arial"/>
          <w:color w:val="000000" w:themeColor="text1"/>
          <w:sz w:val="20"/>
          <w:szCs w:val="20"/>
          <w:lang w:val="en-US"/>
        </w:rPr>
        <w:t xml:space="preserve"> and </w:t>
      </w:r>
      <w:proofErr w:type="spellStart"/>
      <w:r w:rsidR="00553A4E" w:rsidRPr="005B7291">
        <w:rPr>
          <w:rStyle w:val="lev"/>
          <w:rFonts w:ascii="Arial" w:hAnsi="Arial" w:cs="Arial"/>
          <w:b w:val="0"/>
          <w:bCs w:val="0"/>
          <w:i/>
          <w:iCs/>
          <w:color w:val="000000" w:themeColor="text1"/>
          <w:sz w:val="20"/>
          <w:szCs w:val="20"/>
          <w:lang w:val="en-US"/>
        </w:rPr>
        <w:t>Abelmoschus</w:t>
      </w:r>
      <w:proofErr w:type="spellEnd"/>
      <w:r w:rsidR="00553A4E" w:rsidRPr="005B7291">
        <w:rPr>
          <w:rStyle w:val="lev"/>
          <w:rFonts w:ascii="Arial" w:hAnsi="Arial" w:cs="Arial"/>
          <w:b w:val="0"/>
          <w:bCs w:val="0"/>
          <w:i/>
          <w:iCs/>
          <w:color w:val="000000" w:themeColor="text1"/>
          <w:sz w:val="20"/>
          <w:szCs w:val="20"/>
          <w:lang w:val="en-US"/>
        </w:rPr>
        <w:t xml:space="preserve"> </w:t>
      </w:r>
      <w:proofErr w:type="spellStart"/>
      <w:r w:rsidR="00553A4E" w:rsidRPr="005B7291">
        <w:rPr>
          <w:rStyle w:val="lev"/>
          <w:rFonts w:ascii="Arial" w:hAnsi="Arial" w:cs="Arial"/>
          <w:b w:val="0"/>
          <w:bCs w:val="0"/>
          <w:i/>
          <w:iCs/>
          <w:color w:val="000000" w:themeColor="text1"/>
          <w:sz w:val="20"/>
          <w:szCs w:val="20"/>
          <w:lang w:val="en-US"/>
        </w:rPr>
        <w:t>esculentus</w:t>
      </w:r>
      <w:proofErr w:type="spellEnd"/>
      <w:r w:rsidR="00553A4E" w:rsidRPr="005B7291">
        <w:rPr>
          <w:rFonts w:ascii="Arial" w:hAnsi="Arial" w:cs="Arial"/>
          <w:color w:val="000000" w:themeColor="text1"/>
          <w:sz w:val="20"/>
          <w:szCs w:val="20"/>
          <w:lang w:val="en-US"/>
        </w:rPr>
        <w:t xml:space="preserve"> are rich in minerals, proteins, sugars, fibers, and </w:t>
      </w:r>
      <w:r w:rsidR="00D96F61" w:rsidRPr="005B7291">
        <w:rPr>
          <w:rFonts w:ascii="Arial" w:hAnsi="Arial" w:cs="Arial"/>
          <w:color w:val="000000" w:themeColor="text1"/>
          <w:sz w:val="20"/>
          <w:szCs w:val="20"/>
          <w:lang w:val="en-US"/>
        </w:rPr>
        <w:t>numerous</w:t>
      </w:r>
      <w:r w:rsidR="00553A4E" w:rsidRPr="005B7291">
        <w:rPr>
          <w:rFonts w:ascii="Arial" w:hAnsi="Arial" w:cs="Arial"/>
          <w:color w:val="000000" w:themeColor="text1"/>
          <w:sz w:val="20"/>
          <w:szCs w:val="20"/>
          <w:lang w:val="en-US"/>
        </w:rPr>
        <w:t xml:space="preserve"> bioactive compounds</w:t>
      </w:r>
      <w:r w:rsidR="00E02B55" w:rsidRPr="005B7291">
        <w:rPr>
          <w:rFonts w:ascii="Arial" w:hAnsi="Arial" w:cs="Arial"/>
          <w:color w:val="000000" w:themeColor="text1"/>
          <w:sz w:val="20"/>
          <w:szCs w:val="20"/>
          <w:lang w:val="en-US"/>
        </w:rPr>
        <w:t xml:space="preserve"> </w:t>
      </w:r>
      <w:r w:rsidR="00E02B55"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2019)","plainTextFormattedCitation":"(Sha’a et al., 2019)","previouslyFormattedCitation":"(Sha’a et al., 2019)"},"properties":{"noteIndex":0},"schema":"https://github.com/citation-style-language/schema/raw/master/csl-citation.json"}</w:instrText>
      </w:r>
      <w:r w:rsidR="00E02B55"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(Sha’a et al., 2019)</w:t>
      </w:r>
      <w:r w:rsidR="00E02B55" w:rsidRPr="005B7291">
        <w:rPr>
          <w:rFonts w:ascii="Arial" w:hAnsi="Arial" w:cs="Arial"/>
          <w:color w:val="000000" w:themeColor="text1"/>
          <w:sz w:val="20"/>
          <w:szCs w:val="20"/>
          <w:lang w:val="en-US"/>
        </w:rPr>
        <w:fldChar w:fldCharType="end"/>
      </w:r>
      <w:r w:rsidR="00553A4E" w:rsidRPr="005B7291">
        <w:rPr>
          <w:rFonts w:ascii="Arial" w:hAnsi="Arial" w:cs="Arial"/>
          <w:color w:val="000000" w:themeColor="text1"/>
          <w:sz w:val="20"/>
          <w:szCs w:val="20"/>
          <w:lang w:val="en-US"/>
        </w:rPr>
        <w:t>.</w:t>
      </w:r>
      <w:r w:rsidR="008815CC" w:rsidRPr="005B7291">
        <w:rPr>
          <w:rFonts w:ascii="Arial" w:hAnsi="Arial" w:cs="Arial"/>
          <w:color w:val="000000" w:themeColor="text1"/>
          <w:sz w:val="20"/>
          <w:szCs w:val="20"/>
          <w:lang w:val="en-US"/>
        </w:rPr>
        <w:t xml:space="preserve"> However</w:t>
      </w:r>
      <w:r w:rsidR="00553A4E" w:rsidRPr="005B7291">
        <w:rPr>
          <w:rFonts w:ascii="Arial" w:hAnsi="Arial" w:cs="Arial"/>
          <w:color w:val="000000" w:themeColor="text1"/>
          <w:sz w:val="20"/>
          <w:szCs w:val="20"/>
          <w:lang w:val="en-US"/>
        </w:rPr>
        <w:t xml:space="preserve">, the content </w:t>
      </w:r>
      <w:r w:rsidR="008815CC" w:rsidRPr="005B7291">
        <w:rPr>
          <w:rFonts w:ascii="Arial" w:hAnsi="Arial" w:cs="Arial"/>
          <w:color w:val="000000" w:themeColor="text1"/>
          <w:sz w:val="20"/>
          <w:szCs w:val="20"/>
          <w:lang w:val="en-US"/>
        </w:rPr>
        <w:t xml:space="preserve">of these compounds </w:t>
      </w:r>
      <w:r w:rsidR="00553A4E" w:rsidRPr="005B7291">
        <w:rPr>
          <w:rFonts w:ascii="Arial" w:hAnsi="Arial" w:cs="Arial"/>
          <w:color w:val="000000" w:themeColor="text1"/>
          <w:sz w:val="20"/>
          <w:szCs w:val="20"/>
          <w:lang w:val="en-US"/>
        </w:rPr>
        <w:t xml:space="preserve">varies when </w:t>
      </w:r>
      <w:r w:rsidR="008815CC" w:rsidRPr="005B7291">
        <w:rPr>
          <w:rFonts w:ascii="Arial" w:hAnsi="Arial" w:cs="Arial"/>
          <w:color w:val="000000" w:themeColor="text1"/>
          <w:sz w:val="20"/>
          <w:szCs w:val="20"/>
          <w:lang w:val="en-US"/>
        </w:rPr>
        <w:t xml:space="preserve">they are </w:t>
      </w:r>
      <w:r w:rsidR="00553A4E" w:rsidRPr="005B7291">
        <w:rPr>
          <w:rFonts w:ascii="Arial" w:hAnsi="Arial" w:cs="Arial"/>
          <w:color w:val="000000" w:themeColor="text1"/>
          <w:sz w:val="20"/>
          <w:szCs w:val="20"/>
          <w:lang w:val="en-US"/>
        </w:rPr>
        <w:t>transformed into powders</w:t>
      </w:r>
      <w:r w:rsidR="008815CC"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which</w:t>
      </w:r>
      <w:r w:rsidR="008815CC" w:rsidRPr="005B7291">
        <w:rPr>
          <w:rFonts w:ascii="Arial" w:hAnsi="Arial" w:cs="Arial"/>
          <w:color w:val="000000" w:themeColor="text1"/>
          <w:sz w:val="20"/>
          <w:szCs w:val="20"/>
          <w:lang w:val="en-US"/>
        </w:rPr>
        <w:t xml:space="preserve"> significantly affects their </w:t>
      </w:r>
      <w:r w:rsidR="008121AD">
        <w:rPr>
          <w:rFonts w:ascii="Arial" w:hAnsi="Arial" w:cs="Arial"/>
          <w:color w:val="000000" w:themeColor="text1"/>
          <w:sz w:val="20"/>
          <w:szCs w:val="20"/>
          <w:lang w:val="en-US"/>
        </w:rPr>
        <w:t>nutritional and bioactive characteristics</w:t>
      </w:r>
      <w:r w:rsidR="003D632B" w:rsidRPr="005B7291">
        <w:rPr>
          <w:rFonts w:ascii="Arial" w:hAnsi="Arial" w:cs="Arial"/>
          <w:color w:val="000000" w:themeColor="text1"/>
          <w:sz w:val="20"/>
          <w:szCs w:val="20"/>
          <w:lang w:val="en-US"/>
        </w:rPr>
        <w:t>.</w:t>
      </w:r>
    </w:p>
    <w:p w14:paraId="6631DED0" w14:textId="08AB420A" w:rsidR="002512DF" w:rsidRPr="00987596" w:rsidRDefault="00DE628D" w:rsidP="00DE628D">
      <w:pPr>
        <w:spacing w:before="240" w:line="360" w:lineRule="auto"/>
        <w:jc w:val="both"/>
        <w:rPr>
          <w:rFonts w:ascii="Arial" w:hAnsi="Arial" w:cs="Arial"/>
          <w:color w:val="FF0000"/>
          <w:sz w:val="20"/>
          <w:szCs w:val="20"/>
          <w:lang w:val="en-US"/>
        </w:rPr>
      </w:pPr>
      <w:r w:rsidRPr="005B7291">
        <w:rPr>
          <w:rFonts w:ascii="Arial" w:hAnsi="Arial" w:cs="Arial"/>
          <w:color w:val="000000" w:themeColor="text1"/>
          <w:sz w:val="20"/>
          <w:szCs w:val="20"/>
          <w:lang w:val="en-US"/>
        </w:rPr>
        <w:t>In view of the above, it is clear that</w:t>
      </w:r>
      <w:r w:rsidR="00255DA3" w:rsidRPr="005B7291">
        <w:rPr>
          <w:rFonts w:ascii="Arial" w:eastAsia="Times New Roman" w:hAnsi="Arial" w:cs="Arial"/>
          <w:color w:val="000000" w:themeColor="text1"/>
          <w:sz w:val="20"/>
          <w:szCs w:val="20"/>
          <w:lang w:val="en-US" w:eastAsia="fr-FR"/>
        </w:rPr>
        <w:t>,</w:t>
      </w:r>
      <w:r w:rsidR="00F76DC2" w:rsidRPr="005B7291">
        <w:rPr>
          <w:rFonts w:ascii="Arial" w:eastAsia="Times New Roman" w:hAnsi="Arial" w:cs="Arial"/>
          <w:color w:val="000000" w:themeColor="text1"/>
          <w:sz w:val="20"/>
          <w:szCs w:val="20"/>
          <w:lang w:val="en-US" w:eastAsia="fr-FR"/>
        </w:rPr>
        <w:t xml:space="preserve"> th</w:t>
      </w:r>
      <w:r w:rsidR="00255DA3" w:rsidRPr="005B7291">
        <w:rPr>
          <w:rFonts w:ascii="Arial" w:eastAsia="Times New Roman" w:hAnsi="Arial" w:cs="Arial"/>
          <w:color w:val="000000" w:themeColor="text1"/>
          <w:sz w:val="20"/>
          <w:szCs w:val="20"/>
          <w:lang w:val="en-US" w:eastAsia="fr-FR"/>
        </w:rPr>
        <w:t>e use</w:t>
      </w:r>
      <w:r w:rsidR="00F76DC2" w:rsidRPr="005B7291">
        <w:rPr>
          <w:rFonts w:ascii="Arial" w:eastAsia="Times New Roman" w:hAnsi="Arial" w:cs="Arial"/>
          <w:color w:val="000000" w:themeColor="text1"/>
          <w:sz w:val="20"/>
          <w:szCs w:val="20"/>
          <w:lang w:val="en-US" w:eastAsia="fr-FR"/>
        </w:rPr>
        <w:t xml:space="preserve"> </w:t>
      </w:r>
      <w:r w:rsidR="00255DA3" w:rsidRPr="005B7291">
        <w:rPr>
          <w:rFonts w:ascii="Arial" w:eastAsia="Times New Roman" w:hAnsi="Arial" w:cs="Arial"/>
          <w:color w:val="000000" w:themeColor="text1"/>
          <w:sz w:val="20"/>
          <w:szCs w:val="20"/>
          <w:lang w:val="en-US" w:eastAsia="fr-FR"/>
        </w:rPr>
        <w:t xml:space="preserve">of </w:t>
      </w:r>
      <w:r w:rsidR="001F18D7" w:rsidRPr="005B7291">
        <w:rPr>
          <w:rFonts w:ascii="Arial" w:eastAsia="Times New Roman" w:hAnsi="Arial" w:cs="Arial"/>
          <w:color w:val="000000" w:themeColor="text1"/>
          <w:sz w:val="20"/>
          <w:szCs w:val="20"/>
          <w:lang w:val="en-US" w:eastAsia="fr-FR"/>
        </w:rPr>
        <w:t xml:space="preserve">food powders </w:t>
      </w:r>
      <w:r w:rsidR="00A27F3D" w:rsidRPr="005B7291">
        <w:rPr>
          <w:rFonts w:ascii="Arial" w:eastAsia="Times New Roman" w:hAnsi="Arial" w:cs="Arial"/>
          <w:color w:val="000000" w:themeColor="text1"/>
          <w:sz w:val="20"/>
          <w:szCs w:val="20"/>
          <w:lang w:val="en-US" w:eastAsia="fr-FR"/>
        </w:rPr>
        <w:t xml:space="preserve">as </w:t>
      </w:r>
      <w:r w:rsidR="00BF4407" w:rsidRPr="005B7291">
        <w:rPr>
          <w:rFonts w:ascii="Arial" w:eastAsia="Times New Roman" w:hAnsi="Arial" w:cs="Arial"/>
          <w:color w:val="000000" w:themeColor="text1"/>
          <w:sz w:val="20"/>
          <w:szCs w:val="20"/>
          <w:lang w:val="en-US" w:eastAsia="fr-FR"/>
        </w:rPr>
        <w:t>supplementar</w:t>
      </w:r>
      <w:r w:rsidR="00BC5107" w:rsidRPr="005B7291">
        <w:rPr>
          <w:rFonts w:ascii="Arial" w:eastAsia="Times New Roman" w:hAnsi="Arial" w:cs="Arial"/>
          <w:color w:val="000000" w:themeColor="text1"/>
          <w:sz w:val="20"/>
          <w:szCs w:val="20"/>
          <w:lang w:val="en-US" w:eastAsia="fr-FR"/>
        </w:rPr>
        <w:t>y</w:t>
      </w:r>
      <w:r w:rsidR="00A27F3D" w:rsidRPr="005B7291">
        <w:rPr>
          <w:rFonts w:ascii="Arial" w:eastAsia="Times New Roman" w:hAnsi="Arial" w:cs="Arial"/>
          <w:color w:val="000000" w:themeColor="text1"/>
          <w:sz w:val="20"/>
          <w:szCs w:val="20"/>
          <w:lang w:val="en-US" w:eastAsia="fr-FR"/>
        </w:rPr>
        <w:t xml:space="preserve"> foods </w:t>
      </w:r>
      <w:r w:rsidR="00795876" w:rsidRPr="005B7291">
        <w:rPr>
          <w:rFonts w:ascii="Arial" w:eastAsia="Times New Roman" w:hAnsi="Arial" w:cs="Arial"/>
          <w:color w:val="000000" w:themeColor="text1"/>
          <w:sz w:val="20"/>
          <w:szCs w:val="20"/>
          <w:lang w:val="en-US" w:eastAsia="fr-FR"/>
        </w:rPr>
        <w:t>in</w:t>
      </w:r>
      <w:r w:rsidR="00A27F3D" w:rsidRPr="005B7291">
        <w:rPr>
          <w:rFonts w:ascii="Arial" w:eastAsia="Times New Roman" w:hAnsi="Arial" w:cs="Arial"/>
          <w:color w:val="000000" w:themeColor="text1"/>
          <w:sz w:val="20"/>
          <w:szCs w:val="20"/>
          <w:lang w:val="en-US" w:eastAsia="fr-FR"/>
        </w:rPr>
        <w:t xml:space="preserve"> </w:t>
      </w:r>
      <w:r w:rsidR="005E3488" w:rsidRPr="005B7291">
        <w:rPr>
          <w:rFonts w:ascii="Arial" w:eastAsia="Times New Roman" w:hAnsi="Arial" w:cs="Arial"/>
          <w:color w:val="000000" w:themeColor="text1"/>
          <w:sz w:val="20"/>
          <w:szCs w:val="20"/>
          <w:lang w:val="en-US" w:eastAsia="fr-FR"/>
        </w:rPr>
        <w:t xml:space="preserve">the </w:t>
      </w:r>
      <w:r w:rsidR="00255DA3" w:rsidRPr="005B7291">
        <w:rPr>
          <w:rFonts w:ascii="Arial" w:eastAsia="Times New Roman" w:hAnsi="Arial" w:cs="Arial"/>
          <w:color w:val="000000" w:themeColor="text1"/>
          <w:sz w:val="20"/>
          <w:szCs w:val="20"/>
          <w:lang w:val="en-US" w:eastAsia="fr-FR"/>
        </w:rPr>
        <w:t xml:space="preserve">fight </w:t>
      </w:r>
      <w:r w:rsidR="005E3488" w:rsidRPr="005B7291">
        <w:rPr>
          <w:rFonts w:ascii="Arial" w:eastAsia="Times New Roman" w:hAnsi="Arial" w:cs="Arial"/>
          <w:color w:val="000000" w:themeColor="text1"/>
          <w:sz w:val="20"/>
          <w:szCs w:val="20"/>
          <w:lang w:val="en-US" w:eastAsia="fr-FR"/>
        </w:rPr>
        <w:t>against</w:t>
      </w:r>
      <w:r w:rsidR="00795876" w:rsidRPr="005B7291">
        <w:rPr>
          <w:rFonts w:ascii="Arial" w:eastAsia="Times New Roman" w:hAnsi="Arial" w:cs="Arial"/>
          <w:color w:val="000000" w:themeColor="text1"/>
          <w:sz w:val="20"/>
          <w:szCs w:val="20"/>
          <w:lang w:val="en-US" w:eastAsia="fr-FR"/>
        </w:rPr>
        <w:t xml:space="preserve"> </w:t>
      </w:r>
      <w:r w:rsidR="00A27F3D" w:rsidRPr="005B7291">
        <w:rPr>
          <w:rFonts w:ascii="Arial" w:eastAsia="Times New Roman" w:hAnsi="Arial" w:cs="Arial"/>
          <w:color w:val="000000" w:themeColor="text1"/>
          <w:sz w:val="20"/>
          <w:szCs w:val="20"/>
          <w:lang w:val="en-US" w:eastAsia="fr-FR"/>
        </w:rPr>
        <w:t>chronic diseases</w:t>
      </w:r>
      <w:r w:rsidR="00F76DC2" w:rsidRPr="005B7291">
        <w:rPr>
          <w:rFonts w:ascii="Arial" w:eastAsia="Times New Roman" w:hAnsi="Arial" w:cs="Arial"/>
          <w:color w:val="000000" w:themeColor="text1"/>
          <w:sz w:val="20"/>
          <w:szCs w:val="20"/>
          <w:lang w:val="en-US" w:eastAsia="fr-FR"/>
        </w:rPr>
        <w:t xml:space="preserve">, without </w:t>
      </w:r>
      <w:r w:rsidR="005E3488" w:rsidRPr="005B7291">
        <w:rPr>
          <w:rFonts w:ascii="Arial" w:eastAsia="Times New Roman" w:hAnsi="Arial" w:cs="Arial"/>
          <w:color w:val="000000" w:themeColor="text1"/>
          <w:sz w:val="20"/>
          <w:szCs w:val="20"/>
          <w:lang w:val="en-US" w:eastAsia="fr-FR"/>
        </w:rPr>
        <w:t>prior consideration of</w:t>
      </w:r>
      <w:r w:rsidR="00BF4407" w:rsidRPr="005B7291">
        <w:rPr>
          <w:rFonts w:ascii="Arial" w:eastAsia="Times New Roman" w:hAnsi="Arial" w:cs="Arial"/>
          <w:color w:val="000000" w:themeColor="text1"/>
          <w:sz w:val="20"/>
          <w:szCs w:val="20"/>
          <w:lang w:val="en-US" w:eastAsia="fr-FR"/>
        </w:rPr>
        <w:t xml:space="preserve"> </w:t>
      </w:r>
      <w:proofErr w:type="spellStart"/>
      <w:r w:rsidR="00BF4407" w:rsidRPr="005B7291">
        <w:rPr>
          <w:rFonts w:ascii="Arial" w:eastAsia="Times New Roman" w:hAnsi="Arial" w:cs="Arial"/>
          <w:color w:val="000000" w:themeColor="text1"/>
          <w:sz w:val="20"/>
          <w:szCs w:val="20"/>
          <w:lang w:val="en-US" w:eastAsia="fr-FR"/>
        </w:rPr>
        <w:t>granulometr</w:t>
      </w:r>
      <w:r w:rsidR="000373A4" w:rsidRPr="005B7291">
        <w:rPr>
          <w:rFonts w:ascii="Arial" w:eastAsia="Times New Roman" w:hAnsi="Arial" w:cs="Arial"/>
          <w:color w:val="000000" w:themeColor="text1"/>
          <w:sz w:val="20"/>
          <w:szCs w:val="20"/>
          <w:lang w:val="en-US" w:eastAsia="fr-FR"/>
        </w:rPr>
        <w:t>ic</w:t>
      </w:r>
      <w:proofErr w:type="spellEnd"/>
      <w:r w:rsidR="00BF4407" w:rsidRPr="005B7291">
        <w:rPr>
          <w:rFonts w:ascii="Arial" w:eastAsia="Times New Roman" w:hAnsi="Arial" w:cs="Arial"/>
          <w:color w:val="000000" w:themeColor="text1"/>
          <w:sz w:val="20"/>
          <w:szCs w:val="20"/>
          <w:lang w:val="en-US" w:eastAsia="fr-FR"/>
        </w:rPr>
        <w:t xml:space="preserve"> effects and </w:t>
      </w:r>
      <w:r w:rsidR="00F76DC2" w:rsidRPr="005B7291">
        <w:rPr>
          <w:rFonts w:ascii="Arial" w:eastAsia="Times New Roman" w:hAnsi="Arial" w:cs="Arial"/>
          <w:color w:val="000000" w:themeColor="text1"/>
          <w:sz w:val="20"/>
          <w:szCs w:val="20"/>
          <w:lang w:val="en-US" w:eastAsia="fr-FR"/>
        </w:rPr>
        <w:t xml:space="preserve">the multiple molecular interactions that </w:t>
      </w:r>
      <w:r w:rsidR="005E3488" w:rsidRPr="005B7291">
        <w:rPr>
          <w:rFonts w:ascii="Arial" w:eastAsia="Times New Roman" w:hAnsi="Arial" w:cs="Arial"/>
          <w:color w:val="000000" w:themeColor="text1"/>
          <w:sz w:val="20"/>
          <w:szCs w:val="20"/>
          <w:lang w:val="en-US" w:eastAsia="fr-FR"/>
        </w:rPr>
        <w:t>might occur in mixtures</w:t>
      </w:r>
      <w:r w:rsidR="00F76DC2" w:rsidRPr="005B7291">
        <w:rPr>
          <w:rFonts w:ascii="Arial" w:eastAsia="Times New Roman" w:hAnsi="Arial" w:cs="Arial"/>
          <w:color w:val="000000" w:themeColor="text1"/>
          <w:sz w:val="20"/>
          <w:szCs w:val="20"/>
          <w:lang w:val="en-US" w:eastAsia="fr-FR"/>
        </w:rPr>
        <w:t xml:space="preserve">, </w:t>
      </w:r>
      <w:r w:rsidR="00841B32" w:rsidRPr="005B7291">
        <w:rPr>
          <w:rFonts w:ascii="Arial" w:eastAsia="Times New Roman" w:hAnsi="Arial" w:cs="Arial"/>
          <w:color w:val="000000" w:themeColor="text1"/>
          <w:sz w:val="20"/>
          <w:szCs w:val="20"/>
          <w:lang w:val="en-US" w:eastAsia="fr-FR"/>
        </w:rPr>
        <w:t xml:space="preserve">poses the </w:t>
      </w:r>
      <w:r w:rsidR="00F76DC2" w:rsidRPr="005B7291">
        <w:rPr>
          <w:rFonts w:ascii="Arial" w:eastAsia="Times New Roman" w:hAnsi="Arial" w:cs="Arial"/>
          <w:color w:val="000000" w:themeColor="text1"/>
          <w:sz w:val="20"/>
          <w:szCs w:val="20"/>
          <w:lang w:val="en-US" w:eastAsia="fr-FR"/>
        </w:rPr>
        <w:t>risk</w:t>
      </w:r>
      <w:r w:rsidR="00841B32" w:rsidRPr="005B7291">
        <w:rPr>
          <w:rFonts w:ascii="Arial" w:eastAsia="Times New Roman" w:hAnsi="Arial" w:cs="Arial"/>
          <w:color w:val="000000" w:themeColor="text1"/>
          <w:sz w:val="20"/>
          <w:szCs w:val="20"/>
          <w:lang w:val="en-US" w:eastAsia="fr-FR"/>
        </w:rPr>
        <w:t xml:space="preserve"> of</w:t>
      </w:r>
      <w:r w:rsidR="00F76DC2" w:rsidRPr="005B7291">
        <w:rPr>
          <w:rFonts w:ascii="Arial" w:eastAsia="Times New Roman" w:hAnsi="Arial" w:cs="Arial"/>
          <w:color w:val="000000" w:themeColor="text1"/>
          <w:sz w:val="20"/>
          <w:szCs w:val="20"/>
          <w:lang w:val="en-US" w:eastAsia="fr-FR"/>
        </w:rPr>
        <w:t xml:space="preserve"> yielding powders with</w:t>
      </w:r>
      <w:r w:rsidR="004B164E" w:rsidRPr="005B7291">
        <w:rPr>
          <w:rFonts w:ascii="Arial" w:eastAsia="Times New Roman" w:hAnsi="Arial" w:cs="Arial"/>
          <w:color w:val="000000" w:themeColor="text1"/>
          <w:sz w:val="20"/>
          <w:szCs w:val="20"/>
          <w:lang w:val="en-US" w:eastAsia="fr-FR"/>
        </w:rPr>
        <w:t xml:space="preserve"> </w:t>
      </w:r>
      <w:r w:rsidR="00BF4407" w:rsidRPr="005B7291">
        <w:rPr>
          <w:rFonts w:ascii="Arial" w:eastAsia="Times New Roman" w:hAnsi="Arial" w:cs="Arial"/>
          <w:color w:val="000000" w:themeColor="text1"/>
          <w:sz w:val="20"/>
          <w:szCs w:val="20"/>
          <w:lang w:val="en-US" w:eastAsia="fr-FR"/>
        </w:rPr>
        <w:t>uncontrolled nutritional</w:t>
      </w:r>
      <w:r w:rsidR="007944A6" w:rsidRPr="005B7291">
        <w:rPr>
          <w:rFonts w:ascii="Arial" w:eastAsia="Times New Roman" w:hAnsi="Arial" w:cs="Arial"/>
          <w:color w:val="000000" w:themeColor="text1"/>
          <w:sz w:val="20"/>
          <w:szCs w:val="20"/>
          <w:lang w:val="en-US" w:eastAsia="fr-FR"/>
        </w:rPr>
        <w:t xml:space="preserve"> and </w:t>
      </w:r>
      <w:r w:rsidR="00BF4407" w:rsidRPr="005B7291">
        <w:rPr>
          <w:rFonts w:ascii="Arial" w:eastAsia="Times New Roman" w:hAnsi="Arial" w:cs="Arial"/>
          <w:color w:val="000000" w:themeColor="text1"/>
          <w:sz w:val="20"/>
          <w:szCs w:val="20"/>
          <w:lang w:val="en-US" w:eastAsia="fr-FR"/>
        </w:rPr>
        <w:t>bioactive</w:t>
      </w:r>
      <w:r w:rsidR="007944A6" w:rsidRPr="005B7291">
        <w:rPr>
          <w:rFonts w:ascii="Arial" w:eastAsia="Times New Roman" w:hAnsi="Arial" w:cs="Arial"/>
          <w:color w:val="000000" w:themeColor="text1"/>
          <w:sz w:val="20"/>
          <w:szCs w:val="20"/>
          <w:lang w:val="en-US" w:eastAsia="fr-FR"/>
        </w:rPr>
        <w:t xml:space="preserve"> </w:t>
      </w:r>
      <w:r w:rsidR="00440A1F">
        <w:rPr>
          <w:rFonts w:ascii="Arial" w:eastAsia="Times New Roman" w:hAnsi="Arial" w:cs="Arial"/>
          <w:color w:val="000000" w:themeColor="text1"/>
          <w:sz w:val="20"/>
          <w:szCs w:val="20"/>
          <w:lang w:val="en-US" w:eastAsia="fr-FR"/>
        </w:rPr>
        <w:t>characteristics</w:t>
      </w:r>
      <w:r w:rsidR="00F76DC2" w:rsidRPr="005B7291">
        <w:rPr>
          <w:rFonts w:ascii="Arial" w:eastAsia="Times New Roman" w:hAnsi="Arial" w:cs="Arial"/>
          <w:color w:val="000000" w:themeColor="text1"/>
          <w:sz w:val="20"/>
          <w:szCs w:val="20"/>
          <w:lang w:val="en-US" w:eastAsia="fr-FR"/>
        </w:rPr>
        <w:t>.</w:t>
      </w:r>
      <w:r w:rsidR="004B164E" w:rsidRPr="005B7291">
        <w:rPr>
          <w:rFonts w:ascii="Arial" w:hAnsi="Arial" w:cs="Arial"/>
          <w:color w:val="000000" w:themeColor="text1"/>
          <w:sz w:val="20"/>
          <w:szCs w:val="20"/>
          <w:lang w:val="en-US"/>
        </w:rPr>
        <w:t xml:space="preserve"> The direct consequence of this oversight, which many therapists encounter</w:t>
      </w:r>
      <w:r w:rsidR="00604272" w:rsidRPr="005B7291">
        <w:rPr>
          <w:rFonts w:ascii="Arial" w:hAnsi="Arial" w:cs="Arial"/>
          <w:color w:val="000000" w:themeColor="text1"/>
          <w:sz w:val="20"/>
          <w:szCs w:val="20"/>
          <w:lang w:val="en-US"/>
        </w:rPr>
        <w:t xml:space="preserve"> (met in our markets and various dietetic cabinet)</w:t>
      </w:r>
      <w:r w:rsidR="004B164E" w:rsidRPr="005B7291">
        <w:rPr>
          <w:rFonts w:ascii="Arial" w:hAnsi="Arial" w:cs="Arial"/>
          <w:color w:val="000000" w:themeColor="text1"/>
          <w:sz w:val="20"/>
          <w:szCs w:val="20"/>
          <w:lang w:val="en-US"/>
        </w:rPr>
        <w:t>, is uncontrolled and i</w:t>
      </w:r>
      <w:r w:rsidR="00841B32" w:rsidRPr="005B7291">
        <w:rPr>
          <w:rFonts w:ascii="Arial" w:hAnsi="Arial" w:cs="Arial"/>
          <w:color w:val="000000" w:themeColor="text1"/>
          <w:sz w:val="20"/>
          <w:szCs w:val="20"/>
          <w:lang w:val="en-US"/>
        </w:rPr>
        <w:t>nadequate</w:t>
      </w:r>
      <w:r w:rsidR="004B164E" w:rsidRPr="005B7291">
        <w:rPr>
          <w:rFonts w:ascii="Arial" w:hAnsi="Arial" w:cs="Arial"/>
          <w:color w:val="000000" w:themeColor="text1"/>
          <w:sz w:val="20"/>
          <w:szCs w:val="20"/>
          <w:lang w:val="en-US"/>
        </w:rPr>
        <w:t xml:space="preserve"> dietary management that </w:t>
      </w:r>
      <w:r w:rsidR="00841B32" w:rsidRPr="005B7291">
        <w:rPr>
          <w:rFonts w:ascii="Arial" w:hAnsi="Arial" w:cs="Arial"/>
          <w:color w:val="000000" w:themeColor="text1"/>
          <w:sz w:val="20"/>
          <w:szCs w:val="20"/>
          <w:lang w:val="en-US"/>
        </w:rPr>
        <w:t>fails to</w:t>
      </w:r>
      <w:r w:rsidR="004B164E" w:rsidRPr="005B7291">
        <w:rPr>
          <w:rFonts w:ascii="Arial" w:hAnsi="Arial" w:cs="Arial"/>
          <w:color w:val="000000" w:themeColor="text1"/>
          <w:sz w:val="20"/>
          <w:szCs w:val="20"/>
          <w:lang w:val="en-US"/>
        </w:rPr>
        <w:t xml:space="preserve"> meet the precise needs of patients. </w:t>
      </w:r>
      <w:r w:rsidR="002512DF" w:rsidRPr="00440A1F">
        <w:rPr>
          <w:rFonts w:ascii="Arial" w:hAnsi="Arial" w:cs="Arial"/>
          <w:color w:val="000000" w:themeColor="text1"/>
          <w:sz w:val="20"/>
          <w:szCs w:val="20"/>
          <w:lang w:val="en-US"/>
        </w:rPr>
        <w:t xml:space="preserve">The objective of this study </w:t>
      </w:r>
      <w:r w:rsidR="000373A4" w:rsidRPr="00440A1F">
        <w:rPr>
          <w:rFonts w:ascii="Arial" w:hAnsi="Arial" w:cs="Arial"/>
          <w:color w:val="000000" w:themeColor="text1"/>
          <w:sz w:val="20"/>
          <w:szCs w:val="20"/>
          <w:lang w:val="en-US"/>
        </w:rPr>
        <w:t>was</w:t>
      </w:r>
      <w:r w:rsidR="002512DF" w:rsidRPr="00440A1F">
        <w:rPr>
          <w:rFonts w:ascii="Arial" w:hAnsi="Arial" w:cs="Arial"/>
          <w:color w:val="000000" w:themeColor="text1"/>
          <w:sz w:val="20"/>
          <w:szCs w:val="20"/>
          <w:lang w:val="en-US"/>
        </w:rPr>
        <w:t xml:space="preserve"> to determine the powders derived from the leaves and fruits of </w:t>
      </w:r>
      <w:proofErr w:type="spellStart"/>
      <w:r w:rsidR="002512DF" w:rsidRPr="00440A1F">
        <w:rPr>
          <w:rStyle w:val="lev"/>
          <w:rFonts w:ascii="Arial" w:hAnsi="Arial" w:cs="Arial"/>
          <w:b w:val="0"/>
          <w:bCs w:val="0"/>
          <w:i/>
          <w:iCs/>
          <w:color w:val="000000" w:themeColor="text1"/>
          <w:sz w:val="20"/>
          <w:szCs w:val="20"/>
          <w:lang w:val="en-US"/>
        </w:rPr>
        <w:t>Corchorus</w:t>
      </w:r>
      <w:proofErr w:type="spellEnd"/>
      <w:r w:rsidR="002512DF" w:rsidRPr="00440A1F">
        <w:rPr>
          <w:rStyle w:val="lev"/>
          <w:rFonts w:ascii="Arial" w:hAnsi="Arial" w:cs="Arial"/>
          <w:b w:val="0"/>
          <w:bCs w:val="0"/>
          <w:i/>
          <w:iCs/>
          <w:color w:val="000000" w:themeColor="text1"/>
          <w:sz w:val="20"/>
          <w:szCs w:val="20"/>
          <w:lang w:val="en-US"/>
        </w:rPr>
        <w:t xml:space="preserve"> </w:t>
      </w:r>
      <w:proofErr w:type="spellStart"/>
      <w:r w:rsidR="002512DF" w:rsidRPr="00440A1F">
        <w:rPr>
          <w:rStyle w:val="lev"/>
          <w:rFonts w:ascii="Arial" w:hAnsi="Arial" w:cs="Arial"/>
          <w:b w:val="0"/>
          <w:bCs w:val="0"/>
          <w:i/>
          <w:iCs/>
          <w:color w:val="000000" w:themeColor="text1"/>
          <w:sz w:val="20"/>
          <w:szCs w:val="20"/>
          <w:lang w:val="en-US"/>
        </w:rPr>
        <w:t>olitorius</w:t>
      </w:r>
      <w:proofErr w:type="spellEnd"/>
      <w:r w:rsidR="002512DF" w:rsidRPr="00440A1F">
        <w:rPr>
          <w:rFonts w:ascii="Arial" w:hAnsi="Arial" w:cs="Arial"/>
          <w:b/>
          <w:bCs/>
          <w:i/>
          <w:iCs/>
          <w:color w:val="000000" w:themeColor="text1"/>
          <w:sz w:val="20"/>
          <w:szCs w:val="20"/>
          <w:lang w:val="en-US"/>
        </w:rPr>
        <w:t xml:space="preserve"> </w:t>
      </w:r>
      <w:r w:rsidR="002512DF" w:rsidRPr="00440A1F">
        <w:rPr>
          <w:rFonts w:ascii="Arial" w:hAnsi="Arial" w:cs="Arial"/>
          <w:color w:val="000000" w:themeColor="text1"/>
          <w:sz w:val="20"/>
          <w:szCs w:val="20"/>
          <w:lang w:val="en-US"/>
        </w:rPr>
        <w:t>and</w:t>
      </w:r>
      <w:r w:rsidR="002512DF" w:rsidRPr="00440A1F">
        <w:rPr>
          <w:rFonts w:ascii="Arial" w:hAnsi="Arial" w:cs="Arial"/>
          <w:b/>
          <w:bCs/>
          <w:color w:val="000000" w:themeColor="text1"/>
          <w:sz w:val="20"/>
          <w:szCs w:val="20"/>
          <w:lang w:val="en-US"/>
        </w:rPr>
        <w:t xml:space="preserve"> </w:t>
      </w:r>
      <w:proofErr w:type="spellStart"/>
      <w:r w:rsidR="002512DF" w:rsidRPr="00440A1F">
        <w:rPr>
          <w:rStyle w:val="lev"/>
          <w:rFonts w:ascii="Arial" w:hAnsi="Arial" w:cs="Arial"/>
          <w:b w:val="0"/>
          <w:bCs w:val="0"/>
          <w:i/>
          <w:iCs/>
          <w:color w:val="000000" w:themeColor="text1"/>
          <w:sz w:val="20"/>
          <w:szCs w:val="20"/>
          <w:lang w:val="en-US"/>
        </w:rPr>
        <w:t>Abelmoschus</w:t>
      </w:r>
      <w:proofErr w:type="spellEnd"/>
      <w:r w:rsidR="002512DF" w:rsidRPr="00440A1F">
        <w:rPr>
          <w:rStyle w:val="lev"/>
          <w:rFonts w:ascii="Arial" w:hAnsi="Arial" w:cs="Arial"/>
          <w:b w:val="0"/>
          <w:bCs w:val="0"/>
          <w:i/>
          <w:iCs/>
          <w:color w:val="000000" w:themeColor="text1"/>
          <w:sz w:val="20"/>
          <w:szCs w:val="20"/>
          <w:lang w:val="en-US"/>
        </w:rPr>
        <w:t xml:space="preserve"> </w:t>
      </w:r>
      <w:proofErr w:type="spellStart"/>
      <w:r w:rsidR="002512DF" w:rsidRPr="00440A1F">
        <w:rPr>
          <w:rStyle w:val="lev"/>
          <w:rFonts w:ascii="Arial" w:hAnsi="Arial" w:cs="Arial"/>
          <w:b w:val="0"/>
          <w:bCs w:val="0"/>
          <w:i/>
          <w:iCs/>
          <w:color w:val="000000" w:themeColor="text1"/>
          <w:sz w:val="20"/>
          <w:szCs w:val="20"/>
          <w:lang w:val="en-US"/>
        </w:rPr>
        <w:t>esculentus</w:t>
      </w:r>
      <w:proofErr w:type="spellEnd"/>
      <w:r w:rsidR="002512DF" w:rsidRPr="00440A1F">
        <w:rPr>
          <w:rFonts w:ascii="Arial" w:hAnsi="Arial" w:cs="Arial"/>
          <w:color w:val="000000" w:themeColor="text1"/>
          <w:sz w:val="20"/>
          <w:szCs w:val="20"/>
          <w:lang w:val="en-US"/>
        </w:rPr>
        <w:t xml:space="preserve">, which simultaneously exhibit high antioxidant </w:t>
      </w:r>
      <w:r w:rsidR="00654639" w:rsidRPr="00440A1F">
        <w:rPr>
          <w:rFonts w:ascii="Arial" w:hAnsi="Arial" w:cs="Arial"/>
          <w:color w:val="000000" w:themeColor="text1"/>
          <w:sz w:val="20"/>
          <w:szCs w:val="20"/>
          <w:lang w:val="en-US"/>
        </w:rPr>
        <w:t>activity</w:t>
      </w:r>
      <w:r w:rsidR="00275D74" w:rsidRPr="00440A1F">
        <w:rPr>
          <w:rFonts w:ascii="Arial" w:hAnsi="Arial" w:cs="Arial"/>
          <w:color w:val="000000" w:themeColor="text1"/>
          <w:sz w:val="20"/>
          <w:szCs w:val="20"/>
          <w:lang w:val="en-US"/>
        </w:rPr>
        <w:t xml:space="preserve">, </w:t>
      </w:r>
      <w:r w:rsidR="00585534" w:rsidRPr="00440A1F">
        <w:rPr>
          <w:rFonts w:ascii="Arial" w:hAnsi="Arial" w:cs="Arial"/>
          <w:color w:val="000000" w:themeColor="text1"/>
          <w:sz w:val="20"/>
          <w:szCs w:val="20"/>
          <w:lang w:val="en-US"/>
        </w:rPr>
        <w:t>high</w:t>
      </w:r>
      <w:r w:rsidR="002512DF" w:rsidRPr="00440A1F">
        <w:rPr>
          <w:rFonts w:ascii="Arial" w:hAnsi="Arial" w:cs="Arial"/>
          <w:color w:val="000000" w:themeColor="text1"/>
          <w:sz w:val="20"/>
          <w:szCs w:val="20"/>
          <w:lang w:val="en-US"/>
        </w:rPr>
        <w:t xml:space="preserve"> nutri</w:t>
      </w:r>
      <w:r w:rsidR="00F7655A" w:rsidRPr="00440A1F">
        <w:rPr>
          <w:rFonts w:ascii="Arial" w:hAnsi="Arial" w:cs="Arial"/>
          <w:color w:val="000000" w:themeColor="text1"/>
          <w:sz w:val="20"/>
          <w:szCs w:val="20"/>
          <w:lang w:val="en-US"/>
        </w:rPr>
        <w:t>ent</w:t>
      </w:r>
      <w:r w:rsidR="002512DF" w:rsidRPr="00440A1F">
        <w:rPr>
          <w:rFonts w:ascii="Arial" w:hAnsi="Arial" w:cs="Arial"/>
          <w:color w:val="000000" w:themeColor="text1"/>
          <w:sz w:val="20"/>
          <w:szCs w:val="20"/>
          <w:lang w:val="en-US"/>
        </w:rPr>
        <w:t xml:space="preserve"> density</w:t>
      </w:r>
      <w:r w:rsidR="00275D74" w:rsidRPr="00440A1F">
        <w:rPr>
          <w:rFonts w:ascii="Arial" w:hAnsi="Arial" w:cs="Arial"/>
          <w:color w:val="000000" w:themeColor="text1"/>
          <w:sz w:val="20"/>
          <w:szCs w:val="20"/>
          <w:lang w:val="en-US"/>
        </w:rPr>
        <w:t xml:space="preserve">, and </w:t>
      </w:r>
      <w:r w:rsidR="00AA7015" w:rsidRPr="00440A1F">
        <w:rPr>
          <w:rFonts w:ascii="Arial" w:hAnsi="Arial" w:cs="Arial"/>
          <w:color w:val="000000" w:themeColor="text1"/>
          <w:sz w:val="20"/>
          <w:szCs w:val="20"/>
          <w:lang w:val="en-US"/>
        </w:rPr>
        <w:t>reduced</w:t>
      </w:r>
      <w:r w:rsidR="00275D74" w:rsidRPr="00440A1F">
        <w:rPr>
          <w:rFonts w:ascii="Arial" w:hAnsi="Arial" w:cs="Arial"/>
          <w:color w:val="000000" w:themeColor="text1"/>
          <w:sz w:val="20"/>
          <w:szCs w:val="20"/>
          <w:lang w:val="en-US"/>
        </w:rPr>
        <w:t xml:space="preserve"> energy density</w:t>
      </w:r>
      <w:r w:rsidR="002512DF" w:rsidRPr="00440A1F">
        <w:rPr>
          <w:rFonts w:ascii="Arial" w:hAnsi="Arial" w:cs="Arial"/>
          <w:color w:val="000000" w:themeColor="text1"/>
          <w:sz w:val="20"/>
          <w:szCs w:val="20"/>
          <w:lang w:val="en-US"/>
        </w:rPr>
        <w:t>.</w:t>
      </w:r>
      <w:r w:rsidR="00901B7E" w:rsidRPr="00440A1F">
        <w:rPr>
          <w:rFonts w:ascii="Arial" w:hAnsi="Arial" w:cs="Arial"/>
          <w:color w:val="000000" w:themeColor="text1"/>
          <w:sz w:val="20"/>
          <w:szCs w:val="20"/>
          <w:lang w:val="en-US"/>
        </w:rPr>
        <w:t xml:space="preserve"> </w:t>
      </w:r>
    </w:p>
    <w:p w14:paraId="223DC002" w14:textId="5442BE38" w:rsidR="00874FDF" w:rsidRPr="005250A4" w:rsidRDefault="005250A4" w:rsidP="00DE628D">
      <w:pPr>
        <w:pStyle w:val="Paragraphedeliste"/>
        <w:numPr>
          <w:ilvl w:val="0"/>
          <w:numId w:val="1"/>
        </w:numPr>
        <w:spacing w:before="240" w:after="0" w:line="360" w:lineRule="auto"/>
        <w:jc w:val="both"/>
        <w:rPr>
          <w:rFonts w:ascii="Arial" w:hAnsi="Arial" w:cs="Arial"/>
          <w:b/>
          <w:color w:val="000000" w:themeColor="text1"/>
          <w:lang w:val="en-US"/>
        </w:rPr>
      </w:pPr>
      <w:r w:rsidRPr="005250A4">
        <w:rPr>
          <w:rFonts w:ascii="Arial" w:hAnsi="Arial" w:cs="Arial"/>
          <w:b/>
          <w:color w:val="000000" w:themeColor="text1"/>
          <w:lang w:val="en-US"/>
        </w:rPr>
        <w:t>MATERIAL AND METHODS</w:t>
      </w:r>
    </w:p>
    <w:p w14:paraId="35FBDC87" w14:textId="77777777" w:rsidR="00874FDF" w:rsidRPr="005250A4" w:rsidRDefault="00A14C98"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2.1. Organ s</w:t>
      </w:r>
      <w:r w:rsidR="00874FDF" w:rsidRPr="005250A4">
        <w:rPr>
          <w:rFonts w:ascii="Arial" w:eastAsia="Times New Roman" w:hAnsi="Arial" w:cs="Arial"/>
          <w:b/>
          <w:color w:val="000000" w:themeColor="text1"/>
          <w:lang w:val="en-US" w:eastAsia="fr-FR"/>
        </w:rPr>
        <w:t>ampling</w:t>
      </w:r>
    </w:p>
    <w:p w14:paraId="4EEDA3D4" w14:textId="4BCE766A" w:rsidR="00861540" w:rsidRPr="005B7291" w:rsidRDefault="000373A4" w:rsidP="00861540">
      <w:pPr>
        <w:spacing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Cs/>
          <w:color w:val="000000" w:themeColor="text1"/>
          <w:sz w:val="20"/>
          <w:szCs w:val="20"/>
          <w:lang w:val="en-US" w:eastAsia="fr-FR"/>
        </w:rPr>
        <w:t>The organs of</w:t>
      </w:r>
      <w:r w:rsidRPr="005B7291">
        <w:rPr>
          <w:rFonts w:ascii="Arial" w:eastAsia="Times New Roman" w:hAnsi="Arial" w:cs="Arial"/>
          <w:i/>
          <w:color w:val="000000" w:themeColor="text1"/>
          <w:sz w:val="20"/>
          <w:szCs w:val="20"/>
          <w:lang w:val="en-US" w:eastAsia="fr-FR"/>
        </w:rPr>
        <w:t xml:space="preserve"> </w:t>
      </w:r>
      <w:proofErr w:type="spellStart"/>
      <w:r w:rsidR="00874FDF" w:rsidRPr="005B7291">
        <w:rPr>
          <w:rFonts w:ascii="Arial" w:eastAsia="Times New Roman" w:hAnsi="Arial" w:cs="Arial"/>
          <w:i/>
          <w:color w:val="000000" w:themeColor="text1"/>
          <w:sz w:val="20"/>
          <w:szCs w:val="20"/>
          <w:lang w:val="en-US" w:eastAsia="fr-FR"/>
        </w:rPr>
        <w:t>Corchorus</w:t>
      </w:r>
      <w:proofErr w:type="spellEnd"/>
      <w:r w:rsidR="00874FDF" w:rsidRPr="005B7291">
        <w:rPr>
          <w:rFonts w:ascii="Arial" w:eastAsia="Times New Roman" w:hAnsi="Arial" w:cs="Arial"/>
          <w:i/>
          <w:color w:val="000000" w:themeColor="text1"/>
          <w:sz w:val="20"/>
          <w:szCs w:val="20"/>
          <w:lang w:val="en-US" w:eastAsia="fr-FR"/>
        </w:rPr>
        <w:t xml:space="preserve"> </w:t>
      </w:r>
      <w:proofErr w:type="spellStart"/>
      <w:r w:rsidR="00874FDF" w:rsidRPr="005B7291">
        <w:rPr>
          <w:rFonts w:ascii="Arial" w:eastAsia="Times New Roman" w:hAnsi="Arial" w:cs="Arial"/>
          <w:i/>
          <w:color w:val="000000" w:themeColor="text1"/>
          <w:sz w:val="20"/>
          <w:szCs w:val="20"/>
          <w:lang w:val="en-US" w:eastAsia="fr-FR"/>
        </w:rPr>
        <w:t>olitorius</w:t>
      </w:r>
      <w:proofErr w:type="spellEnd"/>
      <w:r w:rsidR="00874FDF" w:rsidRPr="005B7291">
        <w:rPr>
          <w:rFonts w:ascii="Arial" w:eastAsia="Times New Roman" w:hAnsi="Arial" w:cs="Arial"/>
          <w:color w:val="000000" w:themeColor="text1"/>
          <w:sz w:val="20"/>
          <w:szCs w:val="20"/>
          <w:lang w:val="en-US" w:eastAsia="fr-FR"/>
        </w:rPr>
        <w:t xml:space="preserve"> and </w:t>
      </w:r>
      <w:proofErr w:type="spellStart"/>
      <w:r w:rsidR="00874FDF" w:rsidRPr="005B7291">
        <w:rPr>
          <w:rFonts w:ascii="Arial" w:eastAsia="Times New Roman" w:hAnsi="Arial" w:cs="Arial"/>
          <w:i/>
          <w:color w:val="000000" w:themeColor="text1"/>
          <w:sz w:val="20"/>
          <w:szCs w:val="20"/>
          <w:lang w:val="en-US" w:eastAsia="fr-FR"/>
        </w:rPr>
        <w:t>Abelmoschus</w:t>
      </w:r>
      <w:proofErr w:type="spellEnd"/>
      <w:r w:rsidR="00874FDF" w:rsidRPr="005B7291">
        <w:rPr>
          <w:rFonts w:ascii="Arial" w:eastAsia="Times New Roman" w:hAnsi="Arial" w:cs="Arial"/>
          <w:i/>
          <w:color w:val="000000" w:themeColor="text1"/>
          <w:sz w:val="20"/>
          <w:szCs w:val="20"/>
          <w:lang w:val="en-US" w:eastAsia="fr-FR"/>
        </w:rPr>
        <w:t xml:space="preserve"> </w:t>
      </w:r>
      <w:proofErr w:type="spellStart"/>
      <w:r w:rsidR="00874FDF" w:rsidRPr="005B7291">
        <w:rPr>
          <w:rFonts w:ascii="Arial" w:eastAsia="Times New Roman" w:hAnsi="Arial" w:cs="Arial"/>
          <w:i/>
          <w:color w:val="000000" w:themeColor="text1"/>
          <w:sz w:val="20"/>
          <w:szCs w:val="20"/>
          <w:lang w:val="en-US" w:eastAsia="fr-FR"/>
        </w:rPr>
        <w:t>esculentus</w:t>
      </w:r>
      <w:proofErr w:type="spellEnd"/>
      <w:r w:rsidR="003D6E11" w:rsidRPr="005B7291">
        <w:rPr>
          <w:rFonts w:ascii="Arial" w:eastAsia="Times New Roman" w:hAnsi="Arial" w:cs="Arial"/>
          <w:color w:val="000000" w:themeColor="text1"/>
          <w:sz w:val="20"/>
          <w:szCs w:val="20"/>
          <w:lang w:val="en-US" w:eastAsia="fr-FR"/>
        </w:rPr>
        <w:t xml:space="preserve"> (leaf and fruit</w:t>
      </w:r>
      <w:r w:rsidR="00874FDF" w:rsidRPr="005B7291">
        <w:rPr>
          <w:rFonts w:ascii="Arial" w:eastAsia="Times New Roman" w:hAnsi="Arial" w:cs="Arial"/>
          <w:color w:val="000000" w:themeColor="text1"/>
          <w:sz w:val="20"/>
          <w:szCs w:val="20"/>
          <w:lang w:val="en-US" w:eastAsia="fr-FR"/>
        </w:rPr>
        <w:t xml:space="preserve">), which are commonly consumed, were harvested early in the morning in the </w:t>
      </w:r>
      <w:proofErr w:type="spellStart"/>
      <w:r w:rsidR="00874FDF" w:rsidRPr="005B7291">
        <w:rPr>
          <w:rFonts w:ascii="Arial" w:eastAsia="Times New Roman" w:hAnsi="Arial" w:cs="Arial"/>
          <w:color w:val="000000" w:themeColor="text1"/>
          <w:sz w:val="20"/>
          <w:szCs w:val="20"/>
          <w:lang w:val="en-US" w:eastAsia="fr-FR"/>
        </w:rPr>
        <w:t>Mboppi</w:t>
      </w:r>
      <w:proofErr w:type="spellEnd"/>
      <w:r w:rsidR="00874FDF" w:rsidRPr="005B7291">
        <w:rPr>
          <w:rFonts w:ascii="Arial" w:eastAsia="Times New Roman" w:hAnsi="Arial" w:cs="Arial"/>
          <w:color w:val="000000" w:themeColor="text1"/>
          <w:sz w:val="20"/>
          <w:szCs w:val="20"/>
          <w:lang w:val="en-US" w:eastAsia="fr-FR"/>
        </w:rPr>
        <w:t xml:space="preserve"> district, Douala 1</w:t>
      </w:r>
      <w:r w:rsidR="00874FDF" w:rsidRPr="005B7291">
        <w:rPr>
          <w:rFonts w:ascii="Arial" w:eastAsia="Times New Roman" w:hAnsi="Arial" w:cs="Arial"/>
          <w:color w:val="000000" w:themeColor="text1"/>
          <w:sz w:val="20"/>
          <w:szCs w:val="20"/>
          <w:vertAlign w:val="superscript"/>
          <w:lang w:val="en-US" w:eastAsia="fr-FR"/>
        </w:rPr>
        <w:t>er</w:t>
      </w:r>
      <w:r w:rsidR="00874FDF" w:rsidRPr="005B7291">
        <w:rPr>
          <w:rFonts w:ascii="Arial" w:eastAsia="Times New Roman" w:hAnsi="Arial" w:cs="Arial"/>
          <w:color w:val="000000" w:themeColor="text1"/>
          <w:sz w:val="20"/>
          <w:szCs w:val="20"/>
          <w:lang w:val="en-US" w:eastAsia="fr-FR"/>
        </w:rPr>
        <w:t xml:space="preserve">. Both plant matrices were identified by the Cameroon </w:t>
      </w:r>
      <w:r w:rsidR="00861540" w:rsidRPr="005B7291">
        <w:rPr>
          <w:rFonts w:ascii="Arial" w:eastAsia="Times New Roman" w:hAnsi="Arial" w:cs="Arial"/>
          <w:color w:val="000000" w:themeColor="text1"/>
          <w:sz w:val="20"/>
          <w:szCs w:val="20"/>
          <w:lang w:val="en-US" w:eastAsia="fr-FR"/>
        </w:rPr>
        <w:t xml:space="preserve">herbarium: </w:t>
      </w:r>
    </w:p>
    <w:p w14:paraId="2D09E3BE" w14:textId="77777777" w:rsidR="00861540" w:rsidRPr="005B7291" w:rsidRDefault="00874FDF" w:rsidP="00861540">
      <w:pPr>
        <w:pStyle w:val="Paragraphedeliste"/>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proofErr w:type="spellStart"/>
      <w:r w:rsidRPr="005B7291">
        <w:rPr>
          <w:rFonts w:ascii="Arial" w:eastAsia="Times New Roman" w:hAnsi="Arial" w:cs="Arial"/>
          <w:i/>
          <w:color w:val="000000" w:themeColor="text1"/>
          <w:sz w:val="20"/>
          <w:szCs w:val="20"/>
          <w:lang w:val="en-US" w:eastAsia="fr-FR"/>
        </w:rPr>
        <w:t>Corchorus</w:t>
      </w:r>
      <w:proofErr w:type="spellEnd"/>
      <w:r w:rsidRPr="005B7291">
        <w:rPr>
          <w:rFonts w:ascii="Arial" w:eastAsia="Times New Roman" w:hAnsi="Arial" w:cs="Arial"/>
          <w:i/>
          <w:color w:val="000000" w:themeColor="text1"/>
          <w:sz w:val="20"/>
          <w:szCs w:val="20"/>
          <w:lang w:val="en-US" w:eastAsia="fr-FR"/>
        </w:rPr>
        <w:t xml:space="preserve"> </w:t>
      </w:r>
      <w:proofErr w:type="spellStart"/>
      <w:r w:rsidRPr="005B7291">
        <w:rPr>
          <w:rFonts w:ascii="Arial" w:eastAsia="Times New Roman" w:hAnsi="Arial" w:cs="Arial"/>
          <w:i/>
          <w:color w:val="000000" w:themeColor="text1"/>
          <w:sz w:val="20"/>
          <w:szCs w:val="20"/>
          <w:lang w:val="en-US" w:eastAsia="fr-FR"/>
        </w:rPr>
        <w:t>olitorius</w:t>
      </w:r>
      <w:proofErr w:type="spellEnd"/>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by comparison with the herbarium material of </w:t>
      </w:r>
      <w:proofErr w:type="spellStart"/>
      <w:r w:rsidRPr="005B7291">
        <w:rPr>
          <w:rFonts w:ascii="Arial" w:eastAsia="Times New Roman" w:hAnsi="Arial" w:cs="Arial"/>
          <w:color w:val="000000" w:themeColor="text1"/>
          <w:sz w:val="20"/>
          <w:szCs w:val="20"/>
          <w:lang w:val="en-US" w:eastAsia="fr-FR"/>
        </w:rPr>
        <w:t>Westphal</w:t>
      </w:r>
      <w:proofErr w:type="spellEnd"/>
      <w:r w:rsidRPr="005B7291">
        <w:rPr>
          <w:rFonts w:ascii="Arial" w:eastAsia="Times New Roman" w:hAnsi="Arial" w:cs="Arial"/>
          <w:color w:val="000000" w:themeColor="text1"/>
          <w:sz w:val="20"/>
          <w:szCs w:val="20"/>
          <w:lang w:val="en-US" w:eastAsia="fr-FR"/>
        </w:rPr>
        <w:t xml:space="preserve"> collector 10077 from herbarium collection specimen number 44871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3B01BBEF" w14:textId="423C1908" w:rsidR="00302617" w:rsidRPr="001313B4" w:rsidRDefault="00874FDF" w:rsidP="00302617">
      <w:pPr>
        <w:pStyle w:val="Paragraphedeliste"/>
        <w:numPr>
          <w:ilvl w:val="0"/>
          <w:numId w:val="10"/>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proofErr w:type="spellStart"/>
      <w:r w:rsidRPr="005B7291">
        <w:rPr>
          <w:rFonts w:ascii="Arial" w:eastAsia="Times New Roman" w:hAnsi="Arial" w:cs="Arial"/>
          <w:i/>
          <w:color w:val="000000" w:themeColor="text1"/>
          <w:sz w:val="20"/>
          <w:szCs w:val="20"/>
          <w:lang w:val="en-US" w:eastAsia="fr-FR"/>
        </w:rPr>
        <w:t>Abelmoschus</w:t>
      </w:r>
      <w:proofErr w:type="spellEnd"/>
      <w:r w:rsidRPr="005B7291">
        <w:rPr>
          <w:rFonts w:ascii="Arial" w:eastAsia="Times New Roman" w:hAnsi="Arial" w:cs="Arial"/>
          <w:i/>
          <w:color w:val="000000" w:themeColor="text1"/>
          <w:sz w:val="20"/>
          <w:szCs w:val="20"/>
          <w:lang w:val="en-US" w:eastAsia="fr-FR"/>
        </w:rPr>
        <w:t xml:space="preserve"> </w:t>
      </w:r>
      <w:proofErr w:type="spellStart"/>
      <w:r w:rsidRPr="005B7291">
        <w:rPr>
          <w:rFonts w:ascii="Arial" w:eastAsia="Times New Roman" w:hAnsi="Arial" w:cs="Arial"/>
          <w:i/>
          <w:color w:val="000000" w:themeColor="text1"/>
          <w:sz w:val="20"/>
          <w:szCs w:val="20"/>
          <w:lang w:val="en-US" w:eastAsia="fr-FR"/>
        </w:rPr>
        <w:t>esculentus</w:t>
      </w:r>
      <w:proofErr w:type="spellEnd"/>
      <w:r w:rsidRPr="005B7291">
        <w:rPr>
          <w:rFonts w:ascii="Arial" w:eastAsia="Times New Roman" w:hAnsi="Arial" w:cs="Arial"/>
          <w:color w:val="000000" w:themeColor="text1"/>
          <w:sz w:val="20"/>
          <w:szCs w:val="20"/>
          <w:lang w:val="en-US" w:eastAsia="fr-FR"/>
        </w:rPr>
        <w:t xml:space="preserve">: </w:t>
      </w:r>
      <w:r w:rsidR="000373A4" w:rsidRPr="005B7291">
        <w:rPr>
          <w:rFonts w:ascii="Arial" w:eastAsia="Times New Roman" w:hAnsi="Arial" w:cs="Arial"/>
          <w:color w:val="000000" w:themeColor="text1"/>
          <w:sz w:val="20"/>
          <w:szCs w:val="20"/>
          <w:lang w:val="en-US" w:eastAsia="fr-FR"/>
        </w:rPr>
        <w:t>T</w:t>
      </w:r>
      <w:r w:rsidRPr="005B7291">
        <w:rPr>
          <w:rFonts w:ascii="Arial" w:eastAsia="Times New Roman" w:hAnsi="Arial" w:cs="Arial"/>
          <w:color w:val="000000" w:themeColor="text1"/>
          <w:sz w:val="20"/>
          <w:szCs w:val="20"/>
          <w:lang w:val="en-US" w:eastAsia="fr-FR"/>
        </w:rPr>
        <w:t xml:space="preserve">he specimen was identified in comparison with the herbarium material of </w:t>
      </w:r>
      <w:proofErr w:type="spellStart"/>
      <w:r w:rsidRPr="005B7291">
        <w:rPr>
          <w:rFonts w:ascii="Arial" w:eastAsia="Times New Roman" w:hAnsi="Arial" w:cs="Arial"/>
          <w:color w:val="000000" w:themeColor="text1"/>
          <w:sz w:val="20"/>
          <w:szCs w:val="20"/>
          <w:lang w:val="en-US" w:eastAsia="fr-FR"/>
        </w:rPr>
        <w:t>Westphal</w:t>
      </w:r>
      <w:proofErr w:type="spellEnd"/>
      <w:r w:rsidRPr="005B7291">
        <w:rPr>
          <w:rFonts w:ascii="Arial" w:eastAsia="Times New Roman" w:hAnsi="Arial" w:cs="Arial"/>
          <w:color w:val="000000" w:themeColor="text1"/>
          <w:sz w:val="20"/>
          <w:szCs w:val="20"/>
          <w:lang w:val="en-US" w:eastAsia="fr-FR"/>
        </w:rPr>
        <w:t xml:space="preserve"> collector 9069 from Herbarium collection specimen number 42868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5429345F" w14:textId="77777777" w:rsidR="00874FDF" w:rsidRPr="005250A4" w:rsidRDefault="00D14E63" w:rsidP="00874FDF">
      <w:pPr>
        <w:spacing w:before="100" w:beforeAutospacing="1" w:after="100" w:afterAutospacing="1" w:line="360" w:lineRule="auto"/>
        <w:jc w:val="both"/>
        <w:rPr>
          <w:rFonts w:ascii="Arial" w:eastAsia="Times New Roman" w:hAnsi="Arial" w:cs="Arial"/>
          <w:color w:val="000000" w:themeColor="text1"/>
          <w:lang w:val="en-US" w:eastAsia="fr-FR"/>
        </w:rPr>
      </w:pPr>
      <w:r w:rsidRPr="005250A4">
        <w:rPr>
          <w:rFonts w:ascii="Arial" w:eastAsia="Times New Roman" w:hAnsi="Arial" w:cs="Arial"/>
          <w:b/>
          <w:color w:val="000000" w:themeColor="text1"/>
          <w:lang w:val="en-US" w:eastAsia="fr-FR"/>
        </w:rPr>
        <w:t>2.2. Powder p</w:t>
      </w:r>
      <w:r w:rsidR="00874FDF" w:rsidRPr="005250A4">
        <w:rPr>
          <w:rFonts w:ascii="Arial" w:eastAsia="Times New Roman" w:hAnsi="Arial" w:cs="Arial"/>
          <w:b/>
          <w:color w:val="000000" w:themeColor="text1"/>
          <w:lang w:val="en-US" w:eastAsia="fr-FR"/>
        </w:rPr>
        <w:t>roduction</w:t>
      </w:r>
      <w:r w:rsidR="00874FDF" w:rsidRPr="005250A4">
        <w:rPr>
          <w:rFonts w:ascii="Arial" w:eastAsia="Times New Roman" w:hAnsi="Arial" w:cs="Arial"/>
          <w:color w:val="000000" w:themeColor="text1"/>
          <w:lang w:val="en-US" w:eastAsia="fr-FR"/>
        </w:rPr>
        <w:t xml:space="preserve"> </w:t>
      </w:r>
    </w:p>
    <w:p w14:paraId="4BCB0943" w14:textId="00B9B224" w:rsidR="00517436" w:rsidRPr="005B7291" w:rsidRDefault="00874FDF" w:rsidP="00CA0C4F">
      <w:pPr>
        <w:pStyle w:val="NormalWeb"/>
        <w:spacing w:line="360" w:lineRule="auto"/>
        <w:rPr>
          <w:rFonts w:ascii="Arial" w:hAnsi="Arial" w:cs="Arial"/>
          <w:color w:val="000000" w:themeColor="text1"/>
          <w:sz w:val="20"/>
          <w:szCs w:val="20"/>
          <w:lang w:val="en-US"/>
        </w:rPr>
      </w:pPr>
      <w:r w:rsidRPr="005B7291">
        <w:rPr>
          <w:rFonts w:ascii="Arial" w:hAnsi="Arial" w:cs="Arial"/>
          <w:color w:val="000000" w:themeColor="text1"/>
          <w:sz w:val="20"/>
          <w:szCs w:val="20"/>
          <w:lang w:val="en-US"/>
        </w:rPr>
        <w:t>Fresh, dark-green leaves and fresh, tender fruits (with seeds) were cleaned, washed, and cut into pieces smaller than 5 mm. The</w:t>
      </w:r>
      <w:r w:rsidR="000373A4" w:rsidRPr="005B7291">
        <w:rPr>
          <w:rFonts w:ascii="Arial" w:hAnsi="Arial" w:cs="Arial"/>
          <w:color w:val="000000" w:themeColor="text1"/>
          <w:sz w:val="20"/>
          <w:szCs w:val="20"/>
          <w:lang w:val="en-US"/>
        </w:rPr>
        <w:t xml:space="preserve"> samples</w:t>
      </w:r>
      <w:r w:rsidRPr="005B7291">
        <w:rPr>
          <w:rFonts w:ascii="Arial" w:hAnsi="Arial" w:cs="Arial"/>
          <w:color w:val="000000" w:themeColor="text1"/>
          <w:sz w:val="20"/>
          <w:szCs w:val="20"/>
          <w:lang w:val="en-US"/>
        </w:rPr>
        <w:t xml:space="preserve"> were dried at 30 and 35</w:t>
      </w:r>
      <w:r w:rsidR="000373A4" w:rsidRPr="005B7291">
        <w:rPr>
          <w:rFonts w:ascii="Arial" w:hAnsi="Arial" w:cs="Arial"/>
          <w:color w:val="000000" w:themeColor="text1"/>
          <w:sz w:val="20"/>
          <w:szCs w:val="20"/>
          <w:lang w:val="en-US"/>
        </w:rPr>
        <w:t xml:space="preserve"> </w:t>
      </w:r>
      <w:r w:rsidRPr="005B7291">
        <w:rPr>
          <w:rFonts w:ascii="Arial" w:hAnsi="Arial" w:cs="Arial"/>
          <w:color w:val="000000" w:themeColor="text1"/>
          <w:sz w:val="20"/>
          <w:szCs w:val="20"/>
          <w:lang w:val="en-US"/>
        </w:rPr>
        <w:t xml:space="preserve">°C for 5 and 10 hours, respectively, in a </w:t>
      </w:r>
      <w:proofErr w:type="spellStart"/>
      <w:r w:rsidRPr="005B7291">
        <w:rPr>
          <w:rFonts w:ascii="Arial" w:hAnsi="Arial" w:cs="Arial"/>
          <w:color w:val="000000" w:themeColor="text1"/>
          <w:sz w:val="20"/>
          <w:szCs w:val="20"/>
          <w:lang w:val="en-US"/>
        </w:rPr>
        <w:t>Stockli</w:t>
      </w:r>
      <w:proofErr w:type="spellEnd"/>
      <w:r w:rsidRPr="005B7291">
        <w:rPr>
          <w:rFonts w:ascii="Arial" w:hAnsi="Arial" w:cs="Arial"/>
          <w:color w:val="000000" w:themeColor="text1"/>
          <w:sz w:val="20"/>
          <w:szCs w:val="20"/>
          <w:lang w:val="en-US"/>
        </w:rPr>
        <w:t xml:space="preserve"> dehydrator, </w:t>
      </w:r>
      <w:proofErr w:type="spellStart"/>
      <w:r w:rsidRPr="005B7291">
        <w:rPr>
          <w:rFonts w:ascii="Arial" w:hAnsi="Arial" w:cs="Arial"/>
          <w:color w:val="000000" w:themeColor="text1"/>
          <w:sz w:val="20"/>
          <w:szCs w:val="20"/>
          <w:lang w:val="en-US"/>
        </w:rPr>
        <w:t>Dorrex</w:t>
      </w:r>
      <w:proofErr w:type="spellEnd"/>
      <w:r w:rsidRPr="005B7291">
        <w:rPr>
          <w:rFonts w:ascii="Arial" w:hAnsi="Arial" w:cs="Arial"/>
          <w:color w:val="000000" w:themeColor="text1"/>
          <w:sz w:val="20"/>
          <w:szCs w:val="20"/>
          <w:lang w:val="en-US"/>
        </w:rPr>
        <w:t>, France. The dehydrated materials were ground to a particle size smaller than 500 µm</w:t>
      </w:r>
      <w:r w:rsidR="00CA0C4F" w:rsidRPr="005B7291">
        <w:rPr>
          <w:rFonts w:ascii="Arial" w:hAnsi="Arial" w:cs="Arial"/>
          <w:color w:val="000000" w:themeColor="text1"/>
          <w:sz w:val="20"/>
          <w:szCs w:val="20"/>
          <w:lang w:val="en-US"/>
        </w:rPr>
        <w:t xml:space="preserve"> (</w:t>
      </w:r>
      <w:r w:rsidR="000373A4" w:rsidRPr="005B7291">
        <w:rPr>
          <w:rFonts w:ascii="Arial" w:hAnsi="Arial" w:cs="Arial"/>
          <w:color w:val="000000" w:themeColor="text1"/>
          <w:sz w:val="20"/>
          <w:szCs w:val="20"/>
          <w:lang w:val="en-US"/>
        </w:rPr>
        <w:t>t</w:t>
      </w:r>
      <w:r w:rsidR="00CA0C4F" w:rsidRPr="005B7291">
        <w:rPr>
          <w:rFonts w:ascii="Arial" w:hAnsi="Arial" w:cs="Arial"/>
          <w:color w:val="000000" w:themeColor="text1"/>
          <w:sz w:val="20"/>
          <w:szCs w:val="20"/>
          <w:lang w:val="en-US"/>
        </w:rPr>
        <w:t xml:space="preserve">he particle size of the powders most commonly used by therapists), </w:t>
      </w:r>
      <w:r w:rsidRPr="005B7291">
        <w:rPr>
          <w:rFonts w:ascii="Arial" w:hAnsi="Arial" w:cs="Arial"/>
          <w:color w:val="000000" w:themeColor="text1"/>
          <w:sz w:val="20"/>
          <w:szCs w:val="20"/>
          <w:lang w:val="en-US"/>
        </w:rPr>
        <w:t>and the resulting powders were stored in opaque, airtight boxes at room temperature.</w:t>
      </w:r>
    </w:p>
    <w:p w14:paraId="472F26A2" w14:textId="77777777" w:rsidR="00874FDF" w:rsidRPr="005250A4"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2.3. Determination</w:t>
      </w:r>
      <w:r w:rsidR="00D14E63" w:rsidRPr="005250A4">
        <w:rPr>
          <w:rFonts w:ascii="Arial" w:eastAsia="Times New Roman" w:hAnsi="Arial" w:cs="Arial"/>
          <w:b/>
          <w:color w:val="000000" w:themeColor="text1"/>
          <w:lang w:val="en-US" w:eastAsia="fr-FR"/>
        </w:rPr>
        <w:t xml:space="preserve"> of powder moisture c</w:t>
      </w:r>
      <w:r w:rsidRPr="005250A4">
        <w:rPr>
          <w:rFonts w:ascii="Arial" w:eastAsia="Times New Roman" w:hAnsi="Arial" w:cs="Arial"/>
          <w:b/>
          <w:color w:val="000000" w:themeColor="text1"/>
          <w:lang w:val="en-US" w:eastAsia="fr-FR"/>
        </w:rPr>
        <w:t xml:space="preserve">ontent </w:t>
      </w:r>
    </w:p>
    <w:p w14:paraId="76E9DFC7" w14:textId="097FD4A5" w:rsidR="00874FDF" w:rsidRPr="005B7291" w:rsidRDefault="00874FDF"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commentRangeStart w:id="4"/>
      <w:r w:rsidRPr="005B7291">
        <w:rPr>
          <w:rFonts w:ascii="Arial" w:eastAsia="Times New Roman" w:hAnsi="Arial" w:cs="Arial"/>
          <w:color w:val="000000" w:themeColor="text1"/>
          <w:sz w:val="20"/>
          <w:szCs w:val="20"/>
          <w:lang w:val="en-US" w:eastAsia="fr-FR"/>
        </w:rPr>
        <w:t>The moisture content of the plant powders was determined according to the Association of</w:t>
      </w:r>
      <w:r w:rsidR="00D14E63" w:rsidRPr="005B7291">
        <w:rPr>
          <w:rFonts w:ascii="Arial" w:eastAsia="Times New Roman" w:hAnsi="Arial" w:cs="Arial"/>
          <w:color w:val="000000" w:themeColor="text1"/>
          <w:sz w:val="20"/>
          <w:szCs w:val="20"/>
          <w:lang w:val="en-US" w:eastAsia="fr-FR"/>
        </w:rPr>
        <w:t xml:space="preserve"> Official Analytical Chemists</w:t>
      </w:r>
      <w:r w:rsidR="00451D5E" w:rsidRPr="005B7291">
        <w:rPr>
          <w:rFonts w:ascii="Arial" w:eastAsia="Times New Roman" w:hAnsi="Arial" w:cs="Arial"/>
          <w:color w:val="000000" w:themeColor="text1"/>
          <w:sz w:val="20"/>
          <w:szCs w:val="20"/>
          <w:lang w:val="en-US" w:eastAsia="fr-FR"/>
        </w:rPr>
        <w:t xml:space="preserve"> </w:t>
      </w:r>
      <w:r w:rsidR="00E91D2D" w:rsidRPr="005B7291">
        <w:rPr>
          <w:rFonts w:ascii="Arial" w:eastAsia="Times New Roman" w:hAnsi="Arial" w:cs="Arial"/>
          <w:color w:val="000000" w:themeColor="text1"/>
          <w:sz w:val="20"/>
          <w:szCs w:val="20"/>
          <w:lang w:val="en-US" w:eastAsia="fr-FR"/>
        </w:rPr>
        <w:t>method</w:t>
      </w:r>
      <w:r w:rsidR="00E91D2D">
        <w:rPr>
          <w:rFonts w:ascii="Arial" w:eastAsia="Times New Roman" w:hAnsi="Arial" w:cs="Arial"/>
          <w:color w:val="000000" w:themeColor="text1"/>
          <w:sz w:val="20"/>
          <w:szCs w:val="20"/>
          <w:lang w:val="en-US" w:eastAsia="fr-FR"/>
        </w:rPr>
        <w:t xml:space="preserve"> </w:t>
      </w:r>
      <w:r w:rsidR="00451D5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{"citationItems":[{"id":"ITEM-1","itemData":{"author":[{"dropping-particle":"","family":"AOAC","given":"","non-dropping-particle":"","parse-names":false,"suffix":""}],"container-title":"AOAC International, Gaitherburg","id":"ITEM-1","issued":{"date-parts":[["2011"]]},"number-of-pages":"2590","title":"Official methods of analysis of AOAC International","type":"book","volume":"18st"},"uris":["http://www.mendeley.com/documents/?uuid=5b832845-9697-48c1-9460-c895a503aa9b"]}],"mendeley":{"formattedCitation":"(AOAC, 2011)","plainTextFormattedCitation":"(AOAC, 2011)","previouslyFormattedCitation":"(AOAC, 2011)"},"properties":{"noteIndex":0},"schema":"https://github.com/citation-style-language/schema/raw/master/csl-citation.json"}</w:instrText>
      </w:r>
      <w:r w:rsidR="00451D5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(AOAC, 2011)</w:t>
      </w:r>
      <w:r w:rsidR="00451D5E" w:rsidRPr="005B7291">
        <w:rPr>
          <w:rFonts w:ascii="Arial" w:eastAsia="Times New Roman" w:hAnsi="Arial" w:cs="Arial"/>
          <w:color w:val="000000" w:themeColor="text1"/>
          <w:sz w:val="20"/>
          <w:szCs w:val="20"/>
          <w:lang w:val="en-US" w:eastAsia="fr-FR"/>
        </w:rPr>
        <w:fldChar w:fldCharType="end"/>
      </w:r>
      <w:r w:rsidR="00E91D2D">
        <w:rPr>
          <w:rFonts w:ascii="Arial" w:eastAsia="Times New Roman" w:hAnsi="Arial" w:cs="Arial"/>
          <w:color w:val="000000" w:themeColor="text1"/>
          <w:sz w:val="20"/>
          <w:szCs w:val="20"/>
          <w:lang w:val="en-US" w:eastAsia="fr-FR"/>
        </w:rPr>
        <w:t>.</w:t>
      </w:r>
      <w:commentRangeEnd w:id="4"/>
      <w:r w:rsidR="00F31CB4">
        <w:rPr>
          <w:rStyle w:val="Marquedecommentaire"/>
        </w:rPr>
        <w:commentReference w:id="4"/>
      </w:r>
    </w:p>
    <w:p w14:paraId="053AC7B6"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2.4. Determination of </w:t>
      </w:r>
      <w:r w:rsidR="000373A4" w:rsidRPr="005250A4">
        <w:rPr>
          <w:rFonts w:ascii="Arial" w:eastAsia="Times New Roman" w:hAnsi="Arial" w:cs="Arial"/>
          <w:b/>
          <w:color w:val="000000" w:themeColor="text1"/>
          <w:lang w:val="en-US" w:eastAsia="fr-FR"/>
        </w:rPr>
        <w:t xml:space="preserve">the </w:t>
      </w:r>
      <w:r w:rsidRPr="005250A4">
        <w:rPr>
          <w:rFonts w:ascii="Arial" w:eastAsia="Times New Roman" w:hAnsi="Arial" w:cs="Arial"/>
          <w:b/>
          <w:color w:val="000000" w:themeColor="text1"/>
          <w:lang w:val="en-US" w:eastAsia="fr-FR"/>
        </w:rPr>
        <w:t>nutrient content of p</w:t>
      </w:r>
      <w:r w:rsidR="00874FDF" w:rsidRPr="005250A4">
        <w:rPr>
          <w:rFonts w:ascii="Arial" w:eastAsia="Times New Roman" w:hAnsi="Arial" w:cs="Arial"/>
          <w:b/>
          <w:color w:val="000000" w:themeColor="text1"/>
          <w:lang w:val="en-US" w:eastAsia="fr-FR"/>
        </w:rPr>
        <w:t xml:space="preserve">owders </w:t>
      </w:r>
    </w:p>
    <w:p w14:paraId="3B0C52AE"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commentRangeStart w:id="5"/>
      <w:r w:rsidRPr="005B7291">
        <w:rPr>
          <w:rFonts w:ascii="Arial" w:eastAsia="Times New Roman" w:hAnsi="Arial" w:cs="Arial"/>
          <w:b/>
          <w:color w:val="000000" w:themeColor="text1"/>
          <w:sz w:val="20"/>
          <w:szCs w:val="20"/>
          <w:lang w:val="en-US" w:eastAsia="fr-FR"/>
        </w:rPr>
        <w:lastRenderedPageBreak/>
        <w:t>2.4.1. Mineral c</w:t>
      </w:r>
      <w:r w:rsidR="00874FDF" w:rsidRPr="005B7291">
        <w:rPr>
          <w:rFonts w:ascii="Arial" w:eastAsia="Times New Roman" w:hAnsi="Arial" w:cs="Arial"/>
          <w:b/>
          <w:color w:val="000000" w:themeColor="text1"/>
          <w:sz w:val="20"/>
          <w:szCs w:val="20"/>
          <w:lang w:val="en-US" w:eastAsia="fr-FR"/>
        </w:rPr>
        <w:t xml:space="preserve">ontents </w:t>
      </w:r>
    </w:p>
    <w:p w14:paraId="62CCB493" w14:textId="53059CB1" w:rsidR="004728BD" w:rsidRPr="005B7291" w:rsidRDefault="00AB643D" w:rsidP="00AB643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mineral </w:t>
      </w:r>
      <w:r w:rsidR="002E5822">
        <w:rPr>
          <w:rFonts w:ascii="Arial" w:eastAsia="Times New Roman" w:hAnsi="Arial" w:cs="Arial"/>
          <w:color w:val="000000" w:themeColor="text1"/>
          <w:sz w:val="20"/>
          <w:szCs w:val="20"/>
          <w:lang w:val="en-US" w:eastAsia="fr-FR"/>
        </w:rPr>
        <w:t xml:space="preserve">contents (Cu, Zn, </w:t>
      </w:r>
      <w:proofErr w:type="spellStart"/>
      <w:r w:rsidR="002E5822">
        <w:rPr>
          <w:rFonts w:ascii="Arial" w:eastAsia="Times New Roman" w:hAnsi="Arial" w:cs="Arial"/>
          <w:color w:val="000000" w:themeColor="text1"/>
          <w:sz w:val="20"/>
          <w:szCs w:val="20"/>
          <w:lang w:val="en-US" w:eastAsia="fr-FR"/>
        </w:rPr>
        <w:t>Mn</w:t>
      </w:r>
      <w:proofErr w:type="spellEnd"/>
      <w:r w:rsidR="002E5822">
        <w:rPr>
          <w:rFonts w:ascii="Arial" w:eastAsia="Times New Roman" w:hAnsi="Arial" w:cs="Arial"/>
          <w:color w:val="000000" w:themeColor="text1"/>
          <w:sz w:val="20"/>
          <w:szCs w:val="20"/>
          <w:lang w:val="en-US" w:eastAsia="fr-FR"/>
        </w:rPr>
        <w:t xml:space="preserve">, Fe, Ca, Mg, K, and Na) of the plant powders were determined according to the </w:t>
      </w:r>
      <w:r w:rsidR="002E5822" w:rsidRPr="005B7291">
        <w:rPr>
          <w:rFonts w:ascii="Arial" w:eastAsia="Times New Roman" w:hAnsi="Arial" w:cs="Arial"/>
          <w:color w:val="000000" w:themeColor="text1"/>
          <w:sz w:val="20"/>
          <w:szCs w:val="20"/>
          <w:lang w:val="en-US" w:eastAsia="fr-FR"/>
        </w:rPr>
        <w:fldChar w:fldCharType="begin" w:fldLock="1"/>
      </w:r>
      <w:r w:rsidR="002E5822">
        <w:rPr>
          <w:rFonts w:ascii="Arial" w:eastAsia="Times New Roman" w:hAnsi="Arial" w:cs="Arial"/>
          <w:color w:val="000000" w:themeColor="text1"/>
          <w:sz w:val="20"/>
          <w:szCs w:val="20"/>
          <w:lang w:val="en-US" w:eastAsia="fr-FR"/>
        </w:rPr>
        <w:instrText>ADDIN CSL_CITATION {"citationItems":[{"id":"ITEM-1","itemData":{"DOI":"10.2307/2807624","ISSN":"0007196X","abstract":"This long awaited third edition of Phytochemical Methods is, as its predecessors, a key tool for undergraduates, research workers in plant biochemistry, plant taxonomists and any researchers in related areas where the analysis of organic plant components is key to their investigations. Phytochemistry is a rapidly expanding area with new techniques being developed and existing ones perfected and made easier to incorporate as standard methods in the laboratory. This latest edition includes descriptions of the most up-to-date methods such as HPLC and the increasingly sophisticated NMR and related spectral techniques. Other methods described are the use of NMR to locate substances within the plant cell and the chiral separation of essential oils. After an introductory chapter on methods of plant analysis, individual chapters describe methods of identifying the different type of plant molecules: phenolic compounds, terpenoids, organic acids, lipids and related compounds, nitrogen compounds, sugar and derivatives and macromolecules. Different methods are discussed and recommended, and guidance provided for the analysis of compounds of special physiological relevance such as endogenous growth regulators, substances of pharmacological interest and screening methods for the detection of substances for taxonomic purposes. It also includes an important bibliographic guide to specialized texts. This comprehensive book constitutes a unique and indispensable practical guide for any phytochemistry or related laboratory, and provides hands-on description of experimental techniques so that students and researchers can become familiar with these invaluable methods.","author":[{"dropping-particle":"","family":"Harborne","given":"Jeffrey B.","non-dropping-particle":"","parse-names":false,"suffix":""}],"container-title":"Brittonia","id":"ITEM-1","issue":"2","issued":{"date-parts":[["1998"]]},"number-of-pages":"XIV, 302","publisher":"Springer Dordrecht","title":"Phytochemical Methods: A Guide to Modern Techniques of Plant Analysis. Second Edition.","type":"book","volume":"42"},"uris":["http://www.mendeley.com/documents/?uuid=e144e3c6-3215-4dd5-971d-dfc938166f82"]}],"mendeley":{"formattedCitation":"(Harborne, 1998)","manualFormatting":"Harborne (1998)","plainTextFormattedCitation":"(Harborne, 1998)","previouslyFormattedCitation":"(Harborne, 1998)"},"properties":{"noteIndex":0},"schema":"https://github.com/citation-style-language/schema/raw/master/csl-citation.json"}</w:instrText>
      </w:r>
      <w:r w:rsidR="002E5822" w:rsidRPr="005B7291">
        <w:rPr>
          <w:rFonts w:ascii="Arial" w:eastAsia="Times New Roman" w:hAnsi="Arial" w:cs="Arial"/>
          <w:color w:val="000000" w:themeColor="text1"/>
          <w:sz w:val="20"/>
          <w:szCs w:val="20"/>
          <w:lang w:val="en-US" w:eastAsia="fr-FR"/>
        </w:rPr>
        <w:fldChar w:fldCharType="separate"/>
      </w:r>
      <w:r w:rsidR="002E5822" w:rsidRPr="00302617">
        <w:rPr>
          <w:rFonts w:ascii="Arial" w:eastAsia="Times New Roman" w:hAnsi="Arial" w:cs="Arial"/>
          <w:noProof/>
          <w:color w:val="000000" w:themeColor="text1"/>
          <w:sz w:val="20"/>
          <w:szCs w:val="20"/>
          <w:lang w:val="en-US" w:eastAsia="fr-FR"/>
        </w:rPr>
        <w:t>Harborne</w:t>
      </w:r>
      <w:r w:rsidR="002E5822">
        <w:rPr>
          <w:rFonts w:ascii="Arial" w:eastAsia="Times New Roman" w:hAnsi="Arial" w:cs="Arial"/>
          <w:noProof/>
          <w:color w:val="000000" w:themeColor="text1"/>
          <w:sz w:val="20"/>
          <w:szCs w:val="20"/>
          <w:lang w:val="en-US" w:eastAsia="fr-FR"/>
        </w:rPr>
        <w:t xml:space="preserve"> (</w:t>
      </w:r>
      <w:r w:rsidR="002E5822" w:rsidRPr="00302617">
        <w:rPr>
          <w:rFonts w:ascii="Arial" w:eastAsia="Times New Roman" w:hAnsi="Arial" w:cs="Arial"/>
          <w:noProof/>
          <w:color w:val="000000" w:themeColor="text1"/>
          <w:sz w:val="20"/>
          <w:szCs w:val="20"/>
          <w:lang w:val="en-US" w:eastAsia="fr-FR"/>
        </w:rPr>
        <w:t>1998)</w:t>
      </w:r>
      <w:r w:rsidR="002E5822" w:rsidRPr="005B7291">
        <w:rPr>
          <w:rFonts w:ascii="Arial" w:eastAsia="Times New Roman" w:hAnsi="Arial" w:cs="Arial"/>
          <w:color w:val="000000" w:themeColor="text1"/>
          <w:sz w:val="20"/>
          <w:szCs w:val="20"/>
          <w:lang w:val="en-US" w:eastAsia="fr-FR"/>
        </w:rPr>
        <w:fldChar w:fldCharType="end"/>
      </w:r>
      <w:r w:rsidR="002E5822">
        <w:rPr>
          <w:rFonts w:ascii="Arial" w:eastAsia="Times New Roman" w:hAnsi="Arial" w:cs="Arial"/>
          <w:color w:val="000000" w:themeColor="text1"/>
          <w:sz w:val="20"/>
          <w:szCs w:val="20"/>
          <w:lang w:val="en-US" w:eastAsia="fr-FR"/>
        </w:rPr>
        <w:t xml:space="preserve"> method. </w:t>
      </w:r>
      <w:commentRangeEnd w:id="5"/>
      <w:r w:rsidR="00F31CB4">
        <w:rPr>
          <w:rStyle w:val="Marquedecommentaire"/>
        </w:rPr>
        <w:commentReference w:id="5"/>
      </w:r>
    </w:p>
    <w:p w14:paraId="623863A9"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2.4.2. </w:t>
      </w:r>
      <w:commentRangeStart w:id="6"/>
      <w:r w:rsidRPr="005B7291">
        <w:rPr>
          <w:rFonts w:ascii="Arial" w:eastAsia="Times New Roman" w:hAnsi="Arial" w:cs="Arial"/>
          <w:b/>
          <w:color w:val="000000" w:themeColor="text1"/>
          <w:sz w:val="20"/>
          <w:szCs w:val="20"/>
          <w:lang w:val="en-US" w:eastAsia="fr-FR"/>
        </w:rPr>
        <w:t>Available c</w:t>
      </w:r>
      <w:r w:rsidR="00874FDF" w:rsidRPr="005B7291">
        <w:rPr>
          <w:rFonts w:ascii="Arial" w:eastAsia="Times New Roman" w:hAnsi="Arial" w:cs="Arial"/>
          <w:b/>
          <w:color w:val="000000" w:themeColor="text1"/>
          <w:sz w:val="20"/>
          <w:szCs w:val="20"/>
          <w:lang w:val="en-US" w:eastAsia="fr-FR"/>
        </w:rPr>
        <w:t xml:space="preserve">arbohydrates </w:t>
      </w:r>
    </w:p>
    <w:p w14:paraId="4AFBE336" w14:textId="62EE7833" w:rsidR="002E5822" w:rsidRPr="005B7291" w:rsidRDefault="001002EA" w:rsidP="002E5822">
      <w:pPr>
        <w:pStyle w:val="NormalWeb"/>
        <w:spacing w:line="360" w:lineRule="auto"/>
        <w:rPr>
          <w:rFonts w:ascii="Arial" w:hAnsi="Arial" w:cs="Arial"/>
          <w:color w:val="000000" w:themeColor="text1"/>
          <w:sz w:val="20"/>
          <w:szCs w:val="20"/>
          <w:lang w:val="en-US"/>
        </w:rPr>
      </w:pPr>
      <w:r w:rsidRPr="005B7291">
        <w:rPr>
          <w:rFonts w:ascii="Arial" w:hAnsi="Arial" w:cs="Arial"/>
          <w:color w:val="000000" w:themeColor="text1"/>
          <w:sz w:val="20"/>
          <w:szCs w:val="20"/>
          <w:lang w:val="en-US"/>
        </w:rPr>
        <w:t>T</w:t>
      </w:r>
      <w:r w:rsidR="00E46855">
        <w:rPr>
          <w:rFonts w:ascii="Arial" w:hAnsi="Arial" w:cs="Arial"/>
          <w:color w:val="000000" w:themeColor="text1"/>
          <w:sz w:val="20"/>
          <w:szCs w:val="20"/>
          <w:lang w:val="en-US"/>
        </w:rPr>
        <w:t>he</w:t>
      </w:r>
      <w:r w:rsidRPr="005B7291">
        <w:rPr>
          <w:rFonts w:ascii="Arial" w:hAnsi="Arial" w:cs="Arial"/>
          <w:color w:val="000000" w:themeColor="text1"/>
          <w:sz w:val="20"/>
          <w:szCs w:val="20"/>
          <w:lang w:val="en-US"/>
        </w:rPr>
        <w:t xml:space="preserve"> available carbohydrates</w:t>
      </w:r>
      <w:r w:rsidR="00E46855">
        <w:rPr>
          <w:rFonts w:ascii="Arial" w:hAnsi="Arial" w:cs="Arial"/>
          <w:color w:val="000000" w:themeColor="text1"/>
          <w:sz w:val="20"/>
          <w:szCs w:val="20"/>
          <w:lang w:val="en-US"/>
        </w:rPr>
        <w:t xml:space="preserve"> were determined according to the</w:t>
      </w:r>
      <w:r w:rsidR="00AA286F" w:rsidRPr="005B7291">
        <w:rPr>
          <w:rFonts w:ascii="Arial" w:hAnsi="Arial" w:cs="Arial"/>
          <w:color w:val="000000" w:themeColor="text1"/>
          <w:sz w:val="20"/>
          <w:szCs w:val="20"/>
          <w:lang w:val="en-US"/>
        </w:rPr>
        <w:t xml:space="preserve"> </w:t>
      </w:r>
      <w:r w:rsidR="00AA286F"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{"citationItems":[{"id":"ITEM-1","itemData":{"author":[{"dropping-particle":"","family":"Fischer","given":"E","non-dropping-particle":"","parse-names":false,"suffix":""},{"dropping-particle":"","family":"Stein","given":"E A","non-dropping-particle":"","parse-names":false,"suffix":""}],"container-title":"Biochemical Preparation","id":"ITEM-1","issued":{"date-parts":[["1961"]]},"page":"30-37","title":"DNS colorimetric determination of available carbohydrates in foods","type":"article-journal","volume":"8"},"uris":["http://www.mendeley.com/documents/?uuid=b37fa618-6951-4a5c-8314-3032e5997043"]}],"mendeley":{"formattedCitation":"(Fischer &amp; Stein, 1961)","manualFormatting":"Fischer &amp; Stein (1961)","plainTextFormattedCitation":"(Fischer &amp; Stein, 1961)","previouslyFormattedCitation":"(Fischer &amp; Stein, 1961)"},"properties":{"noteIndex":0},"schema":"https://github.com/citation-style-language/schema/raw/master/csl-citation.json"}</w:instrText>
      </w:r>
      <w:r w:rsidR="00AA286F"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Fischer &amp; Stein</w:t>
      </w:r>
      <w:r w:rsidR="0030261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1961)</w:t>
      </w:r>
      <w:r w:rsidR="00AA286F" w:rsidRPr="005B7291">
        <w:rPr>
          <w:rFonts w:ascii="Arial" w:hAnsi="Arial" w:cs="Arial"/>
          <w:color w:val="000000" w:themeColor="text1"/>
          <w:sz w:val="20"/>
          <w:szCs w:val="20"/>
          <w:lang w:val="en-US"/>
        </w:rPr>
        <w:fldChar w:fldCharType="end"/>
      </w:r>
      <w:r w:rsidR="00E46855">
        <w:rPr>
          <w:rFonts w:ascii="Arial" w:hAnsi="Arial" w:cs="Arial"/>
          <w:color w:val="000000" w:themeColor="text1"/>
          <w:sz w:val="20"/>
          <w:szCs w:val="20"/>
          <w:lang w:val="en-US"/>
        </w:rPr>
        <w:t xml:space="preserve"> method</w:t>
      </w:r>
      <w:r w:rsidRPr="005B7291">
        <w:rPr>
          <w:rFonts w:ascii="Arial" w:hAnsi="Arial" w:cs="Arial"/>
          <w:color w:val="000000" w:themeColor="text1"/>
          <w:sz w:val="20"/>
          <w:szCs w:val="20"/>
          <w:lang w:val="en-US"/>
        </w:rPr>
        <w:t xml:space="preserve">. </w:t>
      </w:r>
      <w:commentRangeEnd w:id="6"/>
      <w:r w:rsidR="004B0CB0">
        <w:rPr>
          <w:rStyle w:val="Marquedecommentaire"/>
          <w:rFonts w:asciiTheme="minorHAnsi" w:eastAsiaTheme="minorHAnsi" w:hAnsiTheme="minorHAnsi" w:cstheme="minorBidi"/>
          <w:lang w:eastAsia="en-US"/>
        </w:rPr>
        <w:commentReference w:id="6"/>
      </w:r>
    </w:p>
    <w:p w14:paraId="6C803822"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2.4.3. Total l</w:t>
      </w:r>
      <w:r w:rsidR="00874FDF" w:rsidRPr="005B7291">
        <w:rPr>
          <w:rFonts w:ascii="Arial" w:eastAsia="Times New Roman" w:hAnsi="Arial" w:cs="Arial"/>
          <w:b/>
          <w:color w:val="000000" w:themeColor="text1"/>
          <w:sz w:val="20"/>
          <w:szCs w:val="20"/>
          <w:lang w:val="en-US" w:eastAsia="fr-FR"/>
        </w:rPr>
        <w:t>ipids</w:t>
      </w:r>
    </w:p>
    <w:p w14:paraId="0DF65821" w14:textId="4FB34901" w:rsidR="00DA118F" w:rsidRPr="005B7291" w:rsidRDefault="00DA118F" w:rsidP="005D256F">
      <w:pPr>
        <w:spacing w:after="0"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total lipid content </w:t>
      </w:r>
      <w:r w:rsidR="00235640" w:rsidRPr="005B7291">
        <w:rPr>
          <w:rFonts w:ascii="Arial" w:eastAsia="Times New Roman" w:hAnsi="Arial" w:cs="Arial"/>
          <w:color w:val="000000" w:themeColor="text1"/>
          <w:sz w:val="20"/>
          <w:szCs w:val="20"/>
          <w:lang w:val="en-US" w:eastAsia="fr-FR"/>
        </w:rPr>
        <w:t xml:space="preserve">was </w:t>
      </w:r>
      <w:r w:rsidRPr="005B7291">
        <w:rPr>
          <w:rFonts w:ascii="Arial" w:eastAsia="Times New Roman" w:hAnsi="Arial" w:cs="Arial"/>
          <w:color w:val="000000" w:themeColor="text1"/>
          <w:sz w:val="20"/>
          <w:szCs w:val="20"/>
          <w:lang w:val="en-US" w:eastAsia="fr-FR"/>
        </w:rPr>
        <w:t xml:space="preserve">determined using the hot extraction method in a </w:t>
      </w:r>
      <w:proofErr w:type="spellStart"/>
      <w:r w:rsidR="00235640"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lang w:val="en-US" w:eastAsia="fr-FR"/>
        </w:rPr>
        <w:t>oxhlet</w:t>
      </w:r>
      <w:proofErr w:type="spellEnd"/>
      <w:r w:rsidRPr="005B7291">
        <w:rPr>
          <w:rFonts w:ascii="Arial" w:eastAsia="Times New Roman" w:hAnsi="Arial" w:cs="Arial"/>
          <w:color w:val="000000" w:themeColor="text1"/>
          <w:sz w:val="20"/>
          <w:szCs w:val="20"/>
          <w:lang w:val="en-US" w:eastAsia="fr-FR"/>
        </w:rPr>
        <w:t xml:space="preserve"> apparatus, as described b</w:t>
      </w:r>
      <w:r w:rsidR="00211939" w:rsidRPr="005B7291">
        <w:rPr>
          <w:rFonts w:ascii="Arial" w:eastAsia="Times New Roman" w:hAnsi="Arial" w:cs="Arial"/>
          <w:color w:val="000000" w:themeColor="text1"/>
          <w:sz w:val="20"/>
          <w:szCs w:val="20"/>
          <w:lang w:val="en-US" w:eastAsia="fr-FR"/>
        </w:rPr>
        <w:t>y</w:t>
      </w:r>
      <w:r w:rsidR="00AA286F"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{"citationItems":[{"id":"ITEM-1","itemData":{"author":[{"dropping-particle":"","family":"Bourely","given":"","non-dropping-particle":"","parse-names":false,"suffix":""}],"container-title":"Coton et Fibres Tropicales","id":"ITEM-1","issued":{"date-parts":[["1982"]]},"page":"183-196","title":"Observation sur le dosage de l’huile des graines de cotonnie","type":"article-journal","volume":"27"},"uris":["http://www.mendeley.com/documents/?uuid=7cef7f43-278c-4286-9512-295dedb6eeda"]}],"mendeley":{"formattedCitation":"(Bourely, 1982)","manualFormatting":"Bourely (1982)","plainTextFormattedCitation":"(Bourely, 1982)","previouslyFormattedCitation":"(Bourely, 1982)"},"properties":{"noteIndex":0},"schema":"https://github.com/citation-style-language/schema/raw/master/csl-citation.json"}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Bourely</w:t>
      </w:r>
      <w:r w:rsidR="0030261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1982)</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The dried powders, obtained by drying at 105 </w:t>
      </w:r>
      <w:r w:rsidR="00235640"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C, </w:t>
      </w:r>
      <w:r w:rsidR="00235640" w:rsidRPr="005B7291">
        <w:rPr>
          <w:rFonts w:ascii="Arial" w:eastAsia="Times New Roman" w:hAnsi="Arial" w:cs="Arial"/>
          <w:color w:val="000000" w:themeColor="text1"/>
          <w:sz w:val="20"/>
          <w:szCs w:val="20"/>
          <w:lang w:val="en-US" w:eastAsia="fr-FR"/>
        </w:rPr>
        <w:t>were</w:t>
      </w:r>
      <w:r w:rsidRPr="005B7291">
        <w:rPr>
          <w:rFonts w:ascii="Arial" w:eastAsia="Times New Roman" w:hAnsi="Arial" w:cs="Arial"/>
          <w:color w:val="000000" w:themeColor="text1"/>
          <w:sz w:val="20"/>
          <w:szCs w:val="20"/>
          <w:lang w:val="en-US" w:eastAsia="fr-FR"/>
        </w:rPr>
        <w:t xml:space="preserve"> placed </w:t>
      </w:r>
      <w:r w:rsidR="00235640"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lang w:val="en-US" w:eastAsia="fr-FR"/>
        </w:rPr>
        <w:t xml:space="preserve">n numbered filter papers, dried, and weighed. Oil extraction </w:t>
      </w:r>
      <w:r w:rsidR="00235CDA" w:rsidRPr="005B7291">
        <w:rPr>
          <w:rFonts w:ascii="Arial" w:eastAsia="Times New Roman" w:hAnsi="Arial" w:cs="Arial"/>
          <w:color w:val="000000" w:themeColor="text1"/>
          <w:sz w:val="20"/>
          <w:szCs w:val="20"/>
          <w:lang w:val="en-US" w:eastAsia="fr-FR"/>
        </w:rPr>
        <w:t>was</w:t>
      </w:r>
      <w:r w:rsidRPr="005B7291">
        <w:rPr>
          <w:rFonts w:ascii="Arial" w:eastAsia="Times New Roman" w:hAnsi="Arial" w:cs="Arial"/>
          <w:color w:val="000000" w:themeColor="text1"/>
          <w:sz w:val="20"/>
          <w:szCs w:val="20"/>
          <w:lang w:val="en-US" w:eastAsia="fr-FR"/>
        </w:rPr>
        <w:t xml:space="preserve"> carried out using hexane in the </w:t>
      </w:r>
      <w:proofErr w:type="spellStart"/>
      <w:r w:rsidRPr="005B7291">
        <w:rPr>
          <w:rFonts w:ascii="Arial" w:eastAsia="Times New Roman" w:hAnsi="Arial" w:cs="Arial"/>
          <w:color w:val="000000" w:themeColor="text1"/>
          <w:sz w:val="20"/>
          <w:szCs w:val="20"/>
          <w:lang w:val="en-US" w:eastAsia="fr-FR"/>
        </w:rPr>
        <w:t>Soxhlet</w:t>
      </w:r>
      <w:proofErr w:type="spellEnd"/>
      <w:r w:rsidRPr="005B7291">
        <w:rPr>
          <w:rFonts w:ascii="Arial" w:eastAsia="Times New Roman" w:hAnsi="Arial" w:cs="Arial"/>
          <w:color w:val="000000" w:themeColor="text1"/>
          <w:sz w:val="20"/>
          <w:szCs w:val="20"/>
          <w:lang w:val="en-US" w:eastAsia="fr-FR"/>
        </w:rPr>
        <w:t xml:space="preserve"> apparatus for</w:t>
      </w:r>
      <w:r w:rsidR="00235CDA"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12 h. The oil content </w:t>
      </w:r>
      <w:r w:rsidR="00235CDA" w:rsidRPr="005B7291">
        <w:rPr>
          <w:rFonts w:ascii="Arial" w:eastAsia="Times New Roman" w:hAnsi="Arial" w:cs="Arial"/>
          <w:color w:val="000000" w:themeColor="text1"/>
          <w:sz w:val="20"/>
          <w:szCs w:val="20"/>
          <w:lang w:val="en-US" w:eastAsia="fr-FR"/>
        </w:rPr>
        <w:t>was</w:t>
      </w:r>
      <w:r w:rsidRPr="005B7291">
        <w:rPr>
          <w:rFonts w:ascii="Arial" w:eastAsia="Times New Roman" w:hAnsi="Arial" w:cs="Arial"/>
          <w:color w:val="000000" w:themeColor="text1"/>
          <w:sz w:val="20"/>
          <w:szCs w:val="20"/>
          <w:lang w:val="en-US" w:eastAsia="fr-FR"/>
        </w:rPr>
        <w:t xml:space="preserve"> calculated relative to the dry matter by the weight difference of the sachet before and after complete lipid extraction. The oil content (T</w:t>
      </w:r>
      <w:r w:rsidR="00235CDA" w:rsidRPr="005B7291">
        <w:rPr>
          <w:rFonts w:ascii="Arial" w:eastAsia="Times New Roman" w:hAnsi="Arial" w:cs="Arial"/>
          <w:color w:val="000000" w:themeColor="text1"/>
          <w:sz w:val="20"/>
          <w:szCs w:val="20"/>
          <w:vertAlign w:val="subscript"/>
          <w:lang w:val="en-US" w:eastAsia="fr-FR"/>
        </w:rPr>
        <w:t>L</w:t>
      </w:r>
      <w:r w:rsidRPr="005B7291">
        <w:rPr>
          <w:rFonts w:ascii="Arial" w:eastAsia="Times New Roman" w:hAnsi="Arial" w:cs="Arial"/>
          <w:color w:val="000000" w:themeColor="text1"/>
          <w:sz w:val="20"/>
          <w:szCs w:val="20"/>
          <w:lang w:val="en-US" w:eastAsia="fr-FR"/>
        </w:rPr>
        <w:t xml:space="preserve">) per 100 g of dry powder is given by the following formula: </w:t>
      </w:r>
    </w:p>
    <w:p w14:paraId="3E9FB37E" w14:textId="77777777" w:rsidR="00DA118F" w:rsidRPr="005B7291" w:rsidRDefault="00DA118F" w:rsidP="00D525FA">
      <w:pPr>
        <w:spacing w:before="100" w:beforeAutospacing="1" w:after="100" w:afterAutospacing="1" w:line="360" w:lineRule="auto"/>
        <w:jc w:val="center"/>
        <w:rPr>
          <w:rFonts w:ascii="Arial" w:eastAsia="Times New Roman" w:hAnsi="Arial" w:cs="Arial"/>
          <w:color w:val="000000" w:themeColor="text1"/>
          <w:sz w:val="20"/>
          <w:szCs w:val="20"/>
          <w:lang w:val="en-US" w:eastAsia="fr-FR"/>
        </w:rPr>
      </w:pPr>
      <w:commentRangeStart w:id="7"/>
      <w:r w:rsidRPr="005B7291">
        <w:rPr>
          <w:rFonts w:ascii="Arial" w:eastAsia="Times New Roman" w:hAnsi="Arial" w:cs="Arial"/>
          <w:color w:val="000000" w:themeColor="text1"/>
          <w:sz w:val="20"/>
          <w:szCs w:val="20"/>
          <w:lang w:val="en-US" w:eastAsia="fr-FR"/>
        </w:rPr>
        <w:t>T</w:t>
      </w:r>
      <w:r w:rsidR="00235CDA" w:rsidRPr="005B7291">
        <w:rPr>
          <w:rFonts w:ascii="Arial" w:eastAsia="Times New Roman" w:hAnsi="Arial" w:cs="Arial"/>
          <w:color w:val="000000" w:themeColor="text1"/>
          <w:sz w:val="20"/>
          <w:szCs w:val="20"/>
          <w:vertAlign w:val="subscript"/>
          <w:lang w:val="en-US" w:eastAsia="fr-FR"/>
        </w:rPr>
        <w:t>L</w:t>
      </w:r>
      <w:r w:rsidRPr="005B7291">
        <w:rPr>
          <w:rFonts w:ascii="Arial" w:eastAsia="Times New Roman" w:hAnsi="Arial" w:cs="Arial"/>
          <w:color w:val="000000" w:themeColor="text1"/>
          <w:sz w:val="20"/>
          <w:szCs w:val="20"/>
          <w:lang w:val="en-US" w:eastAsia="fr-FR"/>
        </w:rPr>
        <w:t xml:space="preserve"> = [(M</w:t>
      </w:r>
      <w:r w:rsidRPr="005B7291">
        <w:rPr>
          <w:rFonts w:ascii="Arial" w:eastAsia="Times New Roman" w:hAnsi="Arial" w:cs="Arial"/>
          <w:color w:val="000000" w:themeColor="text1"/>
          <w:sz w:val="20"/>
          <w:szCs w:val="20"/>
          <w:vertAlign w:val="subscript"/>
          <w:lang w:val="en-US" w:eastAsia="fr-FR"/>
        </w:rPr>
        <w:t>1</w:t>
      </w:r>
      <w:r w:rsidRPr="005B7291">
        <w:rPr>
          <w:rFonts w:ascii="Arial" w:eastAsia="Times New Roman" w:hAnsi="Arial" w:cs="Arial"/>
          <w:color w:val="000000" w:themeColor="text1"/>
          <w:sz w:val="20"/>
          <w:szCs w:val="20"/>
          <w:lang w:val="en-US" w:eastAsia="fr-FR"/>
        </w:rPr>
        <w:t xml:space="preserve"> − M) / (M</w:t>
      </w:r>
      <w:r w:rsidRPr="005B7291">
        <w:rPr>
          <w:rFonts w:ascii="Arial" w:eastAsia="Times New Roman" w:hAnsi="Arial" w:cs="Arial"/>
          <w:color w:val="000000" w:themeColor="text1"/>
          <w:sz w:val="20"/>
          <w:szCs w:val="20"/>
          <w:vertAlign w:val="subscript"/>
          <w:lang w:val="en-US" w:eastAsia="fr-FR"/>
        </w:rPr>
        <w:t>1</w:t>
      </w:r>
      <w:r w:rsidRPr="005B7291">
        <w:rPr>
          <w:rFonts w:ascii="Arial" w:eastAsia="Times New Roman" w:hAnsi="Arial" w:cs="Arial"/>
          <w:color w:val="000000" w:themeColor="text1"/>
          <w:sz w:val="20"/>
          <w:szCs w:val="20"/>
          <w:lang w:val="en-US" w:eastAsia="fr-FR"/>
        </w:rPr>
        <w:t xml:space="preserve"> − M</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 xml:space="preserve">)] </w:t>
      </w:r>
      <w:r w:rsidRPr="005B7291">
        <w:rPr>
          <w:rFonts w:ascii="Cambria Math" w:eastAsia="Times New Roman" w:hAnsi="Cambria Math" w:cs="Cambria Math"/>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100</w:t>
      </w:r>
      <w:commentRangeEnd w:id="7"/>
      <w:r w:rsidR="004B0CB0">
        <w:rPr>
          <w:rStyle w:val="Marquedecommentaire"/>
        </w:rPr>
        <w:commentReference w:id="7"/>
      </w:r>
    </w:p>
    <w:p w14:paraId="0FB5C9E2"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commentRangeStart w:id="8"/>
      <w:r w:rsidRPr="005B7291">
        <w:rPr>
          <w:rFonts w:ascii="Arial" w:eastAsia="Times New Roman" w:hAnsi="Arial" w:cs="Arial"/>
          <w:b/>
          <w:color w:val="000000" w:themeColor="text1"/>
          <w:sz w:val="20"/>
          <w:szCs w:val="20"/>
          <w:lang w:val="en-US" w:eastAsia="fr-FR"/>
        </w:rPr>
        <w:t>2.4.4. Total protein and a</w:t>
      </w:r>
      <w:r w:rsidR="00874FDF" w:rsidRPr="005B7291">
        <w:rPr>
          <w:rFonts w:ascii="Arial" w:eastAsia="Times New Roman" w:hAnsi="Arial" w:cs="Arial"/>
          <w:b/>
          <w:color w:val="000000" w:themeColor="text1"/>
          <w:sz w:val="20"/>
          <w:szCs w:val="20"/>
          <w:lang w:val="en-US" w:eastAsia="fr-FR"/>
        </w:rPr>
        <w:t>sh</w:t>
      </w:r>
    </w:p>
    <w:p w14:paraId="4C0EA629" w14:textId="1217242D" w:rsidR="00874FDF" w:rsidRPr="005B7291" w:rsidRDefault="00874FDF"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protein content was determined by the </w:t>
      </w:r>
      <w:proofErr w:type="spellStart"/>
      <w:r w:rsidRPr="005B7291">
        <w:rPr>
          <w:rFonts w:ascii="Arial" w:eastAsia="Times New Roman" w:hAnsi="Arial" w:cs="Arial"/>
          <w:color w:val="000000" w:themeColor="text1"/>
          <w:sz w:val="20"/>
          <w:szCs w:val="20"/>
          <w:lang w:val="en-US" w:eastAsia="fr-FR"/>
        </w:rPr>
        <w:t>Kjeldahl</w:t>
      </w:r>
      <w:proofErr w:type="spellEnd"/>
      <w:r w:rsidRPr="005B7291">
        <w:rPr>
          <w:rFonts w:ascii="Arial" w:eastAsia="Times New Roman" w:hAnsi="Arial" w:cs="Arial"/>
          <w:color w:val="000000" w:themeColor="text1"/>
          <w:sz w:val="20"/>
          <w:szCs w:val="20"/>
          <w:lang w:val="en-US" w:eastAsia="fr-FR"/>
        </w:rPr>
        <w:t xml:space="preserve"> method </w:t>
      </w:r>
      <w:r w:rsidR="00A53F51"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1999)","plainTextFormattedCitation":"(AOAC, 1999)","previouslyFormattedCitation":"(AOAC, 1999)"},"properties":{"noteIndex":0},"schema":"https://github.com/citation-style-language/schema/raw/master/csl-citation.json"}</w:instrText>
      </w:r>
      <w:r w:rsidR="00A53F51"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(AOAC, 1999)</w:t>
      </w:r>
      <w:r w:rsidR="00A53F51" w:rsidRPr="005B7291">
        <w:rPr>
          <w:rFonts w:ascii="Arial" w:hAnsi="Arial" w:cs="Arial"/>
          <w:color w:val="000000" w:themeColor="text1"/>
          <w:sz w:val="20"/>
          <w:szCs w:val="20"/>
          <w:lang w:val="en-US"/>
        </w:rPr>
        <w:fldChar w:fldCharType="end"/>
      </w:r>
      <w:r w:rsidRPr="005B7291">
        <w:rPr>
          <w:rFonts w:ascii="Arial" w:eastAsia="Times New Roman" w:hAnsi="Arial" w:cs="Arial"/>
          <w:color w:val="000000" w:themeColor="text1"/>
          <w:sz w:val="20"/>
          <w:szCs w:val="20"/>
          <w:lang w:val="en-US" w:eastAsia="fr-FR"/>
        </w:rPr>
        <w:t>. T</w:t>
      </w:r>
      <w:r w:rsidR="00235CDA" w:rsidRPr="005B7291">
        <w:rPr>
          <w:rFonts w:ascii="Arial" w:eastAsia="Times New Roman" w:hAnsi="Arial" w:cs="Arial"/>
          <w:color w:val="000000" w:themeColor="text1"/>
          <w:sz w:val="20"/>
          <w:szCs w:val="20"/>
          <w:lang w:val="en-US" w:eastAsia="fr-FR"/>
        </w:rPr>
        <w:t>he t</w:t>
      </w:r>
      <w:r w:rsidRPr="005B7291">
        <w:rPr>
          <w:rFonts w:ascii="Arial" w:eastAsia="Times New Roman" w:hAnsi="Arial" w:cs="Arial"/>
          <w:color w:val="000000" w:themeColor="text1"/>
          <w:sz w:val="20"/>
          <w:szCs w:val="20"/>
          <w:lang w:val="en-US" w:eastAsia="fr-FR"/>
        </w:rPr>
        <w:t xml:space="preserve">otal ash content was determined after incineration of the powders according to the protocol described by </w:t>
      </w:r>
      <w:r w:rsidR="00235CDA" w:rsidRPr="005B7291">
        <w:rPr>
          <w:rFonts w:ascii="Arial" w:eastAsia="Times New Roman" w:hAnsi="Arial" w:cs="Arial"/>
          <w:color w:val="000000" w:themeColor="text1"/>
          <w:sz w:val="20"/>
          <w:szCs w:val="20"/>
          <w:lang w:val="en-US" w:eastAsia="fr-FR"/>
        </w:rPr>
        <w:t>the</w:t>
      </w:r>
      <w:r w:rsidR="00AA286F"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{"citationItems":[{"id":"ITEM-1","itemData":{"author":[{"dropping-particle":"","family":"AOAC","given":"","non-dropping-particle":"","parse-names":false,"suffix":""}],"edition":"16th editi","id":"ITEM-1","issued":{"date-parts":[["1999"]]},"publisher":"Association of Official Analytical Chemists","publisher-place":"Washington","title":"Official methods of analysis","type":"book"},"uris":["http://www.mendeley.com/documents/?uuid=88816041-1db0-45d9-9708-f36913189626"]}],"mendeley":{"formattedCitation":"(AOAC, 1999)","manualFormatting":"AOAC (1999)","plainTextFormattedCitation":"(AOAC, 1999)","previouslyFormattedCitation":"(AOAC, 1999)"},"properties":{"noteIndex":0},"schema":"https://github.com/citation-style-language/schema/raw/master/csl-citation.json"}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AOAC </w:t>
      </w:r>
      <w:r w:rsidR="0030261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1999)</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w:t>
      </w:r>
      <w:commentRangeEnd w:id="8"/>
      <w:r w:rsidR="000224EE">
        <w:rPr>
          <w:rStyle w:val="Marquedecommentaire"/>
        </w:rPr>
        <w:commentReference w:id="8"/>
      </w:r>
    </w:p>
    <w:p w14:paraId="69096289" w14:textId="77777777" w:rsidR="00874FDF" w:rsidRPr="005250A4" w:rsidRDefault="00A53F51" w:rsidP="00874FDF">
      <w:pPr>
        <w:spacing w:before="100" w:beforeAutospacing="1" w:after="100" w:afterAutospacing="1" w:line="360" w:lineRule="auto"/>
        <w:jc w:val="both"/>
        <w:rPr>
          <w:rFonts w:ascii="Arial" w:eastAsia="Times New Roman" w:hAnsi="Arial" w:cs="Arial"/>
          <w:b/>
          <w:color w:val="000000" w:themeColor="text1"/>
          <w:lang w:val="en-US" w:eastAsia="fr-FR"/>
        </w:rPr>
      </w:pPr>
      <w:commentRangeStart w:id="9"/>
      <w:r w:rsidRPr="005250A4">
        <w:rPr>
          <w:rFonts w:ascii="Arial" w:eastAsia="Times New Roman" w:hAnsi="Arial" w:cs="Arial"/>
          <w:b/>
          <w:color w:val="000000" w:themeColor="text1"/>
          <w:lang w:val="en-US" w:eastAsia="fr-FR"/>
        </w:rPr>
        <w:t>2.5. Crude f</w:t>
      </w:r>
      <w:r w:rsidR="00874FDF" w:rsidRPr="005250A4">
        <w:rPr>
          <w:rFonts w:ascii="Arial" w:eastAsia="Times New Roman" w:hAnsi="Arial" w:cs="Arial"/>
          <w:b/>
          <w:color w:val="000000" w:themeColor="text1"/>
          <w:lang w:val="en-US" w:eastAsia="fr-FR"/>
        </w:rPr>
        <w:t xml:space="preserve">ibers </w:t>
      </w:r>
    </w:p>
    <w:p w14:paraId="7601C646" w14:textId="7951E875" w:rsidR="00DA118F" w:rsidRPr="005B7291" w:rsidRDefault="007313D9" w:rsidP="00E46855">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crude fiber content of the powders was evaluated using the </w:t>
      </w:r>
      <w:proofErr w:type="spellStart"/>
      <w:r w:rsidRPr="005B7291">
        <w:rPr>
          <w:rFonts w:ascii="Arial" w:eastAsia="Times New Roman" w:hAnsi="Arial" w:cs="Arial"/>
          <w:color w:val="000000" w:themeColor="text1"/>
          <w:sz w:val="20"/>
          <w:szCs w:val="20"/>
          <w:lang w:val="en-US" w:eastAsia="fr-FR"/>
        </w:rPr>
        <w:t>Weende</w:t>
      </w:r>
      <w:proofErr w:type="spellEnd"/>
      <w:r w:rsidRPr="005B7291">
        <w:rPr>
          <w:rFonts w:ascii="Arial" w:eastAsia="Times New Roman" w:hAnsi="Arial" w:cs="Arial"/>
          <w:color w:val="000000" w:themeColor="text1"/>
          <w:sz w:val="20"/>
          <w:szCs w:val="20"/>
          <w:lang w:val="en-US" w:eastAsia="fr-FR"/>
        </w:rPr>
        <w:t xml:space="preserve"> </w:t>
      </w:r>
      <w:r w:rsidRPr="005B7291">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author":[{"dropping-particle":"","family":"Wolff","given":"JP","non-dropping-particle":"","parse-names":false,"suffix":""}],"id":"ITEM-1","issued":{"date-parts":[["1968"]]},"number-of-pages":"552","publisher":"Azoulay","publisher-place":"Paris","title":"Manuel d’analyse des corps gras","type":"book"},"uris":["http://www.mendeley.com/documents/?uuid=824112ad-9227-4f03-a3e1-7b8275e59921"]}],"mendeley":{"formattedCitation":"(Wolff, 1968)","plainTextFormattedCitation":"(Wolff, 1968)","previouslyFormattedCitation":"(Wolff, 1968)"},"properties":{"noteIndex":0},"schema":"https://github.com/citation-style-language/schema/raw/master/csl-citation.json"}</w:instrText>
      </w:r>
      <w:r w:rsidRPr="005B7291">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(Wolff, 1968)</w:t>
      </w:r>
      <w:r w:rsidRPr="005B7291">
        <w:rPr>
          <w:rFonts w:ascii="Arial" w:hAnsi="Arial" w:cs="Arial"/>
          <w:color w:val="000000" w:themeColor="text1"/>
          <w:sz w:val="20"/>
          <w:szCs w:val="20"/>
          <w:lang w:val="en-US"/>
        </w:rPr>
        <w:fldChar w:fldCharType="end"/>
      </w:r>
      <w:r w:rsidRPr="005B7291">
        <w:rPr>
          <w:rFonts w:ascii="Arial" w:hAnsi="Arial" w:cs="Arial"/>
          <w:color w:val="000000" w:themeColor="text1"/>
          <w:sz w:val="20"/>
          <w:szCs w:val="20"/>
          <w:lang w:val="en-US"/>
        </w:rPr>
        <w:t xml:space="preserve"> </w:t>
      </w:r>
      <w:r w:rsidRPr="005B7291">
        <w:rPr>
          <w:rFonts w:ascii="Arial" w:eastAsia="Times New Roman" w:hAnsi="Arial" w:cs="Arial"/>
          <w:color w:val="000000" w:themeColor="text1"/>
          <w:sz w:val="20"/>
          <w:szCs w:val="20"/>
          <w:lang w:val="en-US" w:eastAsia="fr-FR"/>
        </w:rPr>
        <w:t xml:space="preserve">method. </w:t>
      </w:r>
      <w:commentRangeEnd w:id="9"/>
      <w:r w:rsidR="000224EE">
        <w:rPr>
          <w:rStyle w:val="Marquedecommentaire"/>
        </w:rPr>
        <w:commentReference w:id="9"/>
      </w:r>
    </w:p>
    <w:p w14:paraId="3D2068A3" w14:textId="77777777" w:rsidR="00874FDF" w:rsidRPr="005250A4" w:rsidRDefault="00874FDF" w:rsidP="00874FDF">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 xml:space="preserve">2.6. Determination of </w:t>
      </w:r>
      <w:r w:rsidR="00CB5C7D" w:rsidRPr="005250A4">
        <w:rPr>
          <w:rFonts w:ascii="Arial" w:eastAsia="Times New Roman" w:hAnsi="Arial" w:cs="Arial"/>
          <w:b/>
          <w:color w:val="000000" w:themeColor="text1"/>
          <w:lang w:val="en-US" w:eastAsia="fr-FR"/>
        </w:rPr>
        <w:t xml:space="preserve">the </w:t>
      </w:r>
      <w:r w:rsidR="00D82FDB" w:rsidRPr="005250A4">
        <w:rPr>
          <w:rFonts w:ascii="Arial" w:eastAsia="Times New Roman" w:hAnsi="Arial" w:cs="Arial"/>
          <w:b/>
          <w:color w:val="000000" w:themeColor="text1"/>
          <w:lang w:val="en-US" w:eastAsia="fr-FR"/>
        </w:rPr>
        <w:t>b</w:t>
      </w:r>
      <w:r w:rsidRPr="005250A4">
        <w:rPr>
          <w:rFonts w:ascii="Arial" w:eastAsia="Times New Roman" w:hAnsi="Arial" w:cs="Arial"/>
          <w:b/>
          <w:color w:val="000000" w:themeColor="text1"/>
          <w:lang w:val="en-US" w:eastAsia="fr-FR"/>
        </w:rPr>
        <w:t xml:space="preserve">ioactive </w:t>
      </w:r>
      <w:r w:rsidR="00D82FDB" w:rsidRPr="005250A4">
        <w:rPr>
          <w:rFonts w:ascii="Arial" w:eastAsia="Times New Roman" w:hAnsi="Arial" w:cs="Arial"/>
          <w:b/>
          <w:color w:val="000000" w:themeColor="text1"/>
          <w:lang w:val="en-US" w:eastAsia="fr-FR"/>
        </w:rPr>
        <w:t>compounds of p</w:t>
      </w:r>
      <w:r w:rsidRPr="005250A4">
        <w:rPr>
          <w:rFonts w:ascii="Arial" w:eastAsia="Times New Roman" w:hAnsi="Arial" w:cs="Arial"/>
          <w:b/>
          <w:color w:val="000000" w:themeColor="text1"/>
          <w:lang w:val="en-US" w:eastAsia="fr-FR"/>
        </w:rPr>
        <w:t xml:space="preserve">owders </w:t>
      </w:r>
    </w:p>
    <w:p w14:paraId="1F5AFCC6" w14:textId="77777777" w:rsidR="00874FDF" w:rsidRPr="005B7291" w:rsidRDefault="00D82FDB"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2.6.1. Phytochemical s</w:t>
      </w:r>
      <w:r w:rsidR="00874FDF" w:rsidRPr="005B7291">
        <w:rPr>
          <w:rFonts w:ascii="Arial" w:eastAsia="Times New Roman" w:hAnsi="Arial" w:cs="Arial"/>
          <w:b/>
          <w:color w:val="000000" w:themeColor="text1"/>
          <w:sz w:val="20"/>
          <w:szCs w:val="20"/>
          <w:lang w:val="en-US" w:eastAsia="fr-FR"/>
        </w:rPr>
        <w:t xml:space="preserve">creening </w:t>
      </w:r>
    </w:p>
    <w:p w14:paraId="009FFD51" w14:textId="3F46A834" w:rsidR="00A53F51" w:rsidRPr="005B7291" w:rsidRDefault="00874FDF" w:rsidP="00A53F51">
      <w:pPr>
        <w:spacing w:line="360" w:lineRule="auto"/>
        <w:jc w:val="both"/>
        <w:rPr>
          <w:rStyle w:val="markedcontent"/>
          <w:rFonts w:ascii="Arial" w:hAnsi="Arial" w:cs="Arial"/>
          <w:color w:val="000000" w:themeColor="text1"/>
          <w:sz w:val="20"/>
          <w:szCs w:val="20"/>
          <w:lang w:val="en-US"/>
        </w:rPr>
      </w:pPr>
      <w:r w:rsidRPr="005B7291">
        <w:rPr>
          <w:rFonts w:ascii="Arial" w:eastAsia="Times New Roman" w:hAnsi="Arial" w:cs="Arial"/>
          <w:color w:val="000000" w:themeColor="text1"/>
          <w:sz w:val="20"/>
          <w:szCs w:val="20"/>
          <w:lang w:val="en-US" w:eastAsia="fr-FR"/>
        </w:rPr>
        <w:t xml:space="preserve">This analysis was carried out to identify the presence of classes of bioactive compounds contained in the powders. These include alkaloids, polyphenols, flavonoids, tannins, sterols, triterpenes, </w:t>
      </w:r>
      <w:proofErr w:type="spellStart"/>
      <w:r w:rsidRPr="005B7291">
        <w:rPr>
          <w:rFonts w:ascii="Arial" w:eastAsia="Times New Roman" w:hAnsi="Arial" w:cs="Arial"/>
          <w:color w:val="000000" w:themeColor="text1"/>
          <w:sz w:val="20"/>
          <w:szCs w:val="20"/>
          <w:lang w:val="en-US" w:eastAsia="fr-FR"/>
        </w:rPr>
        <w:t>saponins</w:t>
      </w:r>
      <w:proofErr w:type="spellEnd"/>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color w:val="000000" w:themeColor="text1"/>
          <w:sz w:val="20"/>
          <w:szCs w:val="20"/>
          <w:lang w:val="en-US" w:eastAsia="fr-FR"/>
        </w:rPr>
        <w:t>quinones</w:t>
      </w:r>
      <w:proofErr w:type="spellEnd"/>
      <w:r w:rsidRPr="005B7291">
        <w:rPr>
          <w:rFonts w:ascii="Arial" w:eastAsia="Times New Roman" w:hAnsi="Arial" w:cs="Arial"/>
          <w:color w:val="000000" w:themeColor="text1"/>
          <w:sz w:val="20"/>
          <w:szCs w:val="20"/>
          <w:lang w:val="en-US" w:eastAsia="fr-FR"/>
        </w:rPr>
        <w:t xml:space="preserve">, and </w:t>
      </w:r>
      <w:proofErr w:type="spellStart"/>
      <w:r w:rsidRPr="005B7291">
        <w:rPr>
          <w:rFonts w:ascii="Arial" w:eastAsia="Times New Roman" w:hAnsi="Arial" w:cs="Arial"/>
          <w:color w:val="000000" w:themeColor="text1"/>
          <w:sz w:val="20"/>
          <w:szCs w:val="20"/>
          <w:lang w:val="en-US" w:eastAsia="fr-FR"/>
        </w:rPr>
        <w:t>anthraquinones</w:t>
      </w:r>
      <w:proofErr w:type="spellEnd"/>
      <w:r w:rsidRPr="005B7291">
        <w:rPr>
          <w:rFonts w:ascii="Arial" w:eastAsia="Times New Roman" w:hAnsi="Arial" w:cs="Arial"/>
          <w:color w:val="000000" w:themeColor="text1"/>
          <w:sz w:val="20"/>
          <w:szCs w:val="20"/>
          <w:lang w:val="en-US" w:eastAsia="fr-FR"/>
        </w:rPr>
        <w:t xml:space="preserve">. Qualitative analysis was carried out according to </w:t>
      </w:r>
      <w:commentRangeStart w:id="10"/>
      <w:r w:rsidRPr="005B7291">
        <w:rPr>
          <w:rFonts w:ascii="Arial" w:eastAsia="Times New Roman" w:hAnsi="Arial" w:cs="Arial"/>
          <w:color w:val="000000" w:themeColor="text1"/>
          <w:sz w:val="20"/>
          <w:szCs w:val="20"/>
          <w:lang w:val="en-US" w:eastAsia="fr-FR"/>
        </w:rPr>
        <w:t>standard procedures</w:t>
      </w:r>
      <w:r w:rsidR="00E91D2D">
        <w:rPr>
          <w:rFonts w:ascii="Arial" w:eastAsia="Times New Roman" w:hAnsi="Arial" w:cs="Arial"/>
          <w:color w:val="000000" w:themeColor="text1"/>
          <w:sz w:val="20"/>
          <w:szCs w:val="20"/>
          <w:lang w:val="en-US" w:eastAsia="fr-FR"/>
        </w:rPr>
        <w:t xml:space="preserve"> </w:t>
      </w:r>
      <w:commentRangeEnd w:id="10"/>
      <w:r w:rsidR="000224EE">
        <w:rPr>
          <w:rStyle w:val="Marquedecommentaire"/>
        </w:rPr>
        <w:commentReference w:id="10"/>
      </w:r>
      <w:r w:rsidR="00E91D2D">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{"citationItems":[{"id":"ITEM-1","itemData":{"DOI":"10.2307/2807624","ISSN":"0007196X","abstract":"This long awaited third edition of Phytochemical Methods is, as its predecessors, a key tool for undergraduates, research workers in plant biochemistry, plant taxonomists and any researchers in related areas where the analysis of organic plant components is key to their investigations. Phytochemistry is a rapidly expanding area with new techniques being developed and existing ones perfected and made easier to incorporate as standard methods in the laboratory. This latest edition includes descriptions of the most up-to-date methods such as HPLC and the increasingly sophisticated NMR and related spectral techniques. Other methods described are the use of NMR to locate substances within the plant cell and the chiral separation of essential oils. After an introductory chapter on methods of plant analysis, individual chapters describe methods of identifying the different type of plant molecules: phenolic compounds, terpenoids, organic acids, lipids and related compounds, nitrogen compounds, sugar and derivatives and macromolecules. Different methods are discussed and recommended, and guidance provided for the analysis of compounds of special physiological relevance such as endogenous growth regulators, substances of pharmacological interest and screening methods for the detection of substances for taxonomic purposes. It also includes an important bibliographic guide to specialized texts. This comprehensive book constitutes a unique and indispensable practical guide for any phytochemistry or related laboratory, and provides hands-on description of experimental techniques so that students and researchers can become familiar with these invaluable methods.","author":[{"dropping-particle":"","family":"Harborne","given":"Jeffrey B.","non-dropping-particle":"","parse-names":false,"suffix":""}],"container-title":"Brittonia","id":"ITEM-1","issue":"2","issued":{"date-parts":[["1998"]]},"number-of-pages":"XIV, 302","publisher":"Springer Dordrecht","title":"Phytochemical Methods: A Guide to Modern Techniques of Plant Analysis. Second Edition.","type":"book","volume":"42"},"uris":["http://www.mendeley.com/documents/?uuid=e144e3c6-3215-4dd5-971d-dfc938166f82"]}],"mendeley":{"formattedCitation":"(Harborne, 1998)","manualFormatting":"(Harborne, 1998;","plainTextFormattedCitation":"(Harborne, 1998)","previouslyFormattedCitation":"(Harborne, 1998)"},"properties":{"noteIndex":0},"schema":"https://github.com/citation-style-language/schema/raw/master/csl-citation.json"}</w:instrText>
      </w:r>
      <w:r w:rsidR="00E91D2D">
        <w:rPr>
          <w:rFonts w:ascii="Arial" w:eastAsia="Times New Roman" w:hAnsi="Arial" w:cs="Arial"/>
          <w:color w:val="000000" w:themeColor="text1"/>
          <w:sz w:val="20"/>
          <w:szCs w:val="20"/>
          <w:lang w:val="en-US" w:eastAsia="fr-FR"/>
        </w:rPr>
        <w:fldChar w:fldCharType="separate"/>
      </w:r>
      <w:r w:rsidR="00E91D2D" w:rsidRPr="00E91D2D">
        <w:rPr>
          <w:rFonts w:ascii="Arial" w:eastAsia="Times New Roman" w:hAnsi="Arial" w:cs="Arial"/>
          <w:noProof/>
          <w:color w:val="000000" w:themeColor="text1"/>
          <w:sz w:val="20"/>
          <w:szCs w:val="20"/>
          <w:lang w:val="en-US" w:eastAsia="fr-FR"/>
        </w:rPr>
        <w:t>(Harborne, 1998</w:t>
      </w:r>
      <w:r w:rsidR="00E91D2D">
        <w:rPr>
          <w:rFonts w:ascii="Arial" w:eastAsia="Times New Roman" w:hAnsi="Arial" w:cs="Arial"/>
          <w:noProof/>
          <w:color w:val="000000" w:themeColor="text1"/>
          <w:sz w:val="20"/>
          <w:szCs w:val="20"/>
          <w:lang w:val="en-US" w:eastAsia="fr-FR"/>
        </w:rPr>
        <w:t>;</w:t>
      </w:r>
      <w:r w:rsidR="00E91D2D">
        <w:rPr>
          <w:rFonts w:ascii="Arial" w:eastAsia="Times New Roman" w:hAnsi="Arial" w:cs="Arial"/>
          <w:color w:val="000000" w:themeColor="text1"/>
          <w:sz w:val="20"/>
          <w:szCs w:val="20"/>
          <w:lang w:val="en-US" w:eastAsia="fr-FR"/>
        </w:rPr>
        <w:fldChar w:fldCharType="end"/>
      </w:r>
      <w:r w:rsidR="00E91D2D">
        <w:rPr>
          <w:rFonts w:ascii="Arial" w:eastAsia="Times New Roman" w:hAnsi="Arial" w:cs="Arial"/>
          <w:color w:val="000000" w:themeColor="text1"/>
          <w:sz w:val="20"/>
          <w:szCs w:val="20"/>
          <w:lang w:val="en-US" w:eastAsia="fr-FR"/>
        </w:rPr>
        <w:t xml:space="preserve"> </w:t>
      </w:r>
      <w:r w:rsidR="00E91D2D">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{"citationItems":[{"id":"ITEM-1","itemData":{"DOI":"10.1016/j.fbio.2021.100974","ISSN":"22124306","abstract":"Solanum erianthum D. Don. and S. torvum Swartz of the family Solanaceae have been extensively used for both food and pharmaceutical purposes. In this study, a metabolomic approach was used to compare the phytochemical composition and biological activity of the different plant parts of both species. The inhibitory activity against important enzymes (i.e., cholinesterases, tyrosinase, α-amylase and α-glucosidase), antimicrobial and antifungal potentials, in vitro antioxidant activity, as well as the phenolic and alkaloid profiles of the fruit, leaf and stem bark extracts of both species were studied. The results showed that the stem barks were characterized by the highest amounts of total phenolics (on average: 12.6 mg/g), whilst the S. erianthum leaves were the best source of total alkaloids (2.1 mg/g). Overall, the stem bark extracts of both species were found to be a good source of antioxidant compounds. All the extracts were effective against acetylcholinesterase and tyrosinase, while only the leaf extracts of both plants were a good source of butyrylcholinesterase inhibitors. The extracts have significant anti-microbial and anti-fungal potentials. A modest anti-diabetic effect was measured for α-amylase and α-glucosidase. Strong correlations (p &lt;0.01) were found between the bioactives and the biological activities. Therefore, this study showed the potential of untargeted metabolomics to investigate the bioactive profile of plant extracts, thus providing discrimination between S. erianthum and S. torvum.","author":[{"dropping-particle":"","family":"Senizza","given":"Biancamaria","non-dropping-particle":"","parse-names":false,"suffix":""},{"dropping-particle":"","family":"Rocchetti","given":"Gabriele","non-dropping-particle":"","parse-names":false,"suffix":""},{"dropping-particle":"","family":"Sinan","given":"Kouadio Ibrahime","non-dropping-particle":"","parse-names":false,"suffix":""},{"dropping-particle":"","family":"Zengin","given":"Gokhan","non-dropping-particle":"","parse-names":false,"suffix":""},{"dropping-particle":"","family":"Mahomoodally","given":"Mohamad Fawzi","non-dropping-particle":"","parse-names":false,"suffix":""},{"dropping-particle":"","family":"Glamocilja","given":"Jasmina","non-dropping-particle":"","parse-names":false,"suffix":""},{"dropping-particle":"","family":"Sokovic","given":"Marina","non-dropping-particle":"","parse-names":false,"suffix":""},{"dropping-particle":"","family":"Lobine","given":"Devina","non-dropping-particle":"","parse-names":false,"suffix":""},{"dropping-particle":"","family":"Etienne","given":"Ouattara Katinan","non-dropping-particle":"","parse-names":false,"suffix":""},{"dropping-particle":"","family":"Lucini","given":"Luigi","non-dropping-particle":"","parse-names":false,"suffix":""}],"container-title":"Food Bioscience","id":"ITEM-1","issue":"2021","issued":{"date-parts":[["2021"]]},"page":"100974","publisher":"Elsevier Ltd","title":"The phenolic and alkaloid profiles of Solanum erianthum and Solanum torvum modulated their biological properties","type":"article-journal","volume":"41"},"uris":["http://www.mendeley.com/documents/?uuid=42e42805-351a-4cd5-bab6-6b3bee969b5d"]}],"mendeley":{"formattedCitation":"(Senizza et al., 2021)","manualFormatting":"Senizza et al., 2021)","plainTextFormattedCitation":"(Senizza et al., 2021)","previouslyFormattedCitation":"(Senizza et al., 2021)"},"properties":{"noteIndex":0},"schema":"https://github.com/citation-style-language/schema/raw/master/csl-citation.json"}</w:instrText>
      </w:r>
      <w:r w:rsidR="00E91D2D">
        <w:rPr>
          <w:rFonts w:ascii="Arial" w:eastAsia="Times New Roman" w:hAnsi="Arial" w:cs="Arial"/>
          <w:color w:val="000000" w:themeColor="text1"/>
          <w:sz w:val="20"/>
          <w:szCs w:val="20"/>
          <w:lang w:val="en-US" w:eastAsia="fr-FR"/>
        </w:rPr>
        <w:fldChar w:fldCharType="separate"/>
      </w:r>
      <w:r w:rsidR="00E91D2D" w:rsidRPr="00E91D2D">
        <w:rPr>
          <w:rFonts w:ascii="Arial" w:eastAsia="Times New Roman" w:hAnsi="Arial" w:cs="Arial"/>
          <w:noProof/>
          <w:color w:val="000000" w:themeColor="text1"/>
          <w:sz w:val="20"/>
          <w:szCs w:val="20"/>
          <w:lang w:val="en-US" w:eastAsia="fr-FR"/>
        </w:rPr>
        <w:t>Senizza et al., 2021)</w:t>
      </w:r>
      <w:r w:rsidR="00E91D2D">
        <w:rPr>
          <w:rFonts w:ascii="Arial" w:eastAsia="Times New Roman" w:hAnsi="Arial" w:cs="Arial"/>
          <w:color w:val="000000" w:themeColor="text1"/>
          <w:sz w:val="20"/>
          <w:szCs w:val="20"/>
          <w:lang w:val="en-US" w:eastAsia="fr-FR"/>
        </w:rPr>
        <w:fldChar w:fldCharType="end"/>
      </w:r>
      <w:r w:rsidR="00E91D2D">
        <w:rPr>
          <w:rFonts w:ascii="Arial" w:eastAsia="Times New Roman" w:hAnsi="Arial" w:cs="Arial"/>
          <w:color w:val="000000" w:themeColor="text1"/>
          <w:sz w:val="20"/>
          <w:szCs w:val="20"/>
          <w:lang w:val="en-US" w:eastAsia="fr-FR"/>
        </w:rPr>
        <w:t xml:space="preserve">. </w:t>
      </w:r>
      <w:r w:rsidR="00A53F51" w:rsidRPr="00302617">
        <w:rPr>
          <w:rStyle w:val="markedcontent"/>
          <w:rFonts w:ascii="Arial" w:hAnsi="Arial" w:cs="Arial"/>
          <w:color w:val="FF0000"/>
          <w:sz w:val="20"/>
          <w:szCs w:val="20"/>
          <w:lang w:val="en-US"/>
        </w:rPr>
        <w:t xml:space="preserve">  </w:t>
      </w:r>
    </w:p>
    <w:p w14:paraId="14C5C78C" w14:textId="77777777" w:rsidR="00874FDF" w:rsidRPr="005B7291" w:rsidRDefault="00A53F51" w:rsidP="00874FDF">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2.6.2. Preparation of e</w:t>
      </w:r>
      <w:r w:rsidR="00874FDF" w:rsidRPr="005B7291">
        <w:rPr>
          <w:rFonts w:ascii="Arial" w:eastAsia="Times New Roman" w:hAnsi="Arial" w:cs="Arial"/>
          <w:b/>
          <w:color w:val="000000" w:themeColor="text1"/>
          <w:sz w:val="20"/>
          <w:szCs w:val="20"/>
          <w:lang w:val="en-US" w:eastAsia="fr-FR"/>
        </w:rPr>
        <w:t>xtracts</w:t>
      </w:r>
    </w:p>
    <w:p w14:paraId="02850567" w14:textId="678E51AF" w:rsidR="004728BD" w:rsidRPr="005B7291" w:rsidRDefault="004728BD"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method used for extraction followed </w:t>
      </w:r>
      <w:r w:rsidR="00CB5C7D" w:rsidRPr="005B7291">
        <w:rPr>
          <w:rFonts w:ascii="Arial" w:eastAsia="Times New Roman" w:hAnsi="Arial" w:cs="Arial"/>
          <w:color w:val="000000" w:themeColor="text1"/>
          <w:sz w:val="20"/>
          <w:szCs w:val="20"/>
          <w:lang w:val="en-US" w:eastAsia="fr-FR"/>
        </w:rPr>
        <w:t>that</w:t>
      </w:r>
      <w:r w:rsidR="00AA286F" w:rsidRPr="005B7291">
        <w:rPr>
          <w:rFonts w:ascii="Arial" w:eastAsia="Times New Roman" w:hAnsi="Arial" w:cs="Arial"/>
          <w:color w:val="000000" w:themeColor="text1"/>
          <w:sz w:val="20"/>
          <w:szCs w:val="20"/>
          <w:lang w:val="en-US" w:eastAsia="fr-FR"/>
        </w:rPr>
        <w:t xml:space="preserve"> of</w:t>
      </w:r>
      <w:r w:rsidR="000C51BE" w:rsidRPr="005B7291">
        <w:rPr>
          <w:rFonts w:ascii="Arial" w:eastAsia="Times New Roman" w:hAnsi="Arial" w:cs="Arial"/>
          <w:color w:val="000000" w:themeColor="text1"/>
          <w:sz w:val="20"/>
          <w:szCs w:val="20"/>
          <w:lang w:val="en-US" w:eastAsia="fr-FR"/>
        </w:rPr>
        <w:t xml:space="preserve"> </w:t>
      </w:r>
      <w:r w:rsidR="00AA286F"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{"citationItems":[{"id":"ITEM-1","itemData":{"DOI":"10.1016/j.fbio.2021.100974","ISSN":"22124306","abstract":"Solanum erianthum D. Don. and S. torvum Swartz of the family Solanaceae have been extensively used for both food and pharmaceutical purposes. In this study, a metabolomic approach was used to compare the phytochemical composition and biological activity of the different plant parts of both species. The inhibitory activity against important enzymes (i.e., cholinesterases, tyrosinase, α-amylase and α-glucosidase), antimicrobial and antifungal potentials, in vitro antioxidant activity, as well as the phenolic and alkaloid profiles of the fruit, leaf and stem bark extracts of both species were studied. The results showed that the stem barks were characterized by the highest amounts of total phenolics (on average: 12.6 mg/g), whilst the S. erianthum leaves were the best source of total alkaloids (2.1 mg/g). Overall, the stem bark extracts of both species were found to be a good source of antioxidant compounds. All the extracts were effective against acetylcholinesterase and tyrosinase, while only the leaf extracts of both plants were a good source of butyrylcholinesterase inhibitors. The extracts have significant anti-microbial and anti-fungal potentials. A modest anti-diabetic effect was measured for α-amylase and α-glucosidase. Strong correlations (p &lt;0.01) were found between the bioactives and the biological activities. Therefore, this study showed the potential of untargeted metabolomics to investigate the bioactive profile of plant extracts, thus providing discrimination between S. erianthum and S. torvum.","author":[{"dropping-particle":"","family":"Senizza","given":"Biancamaria","non-dropping-particle":"","parse-names":false,"suffix":""},{"dropping-particle":"","family":"Rocchetti","given":"Gabriele","non-dropping-particle":"","parse-names":false,"suffix":""},{"dropping-particle":"","family":"Sinan","given":"Kouadio Ibrahime","non-dropping-particle":"","parse-names":false,"suffix":""},{"dropping-particle":"","family":"Zengin","given":"Gokhan","non-dropping-particle":"","parse-names":false,"suffix":""},{"dropping-particle":"","family":"Mahomoodally","given":"Mohamad Fawzi","non-dropping-particle":"","parse-names":false,"suffix":""},{"dropping-particle":"","family":"Glamocilja","given":"Jasmina","non-dropping-particle":"","parse-names":false,"suffix":""},{"dropping-particle":"","family":"Sokovic","given":"Marina","non-dropping-particle":"","parse-names":false,"suffix":""},{"dropping-particle":"","family":"Lobine","given":"Devina","non-dropping-particle":"","parse-names":false,"suffix":""},{"dropping-particle":"","family":"Etienne","given":"Ouattara Katinan","non-dropping-particle":"","parse-names":false,"suffix":""},{"dropping-particle":"","family":"Lucini","given":"Luigi","non-dropping-particle":"","parse-names":false,"suffix":""}],"container-title":"Food Bioscience","id":"ITEM-1","issue":"2021","issued":{"date-parts":[["2021"]]},"page":"100974","publisher":"Elsevier Ltd","title":"The phenolic and alkaloid profiles of Solanum erianthum and Solanum torvum modulated their biological properties","type":"article-journal","volume":"41"},"uris":["http://www.mendeley.com/documents/?uuid=42e42805-351a-4cd5-bab6-6b3bee969b5d"]}],"mendeley":{"formattedCitation":"(Senizza et al., 2021)","manualFormatting":"Senizza et al. (2021)","plainTextFormattedCitation":"(Senizza et al., 2021)","previouslyFormattedCitation":"(Senizza et al., 2021)"},"properties":{"noteIndex":0},"schema":"https://github.com/citation-style-language/schema/raw/master/csl-citation.json"}</w:instrText>
      </w:r>
      <w:r w:rsidR="00AA286F"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Senizza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2021)</w:t>
      </w:r>
      <w:r w:rsidR="00AA286F" w:rsidRPr="005B7291">
        <w:rPr>
          <w:rFonts w:ascii="Arial" w:eastAsia="Times New Roman" w:hAnsi="Arial" w:cs="Arial"/>
          <w:color w:val="000000" w:themeColor="text1"/>
          <w:sz w:val="20"/>
          <w:szCs w:val="20"/>
          <w:lang w:val="en-US" w:eastAsia="fr-FR"/>
        </w:rPr>
        <w:fldChar w:fldCharType="end"/>
      </w:r>
      <w:r w:rsidR="00AA286F"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Maceration was employed as the extraction technique. The powders were extracted using methanol (at a ratio of 1:2, mass to volume) for </w:t>
      </w:r>
      <w:r w:rsidRPr="005B7291">
        <w:rPr>
          <w:rFonts w:ascii="Arial" w:eastAsia="Times New Roman" w:hAnsi="Arial" w:cs="Arial"/>
          <w:color w:val="000000" w:themeColor="text1"/>
          <w:sz w:val="20"/>
          <w:szCs w:val="20"/>
          <w:lang w:val="en-US" w:eastAsia="fr-FR"/>
        </w:rPr>
        <w:lastRenderedPageBreak/>
        <w:t>48 hours at room temperature. Methanol was chosen as the extraction solvent due to its reported effectiveness in extracting phytochemicals and antioxidants as noted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Ramamurthy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After extraction, the samples were filtered </w:t>
      </w:r>
      <w:r w:rsidR="00F517F3" w:rsidRPr="005B7291">
        <w:rPr>
          <w:rFonts w:ascii="Arial" w:eastAsia="Times New Roman" w:hAnsi="Arial" w:cs="Arial"/>
          <w:color w:val="000000" w:themeColor="text1"/>
          <w:sz w:val="20"/>
          <w:szCs w:val="20"/>
          <w:lang w:val="en-US" w:eastAsia="fr-FR"/>
        </w:rPr>
        <w:t>through</w:t>
      </w:r>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color w:val="000000" w:themeColor="text1"/>
          <w:sz w:val="20"/>
          <w:szCs w:val="20"/>
          <w:lang w:val="en-US" w:eastAsia="fr-FR"/>
        </w:rPr>
        <w:t>Whatman</w:t>
      </w:r>
      <w:proofErr w:type="spellEnd"/>
      <w:r w:rsidRPr="005B7291">
        <w:rPr>
          <w:rFonts w:ascii="Arial" w:eastAsia="Times New Roman" w:hAnsi="Arial" w:cs="Arial"/>
          <w:color w:val="000000" w:themeColor="text1"/>
          <w:sz w:val="20"/>
          <w:szCs w:val="20"/>
          <w:lang w:val="en-US" w:eastAsia="fr-FR"/>
        </w:rPr>
        <w:t xml:space="preserve"> No. 1 filter paper. </w:t>
      </w:r>
      <w:commentRangeStart w:id="11"/>
      <w:r w:rsidRPr="005B7291">
        <w:rPr>
          <w:rFonts w:ascii="Arial" w:eastAsia="Times New Roman" w:hAnsi="Arial" w:cs="Arial"/>
          <w:color w:val="000000" w:themeColor="text1"/>
          <w:sz w:val="20"/>
          <w:szCs w:val="20"/>
          <w:lang w:val="en-US" w:eastAsia="fr-FR"/>
        </w:rPr>
        <w:t>The filtered extracts were then dried at 40</w:t>
      </w:r>
      <w:r w:rsidR="00F517F3"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°C using a rotary evaporator for 30 minutes. </w:t>
      </w:r>
      <w:commentRangeEnd w:id="11"/>
      <w:r w:rsidR="00721ECC">
        <w:rPr>
          <w:rStyle w:val="Marquedecommentaire"/>
        </w:rPr>
        <w:commentReference w:id="11"/>
      </w:r>
      <w:r w:rsidRPr="005B7291">
        <w:rPr>
          <w:rFonts w:ascii="Arial" w:eastAsia="Times New Roman" w:hAnsi="Arial" w:cs="Arial"/>
          <w:color w:val="000000" w:themeColor="text1"/>
          <w:sz w:val="20"/>
          <w:szCs w:val="20"/>
          <w:lang w:val="en-US" w:eastAsia="fr-FR"/>
        </w:rPr>
        <w:t>All extracts were stored in amber glass bottles at room temperature to prevent light-induced effects.</w:t>
      </w:r>
    </w:p>
    <w:p w14:paraId="442D0098" w14:textId="77777777" w:rsidR="0024798D" w:rsidRPr="005B7291" w:rsidRDefault="00756816"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2.6.3. Bioactive c</w:t>
      </w:r>
      <w:r w:rsidR="0024798D" w:rsidRPr="005B7291">
        <w:rPr>
          <w:rFonts w:ascii="Arial" w:eastAsia="Times New Roman" w:hAnsi="Arial" w:cs="Arial"/>
          <w:b/>
          <w:color w:val="000000" w:themeColor="text1"/>
          <w:sz w:val="20"/>
          <w:szCs w:val="20"/>
          <w:lang w:val="en-US" w:eastAsia="fr-FR"/>
        </w:rPr>
        <w:t>ompounds</w:t>
      </w:r>
    </w:p>
    <w:p w14:paraId="0D7CA3F3" w14:textId="4242A248" w:rsidR="0024798D" w:rsidRPr="005B7291" w:rsidRDefault="00722190"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2.6.3.1. </w:t>
      </w:r>
      <w:r w:rsidR="002457D2" w:rsidRPr="005B7291">
        <w:rPr>
          <w:rFonts w:ascii="Arial" w:eastAsia="Times New Roman" w:hAnsi="Arial" w:cs="Arial"/>
          <w:b/>
          <w:color w:val="000000" w:themeColor="text1"/>
          <w:sz w:val="20"/>
          <w:szCs w:val="20"/>
          <w:lang w:val="en-US" w:eastAsia="fr-FR"/>
        </w:rPr>
        <w:t>Total p</w:t>
      </w:r>
      <w:r w:rsidR="0024798D" w:rsidRPr="005B7291">
        <w:rPr>
          <w:rFonts w:ascii="Arial" w:eastAsia="Times New Roman" w:hAnsi="Arial" w:cs="Arial"/>
          <w:b/>
          <w:color w:val="000000" w:themeColor="text1"/>
          <w:sz w:val="20"/>
          <w:szCs w:val="20"/>
          <w:lang w:val="en-US" w:eastAsia="fr-FR"/>
        </w:rPr>
        <w:t xml:space="preserve">olyphenols </w:t>
      </w:r>
    </w:p>
    <w:p w14:paraId="01AA501D" w14:textId="4778F428" w:rsidR="00756816" w:rsidRPr="005B7291" w:rsidRDefault="00F517F3"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t</w:t>
      </w:r>
      <w:r w:rsidR="0024798D" w:rsidRPr="005B7291">
        <w:rPr>
          <w:rFonts w:ascii="Arial" w:eastAsia="Times New Roman" w:hAnsi="Arial" w:cs="Arial"/>
          <w:color w:val="000000" w:themeColor="text1"/>
          <w:sz w:val="20"/>
          <w:szCs w:val="20"/>
          <w:lang w:val="en-US" w:eastAsia="fr-FR"/>
        </w:rPr>
        <w:t>otal polyphenol content w</w:t>
      </w:r>
      <w:r w:rsidRPr="005B7291">
        <w:rPr>
          <w:rFonts w:ascii="Arial" w:eastAsia="Times New Roman" w:hAnsi="Arial" w:cs="Arial"/>
          <w:color w:val="000000" w:themeColor="text1"/>
          <w:sz w:val="20"/>
          <w:szCs w:val="20"/>
          <w:lang w:val="en-US" w:eastAsia="fr-FR"/>
        </w:rPr>
        <w:t>as</w:t>
      </w:r>
      <w:r w:rsidR="0024798D" w:rsidRPr="005B7291">
        <w:rPr>
          <w:rFonts w:ascii="Arial" w:eastAsia="Times New Roman" w:hAnsi="Arial" w:cs="Arial"/>
          <w:color w:val="000000" w:themeColor="text1"/>
          <w:sz w:val="20"/>
          <w:szCs w:val="20"/>
          <w:lang w:val="en-US" w:eastAsia="fr-FR"/>
        </w:rPr>
        <w:t xml:space="preserve">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{"citationItems":[{"id":"ITEM-1","itemData":{"ISBN":"1588299937","abstract":"Annotation Plant Secondary Metabolites provides reliable assays to meet the challenge of fulfilling the huge demand for feed. It details plant-animal interactions and presents methodologies that may also be used to determine plant secondary metabolites in human food. In addition, the volume contains methods for analysis of some important plant secondary metabolites, which are written in a recipe-like format designed for direct practical use. Trypsin inhibitor -- Chymotrypsin inhibitor -- [alpha]-Amylase inhibitor -- Phytohemagglutin/lectin -- Phytic acid -- Oxalic acid -- Nitrate and nitrite -- L-mimosine ([beta]-(3hydroxy-4-pyridone-1-yl)- L-alanine) -- Canavanine -- L-DOPA (L-3, 4-dihydroxyphenylalanine) -- Glucosinolates -- Cyanogenic glucosides/cyanogens -- Tannins -- Gossypol -- Chlorogenic acid -- Saponins -- Phorbol esters -- Alkaloids.","author":[{"dropping-particle":"","family":"Makkar","given":"Harinder P. S.","non-dropping-particle":"","parse-names":false,"suffix":""},{"dropping-particle":"","family":"Siddhuraju","given":"P.","non-dropping-particle":"","parse-names":false,"suffix":""},{"dropping-particle":"","family":"Becker","given":"Klaus.","non-dropping-particle":"","parse-names":false,"suffix":""}],"id":"ITEM-1","issued":{"date-parts":[["2007"]]},"number-of-pages":"130","publisher":"Humana Press Inc., Totowa, New Jersey 07512","publisher-place":"Totowa, New Jersey 07512","title":"Plant secondary metabolites","type":"book"},"uris":["http://www.mendeley.com/documents/?uuid=ba2188ec-2aa6-3854-b5d2-942a114c7dc8"]}],"mendeley":{"formattedCitation":"(Makkar et al., 2007)","manualFormatting":"Makkar et al. (2007)","plainTextFormattedCitation":"(Makkar et al., 2007)","previouslyFormattedCitation":"(Makkar et al., 2007)"},"properties":{"noteIndex":0},"schema":"https://github.com/citation-style-language/schema/raw/master/csl-citation.json"}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Makkar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2007)</w:t>
      </w:r>
      <w:r w:rsidR="000C51BE" w:rsidRPr="005B7291">
        <w:rPr>
          <w:rFonts w:ascii="Arial" w:eastAsia="Times New Roman" w:hAnsi="Arial" w:cs="Arial"/>
          <w:color w:val="000000" w:themeColor="text1"/>
          <w:sz w:val="20"/>
          <w:szCs w:val="20"/>
          <w:lang w:val="en-US" w:eastAsia="fr-FR"/>
        </w:rPr>
        <w:fldChar w:fldCharType="end"/>
      </w:r>
      <w:r w:rsidR="0024798D" w:rsidRPr="005B7291">
        <w:rPr>
          <w:rFonts w:ascii="Arial" w:eastAsia="Times New Roman" w:hAnsi="Arial" w:cs="Arial"/>
          <w:color w:val="000000" w:themeColor="text1"/>
          <w:sz w:val="20"/>
          <w:szCs w:val="20"/>
          <w:lang w:val="en-US" w:eastAsia="fr-FR"/>
        </w:rPr>
        <w:t xml:space="preserve"> with some modifications. An extract (100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was mixed with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w:t>
      </w:r>
      <w:proofErr w:type="spellStart"/>
      <w:r w:rsidR="0024798D" w:rsidRPr="005B7291">
        <w:rPr>
          <w:rFonts w:ascii="Arial" w:eastAsia="Times New Roman" w:hAnsi="Arial" w:cs="Arial"/>
          <w:color w:val="000000" w:themeColor="text1"/>
          <w:sz w:val="20"/>
          <w:szCs w:val="20"/>
          <w:lang w:val="en-US" w:eastAsia="fr-FR"/>
        </w:rPr>
        <w:t>Folin-Ciocalteu</w:t>
      </w:r>
      <w:proofErr w:type="spellEnd"/>
      <w:r w:rsidR="0024798D" w:rsidRPr="005B7291">
        <w:rPr>
          <w:rFonts w:ascii="Arial" w:eastAsia="Times New Roman" w:hAnsi="Arial" w:cs="Arial"/>
          <w:color w:val="000000" w:themeColor="text1"/>
          <w:sz w:val="20"/>
          <w:szCs w:val="20"/>
          <w:lang w:val="en-US" w:eastAsia="fr-FR"/>
        </w:rPr>
        <w:t xml:space="preserve"> reagent (diluted ten times) and 200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7.5% sodium carbonate (w/v). The mixture was vortexed and incubated in the dark at room temperature for ten minutes. Approximately 1000 </w:t>
      </w:r>
      <w:r w:rsidR="0024798D" w:rsidRPr="005B7291">
        <w:rPr>
          <w:rFonts w:ascii="Arial" w:eastAsia="Times New Roman" w:hAnsi="Arial" w:cs="Arial"/>
          <w:color w:val="000000" w:themeColor="text1"/>
          <w:sz w:val="20"/>
          <w:szCs w:val="20"/>
          <w:lang w:eastAsia="fr-FR"/>
        </w:rPr>
        <w:t>μ</w:t>
      </w:r>
      <w:r w:rsidR="0024798D" w:rsidRPr="005B7291">
        <w:rPr>
          <w:rFonts w:ascii="Arial" w:eastAsia="Times New Roman" w:hAnsi="Arial" w:cs="Arial"/>
          <w:color w:val="000000" w:themeColor="text1"/>
          <w:sz w:val="20"/>
          <w:szCs w:val="20"/>
          <w:lang w:val="en-US" w:eastAsia="fr-FR"/>
        </w:rPr>
        <w:t xml:space="preserve">l of distilled water was added and </w:t>
      </w:r>
      <w:r w:rsidRPr="005B7291">
        <w:rPr>
          <w:rFonts w:ascii="Arial" w:eastAsia="Times New Roman" w:hAnsi="Arial" w:cs="Arial"/>
          <w:color w:val="000000" w:themeColor="text1"/>
          <w:sz w:val="20"/>
          <w:szCs w:val="20"/>
          <w:lang w:val="en-US" w:eastAsia="fr-FR"/>
        </w:rPr>
        <w:t xml:space="preserve">the mixture was </w:t>
      </w:r>
      <w:r w:rsidR="0024798D" w:rsidRPr="005B7291">
        <w:rPr>
          <w:rFonts w:ascii="Arial" w:eastAsia="Times New Roman" w:hAnsi="Arial" w:cs="Arial"/>
          <w:color w:val="000000" w:themeColor="text1"/>
          <w:sz w:val="20"/>
          <w:szCs w:val="20"/>
          <w:lang w:val="en-US" w:eastAsia="fr-FR"/>
        </w:rPr>
        <w:t xml:space="preserve">then vortexed. The absorbance was measured at 760 nm using a spectrophotometer (BK-UV1600 PC visible spectrometer, China). Total polyphenol contents were calculated against a calibration curve established using </w:t>
      </w:r>
      <w:proofErr w:type="spellStart"/>
      <w:r w:rsidR="0024798D" w:rsidRPr="005B7291">
        <w:rPr>
          <w:rFonts w:ascii="Arial" w:eastAsia="Times New Roman" w:hAnsi="Arial" w:cs="Arial"/>
          <w:color w:val="000000" w:themeColor="text1"/>
          <w:sz w:val="20"/>
          <w:szCs w:val="20"/>
          <w:lang w:val="en-US" w:eastAsia="fr-FR"/>
        </w:rPr>
        <w:t>gallic</w:t>
      </w:r>
      <w:proofErr w:type="spellEnd"/>
      <w:r w:rsidR="0024798D" w:rsidRPr="005B7291">
        <w:rPr>
          <w:rFonts w:ascii="Arial" w:eastAsia="Times New Roman" w:hAnsi="Arial" w:cs="Arial"/>
          <w:color w:val="000000" w:themeColor="text1"/>
          <w:sz w:val="20"/>
          <w:szCs w:val="20"/>
          <w:lang w:val="en-US" w:eastAsia="fr-FR"/>
        </w:rPr>
        <w:t xml:space="preserve"> acid as a standard and expressed in milligram </w:t>
      </w:r>
      <w:proofErr w:type="spellStart"/>
      <w:r w:rsidRPr="005B7291">
        <w:rPr>
          <w:rFonts w:ascii="Arial" w:eastAsia="Times New Roman" w:hAnsi="Arial" w:cs="Arial"/>
          <w:color w:val="000000" w:themeColor="text1"/>
          <w:sz w:val="20"/>
          <w:szCs w:val="20"/>
          <w:lang w:val="en-US" w:eastAsia="fr-FR"/>
        </w:rPr>
        <w:t>g</w:t>
      </w:r>
      <w:r w:rsidR="0024798D" w:rsidRPr="005B7291">
        <w:rPr>
          <w:rFonts w:ascii="Arial" w:eastAsia="Times New Roman" w:hAnsi="Arial" w:cs="Arial"/>
          <w:color w:val="000000" w:themeColor="text1"/>
          <w:sz w:val="20"/>
          <w:szCs w:val="20"/>
          <w:lang w:val="en-US" w:eastAsia="fr-FR"/>
        </w:rPr>
        <w:t>allic</w:t>
      </w:r>
      <w:proofErr w:type="spellEnd"/>
      <w:r w:rsidR="0024798D"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lang w:val="en-US" w:eastAsia="fr-FR"/>
        </w:rPr>
        <w:t xml:space="preserve">cid </w:t>
      </w:r>
      <w:r w:rsidRPr="005B7291">
        <w:rPr>
          <w:rFonts w:ascii="Arial" w:eastAsia="Times New Roman" w:hAnsi="Arial" w:cs="Arial"/>
          <w:color w:val="000000" w:themeColor="text1"/>
          <w:sz w:val="20"/>
          <w:szCs w:val="20"/>
          <w:lang w:val="en-US" w:eastAsia="fr-FR"/>
        </w:rPr>
        <w:t>e</w:t>
      </w:r>
      <w:r w:rsidR="0024798D" w:rsidRPr="005B7291">
        <w:rPr>
          <w:rFonts w:ascii="Arial" w:eastAsia="Times New Roman" w:hAnsi="Arial" w:cs="Arial"/>
          <w:color w:val="000000" w:themeColor="text1"/>
          <w:sz w:val="20"/>
          <w:szCs w:val="20"/>
          <w:lang w:val="en-US" w:eastAsia="fr-FR"/>
        </w:rPr>
        <w:t xml:space="preserve">quivalent per gram of </w:t>
      </w:r>
      <w:r w:rsidRPr="005B7291">
        <w:rPr>
          <w:rFonts w:ascii="Arial" w:eastAsia="Times New Roman" w:hAnsi="Arial" w:cs="Arial"/>
          <w:color w:val="000000" w:themeColor="text1"/>
          <w:sz w:val="20"/>
          <w:szCs w:val="20"/>
          <w:lang w:val="en-US" w:eastAsia="fr-FR"/>
        </w:rPr>
        <w:t>d</w:t>
      </w:r>
      <w:r w:rsidR="0024798D" w:rsidRPr="005B7291">
        <w:rPr>
          <w:rFonts w:ascii="Arial" w:eastAsia="Times New Roman" w:hAnsi="Arial" w:cs="Arial"/>
          <w:color w:val="000000" w:themeColor="text1"/>
          <w:sz w:val="20"/>
          <w:szCs w:val="20"/>
          <w:lang w:val="en-US" w:eastAsia="fr-FR"/>
        </w:rPr>
        <w:t xml:space="preserve">ry </w:t>
      </w:r>
      <w:r w:rsidRPr="005B7291">
        <w:rPr>
          <w:rFonts w:ascii="Arial" w:eastAsia="Times New Roman" w:hAnsi="Arial" w:cs="Arial"/>
          <w:color w:val="000000" w:themeColor="text1"/>
          <w:sz w:val="20"/>
          <w:szCs w:val="20"/>
          <w:lang w:val="en-US" w:eastAsia="fr-FR"/>
        </w:rPr>
        <w:t>m</w:t>
      </w:r>
      <w:r w:rsidR="0024798D" w:rsidRPr="005B7291">
        <w:rPr>
          <w:rFonts w:ascii="Arial" w:eastAsia="Times New Roman" w:hAnsi="Arial" w:cs="Arial"/>
          <w:color w:val="000000" w:themeColor="text1"/>
          <w:sz w:val="20"/>
          <w:szCs w:val="20"/>
          <w:lang w:val="en-US" w:eastAsia="fr-FR"/>
        </w:rPr>
        <w:t>atter (mg GAE/g DM).</w:t>
      </w:r>
    </w:p>
    <w:p w14:paraId="7DD009CD" w14:textId="5D9E83D9" w:rsidR="0024798D" w:rsidRPr="005B7291" w:rsidRDefault="002457D2" w:rsidP="00722190">
      <w:pPr>
        <w:pStyle w:val="Paragraphedeliste"/>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Total f</w:t>
      </w:r>
      <w:r w:rsidR="0024798D" w:rsidRPr="005B7291">
        <w:rPr>
          <w:rFonts w:ascii="Arial" w:eastAsia="Times New Roman" w:hAnsi="Arial" w:cs="Arial"/>
          <w:b/>
          <w:color w:val="000000" w:themeColor="text1"/>
          <w:sz w:val="20"/>
          <w:szCs w:val="20"/>
          <w:lang w:val="en-US" w:eastAsia="fr-FR"/>
        </w:rPr>
        <w:t>lavonoids</w:t>
      </w:r>
    </w:p>
    <w:p w14:paraId="3114F031" w14:textId="442FDAE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Total flavonoid contents were determined according to</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{"citationItems":[{"id":"ITEM-1","itemData":{"DOI":"10.38212/2224-6614.2748","ISSN":"10219498","abstract":"Flavonoids, with various biological activities, are considered as key compounds in propolis. In this study, quantitative determinations of flavonoids in propolis were conducted by two complementary colorimetric methods, aluminum chloride method and 2,4-dinitrophenylhydrazine method. Results suggested that the sum of flavonoid contents determined by the above two individual methods may represent the real content of total flavonoids. In this work, six raw propolis samples were investigated and the total contents of flavonoids ranged from 10.38 ± 0.14% to 24.91 ± 0.53%. As for the 12 commercial propolis products examined, the levels of total flavonoids in tinctures were all below 7% and those in powdery products varied from 2.97 ± 0.05% to 22.73 ± 0.72%.","author":[{"dropping-particle":"","family":"Chang","given":"Chia Chi","non-dropping-particle":"","parse-names":false,"suffix":""},{"dropping-particle":"","family":"Yang","given":"Ming Hua","non-dropping-particle":"","parse-names":false,"suffix":""},{"dropping-particle":"","family":"Wen","given":"Hwei Mei","non-dropping-particle":"","parse-names":false,"suffix":""},{"dropping-particle":"","family":"Chern","given":"Jiing Chuan","non-dropping-particle":"","parse-names":false,"suffix":""}],"container-title":"Journal of Food and Drug Analysis","id":"ITEM-1","issue":"3","issued":{"date-parts":[["2002"]]},"page":"178-182","title":"Estimation of total flavonoid content in propolis by two complementary colometric methods","type":"article-journal","volume":"10"},"uris":["http://www.mendeley.com/documents/?uuid=ddbecf23-17fb-4238-a54c-8b52544654a8"]}],"mendeley":{"formattedCitation":"(C. C. Chang et al., 2002)","manualFormatting":"Chang et al. (2002)","plainTextFormattedCitation":"(C. C. Chang et al., 2002)","previouslyFormattedCitation":"(C. C. Chang et al., 2002)"},"properties":{"noteIndex":0},"schema":"https://github.com/citation-style-language/schema/raw/master/csl-citation.json"}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Chang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2002)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with slight modifications. An extract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was mixed with 500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l of freshly prepared aluminum chloride solution (2% w/v). The mixture was incubated in the dark at room temperature for fifteen minutes. The absorbance was measured at 430 nm using a spectrophotometer (BK-UV1600 PC visible spectrometer, China). Total flavonoid contents were calculated against a calibration curve and expressed in milligram</w:t>
      </w:r>
      <w:r w:rsidR="00AC2CAF"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lang w:val="en-US" w:eastAsia="fr-FR"/>
        </w:rPr>
        <w:t xml:space="preserve"> </w:t>
      </w:r>
      <w:r w:rsidR="00AC2CAF" w:rsidRPr="005B7291">
        <w:rPr>
          <w:rFonts w:ascii="Arial" w:eastAsia="Times New Roman" w:hAnsi="Arial" w:cs="Arial"/>
          <w:color w:val="000000" w:themeColor="text1"/>
          <w:sz w:val="20"/>
          <w:szCs w:val="20"/>
          <w:lang w:val="en-US" w:eastAsia="fr-FR"/>
        </w:rPr>
        <w:t>q</w:t>
      </w:r>
      <w:r w:rsidRPr="005B7291">
        <w:rPr>
          <w:rFonts w:ascii="Arial" w:eastAsia="Times New Roman" w:hAnsi="Arial" w:cs="Arial"/>
          <w:color w:val="000000" w:themeColor="text1"/>
          <w:sz w:val="20"/>
          <w:szCs w:val="20"/>
          <w:lang w:val="en-US" w:eastAsia="fr-FR"/>
        </w:rPr>
        <w:t xml:space="preserve">uercetin </w:t>
      </w:r>
      <w:r w:rsidR="00AC2CAF"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AC2CAF"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AC2CAF"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 xml:space="preserve">atter (mg QE/g DM). </w:t>
      </w:r>
    </w:p>
    <w:p w14:paraId="0B4F4A6A" w14:textId="7A217AA6" w:rsidR="0046668E" w:rsidRPr="005B7291" w:rsidRDefault="0024798D" w:rsidP="00722190">
      <w:pPr>
        <w:pStyle w:val="Paragraphedeliste"/>
        <w:numPr>
          <w:ilvl w:val="3"/>
          <w:numId w:val="1"/>
        </w:num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 xml:space="preserve">Condensed </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 xml:space="preserve">annins </w:t>
      </w:r>
    </w:p>
    <w:p w14:paraId="7BE68A56" w14:textId="202FC2D5" w:rsidR="0024798D" w:rsidRPr="005B7291" w:rsidRDefault="0024798D"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Condensed tannin contents were evaluated using the modified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2380-2391.1000158","author":[{"dropping-particle":"","family":"Ogboru","given":"RO","non-dropping-particle":"","parse-names":false,"suffix":""},{"dropping-particle":"","family":"Okolie","given":"PL","non-dropping-particle":"","parse-names":false,"suffix":""},{"dropping-particle":"","family":"Agboje","given":"I","non-dropping-particle":"","parse-names":false,"suffix":""}],"container-title":"Environmental Analytical Chemistry","id":"ITEM-1","issue":"5","issued":{"date-parts":[["2015"]]},"page":"2-4","title":"Phytochemical Screening and Medicinal Potentials of the Bark of","type":"article-journal","volume":"2"},"uris":["http://www.mendeley.com/documents/?uuid=585c7650-b9c2-4d36-8718-cf18b296aece"]}],"mendeley":{"formattedCitation":"(Ogboru et al., 2015)","manualFormatting":"Ogboru et al. (2015)","plainTextFormattedCitation":"(Ogboru et al., 2015)","previouslyFormattedCitation":"(Ogboru et al., 2015)"},"properties":{"noteIndex":0},"schema":"https://github.com/citation-style-language/schema/raw/master/csl-citation.json"}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Ogboru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To 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of extract, 3 ml of 4% (w/v) vanillin in methanol (80%) was added. This was followed by the addition of 750 </w:t>
      </w:r>
      <w:r w:rsidRPr="005B7291">
        <w:rPr>
          <w:rFonts w:ascii="Arial" w:eastAsia="Times New Roman" w:hAnsi="Arial" w:cs="Arial"/>
          <w:color w:val="000000" w:themeColor="text1"/>
          <w:sz w:val="20"/>
          <w:szCs w:val="20"/>
          <w:lang w:eastAsia="fr-FR"/>
        </w:rPr>
        <w:t>μ</w:t>
      </w:r>
      <w:r w:rsidRPr="005B7291">
        <w:rPr>
          <w:rFonts w:ascii="Arial" w:eastAsia="Times New Roman" w:hAnsi="Arial" w:cs="Arial"/>
          <w:color w:val="000000" w:themeColor="text1"/>
          <w:sz w:val="20"/>
          <w:szCs w:val="20"/>
          <w:lang w:val="en-US" w:eastAsia="fr-FR"/>
        </w:rPr>
        <w:t xml:space="preserve">l </w:t>
      </w:r>
      <w:r w:rsidR="000103B6"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 xml:space="preserve">concentrated hydrochloric acid and </w:t>
      </w:r>
      <w:proofErr w:type="spellStart"/>
      <w:r w:rsidRPr="005B7291">
        <w:rPr>
          <w:rFonts w:ascii="Arial" w:eastAsia="Times New Roman" w:hAnsi="Arial" w:cs="Arial"/>
          <w:color w:val="000000" w:themeColor="text1"/>
          <w:sz w:val="20"/>
          <w:szCs w:val="20"/>
          <w:lang w:val="en-US" w:eastAsia="fr-FR"/>
        </w:rPr>
        <w:t>vortex</w:t>
      </w:r>
      <w:r w:rsidR="000103B6" w:rsidRPr="005B7291">
        <w:rPr>
          <w:rFonts w:ascii="Arial" w:eastAsia="Times New Roman" w:hAnsi="Arial" w:cs="Arial"/>
          <w:color w:val="000000" w:themeColor="text1"/>
          <w:sz w:val="20"/>
          <w:szCs w:val="20"/>
          <w:lang w:val="en-US" w:eastAsia="fr-FR"/>
        </w:rPr>
        <w:t>ing</w:t>
      </w:r>
      <w:proofErr w:type="spellEnd"/>
      <w:r w:rsidRPr="005B7291">
        <w:rPr>
          <w:rFonts w:ascii="Arial" w:eastAsia="Times New Roman" w:hAnsi="Arial" w:cs="Arial"/>
          <w:color w:val="000000" w:themeColor="text1"/>
          <w:sz w:val="20"/>
          <w:szCs w:val="20"/>
          <w:lang w:val="en-US" w:eastAsia="fr-FR"/>
        </w:rPr>
        <w:t>. The mixture was incubated at 30</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˚C for 20 min. The absorbance was read at 550 nm by UV/visible spectrophotometry (BK-UV1600 PC visible spectrometer, China) against the </w:t>
      </w:r>
      <w:proofErr w:type="spellStart"/>
      <w:r w:rsidRPr="005B7291">
        <w:rPr>
          <w:rFonts w:ascii="Arial" w:eastAsia="Times New Roman" w:hAnsi="Arial" w:cs="Arial"/>
          <w:color w:val="000000" w:themeColor="text1"/>
          <w:sz w:val="20"/>
          <w:szCs w:val="20"/>
          <w:lang w:val="en-US" w:eastAsia="fr-FR"/>
        </w:rPr>
        <w:t>hydromethanolic</w:t>
      </w:r>
      <w:proofErr w:type="spellEnd"/>
      <w:r w:rsidRPr="005B7291">
        <w:rPr>
          <w:rFonts w:ascii="Arial" w:eastAsia="Times New Roman" w:hAnsi="Arial" w:cs="Arial"/>
          <w:color w:val="000000" w:themeColor="text1"/>
          <w:sz w:val="20"/>
          <w:szCs w:val="20"/>
          <w:lang w:val="en-US" w:eastAsia="fr-FR"/>
        </w:rPr>
        <w:t xml:space="preserve"> solvent (70/30) as a blank. Tannin contents were calculated from a standard curve prepared using a standard solution of </w:t>
      </w:r>
      <w:proofErr w:type="spellStart"/>
      <w:r w:rsidRPr="005B7291">
        <w:rPr>
          <w:rFonts w:ascii="Arial" w:eastAsia="Times New Roman" w:hAnsi="Arial" w:cs="Arial"/>
          <w:color w:val="000000" w:themeColor="text1"/>
          <w:sz w:val="20"/>
          <w:szCs w:val="20"/>
          <w:lang w:val="en-US" w:eastAsia="fr-FR"/>
        </w:rPr>
        <w:t>catechin</w:t>
      </w:r>
      <w:proofErr w:type="spellEnd"/>
      <w:r w:rsidRPr="005B7291">
        <w:rPr>
          <w:rFonts w:ascii="Arial" w:eastAsia="Times New Roman" w:hAnsi="Arial" w:cs="Arial"/>
          <w:color w:val="000000" w:themeColor="text1"/>
          <w:sz w:val="20"/>
          <w:szCs w:val="20"/>
          <w:lang w:val="en-US" w:eastAsia="fr-FR"/>
        </w:rPr>
        <w:t xml:space="preserve"> (0.2 g/l). The results were expressed as milligram</w:t>
      </w:r>
      <w:r w:rsidR="000103B6" w:rsidRPr="005B7291">
        <w:rPr>
          <w:rFonts w:ascii="Arial" w:eastAsia="Times New Roman" w:hAnsi="Arial" w:cs="Arial"/>
          <w:color w:val="000000" w:themeColor="text1"/>
          <w:sz w:val="20"/>
          <w:szCs w:val="20"/>
          <w:lang w:val="en-US" w:eastAsia="fr-FR"/>
        </w:rPr>
        <w:t xml:space="preserve">s </w:t>
      </w:r>
      <w:proofErr w:type="spellStart"/>
      <w:r w:rsidR="000103B6" w:rsidRPr="005B7291">
        <w:rPr>
          <w:rFonts w:ascii="Arial" w:eastAsia="Times New Roman" w:hAnsi="Arial" w:cs="Arial"/>
          <w:color w:val="000000" w:themeColor="text1"/>
          <w:sz w:val="20"/>
          <w:szCs w:val="20"/>
          <w:lang w:val="en-US" w:eastAsia="fr-FR"/>
        </w:rPr>
        <w:t>c</w:t>
      </w:r>
      <w:r w:rsidRPr="005B7291">
        <w:rPr>
          <w:rFonts w:ascii="Arial" w:eastAsia="Times New Roman" w:hAnsi="Arial" w:cs="Arial"/>
          <w:color w:val="000000" w:themeColor="text1"/>
          <w:sz w:val="20"/>
          <w:szCs w:val="20"/>
          <w:lang w:val="en-US" w:eastAsia="fr-FR"/>
        </w:rPr>
        <w:t>atechin</w:t>
      </w:r>
      <w:proofErr w:type="spellEnd"/>
      <w:r w:rsidRPr="005B7291">
        <w:rPr>
          <w:rFonts w:ascii="Arial" w:eastAsia="Times New Roman" w:hAnsi="Arial" w:cs="Arial"/>
          <w:color w:val="000000" w:themeColor="text1"/>
          <w:sz w:val="20"/>
          <w:szCs w:val="20"/>
          <w:lang w:val="en-US" w:eastAsia="fr-FR"/>
        </w:rPr>
        <w:t xml:space="preserve"> </w:t>
      </w:r>
      <w:r w:rsidR="000103B6" w:rsidRPr="005B7291">
        <w:rPr>
          <w:rFonts w:ascii="Arial" w:eastAsia="Times New Roman" w:hAnsi="Arial" w:cs="Arial"/>
          <w:color w:val="000000" w:themeColor="text1"/>
          <w:sz w:val="20"/>
          <w:szCs w:val="20"/>
          <w:lang w:val="en-US" w:eastAsia="fr-FR"/>
        </w:rPr>
        <w:t>e</w:t>
      </w:r>
      <w:r w:rsidRPr="005B7291">
        <w:rPr>
          <w:rFonts w:ascii="Arial" w:eastAsia="Times New Roman" w:hAnsi="Arial" w:cs="Arial"/>
          <w:color w:val="000000" w:themeColor="text1"/>
          <w:sz w:val="20"/>
          <w:szCs w:val="20"/>
          <w:lang w:val="en-US" w:eastAsia="fr-FR"/>
        </w:rPr>
        <w:t xml:space="preserve">quivalent per gram of </w:t>
      </w:r>
      <w:r w:rsidR="000103B6"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 xml:space="preserve">ry </w:t>
      </w:r>
      <w:r w:rsidR="000103B6" w:rsidRPr="005B7291">
        <w:rPr>
          <w:rFonts w:ascii="Arial" w:eastAsia="Times New Roman" w:hAnsi="Arial" w:cs="Arial"/>
          <w:color w:val="000000" w:themeColor="text1"/>
          <w:sz w:val="20"/>
          <w:szCs w:val="20"/>
          <w:lang w:val="en-US" w:eastAsia="fr-FR"/>
        </w:rPr>
        <w:t>m</w:t>
      </w:r>
      <w:r w:rsidRPr="005B7291">
        <w:rPr>
          <w:rFonts w:ascii="Arial" w:eastAsia="Times New Roman" w:hAnsi="Arial" w:cs="Arial"/>
          <w:color w:val="000000" w:themeColor="text1"/>
          <w:sz w:val="20"/>
          <w:szCs w:val="20"/>
          <w:lang w:val="en-US" w:eastAsia="fr-FR"/>
        </w:rPr>
        <w:t>atter (mg CE/g DM).</w:t>
      </w:r>
    </w:p>
    <w:p w14:paraId="56561088" w14:textId="77777777" w:rsidR="0024798D" w:rsidRPr="00EE53C4" w:rsidRDefault="0024798D" w:rsidP="0024798D">
      <w:pPr>
        <w:spacing w:before="100" w:beforeAutospacing="1" w:after="100" w:afterAutospacing="1" w:line="360" w:lineRule="auto"/>
        <w:jc w:val="both"/>
        <w:rPr>
          <w:rFonts w:ascii="Arial" w:eastAsia="Times New Roman" w:hAnsi="Arial" w:cs="Arial"/>
          <w:b/>
          <w:color w:val="000000" w:themeColor="text1"/>
          <w:lang w:val="en-US" w:eastAsia="fr-FR"/>
        </w:rPr>
      </w:pPr>
      <w:r w:rsidRPr="00EE53C4">
        <w:rPr>
          <w:rFonts w:ascii="Arial" w:eastAsia="Times New Roman" w:hAnsi="Arial" w:cs="Arial"/>
          <w:b/>
          <w:color w:val="000000" w:themeColor="text1"/>
          <w:lang w:val="en-US" w:eastAsia="fr-FR"/>
        </w:rPr>
        <w:t>2.7</w:t>
      </w:r>
      <w:r w:rsidR="002457D2" w:rsidRPr="00EE53C4">
        <w:rPr>
          <w:rFonts w:ascii="Arial" w:eastAsia="Times New Roman" w:hAnsi="Arial" w:cs="Arial"/>
          <w:b/>
          <w:color w:val="000000" w:themeColor="text1"/>
          <w:lang w:val="en-US" w:eastAsia="fr-FR"/>
        </w:rPr>
        <w:t>. Determination of antioxidant a</w:t>
      </w:r>
      <w:r w:rsidRPr="00EE53C4">
        <w:rPr>
          <w:rFonts w:ascii="Arial" w:eastAsia="Times New Roman" w:hAnsi="Arial" w:cs="Arial"/>
          <w:b/>
          <w:color w:val="000000" w:themeColor="text1"/>
          <w:lang w:val="en-US" w:eastAsia="fr-FR"/>
        </w:rPr>
        <w:t xml:space="preserve">ctivities </w:t>
      </w:r>
    </w:p>
    <w:p w14:paraId="3EC52505"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2.7.1. 2,2-Diphenyl-1-picrylhydrazyl (DPP</w:t>
      </w:r>
      <w:r w:rsidR="002457D2" w:rsidRPr="005B7291">
        <w:rPr>
          <w:rFonts w:ascii="Arial" w:eastAsia="Times New Roman" w:hAnsi="Arial" w:cs="Arial"/>
          <w:b/>
          <w:color w:val="000000" w:themeColor="text1"/>
          <w:sz w:val="20"/>
          <w:szCs w:val="20"/>
          <w:lang w:val="en-US" w:eastAsia="fr-FR"/>
        </w:rPr>
        <w:t xml:space="preserve">H) Radical Scavenging Activity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2C2A1512" w14:textId="1DE8E58F" w:rsidR="00AD3ADF" w:rsidRPr="005B7291" w:rsidRDefault="0024798D" w:rsidP="00AD3A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lastRenderedPageBreak/>
        <w:t>The radical-scavenging activity was determined according to the method of</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2012)","manualFormatting":"Ramamurthy et al. (2012)","plainTextFormattedCitation":"(Ramamurthy et al., 2012)","previouslyFormattedCitation":"(Ramamurthy et al., 2012)"},"properties":{"noteIndex":0},"schema":"https://github.com/citation-style-language/schema/raw/master/csl-citation.json"}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Ramamurthy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2012)</w:t>
      </w:r>
      <w:r w:rsidR="000C51BE" w:rsidRPr="005B7291">
        <w:rPr>
          <w:rFonts w:ascii="Arial" w:eastAsia="Times New Roman" w:hAnsi="Arial" w:cs="Arial"/>
          <w:color w:val="000000" w:themeColor="text1"/>
          <w:sz w:val="20"/>
          <w:szCs w:val="20"/>
          <w:lang w:val="en-US" w:eastAsia="fr-FR"/>
        </w:rPr>
        <w:fldChar w:fldCharType="end"/>
      </w:r>
      <w:r w:rsidR="000C51BE" w:rsidRPr="005B7291">
        <w:rPr>
          <w:rFonts w:ascii="Arial" w:eastAsia="Times New Roman" w:hAnsi="Arial" w:cs="Arial"/>
          <w:color w:val="000000" w:themeColor="text1"/>
          <w:sz w:val="20"/>
          <w:szCs w:val="20"/>
          <w:lang w:val="en-US" w:eastAsia="fr-FR"/>
        </w:rPr>
        <w:t xml:space="preserve">. </w:t>
      </w:r>
      <w:r w:rsidR="000103B6" w:rsidRPr="005B7291">
        <w:rPr>
          <w:rFonts w:ascii="Arial" w:eastAsia="Times New Roman" w:hAnsi="Arial" w:cs="Arial"/>
          <w:color w:val="000000" w:themeColor="text1"/>
          <w:sz w:val="20"/>
          <w:szCs w:val="20"/>
          <w:lang w:val="en-US" w:eastAsia="fr-FR"/>
        </w:rPr>
        <w:t>The</w:t>
      </w:r>
      <w:r w:rsidRPr="005B7291">
        <w:rPr>
          <w:rFonts w:ascii="Arial" w:eastAsia="Times New Roman" w:hAnsi="Arial" w:cs="Arial"/>
          <w:color w:val="000000" w:themeColor="text1"/>
          <w:sz w:val="20"/>
          <w:szCs w:val="20"/>
          <w:lang w:val="en-US" w:eastAsia="fr-FR"/>
        </w:rPr>
        <w:t xml:space="preserve"> extract (0.3</w:t>
      </w:r>
      <w:r w:rsidR="000103B6"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 xml:space="preserve">ml) was mixed with 2.7 ml of 0.5 </w:t>
      </w:r>
      <w:proofErr w:type="spellStart"/>
      <w:r w:rsidRPr="005B7291">
        <w:rPr>
          <w:rFonts w:ascii="Arial" w:eastAsia="Times New Roman" w:hAnsi="Arial" w:cs="Arial"/>
          <w:color w:val="000000" w:themeColor="text1"/>
          <w:sz w:val="20"/>
          <w:szCs w:val="20"/>
          <w:lang w:val="en-US" w:eastAsia="fr-FR"/>
        </w:rPr>
        <w:t>mM</w:t>
      </w:r>
      <w:proofErr w:type="spellEnd"/>
      <w:r w:rsidRPr="005B7291">
        <w:rPr>
          <w:rFonts w:ascii="Arial" w:eastAsia="Times New Roman" w:hAnsi="Arial" w:cs="Arial"/>
          <w:color w:val="000000" w:themeColor="text1"/>
          <w:sz w:val="20"/>
          <w:szCs w:val="20"/>
          <w:lang w:val="en-US" w:eastAsia="fr-FR"/>
        </w:rPr>
        <w:t xml:space="preserve"> </w:t>
      </w:r>
      <w:proofErr w:type="spellStart"/>
      <w:r w:rsidRPr="005B7291">
        <w:rPr>
          <w:rFonts w:ascii="Arial" w:eastAsia="Times New Roman" w:hAnsi="Arial" w:cs="Arial"/>
          <w:color w:val="000000" w:themeColor="text1"/>
          <w:sz w:val="20"/>
          <w:szCs w:val="20"/>
          <w:lang w:val="en-US" w:eastAsia="fr-FR"/>
        </w:rPr>
        <w:t>methanolic</w:t>
      </w:r>
      <w:proofErr w:type="spellEnd"/>
      <w:r w:rsidRPr="005B7291">
        <w:rPr>
          <w:rFonts w:ascii="Arial" w:eastAsia="Times New Roman" w:hAnsi="Arial" w:cs="Arial"/>
          <w:color w:val="000000" w:themeColor="text1"/>
          <w:sz w:val="20"/>
          <w:szCs w:val="20"/>
          <w:lang w:val="en-US" w:eastAsia="fr-FR"/>
        </w:rPr>
        <w:t xml:space="preserve"> 1,1-diphenyl-2-picrylhydrazyl (DPPH). The reaction mixture was incubated at 37 °C for 30 min</w:t>
      </w:r>
      <w:r w:rsidR="000103B6"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the absorbance was measured </w:t>
      </w:r>
      <w:proofErr w:type="spellStart"/>
      <w:r w:rsidRPr="005B7291">
        <w:rPr>
          <w:rFonts w:ascii="Arial" w:eastAsia="Times New Roman" w:hAnsi="Arial" w:cs="Arial"/>
          <w:color w:val="000000" w:themeColor="text1"/>
          <w:sz w:val="20"/>
          <w:szCs w:val="20"/>
          <w:lang w:val="en-US" w:eastAsia="fr-FR"/>
        </w:rPr>
        <w:t>spectrophotometrically</w:t>
      </w:r>
      <w:proofErr w:type="spellEnd"/>
      <w:r w:rsidRPr="005B7291">
        <w:rPr>
          <w:rFonts w:ascii="Arial" w:eastAsia="Times New Roman" w:hAnsi="Arial" w:cs="Arial"/>
          <w:color w:val="000000" w:themeColor="text1"/>
          <w:sz w:val="20"/>
          <w:szCs w:val="20"/>
          <w:lang w:val="en-US" w:eastAsia="fr-FR"/>
        </w:rPr>
        <w:t xml:space="preserve"> at 517 nm. </w:t>
      </w:r>
      <w:r w:rsidR="00AD3ADF" w:rsidRPr="005B7291">
        <w:rPr>
          <w:rFonts w:ascii="Arial" w:hAnsi="Arial" w:cs="Arial"/>
          <w:color w:val="000000" w:themeColor="text1"/>
          <w:sz w:val="20"/>
          <w:szCs w:val="20"/>
          <w:lang w:val="en-US"/>
        </w:rPr>
        <w:t>The radical-scavenging activity (IC</w:t>
      </w:r>
      <w:r w:rsidR="00AD3ADF" w:rsidRPr="005B7291">
        <w:rPr>
          <w:rFonts w:ascii="Arial" w:hAnsi="Arial" w:cs="Arial"/>
          <w:color w:val="000000" w:themeColor="text1"/>
          <w:sz w:val="20"/>
          <w:szCs w:val="20"/>
          <w:vertAlign w:val="subscript"/>
          <w:lang w:val="en-US"/>
        </w:rPr>
        <w:t>50</w:t>
      </w:r>
      <w:r w:rsidR="00AD3ADF" w:rsidRPr="005B7291">
        <w:rPr>
          <w:rFonts w:ascii="Arial" w:hAnsi="Arial" w:cs="Arial"/>
          <w:color w:val="000000" w:themeColor="text1"/>
          <w:sz w:val="20"/>
          <w:szCs w:val="20"/>
          <w:lang w:val="en-US"/>
        </w:rPr>
        <w:t>) of the extract, expressed in µg/ml, required to reduce the total free DPPH radical by 50% was determined based on the percentage inhibition of DPPH (discoloration). This assessment was performed using the following equation:</w:t>
      </w:r>
    </w:p>
    <w:p w14:paraId="65772EBA" w14:textId="77777777" w:rsidR="002457D2" w:rsidRPr="005B7291" w:rsidRDefault="002457D2" w:rsidP="002457D2">
      <w:pPr>
        <w:spacing w:before="240" w:line="360" w:lineRule="auto"/>
        <w:jc w:val="both"/>
        <w:rPr>
          <w:rFonts w:ascii="Arial" w:hAnsi="Arial" w:cs="Arial"/>
          <w:color w:val="000000" w:themeColor="text1"/>
          <w:sz w:val="20"/>
          <w:szCs w:val="20"/>
        </w:rPr>
      </w:pPr>
      <m:oMathPara>
        <m:oMath>
          <m:r>
            <m:rPr>
              <m:sty m:val="p"/>
            </m:rPr>
            <w:rPr>
              <w:rFonts w:ascii="Cambria Math" w:hAnsi="Cambria Math" w:cs="Arial"/>
              <w:color w:val="000000" w:themeColor="text1"/>
              <w:sz w:val="20"/>
              <w:szCs w:val="20"/>
              <w:lang w:val="en-US"/>
            </w:rPr>
            <m:t xml:space="preserve">  </m:t>
          </m:r>
          <m:r>
            <m:rPr>
              <m:sty m:val="p"/>
            </m:rPr>
            <w:rPr>
              <w:rFonts w:ascii="Cambria Math" w:hAnsi="Cambria Math" w:cs="Arial"/>
              <w:color w:val="000000" w:themeColor="text1"/>
              <w:sz w:val="20"/>
              <w:szCs w:val="20"/>
            </w:rPr>
            <m:t>% Inhibition DPPH=[(</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DPPH</m:t>
              </m:r>
            </m:sub>
          </m:sSub>
          <m:r>
            <m:rPr>
              <m:sty m:val="p"/>
            </m:rPr>
            <w:rPr>
              <w:rFonts w:ascii="Cambria Math" w:hAnsi="Cambria Math" w:cs="Arial"/>
              <w:color w:val="000000" w:themeColor="text1"/>
              <w:sz w:val="20"/>
              <w:szCs w:val="20"/>
            </w:rPr>
            <m:t>] x 100</m:t>
          </m:r>
        </m:oMath>
      </m:oMathPara>
    </w:p>
    <w:p w14:paraId="28487196" w14:textId="77777777" w:rsidR="0024798D" w:rsidRPr="005B7291" w:rsidRDefault="000103B6" w:rsidP="0024798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981D0B" w:rsidRPr="005B7291">
        <w:rPr>
          <w:rFonts w:ascii="Arial" w:eastAsia="Times New Roman" w:hAnsi="Arial" w:cs="Arial"/>
          <w:color w:val="000000" w:themeColor="text1"/>
          <w:sz w:val="20"/>
          <w:szCs w:val="20"/>
          <w:lang w:val="en-US" w:eastAsia="fr-FR"/>
        </w:rPr>
        <w:t>here</w:t>
      </w:r>
      <w:r w:rsidR="00D82FDB" w:rsidRPr="005B7291">
        <w:rPr>
          <w:rFonts w:ascii="Arial" w:eastAsia="Times New Roman" w:hAnsi="Arial" w:cs="Arial"/>
          <w:color w:val="000000" w:themeColor="text1"/>
          <w:sz w:val="20"/>
          <w:szCs w:val="20"/>
          <w:lang w:val="en-US" w:eastAsia="fr-FR"/>
        </w:rPr>
        <w:t xml:space="preserve"> 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DPPH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DPPH</w:t>
      </w:r>
      <w:r w:rsidR="0024798D" w:rsidRPr="005B7291">
        <w:rPr>
          <w:rFonts w:ascii="Arial" w:eastAsia="Times New Roman" w:hAnsi="Arial" w:cs="Arial"/>
          <w:color w:val="000000" w:themeColor="text1"/>
          <w:sz w:val="20"/>
          <w:szCs w:val="20"/>
          <w:lang w:val="en-US" w:eastAsia="fr-FR"/>
        </w:rPr>
        <w:t xml:space="preserve"> is the absorbance of the DPPH solution without extract. Ascorbic acid was used as a standard.</w:t>
      </w:r>
      <w:r w:rsidR="00981D0B" w:rsidRPr="005B7291">
        <w:rPr>
          <w:rFonts w:ascii="Arial" w:eastAsia="Times New Roman" w:hAnsi="Arial" w:cs="Arial"/>
          <w:color w:val="000000" w:themeColor="text1"/>
          <w:sz w:val="20"/>
          <w:szCs w:val="20"/>
          <w:lang w:val="en-US" w:eastAsia="fr-FR"/>
        </w:rPr>
        <w:t xml:space="preserve"> </w:t>
      </w:r>
    </w:p>
    <w:p w14:paraId="7E3A3D10" w14:textId="77777777" w:rsidR="0024798D" w:rsidRPr="005B7291" w:rsidRDefault="0024798D" w:rsidP="0024798D">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2.7.2. 2,2′-Azinobis-(3-ethyl</w:t>
      </w:r>
      <w:r w:rsidR="000103B6" w:rsidRPr="005B7291">
        <w:rPr>
          <w:rFonts w:ascii="Arial" w:eastAsia="Times New Roman" w:hAnsi="Arial" w:cs="Arial"/>
          <w:b/>
          <w:color w:val="000000" w:themeColor="text1"/>
          <w:sz w:val="20"/>
          <w:szCs w:val="20"/>
          <w:lang w:val="en-US" w:eastAsia="fr-FR"/>
        </w:rPr>
        <w:t>b</w:t>
      </w:r>
      <w:r w:rsidRPr="005B7291">
        <w:rPr>
          <w:rFonts w:ascii="Arial" w:eastAsia="Times New Roman" w:hAnsi="Arial" w:cs="Arial"/>
          <w:b/>
          <w:color w:val="000000" w:themeColor="text1"/>
          <w:sz w:val="20"/>
          <w:szCs w:val="20"/>
          <w:lang w:val="en-US" w:eastAsia="fr-FR"/>
        </w:rPr>
        <w:t>enzo</w:t>
      </w:r>
      <w:r w:rsidR="000103B6" w:rsidRPr="005B7291">
        <w:rPr>
          <w:rFonts w:ascii="Arial" w:eastAsia="Times New Roman" w:hAnsi="Arial" w:cs="Arial"/>
          <w:b/>
          <w:color w:val="000000" w:themeColor="text1"/>
          <w:sz w:val="20"/>
          <w:szCs w:val="20"/>
          <w:lang w:val="en-US" w:eastAsia="fr-FR"/>
        </w:rPr>
        <w:t>t</w:t>
      </w:r>
      <w:r w:rsidRPr="005B7291">
        <w:rPr>
          <w:rFonts w:ascii="Arial" w:eastAsia="Times New Roman" w:hAnsi="Arial" w:cs="Arial"/>
          <w:b/>
          <w:color w:val="000000" w:themeColor="text1"/>
          <w:sz w:val="20"/>
          <w:szCs w:val="20"/>
          <w:lang w:val="en-US" w:eastAsia="fr-FR"/>
        </w:rPr>
        <w:t>hiazoline-6-</w:t>
      </w:r>
      <w:r w:rsidR="000103B6" w:rsidRPr="005B7291">
        <w:rPr>
          <w:rFonts w:ascii="Arial" w:eastAsia="Times New Roman" w:hAnsi="Arial" w:cs="Arial"/>
          <w:b/>
          <w:color w:val="000000" w:themeColor="text1"/>
          <w:sz w:val="20"/>
          <w:szCs w:val="20"/>
          <w:lang w:val="en-US" w:eastAsia="fr-FR"/>
        </w:rPr>
        <w:t>s</w:t>
      </w:r>
      <w:r w:rsidRPr="005B7291">
        <w:rPr>
          <w:rFonts w:ascii="Arial" w:eastAsia="Times New Roman" w:hAnsi="Arial" w:cs="Arial"/>
          <w:b/>
          <w:color w:val="000000" w:themeColor="text1"/>
          <w:sz w:val="20"/>
          <w:szCs w:val="20"/>
          <w:lang w:val="en-US" w:eastAsia="fr-FR"/>
        </w:rPr>
        <w:t>ulphonic acid) (ABT</w:t>
      </w:r>
      <w:r w:rsidR="002457D2" w:rsidRPr="005B7291">
        <w:rPr>
          <w:rFonts w:ascii="Arial" w:eastAsia="Times New Roman" w:hAnsi="Arial" w:cs="Arial"/>
          <w:b/>
          <w:color w:val="000000" w:themeColor="text1"/>
          <w:sz w:val="20"/>
          <w:szCs w:val="20"/>
          <w:lang w:val="en-US" w:eastAsia="fr-FR"/>
        </w:rPr>
        <w:t xml:space="preserve">S) </w:t>
      </w:r>
      <w:r w:rsidR="000103B6" w:rsidRPr="005B7291">
        <w:rPr>
          <w:rFonts w:ascii="Arial" w:eastAsia="Times New Roman" w:hAnsi="Arial" w:cs="Arial"/>
          <w:b/>
          <w:color w:val="000000" w:themeColor="text1"/>
          <w:sz w:val="20"/>
          <w:szCs w:val="20"/>
          <w:lang w:val="en-US" w:eastAsia="fr-FR"/>
        </w:rPr>
        <w:t>R</w:t>
      </w:r>
      <w:r w:rsidR="002457D2" w:rsidRPr="005B7291">
        <w:rPr>
          <w:rFonts w:ascii="Arial" w:eastAsia="Times New Roman" w:hAnsi="Arial" w:cs="Arial"/>
          <w:b/>
          <w:color w:val="000000" w:themeColor="text1"/>
          <w:sz w:val="20"/>
          <w:szCs w:val="20"/>
          <w:lang w:val="en-US" w:eastAsia="fr-FR"/>
        </w:rPr>
        <w:t xml:space="preserve">adical </w:t>
      </w:r>
      <w:r w:rsidR="000103B6" w:rsidRPr="005B7291">
        <w:rPr>
          <w:rFonts w:ascii="Arial" w:eastAsia="Times New Roman" w:hAnsi="Arial" w:cs="Arial"/>
          <w:b/>
          <w:color w:val="000000" w:themeColor="text1"/>
          <w:sz w:val="20"/>
          <w:szCs w:val="20"/>
          <w:lang w:val="en-US" w:eastAsia="fr-FR"/>
        </w:rPr>
        <w:t>S</w:t>
      </w:r>
      <w:r w:rsidR="002457D2" w:rsidRPr="005B7291">
        <w:rPr>
          <w:rFonts w:ascii="Arial" w:eastAsia="Times New Roman" w:hAnsi="Arial" w:cs="Arial"/>
          <w:b/>
          <w:color w:val="000000" w:themeColor="text1"/>
          <w:sz w:val="20"/>
          <w:szCs w:val="20"/>
          <w:lang w:val="en-US" w:eastAsia="fr-FR"/>
        </w:rPr>
        <w:t>cavenging</w:t>
      </w:r>
      <w:r w:rsidR="000103B6" w:rsidRPr="005B7291">
        <w:rPr>
          <w:rFonts w:ascii="Arial" w:eastAsia="Times New Roman" w:hAnsi="Arial" w:cs="Arial"/>
          <w:b/>
          <w:color w:val="000000" w:themeColor="text1"/>
          <w:sz w:val="20"/>
          <w:szCs w:val="20"/>
          <w:lang w:val="en-US" w:eastAsia="fr-FR"/>
        </w:rPr>
        <w:t xml:space="preserve"> A</w:t>
      </w:r>
      <w:r w:rsidR="002457D2" w:rsidRPr="005B7291">
        <w:rPr>
          <w:rFonts w:ascii="Arial" w:eastAsia="Times New Roman" w:hAnsi="Arial" w:cs="Arial"/>
          <w:b/>
          <w:color w:val="000000" w:themeColor="text1"/>
          <w:sz w:val="20"/>
          <w:szCs w:val="20"/>
          <w:lang w:val="en-US" w:eastAsia="fr-FR"/>
        </w:rPr>
        <w:t xml:space="preserve">ctivity </w:t>
      </w:r>
      <w:r w:rsidR="000103B6" w:rsidRPr="005B7291">
        <w:rPr>
          <w:rFonts w:ascii="Arial" w:eastAsia="Times New Roman" w:hAnsi="Arial" w:cs="Arial"/>
          <w:b/>
          <w:color w:val="000000" w:themeColor="text1"/>
          <w:sz w:val="20"/>
          <w:szCs w:val="20"/>
          <w:lang w:val="en-US" w:eastAsia="fr-FR"/>
        </w:rPr>
        <w:t>A</w:t>
      </w:r>
      <w:r w:rsidRPr="005B7291">
        <w:rPr>
          <w:rFonts w:ascii="Arial" w:eastAsia="Times New Roman" w:hAnsi="Arial" w:cs="Arial"/>
          <w:b/>
          <w:color w:val="000000" w:themeColor="text1"/>
          <w:sz w:val="20"/>
          <w:szCs w:val="20"/>
          <w:lang w:val="en-US" w:eastAsia="fr-FR"/>
        </w:rPr>
        <w:t xml:space="preserve">ssay </w:t>
      </w:r>
    </w:p>
    <w:p w14:paraId="1B458A26" w14:textId="6171B83C" w:rsidR="00AD3ADF" w:rsidRPr="005B7291" w:rsidRDefault="0024798D" w:rsidP="00981D0B">
      <w:pPr>
        <w:spacing w:before="100" w:before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The procedure followed the method reported by</w:t>
      </w:r>
      <w:r w:rsidR="000C51BE" w:rsidRPr="005B7291">
        <w:rPr>
          <w:rFonts w:ascii="Arial" w:eastAsia="Times New Roman" w:hAnsi="Arial" w:cs="Arial"/>
          <w:color w:val="000000" w:themeColor="text1"/>
          <w:sz w:val="20"/>
          <w:szCs w:val="20"/>
          <w:lang w:val="en-US" w:eastAsia="fr-FR"/>
        </w:rPr>
        <w:t xml:space="preserve"> </w:t>
      </w:r>
      <w:r w:rsidR="000C51BE"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{"citationItems":[{"id":"ITEM-1","itemData":{"DOI":"10.1016/j.ijgfs.2016.12.003","ISSN":"18784518","abstract":"Spinach (Spinacia oleracea L.) leaves were dried in a cabinet tray dryer at 55 °C and ground to pass through 220 µm mesh to obtain spinach powder (SP). Fresh spinach leaves yielded 6.5% of SP possessing 28.70% protein, 8.8% crude fibre. The powder was rich in essential minerals like calcium (1336 mg/100 g), iron (30 mg/100 g) and phosphorous (336 mg/100 g). Methanolic extracts (30–180 µL) of SP exhibited antioxidant activity as assayed by 2,2-diphenyl-1-picrylhydrazyl (DPPH) radical scavenging activity, 2,2′-azino-bis(3-ethylbenzthiazoline-6-sulphonic acid (ABTS) assay and ferric reducing power. Biscuits were prepared using 5%, 10%, and 15% SP and evaluated for their nutritional, textural, sensory quality and sorption behavior. Moisture sorption isotherm of SP indicated non-hygroscopic nature with an initial moisture content (IMC) of 8.6%, which equilibrated at 64% relative humidity (RH), whereas, biscuits were observed to be hygroscopic with an IMC of 0.94–1.26%, which equilibrated between 5–30% RH for control sample (CB), 5%, 10% and 15% RH for SP supplemented biscuits respectively. Textural quality revealed that hardness and breaking strengths increased with increased addition of SP. Sensory studies of biscuits showed that 5% supplementation of spinach powder was more acceptable.","author":[{"dropping-particle":"","family":"Galla","given":"Narsing Rao","non-dropping-particle":"","parse-names":false,"suffix":""},{"dropping-particle":"","family":"Pamidighantam","given":"Prabhakara Rao","non-dropping-particle":"","parse-names":false,"suffix":""},{"dropping-particle":"","family":"Karakala","given":"Balaswamy","non-dropping-particle":"","parse-names":false,"suffix":""},{"dropping-particle":"","family":"Gurusiddaiah","given":"Math Rudrayya","non-dropping-particle":"","parse-names":false,"suffix":""},{"dropping-particle":"","family":"Akula","given":"Satyanarayana","non-dropping-particle":"","parse-names":false,"suffix":""}],"container-title":"International Journal of Gastronomy and Food Science","id":"ITEM-1","issue":"2017","issued":{"date-parts":[["2017"]]},"page":"20-26","publisher":"Elsevier","title":"Nutritional, textural and sensory quality of biscuits supplemented with spinach (Spinacia oleracea L.)","type":"article-journal","volume":"7"},"uris":["http://www.mendeley.com/documents/?uuid=a0676791-233c-4735-9786-e876ca2d13f1"]}],"mendeley":{"formattedCitation":"(Galla et al., 2017)","manualFormatting":"Galla et al. (2017)","plainTextFormattedCitation":"(Galla et al., 2017)","previouslyFormattedCitation":"(Galla et al., 2017)"},"properties":{"noteIndex":0},"schema":"https://github.com/citation-style-language/schema/raw/master/csl-citation.json"}</w:instrText>
      </w:r>
      <w:r w:rsidR="000C51BE"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Galla et al.</w:t>
      </w:r>
      <w:r w:rsidR="00835B30">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2017)</w:t>
      </w:r>
      <w:r w:rsidR="000C51BE"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xml:space="preserve"> with some modifications.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radical was generated by reacting 7 </w:t>
      </w:r>
      <w:proofErr w:type="spellStart"/>
      <w:r w:rsidRPr="005B7291">
        <w:rPr>
          <w:rFonts w:ascii="Arial" w:eastAsia="Times New Roman" w:hAnsi="Arial" w:cs="Arial"/>
          <w:color w:val="000000" w:themeColor="text1"/>
          <w:sz w:val="20"/>
          <w:szCs w:val="20"/>
          <w:lang w:val="en-US" w:eastAsia="fr-FR"/>
        </w:rPr>
        <w:t>mM</w:t>
      </w:r>
      <w:proofErr w:type="spellEnd"/>
      <w:r w:rsidRPr="005B7291">
        <w:rPr>
          <w:rFonts w:ascii="Arial" w:eastAsia="Times New Roman" w:hAnsi="Arial" w:cs="Arial"/>
          <w:color w:val="000000" w:themeColor="text1"/>
          <w:sz w:val="20"/>
          <w:szCs w:val="20"/>
          <w:lang w:val="en-US" w:eastAsia="fr-FR"/>
        </w:rPr>
        <w:t xml:space="preserv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and 2.45 </w:t>
      </w:r>
      <w:proofErr w:type="spellStart"/>
      <w:r w:rsidRPr="005B7291">
        <w:rPr>
          <w:rFonts w:ascii="Arial" w:eastAsia="Times New Roman" w:hAnsi="Arial" w:cs="Arial"/>
          <w:color w:val="000000" w:themeColor="text1"/>
          <w:sz w:val="20"/>
          <w:szCs w:val="20"/>
          <w:lang w:val="en-US" w:eastAsia="fr-FR"/>
        </w:rPr>
        <w:t>mM</w:t>
      </w:r>
      <w:proofErr w:type="spellEnd"/>
      <w:r w:rsidRPr="005B7291">
        <w:rPr>
          <w:rFonts w:ascii="Arial" w:eastAsia="Times New Roman" w:hAnsi="Arial" w:cs="Arial"/>
          <w:color w:val="000000" w:themeColor="text1"/>
          <w:sz w:val="20"/>
          <w:szCs w:val="20"/>
          <w:lang w:val="en-US" w:eastAsia="fr-FR"/>
        </w:rPr>
        <w:t xml:space="preserve"> potassium </w:t>
      </w:r>
      <w:proofErr w:type="spellStart"/>
      <w:r w:rsidRPr="005B7291">
        <w:rPr>
          <w:rFonts w:ascii="Arial" w:eastAsia="Times New Roman" w:hAnsi="Arial" w:cs="Arial"/>
          <w:color w:val="000000" w:themeColor="text1"/>
          <w:sz w:val="20"/>
          <w:szCs w:val="20"/>
          <w:lang w:val="en-US" w:eastAsia="fr-FR"/>
        </w:rPr>
        <w:t>persulphate</w:t>
      </w:r>
      <w:proofErr w:type="spellEnd"/>
      <w:r w:rsidRPr="005B7291">
        <w:rPr>
          <w:rFonts w:ascii="Arial" w:eastAsia="Times New Roman" w:hAnsi="Arial" w:cs="Arial"/>
          <w:color w:val="000000" w:themeColor="text1"/>
          <w:sz w:val="20"/>
          <w:szCs w:val="20"/>
          <w:lang w:val="en-US" w:eastAsia="fr-FR"/>
        </w:rPr>
        <w:t xml:space="preserve"> (K</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S</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vertAlign w:val="subscript"/>
          <w:lang w:val="en-US" w:eastAsia="fr-FR"/>
        </w:rPr>
        <w:t>8</w:t>
      </w:r>
      <w:r w:rsidRPr="005B7291">
        <w:rPr>
          <w:rFonts w:ascii="Arial" w:eastAsia="Times New Roman" w:hAnsi="Arial" w:cs="Arial"/>
          <w:color w:val="000000" w:themeColor="text1"/>
          <w:sz w:val="20"/>
          <w:szCs w:val="20"/>
          <w:lang w:val="en-US" w:eastAsia="fr-FR"/>
        </w:rPr>
        <w:t xml:space="preserve">). After incubation at room temperature in the dark for 16 h, the solution was diluted to </w:t>
      </w:r>
      <w:r w:rsidR="000103B6" w:rsidRPr="005B7291">
        <w:rPr>
          <w:rFonts w:ascii="Arial" w:eastAsia="Times New Roman" w:hAnsi="Arial" w:cs="Arial"/>
          <w:color w:val="000000" w:themeColor="text1"/>
          <w:sz w:val="20"/>
          <w:szCs w:val="20"/>
          <w:lang w:val="en-US" w:eastAsia="fr-FR"/>
        </w:rPr>
        <w:t>obtain</w:t>
      </w:r>
      <w:r w:rsidRPr="005B7291">
        <w:rPr>
          <w:rFonts w:ascii="Arial" w:eastAsia="Times New Roman" w:hAnsi="Arial" w:cs="Arial"/>
          <w:color w:val="000000" w:themeColor="text1"/>
          <w:sz w:val="20"/>
          <w:szCs w:val="20"/>
          <w:lang w:val="en-US" w:eastAsia="fr-FR"/>
        </w:rPr>
        <w:t xml:space="preserve"> an absorbance of 0.70 ± 0.02 at 734 nm. The ABTS</w:t>
      </w:r>
      <w:r w:rsidRPr="005B7291">
        <w:rPr>
          <w:rFonts w:ascii="Arial" w:eastAsia="Times New Roman" w:hAnsi="Arial" w:cs="Arial"/>
          <w:color w:val="000000" w:themeColor="text1"/>
          <w:sz w:val="20"/>
          <w:szCs w:val="20"/>
          <w:vertAlign w:val="superscript"/>
          <w:lang w:val="en-US" w:eastAsia="fr-FR"/>
        </w:rPr>
        <w:t>+</w:t>
      </w:r>
      <w:r w:rsidRPr="005B7291">
        <w:rPr>
          <w:rFonts w:ascii="Arial" w:eastAsia="Times New Roman" w:hAnsi="Arial" w:cs="Arial"/>
          <w:color w:val="000000" w:themeColor="text1"/>
          <w:sz w:val="20"/>
          <w:szCs w:val="20"/>
          <w:lang w:val="en-US" w:eastAsia="fr-FR"/>
        </w:rPr>
        <w:t xml:space="preserve"> solution (1 </w:t>
      </w:r>
      <w:r w:rsidR="00D67F55" w:rsidRPr="005B7291">
        <w:rPr>
          <w:rFonts w:ascii="Arial" w:eastAsia="Times New Roman" w:hAnsi="Arial" w:cs="Arial"/>
          <w:color w:val="000000" w:themeColor="text1"/>
          <w:sz w:val="20"/>
          <w:szCs w:val="20"/>
          <w:lang w:val="en-US" w:eastAsia="fr-FR"/>
        </w:rPr>
        <w:t>ml) was added to the extract</w:t>
      </w:r>
      <w:r w:rsidRPr="005B7291">
        <w:rPr>
          <w:rFonts w:ascii="Arial" w:eastAsia="Times New Roman" w:hAnsi="Arial" w:cs="Arial"/>
          <w:color w:val="000000" w:themeColor="text1"/>
          <w:sz w:val="20"/>
          <w:szCs w:val="20"/>
          <w:lang w:val="en-US" w:eastAsia="fr-FR"/>
        </w:rPr>
        <w:t xml:space="preserve"> (10 µl), mixed thoroughly, and incubated for 30 min. The absorbance of the reactive mixture was measured at 734 nm.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standard. </w:t>
      </w:r>
      <w:r w:rsidR="00AD3ADF" w:rsidRPr="005B7291">
        <w:rPr>
          <w:rFonts w:ascii="Arial" w:hAnsi="Arial" w:cs="Arial"/>
          <w:color w:val="000000" w:themeColor="text1"/>
          <w:sz w:val="20"/>
          <w:szCs w:val="20"/>
          <w:lang w:val="en-US"/>
        </w:rPr>
        <w:t xml:space="preserve">The </w:t>
      </w:r>
      <w:r w:rsidR="00AD3ADF" w:rsidRPr="005B7291">
        <w:rPr>
          <w:rStyle w:val="lev"/>
          <w:rFonts w:ascii="Arial" w:hAnsi="Arial" w:cs="Arial"/>
          <w:b w:val="0"/>
          <w:color w:val="000000" w:themeColor="text1"/>
          <w:sz w:val="20"/>
          <w:szCs w:val="20"/>
          <w:lang w:val="en-US"/>
        </w:rPr>
        <w:t>radical scavenging activity (IC</w:t>
      </w:r>
      <w:r w:rsidR="00AD3ADF" w:rsidRPr="005B7291">
        <w:rPr>
          <w:rStyle w:val="lev"/>
          <w:rFonts w:ascii="Arial" w:hAnsi="Arial" w:cs="Arial"/>
          <w:b w:val="0"/>
          <w:color w:val="000000" w:themeColor="text1"/>
          <w:sz w:val="20"/>
          <w:szCs w:val="20"/>
          <w:vertAlign w:val="subscript"/>
          <w:lang w:val="en-US"/>
        </w:rPr>
        <w:t>50</w:t>
      </w:r>
      <w:r w:rsidR="00AD3ADF" w:rsidRPr="005B7291">
        <w:rPr>
          <w:rStyle w:val="lev"/>
          <w:rFonts w:ascii="Arial" w:hAnsi="Arial" w:cs="Arial"/>
          <w:b w:val="0"/>
          <w:color w:val="000000" w:themeColor="text1"/>
          <w:sz w:val="20"/>
          <w:szCs w:val="20"/>
          <w:lang w:val="en-US"/>
        </w:rPr>
        <w:t>)</w:t>
      </w:r>
      <w:r w:rsidR="00AD3ADF" w:rsidRPr="005B7291">
        <w:rPr>
          <w:rFonts w:ascii="Arial" w:hAnsi="Arial" w:cs="Arial"/>
          <w:color w:val="000000" w:themeColor="text1"/>
          <w:sz w:val="20"/>
          <w:szCs w:val="20"/>
          <w:lang w:val="en-US"/>
        </w:rPr>
        <w:t xml:space="preserve"> of the extract, expressed in µg/ml, required to reduce the total free ABTS radical by 50%</w:t>
      </w:r>
      <w:r w:rsidR="003E451A" w:rsidRPr="005B7291">
        <w:rPr>
          <w:rFonts w:ascii="Arial" w:hAnsi="Arial" w:cs="Arial"/>
          <w:color w:val="000000" w:themeColor="text1"/>
          <w:sz w:val="20"/>
          <w:szCs w:val="20"/>
          <w:lang w:val="en-US"/>
        </w:rPr>
        <w:t xml:space="preserve"> </w:t>
      </w:r>
      <w:r w:rsidR="00AD3ADF" w:rsidRPr="005B7291">
        <w:rPr>
          <w:rFonts w:ascii="Arial" w:hAnsi="Arial" w:cs="Arial"/>
          <w:color w:val="000000" w:themeColor="text1"/>
          <w:sz w:val="20"/>
          <w:szCs w:val="20"/>
          <w:lang w:val="en-US"/>
        </w:rPr>
        <w:t xml:space="preserve">was determined based on the percentage inhibition of ABTS using the following equation: </w:t>
      </w:r>
    </w:p>
    <w:p w14:paraId="55D186AE" w14:textId="77777777" w:rsidR="002457D2" w:rsidRPr="005B7291" w:rsidRDefault="005615E9" w:rsidP="002457D2">
      <w:pPr>
        <w:spacing w:line="360" w:lineRule="auto"/>
        <w:jc w:val="both"/>
        <w:rPr>
          <w:rFonts w:ascii="Arial" w:eastAsiaTheme="minorEastAsia" w:hAnsi="Arial" w:cs="Arial"/>
          <w:i/>
          <w:color w:val="000000" w:themeColor="text1"/>
          <w:sz w:val="20"/>
          <w:szCs w:val="20"/>
        </w:rPr>
      </w:pPr>
      <m:oMathPara>
        <m:oMath>
          <m:r>
            <m:rPr>
              <m:sty m:val="p"/>
            </m:rPr>
            <w:rPr>
              <w:rFonts w:ascii="Cambria Math" w:hAnsi="Cambria Math" w:cs="Arial"/>
              <w:color w:val="000000" w:themeColor="text1"/>
              <w:sz w:val="20"/>
              <w:szCs w:val="20"/>
            </w:rPr>
            <m:t>% Inhibition ABTS=[(</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S</m:t>
              </m:r>
            </m:sub>
          </m:sSub>
          <m:r>
            <m:rPr>
              <m:sty m:val="p"/>
            </m:rPr>
            <w:rPr>
              <w:rFonts w:ascii="Cambria Math" w:hAnsi="Cambria Math" w:cs="Arial"/>
              <w:color w:val="000000" w:themeColor="text1"/>
              <w:sz w:val="20"/>
              <w:szCs w:val="20"/>
            </w:rPr>
            <m:t>)/</m:t>
          </m:r>
          <m:sSub>
            <m:sSubPr>
              <m:ctrlPr>
                <w:rPr>
                  <w:rFonts w:ascii="Cambria Math" w:hAnsi="Cambria Math" w:cs="Arial"/>
                  <w:color w:val="000000" w:themeColor="text1"/>
                  <w:sz w:val="20"/>
                  <w:szCs w:val="20"/>
                </w:rPr>
              </m:ctrlPr>
            </m:sSubPr>
            <m:e>
              <m:r>
                <m:rPr>
                  <m:sty m:val="p"/>
                </m:rPr>
                <w:rPr>
                  <w:rFonts w:ascii="Cambria Math" w:hAnsi="Cambria Math" w:cs="Arial"/>
                  <w:color w:val="000000" w:themeColor="text1"/>
                  <w:sz w:val="20"/>
                  <w:szCs w:val="20"/>
                </w:rPr>
                <m:t>A</m:t>
              </m:r>
            </m:e>
            <m:sub>
              <m:r>
                <m:rPr>
                  <m:sty m:val="p"/>
                </m:rPr>
                <w:rPr>
                  <w:rFonts w:ascii="Cambria Math" w:hAnsi="Cambria Math" w:cs="Arial"/>
                  <w:color w:val="000000" w:themeColor="text1"/>
                  <w:sz w:val="20"/>
                  <w:szCs w:val="20"/>
                </w:rPr>
                <m:t>ABTS</m:t>
              </m:r>
            </m:sub>
          </m:sSub>
          <m:r>
            <m:rPr>
              <m:sty m:val="p"/>
            </m:rPr>
            <w:rPr>
              <w:rFonts w:ascii="Cambria Math" w:hAnsi="Cambria Math" w:cs="Arial"/>
              <w:color w:val="000000" w:themeColor="text1"/>
              <w:sz w:val="20"/>
              <w:szCs w:val="20"/>
            </w:rPr>
            <m:t>] x 100</m:t>
          </m:r>
        </m:oMath>
      </m:oMathPara>
    </w:p>
    <w:p w14:paraId="6228A7DC" w14:textId="77777777" w:rsidR="0024798D" w:rsidRPr="005B7291" w:rsidRDefault="003E451A" w:rsidP="00874FD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w</w:t>
      </w:r>
      <w:r w:rsidR="0024798D" w:rsidRPr="005B7291">
        <w:rPr>
          <w:rFonts w:ascii="Arial" w:eastAsia="Times New Roman" w:hAnsi="Arial" w:cs="Arial"/>
          <w:color w:val="000000" w:themeColor="text1"/>
          <w:sz w:val="20"/>
          <w:szCs w:val="20"/>
          <w:lang w:val="en-US" w:eastAsia="fr-FR"/>
        </w:rPr>
        <w:t xml:space="preserve">here </w:t>
      </w:r>
      <w:r w:rsidR="002457D2" w:rsidRPr="005B7291">
        <w:rPr>
          <w:rFonts w:ascii="Arial" w:eastAsia="Times New Roman" w:hAnsi="Arial" w:cs="Arial"/>
          <w:color w:val="000000" w:themeColor="text1"/>
          <w:sz w:val="20"/>
          <w:szCs w:val="20"/>
          <w:lang w:val="en-US" w:eastAsia="fr-FR"/>
        </w:rPr>
        <w:t>A</w:t>
      </w:r>
      <w:r w:rsidR="0024798D" w:rsidRPr="005B7291">
        <w:rPr>
          <w:rFonts w:ascii="Arial" w:eastAsia="Times New Roman" w:hAnsi="Arial" w:cs="Arial"/>
          <w:color w:val="000000" w:themeColor="text1"/>
          <w:sz w:val="20"/>
          <w:szCs w:val="20"/>
          <w:vertAlign w:val="subscript"/>
          <w:lang w:val="en-US" w:eastAsia="fr-FR"/>
        </w:rPr>
        <w:t>S</w:t>
      </w:r>
      <w:r w:rsidR="0024798D" w:rsidRPr="005B7291">
        <w:rPr>
          <w:rFonts w:ascii="Arial" w:eastAsia="Times New Roman" w:hAnsi="Arial" w:cs="Arial"/>
          <w:color w:val="000000" w:themeColor="text1"/>
          <w:sz w:val="20"/>
          <w:szCs w:val="20"/>
          <w:lang w:val="en-US" w:eastAsia="fr-FR"/>
        </w:rPr>
        <w:t xml:space="preserve"> is the absorbance of the ABTS sol</w:t>
      </w:r>
      <w:r w:rsidR="002457D2" w:rsidRPr="005B7291">
        <w:rPr>
          <w:rFonts w:ascii="Arial" w:eastAsia="Times New Roman" w:hAnsi="Arial" w:cs="Arial"/>
          <w:color w:val="000000" w:themeColor="text1"/>
          <w:sz w:val="20"/>
          <w:szCs w:val="20"/>
          <w:lang w:val="en-US" w:eastAsia="fr-FR"/>
        </w:rPr>
        <w:t>ution with sample extract and A</w:t>
      </w:r>
      <w:r w:rsidR="0024798D" w:rsidRPr="005B7291">
        <w:rPr>
          <w:rFonts w:ascii="Arial" w:eastAsia="Times New Roman" w:hAnsi="Arial" w:cs="Arial"/>
          <w:color w:val="000000" w:themeColor="text1"/>
          <w:sz w:val="20"/>
          <w:szCs w:val="20"/>
          <w:vertAlign w:val="subscript"/>
          <w:lang w:val="en-US" w:eastAsia="fr-FR"/>
        </w:rPr>
        <w:t>ABTS</w:t>
      </w:r>
      <w:r w:rsidR="0024798D" w:rsidRPr="005B7291">
        <w:rPr>
          <w:rFonts w:ascii="Arial" w:eastAsia="Times New Roman" w:hAnsi="Arial" w:cs="Arial"/>
          <w:color w:val="000000" w:themeColor="text1"/>
          <w:sz w:val="20"/>
          <w:szCs w:val="20"/>
          <w:lang w:val="en-US" w:eastAsia="fr-FR"/>
        </w:rPr>
        <w:t xml:space="preserve"> is the absorbance of the ABTS solution without extract.</w:t>
      </w:r>
      <w:r w:rsidR="00B4667A" w:rsidRPr="005B7291">
        <w:rPr>
          <w:rFonts w:ascii="Arial" w:eastAsia="Times New Roman" w:hAnsi="Arial" w:cs="Arial"/>
          <w:color w:val="000000" w:themeColor="text1"/>
          <w:sz w:val="20"/>
          <w:szCs w:val="20"/>
          <w:lang w:val="en-US" w:eastAsia="fr-FR"/>
        </w:rPr>
        <w:t xml:space="preserve"> </w:t>
      </w:r>
    </w:p>
    <w:p w14:paraId="4CBC9D48" w14:textId="77777777" w:rsidR="0046668E" w:rsidRPr="005B7291" w:rsidRDefault="009913F5" w:rsidP="0046668E">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2.7.3. Ferric reducing antioxidant power (FRAP) a</w:t>
      </w:r>
      <w:r w:rsidR="0046668E" w:rsidRPr="005B7291">
        <w:rPr>
          <w:rFonts w:ascii="Arial" w:eastAsia="Times New Roman" w:hAnsi="Arial" w:cs="Arial"/>
          <w:b/>
          <w:color w:val="000000" w:themeColor="text1"/>
          <w:sz w:val="20"/>
          <w:szCs w:val="20"/>
          <w:lang w:val="en-US" w:eastAsia="fr-FR"/>
        </w:rPr>
        <w:t>ssay</w:t>
      </w:r>
    </w:p>
    <w:p w14:paraId="7AEA9E62" w14:textId="1E60E165" w:rsidR="0046668E" w:rsidRDefault="0046668E" w:rsidP="0046668E">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reducing power of </w:t>
      </w:r>
      <w:r w:rsidR="003E451A" w:rsidRPr="005B7291">
        <w:rPr>
          <w:rFonts w:ascii="Arial" w:eastAsia="Times New Roman" w:hAnsi="Arial" w:cs="Arial"/>
          <w:color w:val="000000" w:themeColor="text1"/>
          <w:sz w:val="20"/>
          <w:szCs w:val="20"/>
          <w:lang w:val="en-US" w:eastAsia="fr-FR"/>
        </w:rPr>
        <w:t xml:space="preserve">the </w:t>
      </w:r>
      <w:r w:rsidRPr="005B7291">
        <w:rPr>
          <w:rFonts w:ascii="Arial" w:eastAsia="Times New Roman" w:hAnsi="Arial" w:cs="Arial"/>
          <w:color w:val="000000" w:themeColor="text1"/>
          <w:sz w:val="20"/>
          <w:szCs w:val="20"/>
          <w:lang w:val="en-US" w:eastAsia="fr-FR"/>
        </w:rPr>
        <w:t>iron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extracts was determined according to the method described by</w:t>
      </w:r>
      <w:r w:rsidR="00835B30">
        <w:rPr>
          <w:rFonts w:ascii="Arial" w:eastAsia="Times New Roman" w:hAnsi="Arial" w:cs="Arial"/>
          <w:color w:val="000000" w:themeColor="text1"/>
          <w:sz w:val="20"/>
          <w:szCs w:val="20"/>
          <w:lang w:val="en-US" w:eastAsia="fr-FR"/>
        </w:rPr>
        <w:t xml:space="preserve"> </w:t>
      </w:r>
      <w:r w:rsidR="00D9485A" w:rsidRPr="005B7291">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{"citationItems":[{"id":"ITEM-1","itemData":{"abstract":"Adhatoda vasica Nees and Sesbania grandiflora (L.) Pers are the two important medicinal plants native to India. The aqueous leaf extracts of these two plants have been analysed for their free radical-scavenging activity in different in vitro systems, e.g. DPPH radical-scavenging activity, hydroxyl radical-scavenging activity in Fe3+/ascorbate/EDTA/H2O2 system, inhibition of lipid peroxidation induced by FeSO4 in egg yolk, metal chelating activity. The free radical scavenging activities were compared with standard antioxidants like butylated hydroxy toluene (BHT), ascorbic acid and EDTA. Total antioxidant activity was measured, based on the reduction of Mo (VI) to Mo(V) by the extract and subsequent formation of green phosphate/Mo(V) complex at acid pH and reducing power by Fe3+ - Fe2+ transformation in the presence of extracts. The content of total phenolics (expressed as mg of gallic acid equivalents/gm) and total flavonoids (expressed as mg of quercetin equivalent/gm) and ascorbic acid were determined along with antioxidant enzymes. The results indicated that A. vasica and S. grandiflora showed significant antioxidant activity in vitro. The enzymatic and non enzymatic antioxidants in A. vasica were found to be more than that of S. grandiflora, similarly the antioxidant and radical scavenging activities of A. vasica were found to be more significant than S. grandiflora.","author":[{"dropping-particle":"","family":"Padmaja","given":"M","non-dropping-particle":"","parse-names":false,"suffix":""},{"dropping-particle":"","family":"Sravanthi","given":"M","non-dropping-particle":"","parse-names":false,"suffix":""},{"dropping-particle":"","family":"Hemalatha","given":"K P J","non-dropping-particle":"","parse-names":false,"suffix":""}],"container-title":"Journal of Phytology","id":"ITEM-1","issue":"3","issued":{"date-parts":[["2011"]]},"page":"86-91","title":"Evaluation of Antioxidant Activity of Two Indian Medicinal Plants","type":"article-journal","volume":"3"},"uris":["http://www.mendeley.com/documents/?uuid=7bb79e0f-8986-4895-857c-68a8929b7f19"]}],"mendeley":{"formattedCitation":"(Padmaja et al., 2011)","manualFormatting":"Padmaja et al. (2011)","plainTextFormattedCitation":"(Padmaja et al., 2011)","previouslyFormattedCitation":"(Padmaja et al., 2011)"},"properties":{"noteIndex":0},"schema":"https://github.com/citation-style-language/schema/raw/master/csl-citation.json"}</w:instrText>
      </w:r>
      <w:r w:rsidR="00D9485A" w:rsidRPr="005B7291">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Padmaja et al. </w:t>
      </w:r>
      <w:r w:rsidR="00835B30">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2011)</w:t>
      </w:r>
      <w:r w:rsidR="00D9485A" w:rsidRPr="005B7291">
        <w:rPr>
          <w:rFonts w:ascii="Arial" w:eastAsia="Times New Roman" w:hAnsi="Arial" w:cs="Arial"/>
          <w:color w:val="000000" w:themeColor="text1"/>
          <w:sz w:val="20"/>
          <w:szCs w:val="20"/>
          <w:lang w:val="en-US" w:eastAsia="fr-FR"/>
        </w:rPr>
        <w:fldChar w:fldCharType="end"/>
      </w:r>
      <w:r w:rsidR="00D9485A"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t>with some modifications. Approximately 25 µl of each diluted extract (2 mg/ml in methanol) was introduced into a new microplate</w:t>
      </w:r>
      <w:r w:rsidR="003E451A" w:rsidRPr="005B7291">
        <w:rPr>
          <w:rFonts w:ascii="Arial" w:eastAsia="Times New Roman" w:hAnsi="Arial" w:cs="Arial"/>
          <w:color w:val="000000" w:themeColor="text1"/>
          <w:sz w:val="20"/>
          <w:szCs w:val="20"/>
          <w:lang w:val="en-US" w:eastAsia="fr-FR"/>
        </w:rPr>
        <w:t>,</w:t>
      </w:r>
      <w:r w:rsidRPr="005B7291">
        <w:rPr>
          <w:rFonts w:ascii="Arial" w:eastAsia="Times New Roman" w:hAnsi="Arial" w:cs="Arial"/>
          <w:color w:val="000000" w:themeColor="text1"/>
          <w:sz w:val="20"/>
          <w:szCs w:val="20"/>
          <w:lang w:val="en-US" w:eastAsia="fr-FR"/>
        </w:rPr>
        <w:t xml:space="preserve"> and 25 µl of 1.2 mg/ml 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solution was added. The plates were </w:t>
      </w:r>
      <w:proofErr w:type="spellStart"/>
      <w:r w:rsidRPr="005B7291">
        <w:rPr>
          <w:rFonts w:ascii="Arial" w:eastAsia="Times New Roman" w:hAnsi="Arial" w:cs="Arial"/>
          <w:color w:val="000000" w:themeColor="text1"/>
          <w:sz w:val="20"/>
          <w:szCs w:val="20"/>
          <w:lang w:val="en-US" w:eastAsia="fr-FR"/>
        </w:rPr>
        <w:t>preincubated</w:t>
      </w:r>
      <w:proofErr w:type="spellEnd"/>
      <w:r w:rsidRPr="005B7291">
        <w:rPr>
          <w:rFonts w:ascii="Arial" w:eastAsia="Times New Roman" w:hAnsi="Arial" w:cs="Arial"/>
          <w:color w:val="000000" w:themeColor="text1"/>
          <w:sz w:val="20"/>
          <w:szCs w:val="20"/>
          <w:lang w:val="en-US" w:eastAsia="fr-FR"/>
        </w:rPr>
        <w:t xml:space="preserve"> for 15 minutes at room temperature. Subsequently, 50 µl of 0.2% </w:t>
      </w:r>
      <w:proofErr w:type="spellStart"/>
      <w:r w:rsidRPr="005B7291">
        <w:rPr>
          <w:rFonts w:ascii="Arial" w:eastAsia="Times New Roman" w:hAnsi="Arial" w:cs="Arial"/>
          <w:color w:val="000000" w:themeColor="text1"/>
          <w:sz w:val="20"/>
          <w:szCs w:val="20"/>
          <w:lang w:val="en-US" w:eastAsia="fr-FR"/>
        </w:rPr>
        <w:t>ortho-phenanthroline</w:t>
      </w:r>
      <w:proofErr w:type="spellEnd"/>
      <w:r w:rsidRPr="005B7291">
        <w:rPr>
          <w:rFonts w:ascii="Arial" w:eastAsia="Times New Roman" w:hAnsi="Arial" w:cs="Arial"/>
          <w:color w:val="000000" w:themeColor="text1"/>
          <w:sz w:val="20"/>
          <w:szCs w:val="20"/>
          <w:lang w:val="en-US" w:eastAsia="fr-FR"/>
        </w:rPr>
        <w:t xml:space="preserve"> was added to obtain final extract concentrations of 250, 125, 62.5, 31.25, 15.625, 7.8125, 3.90625, and 1.95325 µg/ml. The reaction mixtures were further incubated for 15 min at room temperature, after which the absorbance was measured at 505 nm under </w:t>
      </w:r>
      <w:r w:rsidR="003E451A" w:rsidRPr="005B7291">
        <w:rPr>
          <w:rFonts w:ascii="Arial" w:eastAsia="Times New Roman" w:hAnsi="Arial" w:cs="Arial"/>
          <w:color w:val="000000" w:themeColor="text1"/>
          <w:sz w:val="20"/>
          <w:szCs w:val="20"/>
          <w:lang w:val="en-US" w:eastAsia="fr-FR"/>
        </w:rPr>
        <w:t xml:space="preserve">a </w:t>
      </w:r>
      <w:r w:rsidRPr="005B7291">
        <w:rPr>
          <w:rFonts w:ascii="Arial" w:eastAsia="Times New Roman" w:hAnsi="Arial" w:cs="Arial"/>
          <w:color w:val="000000" w:themeColor="text1"/>
          <w:sz w:val="20"/>
          <w:szCs w:val="20"/>
          <w:lang w:val="en-US" w:eastAsia="fr-FR"/>
        </w:rPr>
        <w:t>UV/</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isible light spectrophotometer (Infinite M200 TECAN, Swiss) against </w:t>
      </w:r>
      <w:r w:rsidR="003E451A" w:rsidRPr="005B7291">
        <w:rPr>
          <w:rFonts w:ascii="Arial" w:eastAsia="Times New Roman" w:hAnsi="Arial" w:cs="Arial"/>
          <w:color w:val="000000" w:themeColor="text1"/>
          <w:sz w:val="20"/>
          <w:szCs w:val="20"/>
          <w:lang w:val="en-US" w:eastAsia="fr-FR"/>
        </w:rPr>
        <w:t>a</w:t>
      </w:r>
      <w:r w:rsidRPr="005B7291">
        <w:rPr>
          <w:rFonts w:ascii="Arial" w:eastAsia="Times New Roman" w:hAnsi="Arial" w:cs="Arial"/>
          <w:color w:val="000000" w:themeColor="text1"/>
          <w:sz w:val="20"/>
          <w:szCs w:val="20"/>
          <w:lang w:val="en-US" w:eastAsia="fr-FR"/>
        </w:rPr>
        <w:t xml:space="preserve"> blank </w:t>
      </w:r>
      <w:r w:rsidR="001A1329" w:rsidRPr="005B7291">
        <w:rPr>
          <w:rFonts w:ascii="Arial" w:eastAsia="Times New Roman" w:hAnsi="Arial" w:cs="Arial"/>
          <w:color w:val="000000" w:themeColor="text1"/>
          <w:sz w:val="20"/>
          <w:szCs w:val="20"/>
          <w:lang w:val="en-US" w:eastAsia="fr-FR"/>
        </w:rPr>
        <w:t xml:space="preserve">(made of 25 µl </w:t>
      </w:r>
      <w:r w:rsidR="003E451A" w:rsidRPr="005B7291">
        <w:rPr>
          <w:rFonts w:ascii="Arial" w:eastAsia="Times New Roman" w:hAnsi="Arial" w:cs="Arial"/>
          <w:color w:val="000000" w:themeColor="text1"/>
          <w:sz w:val="20"/>
          <w:szCs w:val="20"/>
          <w:lang w:val="en-US" w:eastAsia="fr-FR"/>
        </w:rPr>
        <w:t xml:space="preserve">of </w:t>
      </w:r>
      <w:r w:rsidR="001A1329" w:rsidRPr="005B7291">
        <w:rPr>
          <w:rFonts w:ascii="Arial" w:eastAsia="Times New Roman" w:hAnsi="Arial" w:cs="Arial"/>
          <w:color w:val="000000" w:themeColor="text1"/>
          <w:sz w:val="20"/>
          <w:szCs w:val="20"/>
          <w:lang w:val="en-US" w:eastAsia="fr-FR"/>
        </w:rPr>
        <w:t xml:space="preserve">methanol + 25 µl </w:t>
      </w:r>
      <w:r w:rsidR="003E451A" w:rsidRPr="005B7291">
        <w:rPr>
          <w:rFonts w:ascii="Arial" w:eastAsia="Times New Roman" w:hAnsi="Arial" w:cs="Arial"/>
          <w:color w:val="000000" w:themeColor="text1"/>
          <w:sz w:val="20"/>
          <w:szCs w:val="20"/>
          <w:lang w:val="en-US" w:eastAsia="fr-FR"/>
        </w:rPr>
        <w:t xml:space="preserve">of </w:t>
      </w:r>
      <w:r w:rsidRPr="005B7291">
        <w:rPr>
          <w:rFonts w:ascii="Arial" w:eastAsia="Times New Roman" w:hAnsi="Arial" w:cs="Arial"/>
          <w:color w:val="000000" w:themeColor="text1"/>
          <w:sz w:val="20"/>
          <w:szCs w:val="20"/>
          <w:lang w:val="en-US" w:eastAsia="fr-FR"/>
        </w:rPr>
        <w:t>Fe</w:t>
      </w:r>
      <w:r w:rsidRPr="005B7291">
        <w:rPr>
          <w:rFonts w:ascii="Arial" w:eastAsia="Times New Roman" w:hAnsi="Arial" w:cs="Arial"/>
          <w:color w:val="000000" w:themeColor="text1"/>
          <w:sz w:val="20"/>
          <w:szCs w:val="20"/>
          <w:vertAlign w:val="superscript"/>
          <w:lang w:val="en-US" w:eastAsia="fr-FR"/>
        </w:rPr>
        <w:t>3+</w:t>
      </w:r>
      <w:r w:rsidRPr="005B7291">
        <w:rPr>
          <w:rFonts w:ascii="Arial" w:eastAsia="Times New Roman" w:hAnsi="Arial" w:cs="Arial"/>
          <w:color w:val="000000" w:themeColor="text1"/>
          <w:sz w:val="20"/>
          <w:szCs w:val="20"/>
          <w:lang w:val="en-US" w:eastAsia="fr-FR"/>
        </w:rPr>
        <w:t xml:space="preserve"> + 50 µl </w:t>
      </w:r>
      <w:r w:rsidR="003E451A" w:rsidRPr="005B7291">
        <w:rPr>
          <w:rFonts w:ascii="Arial" w:eastAsia="Times New Roman" w:hAnsi="Arial" w:cs="Arial"/>
          <w:color w:val="000000" w:themeColor="text1"/>
          <w:sz w:val="20"/>
          <w:szCs w:val="20"/>
          <w:lang w:val="en-US" w:eastAsia="fr-FR"/>
        </w:rPr>
        <w:t xml:space="preserve">of </w:t>
      </w:r>
      <w:proofErr w:type="spellStart"/>
      <w:r w:rsidRPr="005B7291">
        <w:rPr>
          <w:rFonts w:ascii="Arial" w:eastAsia="Times New Roman" w:hAnsi="Arial" w:cs="Arial"/>
          <w:color w:val="000000" w:themeColor="text1"/>
          <w:sz w:val="20"/>
          <w:szCs w:val="20"/>
          <w:lang w:val="en-US" w:eastAsia="fr-FR"/>
        </w:rPr>
        <w:t>ortho-phenanthroline</w:t>
      </w:r>
      <w:proofErr w:type="spellEnd"/>
      <w:r w:rsidRPr="005B7291">
        <w:rPr>
          <w:rFonts w:ascii="Arial" w:eastAsia="Times New Roman" w:hAnsi="Arial" w:cs="Arial"/>
          <w:color w:val="000000" w:themeColor="text1"/>
          <w:sz w:val="20"/>
          <w:szCs w:val="20"/>
          <w:lang w:val="en-US" w:eastAsia="fr-FR"/>
        </w:rPr>
        <w:t>). Ascorbic acid (</w:t>
      </w:r>
      <w:r w:rsidR="003E451A" w:rsidRPr="005B7291">
        <w:rPr>
          <w:rFonts w:ascii="Arial" w:eastAsia="Times New Roman" w:hAnsi="Arial" w:cs="Arial"/>
          <w:color w:val="000000" w:themeColor="text1"/>
          <w:sz w:val="20"/>
          <w:szCs w:val="20"/>
          <w:lang w:val="en-US" w:eastAsia="fr-FR"/>
        </w:rPr>
        <w:t>v</w:t>
      </w:r>
      <w:r w:rsidRPr="005B7291">
        <w:rPr>
          <w:rFonts w:ascii="Arial" w:eastAsia="Times New Roman" w:hAnsi="Arial" w:cs="Arial"/>
          <w:color w:val="000000" w:themeColor="text1"/>
          <w:sz w:val="20"/>
          <w:szCs w:val="20"/>
          <w:lang w:val="en-US" w:eastAsia="fr-FR"/>
        </w:rPr>
        <w:t xml:space="preserve">itamin C) was used as the positive control. From the obtained </w:t>
      </w:r>
      <w:r w:rsidR="003E451A" w:rsidRPr="005B7291">
        <w:rPr>
          <w:rFonts w:ascii="Arial" w:eastAsia="Times New Roman" w:hAnsi="Arial" w:cs="Arial"/>
          <w:color w:val="000000" w:themeColor="text1"/>
          <w:sz w:val="20"/>
          <w:szCs w:val="20"/>
          <w:lang w:val="en-US" w:eastAsia="fr-FR"/>
        </w:rPr>
        <w:t>o</w:t>
      </w:r>
      <w:r w:rsidRPr="005B7291">
        <w:rPr>
          <w:rFonts w:ascii="Arial" w:eastAsia="Times New Roman" w:hAnsi="Arial" w:cs="Arial"/>
          <w:color w:val="000000" w:themeColor="text1"/>
          <w:sz w:val="20"/>
          <w:szCs w:val="20"/>
          <w:lang w:val="en-US" w:eastAsia="fr-FR"/>
        </w:rPr>
        <w:t xml:space="preserve">ptical </w:t>
      </w:r>
      <w:r w:rsidR="003E451A" w:rsidRPr="005B7291">
        <w:rPr>
          <w:rFonts w:ascii="Arial" w:eastAsia="Times New Roman" w:hAnsi="Arial" w:cs="Arial"/>
          <w:color w:val="000000" w:themeColor="text1"/>
          <w:sz w:val="20"/>
          <w:szCs w:val="20"/>
          <w:lang w:val="en-US" w:eastAsia="fr-FR"/>
        </w:rPr>
        <w:t>d</w:t>
      </w:r>
      <w:r w:rsidRPr="005B7291">
        <w:rPr>
          <w:rFonts w:ascii="Arial" w:eastAsia="Times New Roman" w:hAnsi="Arial" w:cs="Arial"/>
          <w:color w:val="000000" w:themeColor="text1"/>
          <w:sz w:val="20"/>
          <w:szCs w:val="20"/>
          <w:lang w:val="en-US" w:eastAsia="fr-FR"/>
        </w:rPr>
        <w:t>ensity, reducing percentages were calculated for each concentration and used to determine the RC</w:t>
      </w:r>
      <w:r w:rsidR="00BB5ED0" w:rsidRPr="005B7291">
        <w:rPr>
          <w:rFonts w:ascii="Arial" w:eastAsia="Times New Roman" w:hAnsi="Arial" w:cs="Arial"/>
          <w:color w:val="000000" w:themeColor="text1"/>
          <w:sz w:val="20"/>
          <w:szCs w:val="20"/>
          <w:vertAlign w:val="subscript"/>
          <w:lang w:val="en-US" w:eastAsia="fr-FR"/>
        </w:rPr>
        <w:t>50</w:t>
      </w:r>
      <w:r w:rsidR="00992433" w:rsidRPr="005B7291">
        <w:rPr>
          <w:rFonts w:ascii="Arial" w:eastAsia="Times New Roman" w:hAnsi="Arial" w:cs="Arial"/>
          <w:color w:val="000000" w:themeColor="text1"/>
          <w:sz w:val="20"/>
          <w:szCs w:val="20"/>
          <w:lang w:val="en-US" w:eastAsia="fr-FR"/>
        </w:rPr>
        <w:t xml:space="preserve"> (</w:t>
      </w:r>
      <w:r w:rsidR="001A1329" w:rsidRPr="005B7291">
        <w:rPr>
          <w:rFonts w:ascii="Arial" w:eastAsia="Times New Roman" w:hAnsi="Arial" w:cs="Arial"/>
          <w:color w:val="000000" w:themeColor="text1"/>
          <w:sz w:val="20"/>
          <w:szCs w:val="20"/>
          <w:lang w:val="en-US" w:eastAsia="fr-FR"/>
        </w:rPr>
        <w:t>expressed in µg/ml)</w:t>
      </w:r>
      <w:r w:rsidRPr="005B7291">
        <w:rPr>
          <w:rFonts w:ascii="Arial" w:eastAsia="Times New Roman" w:hAnsi="Arial" w:cs="Arial"/>
          <w:color w:val="000000" w:themeColor="text1"/>
          <w:sz w:val="20"/>
          <w:szCs w:val="20"/>
          <w:lang w:val="en-US" w:eastAsia="fr-FR"/>
        </w:rPr>
        <w:t xml:space="preserve"> from dose-response curves.</w:t>
      </w:r>
    </w:p>
    <w:p w14:paraId="4B861945" w14:textId="77777777" w:rsidR="00E46855" w:rsidRPr="005B7291" w:rsidRDefault="00E46855" w:rsidP="0046668E">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7DD33406" w14:textId="6AC0DE48" w:rsidR="0046668E" w:rsidRPr="00202D84" w:rsidRDefault="0046668E" w:rsidP="0046668E">
      <w:pPr>
        <w:spacing w:before="100" w:beforeAutospacing="1" w:after="100" w:afterAutospacing="1" w:line="360" w:lineRule="auto"/>
        <w:jc w:val="both"/>
        <w:rPr>
          <w:rFonts w:ascii="Arial" w:eastAsia="Times New Roman" w:hAnsi="Arial" w:cs="Arial"/>
          <w:b/>
          <w:color w:val="000000" w:themeColor="text1"/>
          <w:szCs w:val="24"/>
          <w:lang w:val="en-US" w:eastAsia="fr-FR"/>
        </w:rPr>
      </w:pPr>
      <w:r w:rsidRPr="00202D84">
        <w:rPr>
          <w:rFonts w:ascii="Arial" w:eastAsia="Times New Roman" w:hAnsi="Arial" w:cs="Arial"/>
          <w:b/>
          <w:color w:val="000000" w:themeColor="text1"/>
          <w:szCs w:val="24"/>
          <w:lang w:val="en-US" w:eastAsia="fr-FR"/>
        </w:rPr>
        <w:t xml:space="preserve">2.9. Statistical </w:t>
      </w:r>
      <w:r w:rsidR="003E1AE3" w:rsidRPr="00202D84">
        <w:rPr>
          <w:rFonts w:ascii="Arial" w:eastAsia="Times New Roman" w:hAnsi="Arial" w:cs="Arial"/>
          <w:b/>
          <w:color w:val="000000" w:themeColor="text1"/>
          <w:szCs w:val="24"/>
          <w:lang w:val="en-US" w:eastAsia="fr-FR"/>
        </w:rPr>
        <w:t>a</w:t>
      </w:r>
      <w:r w:rsidRPr="00202D84">
        <w:rPr>
          <w:rFonts w:ascii="Arial" w:eastAsia="Times New Roman" w:hAnsi="Arial" w:cs="Arial"/>
          <w:b/>
          <w:color w:val="000000" w:themeColor="text1"/>
          <w:szCs w:val="24"/>
          <w:lang w:val="en-US" w:eastAsia="fr-FR"/>
        </w:rPr>
        <w:t xml:space="preserve">nalysis </w:t>
      </w:r>
    </w:p>
    <w:p w14:paraId="34EEAA62" w14:textId="736BC780" w:rsidR="00987596" w:rsidRPr="005250A4" w:rsidRDefault="0046668E" w:rsidP="00F57249">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5250A4">
        <w:rPr>
          <w:rFonts w:ascii="Arial" w:eastAsia="Times New Roman" w:hAnsi="Arial" w:cs="Arial"/>
          <w:color w:val="000000" w:themeColor="text1"/>
          <w:sz w:val="20"/>
          <w:szCs w:val="24"/>
          <w:lang w:val="en-US" w:eastAsia="fr-FR"/>
        </w:rPr>
        <w:t xml:space="preserve">Analyses were carried out in triplicate. Microsoft Excel 2016 software was used for the calculation of means and standard deviations. </w:t>
      </w:r>
      <w:proofErr w:type="spellStart"/>
      <w:r w:rsidRPr="005250A4">
        <w:rPr>
          <w:rFonts w:ascii="Arial" w:eastAsia="Times New Roman" w:hAnsi="Arial" w:cs="Arial"/>
          <w:color w:val="000000" w:themeColor="text1"/>
          <w:sz w:val="20"/>
          <w:szCs w:val="24"/>
          <w:lang w:val="en-US" w:eastAsia="fr-FR"/>
        </w:rPr>
        <w:t>Statgraphic</w:t>
      </w:r>
      <w:proofErr w:type="spellEnd"/>
      <w:r w:rsidRPr="005250A4">
        <w:rPr>
          <w:rFonts w:ascii="Arial" w:eastAsia="Times New Roman" w:hAnsi="Arial" w:cs="Arial"/>
          <w:color w:val="000000" w:themeColor="text1"/>
          <w:sz w:val="20"/>
          <w:szCs w:val="24"/>
          <w:lang w:val="en-US" w:eastAsia="fr-FR"/>
        </w:rPr>
        <w:t xml:space="preserve"> Centurion 15.2 software (</w:t>
      </w:r>
      <w:proofErr w:type="spellStart"/>
      <w:r w:rsidRPr="005250A4">
        <w:rPr>
          <w:rFonts w:ascii="Arial" w:eastAsia="Times New Roman" w:hAnsi="Arial" w:cs="Arial"/>
          <w:color w:val="000000" w:themeColor="text1"/>
          <w:sz w:val="20"/>
          <w:szCs w:val="24"/>
          <w:lang w:val="en-US" w:eastAsia="fr-FR"/>
        </w:rPr>
        <w:t>StatPoint</w:t>
      </w:r>
      <w:proofErr w:type="spellEnd"/>
      <w:r w:rsidRPr="005250A4">
        <w:rPr>
          <w:rFonts w:ascii="Arial" w:eastAsia="Times New Roman" w:hAnsi="Arial" w:cs="Arial"/>
          <w:color w:val="000000" w:themeColor="text1"/>
          <w:sz w:val="20"/>
          <w:szCs w:val="24"/>
          <w:lang w:val="en-US" w:eastAsia="fr-FR"/>
        </w:rPr>
        <w:t xml:space="preserve"> Technologies, Inc</w:t>
      </w:r>
      <w:r w:rsidR="00B64B12" w:rsidRPr="005250A4">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Warrenton, Virginia, USA) was used for analysis of variance</w:t>
      </w:r>
      <w:r w:rsidR="00A14C98" w:rsidRPr="005250A4">
        <w:rPr>
          <w:rFonts w:ascii="Arial" w:eastAsia="Times New Roman" w:hAnsi="Arial" w:cs="Arial"/>
          <w:color w:val="000000" w:themeColor="text1"/>
          <w:sz w:val="20"/>
          <w:szCs w:val="24"/>
          <w:lang w:val="en-US" w:eastAsia="fr-FR"/>
        </w:rPr>
        <w:t xml:space="preserve"> (</w:t>
      </w:r>
      <w:r w:rsidR="00653D48" w:rsidRPr="005250A4">
        <w:rPr>
          <w:rFonts w:ascii="Arial" w:eastAsia="Times New Roman" w:hAnsi="Arial" w:cs="Arial"/>
          <w:color w:val="000000" w:themeColor="text1"/>
          <w:sz w:val="20"/>
          <w:szCs w:val="24"/>
          <w:lang w:val="en-US" w:eastAsia="fr-FR"/>
        </w:rPr>
        <w:t>one-way</w:t>
      </w:r>
      <w:r w:rsidR="00A14C98" w:rsidRPr="005250A4">
        <w:rPr>
          <w:rFonts w:ascii="Arial" w:eastAsia="Times New Roman" w:hAnsi="Arial" w:cs="Arial"/>
          <w:color w:val="000000" w:themeColor="text1"/>
          <w:sz w:val="20"/>
          <w:szCs w:val="24"/>
          <w:lang w:val="en-US" w:eastAsia="fr-FR"/>
        </w:rPr>
        <w:t xml:space="preserve"> </w:t>
      </w:r>
      <w:r w:rsidR="003E1AE3" w:rsidRPr="005250A4">
        <w:rPr>
          <w:rFonts w:ascii="Arial" w:eastAsia="Times New Roman" w:hAnsi="Arial" w:cs="Arial"/>
          <w:color w:val="000000" w:themeColor="text1"/>
          <w:sz w:val="20"/>
          <w:szCs w:val="24"/>
          <w:lang w:val="en-US" w:eastAsia="fr-FR"/>
        </w:rPr>
        <w:t>ANOVA</w:t>
      </w:r>
      <w:r w:rsidR="00A14C98" w:rsidRPr="005250A4">
        <w:rPr>
          <w:rFonts w:ascii="Arial" w:eastAsia="Times New Roman" w:hAnsi="Arial" w:cs="Arial"/>
          <w:color w:val="000000" w:themeColor="text1"/>
          <w:sz w:val="20"/>
          <w:szCs w:val="24"/>
          <w:lang w:val="en-US" w:eastAsia="fr-FR"/>
        </w:rPr>
        <w:t xml:space="preserve"> and multiple way </w:t>
      </w:r>
      <w:r w:rsidR="003E1AE3" w:rsidRPr="005250A4">
        <w:rPr>
          <w:rFonts w:ascii="Arial" w:eastAsia="Times New Roman" w:hAnsi="Arial" w:cs="Arial"/>
          <w:color w:val="000000" w:themeColor="text1"/>
          <w:sz w:val="20"/>
          <w:szCs w:val="24"/>
          <w:lang w:val="en-US" w:eastAsia="fr-FR"/>
        </w:rPr>
        <w:t>ANOVA</w:t>
      </w:r>
      <w:r w:rsidR="00A14C98" w:rsidRPr="005250A4">
        <w:rPr>
          <w:rFonts w:ascii="Arial" w:eastAsia="Times New Roman" w:hAnsi="Arial" w:cs="Arial"/>
          <w:color w:val="000000" w:themeColor="text1"/>
          <w:sz w:val="20"/>
          <w:szCs w:val="24"/>
          <w:lang w:val="en-US" w:eastAsia="fr-FR"/>
        </w:rPr>
        <w:t>)</w:t>
      </w:r>
      <w:r w:rsidRPr="005250A4">
        <w:rPr>
          <w:rFonts w:ascii="Arial" w:eastAsia="Times New Roman" w:hAnsi="Arial" w:cs="Arial"/>
          <w:color w:val="000000" w:themeColor="text1"/>
          <w:sz w:val="20"/>
          <w:szCs w:val="24"/>
          <w:lang w:val="en-US" w:eastAsia="fr-FR"/>
        </w:rPr>
        <w:t xml:space="preserve"> and </w:t>
      </w:r>
      <w:r w:rsidR="003E1AE3" w:rsidRPr="005250A4">
        <w:rPr>
          <w:rFonts w:ascii="Arial" w:eastAsia="Times New Roman" w:hAnsi="Arial" w:cs="Arial"/>
          <w:color w:val="000000" w:themeColor="text1"/>
          <w:sz w:val="20"/>
          <w:szCs w:val="24"/>
          <w:lang w:val="en-US" w:eastAsia="fr-FR"/>
        </w:rPr>
        <w:t xml:space="preserve">the </w:t>
      </w:r>
      <w:r w:rsidRPr="005250A4">
        <w:rPr>
          <w:rFonts w:ascii="Arial" w:eastAsia="Times New Roman" w:hAnsi="Arial" w:cs="Arial"/>
          <w:color w:val="000000" w:themeColor="text1"/>
          <w:sz w:val="20"/>
          <w:szCs w:val="24"/>
          <w:lang w:val="en-US" w:eastAsia="fr-FR"/>
        </w:rPr>
        <w:t>means were separated using the D</w:t>
      </w:r>
      <w:r w:rsidR="00A16405" w:rsidRPr="005250A4">
        <w:rPr>
          <w:rFonts w:ascii="Arial" w:eastAsia="Times New Roman" w:hAnsi="Arial" w:cs="Arial"/>
          <w:color w:val="000000" w:themeColor="text1"/>
          <w:sz w:val="20"/>
          <w:szCs w:val="24"/>
          <w:lang w:val="en-US" w:eastAsia="fr-FR"/>
        </w:rPr>
        <w:t xml:space="preserve">uncan multiple range test at P </w:t>
      </w:r>
      <w:r w:rsidR="000E7CA4" w:rsidRPr="005250A4">
        <w:rPr>
          <w:rFonts w:ascii="Arial" w:eastAsia="Times New Roman" w:hAnsi="Arial" w:cs="Arial"/>
          <w:color w:val="000000" w:themeColor="text1"/>
          <w:sz w:val="20"/>
          <w:szCs w:val="24"/>
          <w:lang w:val="en-US" w:eastAsia="fr-FR"/>
        </w:rPr>
        <w:t>&lt;</w:t>
      </w:r>
      <w:r w:rsidRPr="005250A4">
        <w:rPr>
          <w:rFonts w:ascii="Arial" w:eastAsia="Times New Roman" w:hAnsi="Arial" w:cs="Arial"/>
          <w:color w:val="000000" w:themeColor="text1"/>
          <w:sz w:val="20"/>
          <w:szCs w:val="24"/>
          <w:lang w:val="en-US" w:eastAsia="fr-FR"/>
        </w:rPr>
        <w:t xml:space="preserve"> .05.</w:t>
      </w:r>
    </w:p>
    <w:p w14:paraId="04ABF61B" w14:textId="04F5DD90" w:rsidR="00847465" w:rsidRPr="00202D84" w:rsidRDefault="00202D84" w:rsidP="00847465">
      <w:pPr>
        <w:pStyle w:val="Paragraphedeliste"/>
        <w:numPr>
          <w:ilvl w:val="0"/>
          <w:numId w:val="3"/>
        </w:numPr>
        <w:spacing w:before="240" w:line="360" w:lineRule="auto"/>
        <w:jc w:val="both"/>
        <w:rPr>
          <w:rStyle w:val="fontstyle01"/>
          <w:rFonts w:ascii="Arial" w:hAnsi="Arial" w:cs="Arial"/>
          <w:b/>
          <w:color w:val="000000" w:themeColor="text1"/>
          <w:sz w:val="22"/>
          <w:szCs w:val="22"/>
          <w:lang w:val="en-US"/>
        </w:rPr>
      </w:pPr>
      <w:r w:rsidRPr="00202D84">
        <w:rPr>
          <w:rStyle w:val="fontstyle01"/>
          <w:rFonts w:ascii="Arial" w:hAnsi="Arial" w:cs="Arial"/>
          <w:b/>
          <w:color w:val="000000" w:themeColor="text1"/>
          <w:sz w:val="22"/>
          <w:szCs w:val="22"/>
          <w:lang w:val="en-US"/>
        </w:rPr>
        <w:t>RESULTS AND DISCUSSION</w:t>
      </w:r>
    </w:p>
    <w:p w14:paraId="540D284C" w14:textId="77777777" w:rsidR="00D7094E" w:rsidRPr="005250A4" w:rsidRDefault="00813887" w:rsidP="00813887">
      <w:pPr>
        <w:spacing w:before="240" w:line="360" w:lineRule="auto"/>
        <w:jc w:val="both"/>
        <w:rPr>
          <w:rFonts w:ascii="Arial" w:hAnsi="Arial" w:cs="Arial"/>
          <w:b/>
          <w:color w:val="000000" w:themeColor="text1"/>
          <w:sz w:val="24"/>
          <w:szCs w:val="24"/>
          <w:lang w:val="en-US"/>
        </w:rPr>
      </w:pPr>
      <w:r w:rsidRPr="005250A4">
        <w:rPr>
          <w:rFonts w:ascii="Arial" w:eastAsia="Times New Roman" w:hAnsi="Arial" w:cs="Arial"/>
          <w:b/>
          <w:color w:val="000000" w:themeColor="text1"/>
          <w:szCs w:val="27"/>
          <w:lang w:val="en-US" w:eastAsia="fr-FR"/>
        </w:rPr>
        <w:t>3.1. Moisture c</w:t>
      </w:r>
      <w:r w:rsidR="00D7094E" w:rsidRPr="005250A4">
        <w:rPr>
          <w:rFonts w:ascii="Arial" w:eastAsia="Times New Roman" w:hAnsi="Arial" w:cs="Arial"/>
          <w:b/>
          <w:color w:val="000000" w:themeColor="text1"/>
          <w:szCs w:val="27"/>
          <w:lang w:val="en-US" w:eastAsia="fr-FR"/>
        </w:rPr>
        <w:t>ontent o</w:t>
      </w:r>
      <w:r w:rsidR="00935722" w:rsidRPr="005250A4">
        <w:rPr>
          <w:rFonts w:ascii="Arial" w:eastAsia="Times New Roman" w:hAnsi="Arial" w:cs="Arial"/>
          <w:b/>
          <w:color w:val="000000" w:themeColor="text1"/>
          <w:szCs w:val="27"/>
          <w:lang w:val="en-US" w:eastAsia="fr-FR"/>
        </w:rPr>
        <w:t>f leaf and fruit</w:t>
      </w:r>
      <w:r w:rsidR="00D7094E" w:rsidRPr="005250A4">
        <w:rPr>
          <w:rFonts w:ascii="Arial" w:eastAsia="Times New Roman" w:hAnsi="Arial" w:cs="Arial"/>
          <w:b/>
          <w:color w:val="000000" w:themeColor="text1"/>
          <w:szCs w:val="27"/>
          <w:lang w:val="en-US" w:eastAsia="fr-FR"/>
        </w:rPr>
        <w:t xml:space="preserve"> powders </w:t>
      </w:r>
    </w:p>
    <w:p w14:paraId="152ECCDE" w14:textId="50ED95CC" w:rsidR="00E46855" w:rsidRDefault="00D7094E"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r w:rsidRPr="005830BB">
        <w:rPr>
          <w:rFonts w:ascii="Arial" w:eastAsia="Times New Roman" w:hAnsi="Arial" w:cs="Arial"/>
          <w:color w:val="000000" w:themeColor="text1"/>
          <w:sz w:val="20"/>
          <w:szCs w:val="24"/>
          <w:lang w:val="en-US" w:eastAsia="fr-FR"/>
        </w:rPr>
        <w:t>Table 2 presents the moisture content</w:t>
      </w:r>
      <w:r w:rsidR="00B64B12" w:rsidRPr="005830BB">
        <w:rPr>
          <w:rFonts w:ascii="Arial" w:eastAsia="Times New Roman" w:hAnsi="Arial" w:cs="Arial"/>
          <w:color w:val="000000" w:themeColor="text1"/>
          <w:sz w:val="20"/>
          <w:szCs w:val="24"/>
          <w:lang w:val="en-US" w:eastAsia="fr-FR"/>
        </w:rPr>
        <w:t>s</w:t>
      </w:r>
      <w:r w:rsidRPr="005830BB">
        <w:rPr>
          <w:rFonts w:ascii="Arial" w:eastAsia="Times New Roman" w:hAnsi="Arial" w:cs="Arial"/>
          <w:color w:val="000000" w:themeColor="text1"/>
          <w:sz w:val="20"/>
          <w:szCs w:val="24"/>
          <w:lang w:val="en-US" w:eastAsia="fr-FR"/>
        </w:rPr>
        <w:t xml:space="preserve"> of the lea</w:t>
      </w:r>
      <w:r w:rsidR="00B64B12" w:rsidRPr="005830BB">
        <w:rPr>
          <w:rFonts w:ascii="Arial" w:eastAsia="Times New Roman" w:hAnsi="Arial" w:cs="Arial"/>
          <w:color w:val="000000" w:themeColor="text1"/>
          <w:sz w:val="20"/>
          <w:szCs w:val="24"/>
          <w:lang w:val="en-US" w:eastAsia="fr-FR"/>
        </w:rPr>
        <w:t>ves</w:t>
      </w:r>
      <w:r w:rsidRPr="005830BB">
        <w:rPr>
          <w:rFonts w:ascii="Arial" w:eastAsia="Times New Roman" w:hAnsi="Arial" w:cs="Arial"/>
          <w:color w:val="000000" w:themeColor="text1"/>
          <w:sz w:val="20"/>
          <w:szCs w:val="24"/>
          <w:lang w:val="en-US" w:eastAsia="fr-FR"/>
        </w:rPr>
        <w:t xml:space="preserve"> and fruit powders of </w:t>
      </w:r>
      <w:proofErr w:type="spellStart"/>
      <w:r w:rsidRPr="005830BB">
        <w:rPr>
          <w:rFonts w:ascii="Arial" w:eastAsia="Times New Roman" w:hAnsi="Arial" w:cs="Arial"/>
          <w:i/>
          <w:color w:val="000000" w:themeColor="text1"/>
          <w:sz w:val="20"/>
          <w:szCs w:val="24"/>
          <w:lang w:val="en-US" w:eastAsia="fr-FR"/>
        </w:rPr>
        <w:t>Corchorus</w:t>
      </w:r>
      <w:proofErr w:type="spellEnd"/>
      <w:r w:rsidRPr="005830BB">
        <w:rPr>
          <w:rFonts w:ascii="Arial" w:eastAsia="Times New Roman" w:hAnsi="Arial" w:cs="Arial"/>
          <w:i/>
          <w:color w:val="000000" w:themeColor="text1"/>
          <w:sz w:val="20"/>
          <w:szCs w:val="24"/>
          <w:lang w:val="en-US" w:eastAsia="fr-FR"/>
        </w:rPr>
        <w:t xml:space="preserve"> </w:t>
      </w:r>
      <w:proofErr w:type="spellStart"/>
      <w:r w:rsidRPr="005830BB">
        <w:rPr>
          <w:rFonts w:ascii="Arial" w:eastAsia="Times New Roman" w:hAnsi="Arial" w:cs="Arial"/>
          <w:i/>
          <w:color w:val="000000" w:themeColor="text1"/>
          <w:sz w:val="20"/>
          <w:szCs w:val="24"/>
          <w:lang w:val="en-US" w:eastAsia="fr-FR"/>
        </w:rPr>
        <w:t>olitorius</w:t>
      </w:r>
      <w:proofErr w:type="spellEnd"/>
      <w:r w:rsidRPr="005830BB">
        <w:rPr>
          <w:rFonts w:ascii="Arial" w:eastAsia="Times New Roman" w:hAnsi="Arial" w:cs="Arial"/>
          <w:color w:val="000000" w:themeColor="text1"/>
          <w:sz w:val="20"/>
          <w:szCs w:val="24"/>
          <w:lang w:val="en-US" w:eastAsia="fr-FR"/>
        </w:rPr>
        <w:t xml:space="preserve"> and </w:t>
      </w:r>
      <w:proofErr w:type="spellStart"/>
      <w:r w:rsidRPr="005830BB">
        <w:rPr>
          <w:rFonts w:ascii="Arial" w:eastAsia="Times New Roman" w:hAnsi="Arial" w:cs="Arial"/>
          <w:i/>
          <w:color w:val="000000" w:themeColor="text1"/>
          <w:sz w:val="20"/>
          <w:szCs w:val="24"/>
          <w:lang w:val="en-US" w:eastAsia="fr-FR"/>
        </w:rPr>
        <w:t>Abelmoschus</w:t>
      </w:r>
      <w:proofErr w:type="spellEnd"/>
      <w:r w:rsidRPr="005830BB">
        <w:rPr>
          <w:rFonts w:ascii="Arial" w:eastAsia="Times New Roman" w:hAnsi="Arial" w:cs="Arial"/>
          <w:i/>
          <w:color w:val="000000" w:themeColor="text1"/>
          <w:sz w:val="20"/>
          <w:szCs w:val="24"/>
          <w:lang w:val="en-US" w:eastAsia="fr-FR"/>
        </w:rPr>
        <w:t xml:space="preserve"> </w:t>
      </w:r>
      <w:proofErr w:type="spellStart"/>
      <w:r w:rsidRPr="005830BB">
        <w:rPr>
          <w:rFonts w:ascii="Arial" w:eastAsia="Times New Roman" w:hAnsi="Arial" w:cs="Arial"/>
          <w:i/>
          <w:color w:val="000000" w:themeColor="text1"/>
          <w:sz w:val="20"/>
          <w:szCs w:val="24"/>
          <w:lang w:val="en-US" w:eastAsia="fr-FR"/>
        </w:rPr>
        <w:t>esculentus</w:t>
      </w:r>
      <w:proofErr w:type="spellEnd"/>
      <w:r w:rsidRPr="005830BB">
        <w:rPr>
          <w:rFonts w:ascii="Arial" w:eastAsia="Times New Roman" w:hAnsi="Arial" w:cs="Arial"/>
          <w:color w:val="000000" w:themeColor="text1"/>
          <w:sz w:val="20"/>
          <w:szCs w:val="24"/>
          <w:lang w:val="en-US" w:eastAsia="fr-FR"/>
        </w:rPr>
        <w:t>. The moisture content varie</w:t>
      </w:r>
      <w:r w:rsidR="00B64B12" w:rsidRPr="005830BB">
        <w:rPr>
          <w:rFonts w:ascii="Arial" w:eastAsia="Times New Roman" w:hAnsi="Arial" w:cs="Arial"/>
          <w:color w:val="000000" w:themeColor="text1"/>
          <w:sz w:val="20"/>
          <w:szCs w:val="24"/>
          <w:lang w:val="en-US" w:eastAsia="fr-FR"/>
        </w:rPr>
        <w:t>d</w:t>
      </w:r>
      <w:r w:rsidRPr="005830BB">
        <w:rPr>
          <w:rFonts w:ascii="Arial" w:eastAsia="Times New Roman" w:hAnsi="Arial" w:cs="Arial"/>
          <w:color w:val="000000" w:themeColor="text1"/>
          <w:sz w:val="20"/>
          <w:szCs w:val="24"/>
          <w:lang w:val="en-US" w:eastAsia="fr-FR"/>
        </w:rPr>
        <w:t xml:space="preserve"> significantly, ranging from 5.36 ± 0.01 to 12.45 ± 0.18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 DM. These values indicate that the dehydration process effectively reduced the free water content in the leaves and fruits to levels below the permissible limit (15</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g</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813887" w:rsidRPr="005830BB">
        <w:rPr>
          <w:rStyle w:val="fontstyle01"/>
          <w:rFonts w:ascii="Arial" w:hAnsi="Arial" w:cs="Arial"/>
          <w:color w:val="000000" w:themeColor="text1"/>
          <w:sz w:val="20"/>
          <w:szCs w:val="22"/>
        </w:rPr>
        <w:fldChar w:fldCharType="begin" w:fldLock="1"/>
      </w:r>
      <w:r w:rsidR="00E91D2D" w:rsidRPr="005830BB">
        <w:rPr>
          <w:rStyle w:val="fontstyle01"/>
          <w:rFonts w:ascii="Arial" w:hAnsi="Arial" w:cs="Arial"/>
          <w:color w:val="000000" w:themeColor="text1"/>
          <w:sz w:val="20"/>
          <w:szCs w:val="22"/>
          <w:lang w:val="en-US"/>
        </w:rPr>
        <w:instrText>ADDIN CSL_CITATION {"citationItems":[{"id":"ITEM-1","itemData":{"DOI":"10.1016/j.lwt.2010.06.036","ISSN":"00236438","abstract":"Extruded snacks were prepared from flour blends made with taro and nixtamalized (TF-NMF) or non-nixtamalized maize (TF-MF) using a single-screw extruder. A central composite design was used to investigate the effects of taro flour proportion in formulations (0-100 g/100 g) and extrusion temperatures (140-180 °C) on the following indices: expansion (EI), water solubility (WSI), water absorption (WAI) and fat absorption (FAI). Moreover, selected TF-NMF and TF-MF extruded products were partially characterized through proximate chemical analysis, resistant starch, color, pH, water activity, apparent density, hardness, and sensory analysis. Results indicated that EI and WSI of both TF-MF and TF-NMF extrudates were significantly increased by the use of higher proportions of taro flour, while the opposite behavior was observed for the FAI (p &lt; 0.05). Taro flour at higher proportions in both extrudates did not produce a significant change of WAI, while the use of higher extrusion temperatures only caused a significant increase of FAI in TF-MF extrudates (p &lt; 0.05). This study showed that flour mixtures made from taro and nixtamalized maize flour produced puffed extruded snacks with good consumer acceptance. © 2010 Elsevier Ltd.","author":[{"dropping-particle":"","family":"Rodríguez-Miranda","given":"J.","non-dropping-particle":"","parse-names":false,"suffix":""},{"dropping-particle":"","family":"Ruiz-López","given":"I. I.","non-dropping-particle":"","parse-names":false,"suffix":""},{"dropping-particle":"","family":"Herman-Lara","given":"E.","non-dropping-particle":"","parse-names":false,"suffix":""},{"dropping-particle":"","family":"Martínez-Sánchez","given":"C. E.","non-dropping-particle":"","parse-names":false,"suffix":""},{"dropping-particle":"","family":"Delgado-Licon","given":"E.","non-dropping-particle":"","parse-names":false,"suffix":""},{"dropping-particle":"","family":"Vivar-Vera","given":"M. A.","non-dropping-particle":"","parse-names":false,"suffix":""}],"container-title":"LWT","id":"ITEM-1","issue":"3","issued":{"date-parts":[["2011"]]},"page":"673-680","publisher":"Academic Press","title":"Development of extruded snacks using taro (Colocasia esculenta) and nixtamalized maize (Zea mays) flour blends","type":"article-journal","volume":"44"},"uris":["http://www.mendeley.com/documents/?uuid=3459299d-da3c-3581-85fb-008e1f9be45f"]}],"mendeley":{"formattedCitation":"(Rodríguez-Miranda et al., 2011)","plainTextFormattedCitation":"(Rodríguez-Miranda et al., 2011)","previouslyFormattedCitation":"(Rodríguez-Miranda et al., 2011)"},"properties":{"noteIndex":0},"schema":"https://github.com/citation-style-language/schema/raw/master/csl-citation.json"}</w:instrText>
      </w:r>
      <w:r w:rsidR="00813887" w:rsidRPr="005830BB">
        <w:rPr>
          <w:rStyle w:val="fontstyle01"/>
          <w:rFonts w:ascii="Arial" w:hAnsi="Arial" w:cs="Arial"/>
          <w:color w:val="000000" w:themeColor="text1"/>
          <w:sz w:val="20"/>
          <w:szCs w:val="22"/>
        </w:rPr>
        <w:fldChar w:fldCharType="separate"/>
      </w:r>
      <w:r w:rsidR="00302617" w:rsidRPr="005830BB">
        <w:rPr>
          <w:rStyle w:val="fontstyle01"/>
          <w:rFonts w:ascii="Arial" w:hAnsi="Arial" w:cs="Arial"/>
          <w:noProof/>
          <w:color w:val="000000" w:themeColor="text1"/>
          <w:sz w:val="20"/>
          <w:szCs w:val="22"/>
          <w:lang w:val="en-US"/>
        </w:rPr>
        <w:t>(Rodríguez-Miranda et al., 2011)</w:t>
      </w:r>
      <w:r w:rsidR="00813887" w:rsidRPr="005830BB">
        <w:rPr>
          <w:rStyle w:val="fontstyle01"/>
          <w:rFonts w:ascii="Arial" w:hAnsi="Arial" w:cs="Arial"/>
          <w:color w:val="000000" w:themeColor="text1"/>
          <w:sz w:val="20"/>
          <w:szCs w:val="22"/>
        </w:rPr>
        <w:fldChar w:fldCharType="end"/>
      </w:r>
      <w:r w:rsidR="00813887" w:rsidRPr="005830BB">
        <w:rPr>
          <w:rStyle w:val="fontstyle01"/>
          <w:rFonts w:ascii="Arial" w:hAnsi="Arial" w:cs="Arial"/>
          <w:noProof/>
          <w:color w:val="000000" w:themeColor="text1"/>
          <w:sz w:val="20"/>
          <w:szCs w:val="22"/>
          <w:lang w:val="en-US"/>
        </w:rPr>
        <w:t xml:space="preserve">. </w:t>
      </w:r>
      <w:r w:rsidRPr="005830BB">
        <w:rPr>
          <w:rFonts w:ascii="Arial" w:eastAsia="Times New Roman" w:hAnsi="Arial" w:cs="Arial"/>
          <w:color w:val="000000" w:themeColor="text1"/>
          <w:sz w:val="20"/>
          <w:szCs w:val="24"/>
          <w:lang w:val="en-US" w:eastAsia="fr-FR"/>
        </w:rPr>
        <w:t xml:space="preserve">Water serves as a solvent that promotes the growth of food spoilage microorganisms. A </w:t>
      </w:r>
      <w:r w:rsidR="000E7CA4" w:rsidRPr="005830BB">
        <w:rPr>
          <w:rFonts w:ascii="Arial" w:eastAsia="Times New Roman" w:hAnsi="Arial" w:cs="Arial"/>
          <w:color w:val="000000" w:themeColor="text1"/>
          <w:sz w:val="20"/>
          <w:szCs w:val="24"/>
          <w:lang w:val="en-US" w:eastAsia="fr-FR"/>
        </w:rPr>
        <w:t>high-water</w:t>
      </w:r>
      <w:r w:rsidRPr="005830BB">
        <w:rPr>
          <w:rFonts w:ascii="Arial" w:eastAsia="Times New Roman" w:hAnsi="Arial" w:cs="Arial"/>
          <w:color w:val="000000" w:themeColor="text1"/>
          <w:sz w:val="20"/>
          <w:szCs w:val="24"/>
          <w:lang w:val="en-US" w:eastAsia="fr-FR"/>
        </w:rPr>
        <w:t xml:space="preserve"> content in fruits and vegetables increases their water activity, thereby enhancing their perishability. The observed reduction in water content thus ensures that the powders can be stored for extended periods. Additionally, the moisture contents obtained in this study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also utilized to calculate the contents of other compounds in the powders on a dry basis. Comparable results (8.00 to 13.5 g/100</w:t>
      </w:r>
      <w:r w:rsidR="00B64B12"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 xml:space="preserve">g DM) </w:t>
      </w:r>
      <w:r w:rsidR="00B64B12" w:rsidRPr="005830BB">
        <w:rPr>
          <w:rFonts w:ascii="Arial" w:eastAsia="Times New Roman" w:hAnsi="Arial" w:cs="Arial"/>
          <w:color w:val="000000" w:themeColor="text1"/>
          <w:sz w:val="20"/>
          <w:szCs w:val="24"/>
          <w:lang w:val="en-US" w:eastAsia="fr-FR"/>
        </w:rPr>
        <w:t>were</w:t>
      </w:r>
      <w:r w:rsidRPr="005830BB">
        <w:rPr>
          <w:rFonts w:ascii="Arial" w:eastAsia="Times New Roman" w:hAnsi="Arial" w:cs="Arial"/>
          <w:color w:val="000000" w:themeColor="text1"/>
          <w:sz w:val="20"/>
          <w:szCs w:val="24"/>
          <w:lang w:val="en-US" w:eastAsia="fr-FR"/>
        </w:rPr>
        <w:t xml:space="preserve"> reported by</w:t>
      </w:r>
      <w:r w:rsidR="00F41149" w:rsidRPr="005830BB">
        <w:rPr>
          <w:rFonts w:ascii="Arial" w:eastAsia="Times New Roman" w:hAnsi="Arial" w:cs="Arial"/>
          <w:color w:val="000000" w:themeColor="text1"/>
          <w:sz w:val="20"/>
          <w:szCs w:val="24"/>
          <w:lang w:val="en-US" w:eastAsia="fr-FR"/>
        </w:rPr>
        <w:t xml:space="preserve"> </w:t>
      </w:r>
      <w:r w:rsidR="00F41149" w:rsidRPr="005830BB">
        <w:rPr>
          <w:rFonts w:ascii="Arial" w:eastAsia="Times New Roman" w:hAnsi="Arial" w:cs="Arial"/>
          <w:color w:val="000000" w:themeColor="text1"/>
          <w:sz w:val="20"/>
          <w:szCs w:val="24"/>
          <w:lang w:val="en-US" w:eastAsia="fr-FR"/>
        </w:rPr>
        <w:fldChar w:fldCharType="begin" w:fldLock="1"/>
      </w:r>
      <w:r w:rsidR="00E91D2D" w:rsidRPr="005830BB">
        <w:rPr>
          <w:rFonts w:ascii="Arial" w:eastAsia="Times New Roman" w:hAnsi="Arial" w:cs="Arial"/>
          <w:color w:val="000000" w:themeColor="text1"/>
          <w:sz w:val="20"/>
          <w:szCs w:val="24"/>
          <w:lang w:val="en-US" w:eastAsia="fr-FR"/>
        </w:rPr>
        <w:instrText>ADDIN CSL_CITATION {"citationItems":[{"id":"ITEM-1","itemData":{"DOI":"http://dx.doi.org/10.18006/2015.3(6).541.555","author":[{"dropping-particle":"","family":"Assiéné","given":"Agamou Julien Armel","non-dropping-particle":"","parse-names":false,"suffix":""},{"dropping-particle":"","family":"Fombang","given":"Edith N","non-dropping-particle":"","parse-names":false,"suffix":""},{"dropping-particle":"","family":"Mbofung","given":"Carl M F","non-dropping-particle":"","parse-names":false,"suffix":""}],"container-title":"Journal of Experimental Biology and Agricultural Sciences","id":"ITEM-1","issue":"2320","issued":{"date-parts":[["2015"]]},"page":"541-555","title":"Particular benefits can be attributed to Moringa oleifera Lam leaves based on origin and stage of maturity","type":"article-journal","volume":"3"},"uris":["http://www.mendeley.com/documents/?uuid=ad6677fd-8485-431e-b9d6-9c126b256813"]}],"mendeley":{"formattedCitation":"(Assiéné et al., 2015)","manualFormatting":"Assiéné et al. (2015)","plainTextFormattedCitation":"(Assiéné et al., 2015)","previouslyFormattedCitation":"(Assiéné et al., 2015)"},"properties":{"noteIndex":0},"schema":"https://github.com/citation-style-language/schema/raw/master/csl-citation.json"}</w:instrText>
      </w:r>
      <w:r w:rsidR="00F41149" w:rsidRPr="005830BB">
        <w:rPr>
          <w:rFonts w:ascii="Arial" w:eastAsia="Times New Roman" w:hAnsi="Arial" w:cs="Arial"/>
          <w:color w:val="000000" w:themeColor="text1"/>
          <w:sz w:val="20"/>
          <w:szCs w:val="24"/>
          <w:lang w:val="en-US" w:eastAsia="fr-FR"/>
        </w:rPr>
        <w:fldChar w:fldCharType="separate"/>
      </w:r>
      <w:r w:rsidR="00302617" w:rsidRPr="005830BB">
        <w:rPr>
          <w:rFonts w:ascii="Arial" w:eastAsia="Times New Roman" w:hAnsi="Arial" w:cs="Arial"/>
          <w:noProof/>
          <w:color w:val="000000" w:themeColor="text1"/>
          <w:sz w:val="20"/>
          <w:szCs w:val="24"/>
          <w:lang w:val="en-US" w:eastAsia="fr-FR"/>
        </w:rPr>
        <w:t>Assiéné et al.</w:t>
      </w:r>
      <w:r w:rsidR="00835B30" w:rsidRPr="005830BB">
        <w:rPr>
          <w:rFonts w:ascii="Arial" w:eastAsia="Times New Roman" w:hAnsi="Arial" w:cs="Arial"/>
          <w:noProof/>
          <w:color w:val="000000" w:themeColor="text1"/>
          <w:sz w:val="20"/>
          <w:szCs w:val="24"/>
          <w:lang w:val="en-US" w:eastAsia="fr-FR"/>
        </w:rPr>
        <w:t xml:space="preserve"> (</w:t>
      </w:r>
      <w:r w:rsidR="00302617" w:rsidRPr="005830BB">
        <w:rPr>
          <w:rFonts w:ascii="Arial" w:eastAsia="Times New Roman" w:hAnsi="Arial" w:cs="Arial"/>
          <w:noProof/>
          <w:color w:val="000000" w:themeColor="text1"/>
          <w:sz w:val="20"/>
          <w:szCs w:val="24"/>
          <w:lang w:val="en-US" w:eastAsia="fr-FR"/>
        </w:rPr>
        <w:t>2015)</w:t>
      </w:r>
      <w:r w:rsidR="00F41149" w:rsidRPr="005830BB">
        <w:rPr>
          <w:rFonts w:ascii="Arial" w:eastAsia="Times New Roman" w:hAnsi="Arial" w:cs="Arial"/>
          <w:color w:val="000000" w:themeColor="text1"/>
          <w:sz w:val="20"/>
          <w:szCs w:val="24"/>
          <w:lang w:val="en-US" w:eastAsia="fr-FR"/>
        </w:rPr>
        <w:fldChar w:fldCharType="end"/>
      </w:r>
      <w:r w:rsidR="007D40F7" w:rsidRPr="005830BB">
        <w:rPr>
          <w:rFonts w:ascii="Arial" w:eastAsia="Times New Roman" w:hAnsi="Arial" w:cs="Arial"/>
          <w:color w:val="000000" w:themeColor="text1"/>
          <w:sz w:val="20"/>
          <w:szCs w:val="24"/>
          <w:lang w:val="en-US" w:eastAsia="fr-FR"/>
        </w:rPr>
        <w:t xml:space="preserve"> </w:t>
      </w:r>
      <w:r w:rsidRPr="005830BB">
        <w:rPr>
          <w:rFonts w:ascii="Arial" w:eastAsia="Times New Roman" w:hAnsi="Arial" w:cs="Arial"/>
          <w:color w:val="000000" w:themeColor="text1"/>
          <w:sz w:val="20"/>
          <w:szCs w:val="24"/>
          <w:lang w:val="en-US" w:eastAsia="fr-FR"/>
        </w:rPr>
        <w:t>for leafy vegetables from various localities in Cameroon.</w:t>
      </w:r>
    </w:p>
    <w:p w14:paraId="51342C0E"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92E01F1"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FC6BEC3"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FF3EBFB"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489A1104"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6FA53D18"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56C4568E"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F1B06D1"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64A556A" w14:textId="77777777" w:rsidR="00E46855"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7153772C" w14:textId="77777777" w:rsidR="00E46855" w:rsidRPr="005830BB" w:rsidRDefault="00E46855" w:rsidP="00D7094E">
      <w:pPr>
        <w:spacing w:before="100" w:beforeAutospacing="1" w:after="100" w:afterAutospacing="1" w:line="360" w:lineRule="auto"/>
        <w:jc w:val="both"/>
        <w:rPr>
          <w:rFonts w:ascii="Arial" w:eastAsia="Times New Roman" w:hAnsi="Arial" w:cs="Arial"/>
          <w:color w:val="000000" w:themeColor="text1"/>
          <w:sz w:val="20"/>
          <w:szCs w:val="24"/>
          <w:lang w:val="en-US" w:eastAsia="fr-FR"/>
        </w:rPr>
      </w:pPr>
    </w:p>
    <w:p w14:paraId="273D5F72" w14:textId="77777777" w:rsidR="00B83C44" w:rsidRPr="00835B30" w:rsidRDefault="006869C0" w:rsidP="008B25B9">
      <w:pPr>
        <w:spacing w:after="0" w:line="360" w:lineRule="auto"/>
        <w:jc w:val="both"/>
        <w:rPr>
          <w:rStyle w:val="fontstyle01"/>
          <w:rFonts w:ascii="Arial" w:hAnsi="Arial" w:cs="Arial"/>
          <w:i/>
          <w:color w:val="000000" w:themeColor="text1"/>
          <w:sz w:val="20"/>
          <w:szCs w:val="22"/>
          <w:lang w:val="en-US"/>
        </w:rPr>
      </w:pPr>
      <w:r w:rsidRPr="00835B30">
        <w:rPr>
          <w:rStyle w:val="fontstyle01"/>
          <w:rFonts w:ascii="Arial" w:hAnsi="Arial" w:cs="Arial"/>
          <w:color w:val="000000" w:themeColor="text1"/>
          <w:sz w:val="20"/>
          <w:szCs w:val="22"/>
          <w:lang w:val="en-US"/>
        </w:rPr>
        <w:t>Table</w:t>
      </w:r>
      <w:r w:rsidR="00CA1DAB" w:rsidRPr="00835B30">
        <w:rPr>
          <w:rStyle w:val="fontstyle01"/>
          <w:rFonts w:ascii="Arial" w:hAnsi="Arial" w:cs="Arial"/>
          <w:color w:val="000000" w:themeColor="text1"/>
          <w:sz w:val="20"/>
          <w:szCs w:val="22"/>
          <w:lang w:val="en-US"/>
        </w:rPr>
        <w:t xml:space="preserve"> </w:t>
      </w:r>
      <w:r w:rsidR="005A7E94" w:rsidRPr="00835B30">
        <w:rPr>
          <w:rStyle w:val="fontstyle01"/>
          <w:rFonts w:ascii="Arial" w:hAnsi="Arial" w:cs="Arial"/>
          <w:color w:val="000000" w:themeColor="text1"/>
          <w:sz w:val="20"/>
          <w:szCs w:val="22"/>
          <w:lang w:val="en-US"/>
        </w:rPr>
        <w:t>2</w:t>
      </w:r>
      <w:r w:rsidRPr="00835B30">
        <w:rPr>
          <w:rStyle w:val="fontstyle01"/>
          <w:rFonts w:ascii="Arial" w:hAnsi="Arial" w:cs="Arial"/>
          <w:color w:val="000000" w:themeColor="text1"/>
          <w:sz w:val="20"/>
          <w:szCs w:val="22"/>
          <w:lang w:val="en-US"/>
        </w:rPr>
        <w:t>:</w:t>
      </w:r>
      <w:r w:rsidR="00B83C44" w:rsidRPr="00835B30">
        <w:rPr>
          <w:rStyle w:val="fontstyle01"/>
          <w:rFonts w:ascii="Arial" w:hAnsi="Arial" w:cs="Arial"/>
          <w:color w:val="000000" w:themeColor="text1"/>
          <w:sz w:val="20"/>
          <w:szCs w:val="22"/>
          <w:lang w:val="en-US"/>
        </w:rPr>
        <w:t xml:space="preserve"> </w:t>
      </w:r>
      <w:r w:rsidR="00314300" w:rsidRPr="00835B30">
        <w:rPr>
          <w:rStyle w:val="fontstyle01"/>
          <w:rFonts w:ascii="Arial" w:hAnsi="Arial" w:cs="Arial"/>
          <w:color w:val="000000" w:themeColor="text1"/>
          <w:sz w:val="20"/>
          <w:szCs w:val="22"/>
          <w:lang w:val="en-US"/>
        </w:rPr>
        <w:t>Nutrient contents</w:t>
      </w:r>
      <w:r w:rsidR="00CE2651" w:rsidRPr="00835B30">
        <w:rPr>
          <w:rStyle w:val="fontstyle01"/>
          <w:rFonts w:ascii="Arial" w:hAnsi="Arial" w:cs="Arial"/>
          <w:color w:val="000000" w:themeColor="text1"/>
          <w:sz w:val="20"/>
          <w:szCs w:val="22"/>
          <w:lang w:val="en-US"/>
        </w:rPr>
        <w:t xml:space="preserve"> of </w:t>
      </w:r>
      <w:r w:rsidR="00B64B12" w:rsidRPr="00835B30">
        <w:rPr>
          <w:rStyle w:val="fontstyle01"/>
          <w:rFonts w:ascii="Arial" w:hAnsi="Arial" w:cs="Arial"/>
          <w:color w:val="000000" w:themeColor="text1"/>
          <w:sz w:val="20"/>
          <w:szCs w:val="22"/>
          <w:lang w:val="en-US"/>
        </w:rPr>
        <w:t xml:space="preserve">the </w:t>
      </w:r>
      <w:r w:rsidR="00CE2651" w:rsidRPr="00835B30">
        <w:rPr>
          <w:rStyle w:val="fontstyle01"/>
          <w:rFonts w:ascii="Arial" w:hAnsi="Arial" w:cs="Arial"/>
          <w:color w:val="000000" w:themeColor="text1"/>
          <w:sz w:val="20"/>
          <w:szCs w:val="22"/>
          <w:lang w:val="en-US"/>
        </w:rPr>
        <w:t>leave</w:t>
      </w:r>
      <w:r w:rsidR="00B64B12" w:rsidRPr="00835B30">
        <w:rPr>
          <w:rStyle w:val="fontstyle01"/>
          <w:rFonts w:ascii="Arial" w:hAnsi="Arial" w:cs="Arial"/>
          <w:color w:val="000000" w:themeColor="text1"/>
          <w:sz w:val="20"/>
          <w:szCs w:val="22"/>
          <w:lang w:val="en-US"/>
        </w:rPr>
        <w:t>s</w:t>
      </w:r>
      <w:r w:rsidR="00CE2651" w:rsidRPr="00835B30">
        <w:rPr>
          <w:rStyle w:val="fontstyle01"/>
          <w:rFonts w:ascii="Arial" w:hAnsi="Arial" w:cs="Arial"/>
          <w:color w:val="000000" w:themeColor="text1"/>
          <w:sz w:val="20"/>
          <w:szCs w:val="22"/>
          <w:lang w:val="en-US"/>
        </w:rPr>
        <w:t xml:space="preserve"> and fruit powders of </w:t>
      </w:r>
      <w:proofErr w:type="spellStart"/>
      <w:r w:rsidR="00CE2651" w:rsidRPr="00835B30">
        <w:rPr>
          <w:rStyle w:val="fontstyle01"/>
          <w:rFonts w:ascii="Arial" w:hAnsi="Arial" w:cs="Arial"/>
          <w:i/>
          <w:color w:val="000000" w:themeColor="text1"/>
          <w:sz w:val="20"/>
          <w:szCs w:val="22"/>
          <w:lang w:val="en-US"/>
        </w:rPr>
        <w:t>Corchorus</w:t>
      </w:r>
      <w:proofErr w:type="spellEnd"/>
      <w:r w:rsidR="00CE2651" w:rsidRPr="00835B30">
        <w:rPr>
          <w:rStyle w:val="fontstyle01"/>
          <w:rFonts w:ascii="Arial" w:hAnsi="Arial" w:cs="Arial"/>
          <w:i/>
          <w:color w:val="000000" w:themeColor="text1"/>
          <w:sz w:val="20"/>
          <w:szCs w:val="22"/>
          <w:lang w:val="en-US"/>
        </w:rPr>
        <w:t xml:space="preserve"> </w:t>
      </w:r>
      <w:proofErr w:type="spellStart"/>
      <w:r w:rsidR="00CE2651" w:rsidRPr="00835B30">
        <w:rPr>
          <w:rStyle w:val="fontstyle01"/>
          <w:rFonts w:ascii="Arial" w:hAnsi="Arial" w:cs="Arial"/>
          <w:i/>
          <w:color w:val="000000" w:themeColor="text1"/>
          <w:sz w:val="20"/>
          <w:szCs w:val="22"/>
          <w:lang w:val="en-US"/>
        </w:rPr>
        <w:t>olitorius</w:t>
      </w:r>
      <w:proofErr w:type="spellEnd"/>
      <w:r w:rsidR="00CE2651" w:rsidRPr="00835B30">
        <w:rPr>
          <w:rStyle w:val="fontstyle01"/>
          <w:rFonts w:ascii="Arial" w:hAnsi="Arial" w:cs="Arial"/>
          <w:color w:val="000000" w:themeColor="text1"/>
          <w:sz w:val="20"/>
          <w:szCs w:val="22"/>
          <w:lang w:val="en-US"/>
        </w:rPr>
        <w:t xml:space="preserve"> and </w:t>
      </w:r>
      <w:proofErr w:type="spellStart"/>
      <w:r w:rsidR="00CE2651" w:rsidRPr="00835B30">
        <w:rPr>
          <w:rStyle w:val="fontstyle01"/>
          <w:rFonts w:ascii="Arial" w:hAnsi="Arial" w:cs="Arial"/>
          <w:i/>
          <w:color w:val="000000" w:themeColor="text1"/>
          <w:sz w:val="20"/>
          <w:szCs w:val="22"/>
          <w:lang w:val="en-US"/>
        </w:rPr>
        <w:t>Abelmoschus</w:t>
      </w:r>
      <w:proofErr w:type="spellEnd"/>
      <w:r w:rsidR="00CE2651" w:rsidRPr="00835B30">
        <w:rPr>
          <w:rStyle w:val="fontstyle01"/>
          <w:rFonts w:ascii="Arial" w:hAnsi="Arial" w:cs="Arial"/>
          <w:i/>
          <w:color w:val="000000" w:themeColor="text1"/>
          <w:sz w:val="20"/>
          <w:szCs w:val="22"/>
          <w:lang w:val="en-US"/>
        </w:rPr>
        <w:t xml:space="preserve"> </w:t>
      </w:r>
      <w:proofErr w:type="spellStart"/>
      <w:r w:rsidR="00CE2651" w:rsidRPr="00835B30">
        <w:rPr>
          <w:rStyle w:val="fontstyle01"/>
          <w:rFonts w:ascii="Arial" w:hAnsi="Arial" w:cs="Arial"/>
          <w:i/>
          <w:color w:val="000000" w:themeColor="text1"/>
          <w:sz w:val="20"/>
          <w:szCs w:val="22"/>
          <w:lang w:val="en-US"/>
        </w:rPr>
        <w:t>esculentus</w:t>
      </w:r>
      <w:proofErr w:type="spellEnd"/>
    </w:p>
    <w:tbl>
      <w:tblPr>
        <w:tblStyle w:val="Grilledutableau"/>
        <w:tblW w:w="9647" w:type="dxa"/>
        <w:tblLook w:val="04A0" w:firstRow="1" w:lastRow="0" w:firstColumn="1" w:lastColumn="0" w:noHBand="0" w:noVBand="1"/>
      </w:tblPr>
      <w:tblGrid>
        <w:gridCol w:w="2992"/>
        <w:gridCol w:w="1990"/>
        <w:gridCol w:w="1464"/>
        <w:gridCol w:w="1723"/>
        <w:gridCol w:w="1468"/>
        <w:gridCol w:w="10"/>
      </w:tblGrid>
      <w:tr w:rsidR="00175578" w:rsidRPr="005250A4" w14:paraId="3CC959D2" w14:textId="77777777" w:rsidTr="00F43035">
        <w:trPr>
          <w:trHeight w:val="425"/>
        </w:trPr>
        <w:tc>
          <w:tcPr>
            <w:tcW w:w="2992" w:type="dxa"/>
            <w:vMerge w:val="restart"/>
            <w:tcBorders>
              <w:left w:val="nil"/>
              <w:bottom w:val="nil"/>
              <w:right w:val="nil"/>
            </w:tcBorders>
            <w:vAlign w:val="center"/>
          </w:tcPr>
          <w:bookmarkEnd w:id="2"/>
          <w:p w14:paraId="78835EB2" w14:textId="77777777" w:rsidR="00E74B83" w:rsidRPr="005250A4" w:rsidRDefault="00EC6458" w:rsidP="00A779DF">
            <w:pPr>
              <w:rPr>
                <w:rFonts w:ascii="Arial" w:hAnsi="Arial" w:cs="Arial"/>
                <w:b/>
                <w:color w:val="000000" w:themeColor="text1"/>
                <w:sz w:val="16"/>
                <w:szCs w:val="12"/>
              </w:rPr>
            </w:pPr>
            <w:proofErr w:type="spellStart"/>
            <w:r w:rsidRPr="005250A4">
              <w:rPr>
                <w:rFonts w:ascii="Arial" w:hAnsi="Arial" w:cs="Arial"/>
                <w:b/>
                <w:color w:val="000000" w:themeColor="text1"/>
                <w:sz w:val="16"/>
                <w:szCs w:val="12"/>
              </w:rPr>
              <w:t>Nutrients</w:t>
            </w:r>
            <w:proofErr w:type="spellEnd"/>
          </w:p>
        </w:tc>
        <w:tc>
          <w:tcPr>
            <w:tcW w:w="3454" w:type="dxa"/>
            <w:gridSpan w:val="2"/>
            <w:tcBorders>
              <w:left w:val="nil"/>
              <w:bottom w:val="nil"/>
              <w:right w:val="nil"/>
            </w:tcBorders>
            <w:vAlign w:val="center"/>
          </w:tcPr>
          <w:p w14:paraId="62D4BB0A" w14:textId="77777777" w:rsidR="00E74B83" w:rsidRPr="005250A4" w:rsidRDefault="00A23FF2" w:rsidP="00A23FF2">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Corchorus</w:t>
            </w:r>
            <w:proofErr w:type="spellEnd"/>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olitorius</w:t>
            </w:r>
            <w:proofErr w:type="spellEnd"/>
            <w:r w:rsidRPr="005250A4">
              <w:rPr>
                <w:rFonts w:ascii="Arial" w:eastAsia="Calibri" w:hAnsi="Arial" w:cs="Arial"/>
                <w:color w:val="000000" w:themeColor="text1"/>
                <w:kern w:val="24"/>
                <w:sz w:val="16"/>
                <w:szCs w:val="12"/>
              </w:rPr>
              <w:t xml:space="preserve"> </w:t>
            </w:r>
          </w:p>
        </w:tc>
        <w:tc>
          <w:tcPr>
            <w:tcW w:w="3201" w:type="dxa"/>
            <w:gridSpan w:val="3"/>
            <w:tcBorders>
              <w:left w:val="nil"/>
              <w:bottom w:val="nil"/>
              <w:right w:val="nil"/>
            </w:tcBorders>
            <w:vAlign w:val="center"/>
          </w:tcPr>
          <w:p w14:paraId="16184986" w14:textId="77777777" w:rsidR="00E74B83" w:rsidRPr="005250A4" w:rsidRDefault="00A23FF2" w:rsidP="00A779DF">
            <w:pPr>
              <w:jc w:val="center"/>
              <w:rPr>
                <w:rFonts w:ascii="Arial" w:hAnsi="Arial" w:cs="Arial"/>
                <w:color w:val="000000" w:themeColor="text1"/>
                <w:sz w:val="16"/>
                <w:szCs w:val="12"/>
              </w:rPr>
            </w:pPr>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Abelmoschus</w:t>
            </w:r>
            <w:proofErr w:type="spellEnd"/>
            <w:r w:rsidRPr="005250A4">
              <w:rPr>
                <w:rFonts w:ascii="Arial" w:hAnsi="Arial" w:cs="Arial"/>
                <w:i/>
                <w:color w:val="000000" w:themeColor="text1"/>
                <w:sz w:val="16"/>
                <w:szCs w:val="12"/>
              </w:rPr>
              <w:t xml:space="preserve"> </w:t>
            </w:r>
            <w:proofErr w:type="spellStart"/>
            <w:r w:rsidRPr="005250A4">
              <w:rPr>
                <w:rFonts w:ascii="Arial" w:hAnsi="Arial" w:cs="Arial"/>
                <w:i/>
                <w:color w:val="000000" w:themeColor="text1"/>
                <w:sz w:val="16"/>
                <w:szCs w:val="12"/>
              </w:rPr>
              <w:t>esculentus</w:t>
            </w:r>
            <w:proofErr w:type="spellEnd"/>
          </w:p>
        </w:tc>
      </w:tr>
      <w:tr w:rsidR="00175578" w:rsidRPr="005250A4" w14:paraId="60A6EB41" w14:textId="77777777" w:rsidTr="0081225C">
        <w:trPr>
          <w:trHeight w:val="380"/>
        </w:trPr>
        <w:tc>
          <w:tcPr>
            <w:tcW w:w="2992" w:type="dxa"/>
            <w:vMerge/>
            <w:tcBorders>
              <w:top w:val="nil"/>
              <w:left w:val="nil"/>
              <w:bottom w:val="nil"/>
              <w:right w:val="nil"/>
            </w:tcBorders>
            <w:vAlign w:val="center"/>
          </w:tcPr>
          <w:p w14:paraId="1387935A" w14:textId="77777777" w:rsidR="00E74B83" w:rsidRPr="005250A4" w:rsidRDefault="00E74B83" w:rsidP="00A779DF">
            <w:pPr>
              <w:rPr>
                <w:rFonts w:ascii="Arial" w:hAnsi="Arial" w:cs="Arial"/>
                <w:color w:val="000000" w:themeColor="text1"/>
                <w:sz w:val="16"/>
                <w:szCs w:val="12"/>
              </w:rPr>
            </w:pPr>
          </w:p>
        </w:tc>
        <w:tc>
          <w:tcPr>
            <w:tcW w:w="1990" w:type="dxa"/>
            <w:tcBorders>
              <w:top w:val="nil"/>
              <w:left w:val="nil"/>
              <w:bottom w:val="nil"/>
              <w:right w:val="nil"/>
            </w:tcBorders>
            <w:vAlign w:val="center"/>
          </w:tcPr>
          <w:p w14:paraId="532C90CD" w14:textId="77777777" w:rsidR="00E74B83" w:rsidRPr="005250A4" w:rsidRDefault="00E74B83" w:rsidP="00A779DF">
            <w:pPr>
              <w:jc w:val="center"/>
              <w:rPr>
                <w:rFonts w:ascii="Arial" w:hAnsi="Arial" w:cs="Arial"/>
                <w:color w:val="000000" w:themeColor="text1"/>
                <w:sz w:val="16"/>
                <w:szCs w:val="12"/>
              </w:rPr>
            </w:pPr>
            <w:proofErr w:type="spellStart"/>
            <w:r w:rsidRPr="005250A4">
              <w:rPr>
                <w:rFonts w:ascii="Arial" w:hAnsi="Arial" w:cs="Arial"/>
                <w:color w:val="000000" w:themeColor="text1"/>
                <w:sz w:val="16"/>
                <w:szCs w:val="12"/>
              </w:rPr>
              <w:t>Leave</w:t>
            </w:r>
            <w:proofErr w:type="spellEnd"/>
          </w:p>
        </w:tc>
        <w:tc>
          <w:tcPr>
            <w:tcW w:w="1464" w:type="dxa"/>
            <w:tcBorders>
              <w:top w:val="nil"/>
              <w:left w:val="nil"/>
              <w:bottom w:val="nil"/>
              <w:right w:val="nil"/>
            </w:tcBorders>
            <w:vAlign w:val="center"/>
          </w:tcPr>
          <w:p w14:paraId="6FBBEFA5"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c>
          <w:tcPr>
            <w:tcW w:w="1723" w:type="dxa"/>
            <w:tcBorders>
              <w:top w:val="nil"/>
              <w:left w:val="nil"/>
              <w:bottom w:val="nil"/>
              <w:right w:val="nil"/>
            </w:tcBorders>
            <w:vAlign w:val="center"/>
          </w:tcPr>
          <w:p w14:paraId="17E591B8" w14:textId="77777777" w:rsidR="00E74B83" w:rsidRPr="005250A4" w:rsidRDefault="00E74B83" w:rsidP="00A779DF">
            <w:pPr>
              <w:jc w:val="center"/>
              <w:rPr>
                <w:rFonts w:ascii="Arial" w:hAnsi="Arial" w:cs="Arial"/>
                <w:color w:val="000000" w:themeColor="text1"/>
                <w:sz w:val="16"/>
                <w:szCs w:val="12"/>
              </w:rPr>
            </w:pPr>
            <w:proofErr w:type="spellStart"/>
            <w:r w:rsidRPr="005250A4">
              <w:rPr>
                <w:rFonts w:ascii="Arial" w:hAnsi="Arial" w:cs="Arial"/>
                <w:color w:val="000000" w:themeColor="text1"/>
                <w:sz w:val="16"/>
                <w:szCs w:val="12"/>
              </w:rPr>
              <w:t>Leave</w:t>
            </w:r>
            <w:proofErr w:type="spellEnd"/>
          </w:p>
        </w:tc>
        <w:tc>
          <w:tcPr>
            <w:tcW w:w="1478" w:type="dxa"/>
            <w:gridSpan w:val="2"/>
            <w:tcBorders>
              <w:top w:val="nil"/>
              <w:left w:val="nil"/>
              <w:bottom w:val="nil"/>
              <w:right w:val="nil"/>
            </w:tcBorders>
            <w:vAlign w:val="center"/>
          </w:tcPr>
          <w:p w14:paraId="5D13EE39" w14:textId="77777777" w:rsidR="00E74B83" w:rsidRPr="005250A4" w:rsidRDefault="00E74B83" w:rsidP="00A779DF">
            <w:pPr>
              <w:jc w:val="center"/>
              <w:rPr>
                <w:rFonts w:ascii="Arial" w:hAnsi="Arial" w:cs="Arial"/>
                <w:color w:val="000000" w:themeColor="text1"/>
                <w:sz w:val="16"/>
                <w:szCs w:val="12"/>
              </w:rPr>
            </w:pPr>
            <w:r w:rsidRPr="005250A4">
              <w:rPr>
                <w:rFonts w:ascii="Arial" w:hAnsi="Arial" w:cs="Arial"/>
                <w:color w:val="000000" w:themeColor="text1"/>
                <w:sz w:val="16"/>
                <w:szCs w:val="12"/>
              </w:rPr>
              <w:t>Fruit</w:t>
            </w:r>
          </w:p>
        </w:tc>
      </w:tr>
      <w:tr w:rsidR="00175578" w:rsidRPr="00885888" w14:paraId="41F9BE6A" w14:textId="77777777" w:rsidTr="00E34882">
        <w:trPr>
          <w:gridAfter w:val="1"/>
          <w:wAfter w:w="10" w:type="dxa"/>
          <w:trHeight w:val="418"/>
        </w:trPr>
        <w:tc>
          <w:tcPr>
            <w:tcW w:w="9637" w:type="dxa"/>
            <w:gridSpan w:val="5"/>
            <w:tcBorders>
              <w:top w:val="single" w:sz="4" w:space="0" w:color="auto"/>
              <w:left w:val="nil"/>
              <w:bottom w:val="single" w:sz="4" w:space="0" w:color="auto"/>
              <w:right w:val="nil"/>
            </w:tcBorders>
          </w:tcPr>
          <w:p w14:paraId="7E9C01B0" w14:textId="77777777" w:rsidR="00EF5701" w:rsidRPr="005250A4" w:rsidRDefault="007E4060" w:rsidP="00526E41">
            <w:pPr>
              <w:spacing w:before="240" w:line="360" w:lineRule="auto"/>
              <w:rPr>
                <w:rFonts w:ascii="Arial" w:hAnsi="Arial" w:cs="Arial"/>
                <w:b/>
                <w:color w:val="000000" w:themeColor="text1"/>
                <w:sz w:val="16"/>
                <w:szCs w:val="12"/>
                <w:lang w:val="en-US"/>
              </w:rPr>
            </w:pPr>
            <w:r w:rsidRPr="005250A4">
              <w:rPr>
                <w:rFonts w:ascii="Arial" w:hAnsi="Arial" w:cs="Arial"/>
                <w:b/>
                <w:color w:val="000000" w:themeColor="text1"/>
                <w:sz w:val="16"/>
                <w:szCs w:val="12"/>
                <w:lang w:val="en-US"/>
              </w:rPr>
              <w:t xml:space="preserve">Proximate </w:t>
            </w:r>
            <w:r w:rsidR="00653D48" w:rsidRPr="005250A4">
              <w:rPr>
                <w:rFonts w:ascii="Arial" w:hAnsi="Arial" w:cs="Arial"/>
                <w:b/>
                <w:color w:val="000000" w:themeColor="text1"/>
                <w:sz w:val="16"/>
                <w:szCs w:val="12"/>
                <w:lang w:val="en-US"/>
              </w:rPr>
              <w:t>composition (</w:t>
            </w:r>
            <w:r w:rsidR="00EF5701" w:rsidRPr="005250A4">
              <w:rPr>
                <w:rFonts w:ascii="Arial" w:hAnsi="Arial" w:cs="Arial"/>
                <w:b/>
                <w:color w:val="000000" w:themeColor="text1"/>
                <w:sz w:val="16"/>
                <w:szCs w:val="12"/>
                <w:lang w:val="en-US"/>
              </w:rPr>
              <w:t>g/100</w:t>
            </w:r>
            <w:r w:rsidR="00B64B12" w:rsidRPr="005250A4">
              <w:rPr>
                <w:rFonts w:ascii="Arial" w:hAnsi="Arial" w:cs="Arial"/>
                <w:b/>
                <w:color w:val="000000" w:themeColor="text1"/>
                <w:sz w:val="16"/>
                <w:szCs w:val="12"/>
                <w:lang w:val="en-US"/>
              </w:rPr>
              <w:t xml:space="preserve"> </w:t>
            </w:r>
            <w:r w:rsidR="00EF5701" w:rsidRPr="005250A4">
              <w:rPr>
                <w:rFonts w:ascii="Arial" w:hAnsi="Arial" w:cs="Arial"/>
                <w:b/>
                <w:color w:val="000000" w:themeColor="text1"/>
                <w:sz w:val="16"/>
                <w:szCs w:val="12"/>
                <w:lang w:val="en-US"/>
              </w:rPr>
              <w:t>g DM)</w:t>
            </w:r>
            <w:r w:rsidR="00FA4CF5" w:rsidRPr="005250A4">
              <w:rPr>
                <w:rFonts w:ascii="Arial" w:hAnsi="Arial" w:cs="Arial"/>
                <w:b/>
                <w:color w:val="000000" w:themeColor="text1"/>
                <w:sz w:val="16"/>
                <w:szCs w:val="12"/>
                <w:lang w:val="en-US"/>
              </w:rPr>
              <w:t xml:space="preserve"> and Energy </w:t>
            </w:r>
            <w:r w:rsidR="000F5664" w:rsidRPr="005250A4">
              <w:rPr>
                <w:rFonts w:ascii="Arial" w:hAnsi="Arial" w:cs="Arial"/>
                <w:b/>
                <w:color w:val="000000" w:themeColor="text1"/>
                <w:sz w:val="16"/>
                <w:szCs w:val="12"/>
                <w:lang w:val="en-US"/>
              </w:rPr>
              <w:t>(Kcal/100</w:t>
            </w:r>
            <w:r w:rsidR="00B64B12" w:rsidRPr="005250A4">
              <w:rPr>
                <w:rFonts w:ascii="Arial" w:hAnsi="Arial" w:cs="Arial"/>
                <w:b/>
                <w:color w:val="000000" w:themeColor="text1"/>
                <w:sz w:val="16"/>
                <w:szCs w:val="12"/>
                <w:lang w:val="en-US"/>
              </w:rPr>
              <w:t xml:space="preserve"> </w:t>
            </w:r>
            <w:r w:rsidR="000F5664" w:rsidRPr="005250A4">
              <w:rPr>
                <w:rFonts w:ascii="Arial" w:hAnsi="Arial" w:cs="Arial"/>
                <w:b/>
                <w:color w:val="000000" w:themeColor="text1"/>
                <w:sz w:val="16"/>
                <w:szCs w:val="12"/>
                <w:lang w:val="en-US"/>
              </w:rPr>
              <w:t>g DM)</w:t>
            </w:r>
          </w:p>
        </w:tc>
      </w:tr>
      <w:tr w:rsidR="00175578" w:rsidRPr="005250A4" w14:paraId="26F88377" w14:textId="77777777" w:rsidTr="008F1E5E">
        <w:trPr>
          <w:trHeight w:val="116"/>
        </w:trPr>
        <w:tc>
          <w:tcPr>
            <w:tcW w:w="2992" w:type="dxa"/>
            <w:tcBorders>
              <w:top w:val="nil"/>
              <w:left w:val="nil"/>
              <w:bottom w:val="nil"/>
              <w:right w:val="nil"/>
            </w:tcBorders>
            <w:vAlign w:val="center"/>
          </w:tcPr>
          <w:p w14:paraId="250ABD8E" w14:textId="77777777" w:rsidR="0081225C" w:rsidRPr="005250A4" w:rsidRDefault="0081225C" w:rsidP="00474B85">
            <w:pPr>
              <w:spacing w:before="240"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Moisture</w:t>
            </w:r>
            <w:proofErr w:type="spellEnd"/>
            <w:r w:rsidRPr="005250A4">
              <w:rPr>
                <w:rFonts w:ascii="Arial" w:hAnsi="Arial" w:cs="Arial"/>
                <w:color w:val="000000" w:themeColor="text1"/>
                <w:sz w:val="16"/>
                <w:szCs w:val="12"/>
              </w:rPr>
              <w:t xml:space="preserve"> content </w:t>
            </w:r>
          </w:p>
        </w:tc>
        <w:tc>
          <w:tcPr>
            <w:tcW w:w="1990" w:type="dxa"/>
            <w:tcBorders>
              <w:top w:val="nil"/>
              <w:left w:val="nil"/>
              <w:bottom w:val="nil"/>
              <w:right w:val="nil"/>
            </w:tcBorders>
            <w:vAlign w:val="center"/>
          </w:tcPr>
          <w:p w14:paraId="2816AA48"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5.36 ±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88F60C1"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8.53 ± 0.04</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F7F825C"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9.08 ± 0.03</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59B8F0BE" w14:textId="77777777" w:rsidR="0081225C" w:rsidRPr="005250A4" w:rsidRDefault="0081225C" w:rsidP="00474B85">
            <w:pPr>
              <w:spacing w:before="240"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12.45 ± 0.18</w:t>
            </w:r>
            <w:r w:rsidRPr="005250A4">
              <w:rPr>
                <w:rFonts w:ascii="Arial" w:hAnsi="Arial" w:cs="Arial"/>
                <w:color w:val="000000" w:themeColor="text1"/>
                <w:sz w:val="16"/>
                <w:szCs w:val="12"/>
                <w:vertAlign w:val="superscript"/>
              </w:rPr>
              <w:t>d</w:t>
            </w:r>
          </w:p>
        </w:tc>
      </w:tr>
      <w:tr w:rsidR="00175578" w:rsidRPr="005250A4" w14:paraId="55E26110" w14:textId="77777777" w:rsidTr="0081225C">
        <w:trPr>
          <w:trHeight w:val="116"/>
        </w:trPr>
        <w:tc>
          <w:tcPr>
            <w:tcW w:w="2992" w:type="dxa"/>
            <w:tcBorders>
              <w:top w:val="nil"/>
              <w:left w:val="nil"/>
              <w:bottom w:val="nil"/>
              <w:right w:val="nil"/>
            </w:tcBorders>
          </w:tcPr>
          <w:p w14:paraId="26D828ED"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protein</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4DA6C485"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20.63 ± 0.10</w:t>
            </w:r>
            <w:r w:rsidRPr="005250A4">
              <w:rPr>
                <w:rFonts w:ascii="Arial" w:hAnsi="Arial" w:cs="Arial"/>
                <w:color w:val="000000" w:themeColor="text1"/>
                <w:sz w:val="16"/>
                <w:szCs w:val="12"/>
                <w:vertAlign w:val="superscript"/>
              </w:rPr>
              <w:t>d</w:t>
            </w:r>
          </w:p>
        </w:tc>
        <w:tc>
          <w:tcPr>
            <w:tcW w:w="1464" w:type="dxa"/>
            <w:tcBorders>
              <w:top w:val="nil"/>
              <w:left w:val="nil"/>
              <w:bottom w:val="nil"/>
              <w:right w:val="nil"/>
            </w:tcBorders>
            <w:vAlign w:val="center"/>
          </w:tcPr>
          <w:p w14:paraId="11CDF38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10.42 ± 0.20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2504CB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18.87 ± 0.10</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43EF7ED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15.52 ± 0.30</w:t>
            </w:r>
            <w:r w:rsidRPr="005250A4">
              <w:rPr>
                <w:rFonts w:ascii="Arial" w:hAnsi="Arial" w:cs="Arial"/>
                <w:color w:val="000000" w:themeColor="text1"/>
                <w:sz w:val="16"/>
                <w:szCs w:val="12"/>
                <w:vertAlign w:val="superscript"/>
              </w:rPr>
              <w:t>b</w:t>
            </w:r>
          </w:p>
        </w:tc>
      </w:tr>
      <w:tr w:rsidR="00175578" w:rsidRPr="005250A4" w14:paraId="6D655988" w14:textId="77777777" w:rsidTr="0081225C">
        <w:trPr>
          <w:trHeight w:val="116"/>
        </w:trPr>
        <w:tc>
          <w:tcPr>
            <w:tcW w:w="2992" w:type="dxa"/>
            <w:tcBorders>
              <w:top w:val="nil"/>
              <w:left w:val="nil"/>
              <w:bottom w:val="nil"/>
              <w:right w:val="nil"/>
            </w:tcBorders>
          </w:tcPr>
          <w:p w14:paraId="68B283EB"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Available</w:t>
            </w:r>
            <w:proofErr w:type="spellEnd"/>
            <w:r w:rsidRPr="005250A4">
              <w:rPr>
                <w:rFonts w:ascii="Arial" w:hAnsi="Arial" w:cs="Arial"/>
                <w:color w:val="000000" w:themeColor="text1"/>
                <w:sz w:val="16"/>
                <w:szCs w:val="12"/>
              </w:rPr>
              <w:t xml:space="preserve"> carbohydrate </w:t>
            </w:r>
          </w:p>
        </w:tc>
        <w:tc>
          <w:tcPr>
            <w:tcW w:w="1990" w:type="dxa"/>
            <w:tcBorders>
              <w:top w:val="nil"/>
              <w:left w:val="nil"/>
              <w:bottom w:val="nil"/>
              <w:right w:val="nil"/>
            </w:tcBorders>
            <w:vAlign w:val="center"/>
          </w:tcPr>
          <w:p w14:paraId="237BB7CC"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31.11 ± 0.16</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5C46D66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56.71 ± 0.40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249B8688"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43.75 ± 0.30</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7D84DED4"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57.35 ± 0.80</w:t>
            </w:r>
            <w:r w:rsidRPr="005250A4">
              <w:rPr>
                <w:rFonts w:ascii="Arial" w:hAnsi="Arial" w:cs="Arial"/>
                <w:color w:val="000000" w:themeColor="text1"/>
                <w:sz w:val="16"/>
                <w:szCs w:val="12"/>
                <w:vertAlign w:val="superscript"/>
                <w:lang w:val="en-US"/>
              </w:rPr>
              <w:t>c</w:t>
            </w:r>
          </w:p>
        </w:tc>
      </w:tr>
      <w:tr w:rsidR="00175578" w:rsidRPr="005250A4" w14:paraId="6DD5F689" w14:textId="77777777" w:rsidTr="0081225C">
        <w:trPr>
          <w:trHeight w:val="116"/>
        </w:trPr>
        <w:tc>
          <w:tcPr>
            <w:tcW w:w="2992" w:type="dxa"/>
            <w:tcBorders>
              <w:top w:val="nil"/>
              <w:left w:val="nil"/>
              <w:bottom w:val="nil"/>
              <w:right w:val="nil"/>
            </w:tcBorders>
          </w:tcPr>
          <w:p w14:paraId="6428B39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lipid</w:t>
            </w:r>
            <w:proofErr w:type="spellEnd"/>
          </w:p>
        </w:tc>
        <w:tc>
          <w:tcPr>
            <w:tcW w:w="1990" w:type="dxa"/>
            <w:tcBorders>
              <w:top w:val="nil"/>
              <w:left w:val="nil"/>
              <w:bottom w:val="nil"/>
              <w:right w:val="nil"/>
            </w:tcBorders>
            <w:vAlign w:val="center"/>
          </w:tcPr>
          <w:p w14:paraId="087F559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5.29 ± 0.01</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18036D9B"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1.81 ± 0.01</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08E6D"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7.64 ± 0.03</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B4D181"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2.70 ± 0.01</w:t>
            </w:r>
            <w:r w:rsidRPr="005250A4">
              <w:rPr>
                <w:rFonts w:ascii="Arial" w:hAnsi="Arial" w:cs="Arial"/>
                <w:color w:val="000000" w:themeColor="text1"/>
                <w:sz w:val="16"/>
                <w:szCs w:val="12"/>
                <w:vertAlign w:val="superscript"/>
                <w:lang w:val="en-US"/>
              </w:rPr>
              <w:t>b</w:t>
            </w:r>
          </w:p>
        </w:tc>
      </w:tr>
      <w:tr w:rsidR="00175578" w:rsidRPr="005250A4" w14:paraId="3210CE04" w14:textId="77777777" w:rsidTr="0081225C">
        <w:trPr>
          <w:trHeight w:val="116"/>
        </w:trPr>
        <w:tc>
          <w:tcPr>
            <w:tcW w:w="2992" w:type="dxa"/>
            <w:tcBorders>
              <w:top w:val="nil"/>
              <w:left w:val="nil"/>
              <w:bottom w:val="nil"/>
              <w:right w:val="nil"/>
            </w:tcBorders>
          </w:tcPr>
          <w:p w14:paraId="445FDA36"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 xml:space="preserve">Total </w:t>
            </w:r>
            <w:proofErr w:type="spellStart"/>
            <w:r w:rsidRPr="005250A4">
              <w:rPr>
                <w:rFonts w:ascii="Arial" w:hAnsi="Arial" w:cs="Arial"/>
                <w:color w:val="000000" w:themeColor="text1"/>
                <w:sz w:val="16"/>
                <w:szCs w:val="12"/>
              </w:rPr>
              <w:t>ash</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2C431E8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9.38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25F659B7"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12.95 ± 0.10</w:t>
            </w:r>
            <w:r w:rsidRPr="005250A4">
              <w:rPr>
                <w:rFonts w:ascii="Arial" w:hAnsi="Arial" w:cs="Arial"/>
                <w:color w:val="000000" w:themeColor="text1"/>
                <w:sz w:val="16"/>
                <w:szCs w:val="12"/>
                <w:vertAlign w:val="superscript"/>
              </w:rPr>
              <w:t>c</w:t>
            </w:r>
          </w:p>
        </w:tc>
        <w:tc>
          <w:tcPr>
            <w:tcW w:w="1723" w:type="dxa"/>
            <w:tcBorders>
              <w:top w:val="nil"/>
              <w:left w:val="nil"/>
              <w:bottom w:val="nil"/>
              <w:right w:val="nil"/>
            </w:tcBorders>
            <w:vAlign w:val="center"/>
          </w:tcPr>
          <w:p w14:paraId="76DC77F3"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15.22 ± 0.10</w:t>
            </w:r>
            <w:r w:rsidRPr="005250A4">
              <w:rPr>
                <w:rFonts w:ascii="Arial" w:hAnsi="Arial" w:cs="Arial"/>
                <w:color w:val="000000" w:themeColor="text1"/>
                <w:sz w:val="16"/>
                <w:szCs w:val="12"/>
                <w:vertAlign w:val="superscript"/>
                <w:lang w:val="en-US"/>
              </w:rPr>
              <w:t>d</w:t>
            </w:r>
          </w:p>
        </w:tc>
        <w:tc>
          <w:tcPr>
            <w:tcW w:w="1478" w:type="dxa"/>
            <w:gridSpan w:val="2"/>
            <w:tcBorders>
              <w:top w:val="nil"/>
              <w:left w:val="nil"/>
              <w:bottom w:val="nil"/>
              <w:right w:val="nil"/>
            </w:tcBorders>
            <w:vAlign w:val="center"/>
          </w:tcPr>
          <w:p w14:paraId="02F2A782"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7.61 ± 0.10</w:t>
            </w:r>
            <w:r w:rsidRPr="005250A4">
              <w:rPr>
                <w:rFonts w:ascii="Arial" w:hAnsi="Arial" w:cs="Arial"/>
                <w:color w:val="000000" w:themeColor="text1"/>
                <w:sz w:val="16"/>
                <w:szCs w:val="12"/>
                <w:vertAlign w:val="superscript"/>
                <w:lang w:val="en-US"/>
              </w:rPr>
              <w:t>a</w:t>
            </w:r>
          </w:p>
        </w:tc>
      </w:tr>
      <w:tr w:rsidR="00175578" w:rsidRPr="005250A4" w14:paraId="3D1BB916" w14:textId="77777777" w:rsidTr="0081225C">
        <w:trPr>
          <w:trHeight w:val="116"/>
        </w:trPr>
        <w:tc>
          <w:tcPr>
            <w:tcW w:w="2992" w:type="dxa"/>
            <w:tcBorders>
              <w:top w:val="nil"/>
              <w:left w:val="nil"/>
              <w:bottom w:val="nil"/>
              <w:right w:val="nil"/>
            </w:tcBorders>
          </w:tcPr>
          <w:p w14:paraId="49BC343D" w14:textId="77777777" w:rsidR="0081225C" w:rsidRPr="005250A4" w:rsidRDefault="0081225C" w:rsidP="0081225C">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Crude</w:t>
            </w:r>
            <w:proofErr w:type="spellEnd"/>
            <w:r w:rsidRPr="005250A4">
              <w:rPr>
                <w:rFonts w:ascii="Arial" w:hAnsi="Arial" w:cs="Arial"/>
                <w:color w:val="000000" w:themeColor="text1"/>
                <w:sz w:val="16"/>
                <w:szCs w:val="12"/>
              </w:rPr>
              <w:t xml:space="preserve"> </w:t>
            </w:r>
            <w:proofErr w:type="spellStart"/>
            <w:r w:rsidRPr="005250A4">
              <w:rPr>
                <w:rFonts w:ascii="Arial" w:hAnsi="Arial" w:cs="Arial"/>
                <w:color w:val="000000" w:themeColor="text1"/>
                <w:sz w:val="16"/>
                <w:szCs w:val="12"/>
              </w:rPr>
              <w:t>fib</w:t>
            </w:r>
            <w:r w:rsidR="00B64B12" w:rsidRPr="005250A4">
              <w:rPr>
                <w:rFonts w:ascii="Arial" w:hAnsi="Arial" w:cs="Arial"/>
                <w:color w:val="000000" w:themeColor="text1"/>
                <w:sz w:val="16"/>
                <w:szCs w:val="12"/>
              </w:rPr>
              <w:t>er</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542CEF43"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9.52 ± 0.20</w:t>
            </w:r>
            <w:r w:rsidRPr="005250A4">
              <w:rPr>
                <w:rFonts w:ascii="Arial" w:hAnsi="Arial" w:cs="Arial"/>
                <w:color w:val="000000" w:themeColor="text1"/>
                <w:sz w:val="16"/>
                <w:szCs w:val="12"/>
                <w:vertAlign w:val="superscript"/>
              </w:rPr>
              <w:t>b</w:t>
            </w:r>
          </w:p>
        </w:tc>
        <w:tc>
          <w:tcPr>
            <w:tcW w:w="1464" w:type="dxa"/>
            <w:tcBorders>
              <w:top w:val="nil"/>
              <w:left w:val="nil"/>
              <w:bottom w:val="nil"/>
              <w:right w:val="nil"/>
            </w:tcBorders>
            <w:vAlign w:val="center"/>
          </w:tcPr>
          <w:p w14:paraId="5AE3B4C8"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13.04 ± 0.30</w:t>
            </w:r>
            <w:r w:rsidRPr="005250A4">
              <w:rPr>
                <w:rFonts w:ascii="Arial" w:hAnsi="Arial" w:cs="Arial"/>
                <w:color w:val="000000" w:themeColor="text1"/>
                <w:sz w:val="16"/>
                <w:szCs w:val="12"/>
                <w:vertAlign w:val="superscript"/>
              </w:rPr>
              <w:t>d</w:t>
            </w:r>
          </w:p>
        </w:tc>
        <w:tc>
          <w:tcPr>
            <w:tcW w:w="1723" w:type="dxa"/>
            <w:tcBorders>
              <w:top w:val="nil"/>
              <w:left w:val="nil"/>
              <w:bottom w:val="nil"/>
              <w:right w:val="nil"/>
            </w:tcBorders>
            <w:vAlign w:val="center"/>
          </w:tcPr>
          <w:p w14:paraId="6C9B3585"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10.34 ± 0.20</w:t>
            </w:r>
            <w:r w:rsidRPr="005250A4">
              <w:rPr>
                <w:rFonts w:ascii="Arial" w:hAnsi="Arial" w:cs="Arial"/>
                <w:color w:val="000000" w:themeColor="text1"/>
                <w:sz w:val="16"/>
                <w:szCs w:val="12"/>
                <w:vertAlign w:val="superscript"/>
                <w:lang w:val="en-US"/>
              </w:rPr>
              <w:t>c</w:t>
            </w:r>
          </w:p>
        </w:tc>
        <w:tc>
          <w:tcPr>
            <w:tcW w:w="1478" w:type="dxa"/>
            <w:gridSpan w:val="2"/>
            <w:tcBorders>
              <w:top w:val="nil"/>
              <w:left w:val="nil"/>
              <w:bottom w:val="nil"/>
              <w:right w:val="nil"/>
            </w:tcBorders>
            <w:vAlign w:val="center"/>
          </w:tcPr>
          <w:p w14:paraId="1961197E" w14:textId="77777777" w:rsidR="0081225C" w:rsidRPr="005250A4" w:rsidRDefault="0081225C" w:rsidP="0081225C">
            <w:pPr>
              <w:spacing w:line="480" w:lineRule="auto"/>
              <w:jc w:val="center"/>
              <w:rPr>
                <w:rFonts w:ascii="Arial" w:hAnsi="Arial" w:cs="Arial"/>
                <w:color w:val="000000" w:themeColor="text1"/>
                <w:sz w:val="16"/>
                <w:szCs w:val="12"/>
                <w:vertAlign w:val="superscript"/>
                <w:lang w:val="en-US"/>
              </w:rPr>
            </w:pPr>
            <w:r w:rsidRPr="005250A4">
              <w:rPr>
                <w:rFonts w:ascii="Arial" w:hAnsi="Arial" w:cs="Arial"/>
                <w:color w:val="000000" w:themeColor="text1"/>
                <w:sz w:val="16"/>
                <w:szCs w:val="12"/>
                <w:lang w:val="en-US"/>
              </w:rPr>
              <w:t>7.26 ± 0.20</w:t>
            </w:r>
            <w:r w:rsidRPr="005250A4">
              <w:rPr>
                <w:rFonts w:ascii="Arial" w:hAnsi="Arial" w:cs="Arial"/>
                <w:color w:val="000000" w:themeColor="text1"/>
                <w:sz w:val="16"/>
                <w:szCs w:val="12"/>
                <w:vertAlign w:val="superscript"/>
                <w:lang w:val="en-US"/>
              </w:rPr>
              <w:t>a</w:t>
            </w:r>
          </w:p>
        </w:tc>
      </w:tr>
      <w:tr w:rsidR="00175578" w:rsidRPr="005250A4" w14:paraId="46739748" w14:textId="77777777" w:rsidTr="0081225C">
        <w:trPr>
          <w:trHeight w:val="120"/>
        </w:trPr>
        <w:tc>
          <w:tcPr>
            <w:tcW w:w="2992" w:type="dxa"/>
            <w:tcBorders>
              <w:top w:val="nil"/>
              <w:left w:val="nil"/>
              <w:bottom w:val="nil"/>
              <w:right w:val="nil"/>
            </w:tcBorders>
            <w:vAlign w:val="center"/>
          </w:tcPr>
          <w:p w14:paraId="6B985150" w14:textId="77777777" w:rsidR="0081225C" w:rsidRPr="005250A4" w:rsidRDefault="000F5664" w:rsidP="000F5664">
            <w:pPr>
              <w:spacing w:line="48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Energy</w:t>
            </w:r>
            <w:proofErr w:type="spellEnd"/>
            <w:r w:rsidRPr="005250A4">
              <w:rPr>
                <w:rFonts w:ascii="Arial" w:hAnsi="Arial" w:cs="Arial"/>
                <w:color w:val="000000" w:themeColor="text1"/>
                <w:sz w:val="16"/>
                <w:szCs w:val="12"/>
              </w:rPr>
              <w:t xml:space="preserve"> </w:t>
            </w:r>
          </w:p>
        </w:tc>
        <w:tc>
          <w:tcPr>
            <w:tcW w:w="1990" w:type="dxa"/>
            <w:tcBorders>
              <w:top w:val="nil"/>
              <w:left w:val="nil"/>
              <w:bottom w:val="nil"/>
              <w:right w:val="nil"/>
            </w:tcBorders>
            <w:vAlign w:val="center"/>
          </w:tcPr>
          <w:p w14:paraId="4D745F7A"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254.57 ± 1.13</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47F9714"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284.81 ± 2.49</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2DD37FE2"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319.24 ± 1.87</w:t>
            </w:r>
            <w:r w:rsidRPr="005250A4">
              <w:rPr>
                <w:rFonts w:ascii="Arial" w:hAnsi="Arial" w:cs="Arial"/>
                <w:color w:val="000000" w:themeColor="text1"/>
                <w:sz w:val="16"/>
                <w:szCs w:val="12"/>
                <w:vertAlign w:val="superscript"/>
              </w:rPr>
              <w:t>c</w:t>
            </w:r>
          </w:p>
        </w:tc>
        <w:tc>
          <w:tcPr>
            <w:tcW w:w="1478" w:type="dxa"/>
            <w:gridSpan w:val="2"/>
            <w:tcBorders>
              <w:top w:val="nil"/>
              <w:left w:val="nil"/>
              <w:bottom w:val="nil"/>
              <w:right w:val="nil"/>
            </w:tcBorders>
            <w:vAlign w:val="center"/>
          </w:tcPr>
          <w:p w14:paraId="25DDBB9F" w14:textId="77777777" w:rsidR="0081225C" w:rsidRPr="005250A4" w:rsidRDefault="0081225C" w:rsidP="0081225C">
            <w:pPr>
              <w:spacing w:line="480" w:lineRule="auto"/>
              <w:jc w:val="center"/>
              <w:rPr>
                <w:rFonts w:ascii="Arial" w:hAnsi="Arial" w:cs="Arial"/>
                <w:color w:val="000000" w:themeColor="text1"/>
                <w:sz w:val="16"/>
                <w:szCs w:val="12"/>
                <w:vertAlign w:val="superscript"/>
              </w:rPr>
            </w:pPr>
            <w:r w:rsidRPr="005250A4">
              <w:rPr>
                <w:rFonts w:ascii="Arial" w:hAnsi="Arial" w:cs="Arial"/>
                <w:color w:val="000000" w:themeColor="text1"/>
                <w:sz w:val="16"/>
                <w:szCs w:val="12"/>
              </w:rPr>
              <w:t>315.78 ± 4.49</w:t>
            </w:r>
            <w:r w:rsidRPr="005250A4">
              <w:rPr>
                <w:rFonts w:ascii="Arial" w:hAnsi="Arial" w:cs="Arial"/>
                <w:color w:val="000000" w:themeColor="text1"/>
                <w:sz w:val="16"/>
                <w:szCs w:val="12"/>
                <w:vertAlign w:val="superscript"/>
              </w:rPr>
              <w:t>c</w:t>
            </w:r>
          </w:p>
        </w:tc>
      </w:tr>
      <w:tr w:rsidR="00175578" w:rsidRPr="005250A4" w14:paraId="4496D58D" w14:textId="77777777" w:rsidTr="002D4622">
        <w:trPr>
          <w:trHeight w:val="218"/>
        </w:trPr>
        <w:tc>
          <w:tcPr>
            <w:tcW w:w="9647" w:type="dxa"/>
            <w:gridSpan w:val="6"/>
            <w:tcBorders>
              <w:top w:val="nil"/>
              <w:left w:val="nil"/>
              <w:bottom w:val="single" w:sz="4" w:space="0" w:color="auto"/>
              <w:right w:val="nil"/>
            </w:tcBorders>
            <w:vAlign w:val="bottom"/>
          </w:tcPr>
          <w:p w14:paraId="5B7F7ACC" w14:textId="77777777" w:rsidR="0081225C" w:rsidRPr="005250A4" w:rsidRDefault="0081225C" w:rsidP="0081225C">
            <w:pPr>
              <w:spacing w:line="360" w:lineRule="auto"/>
              <w:rPr>
                <w:rFonts w:ascii="Arial" w:eastAsia="Times New Roman" w:hAnsi="Arial" w:cs="Arial"/>
                <w:color w:val="000000" w:themeColor="text1"/>
                <w:sz w:val="16"/>
                <w:szCs w:val="12"/>
                <w:lang w:eastAsia="fr-FR"/>
              </w:rPr>
            </w:pPr>
            <w:proofErr w:type="spellStart"/>
            <w:r w:rsidRPr="005250A4">
              <w:rPr>
                <w:rFonts w:ascii="Arial" w:hAnsi="Arial" w:cs="Arial"/>
                <w:b/>
                <w:color w:val="000000" w:themeColor="text1"/>
                <w:sz w:val="16"/>
                <w:szCs w:val="12"/>
              </w:rPr>
              <w:t>Mineral</w:t>
            </w:r>
            <w:proofErr w:type="spellEnd"/>
            <w:r w:rsidRPr="005250A4">
              <w:rPr>
                <w:rFonts w:ascii="Arial" w:hAnsi="Arial" w:cs="Arial"/>
                <w:b/>
                <w:color w:val="000000" w:themeColor="text1"/>
                <w:sz w:val="16"/>
                <w:szCs w:val="12"/>
              </w:rPr>
              <w:t xml:space="preserve"> content (mg/100</w:t>
            </w:r>
            <w:r w:rsidR="00B64B12" w:rsidRPr="005250A4">
              <w:rPr>
                <w:rFonts w:ascii="Arial" w:hAnsi="Arial" w:cs="Arial"/>
                <w:b/>
                <w:color w:val="000000" w:themeColor="text1"/>
                <w:sz w:val="16"/>
                <w:szCs w:val="12"/>
              </w:rPr>
              <w:t xml:space="preserve"> </w:t>
            </w:r>
            <w:r w:rsidRPr="005250A4">
              <w:rPr>
                <w:rFonts w:ascii="Arial" w:hAnsi="Arial" w:cs="Arial"/>
                <w:b/>
                <w:color w:val="000000" w:themeColor="text1"/>
                <w:sz w:val="16"/>
                <w:szCs w:val="12"/>
              </w:rPr>
              <w:t>g DM)</w:t>
            </w:r>
          </w:p>
        </w:tc>
      </w:tr>
      <w:tr w:rsidR="00175578" w:rsidRPr="005250A4" w14:paraId="1EAE3573" w14:textId="77777777" w:rsidTr="0081225C">
        <w:trPr>
          <w:trHeight w:val="116"/>
        </w:trPr>
        <w:tc>
          <w:tcPr>
            <w:tcW w:w="2992" w:type="dxa"/>
            <w:tcBorders>
              <w:top w:val="single" w:sz="4" w:space="0" w:color="auto"/>
              <w:left w:val="nil"/>
              <w:bottom w:val="nil"/>
              <w:right w:val="nil"/>
            </w:tcBorders>
          </w:tcPr>
          <w:p w14:paraId="698B5C36" w14:textId="77777777" w:rsidR="0081225C" w:rsidRPr="005250A4" w:rsidRDefault="0081225C" w:rsidP="00474B85">
            <w:pPr>
              <w:spacing w:before="240" w:line="360" w:lineRule="auto"/>
              <w:rPr>
                <w:rFonts w:ascii="Arial" w:hAnsi="Arial" w:cs="Arial"/>
                <w:color w:val="000000" w:themeColor="text1"/>
                <w:sz w:val="16"/>
                <w:szCs w:val="12"/>
              </w:rPr>
            </w:pPr>
            <w:proofErr w:type="spellStart"/>
            <w:r w:rsidRPr="005250A4">
              <w:rPr>
                <w:rFonts w:ascii="Arial" w:hAnsi="Arial" w:cs="Arial"/>
                <w:color w:val="000000" w:themeColor="text1"/>
                <w:sz w:val="16"/>
                <w:szCs w:val="12"/>
              </w:rPr>
              <w:t>Iron</w:t>
            </w:r>
            <w:proofErr w:type="spellEnd"/>
            <w:r w:rsidRPr="005250A4">
              <w:rPr>
                <w:rFonts w:ascii="Arial" w:hAnsi="Arial" w:cs="Arial"/>
                <w:color w:val="000000" w:themeColor="text1"/>
                <w:sz w:val="16"/>
                <w:szCs w:val="12"/>
              </w:rPr>
              <w:t xml:space="preserve"> (Fe)</w:t>
            </w:r>
          </w:p>
        </w:tc>
        <w:tc>
          <w:tcPr>
            <w:tcW w:w="1990" w:type="dxa"/>
            <w:tcBorders>
              <w:top w:val="single" w:sz="4" w:space="0" w:color="auto"/>
              <w:left w:val="nil"/>
              <w:bottom w:val="nil"/>
              <w:right w:val="nil"/>
            </w:tcBorders>
            <w:vAlign w:val="center"/>
          </w:tcPr>
          <w:p w14:paraId="225D633A"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single" w:sz="4" w:space="0" w:color="auto"/>
              <w:left w:val="nil"/>
              <w:bottom w:val="nil"/>
              <w:right w:val="nil"/>
            </w:tcBorders>
            <w:vAlign w:val="center"/>
          </w:tcPr>
          <w:p w14:paraId="73B47937"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723" w:type="dxa"/>
            <w:tcBorders>
              <w:top w:val="single" w:sz="4" w:space="0" w:color="auto"/>
              <w:left w:val="nil"/>
              <w:bottom w:val="nil"/>
              <w:right w:val="nil"/>
            </w:tcBorders>
            <w:vAlign w:val="center"/>
          </w:tcPr>
          <w:p w14:paraId="6D9B2851"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0.96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single" w:sz="4" w:space="0" w:color="auto"/>
              <w:left w:val="nil"/>
              <w:bottom w:val="nil"/>
              <w:right w:val="nil"/>
            </w:tcBorders>
            <w:vAlign w:val="center"/>
          </w:tcPr>
          <w:p w14:paraId="746696A5" w14:textId="77777777" w:rsidR="0081225C" w:rsidRPr="005250A4" w:rsidRDefault="0081225C" w:rsidP="00474B85">
            <w:pPr>
              <w:spacing w:before="240"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1.29 </w:t>
            </w:r>
            <w:bookmarkStart w:id="12" w:name="_Hlk195112385"/>
            <w:r w:rsidRPr="005250A4">
              <w:rPr>
                <w:rFonts w:ascii="Arial" w:hAnsi="Arial" w:cs="Arial"/>
                <w:color w:val="000000" w:themeColor="text1"/>
                <w:sz w:val="16"/>
                <w:szCs w:val="12"/>
              </w:rPr>
              <w:t>± 0.01</w:t>
            </w:r>
            <w:bookmarkEnd w:id="12"/>
            <w:r w:rsidRPr="005250A4">
              <w:rPr>
                <w:rFonts w:ascii="Arial" w:hAnsi="Arial" w:cs="Arial"/>
                <w:color w:val="000000" w:themeColor="text1"/>
                <w:sz w:val="16"/>
                <w:szCs w:val="12"/>
                <w:vertAlign w:val="superscript"/>
              </w:rPr>
              <w:t>b</w:t>
            </w:r>
          </w:p>
        </w:tc>
      </w:tr>
      <w:tr w:rsidR="00175578" w:rsidRPr="005250A4" w14:paraId="5928D134" w14:textId="77777777" w:rsidTr="0081225C">
        <w:trPr>
          <w:trHeight w:val="128"/>
        </w:trPr>
        <w:tc>
          <w:tcPr>
            <w:tcW w:w="2992" w:type="dxa"/>
            <w:tcBorders>
              <w:top w:val="nil"/>
              <w:left w:val="nil"/>
              <w:bottom w:val="nil"/>
              <w:right w:val="nil"/>
            </w:tcBorders>
          </w:tcPr>
          <w:p w14:paraId="1C4539D9"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Zinc (Zn)</w:t>
            </w:r>
          </w:p>
        </w:tc>
        <w:tc>
          <w:tcPr>
            <w:tcW w:w="1990" w:type="dxa"/>
            <w:tcBorders>
              <w:top w:val="nil"/>
              <w:left w:val="nil"/>
              <w:bottom w:val="nil"/>
              <w:right w:val="nil"/>
            </w:tcBorders>
            <w:vAlign w:val="center"/>
          </w:tcPr>
          <w:p w14:paraId="26C8EEB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64" w:type="dxa"/>
            <w:tcBorders>
              <w:top w:val="nil"/>
              <w:left w:val="nil"/>
              <w:bottom w:val="nil"/>
              <w:right w:val="nil"/>
            </w:tcBorders>
            <w:vAlign w:val="center"/>
          </w:tcPr>
          <w:p w14:paraId="057B5EE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723" w:type="dxa"/>
            <w:tcBorders>
              <w:top w:val="nil"/>
              <w:left w:val="nil"/>
              <w:bottom w:val="nil"/>
              <w:right w:val="nil"/>
            </w:tcBorders>
            <w:vAlign w:val="center"/>
          </w:tcPr>
          <w:p w14:paraId="68F50ED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0.93 </w:t>
            </w:r>
            <w:r w:rsidRPr="005250A4">
              <w:rPr>
                <w:rFonts w:ascii="Arial" w:hAnsi="Arial" w:cs="Arial"/>
                <w:color w:val="000000" w:themeColor="text1"/>
                <w:sz w:val="16"/>
                <w:szCs w:val="12"/>
              </w:rPr>
              <w:t>±</w:t>
            </w:r>
            <w:r w:rsidRPr="005250A4">
              <w:rPr>
                <w:rFonts w:ascii="Arial" w:eastAsia="Times New Roman" w:hAnsi="Arial" w:cs="Arial"/>
                <w:color w:val="000000" w:themeColor="text1"/>
                <w:sz w:val="16"/>
                <w:szCs w:val="12"/>
                <w:lang w:eastAsia="fr-FR"/>
              </w:rPr>
              <w:t xml:space="preserve"> 0.01</w:t>
            </w:r>
            <w:r w:rsidRPr="005250A4">
              <w:rPr>
                <w:rFonts w:ascii="Arial" w:eastAsia="Times New Roman" w:hAnsi="Arial" w:cs="Arial"/>
                <w:color w:val="000000" w:themeColor="text1"/>
                <w:sz w:val="16"/>
                <w:szCs w:val="12"/>
                <w:vertAlign w:val="superscript"/>
                <w:lang w:eastAsia="fr-FR"/>
              </w:rPr>
              <w:t>a</w:t>
            </w:r>
          </w:p>
        </w:tc>
        <w:tc>
          <w:tcPr>
            <w:tcW w:w="1478" w:type="dxa"/>
            <w:gridSpan w:val="2"/>
            <w:tcBorders>
              <w:top w:val="nil"/>
              <w:left w:val="nil"/>
              <w:bottom w:val="nil"/>
              <w:right w:val="nil"/>
            </w:tcBorders>
            <w:vAlign w:val="center"/>
          </w:tcPr>
          <w:p w14:paraId="1C468A00"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13" w:name="_Hlk195112422"/>
            <w:r w:rsidRPr="005250A4">
              <w:rPr>
                <w:rFonts w:ascii="Arial" w:eastAsia="Times New Roman" w:hAnsi="Arial" w:cs="Arial"/>
                <w:color w:val="000000" w:themeColor="text1"/>
                <w:sz w:val="16"/>
                <w:szCs w:val="12"/>
                <w:lang w:eastAsia="fr-FR"/>
              </w:rPr>
              <w:t xml:space="preserve">2.70 </w:t>
            </w:r>
            <w:r w:rsidRPr="005250A4">
              <w:rPr>
                <w:rFonts w:ascii="Arial" w:hAnsi="Arial" w:cs="Arial"/>
                <w:color w:val="000000" w:themeColor="text1"/>
                <w:sz w:val="16"/>
                <w:szCs w:val="12"/>
              </w:rPr>
              <w:t>± 0.02</w:t>
            </w:r>
            <w:bookmarkEnd w:id="13"/>
            <w:r w:rsidRPr="005250A4">
              <w:rPr>
                <w:rFonts w:ascii="Arial" w:hAnsi="Arial" w:cs="Arial"/>
                <w:color w:val="000000" w:themeColor="text1"/>
                <w:sz w:val="16"/>
                <w:szCs w:val="12"/>
                <w:vertAlign w:val="superscript"/>
              </w:rPr>
              <w:t>b</w:t>
            </w:r>
          </w:p>
        </w:tc>
      </w:tr>
      <w:tr w:rsidR="00175578" w:rsidRPr="005250A4" w14:paraId="4706385B" w14:textId="77777777" w:rsidTr="0081225C">
        <w:trPr>
          <w:trHeight w:val="128"/>
        </w:trPr>
        <w:tc>
          <w:tcPr>
            <w:tcW w:w="2992" w:type="dxa"/>
            <w:tcBorders>
              <w:top w:val="nil"/>
              <w:left w:val="nil"/>
              <w:bottom w:val="nil"/>
              <w:right w:val="nil"/>
            </w:tcBorders>
          </w:tcPr>
          <w:p w14:paraId="0DEEA25E"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Copper (Cu)</w:t>
            </w:r>
          </w:p>
        </w:tc>
        <w:tc>
          <w:tcPr>
            <w:tcW w:w="1990" w:type="dxa"/>
            <w:tcBorders>
              <w:top w:val="nil"/>
              <w:left w:val="nil"/>
              <w:bottom w:val="nil"/>
              <w:right w:val="nil"/>
            </w:tcBorders>
            <w:vAlign w:val="center"/>
          </w:tcPr>
          <w:p w14:paraId="16D7A7E6" w14:textId="77777777" w:rsidR="0081225C" w:rsidRPr="005250A4" w:rsidRDefault="0081225C" w:rsidP="0081225C">
            <w:pPr>
              <w:spacing w:line="480" w:lineRule="auto"/>
              <w:jc w:val="center"/>
              <w:rPr>
                <w:rFonts w:ascii="Arial" w:eastAsia="Times New Roman" w:hAnsi="Arial" w:cs="Arial"/>
                <w:color w:val="000000" w:themeColor="text1"/>
                <w:sz w:val="16"/>
                <w:szCs w:val="12"/>
                <w:lang w:eastAsia="fr-FR"/>
              </w:rPr>
            </w:pPr>
            <w:r w:rsidRPr="005250A4">
              <w:rPr>
                <w:rFonts w:ascii="Arial" w:eastAsia="Times New Roman" w:hAnsi="Arial" w:cs="Arial"/>
                <w:color w:val="000000" w:themeColor="text1"/>
                <w:sz w:val="16"/>
                <w:szCs w:val="12"/>
                <w:lang w:eastAsia="fr-FR"/>
              </w:rPr>
              <w:t xml:space="preserve">19.45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d</w:t>
            </w:r>
            <w:r w:rsidRPr="005250A4">
              <w:rPr>
                <w:rFonts w:ascii="Arial" w:hAnsi="Arial" w:cs="Arial"/>
                <w:color w:val="000000" w:themeColor="text1"/>
                <w:sz w:val="16"/>
                <w:szCs w:val="12"/>
              </w:rPr>
              <w:t xml:space="preserve"> </w:t>
            </w:r>
          </w:p>
        </w:tc>
        <w:tc>
          <w:tcPr>
            <w:tcW w:w="1464" w:type="dxa"/>
            <w:tcBorders>
              <w:top w:val="nil"/>
              <w:left w:val="nil"/>
              <w:bottom w:val="nil"/>
              <w:right w:val="nil"/>
            </w:tcBorders>
            <w:vAlign w:val="center"/>
          </w:tcPr>
          <w:p w14:paraId="6A50DB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5.80 </w:t>
            </w:r>
            <w:r w:rsidRPr="005250A4">
              <w:rPr>
                <w:rFonts w:ascii="Arial" w:hAnsi="Arial" w:cs="Arial"/>
                <w:color w:val="000000" w:themeColor="text1"/>
                <w:sz w:val="16"/>
                <w:szCs w:val="12"/>
              </w:rPr>
              <w:t>± 0.02</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3AFEB944"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3.08 </w:t>
            </w:r>
            <w:r w:rsidRPr="005250A4">
              <w:rPr>
                <w:rFonts w:ascii="Arial" w:hAnsi="Arial" w:cs="Arial"/>
                <w:color w:val="000000" w:themeColor="text1"/>
                <w:sz w:val="16"/>
                <w:szCs w:val="12"/>
              </w:rPr>
              <w:t>± 0.01</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916494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11.24 </w:t>
            </w:r>
            <w:r w:rsidRPr="005250A4">
              <w:rPr>
                <w:rFonts w:ascii="Arial" w:hAnsi="Arial" w:cs="Arial"/>
                <w:color w:val="000000" w:themeColor="text1"/>
                <w:sz w:val="16"/>
                <w:szCs w:val="12"/>
              </w:rPr>
              <w:t>± 0.20</w:t>
            </w:r>
            <w:r w:rsidRPr="005250A4">
              <w:rPr>
                <w:rFonts w:ascii="Arial" w:hAnsi="Arial" w:cs="Arial"/>
                <w:color w:val="000000" w:themeColor="text1"/>
                <w:sz w:val="16"/>
                <w:szCs w:val="12"/>
                <w:vertAlign w:val="superscript"/>
              </w:rPr>
              <w:t>c</w:t>
            </w:r>
          </w:p>
        </w:tc>
      </w:tr>
      <w:tr w:rsidR="00175578" w:rsidRPr="005250A4" w14:paraId="2CD518E3" w14:textId="77777777" w:rsidTr="0081225C">
        <w:trPr>
          <w:trHeight w:val="128"/>
        </w:trPr>
        <w:tc>
          <w:tcPr>
            <w:tcW w:w="2992" w:type="dxa"/>
            <w:tcBorders>
              <w:top w:val="nil"/>
              <w:left w:val="nil"/>
              <w:bottom w:val="nil"/>
              <w:right w:val="nil"/>
            </w:tcBorders>
          </w:tcPr>
          <w:p w14:paraId="54ACD5CC"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Calcium (Ca)</w:t>
            </w:r>
          </w:p>
        </w:tc>
        <w:tc>
          <w:tcPr>
            <w:tcW w:w="1990" w:type="dxa"/>
            <w:tcBorders>
              <w:top w:val="nil"/>
              <w:left w:val="nil"/>
              <w:bottom w:val="nil"/>
              <w:right w:val="nil"/>
            </w:tcBorders>
            <w:vAlign w:val="center"/>
          </w:tcPr>
          <w:p w14:paraId="0592CBAE"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1760.00 </w:t>
            </w:r>
            <w:r w:rsidRPr="005250A4">
              <w:rPr>
                <w:rFonts w:ascii="Arial" w:hAnsi="Arial" w:cs="Arial"/>
                <w:color w:val="000000" w:themeColor="text1"/>
                <w:sz w:val="16"/>
                <w:szCs w:val="12"/>
              </w:rPr>
              <w:t>± 3.20</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6B9C7A2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1280.00 </w:t>
            </w:r>
            <w:r w:rsidRPr="005250A4">
              <w:rPr>
                <w:rFonts w:ascii="Arial" w:hAnsi="Arial" w:cs="Arial"/>
                <w:color w:val="000000" w:themeColor="text1"/>
                <w:sz w:val="16"/>
                <w:szCs w:val="12"/>
                <w:lang w:val="en-US"/>
              </w:rPr>
              <w:t>± 2.30</w:t>
            </w:r>
            <w:r w:rsidRPr="005250A4">
              <w:rPr>
                <w:rFonts w:ascii="Arial" w:hAnsi="Arial" w:cs="Arial"/>
                <w:color w:val="000000" w:themeColor="text1"/>
                <w:sz w:val="16"/>
                <w:szCs w:val="12"/>
                <w:vertAlign w:val="superscript"/>
                <w:lang w:val="en-US"/>
              </w:rPr>
              <w:t>b</w:t>
            </w:r>
          </w:p>
        </w:tc>
        <w:tc>
          <w:tcPr>
            <w:tcW w:w="1723" w:type="dxa"/>
            <w:tcBorders>
              <w:top w:val="nil"/>
              <w:left w:val="nil"/>
              <w:bottom w:val="nil"/>
              <w:right w:val="nil"/>
            </w:tcBorders>
            <w:vAlign w:val="center"/>
          </w:tcPr>
          <w:p w14:paraId="6D06D68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1120.00 </w:t>
            </w:r>
            <w:r w:rsidRPr="005250A4">
              <w:rPr>
                <w:rFonts w:ascii="Arial" w:hAnsi="Arial" w:cs="Arial"/>
                <w:color w:val="000000" w:themeColor="text1"/>
                <w:sz w:val="16"/>
                <w:szCs w:val="12"/>
                <w:lang w:val="en-US"/>
              </w:rPr>
              <w:t>± 2.03</w:t>
            </w:r>
            <w:r w:rsidRPr="005250A4">
              <w:rPr>
                <w:rFonts w:ascii="Arial" w:hAnsi="Arial" w:cs="Arial"/>
                <w:color w:val="000000" w:themeColor="text1"/>
                <w:sz w:val="16"/>
                <w:szCs w:val="12"/>
                <w:vertAlign w:val="superscript"/>
                <w:lang w:val="en-US"/>
              </w:rPr>
              <w:t>a</w:t>
            </w:r>
          </w:p>
        </w:tc>
        <w:tc>
          <w:tcPr>
            <w:tcW w:w="1478" w:type="dxa"/>
            <w:gridSpan w:val="2"/>
            <w:tcBorders>
              <w:top w:val="nil"/>
              <w:left w:val="nil"/>
              <w:bottom w:val="nil"/>
              <w:right w:val="nil"/>
            </w:tcBorders>
            <w:vAlign w:val="center"/>
          </w:tcPr>
          <w:p w14:paraId="3A60C0E6"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1760.00 </w:t>
            </w:r>
            <w:r w:rsidRPr="005250A4">
              <w:rPr>
                <w:rFonts w:ascii="Arial" w:hAnsi="Arial" w:cs="Arial"/>
                <w:color w:val="000000" w:themeColor="text1"/>
                <w:sz w:val="16"/>
                <w:szCs w:val="12"/>
                <w:lang w:val="en-US"/>
              </w:rPr>
              <w:t>± 3.03</w:t>
            </w:r>
            <w:r w:rsidRPr="005250A4">
              <w:rPr>
                <w:rFonts w:ascii="Arial" w:hAnsi="Arial" w:cs="Arial"/>
                <w:color w:val="000000" w:themeColor="text1"/>
                <w:sz w:val="16"/>
                <w:szCs w:val="12"/>
                <w:vertAlign w:val="superscript"/>
                <w:lang w:val="en-US"/>
              </w:rPr>
              <w:t>c</w:t>
            </w:r>
          </w:p>
        </w:tc>
      </w:tr>
      <w:tr w:rsidR="00175578" w:rsidRPr="005250A4" w14:paraId="4457DA8E" w14:textId="77777777" w:rsidTr="0081225C">
        <w:trPr>
          <w:trHeight w:val="116"/>
        </w:trPr>
        <w:tc>
          <w:tcPr>
            <w:tcW w:w="2992" w:type="dxa"/>
            <w:tcBorders>
              <w:top w:val="nil"/>
              <w:left w:val="nil"/>
              <w:bottom w:val="nil"/>
              <w:right w:val="nil"/>
            </w:tcBorders>
          </w:tcPr>
          <w:p w14:paraId="0628946F"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Magnesium (Mg)</w:t>
            </w:r>
          </w:p>
        </w:tc>
        <w:tc>
          <w:tcPr>
            <w:tcW w:w="1990" w:type="dxa"/>
            <w:tcBorders>
              <w:top w:val="nil"/>
              <w:left w:val="nil"/>
              <w:bottom w:val="nil"/>
              <w:right w:val="nil"/>
            </w:tcBorders>
            <w:vAlign w:val="center"/>
          </w:tcPr>
          <w:p w14:paraId="5DD3233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165.24 </w:t>
            </w:r>
            <w:r w:rsidRPr="005250A4">
              <w:rPr>
                <w:rFonts w:ascii="Arial" w:hAnsi="Arial" w:cs="Arial"/>
                <w:color w:val="000000" w:themeColor="text1"/>
                <w:sz w:val="16"/>
                <w:szCs w:val="12"/>
                <w:lang w:val="en-US"/>
              </w:rPr>
              <w:t>± 1.30</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07FBCED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9.72 </w:t>
            </w:r>
            <w:r w:rsidRPr="005250A4">
              <w:rPr>
                <w:rFonts w:ascii="Arial" w:hAnsi="Arial" w:cs="Arial"/>
                <w:color w:val="000000" w:themeColor="text1"/>
                <w:sz w:val="16"/>
                <w:szCs w:val="12"/>
                <w:lang w:val="en-US"/>
              </w:rPr>
              <w:t>± 0.15</w:t>
            </w:r>
            <w:r w:rsidRPr="005250A4">
              <w:rPr>
                <w:rFonts w:ascii="Arial" w:hAnsi="Arial" w:cs="Arial"/>
                <w:color w:val="000000" w:themeColor="text1"/>
                <w:sz w:val="16"/>
                <w:szCs w:val="12"/>
                <w:vertAlign w:val="superscript"/>
                <w:lang w:val="en-US"/>
              </w:rPr>
              <w:t>a</w:t>
            </w:r>
          </w:p>
        </w:tc>
        <w:tc>
          <w:tcPr>
            <w:tcW w:w="1723" w:type="dxa"/>
            <w:tcBorders>
              <w:top w:val="nil"/>
              <w:left w:val="nil"/>
              <w:bottom w:val="nil"/>
              <w:right w:val="nil"/>
            </w:tcBorders>
            <w:vAlign w:val="center"/>
          </w:tcPr>
          <w:p w14:paraId="623B460D"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58.32 </w:t>
            </w:r>
            <w:r w:rsidRPr="005250A4">
              <w:rPr>
                <w:rFonts w:ascii="Arial" w:hAnsi="Arial" w:cs="Arial"/>
                <w:color w:val="000000" w:themeColor="text1"/>
                <w:sz w:val="16"/>
                <w:szCs w:val="12"/>
                <w:lang w:val="en-US"/>
              </w:rPr>
              <w:t>± 1.19</w:t>
            </w:r>
            <w:r w:rsidRPr="005250A4">
              <w:rPr>
                <w:rFonts w:ascii="Arial" w:hAnsi="Arial" w:cs="Arial"/>
                <w:color w:val="000000" w:themeColor="text1"/>
                <w:sz w:val="16"/>
                <w:szCs w:val="12"/>
                <w:vertAlign w:val="superscript"/>
                <w:lang w:val="en-US"/>
              </w:rPr>
              <w:t>b</w:t>
            </w:r>
          </w:p>
        </w:tc>
        <w:tc>
          <w:tcPr>
            <w:tcW w:w="1478" w:type="dxa"/>
            <w:gridSpan w:val="2"/>
            <w:tcBorders>
              <w:top w:val="nil"/>
              <w:left w:val="nil"/>
              <w:bottom w:val="nil"/>
              <w:right w:val="nil"/>
            </w:tcBorders>
            <w:vAlign w:val="center"/>
          </w:tcPr>
          <w:p w14:paraId="16FB5E28"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bookmarkStart w:id="14" w:name="_Hlk195112448"/>
            <w:r w:rsidRPr="005250A4">
              <w:rPr>
                <w:rFonts w:ascii="Arial" w:eastAsia="Times New Roman" w:hAnsi="Arial" w:cs="Arial"/>
                <w:color w:val="000000" w:themeColor="text1"/>
                <w:sz w:val="16"/>
                <w:szCs w:val="12"/>
                <w:lang w:val="en-US" w:eastAsia="fr-FR"/>
              </w:rPr>
              <w:t xml:space="preserve">257.58 </w:t>
            </w:r>
            <w:r w:rsidRPr="005250A4">
              <w:rPr>
                <w:rFonts w:ascii="Arial" w:hAnsi="Arial" w:cs="Arial"/>
                <w:color w:val="000000" w:themeColor="text1"/>
                <w:sz w:val="16"/>
                <w:szCs w:val="12"/>
                <w:lang w:val="en-US"/>
              </w:rPr>
              <w:t>± 2.34</w:t>
            </w:r>
            <w:bookmarkEnd w:id="14"/>
            <w:r w:rsidRPr="005250A4">
              <w:rPr>
                <w:rFonts w:ascii="Arial" w:hAnsi="Arial" w:cs="Arial"/>
                <w:color w:val="000000" w:themeColor="text1"/>
                <w:sz w:val="16"/>
                <w:szCs w:val="12"/>
                <w:vertAlign w:val="superscript"/>
                <w:lang w:val="en-US"/>
              </w:rPr>
              <w:t>d</w:t>
            </w:r>
          </w:p>
        </w:tc>
      </w:tr>
      <w:tr w:rsidR="00175578" w:rsidRPr="005250A4" w14:paraId="650095E5" w14:textId="77777777" w:rsidTr="0081225C">
        <w:trPr>
          <w:trHeight w:val="128"/>
        </w:trPr>
        <w:tc>
          <w:tcPr>
            <w:tcW w:w="2992" w:type="dxa"/>
            <w:tcBorders>
              <w:top w:val="nil"/>
              <w:left w:val="nil"/>
              <w:bottom w:val="nil"/>
              <w:right w:val="nil"/>
            </w:tcBorders>
          </w:tcPr>
          <w:p w14:paraId="79685200" w14:textId="77777777" w:rsidR="0081225C" w:rsidRPr="005250A4" w:rsidRDefault="0081225C" w:rsidP="0081225C">
            <w:pPr>
              <w:spacing w:line="480" w:lineRule="auto"/>
              <w:rPr>
                <w:rFonts w:ascii="Arial" w:hAnsi="Arial" w:cs="Arial"/>
                <w:color w:val="000000" w:themeColor="text1"/>
                <w:sz w:val="16"/>
                <w:szCs w:val="12"/>
                <w:lang w:val="en-US"/>
              </w:rPr>
            </w:pPr>
            <w:r w:rsidRPr="005250A4">
              <w:rPr>
                <w:rFonts w:ascii="Arial" w:hAnsi="Arial" w:cs="Arial"/>
                <w:color w:val="000000" w:themeColor="text1"/>
                <w:sz w:val="16"/>
                <w:szCs w:val="12"/>
                <w:lang w:val="en-US"/>
              </w:rPr>
              <w:t>Phosphorus (P)</w:t>
            </w:r>
          </w:p>
        </w:tc>
        <w:tc>
          <w:tcPr>
            <w:tcW w:w="1990" w:type="dxa"/>
            <w:tcBorders>
              <w:top w:val="nil"/>
              <w:left w:val="nil"/>
              <w:bottom w:val="nil"/>
              <w:right w:val="nil"/>
            </w:tcBorders>
            <w:vAlign w:val="center"/>
          </w:tcPr>
          <w:p w14:paraId="321EB0B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val="en-US" w:eastAsia="fr-FR"/>
              </w:rPr>
            </w:pPr>
            <w:r w:rsidRPr="005250A4">
              <w:rPr>
                <w:rFonts w:ascii="Arial" w:eastAsia="Times New Roman" w:hAnsi="Arial" w:cs="Arial"/>
                <w:color w:val="000000" w:themeColor="text1"/>
                <w:sz w:val="16"/>
                <w:szCs w:val="12"/>
                <w:lang w:val="en-US" w:eastAsia="fr-FR"/>
              </w:rPr>
              <w:t xml:space="preserve">300.31 </w:t>
            </w:r>
            <w:r w:rsidRPr="005250A4">
              <w:rPr>
                <w:rFonts w:ascii="Arial" w:hAnsi="Arial" w:cs="Arial"/>
                <w:color w:val="000000" w:themeColor="text1"/>
                <w:sz w:val="16"/>
                <w:szCs w:val="12"/>
                <w:lang w:val="en-US"/>
              </w:rPr>
              <w:t>± 3.98</w:t>
            </w:r>
            <w:r w:rsidRPr="005250A4">
              <w:rPr>
                <w:rFonts w:ascii="Arial" w:hAnsi="Arial" w:cs="Arial"/>
                <w:color w:val="000000" w:themeColor="text1"/>
                <w:sz w:val="16"/>
                <w:szCs w:val="12"/>
                <w:vertAlign w:val="superscript"/>
                <w:lang w:val="en-US"/>
              </w:rPr>
              <w:t>c</w:t>
            </w:r>
          </w:p>
        </w:tc>
        <w:tc>
          <w:tcPr>
            <w:tcW w:w="1464" w:type="dxa"/>
            <w:tcBorders>
              <w:top w:val="nil"/>
              <w:left w:val="nil"/>
              <w:bottom w:val="nil"/>
              <w:right w:val="nil"/>
            </w:tcBorders>
            <w:vAlign w:val="center"/>
          </w:tcPr>
          <w:p w14:paraId="5E6EAA9B"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val="en-US" w:eastAsia="fr-FR"/>
              </w:rPr>
              <w:t xml:space="preserve">6.30 </w:t>
            </w:r>
            <w:r w:rsidRPr="005250A4">
              <w:rPr>
                <w:rFonts w:ascii="Arial" w:hAnsi="Arial" w:cs="Arial"/>
                <w:color w:val="000000" w:themeColor="text1"/>
                <w:sz w:val="16"/>
                <w:szCs w:val="12"/>
                <w:lang w:val="en-US"/>
              </w:rPr>
              <w:t>± 0.</w:t>
            </w:r>
            <w:r w:rsidRPr="005250A4">
              <w:rPr>
                <w:rFonts w:ascii="Arial" w:hAnsi="Arial" w:cs="Arial"/>
                <w:color w:val="000000" w:themeColor="text1"/>
                <w:sz w:val="16"/>
                <w:szCs w:val="12"/>
              </w:rPr>
              <w:t>20</w:t>
            </w:r>
            <w:r w:rsidRPr="005250A4">
              <w:rPr>
                <w:rFonts w:ascii="Arial" w:hAnsi="Arial" w:cs="Arial"/>
                <w:color w:val="000000" w:themeColor="text1"/>
                <w:sz w:val="16"/>
                <w:szCs w:val="12"/>
                <w:vertAlign w:val="superscript"/>
              </w:rPr>
              <w:t>a</w:t>
            </w:r>
          </w:p>
        </w:tc>
        <w:tc>
          <w:tcPr>
            <w:tcW w:w="1723" w:type="dxa"/>
            <w:tcBorders>
              <w:top w:val="nil"/>
              <w:left w:val="nil"/>
              <w:bottom w:val="nil"/>
              <w:right w:val="nil"/>
            </w:tcBorders>
            <w:vAlign w:val="center"/>
          </w:tcPr>
          <w:p w14:paraId="5693F0BF"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36.16 </w:t>
            </w:r>
            <w:r w:rsidRPr="005250A4">
              <w:rPr>
                <w:rFonts w:ascii="Arial" w:hAnsi="Arial" w:cs="Arial"/>
                <w:color w:val="000000" w:themeColor="text1"/>
                <w:sz w:val="16"/>
                <w:szCs w:val="12"/>
              </w:rPr>
              <w:t>± 1.34</w:t>
            </w:r>
            <w:r w:rsidRPr="005250A4">
              <w:rPr>
                <w:rFonts w:ascii="Arial" w:hAnsi="Arial" w:cs="Arial"/>
                <w:color w:val="000000" w:themeColor="text1"/>
                <w:sz w:val="16"/>
                <w:szCs w:val="12"/>
                <w:vertAlign w:val="superscript"/>
              </w:rPr>
              <w:t>b</w:t>
            </w:r>
          </w:p>
        </w:tc>
        <w:tc>
          <w:tcPr>
            <w:tcW w:w="1478" w:type="dxa"/>
            <w:gridSpan w:val="2"/>
            <w:tcBorders>
              <w:top w:val="nil"/>
              <w:left w:val="nil"/>
              <w:bottom w:val="nil"/>
              <w:right w:val="nil"/>
            </w:tcBorders>
            <w:vAlign w:val="center"/>
          </w:tcPr>
          <w:p w14:paraId="0487B392"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302.57 </w:t>
            </w:r>
            <w:r w:rsidRPr="005250A4">
              <w:rPr>
                <w:rFonts w:ascii="Arial" w:hAnsi="Arial" w:cs="Arial"/>
                <w:color w:val="000000" w:themeColor="text1"/>
                <w:sz w:val="16"/>
                <w:szCs w:val="12"/>
              </w:rPr>
              <w:t>± 1.28</w:t>
            </w:r>
            <w:r w:rsidRPr="005250A4">
              <w:rPr>
                <w:rFonts w:ascii="Arial" w:hAnsi="Arial" w:cs="Arial"/>
                <w:color w:val="000000" w:themeColor="text1"/>
                <w:sz w:val="16"/>
                <w:szCs w:val="12"/>
                <w:vertAlign w:val="superscript"/>
              </w:rPr>
              <w:t>c</w:t>
            </w:r>
          </w:p>
        </w:tc>
      </w:tr>
      <w:tr w:rsidR="00175578" w:rsidRPr="005250A4" w14:paraId="73BD2CA0" w14:textId="77777777" w:rsidTr="0081225C">
        <w:trPr>
          <w:trHeight w:val="128"/>
        </w:trPr>
        <w:tc>
          <w:tcPr>
            <w:tcW w:w="2992" w:type="dxa"/>
            <w:tcBorders>
              <w:top w:val="nil"/>
              <w:left w:val="nil"/>
              <w:bottom w:val="nil"/>
              <w:right w:val="nil"/>
            </w:tcBorders>
          </w:tcPr>
          <w:p w14:paraId="62835253"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Potassium (K)</w:t>
            </w:r>
          </w:p>
        </w:tc>
        <w:tc>
          <w:tcPr>
            <w:tcW w:w="1990" w:type="dxa"/>
            <w:tcBorders>
              <w:top w:val="nil"/>
              <w:left w:val="nil"/>
              <w:bottom w:val="nil"/>
              <w:right w:val="nil"/>
            </w:tcBorders>
            <w:vAlign w:val="center"/>
          </w:tcPr>
          <w:p w14:paraId="62FA15B7"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2466.43 </w:t>
            </w:r>
            <w:r w:rsidRPr="005250A4">
              <w:rPr>
                <w:rFonts w:ascii="Arial" w:hAnsi="Arial" w:cs="Arial"/>
                <w:color w:val="000000" w:themeColor="text1"/>
                <w:sz w:val="16"/>
                <w:szCs w:val="12"/>
              </w:rPr>
              <w:t>± 3.23</w:t>
            </w:r>
            <w:r w:rsidRPr="005250A4">
              <w:rPr>
                <w:rFonts w:ascii="Arial" w:hAnsi="Arial" w:cs="Arial"/>
                <w:color w:val="000000" w:themeColor="text1"/>
                <w:sz w:val="16"/>
                <w:szCs w:val="12"/>
                <w:vertAlign w:val="superscript"/>
              </w:rPr>
              <w:t>c</w:t>
            </w:r>
          </w:p>
        </w:tc>
        <w:tc>
          <w:tcPr>
            <w:tcW w:w="1464" w:type="dxa"/>
            <w:tcBorders>
              <w:top w:val="nil"/>
              <w:left w:val="nil"/>
              <w:bottom w:val="nil"/>
              <w:right w:val="nil"/>
            </w:tcBorders>
            <w:vAlign w:val="center"/>
          </w:tcPr>
          <w:p w14:paraId="2F1FE5F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1866.53 </w:t>
            </w:r>
            <w:r w:rsidRPr="005250A4">
              <w:rPr>
                <w:rFonts w:ascii="Arial" w:hAnsi="Arial" w:cs="Arial"/>
                <w:color w:val="000000" w:themeColor="text1"/>
                <w:sz w:val="16"/>
                <w:szCs w:val="12"/>
              </w:rPr>
              <w:t>± 3.40</w:t>
            </w:r>
            <w:r w:rsidRPr="005250A4">
              <w:rPr>
                <w:rFonts w:ascii="Arial" w:hAnsi="Arial" w:cs="Arial"/>
                <w:color w:val="000000" w:themeColor="text1"/>
                <w:sz w:val="16"/>
                <w:szCs w:val="12"/>
                <w:vertAlign w:val="superscript"/>
              </w:rPr>
              <w:t>b</w:t>
            </w:r>
          </w:p>
        </w:tc>
        <w:tc>
          <w:tcPr>
            <w:tcW w:w="1723" w:type="dxa"/>
            <w:tcBorders>
              <w:top w:val="nil"/>
              <w:left w:val="nil"/>
              <w:bottom w:val="nil"/>
              <w:right w:val="nil"/>
            </w:tcBorders>
            <w:vAlign w:val="center"/>
          </w:tcPr>
          <w:p w14:paraId="75C648C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1139.32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a</w:t>
            </w:r>
          </w:p>
        </w:tc>
        <w:tc>
          <w:tcPr>
            <w:tcW w:w="1478" w:type="dxa"/>
            <w:gridSpan w:val="2"/>
            <w:tcBorders>
              <w:top w:val="nil"/>
              <w:left w:val="nil"/>
              <w:bottom w:val="nil"/>
              <w:right w:val="nil"/>
            </w:tcBorders>
            <w:vAlign w:val="center"/>
          </w:tcPr>
          <w:p w14:paraId="52E34439"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15" w:name="_Hlk195112516"/>
            <w:r w:rsidRPr="005250A4">
              <w:rPr>
                <w:rFonts w:ascii="Arial" w:eastAsia="Times New Roman" w:hAnsi="Arial" w:cs="Arial"/>
                <w:color w:val="000000" w:themeColor="text1"/>
                <w:sz w:val="16"/>
                <w:szCs w:val="12"/>
                <w:lang w:eastAsia="fr-FR"/>
              </w:rPr>
              <w:t xml:space="preserve">2684.62 </w:t>
            </w:r>
            <w:r w:rsidRPr="005250A4">
              <w:rPr>
                <w:rFonts w:ascii="Arial" w:hAnsi="Arial" w:cs="Arial"/>
                <w:color w:val="000000" w:themeColor="text1"/>
                <w:sz w:val="16"/>
                <w:szCs w:val="12"/>
              </w:rPr>
              <w:t>± 2.43</w:t>
            </w:r>
            <w:bookmarkEnd w:id="15"/>
            <w:r w:rsidRPr="005250A4">
              <w:rPr>
                <w:rFonts w:ascii="Arial" w:hAnsi="Arial" w:cs="Arial"/>
                <w:color w:val="000000" w:themeColor="text1"/>
                <w:sz w:val="16"/>
                <w:szCs w:val="12"/>
                <w:vertAlign w:val="superscript"/>
              </w:rPr>
              <w:t>d</w:t>
            </w:r>
          </w:p>
        </w:tc>
      </w:tr>
      <w:tr w:rsidR="00175578" w:rsidRPr="005250A4" w14:paraId="54F3060D" w14:textId="77777777" w:rsidTr="0081225C">
        <w:trPr>
          <w:trHeight w:val="233"/>
        </w:trPr>
        <w:tc>
          <w:tcPr>
            <w:tcW w:w="2992" w:type="dxa"/>
            <w:tcBorders>
              <w:top w:val="nil"/>
              <w:left w:val="nil"/>
              <w:bottom w:val="single" w:sz="4" w:space="0" w:color="auto"/>
              <w:right w:val="nil"/>
            </w:tcBorders>
          </w:tcPr>
          <w:p w14:paraId="3B65E1DF" w14:textId="77777777" w:rsidR="0081225C" w:rsidRPr="005250A4" w:rsidRDefault="0081225C" w:rsidP="0081225C">
            <w:pPr>
              <w:spacing w:line="480" w:lineRule="auto"/>
              <w:rPr>
                <w:rFonts w:ascii="Arial" w:hAnsi="Arial" w:cs="Arial"/>
                <w:color w:val="000000" w:themeColor="text1"/>
                <w:sz w:val="16"/>
                <w:szCs w:val="12"/>
              </w:rPr>
            </w:pPr>
            <w:r w:rsidRPr="005250A4">
              <w:rPr>
                <w:rFonts w:ascii="Arial" w:hAnsi="Arial" w:cs="Arial"/>
                <w:color w:val="000000" w:themeColor="text1"/>
                <w:sz w:val="16"/>
                <w:szCs w:val="12"/>
              </w:rPr>
              <w:t>Sodium (Na)</w:t>
            </w:r>
          </w:p>
        </w:tc>
        <w:tc>
          <w:tcPr>
            <w:tcW w:w="1990" w:type="dxa"/>
            <w:tcBorders>
              <w:top w:val="nil"/>
              <w:left w:val="nil"/>
              <w:bottom w:val="single" w:sz="4" w:space="0" w:color="auto"/>
              <w:right w:val="nil"/>
            </w:tcBorders>
            <w:vAlign w:val="center"/>
          </w:tcPr>
          <w:p w14:paraId="4E9709A5"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142.20 </w:t>
            </w:r>
            <w:r w:rsidRPr="005250A4">
              <w:rPr>
                <w:rFonts w:ascii="Arial" w:hAnsi="Arial" w:cs="Arial"/>
                <w:color w:val="000000" w:themeColor="text1"/>
                <w:sz w:val="16"/>
                <w:szCs w:val="12"/>
              </w:rPr>
              <w:t>± 1.23</w:t>
            </w:r>
            <w:r w:rsidRPr="005250A4">
              <w:rPr>
                <w:rFonts w:ascii="Arial" w:hAnsi="Arial" w:cs="Arial"/>
                <w:color w:val="000000" w:themeColor="text1"/>
                <w:sz w:val="16"/>
                <w:szCs w:val="12"/>
                <w:vertAlign w:val="superscript"/>
              </w:rPr>
              <w:t>c</w:t>
            </w:r>
          </w:p>
        </w:tc>
        <w:tc>
          <w:tcPr>
            <w:tcW w:w="1464" w:type="dxa"/>
            <w:tcBorders>
              <w:top w:val="nil"/>
              <w:left w:val="nil"/>
              <w:bottom w:val="single" w:sz="4" w:space="0" w:color="auto"/>
              <w:right w:val="nil"/>
            </w:tcBorders>
            <w:vAlign w:val="center"/>
          </w:tcPr>
          <w:p w14:paraId="1359CC6C"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110.39 </w:t>
            </w:r>
            <w:r w:rsidRPr="005250A4">
              <w:rPr>
                <w:rFonts w:ascii="Arial" w:hAnsi="Arial" w:cs="Arial"/>
                <w:color w:val="000000" w:themeColor="text1"/>
                <w:sz w:val="16"/>
                <w:szCs w:val="12"/>
              </w:rPr>
              <w:t>± 2.01</w:t>
            </w:r>
            <w:r w:rsidRPr="005250A4">
              <w:rPr>
                <w:rFonts w:ascii="Arial" w:hAnsi="Arial" w:cs="Arial"/>
                <w:color w:val="000000" w:themeColor="text1"/>
                <w:sz w:val="16"/>
                <w:szCs w:val="12"/>
                <w:vertAlign w:val="superscript"/>
              </w:rPr>
              <w:t>b</w:t>
            </w:r>
          </w:p>
        </w:tc>
        <w:tc>
          <w:tcPr>
            <w:tcW w:w="1723" w:type="dxa"/>
            <w:tcBorders>
              <w:top w:val="nil"/>
              <w:left w:val="nil"/>
              <w:bottom w:val="single" w:sz="4" w:space="0" w:color="auto"/>
              <w:right w:val="nil"/>
            </w:tcBorders>
            <w:vAlign w:val="center"/>
          </w:tcPr>
          <w:p w14:paraId="7703F7AA"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r w:rsidRPr="005250A4">
              <w:rPr>
                <w:rFonts w:ascii="Arial" w:eastAsia="Times New Roman" w:hAnsi="Arial" w:cs="Arial"/>
                <w:color w:val="000000" w:themeColor="text1"/>
                <w:sz w:val="16"/>
                <w:szCs w:val="12"/>
                <w:lang w:eastAsia="fr-FR"/>
              </w:rPr>
              <w:t xml:space="preserve">73.92 </w:t>
            </w:r>
            <w:r w:rsidRPr="005250A4">
              <w:rPr>
                <w:rFonts w:ascii="Arial" w:hAnsi="Arial" w:cs="Arial"/>
                <w:color w:val="000000" w:themeColor="text1"/>
                <w:sz w:val="16"/>
                <w:szCs w:val="12"/>
              </w:rPr>
              <w:t>± 1.08</w:t>
            </w:r>
            <w:r w:rsidRPr="005250A4">
              <w:rPr>
                <w:rFonts w:ascii="Arial" w:hAnsi="Arial" w:cs="Arial"/>
                <w:color w:val="000000" w:themeColor="text1"/>
                <w:sz w:val="16"/>
                <w:szCs w:val="12"/>
                <w:vertAlign w:val="superscript"/>
              </w:rPr>
              <w:t>a</w:t>
            </w:r>
          </w:p>
        </w:tc>
        <w:tc>
          <w:tcPr>
            <w:tcW w:w="1478" w:type="dxa"/>
            <w:gridSpan w:val="2"/>
            <w:tcBorders>
              <w:top w:val="nil"/>
              <w:left w:val="nil"/>
              <w:bottom w:val="single" w:sz="4" w:space="0" w:color="auto"/>
              <w:right w:val="nil"/>
            </w:tcBorders>
            <w:vAlign w:val="center"/>
          </w:tcPr>
          <w:p w14:paraId="6E4129F1" w14:textId="77777777" w:rsidR="0081225C" w:rsidRPr="005250A4" w:rsidRDefault="0081225C" w:rsidP="0081225C">
            <w:pPr>
              <w:spacing w:line="480" w:lineRule="auto"/>
              <w:jc w:val="center"/>
              <w:rPr>
                <w:rFonts w:ascii="Arial" w:eastAsia="Times New Roman" w:hAnsi="Arial" w:cs="Arial"/>
                <w:color w:val="000000" w:themeColor="text1"/>
                <w:sz w:val="16"/>
                <w:szCs w:val="12"/>
                <w:vertAlign w:val="superscript"/>
                <w:lang w:eastAsia="fr-FR"/>
              </w:rPr>
            </w:pPr>
            <w:bookmarkStart w:id="16" w:name="_Hlk195112550"/>
            <w:r w:rsidRPr="005250A4">
              <w:rPr>
                <w:rFonts w:ascii="Arial" w:eastAsia="Times New Roman" w:hAnsi="Arial" w:cs="Arial"/>
                <w:color w:val="000000" w:themeColor="text1"/>
                <w:sz w:val="16"/>
                <w:szCs w:val="12"/>
                <w:lang w:eastAsia="fr-FR"/>
              </w:rPr>
              <w:t xml:space="preserve">153.63 </w:t>
            </w:r>
            <w:r w:rsidRPr="005250A4">
              <w:rPr>
                <w:rFonts w:ascii="Arial" w:hAnsi="Arial" w:cs="Arial"/>
                <w:color w:val="000000" w:themeColor="text1"/>
                <w:sz w:val="16"/>
                <w:szCs w:val="12"/>
              </w:rPr>
              <w:t>± 2.78</w:t>
            </w:r>
            <w:bookmarkEnd w:id="16"/>
            <w:r w:rsidRPr="005250A4">
              <w:rPr>
                <w:rFonts w:ascii="Arial" w:hAnsi="Arial" w:cs="Arial"/>
                <w:color w:val="000000" w:themeColor="text1"/>
                <w:sz w:val="16"/>
                <w:szCs w:val="12"/>
                <w:vertAlign w:val="superscript"/>
              </w:rPr>
              <w:t>d</w:t>
            </w:r>
          </w:p>
        </w:tc>
      </w:tr>
      <w:tr w:rsidR="00175578" w:rsidRPr="00885888" w14:paraId="38C64678" w14:textId="77777777" w:rsidTr="0090320A">
        <w:trPr>
          <w:trHeight w:val="132"/>
        </w:trPr>
        <w:tc>
          <w:tcPr>
            <w:tcW w:w="9647" w:type="dxa"/>
            <w:gridSpan w:val="6"/>
            <w:tcBorders>
              <w:top w:val="single" w:sz="4" w:space="0" w:color="auto"/>
              <w:left w:val="nil"/>
              <w:bottom w:val="nil"/>
              <w:right w:val="nil"/>
            </w:tcBorders>
          </w:tcPr>
          <w:p w14:paraId="0A3BF22C" w14:textId="26B81692" w:rsidR="0081225C" w:rsidRPr="005250A4" w:rsidRDefault="0081225C" w:rsidP="0081225C">
            <w:pPr>
              <w:spacing w:line="276" w:lineRule="auto"/>
              <w:jc w:val="both"/>
              <w:rPr>
                <w:rFonts w:ascii="Arial" w:hAnsi="Arial" w:cs="Arial"/>
                <w:color w:val="000000" w:themeColor="text1"/>
                <w:sz w:val="16"/>
                <w:szCs w:val="12"/>
                <w:lang w:val="en-US"/>
              </w:rPr>
            </w:pPr>
            <w:proofErr w:type="spellStart"/>
            <w:r w:rsidRPr="005250A4">
              <w:rPr>
                <w:rFonts w:ascii="Arial" w:hAnsi="Arial" w:cs="Arial"/>
                <w:color w:val="000000" w:themeColor="text1"/>
                <w:sz w:val="16"/>
                <w:szCs w:val="12"/>
                <w:lang w:val="en-US"/>
              </w:rPr>
              <w:t>Mn</w:t>
            </w:r>
            <w:proofErr w:type="spellEnd"/>
            <w:r w:rsidRPr="005250A4">
              <w:rPr>
                <w:rFonts w:ascii="Arial" w:hAnsi="Arial" w:cs="Arial"/>
                <w:color w:val="000000" w:themeColor="text1"/>
                <w:sz w:val="16"/>
                <w:szCs w:val="12"/>
                <w:lang w:val="en-US"/>
              </w:rPr>
              <w:t xml:space="preserve"> ± </w:t>
            </w:r>
            <w:proofErr w:type="spellStart"/>
            <w:r w:rsidR="003474E0" w:rsidRPr="005250A4">
              <w:rPr>
                <w:rFonts w:ascii="Arial" w:hAnsi="Arial" w:cs="Arial"/>
                <w:color w:val="000000" w:themeColor="text1"/>
                <w:sz w:val="16"/>
                <w:szCs w:val="12"/>
                <w:lang w:val="en-US"/>
              </w:rPr>
              <w:t>Sd</w:t>
            </w:r>
            <w:proofErr w:type="spellEnd"/>
            <w:r w:rsidR="003474E0" w:rsidRPr="005250A4">
              <w:rPr>
                <w:rFonts w:ascii="Arial" w:hAnsi="Arial" w:cs="Arial"/>
                <w:color w:val="000000" w:themeColor="text1"/>
                <w:sz w:val="16"/>
                <w:szCs w:val="12"/>
                <w:lang w:val="en-US"/>
              </w:rPr>
              <w:t>:</w:t>
            </w:r>
            <w:r w:rsidRPr="005250A4">
              <w:rPr>
                <w:rFonts w:ascii="Arial" w:hAnsi="Arial" w:cs="Arial"/>
                <w:color w:val="000000" w:themeColor="text1"/>
                <w:sz w:val="16"/>
                <w:szCs w:val="12"/>
                <w:lang w:val="en-US"/>
              </w:rPr>
              <w:t xml:space="preserve"> Mean ± Standard </w:t>
            </w:r>
            <w:r w:rsidR="003474E0" w:rsidRPr="005250A4">
              <w:rPr>
                <w:rFonts w:ascii="Arial" w:hAnsi="Arial" w:cs="Arial"/>
                <w:color w:val="000000" w:themeColor="text1"/>
                <w:sz w:val="16"/>
                <w:szCs w:val="12"/>
                <w:lang w:val="en-US"/>
              </w:rPr>
              <w:t>deviation;</w:t>
            </w:r>
            <w:r w:rsidRPr="005250A4">
              <w:rPr>
                <w:rFonts w:ascii="Arial" w:hAnsi="Arial" w:cs="Arial"/>
                <w:color w:val="000000" w:themeColor="text1"/>
                <w:sz w:val="16"/>
                <w:szCs w:val="12"/>
                <w:lang w:val="en-US"/>
              </w:rPr>
              <w:t xml:space="preserve"> Means affected to the different superscript letters for each line indicate a significant difference </w:t>
            </w:r>
            <w:r w:rsidR="000E7CA4" w:rsidRPr="005250A4">
              <w:rPr>
                <w:rFonts w:ascii="Arial" w:hAnsi="Arial" w:cs="Arial"/>
                <w:color w:val="000000" w:themeColor="text1"/>
                <w:sz w:val="16"/>
                <w:szCs w:val="12"/>
                <w:lang w:val="en-US"/>
              </w:rPr>
              <w:t>at P</w:t>
            </w:r>
            <w:r w:rsidRPr="005250A4">
              <w:rPr>
                <w:rFonts w:ascii="Arial" w:hAnsi="Arial" w:cs="Arial"/>
                <w:color w:val="000000" w:themeColor="text1"/>
                <w:sz w:val="16"/>
                <w:szCs w:val="12"/>
                <w:lang w:val="en-US"/>
              </w:rPr>
              <w:t xml:space="preserve"> </w:t>
            </w:r>
            <w:r w:rsidR="000E7CA4" w:rsidRPr="005250A4">
              <w:rPr>
                <w:rFonts w:ascii="Arial" w:hAnsi="Arial" w:cs="Arial"/>
                <w:color w:val="000000" w:themeColor="text1"/>
                <w:sz w:val="16"/>
                <w:szCs w:val="12"/>
                <w:lang w:val="en-US"/>
              </w:rPr>
              <w:t>&lt;</w:t>
            </w:r>
            <w:r w:rsidRPr="005250A4">
              <w:rPr>
                <w:rFonts w:ascii="Arial" w:hAnsi="Arial" w:cs="Arial"/>
                <w:color w:val="000000" w:themeColor="text1"/>
                <w:sz w:val="16"/>
                <w:szCs w:val="12"/>
                <w:lang w:val="en-US"/>
              </w:rPr>
              <w:t xml:space="preserve"> .05</w:t>
            </w:r>
          </w:p>
        </w:tc>
      </w:tr>
    </w:tbl>
    <w:p w14:paraId="298A442F" w14:textId="77777777" w:rsidR="000A227C" w:rsidRPr="005250A4" w:rsidRDefault="000A227C" w:rsidP="000A227C">
      <w:pPr>
        <w:spacing w:after="100" w:afterAutospacing="1" w:line="360" w:lineRule="auto"/>
        <w:jc w:val="both"/>
        <w:rPr>
          <w:rFonts w:ascii="Arial" w:eastAsia="Times New Roman" w:hAnsi="Arial" w:cs="Arial"/>
          <w:b/>
          <w:color w:val="000000" w:themeColor="text1"/>
          <w:sz w:val="20"/>
          <w:szCs w:val="20"/>
          <w:lang w:val="en-US" w:eastAsia="fr-FR"/>
        </w:rPr>
      </w:pPr>
    </w:p>
    <w:p w14:paraId="386689B4" w14:textId="77777777" w:rsidR="00813887" w:rsidRPr="00202D84" w:rsidRDefault="000A4569" w:rsidP="00181327">
      <w:pPr>
        <w:spacing w:before="100" w:beforeAutospacing="1" w:after="100" w:afterAutospacing="1" w:line="360" w:lineRule="auto"/>
        <w:jc w:val="both"/>
        <w:rPr>
          <w:rFonts w:ascii="Arial" w:eastAsia="Times New Roman" w:hAnsi="Arial" w:cs="Arial"/>
          <w:b/>
          <w:i/>
          <w:color w:val="000000" w:themeColor="text1"/>
          <w:lang w:val="en-US" w:eastAsia="fr-FR"/>
        </w:rPr>
      </w:pPr>
      <w:r w:rsidRPr="00202D84">
        <w:rPr>
          <w:rFonts w:ascii="Arial" w:eastAsia="Times New Roman" w:hAnsi="Arial" w:cs="Arial"/>
          <w:b/>
          <w:color w:val="000000" w:themeColor="text1"/>
          <w:lang w:val="en-US" w:eastAsia="fr-FR"/>
        </w:rPr>
        <w:t>3.1. Nutritional potential</w:t>
      </w:r>
      <w:r w:rsidR="00CC3F9C" w:rsidRPr="00202D84">
        <w:rPr>
          <w:rFonts w:ascii="Arial" w:eastAsia="Times New Roman" w:hAnsi="Arial" w:cs="Arial"/>
          <w:b/>
          <w:color w:val="000000" w:themeColor="text1"/>
          <w:lang w:val="en-US" w:eastAsia="fr-FR"/>
        </w:rPr>
        <w:t xml:space="preserve"> </w:t>
      </w:r>
      <w:r w:rsidR="00935722" w:rsidRPr="00202D84">
        <w:rPr>
          <w:rFonts w:ascii="Arial" w:eastAsia="Times New Roman" w:hAnsi="Arial" w:cs="Arial"/>
          <w:b/>
          <w:color w:val="000000" w:themeColor="text1"/>
          <w:lang w:val="en-US" w:eastAsia="fr-FR"/>
        </w:rPr>
        <w:t>of leaf and fruit</w:t>
      </w:r>
      <w:r w:rsidR="00181327" w:rsidRPr="00202D84">
        <w:rPr>
          <w:rFonts w:ascii="Arial" w:eastAsia="Times New Roman" w:hAnsi="Arial" w:cs="Arial"/>
          <w:b/>
          <w:color w:val="000000" w:themeColor="text1"/>
          <w:lang w:val="en-US" w:eastAsia="fr-FR"/>
        </w:rPr>
        <w:t xml:space="preserve"> p</w:t>
      </w:r>
      <w:r w:rsidR="00CC3F9C" w:rsidRPr="00202D84">
        <w:rPr>
          <w:rFonts w:ascii="Arial" w:eastAsia="Times New Roman" w:hAnsi="Arial" w:cs="Arial"/>
          <w:b/>
          <w:color w:val="000000" w:themeColor="text1"/>
          <w:lang w:val="en-US" w:eastAsia="fr-FR"/>
        </w:rPr>
        <w:t xml:space="preserve">owders </w:t>
      </w:r>
    </w:p>
    <w:p w14:paraId="50BD94EF" w14:textId="77777777" w:rsidR="00181327" w:rsidRPr="005250A4" w:rsidRDefault="00CC3F9C" w:rsidP="00181327">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250A4">
        <w:rPr>
          <w:rFonts w:ascii="Arial" w:eastAsia="Times New Roman" w:hAnsi="Arial" w:cs="Arial"/>
          <w:b/>
          <w:color w:val="000000" w:themeColor="text1"/>
          <w:sz w:val="20"/>
          <w:szCs w:val="20"/>
          <w:lang w:val="en-US" w:eastAsia="fr-FR"/>
        </w:rPr>
        <w:t>3.1.1. Proximate c</w:t>
      </w:r>
      <w:r w:rsidR="00813887" w:rsidRPr="005250A4">
        <w:rPr>
          <w:rFonts w:ascii="Arial" w:eastAsia="Times New Roman" w:hAnsi="Arial" w:cs="Arial"/>
          <w:b/>
          <w:color w:val="000000" w:themeColor="text1"/>
          <w:sz w:val="20"/>
          <w:szCs w:val="20"/>
          <w:lang w:val="en-US" w:eastAsia="fr-FR"/>
        </w:rPr>
        <w:t xml:space="preserve">omposition </w:t>
      </w:r>
      <w:r w:rsidR="00165F7E" w:rsidRPr="005250A4">
        <w:rPr>
          <w:rFonts w:ascii="Arial" w:eastAsia="Times New Roman" w:hAnsi="Arial" w:cs="Arial"/>
          <w:b/>
          <w:color w:val="000000" w:themeColor="text1"/>
          <w:sz w:val="20"/>
          <w:szCs w:val="20"/>
          <w:lang w:val="en-US" w:eastAsia="fr-FR"/>
        </w:rPr>
        <w:t>and energy intake</w:t>
      </w:r>
    </w:p>
    <w:p w14:paraId="140766CC" w14:textId="2D89F02A" w:rsidR="00813887" w:rsidRPr="005250A4" w:rsidRDefault="00813887" w:rsidP="00181327">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The macronutrient contents, as shown in Table 2, var</w:t>
      </w:r>
      <w:r w:rsidR="00B64B12" w:rsidRPr="005250A4">
        <w:rPr>
          <w:rFonts w:ascii="Arial" w:eastAsia="Times New Roman" w:hAnsi="Arial" w:cs="Arial"/>
          <w:color w:val="000000" w:themeColor="text1"/>
          <w:sz w:val="20"/>
          <w:szCs w:val="20"/>
          <w:lang w:val="en-US" w:eastAsia="fr-FR"/>
        </w:rPr>
        <w:t>ied</w:t>
      </w:r>
      <w:r w:rsidRPr="005250A4">
        <w:rPr>
          <w:rFonts w:ascii="Arial" w:eastAsia="Times New Roman" w:hAnsi="Arial" w:cs="Arial"/>
          <w:color w:val="000000" w:themeColor="text1"/>
          <w:sz w:val="20"/>
          <w:szCs w:val="20"/>
          <w:lang w:val="en-US" w:eastAsia="fr-FR"/>
        </w:rPr>
        <w:t xml:space="preserve"> significantly </w:t>
      </w:r>
      <w:r w:rsidR="00B64B12" w:rsidRPr="005250A4">
        <w:rPr>
          <w:rFonts w:ascii="Arial" w:eastAsia="Times New Roman" w:hAnsi="Arial" w:cs="Arial"/>
          <w:color w:val="000000" w:themeColor="text1"/>
          <w:sz w:val="20"/>
          <w:szCs w:val="20"/>
          <w:lang w:val="en-US" w:eastAsia="fr-FR"/>
        </w:rPr>
        <w:t>among the</w:t>
      </w:r>
      <w:r w:rsidRPr="005250A4">
        <w:rPr>
          <w:rFonts w:ascii="Arial" w:eastAsia="Times New Roman" w:hAnsi="Arial" w:cs="Arial"/>
          <w:color w:val="000000" w:themeColor="text1"/>
          <w:sz w:val="20"/>
          <w:szCs w:val="20"/>
          <w:lang w:val="en-US" w:eastAsia="fr-FR"/>
        </w:rPr>
        <w:t xml:space="preserve"> different organs.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w:t>
      </w:r>
      <w:r w:rsidR="00B64B12"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proofErr w:type="spellEnd"/>
      <w:r w:rsidRPr="005250A4">
        <w:rPr>
          <w:rFonts w:ascii="Arial" w:eastAsia="Times New Roman" w:hAnsi="Arial" w:cs="Arial"/>
          <w:color w:val="000000" w:themeColor="text1"/>
          <w:sz w:val="20"/>
          <w:szCs w:val="20"/>
          <w:lang w:val="en-US" w:eastAsia="fr-FR"/>
        </w:rPr>
        <w:t xml:space="preserve"> ha</w:t>
      </w:r>
      <w:r w:rsidR="00B64B12"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protein content in </w:t>
      </w:r>
      <w:r w:rsidR="00B64B12"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leaves (20.63 ± 0.10 g/100</w:t>
      </w:r>
      <w:r w:rsidR="00B64B12"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00A01A06" w:rsidRPr="005250A4">
        <w:rPr>
          <w:rFonts w:ascii="Arial" w:eastAsia="Times New Roman" w:hAnsi="Arial" w:cs="Arial"/>
          <w:color w:val="000000" w:themeColor="text1"/>
          <w:sz w:val="20"/>
          <w:szCs w:val="20"/>
          <w:lang w:val="en-US" w:eastAsia="fr-FR"/>
        </w:rPr>
        <w:t xml:space="preserve">highest </w:t>
      </w:r>
      <w:r w:rsidRPr="005250A4">
        <w:rPr>
          <w:rFonts w:ascii="Arial" w:eastAsia="Times New Roman" w:hAnsi="Arial" w:cs="Arial"/>
          <w:color w:val="000000" w:themeColor="text1"/>
          <w:sz w:val="20"/>
          <w:szCs w:val="20"/>
          <w:lang w:val="en-US" w:eastAsia="fr-FR"/>
        </w:rPr>
        <w:t xml:space="preserve">fiber content in </w:t>
      </w:r>
      <w:r w:rsidR="00A01A06" w:rsidRPr="005250A4">
        <w:rPr>
          <w:rFonts w:ascii="Arial" w:eastAsia="Times New Roman" w:hAnsi="Arial" w:cs="Arial"/>
          <w:color w:val="000000" w:themeColor="text1"/>
          <w:sz w:val="20"/>
          <w:szCs w:val="20"/>
          <w:lang w:val="en-US" w:eastAsia="fr-FR"/>
        </w:rPr>
        <w:t xml:space="preserve">its </w:t>
      </w:r>
      <w:r w:rsidRPr="005250A4">
        <w:rPr>
          <w:rFonts w:ascii="Arial" w:eastAsia="Times New Roman" w:hAnsi="Arial" w:cs="Arial"/>
          <w:color w:val="000000" w:themeColor="text1"/>
          <w:sz w:val="20"/>
          <w:szCs w:val="20"/>
          <w:lang w:val="en-US" w:eastAsia="fr-FR"/>
        </w:rPr>
        <w:t>fruit</w:t>
      </w:r>
      <w:r w:rsidR="00A01A06"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(13.04 ± 0.30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total lipid content (7.64 ± 0.03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total ash content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in the leaves. The fruits of both plants ha</w:t>
      </w:r>
      <w:r w:rsidR="00A01A06"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the highest available sugar content, </w:t>
      </w:r>
      <w:r w:rsidR="00A01A06" w:rsidRPr="005250A4">
        <w:rPr>
          <w:rFonts w:ascii="Arial" w:eastAsia="Times New Roman" w:hAnsi="Arial" w:cs="Arial"/>
          <w:color w:val="000000" w:themeColor="text1"/>
          <w:sz w:val="20"/>
          <w:szCs w:val="20"/>
          <w:lang w:val="en-US" w:eastAsia="fr-FR"/>
        </w:rPr>
        <w:t>at</w:t>
      </w:r>
      <w:r w:rsidRPr="005250A4">
        <w:rPr>
          <w:rFonts w:ascii="Arial" w:eastAsia="Times New Roman" w:hAnsi="Arial" w:cs="Arial"/>
          <w:color w:val="000000" w:themeColor="text1"/>
          <w:sz w:val="20"/>
          <w:szCs w:val="20"/>
          <w:lang w:val="en-US" w:eastAsia="fr-FR"/>
        </w:rPr>
        <w:t xml:space="preserve"> 56.71 ± 0.40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57.35 ± 0.80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These results indicate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are significant sources of sugars, followed by protein and fiber. Their energy intake range</w:t>
      </w:r>
      <w:r w:rsidR="00A01A06" w:rsidRPr="005250A4">
        <w:rPr>
          <w:rFonts w:ascii="Arial" w:eastAsia="Times New Roman" w:hAnsi="Arial" w:cs="Arial"/>
          <w:color w:val="000000" w:themeColor="text1"/>
          <w:sz w:val="20"/>
          <w:szCs w:val="20"/>
          <w:lang w:val="en-US" w:eastAsia="fr-FR"/>
        </w:rPr>
        <w:t xml:space="preserve">d </w:t>
      </w:r>
      <w:r w:rsidRPr="005250A4">
        <w:rPr>
          <w:rFonts w:ascii="Arial" w:eastAsia="Times New Roman" w:hAnsi="Arial" w:cs="Arial"/>
          <w:color w:val="000000" w:themeColor="text1"/>
          <w:sz w:val="20"/>
          <w:szCs w:val="20"/>
          <w:lang w:val="en-US" w:eastAsia="fr-FR"/>
        </w:rPr>
        <w:t xml:space="preserve">from 254.57 ± 1.13 to 319.24 ± 1.87 kcal. Similar results have been reported by several authors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leaves and </w:t>
      </w:r>
      <w:r w:rsidRPr="005250A4">
        <w:rPr>
          <w:rFonts w:ascii="Arial" w:eastAsia="Times New Roman" w:hAnsi="Arial" w:cs="Arial"/>
          <w:color w:val="000000" w:themeColor="text1"/>
          <w:sz w:val="20"/>
          <w:szCs w:val="20"/>
          <w:lang w:val="en-US" w:eastAsia="fr-FR"/>
        </w:rPr>
        <w:lastRenderedPageBreak/>
        <w:t>fruits of these two plants</w:t>
      </w:r>
      <w:r w:rsidR="00494694" w:rsidRPr="005250A4">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(Islam, 2013</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However, slight differences in the order of importance of these different compounds (sugars, fibers, and proteins) have been observed by other authors</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(Bawa &amp; Badrie, 2016</w:t>
      </w:r>
      <w:r w:rsidR="005830BB">
        <w:rPr>
          <w:rFonts w:ascii="Arial" w:eastAsia="Times New Roman" w:hAnsi="Arial" w:cs="Arial"/>
          <w:noProof/>
          <w:color w:val="000000" w:themeColor="text1"/>
          <w:sz w:val="20"/>
          <w:szCs w:val="20"/>
          <w:lang w:val="en-US" w:eastAsia="fr-FR"/>
        </w:rPr>
        <w:t>;</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5830BB">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val="en-US" w:eastAsia="fr-FR"/>
        </w:rPr>
        <w:t>Sha’a et al., 2019)</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This can be attributed to various factors, such as the soil and climate conditions specific to each plant, and the methods used to analyze the plant organs studied. As </w:t>
      </w:r>
      <w:r w:rsidR="00A01A06" w:rsidRPr="005250A4">
        <w:rPr>
          <w:rFonts w:ascii="Arial" w:eastAsia="Times New Roman" w:hAnsi="Arial" w:cs="Arial"/>
          <w:color w:val="000000" w:themeColor="text1"/>
          <w:sz w:val="20"/>
          <w:szCs w:val="20"/>
          <w:lang w:val="en-US" w:eastAsia="fr-FR"/>
        </w:rPr>
        <w:t>shown</w:t>
      </w:r>
      <w:r w:rsidRPr="005250A4">
        <w:rPr>
          <w:rFonts w:ascii="Arial" w:eastAsia="Times New Roman" w:hAnsi="Arial" w:cs="Arial"/>
          <w:color w:val="000000" w:themeColor="text1"/>
          <w:sz w:val="20"/>
          <w:szCs w:val="20"/>
          <w:lang w:val="en-US" w:eastAsia="fr-FR"/>
        </w:rPr>
        <w:t xml:space="preserve"> in Table 2, fruits may be more recommended for their high energy potential, as shown by</w:t>
      </w:r>
      <w:r w:rsidR="00494694" w:rsidRPr="005250A4">
        <w:rPr>
          <w:rFonts w:ascii="Arial" w:eastAsia="Times New Roman" w:hAnsi="Arial" w:cs="Arial"/>
          <w:color w:val="000000" w:themeColor="text1"/>
          <w:sz w:val="20"/>
          <w:szCs w:val="20"/>
          <w:lang w:val="en-US" w:eastAsia="fr-FR"/>
        </w:rPr>
        <w:t xml:space="preserve">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{"citationItems":[{"id":"ITEM-1","itemData":{"DOI":"10.1002/jsfa.6196","ISSN":"00225142","PMID":"23633245","abstract":"Indigenous fruits constitute an important part of human diets in many sub-Saharan African countries, particularly in rural areas and during droughts. In order to promote and expand the utilisation of these fruits, knowledge on their nutritional composition is essential. This review presents the results of a literature research of the nutritional composition of ten selected indigenous fruits from sub-Saharan Africa. Species were selected based on their current importance as well as their future potential for nutrition, processing and cash income generation. Compositional data were compiled and mean values of components per species were calculated. Most papers were compiled for Adansonia digitata (26) and Dacryodes edulis (16), followed by Tamarindus indica (ten), Balanites aegyptiaca (nine), Sclerocarya birrea (nine), Ziziphus mauritiana (nine), Vitex doniana (seven) and Irvingia gabonensis (five), and least for Uapaca kirkiana (three) and Syzygium guineense (three). Fruits were found to be mainly analysed for macronutrients and minerals. Vitamins, apart from vitamin C, were rarely reported. Substantial compositional differences were found among as well as within the different fruit species. The results of this study emphasise the need to generate more high-quality data on a wider spectrum of components of the selected indigenous fruits in sub-Saharan Africa. © 2013 Food and Agriculture Organization of the United Nations.","author":[{"dropping-particle":"","family":"Stadlmayr","given":"Barbara","non-dropping-particle":"","parse-names":false,"suffix":""},{"dropping-particle":"","family":"Charrondière","given":"U. Ruth","non-dropping-particle":"","parse-names":false,"suffix":""},{"dropping-particle":"","family":"Eisenwagen","given":"Sandra","non-dropping-particle":"","parse-names":false,"suffix":""},{"dropping-particle":"","family":"Jamnadass","given":"Ramni","non-dropping-particle":"","parse-names":false,"suffix":""},{"dropping-particle":"","family":"Kehlenbeck","given":"Katja","non-dropping-particle":"","parse-names":false,"suffix":""}],"container-title":"Journal of the Science of Food and Agriculture","id":"ITEM-1","issue":"11","issued":{"date-parts":[["2013"]]},"page":"2627-2636","title":"Nutrient composition of selected indigenous fruits from sub-Saharan Africa","type":"article-journal","volume":"93"},"uris":["http://www.mendeley.com/documents/?uuid=0d50144e-00b5-453a-a352-42c569a82bd4"]}],"mendeley":{"formattedCitation":"(Stadlmayr et al., 2013)","manualFormatting":"Stadlmayr et al. (2013)","plainTextFormattedCitation":"(Stadlmayr et al., 2013)","previouslyFormattedCitation":"(Stadlmayr et al., 2013)"},"properties":{"noteIndex":0},"schema":"https://github.com/citation-style-language/schema/raw/master/csl-citation.json"}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983239">
        <w:rPr>
          <w:rFonts w:ascii="Arial" w:eastAsia="Times New Roman" w:hAnsi="Arial" w:cs="Arial"/>
          <w:noProof/>
          <w:color w:val="000000" w:themeColor="text1"/>
          <w:sz w:val="20"/>
          <w:szCs w:val="20"/>
          <w:lang w:val="en-US" w:eastAsia="fr-FR"/>
        </w:rPr>
        <w:t xml:space="preserve">Stadlmayr et al. </w:t>
      </w:r>
      <w:r w:rsidR="00835B30" w:rsidRP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2013)</w:t>
      </w:r>
      <w:r w:rsidR="00494694" w:rsidRPr="005250A4">
        <w:rPr>
          <w:rFonts w:ascii="Arial" w:eastAsia="Times New Roman" w:hAnsi="Arial" w:cs="Arial"/>
          <w:color w:val="000000" w:themeColor="text1"/>
          <w:sz w:val="20"/>
          <w:szCs w:val="20"/>
          <w:lang w:val="en-US" w:eastAsia="fr-FR"/>
        </w:rPr>
        <w:fldChar w:fldCharType="end"/>
      </w:r>
      <w:r w:rsidR="00494694" w:rsidRPr="00835B30">
        <w:rPr>
          <w:rFonts w:ascii="Arial" w:eastAsia="Times New Roman" w:hAnsi="Arial" w:cs="Arial"/>
          <w:color w:val="000000" w:themeColor="text1"/>
          <w:sz w:val="20"/>
          <w:szCs w:val="20"/>
          <w:lang w:val="en-US" w:eastAsia="fr-FR"/>
        </w:rPr>
        <w:t xml:space="preserve"> and </w:t>
      </w:r>
      <w:r w:rsidR="00494694"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{"citationItems":[{"id":"ITEM-1","itemData":{"DOI":"10.1016/B978-0-12-408137-6.00005-3","ISBN":"9780124081376","abstract":"Chronic diseases such as heart disease, stroke, cancer and diabetes are a leading cause of mortality worldwide. Excess weight and outright obesity are a growing concern. Prevention of these problems is linked to lifestyle choices. There may be an evolutionary discordance between modern diets, rich in calories from fats and starches and low in fruits and vegetables, and human nutritional requirements. Consequently replacing some added sugars and saturated fat with more fruits and vegetables, may benefit health. A growing body of research indicates that fruit and vegetable consumption reduces the risk of major diseases and possibly delays the onset of age-related disorders. Traditional eating patterns of the Mediterranean region are associated with reduced cardiovascular disease. Although there is no single definition of a Mediterranean diet, descriptions emphasize the consumption of vegetables, fruits and nuts. In this chapter, we describe the main nutritional components and non-nutritional antioxidants present in fruits and vegetables, with special reference to the latest advancements. The influence of species, cultivar, maturity stage, postharvest storage conditions on these components is discussed. © 2014 Elsevier Inc. All rights reserved.","author":[{"dropping-particle":"","family":"Vincente","given":"Ariel R.","non-dropping-particle":"","parse-names":false,"suffix":""},{"dropping-particle":"","family":"Manganaris","given":"George A.","non-dropping-particle":"","parse-names":false,"suffix":""},{"dropping-particle":"","family":"Ortiz","given":"Cristian M.","non-dropping-particle":"","parse-names":false,"suffix":""},{"dropping-particle":"","family":"Sozzi","given":"Gabriel O.","non-dropping-particle":"","parse-names":false,"suffix":""},{"dropping-particle":"","family":"Crisosto","given":"Carlos H.","non-dropping-particle":"","parse-names":false,"suffix":""}],"container-title":"Postharvest Handling: A Systems Approach","id":"ITEM-1","issued":{"date-parts":[["2014"]]},"page":"69-122","title":"Nutritional Quality of Fruits and Vegetables","type":"chapter"},"uris":["http://www.mendeley.com/documents/?uuid=a6732b29-0638-4d49-8aff-c7412a5caa55"]}],"mendeley":{"formattedCitation":"(Vincente et al., 2014)","manualFormatting":"Vincente et al. (2014)","plainTextFormattedCitation":"(Vincente et al., 2014)","previouslyFormattedCitation":"(Vincente et al., 2014)"},"properties":{"noteIndex":0},"schema":"https://github.com/citation-style-language/schema/raw/master/csl-citation.json"}</w:instrText>
      </w:r>
      <w:r w:rsidR="00494694" w:rsidRPr="005250A4">
        <w:rPr>
          <w:rFonts w:ascii="Arial" w:eastAsia="Times New Roman" w:hAnsi="Arial" w:cs="Arial"/>
          <w:color w:val="000000" w:themeColor="text1"/>
          <w:sz w:val="20"/>
          <w:szCs w:val="20"/>
          <w:lang w:val="en-US" w:eastAsia="fr-FR"/>
        </w:rPr>
        <w:fldChar w:fldCharType="separate"/>
      </w:r>
      <w:r w:rsidR="00302617" w:rsidRPr="00835B30">
        <w:rPr>
          <w:rFonts w:ascii="Arial" w:eastAsia="Times New Roman" w:hAnsi="Arial" w:cs="Arial"/>
          <w:noProof/>
          <w:color w:val="000000" w:themeColor="text1"/>
          <w:sz w:val="20"/>
          <w:szCs w:val="20"/>
          <w:lang w:val="en-US" w:eastAsia="fr-FR"/>
        </w:rPr>
        <w:t xml:space="preserve">Vincente et al. </w:t>
      </w:r>
      <w:r w:rsidR="00835B30">
        <w:rPr>
          <w:rFonts w:ascii="Arial" w:eastAsia="Times New Roman" w:hAnsi="Arial" w:cs="Arial"/>
          <w:noProof/>
          <w:color w:val="000000" w:themeColor="text1"/>
          <w:sz w:val="20"/>
          <w:szCs w:val="20"/>
          <w:lang w:val="en-US" w:eastAsia="fr-FR"/>
        </w:rPr>
        <w:t>(</w:t>
      </w:r>
      <w:r w:rsidR="00302617" w:rsidRPr="00835B30">
        <w:rPr>
          <w:rFonts w:ascii="Arial" w:eastAsia="Times New Roman" w:hAnsi="Arial" w:cs="Arial"/>
          <w:noProof/>
          <w:color w:val="000000" w:themeColor="text1"/>
          <w:sz w:val="20"/>
          <w:szCs w:val="20"/>
          <w:lang w:val="en-US" w:eastAsia="fr-FR"/>
        </w:rPr>
        <w:t>2014)</w:t>
      </w:r>
      <w:r w:rsidR="00494694" w:rsidRPr="005250A4">
        <w:rPr>
          <w:rFonts w:ascii="Arial" w:eastAsia="Times New Roman" w:hAnsi="Arial" w:cs="Arial"/>
          <w:color w:val="000000" w:themeColor="text1"/>
          <w:sz w:val="20"/>
          <w:szCs w:val="20"/>
          <w:lang w:val="en-US" w:eastAsia="fr-FR"/>
        </w:rPr>
        <w:fldChar w:fldCharType="end"/>
      </w:r>
      <w:r w:rsidR="00A01A06" w:rsidRPr="00835B30">
        <w:rPr>
          <w:rFonts w:ascii="Arial" w:hAnsi="Arial" w:cs="Arial"/>
          <w:color w:val="000000" w:themeColor="text1"/>
          <w:sz w:val="20"/>
          <w:szCs w:val="20"/>
          <w:lang w:val="en-US"/>
        </w:rPr>
        <w:t>,</w:t>
      </w:r>
      <w:r w:rsidR="00181327" w:rsidRPr="00835B30">
        <w:rPr>
          <w:rFonts w:ascii="Arial" w:hAnsi="Arial" w:cs="Arial"/>
          <w:color w:val="000000" w:themeColor="text1"/>
          <w:sz w:val="20"/>
          <w:szCs w:val="20"/>
          <w:lang w:val="en-US"/>
        </w:rPr>
        <w:t xml:space="preserve"> </w:t>
      </w:r>
      <w:r w:rsidRPr="00835B30">
        <w:rPr>
          <w:rFonts w:ascii="Arial" w:eastAsia="Times New Roman" w:hAnsi="Arial" w:cs="Arial"/>
          <w:color w:val="000000" w:themeColor="text1"/>
          <w:sz w:val="20"/>
          <w:szCs w:val="20"/>
          <w:lang w:val="en-US" w:eastAsia="fr-FR"/>
        </w:rPr>
        <w:t>compared with leaves, which may be recommended for their high protei</w:t>
      </w:r>
      <w:r w:rsidR="00DF3CD1" w:rsidRPr="00835B30">
        <w:rPr>
          <w:rFonts w:ascii="Arial" w:eastAsia="Times New Roman" w:hAnsi="Arial" w:cs="Arial"/>
          <w:color w:val="000000" w:themeColor="text1"/>
          <w:sz w:val="20"/>
          <w:szCs w:val="20"/>
          <w:lang w:val="en-US" w:eastAsia="fr-FR"/>
        </w:rPr>
        <w:t>n potential, as shown by</w:t>
      </w:r>
      <w:r w:rsidR="00554987" w:rsidRPr="00835B30">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w:t>
      </w:r>
      <w:r w:rsidR="00DF3CD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On the other hand, the significant differences observed in crude fiber content should not prevent leaves and fruits from being appreciated by consumers, given their health benefits (ballast food, </w:t>
      </w:r>
      <w:proofErr w:type="spellStart"/>
      <w:r w:rsidRPr="005250A4">
        <w:rPr>
          <w:rFonts w:ascii="Arial" w:eastAsia="Times New Roman" w:hAnsi="Arial" w:cs="Arial"/>
          <w:color w:val="000000" w:themeColor="text1"/>
          <w:sz w:val="20"/>
          <w:szCs w:val="20"/>
          <w:lang w:val="en-US" w:eastAsia="fr-FR"/>
        </w:rPr>
        <w:t>satietogenic</w:t>
      </w:r>
      <w:proofErr w:type="spellEnd"/>
      <w:r w:rsidRPr="005250A4">
        <w:rPr>
          <w:rFonts w:ascii="Arial" w:eastAsia="Times New Roman" w:hAnsi="Arial" w:cs="Arial"/>
          <w:color w:val="000000" w:themeColor="text1"/>
          <w:sz w:val="20"/>
          <w:szCs w:val="20"/>
          <w:lang w:val="en-US" w:eastAsia="fr-FR"/>
        </w:rPr>
        <w:t xml:space="preserve"> power, lipase and </w:t>
      </w:r>
      <w:proofErr w:type="spellStart"/>
      <w:r w:rsidRPr="005250A4">
        <w:rPr>
          <w:rFonts w:ascii="Arial" w:eastAsia="Times New Roman" w:hAnsi="Arial" w:cs="Arial"/>
          <w:color w:val="000000" w:themeColor="text1"/>
          <w:sz w:val="20"/>
          <w:szCs w:val="20"/>
          <w:lang w:val="en-US" w:eastAsia="fr-FR"/>
        </w:rPr>
        <w:t>sucrase</w:t>
      </w:r>
      <w:proofErr w:type="spellEnd"/>
      <w:r w:rsidRPr="005250A4">
        <w:rPr>
          <w:rFonts w:ascii="Arial" w:eastAsia="Times New Roman" w:hAnsi="Arial" w:cs="Arial"/>
          <w:color w:val="000000" w:themeColor="text1"/>
          <w:sz w:val="20"/>
          <w:szCs w:val="20"/>
          <w:lang w:val="en-US" w:eastAsia="fr-FR"/>
        </w:rPr>
        <w:t xml:space="preserve"> trapping) </w:t>
      </w:r>
      <w:r w:rsidR="00181327"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{"citationItems":[{"id":"ITEM-1","itemData":{"DOI":"10.1111/jdi.12376","ISSN":"20401124","PMID":"26816602","abstract":"Aims/Introduction: Some previous studies reported no significant association of consuming fruit or vegetables, or fruit and vegetables combined, with type 2 diabetes. Others reported that only a greater intake of green leafy vegetables reduced the risk of type 2 diabetes. To further investigate the relationship between them, we carried out a meta-analysis to estimate the independent effects of the intake of fruit, vegetables and fiber on the risk of type 2 diabetes. Materials and Methods: Searches of MEDLINE and EMBASE for reports of prospective cohort studies published from 1 January 1966 to 21 July 2014 were carried out, checking reference lists, hand-searching journals and contacting experts. Results: The primary analysis included a total of 23 (11 + 12) articles. The pooled maximum-adjusted relative risk of type 2 diabetes for the highest intake vs the lowest intake were 0.91 (95% confidence interval [CI] 0.87-0.96) for total fruits, 0.75 (95% CI 0.66-0.84) for blueberries, 0.87 (95% CI 0.81-0.93) for green leafy vegetables, 0.72 (95% CI 0.57-0.90) for yellow vegetables, 0.82 (95% CI 0.67-0.99) for cruciferous vegetables and 0.93 (95% CI 0.88-0.99) for fruit fiber in these high-quality studies in which scores were seven or greater, and 0.87 (95% CI 0.80-0.94) for vegetable fiber in studies with a follow-up period of 10 years or more. Conclusions: A higher intake of fruit, especially berries, and green leafy vegetables, yellow vegetables, cruciferous vegetables or their fiber is associated with a lower risk of type 2 diabetes.","author":[{"dropping-particle":"","family":"Wang","given":"Ping Yu","non-dropping-particle":"","parse-names":false,"suffix":""},{"dropping-particle":"","family":"Fang","given":"Jun Chao","non-dropping-particle":"","parse-names":false,"suffix":""},{"dropping-particle":"","family":"Gao","given":"Zong Hua","non-dropping-particle":"","parse-names":false,"suffix":""},{"dropping-particle":"","family":"Zhang","given":"Can","non-dropping-particle":"","parse-names":false,"suffix":""},{"dropping-particle":"","family":"Xie","given":"Shu Yang","non-dropping-particle":"","parse-names":false,"suffix":""}],"container-title":"Journal of Diabetes Investigation","id":"ITEM-1","issue":"1","issued":{"date-parts":[["2016"]]},"page":"56-69","title":"Higher intake of fruits, vegetables or their fiber reduces the risk of type 2 diabetes: A meta-analysis","type":"article-journal","volume":"7"},"uris":["http://www.mendeley.com/documents/?uuid=ea0b0b52-c73d-41e2-a666-174d5354321c"]}],"mendeley":{"formattedCitation":"(Wang et al., 2016)","plainTextFormattedCitation":"(Wang et al., 2016)","previouslyFormattedCitation":"(Wang et al., 2016)"},"properties":{"noteIndex":0},"schema":"https://github.com/citation-style-language/schema/raw/master/csl-citation.json"}</w:instrText>
      </w:r>
      <w:r w:rsidR="00181327"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(Wang et al., 2016)</w:t>
      </w:r>
      <w:r w:rsidR="00181327"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w:t>
      </w:r>
    </w:p>
    <w:p w14:paraId="7AFF6F01" w14:textId="68B209D4" w:rsidR="00D02EBF" w:rsidRPr="005250A4" w:rsidRDefault="00813887" w:rsidP="00D02EB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Given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 xml:space="preserve">and 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are recommended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the fight against chronic diseases and numerous other pathologies (type 2 diabetes, obesity, cancer, colic, dysentery etc.)</w:t>
      </w:r>
      <w:r w:rsidR="005830BB">
        <w:rPr>
          <w:rFonts w:ascii="Arial" w:eastAsia="Times New Roman" w:hAnsi="Arial" w:cs="Arial"/>
          <w:color w:val="000000" w:themeColor="text1"/>
          <w:sz w:val="20"/>
          <w:szCs w:val="20"/>
          <w:lang w:val="en-US" w:eastAsia="fr-FR"/>
        </w:rPr>
        <w:t xml:space="preserve"> </w:t>
      </w:r>
      <w:r w:rsidR="005830BB">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 xml:space="preserve">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 </w:instrText>
      </w:r>
      <w:r w:rsidR="00DD6338" w:rsidRPr="00885888">
        <w:rPr>
          <w:rFonts w:ascii="Arial" w:eastAsia="Times New Roman" w:hAnsi="Arial" w:cs="Arial"/>
          <w:color w:val="000000" w:themeColor="text1"/>
          <w:sz w:val="20"/>
          <w:szCs w:val="20"/>
          <w:lang w:val="en-US" w:eastAsia="fr-FR"/>
        </w:rPr>
        <w:instrText>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(Islam, 2013;</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 Gemede et al., 2015;","plainTextFormattedCitation":"(Gemede et al., 2015)","previouslyFormattedCitation":"(Gemede et al., 2015)"},"properties":{"noteIndex":0},"schema":"https://github.com/citation-style-language/schema/raw/master/csl-citation.json"}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Gemede et al., 2015;</w:t>
      </w:r>
      <w:r w:rsidR="005830BB">
        <w:rPr>
          <w:rFonts w:ascii="Arial" w:eastAsia="Times New Roman" w:hAnsi="Arial" w:cs="Arial"/>
          <w:color w:val="000000" w:themeColor="text1"/>
          <w:sz w:val="20"/>
          <w:szCs w:val="20"/>
          <w:lang w:val="en-US" w:eastAsia="fr-FR"/>
        </w:rPr>
        <w:fldChar w:fldCharType="end"/>
      </w:r>
      <w:r w:rsidR="005830BB">
        <w:rPr>
          <w:rFonts w:ascii="Arial" w:eastAsia="Times New Roman" w:hAnsi="Arial" w:cs="Arial"/>
          <w:color w:val="000000" w:themeColor="text1"/>
          <w:sz w:val="20"/>
          <w:szCs w:val="20"/>
          <w:lang w:val="en-US" w:eastAsia="fr-FR"/>
        </w:rPr>
        <w:fldChar w:fldCharType="begin" w:fldLock="1"/>
      </w:r>
      <w:r w:rsidR="005830BB" w:rsidRPr="005830BB">
        <w:rPr>
          <w:rFonts w:ascii="Arial" w:eastAsia="Times New Roman" w:hAnsi="Arial" w:cs="Arial"/>
          <w:color w:val="000000" w:themeColor="text1"/>
          <w:sz w:val="20"/>
          <w:szCs w:val="20"/>
          <w:lang w:eastAsia="fr-FR"/>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2016)","manualFormatting":" Bawa &amp; Badrie, 2016)","plainTextFormattedCitation":"(Bawa &amp; Badrie, 2016)","previouslyFormattedCitation":"(Bawa &amp; Badrie, 2016)"},"properties":{"noteIndex":0},"schema":"https://github.com/citation-style-language/schema/raw/master/csl-citation.json"}</w:instrText>
      </w:r>
      <w:r w:rsidR="005830BB">
        <w:rPr>
          <w:rFonts w:ascii="Arial" w:eastAsia="Times New Roman" w:hAnsi="Arial" w:cs="Arial"/>
          <w:color w:val="000000" w:themeColor="text1"/>
          <w:sz w:val="20"/>
          <w:szCs w:val="20"/>
          <w:lang w:val="en-US" w:eastAsia="fr-FR"/>
        </w:rPr>
        <w:fldChar w:fldCharType="separate"/>
      </w:r>
      <w:r w:rsidR="005830BB" w:rsidRPr="005830BB">
        <w:rPr>
          <w:rFonts w:ascii="Arial" w:eastAsia="Times New Roman" w:hAnsi="Arial" w:cs="Arial"/>
          <w:noProof/>
          <w:color w:val="000000" w:themeColor="text1"/>
          <w:sz w:val="20"/>
          <w:szCs w:val="20"/>
          <w:lang w:eastAsia="fr-FR"/>
        </w:rPr>
        <w:t xml:space="preserve"> Bawa &amp; Badrie, 2016)</w:t>
      </w:r>
      <w:r w:rsidR="005830BB">
        <w:rPr>
          <w:rFonts w:ascii="Arial" w:eastAsia="Times New Roman" w:hAnsi="Arial" w:cs="Arial"/>
          <w:color w:val="000000" w:themeColor="text1"/>
          <w:sz w:val="20"/>
          <w:szCs w:val="20"/>
          <w:lang w:val="en-US" w:eastAsia="fr-FR"/>
        </w:rPr>
        <w:fldChar w:fldCharType="end"/>
      </w:r>
      <w:r w:rsidR="005830BB"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the total </w:t>
      </w:r>
      <w:proofErr w:type="spellStart"/>
      <w:r w:rsidRPr="005830BB">
        <w:rPr>
          <w:rFonts w:ascii="Arial" w:eastAsia="Times New Roman" w:hAnsi="Arial" w:cs="Arial"/>
          <w:color w:val="000000" w:themeColor="text1"/>
          <w:sz w:val="20"/>
          <w:szCs w:val="20"/>
          <w:lang w:eastAsia="fr-FR"/>
        </w:rPr>
        <w:t>lipid</w:t>
      </w:r>
      <w:proofErr w:type="spellEnd"/>
      <w:r w:rsidRPr="005830BB">
        <w:rPr>
          <w:rFonts w:ascii="Arial" w:eastAsia="Times New Roman" w:hAnsi="Arial" w:cs="Arial"/>
          <w:color w:val="000000" w:themeColor="text1"/>
          <w:sz w:val="20"/>
          <w:szCs w:val="20"/>
          <w:lang w:eastAsia="fr-FR"/>
        </w:rPr>
        <w:t xml:space="preserve"> content of </w:t>
      </w:r>
      <w:r w:rsidR="00A01A06" w:rsidRPr="005830BB">
        <w:rPr>
          <w:rFonts w:ascii="Arial" w:eastAsia="Times New Roman" w:hAnsi="Arial" w:cs="Arial"/>
          <w:color w:val="000000" w:themeColor="text1"/>
          <w:sz w:val="20"/>
          <w:szCs w:val="20"/>
          <w:lang w:eastAsia="fr-FR"/>
        </w:rPr>
        <w:t xml:space="preserve">the </w:t>
      </w:r>
      <w:proofErr w:type="spellStart"/>
      <w:r w:rsidRPr="005830BB">
        <w:rPr>
          <w:rFonts w:ascii="Arial" w:eastAsia="Times New Roman" w:hAnsi="Arial" w:cs="Arial"/>
          <w:color w:val="000000" w:themeColor="text1"/>
          <w:sz w:val="20"/>
          <w:szCs w:val="20"/>
          <w:lang w:eastAsia="fr-FR"/>
        </w:rPr>
        <w:t>leaves</w:t>
      </w:r>
      <w:proofErr w:type="spellEnd"/>
      <w:r w:rsidRPr="005830BB">
        <w:rPr>
          <w:rFonts w:ascii="Arial" w:eastAsia="Times New Roman" w:hAnsi="Arial" w:cs="Arial"/>
          <w:color w:val="000000" w:themeColor="text1"/>
          <w:sz w:val="20"/>
          <w:szCs w:val="20"/>
          <w:lang w:eastAsia="fr-FR"/>
        </w:rPr>
        <w:t xml:space="preserve"> (5.29 ± 0.01 and 7.64 ± 0.03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which</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is</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higher</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than</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that</w:t>
      </w:r>
      <w:proofErr w:type="spellEnd"/>
      <w:r w:rsidRPr="005830BB">
        <w:rPr>
          <w:rFonts w:ascii="Arial" w:eastAsia="Times New Roman" w:hAnsi="Arial" w:cs="Arial"/>
          <w:color w:val="000000" w:themeColor="text1"/>
          <w:sz w:val="20"/>
          <w:szCs w:val="20"/>
          <w:lang w:eastAsia="fr-FR"/>
        </w:rPr>
        <w:t xml:space="preserve"> of </w:t>
      </w:r>
      <w:r w:rsidR="00A01A06" w:rsidRPr="005830BB">
        <w:rPr>
          <w:rFonts w:ascii="Arial" w:eastAsia="Times New Roman" w:hAnsi="Arial" w:cs="Arial"/>
          <w:color w:val="000000" w:themeColor="text1"/>
          <w:sz w:val="20"/>
          <w:szCs w:val="20"/>
          <w:lang w:eastAsia="fr-FR"/>
        </w:rPr>
        <w:t xml:space="preserve">the </w:t>
      </w:r>
      <w:r w:rsidRPr="005830BB">
        <w:rPr>
          <w:rFonts w:ascii="Arial" w:eastAsia="Times New Roman" w:hAnsi="Arial" w:cs="Arial"/>
          <w:color w:val="000000" w:themeColor="text1"/>
          <w:sz w:val="20"/>
          <w:szCs w:val="20"/>
          <w:lang w:eastAsia="fr-FR"/>
        </w:rPr>
        <w:t>fruit (1.81 ± 0.01 and 2.70 ± 0.01 g/100</w:t>
      </w:r>
      <w:r w:rsidR="00A01A06" w:rsidRPr="005830BB">
        <w:rPr>
          <w:rFonts w:ascii="Arial" w:eastAsia="Times New Roman" w:hAnsi="Arial" w:cs="Arial"/>
          <w:color w:val="000000" w:themeColor="text1"/>
          <w:sz w:val="20"/>
          <w:szCs w:val="20"/>
          <w:lang w:eastAsia="fr-FR"/>
        </w:rPr>
        <w:t xml:space="preserve"> </w:t>
      </w:r>
      <w:r w:rsidRPr="005830BB">
        <w:rPr>
          <w:rFonts w:ascii="Arial" w:eastAsia="Times New Roman" w:hAnsi="Arial" w:cs="Arial"/>
          <w:color w:val="000000" w:themeColor="text1"/>
          <w:sz w:val="20"/>
          <w:szCs w:val="20"/>
          <w:lang w:eastAsia="fr-FR"/>
        </w:rPr>
        <w:t xml:space="preserve">g DM, </w:t>
      </w:r>
      <w:proofErr w:type="spellStart"/>
      <w:r w:rsidRPr="005830BB">
        <w:rPr>
          <w:rFonts w:ascii="Arial" w:eastAsia="Times New Roman" w:hAnsi="Arial" w:cs="Arial"/>
          <w:color w:val="000000" w:themeColor="text1"/>
          <w:sz w:val="20"/>
          <w:szCs w:val="20"/>
          <w:lang w:eastAsia="fr-FR"/>
        </w:rPr>
        <w:t>respectively</w:t>
      </w:r>
      <w:proofErr w:type="spellEnd"/>
      <w:r w:rsidRPr="005830BB">
        <w:rPr>
          <w:rFonts w:ascii="Arial" w:eastAsia="Times New Roman" w:hAnsi="Arial" w:cs="Arial"/>
          <w:color w:val="000000" w:themeColor="text1"/>
          <w:sz w:val="20"/>
          <w:szCs w:val="20"/>
          <w:lang w:eastAsia="fr-FR"/>
        </w:rPr>
        <w:t xml:space="preserve">), </w:t>
      </w:r>
      <w:proofErr w:type="spellStart"/>
      <w:r w:rsidR="00535C77" w:rsidRPr="005830BB">
        <w:rPr>
          <w:rFonts w:ascii="Arial" w:eastAsia="Times New Roman" w:hAnsi="Arial" w:cs="Arial"/>
          <w:color w:val="000000" w:themeColor="text1"/>
          <w:sz w:val="20"/>
          <w:szCs w:val="20"/>
          <w:lang w:eastAsia="fr-FR"/>
        </w:rPr>
        <w:t>cannot</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be</w:t>
      </w:r>
      <w:proofErr w:type="spellEnd"/>
      <w:r w:rsidRPr="005830BB">
        <w:rPr>
          <w:rFonts w:ascii="Arial" w:eastAsia="Times New Roman" w:hAnsi="Arial" w:cs="Arial"/>
          <w:color w:val="000000" w:themeColor="text1"/>
          <w:sz w:val="20"/>
          <w:szCs w:val="20"/>
          <w:lang w:eastAsia="fr-FR"/>
        </w:rPr>
        <w:t xml:space="preserve"> </w:t>
      </w:r>
      <w:proofErr w:type="spellStart"/>
      <w:r w:rsidRPr="005830BB">
        <w:rPr>
          <w:rFonts w:ascii="Arial" w:eastAsia="Times New Roman" w:hAnsi="Arial" w:cs="Arial"/>
          <w:color w:val="000000" w:themeColor="text1"/>
          <w:sz w:val="20"/>
          <w:szCs w:val="20"/>
          <w:lang w:eastAsia="fr-FR"/>
        </w:rPr>
        <w:t>overlooked</w:t>
      </w:r>
      <w:proofErr w:type="spellEnd"/>
      <w:r w:rsidRPr="005830BB">
        <w:rPr>
          <w:rFonts w:ascii="Arial" w:eastAsia="Times New Roman" w:hAnsi="Arial" w:cs="Arial"/>
          <w:color w:val="000000" w:themeColor="text1"/>
          <w:sz w:val="20"/>
          <w:szCs w:val="20"/>
          <w:lang w:eastAsia="fr-FR"/>
        </w:rPr>
        <w:t xml:space="preserve">. </w:t>
      </w:r>
      <w:r w:rsidRPr="005250A4">
        <w:rPr>
          <w:rFonts w:ascii="Arial" w:eastAsia="Times New Roman" w:hAnsi="Arial" w:cs="Arial"/>
          <w:color w:val="000000" w:themeColor="text1"/>
          <w:sz w:val="20"/>
          <w:szCs w:val="20"/>
          <w:lang w:val="en-US" w:eastAsia="fr-FR"/>
        </w:rPr>
        <w:t>This can significantly increase the energy value of the two organs studied. Similar contents (1.38 to 7.01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{"citationItems":[{"id":"ITEM-1","itemData":{"abstract":"Le présent travail porte sur l'importance nutritionnelle des légumes-feuilles consommés dans la localité de Bini-Dang situé dans la savane de l'Adamaoua à Ngaoundéré (Cameroun). Premièrement, une en-quête a été faite sur quelques données ethnonutri-tionnelles sur l'utilisation et la consommation des légumes-feuilles. Deuxièmement, les analyses phy-sico-chimiques sur huit espèces de légumes-feuilles les plus consommés choisies parmi les espèces recensées dans la même localité ont été effectuées. Les huit légumes-feuilles analysés sont: Thalinum tri-angulare, Momordica charantia, Moringa oleifera, Hibiscus cannabinus, H. sabdariffa, Cerathotheca sesamoïdes, Corchorus olithorus et Vigna unguicu-lata. Des résultats obtenus, il ressort que dans cette localité, 19 groupes ethniques ont été recensés dans 103 ménages pour une population de 621 habitants (adultes et enfants). Vingt-quatre légumes-feuilles appartenant à des espèces variées sont consommés. 66,66% sont cultivés alors que 33,33% sont cueillis dans la nature car poussent spontanément sans aucun soin humain. Les analyses physico-chimiques (P≤ 0,05) montrent que les sucres totaux représentent 43,35 ± 0,03% (C. olithorus) à 50,16 ± 0,01% (H. sab-dariffa) et les protéines sont en proportions non négli-geables de 18,39 ± 0,01% (H. sabdariffa) à 26,48 ± 0,01% (V. unguiculata) par rapport à la matière sèche (MS). Les cendres sont aussi importantes avec des teneurs comprises entre 8% (M. oleifera) et 14% (T. triangulare). Le minéral le plus représentatif est le fer avec 3,81 ± 0,12% pour M. oleifera; 10,13 ± 0,36% pour M. charantia. V. unguiculata (4,92% ± 0,77 MS) et T. triangulare (4,59 ± 0,72%) ont la plus grande teneur en vitamine C. Les pigments naturels et les antinutritionnels ont des faibles valeurs. Quant aux fibres alimentaires, les valeurs sont comprises entre 10,63 ± 0,18% MS (M. charantia) et 15,40 ± 0,13% MS (H. sabdariffa). En somme, les légumes-feuilles consommés pourraient constituer pour cette population un supplément alimentaire important. Summary Ethnonutritional Data and Physicochemical Characteristics of Consumed Leafy Vegetables in the Adamawa Savannah (Cameroon) The present study is focussed on the nutritional importance of consumed leafy vegetables in Bini-Dang situated in the Adamawa savannah in Ngaoundere (Cameroon). Firstly, inquiries are held on some ethnonutritional data on the usage and consumption of leafy vegetables. Secondly, physico-chemical analyses have been carried out o…","author":[{"dropping-particle":"","family":"Tchiégang","given":"C","non-dropping-particle":"","parse-names":false,"suffix":""},{"dropping-particle":"","family":"Aissatou","given":"Kitikil","non-dropping-particle":"","parse-names":false,"suffix":""}],"container-title":"Ecole Nationale Supérieure des Sciences Agro-Industrielles","id":"ITEM-1","issued":{"date-parts":[["2004"]]},"number-of-pages":"5","publisher":"ENSAI","title":"Données ethnonutritionnelles et caractéristiques physico-chimiques des légumes-feuilles consommés dans la savane de l'Adamaoua (Cameroun)","type":"report","volume":"22"},"uris":["http://www.mendeley.com/documents/?uuid=315b87b5-aab3-3f4e-a5a6-43f881debe81"]}],"mendeley":{"formattedCitation":"(Tchiégang &amp; Aissatou, 2004)","manualFormatting":"Tchiégang &amp; Aissatou (2004)","plainTextFormattedCitation":"(Tchiégang &amp; Aissatou, 2004)","previouslyFormattedCitation":"(Tchiégang &amp; Aissatou, 2004)"},"properties":{"noteIndex":0},"schema":"https://github.com/citation-style-language/schema/raw/master/csl-citation.json"}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Tchiégang &amp; Aissatou</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2004)</w:t>
      </w:r>
      <w:r w:rsidR="00554987" w:rsidRPr="005250A4">
        <w:rPr>
          <w:rFonts w:ascii="Arial" w:eastAsia="Times New Roman" w:hAnsi="Arial" w:cs="Arial"/>
          <w:color w:val="000000" w:themeColor="text1"/>
          <w:sz w:val="20"/>
          <w:szCs w:val="20"/>
          <w:lang w:val="en-US" w:eastAsia="fr-FR"/>
        </w:rPr>
        <w:fldChar w:fldCharType="end"/>
      </w:r>
      <w:r w:rsidR="00181327" w:rsidRPr="005250A4">
        <w:rPr>
          <w:rFonts w:ascii="Arial" w:hAnsi="Arial" w:cs="Arial"/>
          <w:color w:val="000000" w:themeColor="text1"/>
          <w:sz w:val="20"/>
          <w:szCs w:val="20"/>
          <w:lang w:val="en-US"/>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several leafy vegetables grown and commonly consumed in Cameroon. The same observation applies to total ash content. In fact, ash indicates the mineral content of leaves and fruit (Table 2). The </w:t>
      </w:r>
      <w:r w:rsidR="00A01A06" w:rsidRPr="005250A4">
        <w:rPr>
          <w:rFonts w:ascii="Arial" w:eastAsia="Times New Roman" w:hAnsi="Arial" w:cs="Arial"/>
          <w:color w:val="000000" w:themeColor="text1"/>
          <w:sz w:val="20"/>
          <w:szCs w:val="20"/>
          <w:lang w:val="en-US" w:eastAsia="fr-FR"/>
        </w:rPr>
        <w:t xml:space="preserve">values </w:t>
      </w:r>
      <w:r w:rsidRPr="005250A4">
        <w:rPr>
          <w:rFonts w:ascii="Arial" w:eastAsia="Times New Roman" w:hAnsi="Arial" w:cs="Arial"/>
          <w:color w:val="000000" w:themeColor="text1"/>
          <w:sz w:val="20"/>
          <w:szCs w:val="20"/>
          <w:lang w:val="en-US" w:eastAsia="fr-FR"/>
        </w:rPr>
        <w:t xml:space="preserve">obtained in this study </w:t>
      </w:r>
      <w:r w:rsidR="00A01A06" w:rsidRPr="005250A4">
        <w:rPr>
          <w:rFonts w:ascii="Arial" w:eastAsia="Times New Roman" w:hAnsi="Arial" w:cs="Arial"/>
          <w:color w:val="000000" w:themeColor="text1"/>
          <w:sz w:val="20"/>
          <w:szCs w:val="20"/>
          <w:lang w:val="en-US" w:eastAsia="fr-FR"/>
        </w:rPr>
        <w:t>were</w:t>
      </w:r>
      <w:r w:rsidRPr="005250A4">
        <w:rPr>
          <w:rFonts w:ascii="Arial" w:eastAsia="Times New Roman" w:hAnsi="Arial" w:cs="Arial"/>
          <w:color w:val="000000" w:themeColor="text1"/>
          <w:sz w:val="20"/>
          <w:szCs w:val="20"/>
          <w:lang w:val="en-US" w:eastAsia="fr-FR"/>
        </w:rPr>
        <w:t xml:space="preserve"> high (7.61 ± 0.10 to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particularly in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i/>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fruits (12.95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leaves (15.22 ± 0.10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T</w:t>
      </w:r>
      <w:r w:rsidR="00A01A06" w:rsidRPr="005250A4">
        <w:rPr>
          <w:rFonts w:ascii="Arial" w:eastAsia="Times New Roman" w:hAnsi="Arial" w:cs="Arial"/>
          <w:color w:val="000000" w:themeColor="text1"/>
          <w:sz w:val="20"/>
          <w:szCs w:val="20"/>
          <w:lang w:val="en-US" w:eastAsia="fr-FR"/>
        </w:rPr>
        <w:t>herefore, t</w:t>
      </w:r>
      <w:r w:rsidRPr="005250A4">
        <w:rPr>
          <w:rFonts w:ascii="Arial" w:eastAsia="Times New Roman" w:hAnsi="Arial" w:cs="Arial"/>
          <w:color w:val="000000" w:themeColor="text1"/>
          <w:sz w:val="20"/>
          <w:szCs w:val="20"/>
          <w:lang w:val="en-US" w:eastAsia="fr-FR"/>
        </w:rPr>
        <w:t>hey should</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not be neglected when ass</w:t>
      </w:r>
      <w:r w:rsidR="004C6671" w:rsidRPr="005250A4">
        <w:rPr>
          <w:rFonts w:ascii="Arial" w:eastAsia="Times New Roman" w:hAnsi="Arial" w:cs="Arial"/>
          <w:color w:val="000000" w:themeColor="text1"/>
          <w:sz w:val="20"/>
          <w:szCs w:val="20"/>
          <w:lang w:val="en-US" w:eastAsia="fr-FR"/>
        </w:rPr>
        <w:t>essing the nutri</w:t>
      </w:r>
      <w:r w:rsidR="00201FD5" w:rsidRPr="005250A4">
        <w:rPr>
          <w:rFonts w:ascii="Arial" w:eastAsia="Times New Roman" w:hAnsi="Arial" w:cs="Arial"/>
          <w:color w:val="000000" w:themeColor="text1"/>
          <w:sz w:val="20"/>
          <w:szCs w:val="20"/>
          <w:lang w:val="en-US" w:eastAsia="fr-FR"/>
        </w:rPr>
        <w:t>ent</w:t>
      </w:r>
      <w:r w:rsidR="004C6671" w:rsidRPr="005250A4">
        <w:rPr>
          <w:rFonts w:ascii="Arial" w:eastAsia="Times New Roman" w:hAnsi="Arial" w:cs="Arial"/>
          <w:color w:val="000000" w:themeColor="text1"/>
          <w:sz w:val="20"/>
          <w:szCs w:val="20"/>
          <w:lang w:val="en-US" w:eastAsia="fr-FR"/>
        </w:rPr>
        <w:t xml:space="preserve"> density</w:t>
      </w:r>
      <w:r w:rsidRPr="005250A4">
        <w:rPr>
          <w:rFonts w:ascii="Arial" w:eastAsia="Times New Roman" w:hAnsi="Arial" w:cs="Arial"/>
          <w:color w:val="000000" w:themeColor="text1"/>
          <w:sz w:val="20"/>
          <w:szCs w:val="20"/>
          <w:lang w:val="en-US" w:eastAsia="fr-FR"/>
        </w:rPr>
        <w:t xml:space="preserve"> of the organs of these two plants. These results are lower than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{"citationItems":[{"id":"ITEM-1","itemData":{"DOI":"10.3390/su12135401","ISBN":"3727313927","ISSN":"20711050","abstract":"Agri-food industries generate enormous amounts of fruit and vegetable processing wastes, which opens up an important research area aimed towards minimizing and managing them efficiently to support zero wastes and/or circular economy concept. These wastes remain underutilized owing to a lack of appropriate processing technologies vital for their efficient valorization, especially for recovery of health beneficial bioactives like dietary fibers. Dietary fiber finds wide applications in food and pharmaceutical industries and holds high promise as a potential food additive and/or as a functional food ingredient to meet the techno-functional purposes important for developing health-promoting value-added products. Based on this, the present review has been designed to support 'zero waste' and 'waste to wealth' concepts. In addition, the focus revolves around providing updated information on various sustainability challenges incurred towards valorization of fruit and vegetable wastes for extraction of health promoting dietary fibers.","author":[{"dropping-particle":"","family":"Hussain","given":"Shehzad","non-dropping-particle":"","parse-names":false,"suffix":""},{"dropping-particle":"","family":"Jõudu","given":"Ivi","non-dropping-particle":"","parse-names":false,"suffix":""},{"dropping-particle":"","family":"Bhat","given":"Rajeev","non-dropping-particle":"","parse-names":false,"suffix":""}],"container-title":"Sustainability (Switzerland)","id":"ITEM-1","issue":"13","issued":{"date-parts":[["2020"]]},"title":"Dietary fiber from underutilized plant resources-A positive approach for valorization of fruit and vegetable wastes","type":"article-journal","volume":"12"},"uris":["http://www.mendeley.com/documents/?uuid=16eb80d0-a34c-4191-a250-10db630c2bdd"]}],"mendeley":{"formattedCitation":"(Hussain et al., 2020)","manualFormatting":"Hussain et al. (2020)","plainTextFormattedCitation":"(Hussain et al., 2020)","previouslyFormattedCitation":"(Hussain et al., 2020)"},"properties":{"noteIndex":0},"schema":"https://github.com/citation-style-language/schema/raw/master/csl-citation.json"}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Hussain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fruits (2.45 ± 0.09 g/100</w:t>
      </w:r>
      <w:r w:rsidR="00A01A0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similar to those reported by</w:t>
      </w:r>
      <w:r w:rsidR="00554987" w:rsidRPr="005250A4">
        <w:rPr>
          <w:rFonts w:ascii="Arial" w:eastAsia="Times New Roman" w:hAnsi="Arial" w:cs="Arial"/>
          <w:color w:val="000000" w:themeColor="text1"/>
          <w:sz w:val="20"/>
          <w:szCs w:val="20"/>
          <w:lang w:val="en-US" w:eastAsia="fr-FR"/>
        </w:rPr>
        <w:t xml:space="preserve"> </w:t>
      </w:r>
      <w:r w:rsidR="00554987"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{"citationItems":[{"id":"ITEM-1","itemData":{"DOI":"https://dx.doi.org/10.4314/ijbcs.v13i4.21","abstract":"Leafy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olitorius plant","type":"article-journal","volume":"13"},"uris":["http://www.mendeley.com/documents/?uuid=d1e8808f-60d4-4571-8393-412c104d6ba4"]}],"mendeley":{"formattedCitation":"(Sha’a et al., 2019)","manualFormatting":"Sha’a et al. (2019)","plainTextFormattedCitation":"(Sha’a et al., 2019)","previouslyFormattedCitation":"(Sha’a et al., 2019)"},"properties":{"noteIndex":0},"schema":"https://github.com/citation-style-language/schema/raw/master/csl-citation.json"}</w:instrText>
      </w:r>
      <w:r w:rsidR="00554987"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Sha’a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2019)</w:t>
      </w:r>
      <w:r w:rsidR="00554987" w:rsidRPr="005250A4">
        <w:rPr>
          <w:rFonts w:ascii="Arial" w:eastAsia="Times New Roman" w:hAnsi="Arial" w:cs="Arial"/>
          <w:color w:val="000000" w:themeColor="text1"/>
          <w:sz w:val="20"/>
          <w:szCs w:val="20"/>
          <w:lang w:val="en-US" w:eastAsia="fr-FR"/>
        </w:rPr>
        <w:fldChar w:fldCharType="end"/>
      </w:r>
      <w:r w:rsidR="00554987" w:rsidRPr="005250A4">
        <w:rPr>
          <w:rFonts w:ascii="Arial" w:eastAsia="Times New Roman" w:hAnsi="Arial" w:cs="Arial"/>
          <w:color w:val="000000" w:themeColor="text1"/>
          <w:sz w:val="20"/>
          <w:szCs w:val="20"/>
          <w:lang w:val="en-US" w:eastAsia="fr-FR"/>
        </w:rPr>
        <w:t xml:space="preserve"> </w:t>
      </w:r>
      <w:r w:rsidR="00A01A06"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leaves (15.00 ± 0.11g/100</w:t>
      </w:r>
      <w:r w:rsidR="00D64E60"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 observed differences between these </w:t>
      </w:r>
      <w:r w:rsidR="00D02EBF" w:rsidRPr="005250A4">
        <w:rPr>
          <w:rFonts w:ascii="Arial" w:eastAsia="Times New Roman" w:hAnsi="Arial" w:cs="Arial"/>
          <w:color w:val="000000" w:themeColor="text1"/>
          <w:sz w:val="20"/>
          <w:szCs w:val="20"/>
          <w:lang w:val="en-US" w:eastAsia="fr-FR"/>
        </w:rPr>
        <w:t xml:space="preserve">ash </w:t>
      </w:r>
      <w:r w:rsidRPr="005250A4">
        <w:rPr>
          <w:rFonts w:ascii="Arial" w:eastAsia="Times New Roman" w:hAnsi="Arial" w:cs="Arial"/>
          <w:color w:val="000000" w:themeColor="text1"/>
          <w:sz w:val="20"/>
          <w:szCs w:val="20"/>
          <w:lang w:val="en-US" w:eastAsia="fr-FR"/>
        </w:rPr>
        <w:t xml:space="preserve">contents could be due to the nature of the soil, </w:t>
      </w:r>
      <w:r w:rsidR="00D02EBF" w:rsidRPr="005250A4">
        <w:rPr>
          <w:rFonts w:ascii="Arial" w:eastAsia="Times New Roman" w:hAnsi="Arial" w:cs="Arial"/>
          <w:color w:val="000000" w:themeColor="text1"/>
          <w:sz w:val="20"/>
          <w:szCs w:val="20"/>
          <w:lang w:val="en-US" w:eastAsia="fr-FR"/>
        </w:rPr>
        <w:t xml:space="preserve">the relief of the area where the two plants are grown, </w:t>
      </w:r>
      <w:r w:rsidRPr="005250A4">
        <w:rPr>
          <w:rFonts w:ascii="Arial" w:eastAsia="Times New Roman" w:hAnsi="Arial" w:cs="Arial"/>
          <w:color w:val="000000" w:themeColor="text1"/>
          <w:sz w:val="20"/>
          <w:szCs w:val="20"/>
          <w:lang w:val="en-US" w:eastAsia="fr-FR"/>
        </w:rPr>
        <w:t>the climate, and the post-harvest treatments applied to the leaves and fruit.</w:t>
      </w:r>
      <w:r w:rsidR="00D02EBF" w:rsidRPr="005250A4">
        <w:rPr>
          <w:rFonts w:ascii="Arial" w:eastAsia="Times New Roman" w:hAnsi="Arial" w:cs="Arial"/>
          <w:color w:val="000000" w:themeColor="text1"/>
          <w:sz w:val="20"/>
          <w:szCs w:val="20"/>
          <w:lang w:val="en-US" w:eastAsia="fr-FR"/>
        </w:rPr>
        <w:t xml:space="preserve">  </w:t>
      </w:r>
    </w:p>
    <w:p w14:paraId="345283D5" w14:textId="77777777" w:rsidR="000E51AC" w:rsidRPr="005250A4" w:rsidRDefault="000E51AC" w:rsidP="000E51AC">
      <w:pPr>
        <w:pStyle w:val="Paragraphedeliste"/>
        <w:numPr>
          <w:ilvl w:val="2"/>
          <w:numId w:val="5"/>
        </w:numPr>
        <w:spacing w:line="360" w:lineRule="auto"/>
        <w:jc w:val="both"/>
        <w:rPr>
          <w:rStyle w:val="fontstyle01"/>
          <w:rFonts w:ascii="Arial" w:hAnsi="Arial" w:cs="Arial"/>
          <w:b/>
          <w:color w:val="000000" w:themeColor="text1"/>
          <w:sz w:val="20"/>
          <w:szCs w:val="20"/>
        </w:rPr>
      </w:pPr>
      <w:proofErr w:type="spellStart"/>
      <w:r w:rsidRPr="005250A4">
        <w:rPr>
          <w:rStyle w:val="fontstyle01"/>
          <w:rFonts w:ascii="Arial" w:hAnsi="Arial" w:cs="Arial"/>
          <w:b/>
          <w:color w:val="000000" w:themeColor="text1"/>
          <w:sz w:val="20"/>
          <w:szCs w:val="20"/>
        </w:rPr>
        <w:t>Mineral</w:t>
      </w:r>
      <w:proofErr w:type="spellEnd"/>
      <w:r w:rsidRPr="005250A4">
        <w:rPr>
          <w:rStyle w:val="fontstyle01"/>
          <w:rFonts w:ascii="Arial" w:hAnsi="Arial" w:cs="Arial"/>
          <w:b/>
          <w:color w:val="000000" w:themeColor="text1"/>
          <w:sz w:val="20"/>
          <w:szCs w:val="20"/>
        </w:rPr>
        <w:t xml:space="preserve"> content</w:t>
      </w:r>
    </w:p>
    <w:p w14:paraId="5BFD18C4" w14:textId="77777777" w:rsidR="006C6D97" w:rsidRPr="005250A4" w:rsidRDefault="006C6D97" w:rsidP="006C6D97">
      <w:pPr>
        <w:pStyle w:val="Paragraphedeliste"/>
        <w:spacing w:line="360" w:lineRule="auto"/>
        <w:jc w:val="both"/>
        <w:rPr>
          <w:rStyle w:val="fontstyle01"/>
          <w:rFonts w:ascii="Arial" w:hAnsi="Arial" w:cs="Arial"/>
          <w:b/>
          <w:color w:val="000000" w:themeColor="text1"/>
          <w:sz w:val="20"/>
          <w:szCs w:val="20"/>
        </w:rPr>
      </w:pPr>
    </w:p>
    <w:p w14:paraId="5C984FA1" w14:textId="5F420EA8" w:rsidR="005E4E45" w:rsidRPr="005250A4" w:rsidRDefault="00FC5435" w:rsidP="006C6D97">
      <w:pPr>
        <w:pStyle w:val="Paragraphedeliste"/>
        <w:numPr>
          <w:ilvl w:val="3"/>
          <w:numId w:val="5"/>
        </w:numPr>
        <w:spacing w:line="360" w:lineRule="auto"/>
        <w:jc w:val="both"/>
        <w:rPr>
          <w:rStyle w:val="fontstyle01"/>
          <w:rFonts w:ascii="Arial" w:hAnsi="Arial" w:cs="Arial"/>
          <w:b/>
          <w:iCs/>
          <w:color w:val="000000" w:themeColor="text1"/>
          <w:sz w:val="20"/>
          <w:szCs w:val="20"/>
        </w:rPr>
      </w:pPr>
      <w:r w:rsidRPr="005250A4">
        <w:rPr>
          <w:rStyle w:val="fontstyle01"/>
          <w:rFonts w:ascii="Arial" w:hAnsi="Arial" w:cs="Arial"/>
          <w:b/>
          <w:iCs/>
          <w:color w:val="000000" w:themeColor="text1"/>
          <w:sz w:val="20"/>
          <w:szCs w:val="20"/>
        </w:rPr>
        <w:t xml:space="preserve">Trace </w:t>
      </w:r>
      <w:proofErr w:type="spellStart"/>
      <w:r w:rsidRPr="005250A4">
        <w:rPr>
          <w:rStyle w:val="fontstyle01"/>
          <w:rFonts w:ascii="Arial" w:hAnsi="Arial" w:cs="Arial"/>
          <w:b/>
          <w:iCs/>
          <w:color w:val="000000" w:themeColor="text1"/>
          <w:sz w:val="20"/>
          <w:szCs w:val="20"/>
        </w:rPr>
        <w:t>elements</w:t>
      </w:r>
      <w:proofErr w:type="spellEnd"/>
    </w:p>
    <w:p w14:paraId="5A33B7BE" w14:textId="2F5BE0A8"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r w:rsidR="00F14B04" w:rsidRPr="005250A4">
        <w:rPr>
          <w:rFonts w:ascii="Arial" w:eastAsia="Times New Roman" w:hAnsi="Arial" w:cs="Arial"/>
          <w:color w:val="000000" w:themeColor="text1"/>
          <w:sz w:val="20"/>
          <w:szCs w:val="20"/>
          <w:lang w:val="en-US" w:eastAsia="fr-FR"/>
        </w:rPr>
        <w:t xml:space="preserve">contents of </w:t>
      </w:r>
      <w:r w:rsidRPr="005250A4">
        <w:rPr>
          <w:rFonts w:ascii="Arial" w:eastAsia="Times New Roman" w:hAnsi="Arial" w:cs="Arial"/>
          <w:color w:val="000000" w:themeColor="text1"/>
          <w:sz w:val="20"/>
          <w:szCs w:val="20"/>
          <w:lang w:val="en-US" w:eastAsia="fr-FR"/>
        </w:rPr>
        <w:t>trace element</w:t>
      </w:r>
      <w:r w:rsidR="00F14B04" w:rsidRPr="005250A4">
        <w:rPr>
          <w:rFonts w:ascii="Arial" w:eastAsia="Times New Roman" w:hAnsi="Arial" w:cs="Arial"/>
          <w:color w:val="000000" w:themeColor="text1"/>
          <w:sz w:val="20"/>
          <w:szCs w:val="20"/>
          <w:lang w:val="en-US" w:eastAsia="fr-FR"/>
        </w:rPr>
        <w:t>s</w:t>
      </w:r>
      <w:r w:rsidRPr="005250A4">
        <w:rPr>
          <w:rFonts w:ascii="Arial" w:eastAsia="Times New Roman" w:hAnsi="Arial" w:cs="Arial"/>
          <w:color w:val="000000" w:themeColor="text1"/>
          <w:sz w:val="20"/>
          <w:szCs w:val="20"/>
          <w:lang w:val="en-US" w:eastAsia="fr-FR"/>
        </w:rPr>
        <w:t xml:space="preserve"> (iron, zinc, and copper) </w:t>
      </w:r>
      <w:r w:rsidR="00F14B04" w:rsidRPr="005250A4">
        <w:rPr>
          <w:rFonts w:ascii="Arial" w:eastAsia="Times New Roman" w:hAnsi="Arial" w:cs="Arial"/>
          <w:color w:val="000000" w:themeColor="text1"/>
          <w:sz w:val="20"/>
          <w:szCs w:val="20"/>
          <w:lang w:val="en-US" w:eastAsia="fr-FR"/>
        </w:rPr>
        <w:t>in</w:t>
      </w:r>
      <w:r w:rsidRPr="005250A4">
        <w:rPr>
          <w:rFonts w:ascii="Arial" w:eastAsia="Times New Roman" w:hAnsi="Arial" w:cs="Arial"/>
          <w:color w:val="000000" w:themeColor="text1"/>
          <w:sz w:val="20"/>
          <w:szCs w:val="20"/>
          <w:lang w:val="en-US" w:eastAsia="fr-FR"/>
        </w:rPr>
        <w:t xml:space="preserve">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i/>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are presented in Table 2. </w:t>
      </w:r>
      <w:r w:rsidR="00F14B04" w:rsidRPr="005250A4">
        <w:rPr>
          <w:rFonts w:ascii="Arial" w:eastAsia="Times New Roman" w:hAnsi="Arial" w:cs="Arial"/>
          <w:color w:val="000000" w:themeColor="text1"/>
          <w:sz w:val="20"/>
          <w:szCs w:val="20"/>
          <w:lang w:val="en-US" w:eastAsia="fr-FR"/>
        </w:rPr>
        <w:t>The i</w:t>
      </w:r>
      <w:r w:rsidRPr="005250A4">
        <w:rPr>
          <w:rFonts w:ascii="Arial" w:eastAsia="Times New Roman" w:hAnsi="Arial" w:cs="Arial"/>
          <w:color w:val="000000" w:themeColor="text1"/>
          <w:sz w:val="20"/>
          <w:szCs w:val="20"/>
          <w:lang w:val="en-US" w:eastAsia="fr-FR"/>
        </w:rPr>
        <w:t>ron contents range</w:t>
      </w:r>
      <w:r w:rsidR="00F14B04" w:rsidRPr="005250A4">
        <w:rPr>
          <w:rFonts w:ascii="Arial" w:eastAsia="Times New Roman" w:hAnsi="Arial" w:cs="Arial"/>
          <w:color w:val="000000" w:themeColor="text1"/>
          <w:sz w:val="20"/>
          <w:szCs w:val="20"/>
          <w:lang w:val="en-US" w:eastAsia="fr-FR"/>
        </w:rPr>
        <w:t>d</w:t>
      </w:r>
      <w:r w:rsidRPr="005250A4">
        <w:rPr>
          <w:rFonts w:ascii="Arial" w:eastAsia="Times New Roman" w:hAnsi="Arial" w:cs="Arial"/>
          <w:color w:val="000000" w:themeColor="text1"/>
          <w:sz w:val="20"/>
          <w:szCs w:val="20"/>
          <w:lang w:val="en-US" w:eastAsia="fr-FR"/>
        </w:rPr>
        <w:t xml:space="preserve"> from 0.96 ± 0.01 to 1.29 ± 0.01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zinc from 0.93 ± 0.01 to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w:t>
      </w:r>
      <w:r w:rsidR="00F14B04"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copper from 3.08 ± 0.01 to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These results demonstrate that, regardless of the organ studied, copper is the most abundant trace element. </w:t>
      </w:r>
      <w:r w:rsidR="00F14B04" w:rsidRPr="005250A4">
        <w:rPr>
          <w:rFonts w:ascii="Arial" w:eastAsia="Times New Roman" w:hAnsi="Arial" w:cs="Arial"/>
          <w:color w:val="000000" w:themeColor="text1"/>
          <w:sz w:val="20"/>
          <w:szCs w:val="20"/>
          <w:lang w:val="en-US" w:eastAsia="fr-FR"/>
        </w:rPr>
        <w:t>The c</w:t>
      </w:r>
      <w:r w:rsidRPr="005250A4">
        <w:rPr>
          <w:rFonts w:ascii="Arial" w:eastAsia="Times New Roman" w:hAnsi="Arial" w:cs="Arial"/>
          <w:color w:val="000000" w:themeColor="text1"/>
          <w:sz w:val="20"/>
          <w:szCs w:val="20"/>
          <w:lang w:val="en-US" w:eastAsia="fr-FR"/>
        </w:rPr>
        <w:t xml:space="preserve">opper content </w:t>
      </w:r>
      <w:r w:rsidR="00F14B04" w:rsidRPr="005250A4">
        <w:rPr>
          <w:rFonts w:ascii="Arial" w:eastAsia="Times New Roman" w:hAnsi="Arial" w:cs="Arial"/>
          <w:color w:val="000000" w:themeColor="text1"/>
          <w:sz w:val="20"/>
          <w:szCs w:val="20"/>
          <w:lang w:val="en-US" w:eastAsia="fr-FR"/>
        </w:rPr>
        <w:t>was</w:t>
      </w:r>
      <w:r w:rsidRPr="005250A4">
        <w:rPr>
          <w:rFonts w:ascii="Arial" w:eastAsia="Times New Roman" w:hAnsi="Arial" w:cs="Arial"/>
          <w:color w:val="000000" w:themeColor="text1"/>
          <w:sz w:val="20"/>
          <w:szCs w:val="20"/>
          <w:lang w:val="en-US" w:eastAsia="fr-FR"/>
        </w:rPr>
        <w:t xml:space="preserve"> highest in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w:t>
      </w:r>
      <w:r w:rsidR="0018782C" w:rsidRPr="005250A4">
        <w:rPr>
          <w:rFonts w:ascii="Arial" w:eastAsia="Times New Roman" w:hAnsi="Arial" w:cs="Arial"/>
          <w:i/>
          <w:color w:val="000000" w:themeColor="text1"/>
          <w:sz w:val="20"/>
          <w:szCs w:val="20"/>
          <w:lang w:val="en-US" w:eastAsia="fr-FR"/>
        </w:rPr>
        <w:t>i</w:t>
      </w:r>
      <w:r w:rsidRPr="005250A4">
        <w:rPr>
          <w:rFonts w:ascii="Arial" w:eastAsia="Times New Roman" w:hAnsi="Arial" w:cs="Arial"/>
          <w:i/>
          <w:color w:val="000000" w:themeColor="text1"/>
          <w:sz w:val="20"/>
          <w:szCs w:val="20"/>
          <w:lang w:val="en-US" w:eastAsia="fr-FR"/>
        </w:rPr>
        <w:t>us</w:t>
      </w:r>
      <w:proofErr w:type="spellEnd"/>
      <w:r w:rsidRPr="005250A4">
        <w:rPr>
          <w:rFonts w:ascii="Arial" w:eastAsia="Times New Roman" w:hAnsi="Arial" w:cs="Arial"/>
          <w:color w:val="000000" w:themeColor="text1"/>
          <w:sz w:val="20"/>
          <w:szCs w:val="20"/>
          <w:lang w:val="en-US" w:eastAsia="fr-FR"/>
        </w:rPr>
        <w:t xml:space="preserve"> leaves (19.45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and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fruits (11.24 ± 0.20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These contents significantly exceed</w:t>
      </w:r>
      <w:r w:rsidR="00F14B04"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those reported by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{"citationItems":[{"id":"ITEM-1","itemData":{"abstract":"Proximate composition, mineral contents, anti-nutritional factors as well as non-starch polysaccharide components of three varieties of a commonly consumed leafy vegetable: Corchorus olitorius; Sooro var., Amugbadu var. and Oniyaya var. were investigated using standard analytical techniques. The levels of fat content were low, ranged at 1.98-2.22g/100g. The results of crude fibre (11.2-12.9g/100g) and crude protein (17.5-29.6g/100g) in this study were higher than the range reported for most Nigerian leafy vegetables. Mineral analysis results showed that the samples were good sources of essential minerals especially potassium and iron while non-nutritive/toxic minerals were contained in trace amounts. The result of both mineral ratios and mineral safety index showed that the Corchorus olitorius varieties could not pose any health risk for the consumers. Phytate had the highest concentrations (5.30-6.10mg/100g) representing 43.10-68.2% of the total anti-nutritional factors. However, anti-nutrients levels were generally low in this study. Phy:Zn (0.424) and [CA][Phy]/[Zn] (0.049) molar ratios showed that only Sooro would promote Zn bioavailability. Compositions of non-starch polysaccharides were generally low with neutral detergent fibre (NDF) having the highest concentration in each of the samples. Statistical analysis showed that there were no significant differences among the samples in most of the determinations except PEP %, K, Ca, Mg and [phy]:[Zn].","author":[{"dropping-particle":"","family":"Adesina","given":"A J","non-dropping-particle":"","parse-names":false,"suffix":""},{"dropping-particle":"","family":"Olaleye","given":"A A","non-dropping-particle":"","parse-names":false,"suffix":""},{"dropping-particle":"","family":"Popoola","given":"","non-dropping-particle":"","parse-names":false,"suffix":""},{"dropping-particle":"","family":"Olatunya","given":"","non-dropping-particle":"","parse-names":false,"suffix":""},{"dropping-particle":"","family":"Gbolagade","given":"","non-dropping-particle":"","parse-names":false,"suffix":""},{"dropping-particle":"","family":"Idowu","given":"K A","non-dropping-particle":"","parse-names":false,"suffix":""},{"dropping-particle":"","family":"Ajakaye","given":"A O","non-dropping-particle":"","parse-names":false,"suffix":""}],"container-title":"ChemSearch Journal","id":"ITEM-1","issue":"1","issued":{"date-parts":[["2022"]]},"page":"147-156","title":"Nutritional evaluation of leafy vegetables of Corchorus olitorius family from Ekiti State, Nigeria","type":"article-journal","volume":"13"},"uris":["http://www.mendeley.com/documents/?uuid=5a67c66c-244f-4f17-8782-eab1a1a9a3e6"]}],"mendeley":{"formattedCitation":"(Adesina et al., 2022)","manualFormatting":"Adesina et al. (2022)","plainTextFormattedCitation":"(Adesina et al., 2022)","previouslyFormattedCitation":"(Adesina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Adesina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(0.006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w:t>
      </w:r>
      <w:r w:rsidR="00535C77">
        <w:rPr>
          <w:rFonts w:ascii="Arial" w:eastAsia="Times New Roman" w:hAnsi="Arial" w:cs="Arial"/>
          <w:color w:val="000000" w:themeColor="text1"/>
          <w:sz w:val="20"/>
          <w:szCs w:val="20"/>
          <w:lang w:val="en-US" w:eastAsia="fr-FR"/>
        </w:rPr>
        <w:t>d</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(0.56 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respectively. The observed differences between the copper contents obtained in this study and those of these different authors may be attributed to the variety of plants, the nature of the soil, and the methods </w:t>
      </w:r>
      <w:r w:rsidRPr="005250A4">
        <w:rPr>
          <w:rFonts w:ascii="Arial" w:eastAsia="Times New Roman" w:hAnsi="Arial" w:cs="Arial"/>
          <w:color w:val="000000" w:themeColor="text1"/>
          <w:sz w:val="20"/>
          <w:szCs w:val="20"/>
          <w:lang w:val="en-US" w:eastAsia="fr-FR"/>
        </w:rPr>
        <w:lastRenderedPageBreak/>
        <w:t xml:space="preserve">of </w:t>
      </w:r>
      <w:r w:rsidR="00A13602" w:rsidRPr="005250A4">
        <w:rPr>
          <w:rFonts w:ascii="Arial" w:eastAsia="Times New Roman" w:hAnsi="Arial" w:cs="Arial"/>
          <w:color w:val="000000" w:themeColor="text1"/>
          <w:sz w:val="20"/>
          <w:szCs w:val="20"/>
          <w:lang w:val="en-US" w:eastAsia="fr-FR"/>
        </w:rPr>
        <w:t>analysis.</w:t>
      </w:r>
      <w:r w:rsidRPr="005250A4">
        <w:rPr>
          <w:rFonts w:ascii="Arial" w:eastAsia="Times New Roman" w:hAnsi="Arial" w:cs="Arial"/>
          <w:color w:val="000000" w:themeColor="text1"/>
          <w:sz w:val="20"/>
          <w:szCs w:val="20"/>
          <w:lang w:val="en-US" w:eastAsia="fr-FR"/>
        </w:rPr>
        <w:t xml:space="preserve"> Copper is an essential trace element for humans and animals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{"citationItems":[{"id":"ITEM-1","itemData":{"DOI":"10.1017/jns.2022.83","ISSN":"20486790","PMID":"36304823","abstract":"The classical deficiency diseases have nearly disappeared from the industrialised world and are thought to be found largely in sub-Saharan Africa and South Asia. More than 80 collected medical articles, mostly from Europe and North America, describe more than 9000 people with low concentrations of copper in organs or tissues or impaired metabolic pathways dependent on copper. More than a dozen articles reveal improved anatomy, chemistry or physiology in more than 1000 patients from supplements containing copper. These criteria are diagnostic of deficiency according to The Oxford Textbook of Medicine. Alzheimer's disease, ischaemic heart disease and osteoporosis receive major emphasis here. However, impaired vision, myelodysplastic syndrome and peripheral neuropathy are mentioned. Copper deficiency probably causes some common, contemporaneous diseases. Advice is provided about opportunities for research. Seemingly authoritative statements concerning the rarity of nutritional deficiency in developed countries are wrong.","author":[{"dropping-particle":"","family":"Klevay","given":"Leslie M.","non-dropping-particle":"","parse-names":false,"suffix":""}],"container-title":"Journal of Nutritional Science","id":"ITEM-1","issue":"89","issued":{"date-parts":[["2022"]]},"page":"1-6","title":"The contemporaneous epidemic of chronic, copper deficiency","type":"article-journal","volume":"11"},"uris":["http://www.mendeley.com/documents/?uuid=8927575d-7483-4582-84bb-92ffb0ec20e0"]}],"mendeley":{"formattedCitation":"(Klevay, 2022)","plainTextFormattedCitation":"(Klevay, 2022)","previouslyFormattedCitation":"(Klevay,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(Klevay, 2022)</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The human body contains a</w:t>
      </w:r>
      <w:r w:rsidR="00F14B04"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100 mg, which is only required in trace amounts. </w:t>
      </w:r>
      <w:r w:rsidR="00F14B04" w:rsidRPr="005250A4">
        <w:rPr>
          <w:rFonts w:ascii="Arial" w:eastAsia="Times New Roman" w:hAnsi="Arial" w:cs="Arial"/>
          <w:color w:val="000000" w:themeColor="text1"/>
          <w:sz w:val="20"/>
          <w:szCs w:val="20"/>
          <w:lang w:val="en-US" w:eastAsia="fr-FR"/>
        </w:rPr>
        <w:t>In addition to</w:t>
      </w:r>
      <w:r w:rsidRPr="005250A4">
        <w:rPr>
          <w:rFonts w:ascii="Arial" w:eastAsia="Times New Roman" w:hAnsi="Arial" w:cs="Arial"/>
          <w:color w:val="000000" w:themeColor="text1"/>
          <w:sz w:val="20"/>
          <w:szCs w:val="20"/>
          <w:lang w:val="en-US" w:eastAsia="fr-FR"/>
        </w:rPr>
        <w:t xml:space="preserve"> its role in iron metabolism, the need for copper also stems from its involvement in a myriad of biological processes, including antioxidant defense, neuropeptide synthesis, and immune function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{"citationItems":[{"id":"ITEM-1","itemData":{"DOI":"10.1016/j.jtemb.2016.02.006","ISSN":"18783252","PMID":"27049134","abstract":"Although copper (Cu) is recognized as an essential trace element, uncertainties remain regarding Cu reference values for humans, as illustrated by discrepancies between recommendations issued by different national authorities. This review examines human studies published since 1990 on relationships between Cu intake, Cu balance, biomarkers of Cu status, and health. It points out several gaps and unresolved issues which make it difficult to assess Cu requirements. Results from balance studies suggest that daily intakes below 0.8 mg/day lead to net Cu losses, while net gains are consistently observed above 2.4 mg/day. However, because of an incomplete collection of losses in all studies, a precise estimation of Cu requirements cannot be derived from available data. Data regarding the relationship between Cu intake and potential biomarkers are either too preliminary or inconclusive because of low specificity or low sensitivity to change in dietary Cu over a wide range of intakes. Results from observation and intervention studies do not support a link between Cu and a risk of cardiovascular disease, cognitive decline, arthritis or cancer for intakes ranging from 0.6 to 3 mg/day, and limited evidence exists for impaired immune function in healthy subjects with a very low (0.38 mg/day) Cu intake. However, data from observation studies should be regarded with caution because of uncertainties regarding Cu concentration in various foods and water. Further studies that accurately evaluate Cu exposure based on reliable biomarkers of Cu status are needed.","author":[{"dropping-particle":"","family":"Bost","given":"Muriel","non-dropping-particle":"","parse-names":false,"suffix":""},{"dropping-particle":"","family":"Houdart","given":"Sabine","non-dropping-particle":"","parse-names":false,"suffix":""},{"dropping-particle":"","family":"Oberli","given":"Marion","non-dropping-particle":"","parse-names":false,"suffix":""},{"dropping-particle":"","family":"Kalonji","given":"Esther","non-dropping-particle":"","parse-names":false,"suffix":""},{"dropping-particle":"","family":"Huneau","given":"Jean François","non-dropping-particle":"","parse-names":false,"suffix":""},{"dropping-particle":"","family":"Margaritis","given":"Irène","non-dropping-particle":"","parse-names":false,"suffix":""}],"container-title":"Journal of Trace Elements in Medicine and Biology","id":"ITEM-1","issued":{"date-parts":[["2016"]]},"page":"107-115","publisher":"Elsevier GmbH.","title":"Dietary copper and human health: Current evidence and unresolved issues","type":"article-journal","volume":"35"},"uris":["http://www.mendeley.com/documents/?uuid=b31554a5-fda0-4fba-bafe-a8436e0355f2"]}],"mendeley":{"formattedCitation":"(Bost et al., 2016)","plainTextFormattedCitation":"(Bost et al., 2016)","previouslyFormattedCitation":"(Bost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(Bost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Style w:val="fontstyle01"/>
          <w:rFonts w:ascii="Arial" w:hAnsi="Arial" w:cs="Arial"/>
          <w:color w:val="000000" w:themeColor="text1"/>
          <w:sz w:val="20"/>
          <w:szCs w:val="20"/>
          <w:lang w:val="en-US"/>
        </w:rPr>
        <w:t xml:space="preserve"> </w:t>
      </w:r>
    </w:p>
    <w:p w14:paraId="0D1CCF37" w14:textId="27D42EC2" w:rsidR="00EF5ADA" w:rsidRPr="005250A4" w:rsidRDefault="00EF5ADA" w:rsidP="00EF5ADA">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Like </w:t>
      </w:r>
      <w:r w:rsidR="00F14B04" w:rsidRPr="005250A4">
        <w:rPr>
          <w:rFonts w:ascii="Arial" w:eastAsia="Times New Roman" w:hAnsi="Arial" w:cs="Arial"/>
          <w:color w:val="000000" w:themeColor="text1"/>
          <w:sz w:val="20"/>
          <w:szCs w:val="20"/>
          <w:lang w:val="en-US" w:eastAsia="fr-FR"/>
        </w:rPr>
        <w:t xml:space="preserve">those of </w:t>
      </w:r>
      <w:r w:rsidRPr="005250A4">
        <w:rPr>
          <w:rFonts w:ascii="Arial" w:eastAsia="Times New Roman" w:hAnsi="Arial" w:cs="Arial"/>
          <w:color w:val="000000" w:themeColor="text1"/>
          <w:sz w:val="20"/>
          <w:szCs w:val="20"/>
          <w:lang w:val="en-US" w:eastAsia="fr-FR"/>
        </w:rPr>
        <w:t>copper, the iron and zinc contents obtained in this study should not be overlooked. The</w:t>
      </w:r>
      <w:r w:rsidR="00F14B04" w:rsidRPr="005250A4">
        <w:rPr>
          <w:rFonts w:ascii="Arial" w:eastAsia="Times New Roman" w:hAnsi="Arial" w:cs="Arial"/>
          <w:color w:val="000000" w:themeColor="text1"/>
          <w:sz w:val="20"/>
          <w:szCs w:val="20"/>
          <w:lang w:val="en-US" w:eastAsia="fr-FR"/>
        </w:rPr>
        <w:t xml:space="preserve"> contents</w:t>
      </w:r>
      <w:r w:rsidRPr="005250A4">
        <w:rPr>
          <w:rFonts w:ascii="Arial" w:eastAsia="Times New Roman" w:hAnsi="Arial" w:cs="Arial"/>
          <w:color w:val="000000" w:themeColor="text1"/>
          <w:sz w:val="20"/>
          <w:szCs w:val="20"/>
          <w:lang w:val="en-US" w:eastAsia="fr-FR"/>
        </w:rPr>
        <w:t xml:space="preserve"> were highest in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fruits,</w:t>
      </w:r>
      <w:r w:rsidR="00F14B04" w:rsidRPr="005250A4">
        <w:rPr>
          <w:rFonts w:ascii="Arial" w:eastAsia="Times New Roman" w:hAnsi="Arial" w:cs="Arial"/>
          <w:color w:val="000000" w:themeColor="text1"/>
          <w:sz w:val="20"/>
          <w:szCs w:val="20"/>
          <w:lang w:val="en-US" w:eastAsia="fr-FR"/>
        </w:rPr>
        <w:t xml:space="preserve"> at</w:t>
      </w:r>
      <w:r w:rsidRPr="005250A4">
        <w:rPr>
          <w:rFonts w:ascii="Arial" w:eastAsia="Times New Roman" w:hAnsi="Arial" w:cs="Arial"/>
          <w:color w:val="000000" w:themeColor="text1"/>
          <w:sz w:val="20"/>
          <w:szCs w:val="20"/>
          <w:lang w:val="en-US" w:eastAsia="fr-FR"/>
        </w:rPr>
        <w:t xml:space="preserve"> 1.29 ± 0.01 and 2.70 ± 0.02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respectively. Similar values for iron (1.95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and zinc (2.44 mg/100</w:t>
      </w:r>
      <w:r w:rsidR="00F14B04"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were reported by</w:t>
      </w:r>
      <w:r w:rsidR="007009F3" w:rsidRPr="005250A4">
        <w:rPr>
          <w:rFonts w:ascii="Arial" w:eastAsia="Times New Roman" w:hAnsi="Arial" w:cs="Arial"/>
          <w:color w:val="000000" w:themeColor="text1"/>
          <w:sz w:val="20"/>
          <w:szCs w:val="20"/>
          <w:lang w:val="en-US" w:eastAsia="fr-FR"/>
        </w:rPr>
        <w:t xml:space="preserve"> </w:t>
      </w:r>
      <w:r w:rsidR="007009F3"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7009F3"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7009F3" w:rsidRPr="005250A4">
        <w:rPr>
          <w:rFonts w:ascii="Arial" w:eastAsia="Times New Roman" w:hAnsi="Arial" w:cs="Arial"/>
          <w:color w:val="000000" w:themeColor="text1"/>
          <w:sz w:val="20"/>
          <w:szCs w:val="20"/>
          <w:lang w:val="en-US" w:eastAsia="fr-FR"/>
        </w:rPr>
        <w:fldChar w:fldCharType="end"/>
      </w:r>
      <w:r w:rsidR="007009F3" w:rsidRPr="005250A4">
        <w:rPr>
          <w:rFonts w:ascii="Arial" w:eastAsia="Times New Roman" w:hAnsi="Arial" w:cs="Arial"/>
          <w:color w:val="000000" w:themeColor="text1"/>
          <w:sz w:val="20"/>
          <w:szCs w:val="20"/>
          <w:lang w:val="en-US" w:eastAsia="fr-FR"/>
        </w:rPr>
        <w:t xml:space="preserve"> </w:t>
      </w:r>
      <w:r w:rsidR="00F14B04" w:rsidRPr="005250A4">
        <w:rPr>
          <w:rFonts w:ascii="Arial" w:eastAsia="Times New Roman" w:hAnsi="Arial" w:cs="Arial"/>
          <w:color w:val="000000" w:themeColor="text1"/>
          <w:sz w:val="20"/>
          <w:szCs w:val="20"/>
          <w:lang w:val="en-US" w:eastAsia="fr-FR"/>
        </w:rPr>
        <w:t>for</w:t>
      </w:r>
      <w:r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fruits. These two trace elements are essential minerals in many of the body’s biochemical mechanisms. For instance, the body requires iron for the synthesis of oxygen transport proteins, particularly hemoglobin and myoglobin, and for the formation of </w:t>
      </w:r>
      <w:proofErr w:type="spellStart"/>
      <w:r w:rsidRPr="005250A4">
        <w:rPr>
          <w:rFonts w:ascii="Arial" w:eastAsia="Times New Roman" w:hAnsi="Arial" w:cs="Arial"/>
          <w:color w:val="000000" w:themeColor="text1"/>
          <w:sz w:val="20"/>
          <w:szCs w:val="20"/>
          <w:lang w:val="en-US" w:eastAsia="fr-FR"/>
        </w:rPr>
        <w:t>heme</w:t>
      </w:r>
      <w:proofErr w:type="spellEnd"/>
      <w:r w:rsidRPr="005250A4">
        <w:rPr>
          <w:rFonts w:ascii="Arial" w:eastAsia="Times New Roman" w:hAnsi="Arial" w:cs="Arial"/>
          <w:color w:val="000000" w:themeColor="text1"/>
          <w:sz w:val="20"/>
          <w:szCs w:val="20"/>
          <w:lang w:val="en-US" w:eastAsia="fr-FR"/>
        </w:rPr>
        <w:t xml:space="preserve"> enzymes and other iron-containing enzymes involved in electron transfer and redox reactions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{"citationItems":[{"id":"ITEM-1","itemData":{"abstract":"It is well-known that deficiency or over exposure to various elements has noticeable effects on human health. The effect of an element is determined by several characteristics, including absorption, metabolism, and degree of interaction with physiological processes. Iron is an essential element for almost all living organisms as it participates in a wide variety of metabolic processes, including oxygen transport, deoxyribonucleic acid (DNA) synthesis, and electron transport. However, as iron can form free radicals, its concentration in body tissues must be tightly regulated because in excessive amounts, it can lead to tissue damage. Disorders of iron metabolism are among the most common diseases of humans and encompass a broad spectrum of diseases with diverse clinical manifestations, ranging from anemia to iron overload, and possibly to neurodegenerative diseases. In this review, we discuss the latest progress in studies of iron metabolism and bioavailability, and our current understanding of human iron requirement and consequences and causes of iron deficiency. Finally, we discuss strategies for prevention of iron deficiency.","author":[{"dropping-particle":"","family":"Abbaspour","given":"Nazanin","non-dropping-particle":"","parse-names":false,"suffix":""},{"dropping-particle":"","family":"Hurrell","given":"Richard","non-dropping-particle":"","parse-names":false,"suffix":""},{"dropping-particle":"","family":"Kelishadi","given":"Roya","non-dropping-particle":"","parse-names":false,"suffix":""}],"container-title":"Journal of Research in Medical Sciences","id":"ITEM-1","issue":"February","issued":{"date-parts":[["2014"]]},"page":"164-174","title":"Review on iron and its importance for human health.","type":"article-journal","volume":"19"},"uris":["http://www.mendeley.com/documents/?uuid=070044c4-f8e1-40b7-a9e6-c40ffb3531a2"]}],"mendeley":{"formattedCitation":"(Abbaspour et al., 2014)","plainTextFormattedCitation":"(Abbaspour et al., 2014)","previouslyFormattedCitation":"(Abbaspour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(Abbaspour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Pr="005250A4">
        <w:rPr>
          <w:rStyle w:val="fontstyle01"/>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Zinc is used to treat and prevent diarrhea in infants and children. It is an important activator of </w:t>
      </w:r>
      <w:r w:rsidR="009E6627" w:rsidRPr="005250A4">
        <w:rPr>
          <w:rFonts w:ascii="Arial" w:eastAsia="Times New Roman" w:hAnsi="Arial" w:cs="Arial"/>
          <w:color w:val="000000" w:themeColor="text1"/>
          <w:sz w:val="20"/>
          <w:szCs w:val="20"/>
          <w:lang w:val="en-US" w:eastAsia="fr-FR"/>
        </w:rPr>
        <w:t xml:space="preserve">more than </w:t>
      </w:r>
      <w:r w:rsidRPr="005250A4">
        <w:rPr>
          <w:rFonts w:ascii="Arial" w:eastAsia="Times New Roman" w:hAnsi="Arial" w:cs="Arial"/>
          <w:color w:val="000000" w:themeColor="text1"/>
          <w:sz w:val="20"/>
          <w:szCs w:val="20"/>
          <w:lang w:val="en-US" w:eastAsia="fr-FR"/>
        </w:rPr>
        <w:t xml:space="preserve">300 enzymes and is involved in protein synthesis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Although the </w:t>
      </w:r>
      <w:proofErr w:type="spellStart"/>
      <w:r w:rsidRPr="005250A4">
        <w:rPr>
          <w:rFonts w:ascii="Arial" w:eastAsia="Times New Roman" w:hAnsi="Arial" w:cs="Arial"/>
          <w:color w:val="000000" w:themeColor="text1"/>
          <w:sz w:val="20"/>
          <w:szCs w:val="20"/>
          <w:lang w:val="en-US" w:eastAsia="fr-FR"/>
        </w:rPr>
        <w:t>bioaccessibility</w:t>
      </w:r>
      <w:proofErr w:type="spellEnd"/>
      <w:r w:rsidRPr="005250A4">
        <w:rPr>
          <w:rFonts w:ascii="Arial" w:eastAsia="Times New Roman" w:hAnsi="Arial" w:cs="Arial"/>
          <w:color w:val="000000" w:themeColor="text1"/>
          <w:sz w:val="20"/>
          <w:szCs w:val="20"/>
          <w:lang w:val="en-US" w:eastAsia="fr-FR"/>
        </w:rPr>
        <w:t xml:space="preserve"> of these trace elements is generally limited, as reported by several authors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{"citationItems":[{"id":"ITEM-1","itemData":{"DOI":"10.9734/EJNFS/2020/v12i1130325","author":[{"dropping-particle":"","family":"Assiéné","given":"Agamou Julien Armel","non-dropping-particle":"","parse-names":false,"suffix":""},{"dropping-particle":"","family":"Fombang","given":"Edith Nig","non-dropping-particle":"","parse-names":false,"suffix":""},{"dropping-particle":"","family":"Mbofung","given":"Moses Carl","non-dropping-particle":"","parse-names":false,"suffix":""}],"container-title":"European Journal of Nutrition &amp; Food Safety","id":"ITEM-1","issue":"11","issued":{"date-parts":[["2020"]]},"page":"90-103","title":"In vitro Protein Digestibility and Iron Bioavailability According to Agro-Ecological Zone and Stage of Maturity of Moringa oleifera Lam Leaves","type":"article-journal","volume":"12"},"uris":["http://www.mendeley.com/documents/?uuid=c0374133-ac7d-4c1b-89a7-3307a35f77ba"]}],"mendeley":{"formattedCitation":"(Assiéné et al., 2020)","plainTextFormattedCitation":"(Assiéné et al., 2020)","previouslyFormattedCitation":"(Assiéné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(Assiéné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their intake in milligrams (a</w:t>
      </w:r>
      <w:r w:rsidR="009E6627" w:rsidRPr="005250A4">
        <w:rPr>
          <w:rFonts w:ascii="Arial" w:eastAsia="Times New Roman" w:hAnsi="Arial" w:cs="Arial"/>
          <w:color w:val="000000" w:themeColor="text1"/>
          <w:sz w:val="20"/>
          <w:szCs w:val="20"/>
          <w:lang w:val="en-US" w:eastAsia="fr-FR"/>
        </w:rPr>
        <w:t>pproximately</w:t>
      </w:r>
      <w:r w:rsidRPr="005250A4">
        <w:rPr>
          <w:rFonts w:ascii="Arial" w:eastAsia="Times New Roman" w:hAnsi="Arial" w:cs="Arial"/>
          <w:color w:val="000000" w:themeColor="text1"/>
          <w:sz w:val="20"/>
          <w:szCs w:val="20"/>
          <w:lang w:val="en-US" w:eastAsia="fr-FR"/>
        </w:rPr>
        <w:t xml:space="preserve"> 5%) remains significant in covering the recommended daily intake.</w:t>
      </w:r>
    </w:p>
    <w:p w14:paraId="254626A2" w14:textId="65F7DD5E" w:rsidR="004749E1" w:rsidRPr="005250A4" w:rsidRDefault="00FC5435" w:rsidP="006C6D97">
      <w:pPr>
        <w:pStyle w:val="Paragraphedeliste"/>
        <w:numPr>
          <w:ilvl w:val="3"/>
          <w:numId w:val="5"/>
        </w:numPr>
        <w:spacing w:line="360" w:lineRule="auto"/>
        <w:jc w:val="both"/>
        <w:rPr>
          <w:rFonts w:ascii="Arial" w:hAnsi="Arial" w:cs="Arial"/>
          <w:b/>
          <w:iCs/>
          <w:color w:val="000000" w:themeColor="text1"/>
          <w:sz w:val="20"/>
          <w:szCs w:val="20"/>
          <w:lang w:val="en-US"/>
        </w:rPr>
      </w:pPr>
      <w:r w:rsidRPr="005250A4">
        <w:rPr>
          <w:rFonts w:ascii="Arial" w:hAnsi="Arial" w:cs="Arial"/>
          <w:b/>
          <w:iCs/>
          <w:color w:val="000000" w:themeColor="text1"/>
          <w:sz w:val="20"/>
          <w:szCs w:val="20"/>
          <w:lang w:val="en-US"/>
        </w:rPr>
        <w:t>Macro</w:t>
      </w:r>
      <w:r w:rsidR="0004545E" w:rsidRPr="005250A4">
        <w:rPr>
          <w:rFonts w:ascii="Arial" w:hAnsi="Arial" w:cs="Arial"/>
          <w:b/>
          <w:iCs/>
          <w:color w:val="000000" w:themeColor="text1"/>
          <w:sz w:val="20"/>
          <w:szCs w:val="20"/>
          <w:lang w:val="en-US"/>
        </w:rPr>
        <w:t xml:space="preserve"> </w:t>
      </w:r>
      <w:r w:rsidRPr="005250A4">
        <w:rPr>
          <w:rFonts w:ascii="Arial" w:hAnsi="Arial" w:cs="Arial"/>
          <w:b/>
          <w:iCs/>
          <w:color w:val="000000" w:themeColor="text1"/>
          <w:sz w:val="20"/>
          <w:szCs w:val="20"/>
          <w:lang w:val="en-US"/>
        </w:rPr>
        <w:t>ele</w:t>
      </w:r>
      <w:r w:rsidR="005E4E45" w:rsidRPr="005250A4">
        <w:rPr>
          <w:rFonts w:ascii="Arial" w:hAnsi="Arial" w:cs="Arial"/>
          <w:b/>
          <w:iCs/>
          <w:color w:val="000000" w:themeColor="text1"/>
          <w:sz w:val="20"/>
          <w:szCs w:val="20"/>
          <w:lang w:val="en-US"/>
        </w:rPr>
        <w:t xml:space="preserve">ments </w:t>
      </w:r>
    </w:p>
    <w:p w14:paraId="0F44CA6E" w14:textId="0263B32B" w:rsidR="00D64A3F" w:rsidRPr="005250A4" w:rsidRDefault="00D64A3F" w:rsidP="0087571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xml:space="preserve"> (Ca, Mg, P, K, </w:t>
      </w:r>
      <w:r w:rsidR="00945926"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 xml:space="preserve">Na) in the organs of the two plants studied </w:t>
      </w:r>
      <w:r w:rsidR="00945926" w:rsidRPr="005250A4">
        <w:rPr>
          <w:rFonts w:ascii="Arial" w:eastAsia="Times New Roman" w:hAnsi="Arial" w:cs="Arial"/>
          <w:color w:val="000000" w:themeColor="text1"/>
          <w:sz w:val="20"/>
          <w:szCs w:val="20"/>
          <w:lang w:val="en-US" w:eastAsia="fr-FR"/>
        </w:rPr>
        <w:t xml:space="preserve">were </w:t>
      </w:r>
      <w:r w:rsidRPr="005250A4">
        <w:rPr>
          <w:rFonts w:ascii="Arial" w:eastAsia="Times New Roman" w:hAnsi="Arial" w:cs="Arial"/>
          <w:color w:val="000000" w:themeColor="text1"/>
          <w:sz w:val="20"/>
          <w:szCs w:val="20"/>
          <w:lang w:val="en-US" w:eastAsia="fr-FR"/>
        </w:rPr>
        <w:t xml:space="preserve">most abundant in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fruits (Table 2). The values are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302.57 ± 1.28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phosphorus</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2684.62 ± 2.43 mg/100g DM for potassium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153.63 ± 2.78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sodium. Calcium and potassium are the two most abundant elements. The</w:t>
      </w:r>
      <w:r w:rsidR="00945926" w:rsidRPr="005250A4">
        <w:rPr>
          <w:rFonts w:ascii="Arial" w:eastAsia="Times New Roman" w:hAnsi="Arial" w:cs="Arial"/>
          <w:color w:val="000000" w:themeColor="text1"/>
          <w:sz w:val="20"/>
          <w:szCs w:val="20"/>
          <w:lang w:val="en-US" w:eastAsia="fr-FR"/>
        </w:rPr>
        <w:t>re</w:t>
      </w:r>
      <w:r w:rsidRPr="005250A4">
        <w:rPr>
          <w:rFonts w:ascii="Arial" w:eastAsia="Times New Roman" w:hAnsi="Arial" w:cs="Arial"/>
          <w:color w:val="000000" w:themeColor="text1"/>
          <w:sz w:val="20"/>
          <w:szCs w:val="20"/>
          <w:lang w:val="en-US" w:eastAsia="fr-FR"/>
        </w:rPr>
        <w:t xml:space="preserve"> values significantly exceed</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the 324.78 and 411.47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reported by</w:t>
      </w:r>
      <w:r w:rsidR="00535C77">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Romdhane et al.</w:t>
      </w:r>
      <w:r w:rsidR="00535C77">
        <w:rPr>
          <w:rFonts w:ascii="Arial" w:eastAsia="Times New Roman" w:hAnsi="Arial" w:cs="Arial"/>
          <w:noProof/>
          <w:color w:val="000000" w:themeColor="text1"/>
          <w:sz w:val="20"/>
          <w:szCs w:val="20"/>
          <w:lang w:val="en-US" w:eastAsia="fr-FR"/>
        </w:rPr>
        <w:t xml:space="preserve"> (</w:t>
      </w:r>
      <w:r w:rsidR="00302617" w:rsidRPr="00302617">
        <w:rPr>
          <w:rFonts w:ascii="Arial" w:eastAsia="Times New Roman" w:hAnsi="Arial" w:cs="Arial"/>
          <w:noProof/>
          <w:color w:val="000000" w:themeColor="text1"/>
          <w:sz w:val="20"/>
          <w:szCs w:val="20"/>
          <w:lang w:val="en-US" w:eastAsia="fr-FR"/>
        </w:rPr>
        <w:t>2020)</w:t>
      </w:r>
      <w:r w:rsidR="001E06B5" w:rsidRPr="005250A4">
        <w:rPr>
          <w:rFonts w:ascii="Arial" w:eastAsia="Times New Roman" w:hAnsi="Arial" w:cs="Arial"/>
          <w:color w:val="000000" w:themeColor="text1"/>
          <w:sz w:val="20"/>
          <w:szCs w:val="20"/>
          <w:lang w:val="en-US" w:eastAsia="fr-FR"/>
        </w:rPr>
        <w:fldChar w:fldCharType="end"/>
      </w:r>
      <w:r w:rsidR="001E06B5"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 xml:space="preserve">for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fruits, respectively. The same authors also report</w:t>
      </w:r>
      <w:r w:rsidR="00945926" w:rsidRPr="005250A4">
        <w:rPr>
          <w:rFonts w:ascii="Arial" w:eastAsia="Times New Roman" w:hAnsi="Arial" w:cs="Arial"/>
          <w:color w:val="000000" w:themeColor="text1"/>
          <w:sz w:val="20"/>
          <w:szCs w:val="20"/>
          <w:lang w:val="en-US" w:eastAsia="fr-FR"/>
        </w:rPr>
        <w:t>ed</w:t>
      </w:r>
      <w:r w:rsidRPr="005250A4">
        <w:rPr>
          <w:rFonts w:ascii="Arial" w:eastAsia="Times New Roman" w:hAnsi="Arial" w:cs="Arial"/>
          <w:color w:val="000000" w:themeColor="text1"/>
          <w:sz w:val="20"/>
          <w:szCs w:val="20"/>
          <w:lang w:val="en-US" w:eastAsia="fr-FR"/>
        </w:rPr>
        <w:t xml:space="preserve"> lower contents of magnesium</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124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and similar contents of sodium </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155.06 mg/100g DM</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w:t>
      </w:r>
      <w:r w:rsidR="001E06B5" w:rsidRPr="005250A4">
        <w:rPr>
          <w:rFonts w:ascii="Arial" w:eastAsia="Times New Roman" w:hAnsi="Arial" w:cs="Arial"/>
          <w:color w:val="000000" w:themeColor="text1"/>
          <w:sz w:val="20"/>
          <w:szCs w:val="20"/>
          <w:lang w:val="en-US" w:eastAsia="fr-FR"/>
        </w:rPr>
        <w:t xml:space="preserve"> </w:t>
      </w:r>
      <w:r w:rsidR="001E06B5" w:rsidRPr="005250A4">
        <w:rPr>
          <w:rFonts w:ascii="Arial" w:eastAsia="Times New Roman" w:hAnsi="Arial" w:cs="Arial"/>
          <w:color w:val="000000" w:themeColor="text1"/>
          <w:sz w:val="20"/>
          <w:szCs w:val="20"/>
          <w:lang w:val="en-US" w:eastAsia="fr-FR"/>
        </w:rPr>
        <w:fldChar w:fldCharType="begin" w:fldLock="1"/>
      </w:r>
      <w:r w:rsidR="00E91D2D">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1E06B5" w:rsidRPr="005250A4">
        <w:rPr>
          <w:rFonts w:ascii="Arial" w:eastAsia="Times New Roman" w:hAnsi="Arial" w:cs="Arial"/>
          <w:color w:val="000000" w:themeColor="text1"/>
          <w:sz w:val="20"/>
          <w:szCs w:val="20"/>
          <w:lang w:val="en-US" w:eastAsia="fr-FR"/>
        </w:rPr>
        <w:fldChar w:fldCharType="separate"/>
      </w:r>
      <w:r w:rsidR="00302617" w:rsidRPr="00302617">
        <w:rPr>
          <w:rFonts w:ascii="Arial" w:eastAsia="Times New Roman" w:hAnsi="Arial" w:cs="Arial"/>
          <w:noProof/>
          <w:color w:val="000000" w:themeColor="text1"/>
          <w:sz w:val="20"/>
          <w:szCs w:val="20"/>
          <w:lang w:val="en-US" w:eastAsia="fr-FR"/>
        </w:rPr>
        <w:t xml:space="preserve">Gemede et al. </w:t>
      </w:r>
      <w:r w:rsidR="00535C77">
        <w:rPr>
          <w:rFonts w:ascii="Arial" w:eastAsia="Times New Roman" w:hAnsi="Arial" w:cs="Arial"/>
          <w:noProof/>
          <w:color w:val="000000" w:themeColor="text1"/>
          <w:sz w:val="20"/>
          <w:szCs w:val="20"/>
          <w:lang w:val="en-US" w:eastAsia="fr-FR"/>
        </w:rPr>
        <w:t>(</w:t>
      </w:r>
      <w:r w:rsidR="00302617" w:rsidRPr="00302617">
        <w:rPr>
          <w:rFonts w:ascii="Arial" w:eastAsia="Times New Roman" w:hAnsi="Arial" w:cs="Arial"/>
          <w:noProof/>
          <w:color w:val="000000" w:themeColor="text1"/>
          <w:sz w:val="20"/>
          <w:szCs w:val="20"/>
          <w:lang w:val="en-US" w:eastAsia="fr-FR"/>
        </w:rPr>
        <w:t>2015)</w:t>
      </w:r>
      <w:r w:rsidR="001E06B5"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w:t>
      </w:r>
      <w:r w:rsidR="00945926" w:rsidRPr="005250A4">
        <w:rPr>
          <w:rFonts w:ascii="Arial" w:eastAsia="Times New Roman" w:hAnsi="Arial" w:cs="Arial"/>
          <w:color w:val="000000" w:themeColor="text1"/>
          <w:sz w:val="20"/>
          <w:szCs w:val="20"/>
          <w:lang w:val="en-US" w:eastAsia="fr-FR"/>
        </w:rPr>
        <w:t>ed a</w:t>
      </w:r>
      <w:r w:rsidRPr="005250A4">
        <w:rPr>
          <w:rFonts w:ascii="Arial" w:eastAsia="Times New Roman" w:hAnsi="Arial" w:cs="Arial"/>
          <w:color w:val="000000" w:themeColor="text1"/>
          <w:sz w:val="20"/>
          <w:szCs w:val="20"/>
          <w:lang w:val="en-US" w:eastAsia="fr-FR"/>
        </w:rPr>
        <w:t xml:space="preserve"> lower phosphorus content</w:t>
      </w:r>
      <w:r w:rsidR="00945926" w:rsidRPr="005250A4">
        <w:rPr>
          <w:rFonts w:ascii="Arial" w:eastAsia="Times New Roman" w:hAnsi="Arial" w:cs="Arial"/>
          <w:color w:val="000000" w:themeColor="text1"/>
          <w:sz w:val="20"/>
          <w:szCs w:val="20"/>
          <w:lang w:val="en-US" w:eastAsia="fr-FR"/>
        </w:rPr>
        <w:t xml:space="preserve"> of </w:t>
      </w:r>
      <w:r w:rsidRPr="005250A4">
        <w:rPr>
          <w:rFonts w:ascii="Arial" w:eastAsia="Times New Roman" w:hAnsi="Arial" w:cs="Arial"/>
          <w:color w:val="000000" w:themeColor="text1"/>
          <w:sz w:val="20"/>
          <w:szCs w:val="20"/>
          <w:lang w:val="en-US" w:eastAsia="fr-FR"/>
        </w:rPr>
        <w:t>101.58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The observed diffe</w:t>
      </w:r>
      <w:r w:rsidR="00C9652A" w:rsidRPr="005250A4">
        <w:rPr>
          <w:rFonts w:ascii="Arial" w:eastAsia="Times New Roman" w:hAnsi="Arial" w:cs="Arial"/>
          <w:color w:val="000000" w:themeColor="text1"/>
          <w:sz w:val="20"/>
          <w:szCs w:val="20"/>
          <w:lang w:val="en-US" w:eastAsia="fr-FR"/>
        </w:rPr>
        <w:t xml:space="preserve">rences between the </w:t>
      </w:r>
      <w:proofErr w:type="spellStart"/>
      <w:r w:rsidR="00C9652A" w:rsidRPr="005250A4">
        <w:rPr>
          <w:rFonts w:ascii="Arial" w:eastAsia="Times New Roman" w:hAnsi="Arial" w:cs="Arial"/>
          <w:color w:val="000000" w:themeColor="text1"/>
          <w:sz w:val="20"/>
          <w:szCs w:val="20"/>
          <w:lang w:val="en-US" w:eastAsia="fr-FR"/>
        </w:rPr>
        <w:t>macroelement</w:t>
      </w:r>
      <w:proofErr w:type="spellEnd"/>
      <w:r w:rsidRPr="005250A4">
        <w:rPr>
          <w:rFonts w:ascii="Arial" w:eastAsia="Times New Roman" w:hAnsi="Arial" w:cs="Arial"/>
          <w:color w:val="000000" w:themeColor="text1"/>
          <w:sz w:val="20"/>
          <w:szCs w:val="20"/>
          <w:lang w:val="en-US" w:eastAsia="fr-FR"/>
        </w:rPr>
        <w:t xml:space="preserve"> values obtained in this study and those of other authors can be attributed to the effects of growing conditions on plant development (chemical and natural fertilizers, soil type, etc.), </w:t>
      </w:r>
      <w:r w:rsidR="00D52BC2" w:rsidRPr="005250A4">
        <w:rPr>
          <w:rFonts w:ascii="Arial" w:eastAsia="Times New Roman" w:hAnsi="Arial" w:cs="Arial"/>
          <w:color w:val="000000" w:themeColor="text1"/>
          <w:sz w:val="20"/>
          <w:szCs w:val="20"/>
          <w:lang w:val="en-US" w:eastAsia="fr-FR"/>
        </w:rPr>
        <w:t xml:space="preserve">the relief of the area where the two plants are grown, </w:t>
      </w:r>
      <w:r w:rsidR="00C9652A" w:rsidRPr="005250A4">
        <w:rPr>
          <w:rFonts w:ascii="Arial" w:eastAsia="Times New Roman" w:hAnsi="Arial" w:cs="Arial"/>
          <w:color w:val="000000" w:themeColor="text1"/>
          <w:sz w:val="20"/>
          <w:szCs w:val="20"/>
          <w:lang w:val="en-US" w:eastAsia="fr-FR"/>
        </w:rPr>
        <w:t>season</w:t>
      </w:r>
      <w:r w:rsidRPr="005250A4">
        <w:rPr>
          <w:rFonts w:ascii="Arial" w:eastAsia="Times New Roman" w:hAnsi="Arial" w:cs="Arial"/>
          <w:color w:val="000000" w:themeColor="text1"/>
          <w:sz w:val="20"/>
          <w:szCs w:val="20"/>
          <w:lang w:val="en-US" w:eastAsia="fr-FR"/>
        </w:rPr>
        <w:t xml:space="preserve">, </w:t>
      </w:r>
      <w:r w:rsidR="00945926" w:rsidRPr="005250A4">
        <w:rPr>
          <w:rFonts w:ascii="Arial" w:eastAsia="Times New Roman" w:hAnsi="Arial" w:cs="Arial"/>
          <w:color w:val="000000" w:themeColor="text1"/>
          <w:sz w:val="20"/>
          <w:szCs w:val="20"/>
          <w:lang w:val="en-US" w:eastAsia="fr-FR"/>
        </w:rPr>
        <w:t>post-harvest</w:t>
      </w:r>
      <w:r w:rsidRPr="005250A4">
        <w:rPr>
          <w:rFonts w:ascii="Arial" w:eastAsia="Times New Roman" w:hAnsi="Arial" w:cs="Arial"/>
          <w:color w:val="000000" w:themeColor="text1"/>
          <w:sz w:val="20"/>
          <w:szCs w:val="20"/>
          <w:lang w:val="en-US" w:eastAsia="fr-FR"/>
        </w:rPr>
        <w:t xml:space="preserve"> treatments, and the precision of </w:t>
      </w:r>
      <w:r w:rsidR="00945926" w:rsidRPr="005250A4">
        <w:rPr>
          <w:rFonts w:ascii="Arial" w:eastAsia="Times New Roman" w:hAnsi="Arial" w:cs="Arial"/>
          <w:color w:val="000000" w:themeColor="text1"/>
          <w:sz w:val="20"/>
          <w:szCs w:val="20"/>
          <w:lang w:val="en-US" w:eastAsia="fr-FR"/>
        </w:rPr>
        <w:t xml:space="preserve">the </w:t>
      </w:r>
      <w:r w:rsidRPr="005250A4">
        <w:rPr>
          <w:rFonts w:ascii="Arial" w:eastAsia="Times New Roman" w:hAnsi="Arial" w:cs="Arial"/>
          <w:color w:val="000000" w:themeColor="text1"/>
          <w:sz w:val="20"/>
          <w:szCs w:val="20"/>
          <w:lang w:val="en-US" w:eastAsia="fr-FR"/>
        </w:rPr>
        <w:t>analytical methods.</w:t>
      </w:r>
    </w:p>
    <w:p w14:paraId="5D168C91" w14:textId="528D2A3F" w:rsidR="00065DDC" w:rsidRPr="005250A4" w:rsidRDefault="00D64A3F" w:rsidP="006F041F">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These results also demonstrate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are</w:t>
      </w:r>
      <w:r w:rsidR="00945926" w:rsidRPr="005250A4">
        <w:rPr>
          <w:rFonts w:ascii="Arial" w:eastAsia="Times New Roman" w:hAnsi="Arial" w:cs="Arial"/>
          <w:color w:val="000000" w:themeColor="text1"/>
          <w:sz w:val="20"/>
          <w:szCs w:val="20"/>
          <w:lang w:val="en-US" w:eastAsia="fr-FR"/>
        </w:rPr>
        <w:t xml:space="preserve"> significant sources</w:t>
      </w:r>
      <w:r w:rsidRPr="005250A4">
        <w:rPr>
          <w:rFonts w:ascii="Arial" w:eastAsia="Times New Roman" w:hAnsi="Arial" w:cs="Arial"/>
          <w:color w:val="000000" w:themeColor="text1"/>
          <w:sz w:val="20"/>
          <w:szCs w:val="20"/>
          <w:lang w:val="en-US" w:eastAsia="fr-FR"/>
        </w:rPr>
        <w:t xml:space="preserve"> of </w:t>
      </w:r>
      <w:proofErr w:type="spellStart"/>
      <w:r w:rsidRPr="005250A4">
        <w:rPr>
          <w:rFonts w:ascii="Arial" w:eastAsia="Times New Roman" w:hAnsi="Arial" w:cs="Arial"/>
          <w:color w:val="000000" w:themeColor="text1"/>
          <w:sz w:val="20"/>
          <w:szCs w:val="20"/>
          <w:lang w:val="en-US" w:eastAsia="fr-FR"/>
        </w:rPr>
        <w:t>macroelements</w:t>
      </w:r>
      <w:proofErr w:type="spellEnd"/>
      <w:r w:rsidRPr="005250A4">
        <w:rPr>
          <w:rFonts w:ascii="Arial" w:eastAsia="Times New Roman" w:hAnsi="Arial" w:cs="Arial"/>
          <w:color w:val="000000" w:themeColor="text1"/>
          <w:sz w:val="20"/>
          <w:szCs w:val="20"/>
          <w:lang w:val="en-US" w:eastAsia="fr-FR"/>
        </w:rPr>
        <w:t>. This observation is supported by the ranges of values obtained, notably</w:t>
      </w:r>
      <w:r w:rsidR="00945926" w:rsidRPr="005250A4">
        <w:rPr>
          <w:rFonts w:ascii="Arial" w:eastAsia="Times New Roman" w:hAnsi="Arial" w:cs="Arial"/>
          <w:color w:val="000000" w:themeColor="text1"/>
          <w:sz w:val="20"/>
          <w:szCs w:val="20"/>
          <w:lang w:val="en-US" w:eastAsia="fr-FR"/>
        </w:rPr>
        <w:t>,</w:t>
      </w:r>
      <w:r w:rsidRPr="005250A4">
        <w:rPr>
          <w:rFonts w:ascii="Arial" w:eastAsia="Times New Roman" w:hAnsi="Arial" w:cs="Arial"/>
          <w:color w:val="000000" w:themeColor="text1"/>
          <w:sz w:val="20"/>
          <w:szCs w:val="20"/>
          <w:lang w:val="en-US" w:eastAsia="fr-FR"/>
        </w:rPr>
        <w:t xml:space="preserve"> 1120.00 ± 2.00 to 1760.00 ± 3.03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calcium; 9.72 ± 0.15 to 257.58 ± 2.34 mg/100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magnesium; 6.30 ± 0.20 to 302.57 ± 1.28 mg/100g DM for phosphorus; 1139.32 ± 1.23 to 2684.62 ± 2.43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g DM for potassium; and 73.92 ± 1.08 to 153.63 ± 2.78 g/100</w:t>
      </w:r>
      <w:r w:rsidR="00945926"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g DM for sodium. These </w:t>
      </w:r>
      <w:r w:rsidR="00945926" w:rsidRPr="005250A4">
        <w:rPr>
          <w:rFonts w:ascii="Arial" w:eastAsia="Times New Roman" w:hAnsi="Arial" w:cs="Arial"/>
          <w:color w:val="000000" w:themeColor="text1"/>
          <w:sz w:val="20"/>
          <w:szCs w:val="20"/>
          <w:lang w:val="en-US" w:eastAsia="fr-FR"/>
        </w:rPr>
        <w:t xml:space="preserve">factors </w:t>
      </w:r>
      <w:r w:rsidRPr="005250A4">
        <w:rPr>
          <w:rFonts w:ascii="Arial" w:eastAsia="Times New Roman" w:hAnsi="Arial" w:cs="Arial"/>
          <w:color w:val="000000" w:themeColor="text1"/>
          <w:sz w:val="20"/>
          <w:szCs w:val="20"/>
          <w:lang w:val="en-US" w:eastAsia="fr-FR"/>
        </w:rPr>
        <w:t>contribute significantly to meeting consumers’ daily intake. In fact, regular consumption of these leaves and fruits, as reported by several authors</w:t>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{"citationItems":[{"id":"ITEM-1","itemData":{"DOI":"10.4172/2157-7110.1000458","abstract":"Okra (Abelmoschus esculentus) is an economically important vegetable crop grown in tropical and sub-tropical parts of the world. This paper was aimed to review nutritional quality and potential health benefits of edible parts of Okra. Okra is a multipurpose crop due to its various uses of the fresh leaves, buds, flowers, pods, stems and seeds. Okra immature fruits, which are consumed as vegetables, can be used in salads, soups and stews, fresh or dried, fried or boiled. It offers mucilaginous consistency after cooking. Often the extract obtained from the fruit is added to different recipes like stews and sauces to increase the consistency. Okra mucilage has medicinal applications when used as a plasma replacement or blood volume expander. The mucilage of okra binds cholesterol and bile acid carrying toxins dumped into it by the liver. Okra seeds are a potential source of oil, with concentrations varying from 20% to 40%, which consists of linoleic acid up to 47.4%. Okra seed oil is also a rich source of linoleic acid, a polyunsaturated fatty acid essential for human nutrition. Okra has been called \" a perfect villager's vegetable \" because of its robust nature, dietary fiber, and distinct seed protein balance of both lysine and tryptophan amino acids. The amino acid composition of okra seed protein is comparable to that of soybean and the protein efficiency ratio is higher than that of soybean and the amino acid pattern of the protein renders it an adequate supplement to legume or cereal based diets. Okra seed is known to be rich in high quality protein especially with regards to its content of essential amino acids relative to other plant protein sources. Okra is a powerhouse of valuable nutrients, nearly half of which is soluble fibre in the form of gums and pectins which help to lower serum cholesterol, reducing the risk of heart diseases. The other fraction of Okra is insoluble fibre, which helps to keep the intestinal tract healthy. Okra is also abundant with several carbohydrates, minerals and vitamins, which plays a vital role in human diet and health. Okra is rich in phenolic compounds with important biological properties like quartering and flavonol derivatives, catechin oligomers and hydroxycinnamic derivatives. Okra is also known for being high in antioxidants activity. Okra has several potential health beneficial effects on some of the important human diseases like cardiovascular disease, type 2 diabetes, digestive diseases and some cancers. …","author":[{"dropping-particle":"","family":"Gemede","given":"Habtamu Fekadu","non-dropping-particle":"","parse-names":false,"suffix":""},{"dropping-particle":"","family":"Ratta","given":"Negussie","non-dropping-particle":"","parse-names":false,"suffix":""},{"dropping-particle":"","family":"Haki","given":"Gulelat Desse","non-dropping-particle":"","parse-names":false,"suffix":""},{"dropping-particle":"","family":"Beyene","given":"Ashagrie Z. Woldegiorgis Fekadu","non-dropping-particle":"","parse-names":false,"suffix":""}],"container-title":"Journal of Food Processing &amp; Technology","id":"ITEM-1","issue":"06","issued":{"date-parts":[["2015"]]},"title":"Nutritional Quality and Health Benefits of Okra (Abelmoschus esculentus): A Review","type":"article-journal","volume":"06"},"uris":["http://www.mendeley.com/documents/?uuid=53c9dc24-6096-45f1-8307-4d97504c6454"]}],"mendeley":{"formattedCitation":"(Gemede et al., 2015)","manualFormatting":"(Gemede et al., 2015;","plainTextFormattedCitation":"(Gemede et al., 2015)","previouslyFormattedCitation":"(Gemede et al., 2015)"},"properties":{"noteIndex":0},"schema":"https://github.com/citation-style-language/schema/raw/master/csl-citation.json"}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(Gemede et al., 2015</w:t>
      </w:r>
      <w:r w:rsidR="00DD6338">
        <w:rPr>
          <w:rFonts w:ascii="Arial" w:eastAsia="Times New Roman" w:hAnsi="Arial" w:cs="Arial"/>
          <w:noProof/>
          <w:color w:val="000000" w:themeColor="text1"/>
          <w:sz w:val="20"/>
          <w:szCs w:val="20"/>
          <w:lang w:val="en-US" w:eastAsia="fr-FR"/>
        </w:rPr>
        <w:t>;</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2020)","manualFormatting":"Romdhane et al., 2020)","plainTextFormattedCitation":"(Romdhane et al., 2020)","previouslyFormattedCitation":"(Romdhane et al., 2020)"},"properties":{"noteIndex":0},"schema":"https://github.com/citation-style-language/schema/raw/master/csl-citation.json"}</w:instrText>
      </w:r>
      <w:r w:rsid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Romdhane et al., 2020)</w:t>
      </w:r>
      <w:r w:rsidR="00DD6338">
        <w:rPr>
          <w:rFonts w:ascii="Arial" w:eastAsia="Times New Roman" w:hAnsi="Arial" w:cs="Arial"/>
          <w:color w:val="000000" w:themeColor="text1"/>
          <w:sz w:val="20"/>
          <w:szCs w:val="20"/>
          <w:lang w:val="en-US" w:eastAsia="fr-FR"/>
        </w:rPr>
        <w:fldChar w:fldCharType="end"/>
      </w:r>
      <w:r w:rsidR="00DD6338">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is a major asset in the fight against micronutrient deficiencies. Indeed, these various elements play important roles in the body. Calcium is essential for muscle contraction, oocyte activation, the formation of strong </w:t>
      </w:r>
      <w:r w:rsidRPr="005250A4">
        <w:rPr>
          <w:rFonts w:ascii="Arial" w:eastAsia="Times New Roman" w:hAnsi="Arial" w:cs="Arial"/>
          <w:color w:val="000000" w:themeColor="text1"/>
          <w:sz w:val="20"/>
          <w:szCs w:val="20"/>
          <w:lang w:val="en-US" w:eastAsia="fr-FR"/>
        </w:rPr>
        <w:lastRenderedPageBreak/>
        <w:t xml:space="preserve">bones and teeth, blood coagulation, etc.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{"citationItems":[{"id":"ITEM-1","itemData":{"abstract":"Calcium is very essential in muscle contraction, oocyte activation, building strong bones and teeth, blood clotting, nerve impulse, transmission, regulating heart beat and fluid balance within cells. The requirements are greatest during the period of growth such as childhood, during pregnancy, when breast feeding. Long term of calcium deficiency can lead to oestoporosis in which the bone deteriorates and there is an increased rise of fractures. Eating a well-balanced diet can provide all the necessary nutrients and help prevent calcium deficiency. INTRODUCTION The group IIA of the periodic table contains the alkaline earth metals such as Ca, St, Ba and Ra. All the non metallic substances are insoluble in water and unchanged by five were called earths. Limes and magnesia showed alkaline reactions hence alkaline earths. The name calcium is derived from latin word calas meaning lime was known as early as the first centuries when the ancient Romans prepared lime as CaO. It was not actually isolated until 1808 in England when Sir Humphrey Davy electrolyzed a mixture of lime and mercuric oxide. Davy was trying to isolate calcium along with magnesium, strontium and barium.Out of alkaline earth group, Ca has achieved the greatest use and tonnage.","author":[{"dropping-particle":"","family":"Pravina","given":"Piste","non-dropping-particle":"","parse-names":false,"suffix":""},{"dropping-particle":"","family":"Sayaji","given":"Didwagh","non-dropping-particle":"","parse-names":false,"suffix":""},{"dropping-particle":"","family":"Avinash","given":"Mokashi","non-dropping-particle":"","parse-names":false,"suffix":""}],"container-title":"Academia.Edu","id":"ITEM-1","issue":"2","issued":{"date-parts":[["2013"]]},"page":"659-668","title":"Calcium and its role in human body","type":"article-journal","volume":"4"},"uris":["http://www.mendeley.com/documents/?uuid=5df566eb-b471-44ac-9eca-266111693c60"]}],"mendeley":{"formattedCitation":"(Pravina et al., 2013)","plainTextFormattedCitation":"(Pravina et al., 2013)","previouslyFormattedCitation":"(Pravina et al., 2013)"},"properties":{"noteIndex":0},"schema":"https://github.com/citation-style-language/schema/raw/master/csl-citation.json"}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(Pravina et al., 2013)</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Pr="005250A4">
        <w:rPr>
          <w:rFonts w:ascii="Arial" w:eastAsia="Times New Roman" w:hAnsi="Arial" w:cs="Arial"/>
          <w:color w:val="000000" w:themeColor="text1"/>
          <w:sz w:val="20"/>
          <w:szCs w:val="20"/>
          <w:lang w:val="en-US" w:eastAsia="fr-FR"/>
        </w:rPr>
        <w:t xml:space="preserve"> Magnesium is an essential cofactor for various metabolic reactions involving</w:t>
      </w:r>
      <w:r w:rsidR="00164991" w:rsidRPr="005250A4">
        <w:rPr>
          <w:rFonts w:ascii="Arial" w:eastAsia="Times New Roman" w:hAnsi="Arial" w:cs="Arial"/>
          <w:color w:val="000000" w:themeColor="text1"/>
          <w:sz w:val="20"/>
          <w:szCs w:val="20"/>
          <w:lang w:val="en-US" w:eastAsia="fr-FR"/>
        </w:rPr>
        <w:t xml:space="preserve"> more than</w:t>
      </w:r>
      <w:r w:rsidRPr="005250A4">
        <w:rPr>
          <w:rFonts w:ascii="Arial" w:eastAsia="Times New Roman" w:hAnsi="Arial" w:cs="Arial"/>
          <w:color w:val="000000" w:themeColor="text1"/>
          <w:sz w:val="20"/>
          <w:szCs w:val="20"/>
          <w:lang w:val="en-US" w:eastAsia="fr-FR"/>
        </w:rPr>
        <w:t xml:space="preserve"> 300 enzymes in the human body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{"citationItems":[{"id":"ITEM-1","itemData":{"DOI":"https://doi.org/10.1155/2018/9041694","author":[{"dropping-particle":"Al","family":"Alawi","given":"Abdullah M","non-dropping-particle":"","parse-names":false,"suffix":""},{"dropping-particle":"","family":"Majoni","given":"Sandawana William","non-dropping-particle":"","parse-names":false,"suffix":""},{"dropping-particle":"","family":"Falhammar","given":"Henrik","non-dropping-particle":"","parse-names":false,"suffix":""}],"container-title":"Int J Endocrinol","id":"ITEM-1","issued":{"date-parts":[["2018"]]},"page":"17 pages","title":"Review Article Magnesium and Human Health : Perspectives and Research Directions","type":"article-journal","volume":"2018"},"uris":["http://www.mendeley.com/documents/?uuid=feb0c485-a4e8-4284-aa13-398e1f6f3800"]}],"mendeley":{"formattedCitation":"(Alawi et al., 2018)","plainTextFormattedCitation":"(Alawi et al., 2018)","previouslyFormattedCitation":"(Alawi et al., 2018)"},"properties":{"noteIndex":0},"schema":"https://github.com/citation-style-language/schema/raw/master/csl-citation.json"}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(Alawi et al., 2018)</w:t>
      </w:r>
      <w:r w:rsidR="0087571D" w:rsidRPr="005250A4">
        <w:rPr>
          <w:rStyle w:val="fontstyle01"/>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Phosphorus plays an important role in energy metabolism (ATP, GTP, ADP, </w:t>
      </w:r>
      <w:r w:rsidR="00164991"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color w:val="000000" w:themeColor="text1"/>
          <w:sz w:val="20"/>
          <w:szCs w:val="20"/>
          <w:lang w:val="en-US" w:eastAsia="fr-FR"/>
        </w:rPr>
        <w:t>GDP), acid</w:t>
      </w:r>
      <w:r w:rsidR="00164991" w:rsidRPr="005250A4">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base balance, and intracellular cell signaling</w:t>
      </w:r>
      <w:r w:rsidR="001E06B5" w:rsidRPr="005250A4">
        <w:rPr>
          <w:rFonts w:ascii="Arial" w:eastAsia="Times New Roman" w:hAnsi="Arial" w:cs="Arial"/>
          <w:color w:val="000000" w:themeColor="text1"/>
          <w:sz w:val="20"/>
          <w:szCs w:val="20"/>
          <w:lang w:val="en-US" w:eastAsia="fr-FR"/>
        </w:rPr>
        <w:t xml:space="preserve"> </w:t>
      </w:r>
      <w:r w:rsidR="001E06B5" w:rsidRPr="00DD6338">
        <w:rPr>
          <w:rFonts w:ascii="Arial" w:eastAsia="Times New Roman" w:hAnsi="Arial" w:cs="Arial"/>
          <w:color w:val="000000" w:themeColor="text1"/>
          <w:sz w:val="20"/>
          <w:szCs w:val="20"/>
          <w:lang w:val="en-US" w:eastAsia="fr-FR"/>
        </w:rPr>
        <w:fldChar w:fldCharType="begin" w:fldLock="1"/>
      </w:r>
      <w:r w:rsidR="00DD6338">
        <w:rPr>
          <w:rFonts w:ascii="Arial" w:eastAsia="Times New Roman" w:hAnsi="Arial" w:cs="Arial"/>
          <w:color w:val="000000" w:themeColor="text1"/>
          <w:sz w:val="20"/>
          <w:szCs w:val="20"/>
          <w:lang w:val="en-US" w:eastAsia="fr-FR"/>
        </w:rPr>
        <w:instrText>ADDIN CSL_CITATION {"citationItems":[{"id":"ITEM-1","itemData":{"DOI":"10.1201/9781315119533","ISBN":"9781498706971","abstract":"Phosphorus is an essential mineral that is prevalent in a variety of foods. Additionally it is a common additive in processed foods, used as both a preservative and for flavor enhancement. Therefore, in the United States the average person’s intake far exceeds the daily requirement. The human body has multiple mechanisms to maintain phosphorous homeostasis and prevent the excess phosphorous from causing complications. However, once there is a breakdown in these mechanisms, such as in renal failure, there is mounting evidence of the systemic harm associated with elevated serum phosphorous levels. It has been known for a number of years that patients with renal failure and elevated serum phosphorous levels develop renal osteodystrophy, but newer evidence now reveals associations with left ventricular hypertrophy, cardiovascular disease, faster progression of chronic kidney disease, and increased mortality. This chapter will attempt to describe the mechanism of phosphorous homeostasis and the consequences of elevated serum phosphorous levels in chronic kidney disease patients. Lastly, we will review the basics of treatments of hyperphosphatemia in these patients.","author":[{"dropping-particle":"","family":"Chang","given":"Alex R","non-dropping-particle":"","parse-names":false,"suffix":""},{"dropping-particle":"","family":"Anderson","given":"Cheryl","non-dropping-particle":"","parse-names":false,"suffix":""}],"container-title":"Annual Review of Nutrition","id":"ITEM-1","issue":"June 14","issued":{"date-parts":[["2017"]]},"page":"321-346","title":"Dietary phosphorus intake and kidney function","type":"article-journal","volume":"37"},"uris":["http://www.mendeley.com/documents/?uuid=5e97abb4-227f-4570-a1ad-2f8c1aba5cb3"]}],"mendeley":{"formattedCitation":"(A. R. Chang &amp; Anderson, 2017)","plainTextFormattedCitation":"(A. R. Chang &amp; Anderson, 2017)","previouslyFormattedCitation":"(A. R. Chang &amp; Anderson, 2017)"},"properties":{"noteIndex":0},"schema":"https://github.com/citation-style-language/schema/raw/master/csl-citation.json"}</w:instrText>
      </w:r>
      <w:r w:rsidR="001E06B5" w:rsidRPr="00DD6338">
        <w:rPr>
          <w:rFonts w:ascii="Arial" w:eastAsia="Times New Roman" w:hAnsi="Arial" w:cs="Arial"/>
          <w:color w:val="000000" w:themeColor="text1"/>
          <w:sz w:val="20"/>
          <w:szCs w:val="20"/>
          <w:lang w:val="en-US" w:eastAsia="fr-FR"/>
        </w:rPr>
        <w:fldChar w:fldCharType="separate"/>
      </w:r>
      <w:r w:rsidR="00DD6338" w:rsidRPr="00DD6338">
        <w:rPr>
          <w:rFonts w:ascii="Arial" w:eastAsia="Times New Roman" w:hAnsi="Arial" w:cs="Arial"/>
          <w:noProof/>
          <w:color w:val="000000" w:themeColor="text1"/>
          <w:sz w:val="20"/>
          <w:szCs w:val="20"/>
          <w:lang w:val="en-US" w:eastAsia="fr-FR"/>
        </w:rPr>
        <w:t>(A. R. Chang &amp; Anderson, 2017)</w:t>
      </w:r>
      <w:r w:rsidR="001E06B5" w:rsidRPr="00DD6338">
        <w:rPr>
          <w:rFonts w:ascii="Arial" w:eastAsia="Times New Roman" w:hAnsi="Arial" w:cs="Arial"/>
          <w:color w:val="000000" w:themeColor="text1"/>
          <w:sz w:val="20"/>
          <w:szCs w:val="20"/>
          <w:lang w:val="en-US" w:eastAsia="fr-FR"/>
        </w:rPr>
        <w:fldChar w:fldCharType="end"/>
      </w:r>
      <w:r w:rsidR="0087571D" w:rsidRPr="00DD6338">
        <w:rPr>
          <w:rStyle w:val="fontstyle01"/>
          <w:rFonts w:ascii="Arial" w:hAnsi="Arial" w:cs="Arial"/>
          <w:color w:val="000000" w:themeColor="text1"/>
          <w:sz w:val="20"/>
          <w:szCs w:val="20"/>
          <w:lang w:val="en-US"/>
        </w:rPr>
        <w:t>.</w:t>
      </w:r>
      <w:r w:rsidRPr="00DD6338">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Potassium is the most abundant cation in intracellular fluid, where it plays a key role in maintaining cellular functions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{"citationItems":[{"id":"ITEM-1","itemData":{"DOI":"10.3390/nu8070444","ISSN":"20726643","PMID":"27455317","abstract":"Potassium is an essential nutrient. It is the most abundant cation in intracellular fluid where it plays a key role in maintaining cell function. The gradient of potassium across the cell membrane determines cellular membrane potential, which is maintained in large part by the ubiquitous ion channel the sodium-potassium (Na+-K+) ATPase pump. Approximately 90% of potassium consumed (60–100 mEq) is lost in the urine, with the other 10% excreted in the stool, and a very small amount lost in sweat. Little is known about the bioavailability of potassium, especially from dietary sources. Less is understood on how bioavailability may affect health outcomes. Hypertension (HTN) is the leading cause of cardiovascular disease (CVD) and a major financial burden ($50.6 billion) to the US public health system, and has a significant impact on all-cause morbidity and mortality worldwide. The relationship between increased potassium supplementation and a decrease in HTN is relatively well understood, but the effect of increased potassium intake from dietary sources on blood pressure overall is less clear. In addition, treatment options for hypertensive individuals (e.g., thiazide diuretics) may further compound chronic disease risk via impairments in potassium utilization and glucose control. Understanding potassium bioavailability from various sources may help to reveal how specific compounds and tissues influence potassium movement, and further the understanding of its role in health.","author":[{"dropping-particle":"","family":"Stone","given":"Michael S.","non-dropping-particle":"","parse-names":false,"suffix":""},{"dropping-particle":"","family":"Martyn","given":"Lisa","non-dropping-particle":"","parse-names":false,"suffix":""},{"dropping-particle":"","family":"Weaver","given":"Connie M.","non-dropping-particle":"","parse-names":false,"suffix":""}],"container-title":"Nutrients","id":"ITEM-1","issue":"7","issued":{"date-parts":[["2016"]]},"page":"1-13","title":"Potassium intake, bioavailability, hypertension, and glucose control","type":"article-journal","volume":"8"},"uris":["http://www.mendeley.com/documents/?uuid=e6520118-066c-430d-a5bf-0ce8fd66a938"]}],"mendeley":{"formattedCitation":"(Stone et al., 2016)","plainTextFormattedCitation":"(Stone et al., 2016)","previouslyFormattedCitation":"(Stone et al., 2016)"},"properties":{"noteIndex":0},"schema":"https://github.com/citation-style-language/schema/raw/master/csl-citation.json"}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(Stone et al., 2016)</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Sodium is essential for cellular homeostasis and physiological function </w:t>
      </w:r>
      <w:r w:rsidR="0087571D" w:rsidRPr="005250A4">
        <w:rPr>
          <w:rStyle w:val="fontstyle01"/>
          <w:rFonts w:ascii="Arial" w:hAnsi="Arial" w:cs="Arial"/>
          <w:color w:val="000000" w:themeColor="text1"/>
          <w:sz w:val="20"/>
          <w:szCs w:val="20"/>
        </w:rPr>
        <w:fldChar w:fldCharType="begin" w:fldLock="1"/>
      </w:r>
      <w:r w:rsidR="00E91D2D">
        <w:rPr>
          <w:rStyle w:val="fontstyle01"/>
          <w:rFonts w:ascii="Arial" w:hAnsi="Arial" w:cs="Arial"/>
          <w:color w:val="000000" w:themeColor="text1"/>
          <w:sz w:val="20"/>
          <w:szCs w:val="20"/>
          <w:lang w:val="en-US"/>
        </w:rPr>
        <w:instrText>ADDIN CSL_CITATION {"citationItems":[{"id":"ITEM-1","itemData":{"DOI":"10.1016/j.jacc.2014.12.039","ISSN":"15583597","PMID":"25766952","abstract":"Sodium is essential for cellular homeostasis and physiological function. Excess dietary sodium has been linked to elevations in blood pressure (BP). Salt sensitivity of BP varies widely, but certain subgroups tend to be more salt sensitive. The mechanisms underlying sodium-induced increases in BP are not completely understood but may involve alterations in renal function, fluid volume, fluid-regulatory hormones, the vasculature, cardiac function, and the autonomic nervous system. Recent pre-clinical and clinical data support that even in the absence of an increase in BP, excess dietary sodium can adversely affect target organs, including the blood vessels, heart, kidneys, and brain. In this review, the investigators review these issues and the epidemiological research relating dietary sodium to BP and cardiovascular health outcomes, addressing recent controversies. They also provide information and strategies for reducing dietary sodium.","author":[{"dropping-particle":"","family":"Farquhar","given":"William B.","non-dropping-particle":"","parse-names":false,"suffix":""},{"dropping-particle":"","family":"Edwards","given":"David G.","non-dropping-particle":"","parse-names":false,"suffix":""},{"dropping-particle":"","family":"Jurkovitz","given":"Claudine T.","non-dropping-particle":"","parse-names":false,"suffix":""},{"dropping-particle":"","family":"Weintraub","given":"William S.","non-dropping-particle":"","parse-names":false,"suffix":""}],"container-title":"Journal of the American College of Cardiology","id":"ITEM-1","issue":"10","issued":{"date-parts":[["2015"]]},"page":"1042-1050","title":"Dietary sodium and health: More than just blood pressure","type":"article-journal","volume":"65"},"uris":["http://www.mendeley.com/documents/?uuid=045a786b-b93a-4890-83c8-75d257da2d59"]}],"mendeley":{"formattedCitation":"(Farquhar et al., 2015)","plainTextFormattedCitation":"(Farquhar et al., 2015)","previouslyFormattedCitation":"(Farquhar et al., 2015)"},"properties":{"noteIndex":0},"schema":"https://github.com/citation-style-language/schema/raw/master/csl-citation.json"}</w:instrText>
      </w:r>
      <w:r w:rsidR="0087571D" w:rsidRPr="005250A4">
        <w:rPr>
          <w:rStyle w:val="fontstyle01"/>
          <w:rFonts w:ascii="Arial" w:hAnsi="Arial" w:cs="Arial"/>
          <w:color w:val="000000" w:themeColor="text1"/>
          <w:sz w:val="20"/>
          <w:szCs w:val="20"/>
        </w:rPr>
        <w:fldChar w:fldCharType="separate"/>
      </w:r>
      <w:r w:rsidR="00302617" w:rsidRPr="00302617">
        <w:rPr>
          <w:rStyle w:val="fontstyle01"/>
          <w:rFonts w:ascii="Arial" w:hAnsi="Arial" w:cs="Arial"/>
          <w:noProof/>
          <w:color w:val="000000" w:themeColor="text1"/>
          <w:sz w:val="20"/>
          <w:szCs w:val="20"/>
          <w:lang w:val="en-US"/>
        </w:rPr>
        <w:t>(Farquhar et al., 2015)</w:t>
      </w:r>
      <w:r w:rsidR="0087571D" w:rsidRPr="005250A4">
        <w:rPr>
          <w:rStyle w:val="fontstyle01"/>
          <w:rFonts w:ascii="Arial" w:hAnsi="Arial" w:cs="Arial"/>
          <w:color w:val="000000" w:themeColor="text1"/>
          <w:sz w:val="20"/>
          <w:szCs w:val="20"/>
        </w:rPr>
        <w:fldChar w:fldCharType="end"/>
      </w:r>
      <w:r w:rsidR="0087571D" w:rsidRPr="005250A4">
        <w:rPr>
          <w:rStyle w:val="fontstyle01"/>
          <w:rFonts w:ascii="Arial" w:hAnsi="Arial" w:cs="Arial"/>
          <w:color w:val="000000" w:themeColor="text1"/>
          <w:sz w:val="20"/>
          <w:szCs w:val="20"/>
          <w:lang w:val="en-US"/>
        </w:rPr>
        <w:t>.</w:t>
      </w:r>
      <w:r w:rsidR="00065DDC" w:rsidRPr="005250A4">
        <w:rPr>
          <w:rFonts w:ascii="Arial" w:eastAsia="Times New Roman" w:hAnsi="Arial" w:cs="Arial"/>
          <w:color w:val="000000" w:themeColor="text1"/>
          <w:sz w:val="20"/>
          <w:szCs w:val="20"/>
          <w:lang w:val="en-US" w:eastAsia="fr-FR"/>
        </w:rPr>
        <w:t xml:space="preserve"> </w:t>
      </w:r>
    </w:p>
    <w:p w14:paraId="451B6FC4" w14:textId="495ADAE2" w:rsidR="00D64A3F" w:rsidRPr="00885888" w:rsidRDefault="00D64A3F" w:rsidP="006F041F">
      <w:pPr>
        <w:spacing w:before="100" w:beforeAutospacing="1" w:after="100" w:afterAutospacing="1" w:line="360" w:lineRule="auto"/>
        <w:jc w:val="both"/>
        <w:rPr>
          <w:rStyle w:val="fontstyle01"/>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In light of the above, it is clear that the leaves and fruits of </w:t>
      </w:r>
      <w:r w:rsidRPr="005250A4">
        <w:rPr>
          <w:rFonts w:ascii="Arial" w:eastAsia="Times New Roman" w:hAnsi="Arial" w:cs="Arial"/>
          <w:i/>
          <w:color w:val="000000" w:themeColor="text1"/>
          <w:sz w:val="20"/>
          <w:szCs w:val="20"/>
          <w:lang w:val="en-US" w:eastAsia="fr-FR"/>
        </w:rPr>
        <w:t xml:space="preserve">C. </w:t>
      </w:r>
      <w:proofErr w:type="spellStart"/>
      <w:r w:rsidRPr="005250A4">
        <w:rPr>
          <w:rFonts w:ascii="Arial" w:eastAsia="Times New Roman" w:hAnsi="Arial" w:cs="Arial"/>
          <w:i/>
          <w:color w:val="000000" w:themeColor="text1"/>
          <w:sz w:val="20"/>
          <w:szCs w:val="20"/>
          <w:lang w:val="en-US" w:eastAsia="fr-FR"/>
        </w:rPr>
        <w:t>olitorius</w:t>
      </w:r>
      <w:proofErr w:type="spellEnd"/>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 xml:space="preserve">A. </w:t>
      </w:r>
      <w:proofErr w:type="spellStart"/>
      <w:r w:rsidRPr="005250A4">
        <w:rPr>
          <w:rFonts w:ascii="Arial" w:eastAsia="Times New Roman" w:hAnsi="Arial" w:cs="Arial"/>
          <w:i/>
          <w:color w:val="000000" w:themeColor="text1"/>
          <w:sz w:val="20"/>
          <w:szCs w:val="20"/>
          <w:lang w:val="en-US" w:eastAsia="fr-FR"/>
        </w:rPr>
        <w:t>esculentus</w:t>
      </w:r>
      <w:proofErr w:type="spellEnd"/>
      <w:r w:rsidRPr="005250A4">
        <w:rPr>
          <w:rFonts w:ascii="Arial" w:eastAsia="Times New Roman" w:hAnsi="Arial" w:cs="Arial"/>
          <w:color w:val="000000" w:themeColor="text1"/>
          <w:sz w:val="20"/>
          <w:szCs w:val="20"/>
          <w:lang w:val="en-US" w:eastAsia="fr-FR"/>
        </w:rPr>
        <w:t xml:space="preserve"> have significant nutritional potential. They should certainly make a significant contribution to meeting the nutrient requirements of the populations in which they occupy a prominent place in the diet. According to several authors</w:t>
      </w:r>
      <w:r w:rsidR="00A65703">
        <w:rPr>
          <w:rFonts w:ascii="Arial" w:eastAsia="Times New Roman" w:hAnsi="Arial" w:cs="Arial"/>
          <w:color w:val="000000" w:themeColor="text1"/>
          <w:sz w:val="20"/>
          <w:szCs w:val="20"/>
          <w:lang w:val="en-US" w:eastAsia="fr-FR"/>
        </w:rPr>
        <w:t xml:space="preserve"> </w:t>
      </w:r>
      <w:r w:rsidR="00A65703">
        <w:rPr>
          <w:rFonts w:ascii="Arial" w:eastAsia="Times New Roman" w:hAnsi="Arial" w:cs="Arial"/>
          <w:color w:val="000000" w:themeColor="text1"/>
          <w:sz w:val="20"/>
          <w:szCs w:val="20"/>
          <w:lang w:val="en-US" w:eastAsia="fr-FR"/>
        </w:rPr>
        <w:fldChar w:fldCharType="begin" w:fldLock="1"/>
      </w:r>
      <w:r w:rsidR="00CB3EB5">
        <w:rPr>
          <w:rFonts w:ascii="Arial" w:eastAsia="Times New Roman" w:hAnsi="Arial" w:cs="Arial"/>
          <w:color w:val="000000" w:themeColor="text1"/>
          <w:sz w:val="20"/>
          <w:szCs w:val="20"/>
          <w:lang w:val="en-US" w:eastAsia="fr-FR"/>
        </w:rPr>
        <w:instrText>ADDIN CSL_CITATION {"citationItems":[{"id":"ITEM-1","itemData":{"DOI":"10.1039/d2ra07406k","ISSN":"20462069","abstract":"Corchorus olitorius L. is a nutritious green leafy vegetable that is eaten as a viscous soup in African and Middle Eastern cultures. The purpose of this review is to highlight the nutritional and nutraceutical potential of this plant. The leaves of C. olitorius are rich providers of minerals as calcium and iron in addition to vitamins B1, B2, folic acid C and E. The leaves contain numerous compounds having several biological effects including antidiabetic and antioxidant properties. Besides, the leaves comprise other phytochemicals such as cardiac glycosides, terpenes, flavonoids, fatty acids, hydrocarbons and phenolics. Various extracts of C. olitorius were shown to exhibit antioxidant, anti-inflammatory, hepatoprotective, antihyperlipidemic, immunostimulant, antitumor, antimicrobial, antidiabetic, analgesic, wound-healing properties and cardioprotective activities.","author":[{"dropping-particle":"","family":"Abdel-Razek","given":"Marwa A.M.","non-dropping-particle":"","parse-names":false,"suffix":""},{"dropping-particle":"","family":"Abdelwahab","given":"Miada F.","non-dropping-particle":"","parse-names":false,"suffix":""},{"dropping-particle":"","family":"Abdelmohsen","given":"Usama Ramadan","non-dropping-particle":"","parse-names":false,"suffix":""},{"dropping-particle":"","family":"Hamed","given":"Ashraf N.E.","non-dropping-particle":"","parse-names":false,"suffix":""}],"container-title":"RSC Advances","id":"ITEM-1","issue":"54","issued":{"date-parts":[["2022"]]},"page":"35103-35114","publisher":"Royal Society of Chemistry","title":"Pharmacological and phytochemical biodiversity of Corchorus olitorius","type":"article-journal","volume":"12"},"uris":["http://www.mendeley.com/documents/?uuid=969b0581-6feb-4d3b-81e1-acc2d9097206"]}],"mendeley":{"formattedCitation":"(Abdel-Razek et al., 2022)","manualFormatting":"(Abdel-Razek et al., 2022; ","plainTextFormattedCitation":"(Abdel-Razek et al., 2022)","previouslyFormattedCitation":"(Abdel-Razek et al., 2022)"},"properties":{"noteIndex":0},"schema":"https://github.com/citation-style-language/schema/raw/master/csl-citation.json"}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A65703">
        <w:rPr>
          <w:rFonts w:ascii="Arial" w:eastAsia="Times New Roman" w:hAnsi="Arial" w:cs="Arial"/>
          <w:noProof/>
          <w:color w:val="000000" w:themeColor="text1"/>
          <w:sz w:val="20"/>
          <w:szCs w:val="20"/>
          <w:lang w:eastAsia="fr-FR"/>
        </w:rPr>
        <w:t>(Abdel-Razek et al., 2022</w:t>
      </w:r>
      <w:r w:rsidR="00A65703">
        <w:rPr>
          <w:rFonts w:ascii="Arial" w:eastAsia="Times New Roman" w:hAnsi="Arial" w:cs="Arial"/>
          <w:noProof/>
          <w:color w:val="000000" w:themeColor="text1"/>
          <w:sz w:val="20"/>
          <w:szCs w:val="20"/>
          <w:lang w:eastAsia="fr-FR"/>
        </w:rPr>
        <w:t xml:space="preserve">; </w:t>
      </w:r>
      <w:r w:rsidR="00A65703">
        <w:rPr>
          <w:rFonts w:ascii="Arial" w:eastAsia="Times New Roman" w:hAnsi="Arial" w:cs="Arial"/>
          <w:color w:val="000000" w:themeColor="text1"/>
          <w:sz w:val="20"/>
          <w:szCs w:val="20"/>
          <w:lang w:val="en-US" w:eastAsia="fr-FR"/>
        </w:rPr>
        <w:fldChar w:fldCharType="end"/>
      </w:r>
      <w:r w:rsidR="00A65703">
        <w:rPr>
          <w:rFonts w:ascii="Arial" w:eastAsia="Times New Roman" w:hAnsi="Arial" w:cs="Arial"/>
          <w:color w:val="000000" w:themeColor="text1"/>
          <w:sz w:val="20"/>
          <w:szCs w:val="20"/>
          <w:lang w:val="en-US" w:eastAsia="fr-FR"/>
        </w:rPr>
        <w:fldChar w:fldCharType="begin" w:fldLock="1"/>
      </w:r>
      <w:r w:rsidR="00A65703" w:rsidRPr="00A65703">
        <w:rPr>
          <w:rFonts w:ascii="Arial" w:eastAsia="Times New Roman" w:hAnsi="Arial" w:cs="Arial"/>
          <w:color w:val="000000" w:themeColor="text1"/>
          <w:sz w:val="20"/>
          <w:szCs w:val="20"/>
          <w:lang w:eastAsia="fr-FR"/>
        </w:rPr>
        <w:instrText>ADDIN CSL_CITATION {"citationItems":[{"id":"ITEM-1","itemData":{"abstract":"Jute (Corchorus spp.) leaf has long been used as a remedy in many cultures. Jute leaf products, which\\r\\ninclude the leaf juice, fried leaf, and some time whole green leaf, are used, among other reasons, as laxatives, in\\r\\ncreams for skin care, and as a treatment for a wide range of diseases, respectively. The heterogeneous nature of\\r\\njute leaf products may contribute to the diverse biological and therapeutic activities that have been observed.\\r\\nVariations in the composition of jute leaf can result in products with different chemical and physical properties,\\r\\nmaking the comparison of products difficult. the green, leafy vegetable is rich in beta-carotene for good eyesight,\\r\\niron for healthy red blood cells, calcium for strong bones and teeth, and vitamin C for smooth, clear skin, strong\\r\\nimmune cells, and fast wound-healing. Vitamins A, C and E present in jute leaf/Saluyot “spongeup” free\\r\\nradicals, scooping them up</w:instrText>
      </w:r>
      <w:r w:rsidR="00A65703" w:rsidRPr="00885888">
        <w:rPr>
          <w:rFonts w:ascii="Arial" w:eastAsia="Times New Roman" w:hAnsi="Arial" w:cs="Arial"/>
          <w:color w:val="000000" w:themeColor="text1"/>
          <w:sz w:val="20"/>
          <w:szCs w:val="20"/>
          <w:lang w:val="en-US" w:eastAsia="fr-FR"/>
        </w:rPr>
        <w:instrText xml:space="preserve"> before they can commit cellular sabotage. Jute leaf as vegetable contains an\\r\\nabundance of antioxidants that have been associated with protection from chronic diseases such as heart disease,\\r\\ncancer, diabetes, and hypertension as well as other medical conditions. Fresh jute leaf has higher demand.\\r\\nAyurvedics use the leaves for ascites, pain, piles (laxative), and tumors. Elsewhere the leaves are used for cystitis,\\r\\ndysuria, and fever. The cold infusion is said to restore the appetite and strength. In this article, the biochemistry,\\r\\nuses and pharmacological activity of jute leaf fry, juice and curry compounds are reviewed.","author":[{"dropping-particle":"","family":"Islam","given":"M. M.","non-dropping-particle":"","parse-names":false,"suffix":""}],"container-title":"International Journal of Enhanced Research in Science Technology &amp; Engineering","id":"ITEM-1","issue":"11","issued":{"date-parts":[["2013"]]},"page":"35-44","title":"Biochemistry, Medicinal and Food values of Jute (Corchorus capsularis L. and C. olitorius L.) leaf: A Review","type":"article-journal","volume":"2"},"uris":["http://www.mendeley.com/documents/?uuid=3d506724-7123-4e3a-8633-0a0fe7d2515a"]}],"mendeley":{"formattedCitation":"(Islam, 2013)","manualFormatting":"Islam, 2013)","plainTextFormattedCitation":"(Islam, 2013)","previouslyFormattedCitation":"(Islam, 2013)"},"properties":{"noteIndex":0},"schema":"https://github.com/citation-style-language/schema/raw/master/csl-citation.json"}</w:instrText>
      </w:r>
      <w:r w:rsidR="00A65703">
        <w:rPr>
          <w:rFonts w:ascii="Arial" w:eastAsia="Times New Roman" w:hAnsi="Arial" w:cs="Arial"/>
          <w:color w:val="000000" w:themeColor="text1"/>
          <w:sz w:val="20"/>
          <w:szCs w:val="20"/>
          <w:lang w:val="en-US" w:eastAsia="fr-FR"/>
        </w:rPr>
        <w:fldChar w:fldCharType="separate"/>
      </w:r>
      <w:r w:rsidR="00A65703" w:rsidRPr="00885888">
        <w:rPr>
          <w:rFonts w:ascii="Arial" w:eastAsia="Times New Roman" w:hAnsi="Arial" w:cs="Arial"/>
          <w:noProof/>
          <w:color w:val="000000" w:themeColor="text1"/>
          <w:sz w:val="20"/>
          <w:szCs w:val="20"/>
          <w:lang w:val="en-US" w:eastAsia="fr-FR"/>
        </w:rPr>
        <w:t>Islam, 2013)</w:t>
      </w:r>
      <w:r w:rsidR="00A65703">
        <w:rPr>
          <w:rFonts w:ascii="Arial" w:eastAsia="Times New Roman" w:hAnsi="Arial" w:cs="Arial"/>
          <w:color w:val="000000" w:themeColor="text1"/>
          <w:sz w:val="20"/>
          <w:szCs w:val="20"/>
          <w:lang w:val="en-US" w:eastAsia="fr-FR"/>
        </w:rPr>
        <w:fldChar w:fldCharType="end"/>
      </w:r>
      <w:r w:rsidR="00DD6338" w:rsidRPr="00885888">
        <w:rPr>
          <w:rFonts w:ascii="Arial" w:eastAsia="Times New Roman" w:hAnsi="Arial" w:cs="Arial"/>
          <w:color w:val="000000" w:themeColor="text1"/>
          <w:sz w:val="20"/>
          <w:szCs w:val="20"/>
          <w:lang w:val="en-US" w:eastAsia="fr-FR"/>
        </w:rPr>
        <w:t xml:space="preserve">, </w:t>
      </w:r>
      <w:r w:rsidRPr="00885888">
        <w:rPr>
          <w:rFonts w:ascii="Arial" w:eastAsia="Times New Roman" w:hAnsi="Arial" w:cs="Arial"/>
          <w:color w:val="000000" w:themeColor="text1"/>
          <w:sz w:val="20"/>
          <w:szCs w:val="20"/>
          <w:lang w:val="en-US" w:eastAsia="fr-FR"/>
        </w:rPr>
        <w:t>the potential benefits observed in the consumption of these two organs are not limited to nutritional levels.</w:t>
      </w:r>
    </w:p>
    <w:p w14:paraId="489B8AEB" w14:textId="77777777" w:rsidR="00933753" w:rsidRPr="00202D84" w:rsidRDefault="000A4569" w:rsidP="00F767DB">
      <w:pPr>
        <w:pStyle w:val="Paragraphedeliste"/>
        <w:numPr>
          <w:ilvl w:val="1"/>
          <w:numId w:val="5"/>
        </w:numPr>
        <w:spacing w:line="480" w:lineRule="auto"/>
        <w:jc w:val="both"/>
        <w:rPr>
          <w:rFonts w:ascii="Arial" w:hAnsi="Arial" w:cs="Arial"/>
          <w:b/>
          <w:color w:val="000000" w:themeColor="text1"/>
          <w:lang w:val="en-US"/>
        </w:rPr>
      </w:pPr>
      <w:r w:rsidRPr="00202D84">
        <w:rPr>
          <w:rStyle w:val="fontstyle01"/>
          <w:rFonts w:ascii="Arial" w:hAnsi="Arial" w:cs="Arial"/>
          <w:b/>
          <w:color w:val="000000" w:themeColor="text1"/>
          <w:sz w:val="22"/>
          <w:szCs w:val="22"/>
          <w:lang w:val="en-US"/>
        </w:rPr>
        <w:t>Bioactive potential</w:t>
      </w:r>
      <w:r w:rsidR="00ED5287" w:rsidRPr="00202D84">
        <w:rPr>
          <w:rStyle w:val="fontstyle01"/>
          <w:rFonts w:ascii="Arial" w:hAnsi="Arial" w:cs="Arial"/>
          <w:b/>
          <w:color w:val="000000" w:themeColor="text1"/>
          <w:sz w:val="22"/>
          <w:szCs w:val="22"/>
          <w:lang w:val="en-US"/>
        </w:rPr>
        <w:t xml:space="preserve"> </w:t>
      </w:r>
      <w:r w:rsidR="00E72C01" w:rsidRPr="00202D84">
        <w:rPr>
          <w:rStyle w:val="fontstyle01"/>
          <w:rFonts w:ascii="Arial" w:hAnsi="Arial" w:cs="Arial"/>
          <w:b/>
          <w:color w:val="000000" w:themeColor="text1"/>
          <w:sz w:val="22"/>
          <w:szCs w:val="22"/>
          <w:lang w:val="en-US"/>
        </w:rPr>
        <w:t xml:space="preserve">of </w:t>
      </w:r>
      <w:r w:rsidR="00935722" w:rsidRPr="00202D84">
        <w:rPr>
          <w:rFonts w:ascii="Arial" w:eastAsia="Times New Roman" w:hAnsi="Arial" w:cs="Arial"/>
          <w:b/>
          <w:color w:val="000000" w:themeColor="text1"/>
          <w:lang w:val="en-US" w:eastAsia="fr-FR"/>
        </w:rPr>
        <w:t>leaf and fruit</w:t>
      </w:r>
      <w:r w:rsidR="00CC3F9C" w:rsidRPr="00202D84">
        <w:rPr>
          <w:rFonts w:ascii="Arial" w:eastAsia="Times New Roman" w:hAnsi="Arial" w:cs="Arial"/>
          <w:b/>
          <w:color w:val="000000" w:themeColor="text1"/>
          <w:lang w:val="en-US" w:eastAsia="fr-FR"/>
        </w:rPr>
        <w:t xml:space="preserve"> powders</w:t>
      </w:r>
    </w:p>
    <w:p w14:paraId="122D359C" w14:textId="77777777" w:rsidR="0004545E" w:rsidRPr="005250A4" w:rsidRDefault="00160469" w:rsidP="00B17ABC">
      <w:pPr>
        <w:pStyle w:val="Paragraphedeliste"/>
        <w:numPr>
          <w:ilvl w:val="2"/>
          <w:numId w:val="7"/>
        </w:numPr>
        <w:spacing w:line="480" w:lineRule="auto"/>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Identification of the bioactive compound</w:t>
      </w:r>
      <w:r w:rsidR="00810195" w:rsidRPr="005250A4">
        <w:rPr>
          <w:rFonts w:ascii="Arial" w:hAnsi="Arial" w:cs="Arial"/>
          <w:b/>
          <w:color w:val="000000" w:themeColor="text1"/>
          <w:sz w:val="20"/>
          <w:szCs w:val="20"/>
          <w:lang w:val="en-US"/>
        </w:rPr>
        <w:t xml:space="preserve"> </w:t>
      </w:r>
      <w:r w:rsidRPr="005250A4">
        <w:rPr>
          <w:rFonts w:ascii="Arial" w:hAnsi="Arial" w:cs="Arial"/>
          <w:b/>
          <w:color w:val="000000" w:themeColor="text1"/>
          <w:sz w:val="20"/>
          <w:szCs w:val="20"/>
          <w:lang w:val="en-US"/>
        </w:rPr>
        <w:t>groups</w:t>
      </w:r>
    </w:p>
    <w:p w14:paraId="6B6E6C26" w14:textId="6F61620E" w:rsidR="00352E76" w:rsidRPr="005250A4" w:rsidRDefault="00352E76" w:rsidP="000F3849">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Phytochemical screening of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and </w:t>
      </w:r>
      <w:r w:rsidRPr="005250A4">
        <w:rPr>
          <w:rFonts w:ascii="Arial" w:hAnsi="Arial" w:cs="Arial"/>
          <w:i/>
          <w:color w:val="000000" w:themeColor="text1"/>
          <w:sz w:val="20"/>
          <w:szCs w:val="20"/>
          <w:lang w:val="en-US"/>
        </w:rPr>
        <w:t xml:space="preserve">A. </w:t>
      </w:r>
      <w:proofErr w:type="spellStart"/>
      <w:r w:rsidRPr="005250A4">
        <w:rPr>
          <w:rFonts w:ascii="Arial" w:hAnsi="Arial" w:cs="Arial"/>
          <w:i/>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leaves and fruit powders reveal</w:t>
      </w:r>
      <w:r w:rsidR="00D97FF5"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a ran</w:t>
      </w:r>
      <w:r w:rsidR="007A45E0" w:rsidRPr="005250A4">
        <w:rPr>
          <w:rFonts w:ascii="Arial" w:hAnsi="Arial" w:cs="Arial"/>
          <w:color w:val="000000" w:themeColor="text1"/>
          <w:sz w:val="20"/>
          <w:szCs w:val="20"/>
          <w:lang w:val="en-US"/>
        </w:rPr>
        <w:t>ge of bioactive compound group</w:t>
      </w:r>
      <w:r w:rsidRPr="005250A4">
        <w:rPr>
          <w:rFonts w:ascii="Arial" w:hAnsi="Arial" w:cs="Arial"/>
          <w:color w:val="000000" w:themeColor="text1"/>
          <w:sz w:val="20"/>
          <w:szCs w:val="20"/>
          <w:lang w:val="en-US"/>
        </w:rPr>
        <w:t xml:space="preserve">s (Table 3). These include alkaloids, polyphenols, flavonoids, tannins, sterols, triterpenes, </w:t>
      </w:r>
      <w:proofErr w:type="spellStart"/>
      <w:r w:rsidRPr="005250A4">
        <w:rPr>
          <w:rFonts w:ascii="Arial" w:hAnsi="Arial" w:cs="Arial"/>
          <w:color w:val="000000" w:themeColor="text1"/>
          <w:sz w:val="20"/>
          <w:szCs w:val="20"/>
          <w:lang w:val="en-US"/>
        </w:rPr>
        <w:t>saponins</w:t>
      </w:r>
      <w:proofErr w:type="spellEnd"/>
      <w:r w:rsidRPr="005250A4">
        <w:rPr>
          <w:rFonts w:ascii="Arial" w:hAnsi="Arial" w:cs="Arial"/>
          <w:color w:val="000000" w:themeColor="text1"/>
          <w:sz w:val="20"/>
          <w:szCs w:val="20"/>
          <w:lang w:val="en-US"/>
        </w:rPr>
        <w:t xml:space="preserve">, </w:t>
      </w:r>
      <w:proofErr w:type="spellStart"/>
      <w:r w:rsidRPr="005250A4">
        <w:rPr>
          <w:rFonts w:ascii="Arial" w:hAnsi="Arial" w:cs="Arial"/>
          <w:color w:val="000000" w:themeColor="text1"/>
          <w:sz w:val="20"/>
          <w:szCs w:val="20"/>
          <w:lang w:val="en-US"/>
        </w:rPr>
        <w:t>quinones</w:t>
      </w:r>
      <w:proofErr w:type="spellEnd"/>
      <w:r w:rsidRPr="005250A4">
        <w:rPr>
          <w:rFonts w:ascii="Arial" w:hAnsi="Arial" w:cs="Arial"/>
          <w:color w:val="000000" w:themeColor="text1"/>
          <w:sz w:val="20"/>
          <w:szCs w:val="20"/>
          <w:lang w:val="en-US"/>
        </w:rPr>
        <w:t xml:space="preserve"> and </w:t>
      </w:r>
      <w:proofErr w:type="spellStart"/>
      <w:r w:rsidRPr="005250A4">
        <w:rPr>
          <w:rFonts w:ascii="Arial" w:hAnsi="Arial" w:cs="Arial"/>
          <w:color w:val="000000" w:themeColor="text1"/>
          <w:sz w:val="20"/>
          <w:szCs w:val="20"/>
          <w:lang w:val="en-US"/>
        </w:rPr>
        <w:t>anthraquinones</w:t>
      </w:r>
      <w:proofErr w:type="spellEnd"/>
      <w:r w:rsidRPr="005250A4">
        <w:rPr>
          <w:rFonts w:ascii="Arial" w:hAnsi="Arial" w:cs="Arial"/>
          <w:color w:val="000000" w:themeColor="text1"/>
          <w:sz w:val="20"/>
          <w:szCs w:val="20"/>
          <w:lang w:val="en-US"/>
        </w:rPr>
        <w:t>. These</w:t>
      </w:r>
      <w:r w:rsidR="007D1294" w:rsidRPr="005250A4">
        <w:rPr>
          <w:rFonts w:ascii="Arial" w:hAnsi="Arial" w:cs="Arial"/>
          <w:color w:val="000000" w:themeColor="text1"/>
          <w:sz w:val="20"/>
          <w:szCs w:val="20"/>
          <w:lang w:val="en-US"/>
        </w:rPr>
        <w:t xml:space="preserve"> bioactive compounds are </w:t>
      </w:r>
      <w:r w:rsidRPr="005250A4">
        <w:rPr>
          <w:rFonts w:ascii="Arial" w:hAnsi="Arial" w:cs="Arial"/>
          <w:color w:val="000000" w:themeColor="text1"/>
          <w:sz w:val="20"/>
          <w:szCs w:val="20"/>
          <w:lang w:val="en-US"/>
        </w:rPr>
        <w:t xml:space="preserve">secondary metabolites. They are a group of compounds synthesized by plants in response to external aggression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extent of stress or aggression certainly affects the intensity of each group of compounds, and may </w:t>
      </w:r>
      <w:r w:rsidR="000157FB" w:rsidRPr="005250A4">
        <w:rPr>
          <w:rFonts w:ascii="Arial" w:hAnsi="Arial" w:cs="Arial"/>
          <w:color w:val="000000" w:themeColor="text1"/>
          <w:sz w:val="20"/>
          <w:szCs w:val="20"/>
          <w:lang w:val="en-US"/>
        </w:rPr>
        <w:t>explain the great variability of</w:t>
      </w:r>
      <w:r w:rsidRPr="005250A4">
        <w:rPr>
          <w:rFonts w:ascii="Arial" w:hAnsi="Arial" w:cs="Arial"/>
          <w:color w:val="000000" w:themeColor="text1"/>
          <w:sz w:val="20"/>
          <w:szCs w:val="20"/>
          <w:lang w:val="en-US"/>
        </w:rPr>
        <w:t xml:space="preserve"> their presence in the leaves and fruit studied. Quinones and </w:t>
      </w:r>
      <w:proofErr w:type="spellStart"/>
      <w:r w:rsidRPr="005250A4">
        <w:rPr>
          <w:rFonts w:ascii="Arial" w:hAnsi="Arial" w:cs="Arial"/>
          <w:color w:val="000000" w:themeColor="text1"/>
          <w:sz w:val="20"/>
          <w:szCs w:val="20"/>
          <w:lang w:val="en-US"/>
        </w:rPr>
        <w:t>anthraquinones</w:t>
      </w:r>
      <w:proofErr w:type="spellEnd"/>
      <w:r w:rsidRPr="005250A4">
        <w:rPr>
          <w:rFonts w:ascii="Arial" w:hAnsi="Arial" w:cs="Arial"/>
          <w:color w:val="000000" w:themeColor="text1"/>
          <w:sz w:val="20"/>
          <w:szCs w:val="20"/>
          <w:lang w:val="en-US"/>
        </w:rPr>
        <w:t xml:space="preserve"> are absent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fruits and </w:t>
      </w:r>
      <w:r w:rsidRPr="005250A4">
        <w:rPr>
          <w:rFonts w:ascii="Arial" w:hAnsi="Arial" w:cs="Arial"/>
          <w:i/>
          <w:color w:val="000000" w:themeColor="text1"/>
          <w:sz w:val="20"/>
          <w:szCs w:val="20"/>
          <w:lang w:val="en-US"/>
        </w:rPr>
        <w:t xml:space="preserve">A. </w:t>
      </w:r>
      <w:proofErr w:type="spellStart"/>
      <w:r w:rsidRPr="005250A4">
        <w:rPr>
          <w:rFonts w:ascii="Arial" w:hAnsi="Arial" w:cs="Arial"/>
          <w:i/>
          <w:color w:val="000000" w:themeColor="text1"/>
          <w:sz w:val="20"/>
          <w:szCs w:val="20"/>
          <w:lang w:val="en-US"/>
        </w:rPr>
        <w:t>esculentus</w:t>
      </w:r>
      <w:proofErr w:type="spellEnd"/>
      <w:r w:rsidR="00EA6835" w:rsidRPr="005250A4">
        <w:rPr>
          <w:rFonts w:ascii="Arial" w:hAnsi="Arial" w:cs="Arial"/>
          <w:color w:val="000000" w:themeColor="text1"/>
          <w:sz w:val="20"/>
          <w:szCs w:val="20"/>
          <w:lang w:val="en-US"/>
        </w:rPr>
        <w:t xml:space="preserve"> leaves and fruits a</w:t>
      </w:r>
      <w:r w:rsidRPr="005250A4">
        <w:rPr>
          <w:rFonts w:ascii="Arial" w:hAnsi="Arial" w:cs="Arial"/>
          <w:color w:val="000000" w:themeColor="text1"/>
          <w:sz w:val="20"/>
          <w:szCs w:val="20"/>
          <w:lang w:val="en-US"/>
        </w:rPr>
        <w:t xml:space="preserve">nd </w:t>
      </w:r>
      <w:r w:rsidR="00985D26"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moderately present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Other compounds such as alkaloids, sterols, triterpenes and </w:t>
      </w:r>
      <w:proofErr w:type="spellStart"/>
      <w:r w:rsidRPr="005250A4">
        <w:rPr>
          <w:rFonts w:ascii="Arial" w:hAnsi="Arial" w:cs="Arial"/>
          <w:color w:val="000000" w:themeColor="text1"/>
          <w:sz w:val="20"/>
          <w:szCs w:val="20"/>
          <w:lang w:val="en-US"/>
        </w:rPr>
        <w:t>saponins</w:t>
      </w:r>
      <w:proofErr w:type="spellEnd"/>
      <w:r w:rsidRPr="005250A4">
        <w:rPr>
          <w:rFonts w:ascii="Arial" w:hAnsi="Arial" w:cs="Arial"/>
          <w:color w:val="000000" w:themeColor="text1"/>
          <w:sz w:val="20"/>
          <w:szCs w:val="20"/>
          <w:lang w:val="en-US"/>
        </w:rPr>
        <w:t xml:space="preserve"> are moderately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the leaves and fruits of both plants. Polyphenols are </w:t>
      </w:r>
      <w:r w:rsidR="00985D26" w:rsidRPr="005250A4">
        <w:rPr>
          <w:rFonts w:ascii="Arial" w:hAnsi="Arial" w:cs="Arial"/>
          <w:color w:val="000000" w:themeColor="text1"/>
          <w:sz w:val="20"/>
          <w:szCs w:val="20"/>
          <w:lang w:val="en-US"/>
        </w:rPr>
        <w:t xml:space="preserve">present at </w:t>
      </w:r>
      <w:r w:rsidRPr="005250A4">
        <w:rPr>
          <w:rFonts w:ascii="Arial" w:hAnsi="Arial" w:cs="Arial"/>
          <w:color w:val="000000" w:themeColor="text1"/>
          <w:sz w:val="20"/>
          <w:szCs w:val="20"/>
          <w:lang w:val="en-US"/>
        </w:rPr>
        <w:t xml:space="preserve">high and </w:t>
      </w:r>
      <w:r w:rsidR="007D1294" w:rsidRPr="005250A4">
        <w:rPr>
          <w:rFonts w:ascii="Arial" w:hAnsi="Arial" w:cs="Arial"/>
          <w:color w:val="000000" w:themeColor="text1"/>
          <w:sz w:val="20"/>
          <w:szCs w:val="20"/>
          <w:lang w:val="en-US"/>
        </w:rPr>
        <w:t>moderate</w:t>
      </w:r>
      <w:r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 xml:space="preserve">levels </w:t>
      </w:r>
      <w:r w:rsidRPr="005250A4">
        <w:rPr>
          <w:rFonts w:ascii="Arial" w:hAnsi="Arial" w:cs="Arial"/>
          <w:color w:val="000000" w:themeColor="text1"/>
          <w:sz w:val="20"/>
          <w:szCs w:val="20"/>
          <w:lang w:val="en-US"/>
        </w:rPr>
        <w:t xml:space="preserve">in the fruits of both plants and the leaves of </w:t>
      </w:r>
      <w:r w:rsidRPr="005250A4">
        <w:rPr>
          <w:rFonts w:ascii="Arial" w:hAnsi="Arial" w:cs="Arial"/>
          <w:i/>
          <w:color w:val="000000" w:themeColor="text1"/>
          <w:sz w:val="20"/>
          <w:szCs w:val="20"/>
          <w:lang w:val="en-US"/>
        </w:rPr>
        <w:t xml:space="preserve">A. </w:t>
      </w:r>
      <w:proofErr w:type="spellStart"/>
      <w:r w:rsidRPr="005250A4">
        <w:rPr>
          <w:rFonts w:ascii="Arial" w:hAnsi="Arial" w:cs="Arial"/>
          <w:i/>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respectively. </w:t>
      </w:r>
      <w:r w:rsidR="00985D26" w:rsidRPr="005250A4">
        <w:rPr>
          <w:rFonts w:ascii="Arial" w:hAnsi="Arial" w:cs="Arial"/>
          <w:color w:val="000000" w:themeColor="text1"/>
          <w:sz w:val="20"/>
          <w:szCs w:val="20"/>
          <w:lang w:val="en-US"/>
        </w:rPr>
        <w:t>However,</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this gr</w:t>
      </w:r>
      <w:r w:rsidR="000157FB" w:rsidRPr="005250A4">
        <w:rPr>
          <w:rFonts w:ascii="Arial" w:hAnsi="Arial" w:cs="Arial"/>
          <w:color w:val="000000" w:themeColor="text1"/>
          <w:sz w:val="20"/>
          <w:szCs w:val="20"/>
          <w:lang w:val="en-US"/>
        </w:rPr>
        <w:t xml:space="preserve">oup of compounds </w:t>
      </w:r>
      <w:r w:rsidR="00985D26" w:rsidRPr="005250A4">
        <w:rPr>
          <w:rFonts w:ascii="Arial" w:hAnsi="Arial" w:cs="Arial"/>
          <w:color w:val="000000" w:themeColor="text1"/>
          <w:sz w:val="20"/>
          <w:szCs w:val="20"/>
          <w:lang w:val="en-US"/>
        </w:rPr>
        <w:t>was more abundant</w:t>
      </w:r>
      <w:r w:rsidR="000157FB" w:rsidRPr="005250A4">
        <w:rPr>
          <w:rFonts w:ascii="Arial" w:hAnsi="Arial" w:cs="Arial"/>
          <w:color w:val="000000" w:themeColor="text1"/>
          <w:sz w:val="20"/>
          <w:szCs w:val="20"/>
          <w:lang w:val="en-US"/>
        </w:rPr>
        <w:t>. Flavonoids are present in the organs of both plants</w:t>
      </w:r>
      <w:r w:rsidR="00F64531" w:rsidRPr="005250A4">
        <w:rPr>
          <w:rFonts w:ascii="Arial" w:hAnsi="Arial" w:cs="Arial"/>
          <w:color w:val="000000" w:themeColor="text1"/>
          <w:sz w:val="20"/>
          <w:szCs w:val="20"/>
          <w:lang w:val="en-US"/>
        </w:rPr>
        <w:t>. However, they are</w:t>
      </w:r>
      <w:r w:rsidR="000157FB"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w:t>
      </w:r>
      <w:r w:rsidR="00F64531" w:rsidRPr="005250A4">
        <w:rPr>
          <w:rFonts w:ascii="Arial" w:hAnsi="Arial" w:cs="Arial"/>
          <w:color w:val="000000" w:themeColor="text1"/>
          <w:sz w:val="20"/>
          <w:szCs w:val="20"/>
          <w:lang w:val="en-US"/>
        </w:rPr>
        <w:t xml:space="preserve"> </w:t>
      </w:r>
      <w:r w:rsidR="00985D26" w:rsidRPr="005250A4">
        <w:rPr>
          <w:rFonts w:ascii="Arial" w:hAnsi="Arial" w:cs="Arial"/>
          <w:color w:val="000000" w:themeColor="text1"/>
          <w:sz w:val="20"/>
          <w:szCs w:val="20"/>
          <w:lang w:val="en-US"/>
        </w:rPr>
        <w:t>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 xml:space="preserve">A. </w:t>
      </w:r>
      <w:proofErr w:type="spellStart"/>
      <w:r w:rsidRPr="005250A4">
        <w:rPr>
          <w:rFonts w:ascii="Arial" w:hAnsi="Arial" w:cs="Arial"/>
          <w:i/>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fruits. </w:t>
      </w:r>
      <w:r w:rsidR="00DE1D8B" w:rsidRPr="005250A4">
        <w:rPr>
          <w:rFonts w:ascii="Arial" w:hAnsi="Arial" w:cs="Arial"/>
          <w:color w:val="000000" w:themeColor="text1"/>
          <w:sz w:val="20"/>
          <w:szCs w:val="20"/>
          <w:lang w:val="en-US"/>
        </w:rPr>
        <w:t xml:space="preserve">The same observation </w:t>
      </w:r>
      <w:r w:rsidR="00985D26" w:rsidRPr="005250A4">
        <w:rPr>
          <w:rFonts w:ascii="Arial" w:hAnsi="Arial" w:cs="Arial"/>
          <w:color w:val="000000" w:themeColor="text1"/>
          <w:sz w:val="20"/>
          <w:szCs w:val="20"/>
          <w:lang w:val="en-US"/>
        </w:rPr>
        <w:t>was made for</w:t>
      </w:r>
      <w:r w:rsidR="00DE1D8B" w:rsidRPr="005250A4">
        <w:rPr>
          <w:rFonts w:ascii="Arial" w:hAnsi="Arial" w:cs="Arial"/>
          <w:color w:val="000000" w:themeColor="text1"/>
          <w:sz w:val="20"/>
          <w:szCs w:val="20"/>
          <w:lang w:val="en-US"/>
        </w:rPr>
        <w:t xml:space="preserve"> tannins. However, they </w:t>
      </w:r>
      <w:r w:rsidR="00985D26" w:rsidRPr="005250A4">
        <w:rPr>
          <w:rFonts w:ascii="Arial" w:hAnsi="Arial" w:cs="Arial"/>
          <w:color w:val="000000" w:themeColor="text1"/>
          <w:sz w:val="20"/>
          <w:szCs w:val="20"/>
          <w:lang w:val="en-US"/>
        </w:rPr>
        <w:t>are</w:t>
      </w:r>
      <w:r w:rsidRPr="005250A4">
        <w:rPr>
          <w:rFonts w:ascii="Arial" w:hAnsi="Arial" w:cs="Arial"/>
          <w:color w:val="000000" w:themeColor="text1"/>
          <w:sz w:val="20"/>
          <w:szCs w:val="20"/>
          <w:lang w:val="en-US"/>
        </w:rPr>
        <w:t xml:space="preserve"> high</w:t>
      </w:r>
      <w:r w:rsidR="00985D26" w:rsidRPr="005250A4">
        <w:rPr>
          <w:rFonts w:ascii="Arial" w:hAnsi="Arial" w:cs="Arial"/>
          <w:color w:val="000000" w:themeColor="text1"/>
          <w:sz w:val="20"/>
          <w:szCs w:val="20"/>
          <w:lang w:val="en-US"/>
        </w:rPr>
        <w:t>ly abundant</w:t>
      </w:r>
      <w:r w:rsidRPr="005250A4">
        <w:rPr>
          <w:rFonts w:ascii="Arial" w:hAnsi="Arial" w:cs="Arial"/>
          <w:color w:val="000000" w:themeColor="text1"/>
          <w:sz w:val="20"/>
          <w:szCs w:val="20"/>
          <w:lang w:val="en-US"/>
        </w:rPr>
        <w:t xml:space="preserve"> in </w:t>
      </w:r>
      <w:r w:rsidRPr="005250A4">
        <w:rPr>
          <w:rFonts w:ascii="Arial" w:hAnsi="Arial" w:cs="Arial"/>
          <w:i/>
          <w:color w:val="000000" w:themeColor="text1"/>
          <w:sz w:val="20"/>
          <w:szCs w:val="20"/>
          <w:lang w:val="en-US"/>
        </w:rPr>
        <w:t xml:space="preserve">C. </w:t>
      </w:r>
      <w:proofErr w:type="spellStart"/>
      <w:r w:rsidRPr="005250A4">
        <w:rPr>
          <w:rFonts w:ascii="Arial" w:hAnsi="Arial" w:cs="Arial"/>
          <w:i/>
          <w:color w:val="000000" w:themeColor="text1"/>
          <w:sz w:val="20"/>
          <w:szCs w:val="20"/>
          <w:lang w:val="en-US"/>
        </w:rPr>
        <w:t>olitorius</w:t>
      </w:r>
      <w:proofErr w:type="spellEnd"/>
      <w:r w:rsidR="00D4448A" w:rsidRPr="005250A4">
        <w:rPr>
          <w:rFonts w:ascii="Arial" w:hAnsi="Arial" w:cs="Arial"/>
          <w:color w:val="000000" w:themeColor="text1"/>
          <w:sz w:val="20"/>
          <w:szCs w:val="20"/>
          <w:lang w:val="en-US"/>
        </w:rPr>
        <w:t xml:space="preserve"> leaves. Many authors </w:t>
      </w:r>
      <w:r w:rsidRPr="005250A4">
        <w:rPr>
          <w:rFonts w:ascii="Arial" w:hAnsi="Arial" w:cs="Arial"/>
          <w:color w:val="000000" w:themeColor="text1"/>
          <w:sz w:val="20"/>
          <w:szCs w:val="20"/>
          <w:lang w:val="en-US"/>
        </w:rPr>
        <w:t xml:space="preserve">reported similar results on the presence of different bioactive compounds in the leaves and fruits of </w:t>
      </w:r>
      <w:r w:rsidR="00177826"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two plants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{"citationItems":[{"id":"ITEM-1","itemData":{"DOI":"10.1016/j.meafoo.2022.100034","ISSN":"27722759","abstract":"Igbo-Ora, a small town in Oyo State, south-western Nigeria, has the world's highest dizygotic twinning rate. The real cause of this phenomenon is uncertain, but the residents generally believe their traditional diet of Abelmoschus esculentus (L) (okra) leaf soup known as “Ilasa” is majorly responsible for their multiple births. This study is a pointer and is aimed at determining the phytochemical, nutritional and antioxidant potentials of an extract of Abelmoschus esculentus (L) (okra) leaf. Ethanolic extract of the powdered okra leaf sample was prepared and subjected to qualitative and quantitative analyses using standard methods. Proximate composition, mineral elements, amino acids and vitamins constituents were analyzed. The in vitro antioxidant potential of the leaf extract was also carried to evaluate the radical scavenging and reducing properties of the extract. The extract contained a significant amount of polyphenols which could be responsible for its protective and therapeutic potentials. The leaf contained about 10% of crude protein, and a minimized amount of moisture (about 8%) and the fibre (6.24%) content superseded the fat (2.54%). The carbohydrate composition was significantly high (66.99 ± 0.03). These portrayed the leaf as not just possessing bioactive phytochemicals but as a nutritionally relevant sample. The extract of the leaf inhibited the activities of radicals namely DPPH, ABTS and nitric oxide via its reducing potential. As a pilot study to further research on the fertility potency of the leaf, this study has revealed the antioxidant activity of the leaf vis a vis its nutritional and phytochemical compositions.","author":[{"dropping-particle":"","family":"Borokini","given":"Funmilayo Bosede","non-dropping-particle":"","parse-names":false,"suffix":""},{"dropping-particle":"","family":"Oladipo","given":"Gideon Oludare","non-dropping-particle":"","parse-names":false,"suffix":""},{"dropping-particle":"","family":"Komolafe","given":"Olamide Yemisi","non-dropping-particle":"","parse-names":false,"suffix":""},{"dropping-particle":"","family":"Ajongbolo","given":"Kehinde Funto","non-dropping-particle":"","parse-names":false,"suffix":""}],"container-title":"Measurement: Food","id":"ITEM-1","issued":{"date-parts":[["2022"]]},"page":"100034","publisher":"Elsevier Ltd","title":"Phytochemical, nutritional and antioxidant properties of Abelmoschus esculentus Moench L leaf: A pointer to its fertility potentials","type":"article-journal","volume":"6"},"uris":["http://www.mendeley.com/documents/?uuid=ef7419ae-29f6-4152-8015-6f8e1ebadb88"]}],"mendeley":{"formattedCitation":"(Borokini et al., 2022)","plainTextFormattedCitation":"(Borokini et al., 2022)","previouslyFormattedCitation":"(Borokini et al., 2022)"},"properties":{"noteIndex":0},"schema":"https://github.com/citation-style-language/schema/raw/master/csl-citation.json"}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(Borokini et al., 2022)</w:t>
      </w:r>
      <w:r w:rsidRPr="005250A4">
        <w:rPr>
          <w:rFonts w:ascii="Arial" w:hAnsi="Arial" w:cs="Arial"/>
          <w:color w:val="000000" w:themeColor="text1"/>
          <w:sz w:val="20"/>
          <w:szCs w:val="20"/>
        </w:rPr>
        <w:fldChar w:fldCharType="end"/>
      </w:r>
      <w:r w:rsidR="00DE1D8B" w:rsidRPr="005250A4">
        <w:rPr>
          <w:rFonts w:ascii="Arial" w:hAnsi="Arial" w:cs="Arial"/>
          <w:color w:val="000000" w:themeColor="text1"/>
          <w:sz w:val="20"/>
          <w:szCs w:val="20"/>
          <w:lang w:val="en-US"/>
        </w:rPr>
        <w:t xml:space="preserve">. </w:t>
      </w:r>
      <w:r w:rsidR="00D4448A" w:rsidRPr="005250A4">
        <w:rPr>
          <w:rFonts w:ascii="Arial" w:hAnsi="Arial" w:cs="Arial"/>
          <w:color w:val="000000" w:themeColor="text1"/>
          <w:sz w:val="20"/>
          <w:szCs w:val="20"/>
          <w:lang w:val="en-US"/>
        </w:rPr>
        <w:t>Another</w:t>
      </w:r>
      <w:r w:rsidR="00177826" w:rsidRPr="005250A4">
        <w:rPr>
          <w:rFonts w:ascii="Arial" w:hAnsi="Arial" w:cs="Arial"/>
          <w:color w:val="000000" w:themeColor="text1"/>
          <w:sz w:val="20"/>
          <w:szCs w:val="20"/>
          <w:lang w:val="en-US"/>
        </w:rPr>
        <w:t xml:space="preserve"> study </w:t>
      </w:r>
      <w:r w:rsidR="00DE1D8B" w:rsidRPr="005250A4">
        <w:rPr>
          <w:rFonts w:ascii="Arial" w:hAnsi="Arial" w:cs="Arial"/>
          <w:color w:val="000000" w:themeColor="text1"/>
          <w:sz w:val="20"/>
          <w:szCs w:val="20"/>
          <w:lang w:val="en-US"/>
        </w:rPr>
        <w:t>reported that</w:t>
      </w:r>
      <w:r w:rsidRPr="005250A4">
        <w:rPr>
          <w:rFonts w:ascii="Arial" w:hAnsi="Arial" w:cs="Arial"/>
          <w:color w:val="000000" w:themeColor="text1"/>
          <w:sz w:val="20"/>
          <w:szCs w:val="20"/>
          <w:lang w:val="en-US"/>
        </w:rPr>
        <w:t xml:space="preserve"> each group of compounds possesses important bioactive activities with beneficial health effects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{"citationItems":[{"id":"ITEM-1","itemData":{"DOI":"10.1016/B978-0-12-802972-5.00018-4","ISBN":"9780128029893","abstract":"Okra, Abelmoschus esculentus (L.) Moench (syn, Hibiscus esculentus L.), is an important vegetable crop widely grown in tropical, subtropical, and warm temperate regions of the world. The fruits or pods containing seeds are harvested when immature and are eaten as vegetables. This review focuses on the nutrient profile, bioactive components and their health effects, functional properties of okra, and identifies some regional okra food dishes. Okra is a very good source of dietary fiber, magnesium, manganese, potassium, vitamin K, vitamin C, folate, B1, and B6. Studies have indicated that okra is rich in bioactive components, such as flavonoids, especially quercetin and phytosterols. The okra seed oil is rich in unsaturated fatty acids such as linoleic acid, which is essential for human nutrition. Okra has beneficial health benefits on diabetes and some cancers. Okra mucilage from the immature pods was found to be suitable for industrial and medicinal applications.","author":[{"dropping-particle":"","family":"Bawa","given":"Sa'eed Halilu","non-dropping-particle":"","parse-names":false,"suffix":""},{"dropping-particle":"","family":"Badrie","given":"Neela","non-dropping-particle":"","parse-names":false,"suffix":""}],"container-title":"Fruits, Vegetables, and Herbs: Bioactive Foods in Health Promotion","id":"ITEM-1","issued":{"date-parts":[["2016"]]},"number-of-pages":"365-409","publisher":"Elsevier Inc.","title":"Nutrient profile, bioactive components, and functional properties of okra (Abelmoschus esculentus (L.) Moench)","type":"book"},"uris":["http://www.mendeley.com/documents/?uuid=75b8aae0-7d83-4cb0-9bcf-d80793caf88c"]}],"mendeley":{"formattedCitation":"(Bawa &amp; Badrie, 2016)","plainTextFormattedCitation":"(Bawa &amp; Badrie, 2016)","previouslyFormattedCitation":"(Bawa &amp; Badrie,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(Bawa &amp; Badrie,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p>
    <w:p w14:paraId="0637DCC7" w14:textId="3D40AD65" w:rsidR="00F111A9" w:rsidRPr="005250A4" w:rsidRDefault="004D5E14" w:rsidP="00F111A9">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Alkaloids are a group of compounds known for their antimalarial, antimicrobial, antiviral and anti-inflammatory properties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{"citationItems":[{"id":"ITEM-1","itemData":{"DOI":"10.1016/j.mtchem.2018.05.001","ISSN":"24685194","abstract":"Alkaloids are plant secondary metabolite. They are well known nitrogen-containing natural bioactive compounds. Cutting edge research is going on alkaloids to unravel novel therapeutic approaches. Literature reveals that alkaloids contribute multiple biological activities and some alkaloids transform into active metabolites too. In this review, we have focused on marketed and experimental alkaloids. We have summarized sources and biological activities of reported alkaloids in past decades.","author":[{"dropping-particle":"","family":"Debnath","given":"Bikash","non-dropping-particle":"","parse-names":false,"suffix":""},{"dropping-particle":"","family":"Singh","given":"Waikhom Somraj","non-dropping-particle":"","parse-names":false,"suffix":""},{"dropping-particle":"","family":"Das","given":"Manik","non-dropping-particle":"","parse-names":false,"suffix":""},{"dropping-particle":"","family":"Goswami","given":"Sanchari","non-dropping-particle":"","parse-names":false,"suffix":""},{"dropping-particle":"","family":"Singh","given":"Mahesh Kumar","non-dropping-particle":"","parse-names":false,"suffix":""},{"dropping-particle":"","family":"Maiti","given":"Debasish","non-dropping-particle":"","parse-names":false,"suffix":""},{"dropping-particle":"","family":"Manna","given":"Kuntal","non-dropping-particle":"","parse-names":false,"suffix":""}],"container-title":"Materials Today Chemistry","id":"ITEM-1","issued":{"date-parts":[["2018"]]},"page":"56-72","publisher":"Elsevier Ltd","title":"Role of plant alkaloids on human health: A review of biological activities","type":"article-journal","volume":"9"},"uris":["http://www.mendeley.com/documents/?uuid=254cf1ea-27a0-4670-9331-b7fe9c0490dd"]}],"mendeley":{"formattedCitation":"(Debnath et al., 2018)","plainTextFormattedCitation":"(Debnath et al., 2018)","previouslyFormattedCitation":"(Debnath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(Debnath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00065DDC" w:rsidRPr="005250A4">
        <w:rPr>
          <w:rFonts w:ascii="Arial" w:hAnsi="Arial" w:cs="Arial"/>
          <w:color w:val="000000" w:themeColor="text1"/>
          <w:sz w:val="20"/>
          <w:szCs w:val="20"/>
          <w:lang w:val="en-US"/>
        </w:rPr>
        <w:t xml:space="preserve"> </w:t>
      </w:r>
      <w:r w:rsidR="00F111A9" w:rsidRPr="005250A4">
        <w:rPr>
          <w:rFonts w:ascii="Arial" w:hAnsi="Arial" w:cs="Arial"/>
          <w:color w:val="000000" w:themeColor="text1"/>
          <w:sz w:val="20"/>
          <w:szCs w:val="20"/>
          <w:lang w:val="en-US"/>
        </w:rPr>
        <w:t>Polyphenols have antioxidant properties. The</w:t>
      </w:r>
      <w:r w:rsidR="00240F2B" w:rsidRPr="005250A4">
        <w:rPr>
          <w:rFonts w:ascii="Arial" w:hAnsi="Arial" w:cs="Arial"/>
          <w:color w:val="000000" w:themeColor="text1"/>
          <w:sz w:val="20"/>
          <w:szCs w:val="20"/>
          <w:lang w:val="en-US"/>
        </w:rPr>
        <w:t>se compounds</w:t>
      </w:r>
      <w:r w:rsidR="00F111A9" w:rsidRPr="005250A4">
        <w:rPr>
          <w:rFonts w:ascii="Arial" w:hAnsi="Arial" w:cs="Arial"/>
          <w:color w:val="000000" w:themeColor="text1"/>
          <w:sz w:val="20"/>
          <w:szCs w:val="20"/>
          <w:lang w:val="en-US"/>
        </w:rPr>
        <w:t xml:space="preserve"> can combat oxidative stress. Oxidative stress is a risk factor </w:t>
      </w:r>
      <w:r w:rsidR="00240F2B" w:rsidRPr="005250A4">
        <w:rPr>
          <w:rFonts w:ascii="Arial" w:hAnsi="Arial" w:cs="Arial"/>
          <w:color w:val="000000" w:themeColor="text1"/>
          <w:sz w:val="20"/>
          <w:szCs w:val="20"/>
          <w:lang w:val="en-US"/>
        </w:rPr>
        <w:t>for</w:t>
      </w:r>
      <w:r w:rsidR="00F111A9" w:rsidRPr="005250A4">
        <w:rPr>
          <w:rFonts w:ascii="Arial" w:hAnsi="Arial" w:cs="Arial"/>
          <w:color w:val="000000" w:themeColor="text1"/>
          <w:sz w:val="20"/>
          <w:szCs w:val="20"/>
          <w:lang w:val="en-US"/>
        </w:rPr>
        <w:t xml:space="preserve"> the development of a number of diseases, including cardiovascular disease and hypertension</w:t>
      </w:r>
      <w:r w:rsidR="00C2688B" w:rsidRPr="005250A4">
        <w:rPr>
          <w:rFonts w:ascii="Arial" w:hAnsi="Arial" w:cs="Arial"/>
          <w:color w:val="000000" w:themeColor="text1"/>
          <w:sz w:val="20"/>
          <w:szCs w:val="20"/>
          <w:lang w:val="en-US"/>
        </w:rPr>
        <w:t xml:space="preserve"> </w:t>
      </w:r>
      <w:r w:rsidR="00C2688B"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{"citationItems":[{"id":"ITEM-1","itemData":{"DOI":"10.7763/ijcea.2014.v5.416","abstract":"</w:instrText>
      </w:r>
      <w:r w:rsidR="00E91D2D">
        <w:rPr>
          <w:rFonts w:ascii="Arial" w:hAnsi="Arial" w:cs="Arial"/>
          <w:color w:val="000000" w:themeColor="text1"/>
          <w:sz w:val="20"/>
          <w:szCs w:val="20"/>
          <w:lang w:val="en-US"/>
        </w:rPr>
        <w:instrText> Abstract—Recent research focuses on health benefits of phytochemicals, especially antioxidant and antimicrobial properties of phenolic compounds, which is known to exert preventive activity against infectious and degenerative diseases, inflammation and allergies via antioxidant, antimicrobial and proteins/enzymes neutralization/modulation mechanisms. Phenolic compounds are reactive metabolites in a wide range of plant-derived foods and mainly divided in four groups: phenolic acids, flavonoids, stilbenes and tannins. They work as terminators of free radicals and chelators of metal ions that are capable of catalyzing lipid oxidation. Therefore, this review examines the functional properties of phenolics.","author":[{"dropping-particle":"","family":"Ozcan","given":"T.","non-dropping-particle":"","parse-names":false,"suffix":""},{"dropping-particle":"","family":"Akpinar-Bayizit","given":"A.","non-dropping-particle":"","parse-names":false,"suffix":""},{"dropping-particle":"","family":"Yilmaz-Ersan","given":"L.","non-dropping-particle":"","parse-names":false,"suffix":""},{"dropping-particle":"","family":"Delikanli","given":"B.","non-dropping-particle":"","parse-names":false,"suffix":""}],"container-title":"International Journal of Chemical Engineering and Applications","id":"ITEM-1","issue":"5","issued":{"date-parts":[["2014","10"]]},"page":"393-396","publisher":"EJournal Publishing","title":"Phenolics in Human Health","type":"article-journal","volume":"5"},"uris":["http://www.mendeley.com/documents/?uuid=b9994711-8c3f-341d-8e24-35dea615305c"]}],"mendeley":{"formattedCitation":"(Ozcan et al., 2014)","plainTextFormattedCitation":"(Ozcan et al., 2014)","previouslyFormattedCitation":"(Ozcan et al., 2014)"},"properties":{"noteIndex":0},"schema":"https://github.com/citation-style-language/schema/raw/master/csl-citation.json"}</w:instrText>
      </w:r>
      <w:r w:rsidR="00C2688B"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(Ozcan et al., 2014)</w:t>
      </w:r>
      <w:r w:rsidR="00C2688B" w:rsidRPr="005250A4">
        <w:rPr>
          <w:rFonts w:ascii="Arial" w:hAnsi="Arial" w:cs="Arial"/>
          <w:color w:val="000000" w:themeColor="text1"/>
          <w:sz w:val="20"/>
          <w:szCs w:val="20"/>
          <w:lang w:val="en-US"/>
        </w:rPr>
        <w:fldChar w:fldCharType="end"/>
      </w:r>
      <w:r w:rsidR="00F111A9" w:rsidRPr="005250A4">
        <w:rPr>
          <w:rFonts w:ascii="Arial" w:hAnsi="Arial" w:cs="Arial"/>
          <w:color w:val="000000" w:themeColor="text1"/>
          <w:sz w:val="20"/>
          <w:szCs w:val="20"/>
          <w:lang w:val="en-US"/>
        </w:rPr>
        <w:t xml:space="preserve">. Flavonoids are polyphenols. Some </w:t>
      </w:r>
      <w:r w:rsidR="00BE6F91" w:rsidRPr="005250A4">
        <w:rPr>
          <w:rFonts w:ascii="Arial" w:hAnsi="Arial" w:cs="Arial"/>
          <w:color w:val="000000" w:themeColor="text1"/>
          <w:sz w:val="20"/>
          <w:szCs w:val="20"/>
          <w:lang w:val="en-US"/>
        </w:rPr>
        <w:t xml:space="preserve">of these compounds </w:t>
      </w:r>
      <w:r w:rsidR="00F111A9" w:rsidRPr="005250A4">
        <w:rPr>
          <w:rFonts w:ascii="Arial" w:hAnsi="Arial" w:cs="Arial"/>
          <w:color w:val="000000" w:themeColor="text1"/>
          <w:sz w:val="20"/>
          <w:szCs w:val="20"/>
          <w:lang w:val="en-US"/>
        </w:rPr>
        <w:t xml:space="preserve">are known for their anticancer, antiviral and antimicrobial properties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{"citationItems":[{"id":"ITEM-1","itemData":{"DOI":"10.13040/IJPSR.0975-8232.10(4).1567-74","abstract":"Background: Plants and herbs consumed by humans are the rich sources of phytonutrients compounds synthesized in plants itself. Such bioactive substances are responsible for the plant's antioxidant and medicinal values. Flavonoids are an essential group of naturally occurring polyphenolic compounds, and its flavan nucleus characterizes it. It is one of the most common classes of compounds available in vegetables, fruits, and plant-derived beverages. Flavonoids are considered as health promoting and disease preventing dietary supplements. It is now considered as an indispensable component in a variety of nutraceutical, pharmaceutical, medicinal, cosmetic and other applications. Objectives: The main aim of this present review is to discuss the current trends of research and development on flavonoids, general working mechanisms of flavonoids, functions, and applications of flavonoids, prediction of flavonoids as potential drugs in preventing many chronic diseases and future research directions. Discussion: Their basic structures consist of C6-C3-C6 rings with different substitution patterns to produce a series of subclass compounds such as flavones, flavonols, flavanones, isoflavones, flavanols or catechins and anthocyanins. Many flavonoid compounds are shown to have an antioxidative activity, free radical scavenging capacity, cardioprotective, antidiabetic, anti-inflammatory, anti-allergic while some other flavonoid compounds exhibit potential antiviral activities. More recently flavonoids are proven to be the most effective as an anti-cancer agent, through apoptosis by induction of cell cycle arrest and inhibition of key enzymes involved in tumor promotion. INTRODUCTION: Polyphenols are chemical compounds of the secondary plant metabolism that can accumulate in specific group of plant organs such as leaves, fruits, roots, and stems. As a large group of bioactive chemicals, they have diverse biological functions. Flavonoids are phenolic substances widely distributed in all vascular plants.","author":[{"dropping-particle":"","family":"Prithvira","given":"Karak","non-dropping-particle":"","parse-names":false,"suffix":""}],"container-title":"International Journal of Pharmaceutical Sciences and Research","id":"ITEM-1","issue":"4","issued":{"date-parts":[["2019"]]},"page":"1567-1574","title":"Biological Activities of Flavonoids: an Overview","type":"article-journal","volume":"10"},"uris":["http://www.mendeley.com/documents/?uuid=ae9564a9-43f4-4f89-be74-5908a49d4ef7"]}],"mendeley":{"formattedCitation":"(Prithvira, 2019)","plainTextFormattedCitation":"(Prithvira, 2019)","previouslyFormattedCitation":"(Prithvira, 2019)"},"properties":{"noteIndex":0},"schema":"https://github.com/citation-style-language/schema/raw/master/csl-citation.json"}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(Prithvira, 2019)</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Tannins are a subclass of polyphenols and therefore possess the same biological activities as polyphenols. Sterols (</w:t>
      </w:r>
      <w:proofErr w:type="spellStart"/>
      <w:r w:rsidR="00F111A9" w:rsidRPr="005250A4">
        <w:rPr>
          <w:rFonts w:ascii="Arial" w:hAnsi="Arial" w:cs="Arial"/>
          <w:color w:val="000000" w:themeColor="text1"/>
          <w:sz w:val="20"/>
          <w:szCs w:val="20"/>
          <w:lang w:val="en-US"/>
        </w:rPr>
        <w:t>phytosterols</w:t>
      </w:r>
      <w:proofErr w:type="spellEnd"/>
      <w:r w:rsidR="00F111A9" w:rsidRPr="005250A4">
        <w:rPr>
          <w:rFonts w:ascii="Arial" w:hAnsi="Arial" w:cs="Arial"/>
          <w:color w:val="000000" w:themeColor="text1"/>
          <w:sz w:val="20"/>
          <w:szCs w:val="20"/>
          <w:lang w:val="en-US"/>
        </w:rPr>
        <w:t xml:space="preserve">) are known for their cholesterol-lowering </w:t>
      </w:r>
      <w:r w:rsidR="00F111A9" w:rsidRPr="005250A4">
        <w:rPr>
          <w:rFonts w:ascii="Arial" w:hAnsi="Arial" w:cs="Arial"/>
          <w:color w:val="000000" w:themeColor="text1"/>
          <w:sz w:val="20"/>
          <w:szCs w:val="20"/>
          <w:lang w:val="en-US"/>
        </w:rPr>
        <w:lastRenderedPageBreak/>
        <w:t>properties. Some sterols (beta-</w:t>
      </w:r>
      <w:proofErr w:type="spellStart"/>
      <w:r w:rsidR="00F111A9" w:rsidRPr="005250A4">
        <w:rPr>
          <w:rFonts w:ascii="Arial" w:hAnsi="Arial" w:cs="Arial"/>
          <w:color w:val="000000" w:themeColor="text1"/>
          <w:sz w:val="20"/>
          <w:szCs w:val="20"/>
          <w:lang w:val="en-US"/>
        </w:rPr>
        <w:t>sitosterol</w:t>
      </w:r>
      <w:proofErr w:type="spellEnd"/>
      <w:r w:rsidR="00F111A9" w:rsidRPr="005250A4">
        <w:rPr>
          <w:rFonts w:ascii="Arial" w:hAnsi="Arial" w:cs="Arial"/>
          <w:color w:val="000000" w:themeColor="text1"/>
          <w:sz w:val="20"/>
          <w:szCs w:val="20"/>
          <w:lang w:val="en-US"/>
        </w:rPr>
        <w:t>) are used</w:t>
      </w:r>
      <w:r w:rsidR="00BE6F91" w:rsidRPr="005250A4">
        <w:rPr>
          <w:rFonts w:ascii="Arial" w:hAnsi="Arial" w:cs="Arial"/>
          <w:color w:val="000000" w:themeColor="text1"/>
          <w:sz w:val="20"/>
          <w:szCs w:val="20"/>
          <w:lang w:val="en-US"/>
        </w:rPr>
        <w:t xml:space="preserve"> to treat</w:t>
      </w:r>
      <w:r w:rsidR="00F111A9" w:rsidRPr="005250A4">
        <w:rPr>
          <w:rFonts w:ascii="Arial" w:hAnsi="Arial" w:cs="Arial"/>
          <w:color w:val="000000" w:themeColor="text1"/>
          <w:sz w:val="20"/>
          <w:szCs w:val="20"/>
          <w:lang w:val="en-US"/>
        </w:rPr>
        <w:t xml:space="preserve"> benign prostatic hypertrophy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{"citationItems":[{"id":"ITEM-1","itemData":{"DOI":"10.1021/acs.jafc.8b00059","ISSN":"15205118","PMID":"29521096","abstract":"Plant sterols have attracted increasing attention due to their excellent cholesterol-lowering activity. However, free plant sterols have some characteristics of low oil solubility, water insolubility, high melting point, and low bioavailability, which greatly limit their application in foods. Numerous studies have been undertaken to modify their chemical structures to improve their chemical and physical properties in meeting the needs of various applications. The present review is to summarize the literature and update the progress on structural modifications of plant sterols in the following aspects: (i) synthesis of plant sterol esters by esterification and transesterification with hydrophobic fatty acids and triacylglycerols to improve their oil solubility, (ii) synthesis of plant sterol derivatives by coupling with various hydrophilic moieties to enhance their water solubility, and (iii) mechanisms by which plant sterols reduce plasma cholesterol and the effect of structural modifications on plasma cholesterol-lowering activity of plant sterols.","author":[{"dropping-particle":"Sen","family":"He","given":"Wen","non-dropping-particle":"","parse-names":false,"suffix":""},{"dropping-particle":"","family":"Zhu","given":"Hanyue","non-dropping-particle":"","parse-names":false,"suffix":""},{"dropping-particle":"","family":"Chen","given":"Zhen Yu","non-dropping-particle":"","parse-names":false,"suffix":""}],"container-title":"Journal of Agricultural and Food Chemistry","id":"ITEM-1","issue":"12","issued":{"date-parts":[["2018"]]},"page":"3047-3062","title":"Plant Sterols: Chemical and Enzymatic Structural Modifications and Effects on Their Cholesterol-Lowering Activity","type":"article-journal","volume":"66"},"uris":["http://www.mendeley.com/documents/?uuid=442be098-2bfe-48d1-ba00-939fa74fd3e9"]}],"mendeley":{"formattedCitation":"(He et al., 2018)","plainTextFormattedCitation":"(He et al., 2018)","previouslyFormattedCitation":"(He et al., 2018)"},"properties":{"noteIndex":0},"schema":"https://github.com/citation-style-language/schema/raw/master/csl-citation.json"}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(He et al., 2018)</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Triterpenes stand out for their anti-inflammatory and antimicrobial properties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w:t>
      </w:r>
      <w:proofErr w:type="spellStart"/>
      <w:r w:rsidR="00F111A9" w:rsidRPr="005250A4">
        <w:rPr>
          <w:rFonts w:ascii="Arial" w:hAnsi="Arial" w:cs="Arial"/>
          <w:color w:val="000000" w:themeColor="text1"/>
          <w:sz w:val="20"/>
          <w:szCs w:val="20"/>
          <w:lang w:val="en-US"/>
        </w:rPr>
        <w:t>Saponins</w:t>
      </w:r>
      <w:proofErr w:type="spellEnd"/>
      <w:r w:rsidR="00F111A9" w:rsidRPr="005250A4">
        <w:rPr>
          <w:rFonts w:ascii="Arial" w:hAnsi="Arial" w:cs="Arial"/>
          <w:color w:val="000000" w:themeColor="text1"/>
          <w:sz w:val="20"/>
          <w:szCs w:val="20"/>
          <w:lang w:val="en-US"/>
        </w:rPr>
        <w:t xml:space="preserve"> have an expectorant </w:t>
      </w:r>
      <w:r w:rsidR="00BE6F91" w:rsidRPr="005250A4">
        <w:rPr>
          <w:rFonts w:ascii="Arial" w:hAnsi="Arial" w:cs="Arial"/>
          <w:color w:val="000000" w:themeColor="text1"/>
          <w:sz w:val="20"/>
          <w:szCs w:val="20"/>
          <w:lang w:val="en-US"/>
        </w:rPr>
        <w:t xml:space="preserve">effect </w:t>
      </w:r>
      <w:r w:rsidR="00F111A9" w:rsidRPr="005250A4">
        <w:rPr>
          <w:rFonts w:ascii="Arial" w:hAnsi="Arial" w:cs="Arial"/>
          <w:color w:val="000000" w:themeColor="text1"/>
          <w:sz w:val="20"/>
          <w:szCs w:val="20"/>
          <w:lang w:val="en-US"/>
        </w:rPr>
        <w:t xml:space="preserve">and are also active against respiratory diseases such as coughs and bronchitis. Some </w:t>
      </w:r>
      <w:proofErr w:type="spellStart"/>
      <w:r w:rsidR="00F111A9" w:rsidRPr="005250A4">
        <w:rPr>
          <w:rFonts w:ascii="Arial" w:hAnsi="Arial" w:cs="Arial"/>
          <w:color w:val="000000" w:themeColor="text1"/>
          <w:sz w:val="20"/>
          <w:szCs w:val="20"/>
          <w:lang w:val="en-US"/>
        </w:rPr>
        <w:t>saponins</w:t>
      </w:r>
      <w:proofErr w:type="spellEnd"/>
      <w:r w:rsidR="00F111A9" w:rsidRPr="005250A4">
        <w:rPr>
          <w:rFonts w:ascii="Arial" w:hAnsi="Arial" w:cs="Arial"/>
          <w:color w:val="000000" w:themeColor="text1"/>
          <w:sz w:val="20"/>
          <w:szCs w:val="20"/>
          <w:lang w:val="en-US"/>
        </w:rPr>
        <w:t xml:space="preserve"> have antibacterial and antifungal properties with a broad spectrum of action </w:t>
      </w:r>
      <w:r w:rsidR="00F111A9"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{"citationItems":[{"id":"ITEM-1","itemData":{"DOI":"10.3390/molecules25173773","ISSN":"14203049","PMID":"32825106","abstract":"Lonicera Linn. is an important genus of the family Caprifoliaceae comprising of approximately 200 species, and some species of which have been usually used in traditional Chinese medicine for thousands of years. Some species of this genus can also be used in functional foods, cosmetics and other applications. The saponins, as one of most important bioactive components of the Lonicera Linn. genus, have attracted the attention of the scientific community. Thus, a comprehensive and systematic review on saponins from the genus is indispensable. In this review, 87 saponins and sapogenin from the genus of Lonicera Linn., together with their pharmacological activities including hepatoprotective, anti-inflammatory, anti-bacterial, anti-allergic, anti-tumor, and immunomodulatory effects, and hemolytic toxicity were summarized.","author":[{"dropping-particle":"","family":"Fang","given":"Zhongying","non-dropping-particle":"","parse-names":false,"suffix":""},{"dropping-particle":"","family":"Li","given":"Jia","non-dropping-particle":"","parse-names":false,"suffix":""},{"dropping-particle":"","family":"Yang","given":"Ran","non-dropping-particle":"","parse-names":false,"suffix":""},{"dropping-particle":"","family":"Fang","given":"Lei","non-dropping-particle":"","parse-names":false,"suffix":""},{"dropping-particle":"","family":"Zhang","given":"Yongqing","non-dropping-particle":"","parse-names":false,"suffix":""}],"container-title":"Molecules","id":"ITEM-1","issue":"17","issued":{"date-parts":[["2020"]]},"page":"1-16","title":"A review: The triterpenoid saponins and biological activities of lonicera linn","type":"article-journal","volume":"25"},"uris":["http://www.mendeley.com/documents/?uuid=5cb7c3a9-5ab8-4325-929b-aa146fb954bd"]}],"mendeley":{"formattedCitation":"(Fang et al., 2020)","plainTextFormattedCitation":"(Fang et al., 2020)","previouslyFormattedCitation":"(Fang et al., 2020)"},"properties":{"noteIndex":0},"schema":"https://github.com/citation-style-language/schema/raw/master/csl-citation.json"}</w:instrText>
      </w:r>
      <w:r w:rsidR="00F111A9"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(Fang et al., 2020)</w:t>
      </w:r>
      <w:r w:rsidR="00F111A9" w:rsidRPr="005250A4">
        <w:rPr>
          <w:rFonts w:ascii="Arial" w:hAnsi="Arial" w:cs="Arial"/>
          <w:color w:val="000000" w:themeColor="text1"/>
          <w:sz w:val="20"/>
          <w:szCs w:val="20"/>
        </w:rPr>
        <w:fldChar w:fldCharType="end"/>
      </w:r>
      <w:r w:rsidR="00F111A9"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Quinones are used as antibiotics</w:t>
      </w:r>
      <w:r w:rsidR="00F111A9" w:rsidRPr="005250A4">
        <w:rPr>
          <w:rFonts w:ascii="Arial" w:hAnsi="Arial" w:cs="Arial"/>
          <w:color w:val="000000" w:themeColor="text1"/>
          <w:sz w:val="20"/>
          <w:szCs w:val="20"/>
          <w:lang w:val="en-US"/>
        </w:rPr>
        <w:t xml:space="preserve">. </w:t>
      </w:r>
      <w:proofErr w:type="spellStart"/>
      <w:r w:rsidRPr="005250A4">
        <w:rPr>
          <w:rFonts w:ascii="Arial" w:hAnsi="Arial" w:cs="Arial"/>
          <w:color w:val="000000" w:themeColor="text1"/>
          <w:sz w:val="20"/>
          <w:szCs w:val="20"/>
          <w:lang w:val="en-US"/>
        </w:rPr>
        <w:t>Anthraquinones</w:t>
      </w:r>
      <w:proofErr w:type="spellEnd"/>
      <w:r w:rsidRPr="005250A4">
        <w:rPr>
          <w:rFonts w:ascii="Arial" w:hAnsi="Arial" w:cs="Arial"/>
          <w:color w:val="000000" w:themeColor="text1"/>
          <w:sz w:val="20"/>
          <w:szCs w:val="20"/>
          <w:lang w:val="en-US"/>
        </w:rPr>
        <w:t xml:space="preserve"> are laxatives and purgatives. They are also distinguished by their anticancer, anti-inflammatory, diuretic, </w:t>
      </w:r>
      <w:proofErr w:type="spellStart"/>
      <w:r w:rsidRPr="005250A4">
        <w:rPr>
          <w:rFonts w:ascii="Arial" w:hAnsi="Arial" w:cs="Arial"/>
          <w:color w:val="000000" w:themeColor="text1"/>
          <w:sz w:val="20"/>
          <w:szCs w:val="20"/>
          <w:lang w:val="en-US"/>
        </w:rPr>
        <w:t>antiarthritic</w:t>
      </w:r>
      <w:proofErr w:type="spellEnd"/>
      <w:r w:rsidRPr="005250A4">
        <w:rPr>
          <w:rFonts w:ascii="Arial" w:hAnsi="Arial" w:cs="Arial"/>
          <w:color w:val="000000" w:themeColor="text1"/>
          <w:sz w:val="20"/>
          <w:szCs w:val="20"/>
          <w:lang w:val="en-US"/>
        </w:rPr>
        <w:t xml:space="preserve">, antifungal, antibacterial, and antimalarial properties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{"citationItems":[{"id":"ITEM-1","itemData":{"DOI":"10.1016/B978-0-444-64056-7.00011-8","ISBN":"9780444640567","ISSN":"15725995","abstract":"Anthraquinones are a class of abundant compounds obtained from natural sources, being common in different organisms, such as bacteria, fungi, plants, and some animals. Plants are the source of about 200 compounds belonging to this class, and they are present in roots, rhizomes, flowers, and fruits. Anthraquinones stand out for their remarkable biological activities: anticancer, antiinflammatory, diuretic, antiarthritic, antifungal, antibacterial, and antimalarial. In addition, some representatives of this class are already clinically employed and commercially available. These molecules also have applications in analytical chemistry and industrial processes for the production of cellulose. They can be applied as dyes, agrochemicals, and prototypes for the development of new molecules with biological activities. This chapter focuses on the most relevant characteristics and applications of this class of compounds as well as their extraction from natural sources, characterization, and the study of biosynthetic routes. Remarkable overall syntheses that led to significant advances in the fight against disease are also addressed.","author":[{"dropping-particle":"","family":"Diaz-Muñoz","given":"Gaspar","non-dropping-particle":"","parse-names":false,"suffix":""},{"dropping-particle":"","family":"Miranda","given":"Izabel L.","non-dropping-particle":"","parse-names":false,"suffix":""},{"dropping-particle":"","family":"Sartori","given":"Suélen K.","non-dropping-particle":"","parse-names":false,"suffix":""},{"dropping-particle":"","family":"Rezende","given":"Daniele C.","non-dropping-particle":"de","parse-names":false,"suffix":""},{"dropping-particle":"","family":"Diaz","given":"Marisa A.N.","non-dropping-particle":"","parse-names":false,"suffix":""}],"container-title":"Studies in Natural Products Chemistry","id":"ITEM-1","issued":{"date-parts":[["2018"]]},"page":"313-338","title":"Anthraquinones: An Overview","type":"chapter","volume":"58"},"uris":["http://www.mendeley.com/documents/?uuid=e1a4ecb7-ce95-4723-9dc8-85ecee15903b"]}],"mendeley":{"formattedCitation":"(Diaz-Muñoz et al., 2018)","plainTextFormattedCitation":"(Diaz-Muñoz et al., 2018)","previouslyFormattedCitation":"(Diaz-Muñoz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(Diaz-Muñoz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0D280C" w:rsidRPr="005250A4">
        <w:rPr>
          <w:rFonts w:ascii="Arial" w:hAnsi="Arial" w:cs="Arial"/>
          <w:color w:val="000000" w:themeColor="text1"/>
          <w:sz w:val="20"/>
          <w:szCs w:val="20"/>
          <w:lang w:val="en-US"/>
        </w:rPr>
        <w:t xml:space="preserve"> </w:t>
      </w:r>
    </w:p>
    <w:p w14:paraId="281D7238" w14:textId="77777777" w:rsidR="009C39D7" w:rsidRPr="005250A4" w:rsidRDefault="005D35EA" w:rsidP="00202D84">
      <w:pPr>
        <w:spacing w:before="240"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Table </w:t>
      </w:r>
      <w:r w:rsidR="005A7E94" w:rsidRPr="005250A4">
        <w:rPr>
          <w:rFonts w:ascii="Arial" w:hAnsi="Arial" w:cs="Arial"/>
          <w:color w:val="000000" w:themeColor="text1"/>
          <w:sz w:val="20"/>
          <w:szCs w:val="20"/>
          <w:lang w:val="en-US"/>
        </w:rPr>
        <w:t>3</w:t>
      </w:r>
      <w:r w:rsidR="00B96810" w:rsidRPr="005250A4">
        <w:rPr>
          <w:rFonts w:ascii="Arial" w:hAnsi="Arial" w:cs="Arial"/>
          <w:color w:val="000000" w:themeColor="text1"/>
          <w:sz w:val="20"/>
          <w:szCs w:val="20"/>
          <w:lang w:val="en-US"/>
        </w:rPr>
        <w:t>:</w:t>
      </w:r>
      <w:r w:rsidR="004D4AFC" w:rsidRPr="005250A4">
        <w:rPr>
          <w:rFonts w:ascii="Arial" w:hAnsi="Arial" w:cs="Arial"/>
          <w:color w:val="000000" w:themeColor="text1"/>
          <w:sz w:val="20"/>
          <w:szCs w:val="20"/>
          <w:lang w:val="en-US"/>
        </w:rPr>
        <w:t xml:space="preserve"> </w:t>
      </w:r>
      <w:r w:rsidR="00464838" w:rsidRPr="005250A4">
        <w:rPr>
          <w:rFonts w:ascii="Arial" w:hAnsi="Arial" w:cs="Arial"/>
          <w:color w:val="000000" w:themeColor="text1"/>
          <w:sz w:val="20"/>
          <w:szCs w:val="20"/>
          <w:lang w:val="en-US"/>
        </w:rPr>
        <w:t xml:space="preserve">Identification of </w:t>
      </w:r>
      <w:r w:rsidR="00B33C33" w:rsidRPr="005250A4">
        <w:rPr>
          <w:rFonts w:ascii="Arial" w:hAnsi="Arial" w:cs="Arial"/>
          <w:color w:val="000000" w:themeColor="text1"/>
          <w:sz w:val="20"/>
          <w:szCs w:val="20"/>
          <w:lang w:val="en-US"/>
        </w:rPr>
        <w:t xml:space="preserve">some </w:t>
      </w:r>
      <w:r w:rsidR="00464838" w:rsidRPr="005250A4">
        <w:rPr>
          <w:rFonts w:ascii="Arial" w:hAnsi="Arial" w:cs="Arial"/>
          <w:color w:val="000000" w:themeColor="text1"/>
          <w:sz w:val="20"/>
          <w:szCs w:val="20"/>
          <w:lang w:val="en-US"/>
        </w:rPr>
        <w:t xml:space="preserve">bioactive compounds </w:t>
      </w:r>
      <w:r w:rsidR="00BE6F91" w:rsidRPr="005250A4">
        <w:rPr>
          <w:rFonts w:ascii="Arial" w:hAnsi="Arial" w:cs="Arial"/>
          <w:color w:val="000000" w:themeColor="text1"/>
          <w:sz w:val="20"/>
          <w:szCs w:val="20"/>
          <w:lang w:val="en-US"/>
        </w:rPr>
        <w:t xml:space="preserve">in the leaves </w:t>
      </w:r>
      <w:r w:rsidR="00107FF1" w:rsidRPr="005250A4">
        <w:rPr>
          <w:rFonts w:ascii="Arial" w:hAnsi="Arial" w:cs="Arial"/>
          <w:color w:val="000000" w:themeColor="text1"/>
          <w:sz w:val="20"/>
          <w:szCs w:val="20"/>
          <w:lang w:val="en-US"/>
        </w:rPr>
        <w:t xml:space="preserve">and fruit </w:t>
      </w:r>
      <w:r w:rsidR="00464838" w:rsidRPr="005250A4">
        <w:rPr>
          <w:rFonts w:ascii="Arial" w:hAnsi="Arial" w:cs="Arial"/>
          <w:color w:val="000000" w:themeColor="text1"/>
          <w:sz w:val="20"/>
          <w:szCs w:val="20"/>
          <w:lang w:val="en-US"/>
        </w:rPr>
        <w:t xml:space="preserve">powders </w:t>
      </w:r>
      <w:r w:rsidR="00107FF1" w:rsidRPr="005250A4">
        <w:rPr>
          <w:rFonts w:ascii="Arial" w:hAnsi="Arial" w:cs="Arial"/>
          <w:color w:val="000000" w:themeColor="text1"/>
          <w:sz w:val="20"/>
          <w:szCs w:val="20"/>
          <w:lang w:val="en-US"/>
        </w:rPr>
        <w:t xml:space="preserve">of </w:t>
      </w:r>
      <w:proofErr w:type="spellStart"/>
      <w:r w:rsidR="00107FF1" w:rsidRPr="005250A4">
        <w:rPr>
          <w:rFonts w:ascii="Arial" w:hAnsi="Arial" w:cs="Arial"/>
          <w:i/>
          <w:color w:val="000000" w:themeColor="text1"/>
          <w:sz w:val="20"/>
          <w:szCs w:val="20"/>
          <w:lang w:val="en-US"/>
        </w:rPr>
        <w:t>Corchorus</w:t>
      </w:r>
      <w:proofErr w:type="spellEnd"/>
      <w:r w:rsidR="00107FF1" w:rsidRPr="005250A4">
        <w:rPr>
          <w:rFonts w:ascii="Arial" w:hAnsi="Arial" w:cs="Arial"/>
          <w:i/>
          <w:color w:val="000000" w:themeColor="text1"/>
          <w:sz w:val="20"/>
          <w:szCs w:val="20"/>
          <w:lang w:val="en-US"/>
        </w:rPr>
        <w:t xml:space="preserve"> </w:t>
      </w:r>
      <w:proofErr w:type="spellStart"/>
      <w:r w:rsidR="00107FF1" w:rsidRPr="005250A4">
        <w:rPr>
          <w:rFonts w:ascii="Arial" w:hAnsi="Arial" w:cs="Arial"/>
          <w:i/>
          <w:color w:val="000000" w:themeColor="text1"/>
          <w:sz w:val="20"/>
          <w:szCs w:val="20"/>
          <w:lang w:val="en-US"/>
        </w:rPr>
        <w:t>olitorius</w:t>
      </w:r>
      <w:proofErr w:type="spellEnd"/>
      <w:r w:rsidR="00107FF1" w:rsidRPr="005250A4">
        <w:rPr>
          <w:rFonts w:ascii="Arial" w:hAnsi="Arial" w:cs="Arial"/>
          <w:i/>
          <w:color w:val="000000" w:themeColor="text1"/>
          <w:sz w:val="20"/>
          <w:szCs w:val="20"/>
          <w:lang w:val="en-US"/>
        </w:rPr>
        <w:t xml:space="preserve"> </w:t>
      </w:r>
      <w:r w:rsidR="00107FF1" w:rsidRPr="005250A4">
        <w:rPr>
          <w:rFonts w:ascii="Arial" w:hAnsi="Arial" w:cs="Arial"/>
          <w:color w:val="000000" w:themeColor="text1"/>
          <w:sz w:val="20"/>
          <w:szCs w:val="20"/>
          <w:lang w:val="en-US"/>
        </w:rPr>
        <w:t>and</w:t>
      </w:r>
      <w:r w:rsidR="00107FF1" w:rsidRPr="005250A4">
        <w:rPr>
          <w:rFonts w:ascii="Arial" w:hAnsi="Arial" w:cs="Arial"/>
          <w:i/>
          <w:color w:val="000000" w:themeColor="text1"/>
          <w:sz w:val="20"/>
          <w:szCs w:val="20"/>
          <w:lang w:val="en-US"/>
        </w:rPr>
        <w:t xml:space="preserve"> </w:t>
      </w:r>
      <w:proofErr w:type="spellStart"/>
      <w:r w:rsidR="00107FF1" w:rsidRPr="005250A4">
        <w:rPr>
          <w:rFonts w:ascii="Arial" w:hAnsi="Arial" w:cs="Arial"/>
          <w:i/>
          <w:color w:val="000000" w:themeColor="text1"/>
          <w:sz w:val="20"/>
          <w:szCs w:val="20"/>
          <w:lang w:val="en-US"/>
        </w:rPr>
        <w:t>Abelmoschus</w:t>
      </w:r>
      <w:proofErr w:type="spellEnd"/>
      <w:r w:rsidR="00107FF1" w:rsidRPr="005250A4">
        <w:rPr>
          <w:rFonts w:ascii="Arial" w:hAnsi="Arial" w:cs="Arial"/>
          <w:i/>
          <w:color w:val="000000" w:themeColor="text1"/>
          <w:sz w:val="20"/>
          <w:szCs w:val="20"/>
          <w:lang w:val="en-US"/>
        </w:rPr>
        <w:t xml:space="preserve"> </w:t>
      </w:r>
      <w:proofErr w:type="spellStart"/>
      <w:r w:rsidR="00107FF1" w:rsidRPr="005250A4">
        <w:rPr>
          <w:rFonts w:ascii="Arial" w:hAnsi="Arial" w:cs="Arial"/>
          <w:i/>
          <w:color w:val="000000" w:themeColor="text1"/>
          <w:sz w:val="20"/>
          <w:szCs w:val="20"/>
          <w:lang w:val="en-US"/>
        </w:rPr>
        <w:t>esculentus</w:t>
      </w:r>
      <w:proofErr w:type="spellEnd"/>
    </w:p>
    <w:tbl>
      <w:tblPr>
        <w:tblStyle w:val="Grilledutableau"/>
        <w:tblW w:w="9414" w:type="dxa"/>
        <w:tblLayout w:type="fixed"/>
        <w:tblLook w:val="04A0" w:firstRow="1" w:lastRow="0" w:firstColumn="1" w:lastColumn="0" w:noHBand="0" w:noVBand="1"/>
      </w:tblPr>
      <w:tblGrid>
        <w:gridCol w:w="2359"/>
        <w:gridCol w:w="1608"/>
        <w:gridCol w:w="1738"/>
        <w:gridCol w:w="2384"/>
        <w:gridCol w:w="1325"/>
      </w:tblGrid>
      <w:tr w:rsidR="00175578" w:rsidRPr="005250A4" w14:paraId="74097FBE" w14:textId="77777777" w:rsidTr="00D934CE">
        <w:trPr>
          <w:trHeight w:val="424"/>
        </w:trPr>
        <w:tc>
          <w:tcPr>
            <w:tcW w:w="2359" w:type="dxa"/>
            <w:vMerge w:val="restart"/>
            <w:tcBorders>
              <w:left w:val="nil"/>
              <w:bottom w:val="nil"/>
              <w:right w:val="nil"/>
            </w:tcBorders>
            <w:vAlign w:val="center"/>
          </w:tcPr>
          <w:p w14:paraId="0CB3A377" w14:textId="77777777" w:rsidR="009C39D7" w:rsidRPr="005250A4" w:rsidRDefault="002029EC" w:rsidP="00F92F0D">
            <w:pPr>
              <w:rPr>
                <w:rFonts w:ascii="Arial" w:hAnsi="Arial" w:cs="Arial"/>
                <w:b/>
                <w:color w:val="000000" w:themeColor="text1"/>
                <w:sz w:val="18"/>
                <w:szCs w:val="14"/>
                <w:lang w:val="en-US"/>
              </w:rPr>
            </w:pPr>
            <w:r w:rsidRPr="005250A4">
              <w:rPr>
                <w:rFonts w:ascii="Arial" w:hAnsi="Arial" w:cs="Arial"/>
                <w:b/>
                <w:color w:val="000000" w:themeColor="text1"/>
                <w:sz w:val="18"/>
                <w:szCs w:val="14"/>
                <w:lang w:val="en-US"/>
              </w:rPr>
              <w:t xml:space="preserve">Bioactive compounds </w:t>
            </w:r>
            <w:r w:rsidR="009C39D7" w:rsidRPr="005250A4">
              <w:rPr>
                <w:rFonts w:ascii="Arial" w:hAnsi="Arial" w:cs="Arial"/>
                <w:b/>
                <w:color w:val="000000" w:themeColor="text1"/>
                <w:sz w:val="18"/>
                <w:szCs w:val="14"/>
                <w:lang w:val="en-US"/>
              </w:rPr>
              <w:t xml:space="preserve"> </w:t>
            </w:r>
          </w:p>
        </w:tc>
        <w:tc>
          <w:tcPr>
            <w:tcW w:w="3346" w:type="dxa"/>
            <w:gridSpan w:val="2"/>
            <w:tcBorders>
              <w:left w:val="nil"/>
              <w:bottom w:val="nil"/>
              <w:right w:val="nil"/>
            </w:tcBorders>
            <w:vAlign w:val="center"/>
          </w:tcPr>
          <w:p w14:paraId="6292CCE4" w14:textId="72F3BE3B" w:rsidR="009C39D7" w:rsidRPr="005250A4" w:rsidRDefault="009C39D7" w:rsidP="006853A0">
            <w:pPr>
              <w:jc w:val="center"/>
              <w:rPr>
                <w:rFonts w:ascii="Arial" w:hAnsi="Arial" w:cs="Arial"/>
                <w:color w:val="000000" w:themeColor="text1"/>
                <w:sz w:val="18"/>
                <w:szCs w:val="14"/>
              </w:rPr>
            </w:pPr>
            <w:proofErr w:type="spellStart"/>
            <w:r w:rsidRPr="005250A4">
              <w:rPr>
                <w:rFonts w:ascii="Arial" w:hAnsi="Arial" w:cs="Arial"/>
                <w:i/>
                <w:color w:val="000000" w:themeColor="text1"/>
                <w:sz w:val="18"/>
                <w:szCs w:val="14"/>
              </w:rPr>
              <w:t>Corchorus</w:t>
            </w:r>
            <w:proofErr w:type="spellEnd"/>
            <w:r w:rsidRPr="005250A4">
              <w:rPr>
                <w:rFonts w:ascii="Arial" w:hAnsi="Arial" w:cs="Arial"/>
                <w:i/>
                <w:color w:val="000000" w:themeColor="text1"/>
                <w:sz w:val="18"/>
                <w:szCs w:val="14"/>
              </w:rPr>
              <w:t xml:space="preserve"> </w:t>
            </w:r>
            <w:proofErr w:type="spellStart"/>
            <w:r w:rsidRPr="005250A4">
              <w:rPr>
                <w:rFonts w:ascii="Arial" w:hAnsi="Arial" w:cs="Arial"/>
                <w:i/>
                <w:color w:val="000000" w:themeColor="text1"/>
                <w:sz w:val="18"/>
                <w:szCs w:val="14"/>
              </w:rPr>
              <w:t>olitorius</w:t>
            </w:r>
            <w:proofErr w:type="spellEnd"/>
          </w:p>
        </w:tc>
        <w:tc>
          <w:tcPr>
            <w:tcW w:w="3708" w:type="dxa"/>
            <w:gridSpan w:val="2"/>
            <w:tcBorders>
              <w:left w:val="nil"/>
              <w:bottom w:val="nil"/>
              <w:right w:val="nil"/>
            </w:tcBorders>
            <w:vAlign w:val="center"/>
          </w:tcPr>
          <w:p w14:paraId="34CB3DA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i/>
                <w:color w:val="000000" w:themeColor="text1"/>
                <w:sz w:val="18"/>
                <w:szCs w:val="14"/>
              </w:rPr>
              <w:t xml:space="preserve"> </w:t>
            </w:r>
            <w:r w:rsidR="00107FF1" w:rsidRPr="005250A4">
              <w:rPr>
                <w:rFonts w:ascii="Arial" w:hAnsi="Arial" w:cs="Arial"/>
                <w:i/>
                <w:color w:val="000000" w:themeColor="text1"/>
                <w:sz w:val="18"/>
                <w:szCs w:val="14"/>
              </w:rPr>
              <w:t xml:space="preserve">      </w:t>
            </w:r>
            <w:proofErr w:type="spellStart"/>
            <w:r w:rsidRPr="005250A4">
              <w:rPr>
                <w:rFonts w:ascii="Arial" w:hAnsi="Arial" w:cs="Arial"/>
                <w:i/>
                <w:color w:val="000000" w:themeColor="text1"/>
                <w:sz w:val="18"/>
                <w:szCs w:val="14"/>
              </w:rPr>
              <w:t>Abelmoschus</w:t>
            </w:r>
            <w:proofErr w:type="spellEnd"/>
            <w:r w:rsidRPr="005250A4">
              <w:rPr>
                <w:rFonts w:ascii="Arial" w:hAnsi="Arial" w:cs="Arial"/>
                <w:i/>
                <w:color w:val="000000" w:themeColor="text1"/>
                <w:sz w:val="18"/>
                <w:szCs w:val="14"/>
              </w:rPr>
              <w:t xml:space="preserve"> </w:t>
            </w:r>
            <w:proofErr w:type="spellStart"/>
            <w:r w:rsidRPr="005250A4">
              <w:rPr>
                <w:rFonts w:ascii="Arial" w:hAnsi="Arial" w:cs="Arial"/>
                <w:i/>
                <w:color w:val="000000" w:themeColor="text1"/>
                <w:sz w:val="18"/>
                <w:szCs w:val="14"/>
              </w:rPr>
              <w:t>esculentus</w:t>
            </w:r>
            <w:proofErr w:type="spellEnd"/>
          </w:p>
        </w:tc>
      </w:tr>
      <w:tr w:rsidR="00175578" w:rsidRPr="005250A4" w14:paraId="6B70BD66" w14:textId="77777777" w:rsidTr="00D934CE">
        <w:trPr>
          <w:trHeight w:val="233"/>
        </w:trPr>
        <w:tc>
          <w:tcPr>
            <w:tcW w:w="2359" w:type="dxa"/>
            <w:vMerge/>
            <w:tcBorders>
              <w:top w:val="nil"/>
              <w:left w:val="nil"/>
              <w:bottom w:val="single" w:sz="4" w:space="0" w:color="auto"/>
              <w:right w:val="nil"/>
            </w:tcBorders>
            <w:vAlign w:val="center"/>
          </w:tcPr>
          <w:p w14:paraId="2B7685D3" w14:textId="77777777" w:rsidR="009C39D7" w:rsidRPr="005250A4" w:rsidRDefault="009C39D7" w:rsidP="00F92F0D">
            <w:pPr>
              <w:rPr>
                <w:rFonts w:ascii="Arial" w:hAnsi="Arial" w:cs="Arial"/>
                <w:color w:val="000000" w:themeColor="text1"/>
                <w:sz w:val="18"/>
                <w:szCs w:val="14"/>
              </w:rPr>
            </w:pPr>
          </w:p>
        </w:tc>
        <w:tc>
          <w:tcPr>
            <w:tcW w:w="1608" w:type="dxa"/>
            <w:tcBorders>
              <w:top w:val="nil"/>
              <w:left w:val="nil"/>
              <w:bottom w:val="single" w:sz="4" w:space="0" w:color="auto"/>
              <w:right w:val="nil"/>
            </w:tcBorders>
            <w:vAlign w:val="center"/>
          </w:tcPr>
          <w:p w14:paraId="7CF8B568" w14:textId="77777777" w:rsidR="009C39D7" w:rsidRPr="005250A4" w:rsidRDefault="009C39D7" w:rsidP="00F92F0D">
            <w:pPr>
              <w:jc w:val="center"/>
              <w:rPr>
                <w:rFonts w:ascii="Arial" w:hAnsi="Arial" w:cs="Arial"/>
                <w:color w:val="000000" w:themeColor="text1"/>
                <w:sz w:val="18"/>
                <w:szCs w:val="14"/>
              </w:rPr>
            </w:pPr>
            <w:proofErr w:type="spellStart"/>
            <w:r w:rsidRPr="005250A4">
              <w:rPr>
                <w:rFonts w:ascii="Arial" w:hAnsi="Arial" w:cs="Arial"/>
                <w:color w:val="000000" w:themeColor="text1"/>
                <w:sz w:val="18"/>
                <w:szCs w:val="14"/>
              </w:rPr>
              <w:t>Leave</w:t>
            </w:r>
            <w:proofErr w:type="spellEnd"/>
          </w:p>
        </w:tc>
        <w:tc>
          <w:tcPr>
            <w:tcW w:w="1737" w:type="dxa"/>
            <w:tcBorders>
              <w:top w:val="nil"/>
              <w:left w:val="nil"/>
              <w:bottom w:val="single" w:sz="4" w:space="0" w:color="auto"/>
              <w:right w:val="nil"/>
            </w:tcBorders>
            <w:vAlign w:val="center"/>
          </w:tcPr>
          <w:p w14:paraId="6C545B1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c>
          <w:tcPr>
            <w:tcW w:w="2384" w:type="dxa"/>
            <w:tcBorders>
              <w:top w:val="nil"/>
              <w:left w:val="nil"/>
              <w:bottom w:val="single" w:sz="4" w:space="0" w:color="auto"/>
              <w:right w:val="nil"/>
            </w:tcBorders>
            <w:vAlign w:val="center"/>
          </w:tcPr>
          <w:p w14:paraId="7B37EC41" w14:textId="77777777" w:rsidR="009C39D7" w:rsidRPr="005250A4" w:rsidRDefault="009C39D7" w:rsidP="00F92F0D">
            <w:pPr>
              <w:jc w:val="center"/>
              <w:rPr>
                <w:rFonts w:ascii="Arial" w:hAnsi="Arial" w:cs="Arial"/>
                <w:color w:val="000000" w:themeColor="text1"/>
                <w:sz w:val="18"/>
                <w:szCs w:val="14"/>
              </w:rPr>
            </w:pPr>
            <w:proofErr w:type="spellStart"/>
            <w:r w:rsidRPr="005250A4">
              <w:rPr>
                <w:rFonts w:ascii="Arial" w:hAnsi="Arial" w:cs="Arial"/>
                <w:color w:val="000000" w:themeColor="text1"/>
                <w:sz w:val="18"/>
                <w:szCs w:val="14"/>
              </w:rPr>
              <w:t>Leave</w:t>
            </w:r>
            <w:proofErr w:type="spellEnd"/>
          </w:p>
        </w:tc>
        <w:tc>
          <w:tcPr>
            <w:tcW w:w="1324" w:type="dxa"/>
            <w:tcBorders>
              <w:top w:val="nil"/>
              <w:left w:val="nil"/>
              <w:bottom w:val="single" w:sz="4" w:space="0" w:color="auto"/>
              <w:right w:val="nil"/>
            </w:tcBorders>
            <w:vAlign w:val="center"/>
          </w:tcPr>
          <w:p w14:paraId="2B6F648A" w14:textId="77777777" w:rsidR="009C39D7" w:rsidRPr="005250A4" w:rsidRDefault="009C39D7" w:rsidP="00F92F0D">
            <w:pPr>
              <w:jc w:val="center"/>
              <w:rPr>
                <w:rFonts w:ascii="Arial" w:hAnsi="Arial" w:cs="Arial"/>
                <w:color w:val="000000" w:themeColor="text1"/>
                <w:sz w:val="18"/>
                <w:szCs w:val="14"/>
              </w:rPr>
            </w:pPr>
            <w:r w:rsidRPr="005250A4">
              <w:rPr>
                <w:rFonts w:ascii="Arial" w:hAnsi="Arial" w:cs="Arial"/>
                <w:color w:val="000000" w:themeColor="text1"/>
                <w:sz w:val="18"/>
                <w:szCs w:val="14"/>
              </w:rPr>
              <w:t>Fruit</w:t>
            </w:r>
          </w:p>
        </w:tc>
      </w:tr>
      <w:tr w:rsidR="00175578" w:rsidRPr="005250A4" w14:paraId="751F4347" w14:textId="77777777" w:rsidTr="00D934CE">
        <w:trPr>
          <w:trHeight w:val="341"/>
        </w:trPr>
        <w:tc>
          <w:tcPr>
            <w:tcW w:w="2359" w:type="dxa"/>
            <w:tcBorders>
              <w:top w:val="single" w:sz="4" w:space="0" w:color="auto"/>
              <w:left w:val="nil"/>
              <w:bottom w:val="nil"/>
              <w:right w:val="nil"/>
            </w:tcBorders>
            <w:vAlign w:val="center"/>
          </w:tcPr>
          <w:p w14:paraId="5F1EE5E4" w14:textId="77777777" w:rsidR="009C39D7" w:rsidRPr="005250A4" w:rsidRDefault="00FC5D03" w:rsidP="004D4AFC">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Alcaloïd</w:t>
            </w:r>
            <w:r w:rsidR="009C39D7" w:rsidRPr="005250A4">
              <w:rPr>
                <w:rFonts w:ascii="Arial" w:hAnsi="Arial" w:cs="Arial"/>
                <w:color w:val="000000" w:themeColor="text1"/>
                <w:sz w:val="18"/>
                <w:szCs w:val="14"/>
              </w:rPr>
              <w:t>s</w:t>
            </w:r>
            <w:proofErr w:type="spellEnd"/>
          </w:p>
        </w:tc>
        <w:tc>
          <w:tcPr>
            <w:tcW w:w="1608" w:type="dxa"/>
            <w:tcBorders>
              <w:top w:val="single" w:sz="4" w:space="0" w:color="auto"/>
              <w:left w:val="nil"/>
              <w:bottom w:val="nil"/>
              <w:right w:val="nil"/>
            </w:tcBorders>
            <w:vAlign w:val="center"/>
          </w:tcPr>
          <w:p w14:paraId="3F665523"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737" w:type="dxa"/>
            <w:tcBorders>
              <w:top w:val="single" w:sz="4" w:space="0" w:color="auto"/>
              <w:left w:val="nil"/>
              <w:bottom w:val="nil"/>
              <w:right w:val="nil"/>
            </w:tcBorders>
            <w:vAlign w:val="center"/>
          </w:tcPr>
          <w:p w14:paraId="53DCFC7A"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2384" w:type="dxa"/>
            <w:tcBorders>
              <w:top w:val="single" w:sz="4" w:space="0" w:color="auto"/>
              <w:left w:val="nil"/>
              <w:bottom w:val="nil"/>
              <w:right w:val="nil"/>
            </w:tcBorders>
            <w:vAlign w:val="center"/>
          </w:tcPr>
          <w:p w14:paraId="5FCEA936"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c>
          <w:tcPr>
            <w:tcW w:w="1324" w:type="dxa"/>
            <w:tcBorders>
              <w:top w:val="single" w:sz="4" w:space="0" w:color="auto"/>
              <w:left w:val="nil"/>
              <w:bottom w:val="nil"/>
              <w:right w:val="nil"/>
            </w:tcBorders>
            <w:vAlign w:val="center"/>
          </w:tcPr>
          <w:p w14:paraId="163E751B" w14:textId="77777777" w:rsidR="009C39D7" w:rsidRPr="005250A4" w:rsidRDefault="004D4AFC" w:rsidP="002E4E59">
            <w:pPr>
              <w:jc w:val="center"/>
              <w:rPr>
                <w:rFonts w:ascii="Arial" w:hAnsi="Arial" w:cs="Arial"/>
                <w:color w:val="000000" w:themeColor="text1"/>
                <w:sz w:val="18"/>
                <w:szCs w:val="14"/>
              </w:rPr>
            </w:pPr>
            <w:r w:rsidRPr="005250A4">
              <w:rPr>
                <w:rFonts w:ascii="Arial" w:hAnsi="Arial" w:cs="Arial"/>
                <w:color w:val="000000" w:themeColor="text1"/>
                <w:sz w:val="18"/>
                <w:szCs w:val="14"/>
              </w:rPr>
              <w:t>++</w:t>
            </w:r>
          </w:p>
        </w:tc>
      </w:tr>
      <w:tr w:rsidR="00175578" w:rsidRPr="005250A4" w14:paraId="371807F2" w14:textId="77777777" w:rsidTr="00D934CE">
        <w:trPr>
          <w:trHeight w:val="487"/>
        </w:trPr>
        <w:tc>
          <w:tcPr>
            <w:tcW w:w="2359" w:type="dxa"/>
            <w:tcBorders>
              <w:top w:val="nil"/>
              <w:left w:val="nil"/>
              <w:bottom w:val="nil"/>
              <w:right w:val="nil"/>
            </w:tcBorders>
            <w:vAlign w:val="center"/>
          </w:tcPr>
          <w:p w14:paraId="4B64FD05" w14:textId="77777777" w:rsidR="009C39D7" w:rsidRPr="005250A4" w:rsidRDefault="00FC5D03" w:rsidP="009C39D7">
            <w:pPr>
              <w:rPr>
                <w:rFonts w:ascii="Arial" w:hAnsi="Arial" w:cs="Arial"/>
                <w:b/>
                <w:color w:val="000000" w:themeColor="text1"/>
                <w:sz w:val="18"/>
                <w:szCs w:val="14"/>
              </w:rPr>
            </w:pPr>
            <w:proofErr w:type="spellStart"/>
            <w:r w:rsidRPr="005250A4">
              <w:rPr>
                <w:rFonts w:ascii="Arial" w:hAnsi="Arial" w:cs="Arial"/>
                <w:color w:val="000000" w:themeColor="text1"/>
                <w:sz w:val="18"/>
                <w:szCs w:val="14"/>
              </w:rPr>
              <w:t>Polyphe</w:t>
            </w:r>
            <w:r w:rsidR="009C39D7" w:rsidRPr="005250A4">
              <w:rPr>
                <w:rFonts w:ascii="Arial" w:hAnsi="Arial" w:cs="Arial"/>
                <w:color w:val="000000" w:themeColor="text1"/>
                <w:sz w:val="18"/>
                <w:szCs w:val="14"/>
              </w:rPr>
              <w:t>nols</w:t>
            </w:r>
            <w:proofErr w:type="spellEnd"/>
          </w:p>
        </w:tc>
        <w:tc>
          <w:tcPr>
            <w:tcW w:w="1608" w:type="dxa"/>
            <w:tcBorders>
              <w:top w:val="nil"/>
              <w:left w:val="nil"/>
              <w:bottom w:val="nil"/>
              <w:right w:val="nil"/>
            </w:tcBorders>
            <w:vAlign w:val="center"/>
          </w:tcPr>
          <w:p w14:paraId="7C4B76F7" w14:textId="77777777" w:rsidR="009C39D7" w:rsidRPr="005250A4" w:rsidRDefault="004D4AFC"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737" w:type="dxa"/>
            <w:tcBorders>
              <w:top w:val="nil"/>
              <w:left w:val="nil"/>
              <w:bottom w:val="nil"/>
              <w:right w:val="nil"/>
            </w:tcBorders>
            <w:vAlign w:val="center"/>
          </w:tcPr>
          <w:p w14:paraId="761FCCE0"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2384" w:type="dxa"/>
            <w:tcBorders>
              <w:top w:val="nil"/>
              <w:left w:val="nil"/>
              <w:bottom w:val="nil"/>
              <w:right w:val="nil"/>
            </w:tcBorders>
            <w:vAlign w:val="center"/>
          </w:tcPr>
          <w:p w14:paraId="3D03A3FD"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c>
          <w:tcPr>
            <w:tcW w:w="1324" w:type="dxa"/>
            <w:tcBorders>
              <w:top w:val="nil"/>
              <w:left w:val="nil"/>
              <w:bottom w:val="nil"/>
              <w:right w:val="nil"/>
            </w:tcBorders>
            <w:vAlign w:val="center"/>
          </w:tcPr>
          <w:p w14:paraId="4FB6E911" w14:textId="77777777" w:rsidR="009C39D7" w:rsidRPr="005250A4" w:rsidRDefault="00384080" w:rsidP="002E4E59">
            <w:pPr>
              <w:jc w:val="center"/>
              <w:rPr>
                <w:rFonts w:ascii="Arial" w:hAnsi="Arial" w:cs="Arial"/>
                <w:b/>
                <w:color w:val="000000" w:themeColor="text1"/>
                <w:sz w:val="18"/>
                <w:szCs w:val="14"/>
              </w:rPr>
            </w:pPr>
            <w:r w:rsidRPr="005250A4">
              <w:rPr>
                <w:rFonts w:ascii="Arial" w:hAnsi="Arial" w:cs="Arial"/>
                <w:b/>
                <w:color w:val="000000" w:themeColor="text1"/>
                <w:sz w:val="18"/>
                <w:szCs w:val="14"/>
              </w:rPr>
              <w:t>+++</w:t>
            </w:r>
          </w:p>
        </w:tc>
      </w:tr>
      <w:tr w:rsidR="00175578" w:rsidRPr="005250A4" w14:paraId="3729DF24" w14:textId="77777777" w:rsidTr="00D934CE">
        <w:trPr>
          <w:trHeight w:val="487"/>
        </w:trPr>
        <w:tc>
          <w:tcPr>
            <w:tcW w:w="2359" w:type="dxa"/>
            <w:tcBorders>
              <w:top w:val="nil"/>
              <w:left w:val="nil"/>
              <w:bottom w:val="nil"/>
              <w:right w:val="nil"/>
            </w:tcBorders>
            <w:vAlign w:val="center"/>
          </w:tcPr>
          <w:p w14:paraId="2FF58F6E"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Flavonoïds</w:t>
            </w:r>
            <w:proofErr w:type="spellEnd"/>
          </w:p>
        </w:tc>
        <w:tc>
          <w:tcPr>
            <w:tcW w:w="1608" w:type="dxa"/>
            <w:tcBorders>
              <w:top w:val="nil"/>
              <w:left w:val="nil"/>
              <w:bottom w:val="nil"/>
              <w:right w:val="nil"/>
            </w:tcBorders>
            <w:vAlign w:val="center"/>
          </w:tcPr>
          <w:p w14:paraId="7A8C317E"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F53BA5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A216AE8"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6F0F407D"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58632CB" w14:textId="77777777" w:rsidTr="00D934CE">
        <w:trPr>
          <w:trHeight w:val="441"/>
        </w:trPr>
        <w:tc>
          <w:tcPr>
            <w:tcW w:w="2359" w:type="dxa"/>
            <w:tcBorders>
              <w:top w:val="nil"/>
              <w:left w:val="nil"/>
              <w:bottom w:val="nil"/>
              <w:right w:val="nil"/>
            </w:tcBorders>
            <w:vAlign w:val="center"/>
          </w:tcPr>
          <w:p w14:paraId="5C6238ED"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Tan</w:t>
            </w:r>
            <w:r w:rsidR="00D02BAE" w:rsidRPr="005250A4">
              <w:rPr>
                <w:rFonts w:ascii="Arial" w:hAnsi="Arial" w:cs="Arial"/>
                <w:color w:val="000000" w:themeColor="text1"/>
                <w:sz w:val="18"/>
                <w:szCs w:val="14"/>
              </w:rPr>
              <w:t>n</w:t>
            </w:r>
            <w:r w:rsidRPr="005250A4">
              <w:rPr>
                <w:rFonts w:ascii="Arial" w:hAnsi="Arial" w:cs="Arial"/>
                <w:color w:val="000000" w:themeColor="text1"/>
                <w:sz w:val="18"/>
                <w:szCs w:val="14"/>
              </w:rPr>
              <w:t>ins</w:t>
            </w:r>
          </w:p>
        </w:tc>
        <w:tc>
          <w:tcPr>
            <w:tcW w:w="1608" w:type="dxa"/>
            <w:tcBorders>
              <w:top w:val="nil"/>
              <w:left w:val="nil"/>
              <w:bottom w:val="nil"/>
              <w:right w:val="nil"/>
            </w:tcBorders>
            <w:vAlign w:val="center"/>
          </w:tcPr>
          <w:p w14:paraId="3F2EB590"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7DF82A81"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348384DC"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48CB846"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6FFDFD3E" w14:textId="77777777" w:rsidTr="00D934CE">
        <w:trPr>
          <w:trHeight w:val="456"/>
        </w:trPr>
        <w:tc>
          <w:tcPr>
            <w:tcW w:w="2359" w:type="dxa"/>
            <w:tcBorders>
              <w:top w:val="nil"/>
              <w:left w:val="nil"/>
              <w:bottom w:val="nil"/>
              <w:right w:val="nil"/>
            </w:tcBorders>
            <w:vAlign w:val="center"/>
          </w:tcPr>
          <w:p w14:paraId="585755A9"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Stérols</w:t>
            </w:r>
          </w:p>
        </w:tc>
        <w:tc>
          <w:tcPr>
            <w:tcW w:w="1608" w:type="dxa"/>
            <w:tcBorders>
              <w:top w:val="nil"/>
              <w:left w:val="nil"/>
              <w:bottom w:val="nil"/>
              <w:right w:val="nil"/>
            </w:tcBorders>
            <w:vAlign w:val="center"/>
          </w:tcPr>
          <w:p w14:paraId="297E0BE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639BC97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6A8D335F" w14:textId="77777777" w:rsidR="002029EC" w:rsidRPr="005250A4" w:rsidRDefault="009B1C10"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45F8AC7C"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1975DFB8" w14:textId="77777777" w:rsidTr="00D934CE">
        <w:trPr>
          <w:trHeight w:val="456"/>
        </w:trPr>
        <w:tc>
          <w:tcPr>
            <w:tcW w:w="2359" w:type="dxa"/>
            <w:tcBorders>
              <w:top w:val="nil"/>
              <w:left w:val="nil"/>
              <w:bottom w:val="nil"/>
              <w:right w:val="nil"/>
            </w:tcBorders>
            <w:vAlign w:val="center"/>
          </w:tcPr>
          <w:p w14:paraId="7DE91873"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Triterpèn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725BE76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AC8CBA8"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1439CE4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08AABF34"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97FE707" w14:textId="77777777" w:rsidTr="00D934CE">
        <w:trPr>
          <w:trHeight w:val="456"/>
        </w:trPr>
        <w:tc>
          <w:tcPr>
            <w:tcW w:w="2359" w:type="dxa"/>
            <w:tcBorders>
              <w:top w:val="nil"/>
              <w:left w:val="nil"/>
              <w:bottom w:val="nil"/>
              <w:right w:val="nil"/>
            </w:tcBorders>
            <w:vAlign w:val="center"/>
          </w:tcPr>
          <w:p w14:paraId="5A1467AA" w14:textId="77777777" w:rsidR="002029EC" w:rsidRPr="005250A4" w:rsidRDefault="00FC5D03" w:rsidP="002029EC">
            <w:pPr>
              <w:rPr>
                <w:rFonts w:ascii="Arial" w:hAnsi="Arial" w:cs="Arial"/>
                <w:color w:val="000000" w:themeColor="text1"/>
                <w:sz w:val="18"/>
                <w:szCs w:val="14"/>
              </w:rPr>
            </w:pPr>
            <w:proofErr w:type="spellStart"/>
            <w:r w:rsidRPr="005250A4">
              <w:rPr>
                <w:rFonts w:ascii="Arial" w:hAnsi="Arial" w:cs="Arial"/>
                <w:color w:val="000000" w:themeColor="text1"/>
                <w:sz w:val="18"/>
                <w:szCs w:val="14"/>
              </w:rPr>
              <w:t>Saponin</w:t>
            </w:r>
            <w:r w:rsidR="002029EC" w:rsidRPr="005250A4">
              <w:rPr>
                <w:rFonts w:ascii="Arial" w:hAnsi="Arial" w:cs="Arial"/>
                <w:color w:val="000000" w:themeColor="text1"/>
                <w:sz w:val="18"/>
                <w:szCs w:val="14"/>
              </w:rPr>
              <w:t>s</w:t>
            </w:r>
            <w:proofErr w:type="spellEnd"/>
          </w:p>
        </w:tc>
        <w:tc>
          <w:tcPr>
            <w:tcW w:w="1608" w:type="dxa"/>
            <w:tcBorders>
              <w:top w:val="nil"/>
              <w:left w:val="nil"/>
              <w:bottom w:val="nil"/>
              <w:right w:val="nil"/>
            </w:tcBorders>
            <w:vAlign w:val="center"/>
          </w:tcPr>
          <w:p w14:paraId="5BD9CC1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4D772D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702B9C52"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5418E116"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52D047B2" w14:textId="77777777" w:rsidTr="00D934CE">
        <w:trPr>
          <w:trHeight w:val="416"/>
        </w:trPr>
        <w:tc>
          <w:tcPr>
            <w:tcW w:w="2359" w:type="dxa"/>
            <w:tcBorders>
              <w:top w:val="nil"/>
              <w:left w:val="nil"/>
              <w:bottom w:val="nil"/>
              <w:right w:val="nil"/>
            </w:tcBorders>
            <w:vAlign w:val="center"/>
          </w:tcPr>
          <w:p w14:paraId="1ACECFD0" w14:textId="77777777" w:rsidR="002029EC" w:rsidRPr="005250A4" w:rsidRDefault="00FC5D03" w:rsidP="002029EC">
            <w:pPr>
              <w:rPr>
                <w:rFonts w:ascii="Arial" w:hAnsi="Arial" w:cs="Arial"/>
                <w:color w:val="000000" w:themeColor="text1"/>
                <w:sz w:val="18"/>
                <w:szCs w:val="14"/>
              </w:rPr>
            </w:pPr>
            <w:r w:rsidRPr="005250A4">
              <w:rPr>
                <w:rFonts w:ascii="Arial" w:hAnsi="Arial" w:cs="Arial"/>
                <w:color w:val="000000" w:themeColor="text1"/>
                <w:sz w:val="18"/>
                <w:szCs w:val="14"/>
              </w:rPr>
              <w:t>Quinone</w:t>
            </w:r>
            <w:r w:rsidR="002029EC" w:rsidRPr="005250A4">
              <w:rPr>
                <w:rFonts w:ascii="Arial" w:hAnsi="Arial" w:cs="Arial"/>
                <w:color w:val="000000" w:themeColor="text1"/>
                <w:sz w:val="18"/>
                <w:szCs w:val="14"/>
              </w:rPr>
              <w:t>s</w:t>
            </w:r>
          </w:p>
        </w:tc>
        <w:tc>
          <w:tcPr>
            <w:tcW w:w="1608" w:type="dxa"/>
            <w:tcBorders>
              <w:top w:val="nil"/>
              <w:left w:val="nil"/>
              <w:bottom w:val="nil"/>
              <w:right w:val="nil"/>
            </w:tcBorders>
            <w:vAlign w:val="center"/>
          </w:tcPr>
          <w:p w14:paraId="0B0710F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nil"/>
              <w:right w:val="nil"/>
            </w:tcBorders>
            <w:vAlign w:val="center"/>
          </w:tcPr>
          <w:p w14:paraId="29239D1E"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nil"/>
              <w:right w:val="nil"/>
            </w:tcBorders>
            <w:vAlign w:val="center"/>
          </w:tcPr>
          <w:p w14:paraId="564F4E41"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nil"/>
              <w:right w:val="nil"/>
            </w:tcBorders>
            <w:vAlign w:val="center"/>
          </w:tcPr>
          <w:p w14:paraId="3B7A02F5"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5250A4" w14:paraId="4FCD30CC" w14:textId="77777777" w:rsidTr="00D934CE">
        <w:trPr>
          <w:trHeight w:val="456"/>
        </w:trPr>
        <w:tc>
          <w:tcPr>
            <w:tcW w:w="2359" w:type="dxa"/>
            <w:tcBorders>
              <w:top w:val="nil"/>
              <w:left w:val="nil"/>
              <w:bottom w:val="single" w:sz="4" w:space="0" w:color="auto"/>
              <w:right w:val="nil"/>
            </w:tcBorders>
            <w:vAlign w:val="center"/>
          </w:tcPr>
          <w:p w14:paraId="1B5B5793" w14:textId="77777777" w:rsidR="002029EC" w:rsidRPr="005250A4" w:rsidRDefault="002029EC" w:rsidP="002029EC">
            <w:pPr>
              <w:rPr>
                <w:rFonts w:ascii="Arial" w:hAnsi="Arial" w:cs="Arial"/>
                <w:color w:val="000000" w:themeColor="text1"/>
                <w:sz w:val="18"/>
                <w:szCs w:val="14"/>
              </w:rPr>
            </w:pPr>
            <w:r w:rsidRPr="005250A4">
              <w:rPr>
                <w:rFonts w:ascii="Arial" w:hAnsi="Arial" w:cs="Arial"/>
                <w:color w:val="000000" w:themeColor="text1"/>
                <w:sz w:val="18"/>
                <w:szCs w:val="14"/>
              </w:rPr>
              <w:t>Anthraquinones</w:t>
            </w:r>
          </w:p>
        </w:tc>
        <w:tc>
          <w:tcPr>
            <w:tcW w:w="1608" w:type="dxa"/>
            <w:tcBorders>
              <w:top w:val="nil"/>
              <w:left w:val="nil"/>
              <w:bottom w:val="single" w:sz="4" w:space="0" w:color="auto"/>
              <w:right w:val="nil"/>
            </w:tcBorders>
            <w:vAlign w:val="center"/>
          </w:tcPr>
          <w:p w14:paraId="1A3B6910"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737" w:type="dxa"/>
            <w:tcBorders>
              <w:top w:val="nil"/>
              <w:left w:val="nil"/>
              <w:bottom w:val="single" w:sz="4" w:space="0" w:color="auto"/>
              <w:right w:val="nil"/>
            </w:tcBorders>
            <w:vAlign w:val="center"/>
          </w:tcPr>
          <w:p w14:paraId="743A494D"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2384" w:type="dxa"/>
            <w:tcBorders>
              <w:top w:val="nil"/>
              <w:left w:val="nil"/>
              <w:bottom w:val="single" w:sz="4" w:space="0" w:color="auto"/>
              <w:right w:val="nil"/>
            </w:tcBorders>
            <w:vAlign w:val="center"/>
          </w:tcPr>
          <w:p w14:paraId="7B1AFB8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c>
          <w:tcPr>
            <w:tcW w:w="1324" w:type="dxa"/>
            <w:tcBorders>
              <w:top w:val="nil"/>
              <w:left w:val="nil"/>
              <w:bottom w:val="single" w:sz="4" w:space="0" w:color="auto"/>
              <w:right w:val="nil"/>
            </w:tcBorders>
            <w:vAlign w:val="center"/>
          </w:tcPr>
          <w:p w14:paraId="5530E4FA" w14:textId="77777777" w:rsidR="002029EC" w:rsidRPr="005250A4" w:rsidRDefault="002029EC" w:rsidP="002029EC">
            <w:pPr>
              <w:jc w:val="center"/>
              <w:rPr>
                <w:rFonts w:ascii="Arial" w:eastAsia="Times New Roman" w:hAnsi="Arial" w:cs="Arial"/>
                <w:color w:val="000000" w:themeColor="text1"/>
                <w:sz w:val="18"/>
                <w:szCs w:val="14"/>
                <w:lang w:eastAsia="fr-FR"/>
              </w:rPr>
            </w:pPr>
            <w:r w:rsidRPr="005250A4">
              <w:rPr>
                <w:rFonts w:ascii="Arial" w:eastAsia="Times New Roman" w:hAnsi="Arial" w:cs="Arial"/>
                <w:color w:val="000000" w:themeColor="text1"/>
                <w:sz w:val="18"/>
                <w:szCs w:val="14"/>
                <w:lang w:eastAsia="fr-FR"/>
              </w:rPr>
              <w:t>-</w:t>
            </w:r>
          </w:p>
        </w:tc>
      </w:tr>
      <w:tr w:rsidR="00175578" w:rsidRPr="00885888" w14:paraId="619D1CDA" w14:textId="77777777" w:rsidTr="00D934CE">
        <w:trPr>
          <w:trHeight w:val="301"/>
        </w:trPr>
        <w:tc>
          <w:tcPr>
            <w:tcW w:w="9414" w:type="dxa"/>
            <w:gridSpan w:val="5"/>
            <w:tcBorders>
              <w:top w:val="single" w:sz="4" w:space="0" w:color="auto"/>
              <w:left w:val="nil"/>
              <w:bottom w:val="nil"/>
              <w:right w:val="nil"/>
            </w:tcBorders>
            <w:vAlign w:val="center"/>
          </w:tcPr>
          <w:p w14:paraId="0DD5E41E" w14:textId="77777777" w:rsidR="002029EC" w:rsidRPr="005250A4" w:rsidRDefault="002029EC" w:rsidP="002029EC">
            <w:pPr>
              <w:rPr>
                <w:rFonts w:ascii="Arial" w:eastAsia="Times New Roman" w:hAnsi="Arial" w:cs="Arial"/>
                <w:color w:val="000000" w:themeColor="text1"/>
                <w:sz w:val="18"/>
                <w:szCs w:val="14"/>
                <w:lang w:val="en-US" w:eastAsia="fr-FR"/>
              </w:rPr>
            </w:pPr>
            <w:r w:rsidRPr="005250A4">
              <w:rPr>
                <w:rFonts w:ascii="Arial" w:eastAsia="Times New Roman" w:hAnsi="Arial" w:cs="Arial"/>
                <w:color w:val="000000" w:themeColor="text1"/>
                <w:sz w:val="18"/>
                <w:szCs w:val="14"/>
                <w:lang w:val="en-US" w:eastAsia="fr-FR"/>
              </w:rPr>
              <w:t>- : Absence ; + : Presence ; ++ : Mean presence ; +++ : High presence; ++++ : Higher presence</w:t>
            </w:r>
          </w:p>
        </w:tc>
      </w:tr>
    </w:tbl>
    <w:p w14:paraId="1339F8DB" w14:textId="1B593D27" w:rsidR="00006337" w:rsidRPr="00006337" w:rsidRDefault="00006337" w:rsidP="00006337">
      <w:pPr>
        <w:pStyle w:val="Paragraphedeliste"/>
        <w:spacing w:before="240"/>
        <w:ind w:left="567"/>
        <w:rPr>
          <w:rFonts w:ascii="Arial" w:hAnsi="Arial" w:cs="Arial"/>
          <w:b/>
          <w:color w:val="000000" w:themeColor="text1"/>
          <w:sz w:val="20"/>
          <w:szCs w:val="20"/>
          <w:lang w:val="en-US"/>
        </w:rPr>
      </w:pPr>
    </w:p>
    <w:p w14:paraId="09C7584F" w14:textId="6C40F669" w:rsidR="00994318" w:rsidRPr="005250A4" w:rsidRDefault="005233D4" w:rsidP="00B17ABC">
      <w:pPr>
        <w:pStyle w:val="Paragraphedeliste"/>
        <w:numPr>
          <w:ilvl w:val="2"/>
          <w:numId w:val="7"/>
        </w:numPr>
        <w:spacing w:before="240"/>
        <w:ind w:left="567" w:hanging="567"/>
        <w:rPr>
          <w:rFonts w:ascii="Arial" w:hAnsi="Arial" w:cs="Arial"/>
          <w:b/>
          <w:color w:val="000000" w:themeColor="text1"/>
          <w:sz w:val="20"/>
          <w:szCs w:val="20"/>
          <w:lang w:val="en-US"/>
        </w:rPr>
      </w:pPr>
      <w:r w:rsidRPr="005250A4">
        <w:rPr>
          <w:rFonts w:ascii="Arial" w:hAnsi="Arial" w:cs="Arial"/>
          <w:b/>
          <w:color w:val="000000" w:themeColor="text1"/>
          <w:sz w:val="20"/>
          <w:szCs w:val="20"/>
          <w:shd w:val="clear" w:color="auto" w:fill="FFFFFF"/>
          <w:lang w:val="en-US"/>
        </w:rPr>
        <w:t>Quantification of polyphenols, flavonoids, and condensed tannins</w:t>
      </w:r>
    </w:p>
    <w:p w14:paraId="3F9385C6" w14:textId="77777777" w:rsidR="009F47DF" w:rsidRPr="005250A4" w:rsidRDefault="009F47DF" w:rsidP="009F47DF">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The bioactive compounds identified in the leaves and fruits of </w:t>
      </w:r>
      <w:proofErr w:type="spellStart"/>
      <w:r w:rsidRPr="005250A4">
        <w:rPr>
          <w:rStyle w:val="Accentuation"/>
          <w:rFonts w:ascii="Arial" w:hAnsi="Arial" w:cs="Arial"/>
          <w:color w:val="000000" w:themeColor="text1"/>
          <w:sz w:val="20"/>
          <w:szCs w:val="20"/>
          <w:lang w:val="en-US"/>
        </w:rPr>
        <w:t>Corchorus</w:t>
      </w:r>
      <w:proofErr w:type="spellEnd"/>
      <w:r w:rsidRPr="005250A4">
        <w:rPr>
          <w:rStyle w:val="Accentuation"/>
          <w:rFonts w:ascii="Arial" w:hAnsi="Arial" w:cs="Arial"/>
          <w:color w:val="000000" w:themeColor="text1"/>
          <w:sz w:val="20"/>
          <w:szCs w:val="20"/>
          <w:lang w:val="en-US"/>
        </w:rPr>
        <w:t xml:space="preserve">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and </w:t>
      </w:r>
      <w:proofErr w:type="spellStart"/>
      <w:r w:rsidRPr="005250A4">
        <w:rPr>
          <w:rStyle w:val="Accentuation"/>
          <w:rFonts w:ascii="Arial" w:hAnsi="Arial" w:cs="Arial"/>
          <w:color w:val="000000" w:themeColor="text1"/>
          <w:sz w:val="20"/>
          <w:szCs w:val="20"/>
          <w:lang w:val="en-US"/>
        </w:rPr>
        <w:t>Abelmoschus</w:t>
      </w:r>
      <w:proofErr w:type="spellEnd"/>
      <w:r w:rsidRPr="005250A4">
        <w:rPr>
          <w:rStyle w:val="Accentuation"/>
          <w:rFonts w:ascii="Arial" w:hAnsi="Arial" w:cs="Arial"/>
          <w:color w:val="000000" w:themeColor="text1"/>
          <w:sz w:val="20"/>
          <w:szCs w:val="20"/>
          <w:lang w:val="en-US"/>
        </w:rPr>
        <w:t xml:space="preserve"> </w:t>
      </w:r>
      <w:proofErr w:type="spellStart"/>
      <w:r w:rsidRPr="005250A4">
        <w:rPr>
          <w:rStyle w:val="Accentuation"/>
          <w:rFonts w:ascii="Arial" w:hAnsi="Arial" w:cs="Arial"/>
          <w:color w:val="000000" w:themeColor="text1"/>
          <w:sz w:val="20"/>
          <w:szCs w:val="20"/>
          <w:lang w:val="en-US"/>
        </w:rPr>
        <w:t>esculentus</w:t>
      </w:r>
      <w:proofErr w:type="spellEnd"/>
      <w:r w:rsidRPr="005250A4">
        <w:rPr>
          <w:rFonts w:ascii="Arial" w:hAnsi="Arial" w:cs="Arial"/>
          <w:color w:val="000000" w:themeColor="text1"/>
          <w:sz w:val="20"/>
          <w:szCs w:val="20"/>
          <w:lang w:val="en-US"/>
        </w:rPr>
        <w:t>, as presented in Table 3, allowed for qualitative identification of the most abundant compounds, including polyphenols, flavonoids, and tannins. The content</w:t>
      </w:r>
      <w:r w:rsidR="00540AE8"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of these three compounds w</w:t>
      </w:r>
      <w:r w:rsidR="00540AE8" w:rsidRPr="005250A4">
        <w:rPr>
          <w:rFonts w:ascii="Arial" w:hAnsi="Arial" w:cs="Arial"/>
          <w:color w:val="000000" w:themeColor="text1"/>
          <w:sz w:val="20"/>
          <w:szCs w:val="20"/>
          <w:lang w:val="en-US"/>
        </w:rPr>
        <w:t>ere</w:t>
      </w:r>
      <w:r w:rsidRPr="005250A4">
        <w:rPr>
          <w:rFonts w:ascii="Arial" w:hAnsi="Arial" w:cs="Arial"/>
          <w:color w:val="000000" w:themeColor="text1"/>
          <w:sz w:val="20"/>
          <w:szCs w:val="20"/>
          <w:lang w:val="en-US"/>
        </w:rPr>
        <w:t xml:space="preserve"> determined and </w:t>
      </w:r>
      <w:r w:rsidR="00540AE8" w:rsidRPr="005250A4">
        <w:rPr>
          <w:rFonts w:ascii="Arial" w:hAnsi="Arial" w:cs="Arial"/>
          <w:color w:val="000000" w:themeColor="text1"/>
          <w:sz w:val="20"/>
          <w:szCs w:val="20"/>
          <w:lang w:val="en-US"/>
        </w:rPr>
        <w:t xml:space="preserve">are </w:t>
      </w:r>
      <w:r w:rsidRPr="005250A4">
        <w:rPr>
          <w:rFonts w:ascii="Arial" w:hAnsi="Arial" w:cs="Arial"/>
          <w:color w:val="000000" w:themeColor="text1"/>
          <w:sz w:val="20"/>
          <w:szCs w:val="20"/>
          <w:lang w:val="en-US"/>
        </w:rPr>
        <w:t xml:space="preserve">presented in Table 4. Regardless of the studied organ, the total polyphenol content ranged from 4.28 ± 0.10 to 240.10 ± 1.99 mg GAE/g DM;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total flavonoid content ranged from 0.22 ± 0.01 to 15.03 ± 0.97 mg QE/g DM; and </w:t>
      </w:r>
      <w:r w:rsidR="00540AE8"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condensed tannin content ranged from 0.15 ± 0.02 to 25.10 ± 1.05 mg CE/g DM.</w:t>
      </w:r>
    </w:p>
    <w:p w14:paraId="5AAC8F3B" w14:textId="6AE62223" w:rsidR="00E46855" w:rsidRPr="005250A4" w:rsidRDefault="009F47DF" w:rsidP="00130670">
      <w:pPr>
        <w:pStyle w:val="NormalWeb"/>
        <w:spacing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Notably, the leaf powders of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0008421F" w:rsidRPr="005250A4">
        <w:rPr>
          <w:rFonts w:ascii="Arial" w:hAnsi="Arial" w:cs="Arial"/>
          <w:color w:val="000000" w:themeColor="text1"/>
          <w:sz w:val="20"/>
          <w:szCs w:val="20"/>
          <w:lang w:val="en-US"/>
        </w:rPr>
        <w:t xml:space="preserve"> exhibited the highest content</w:t>
      </w:r>
      <w:r w:rsidRPr="005250A4">
        <w:rPr>
          <w:rFonts w:ascii="Arial" w:hAnsi="Arial" w:cs="Arial"/>
          <w:color w:val="000000" w:themeColor="text1"/>
          <w:sz w:val="20"/>
          <w:szCs w:val="20"/>
          <w:lang w:val="en-US"/>
        </w:rPr>
        <w:t xml:space="preserve">s of total polyphenols (240.10 ± 1.99 mg GAE/g DM) and condensed tannins (25.10 ± 1.05 mg CE/g DM). These values were nearly similar </w:t>
      </w:r>
      <w:r w:rsidR="0008421F" w:rsidRPr="005250A4">
        <w:rPr>
          <w:rFonts w:ascii="Arial" w:hAnsi="Arial" w:cs="Arial"/>
          <w:color w:val="000000" w:themeColor="text1"/>
          <w:sz w:val="20"/>
          <w:szCs w:val="20"/>
          <w:lang w:val="en-US"/>
        </w:rPr>
        <w:t xml:space="preserve">(total polyphenols: 244.18 mg GAE/g DM) and lower (condensed tannins: 95.08 mg CE/g DM)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{"citationItems":[{"id":"ITEM-1","itemData":{"DOI":"10.1016/j.foodchem.2012.10.052","ISSN":"03088146","PMID":"23411207","abstract":"Corchorus olitorius L. is grown in Taiwan during summer. Tender leaves are crushed and washed by running water before eating. Five fractions including crude phenolic extracts (using 80 per cent aqueous acetone) of whole plant, leaf, stem, washed leaf (WL) and dried water washing material (WW) were used in this study. Linoleic acid autoxidation inhibitions on all fractions were higher than that on α-tocopherol. Except for WL and WW, other fractions also showed DPPH radical scavenging efficiency. The effect of all fractions on the regulation of inflammatory responses in lipopolysaccharide (LPS)-stimulated J774A.1 macrophage cells was investigated. All fractions diminished LPS-induced protein expression of inducible nitric oxide synthase (iNOS) and cyclooxygenase 2 (COX-2). Nitric oxide (NO) and prostaglandin E2 (PGE2), downstream products, were also suppressed in dose-dependent manners, except for WL and WW. Oxidative modification and loss of leaf phenolics after kneading and washing greatly affected DPPH radical scavenging and inflammatory responses. © 2012 Elsevier Ltd. All rights reserved.","author":[{"dropping-particle":"","family":"Yan","given":"Yeong Yu","non-dropping-particle":"","parse-names":false,"suffix":""},{"dropping-particle":"","family":"Wang","given":"Yue Wen","non-dropping-particle":"","parse-names":false,"suffix":""},{"dropping-particle":"","family":"Chen","given":"Su Lin","non-dropping-particle":"","parse-names":false,"suffix":""},{"dropping-particle":"","family":"Zhuang","given":"Shu Ru","non-dropping-particle":"","parse-names":false,"suffix":""},{"dropping-particle":"","family":"Wang","given":"Chin Kun","non-dropping-particle":"","parse-names":false,"suffix":""}],"container-title":"Food Chemistry","id":"ITEM-1","issue":"2-3","issued":{"date-parts":[["2013"]]},"page":"1008-1014","title":"Anti-inflammatory effects of phenolic crude extracts from five fractions of Corchorus Olitorius L.","type":"article-journal","volume":"138"},"uris":["http://www.mendeley.com/documents/?uuid=ab3f68c6-7b0b-4b33-b28d-29fcb24331fc"]}],"mendeley":{"formattedCitation":"(Yan et al., 2013)","manualFormatting":"Yan et al. (2013)","plainTextFormattedCitation":"(Yan et al., 2013)","previouslyFormattedCitation":"(Yan et al., 2013)"},"properties":{"noteIndex":0},"schema":"https://github.com/citation-style-language/schema/raw/master/csl-citation.json"}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Yan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2013)</w:t>
      </w:r>
      <w:r w:rsidR="00425F62" w:rsidRPr="005250A4">
        <w:rPr>
          <w:rFonts w:ascii="Arial" w:hAnsi="Arial" w:cs="Arial"/>
          <w:color w:val="000000" w:themeColor="text1"/>
          <w:sz w:val="20"/>
          <w:szCs w:val="20"/>
          <w:lang w:val="en-US"/>
        </w:rPr>
        <w:fldChar w:fldCharType="end"/>
      </w:r>
      <w:r w:rsidR="00425F62"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w:t>
      </w:r>
      <w:r w:rsidR="0008421F"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Compared to other leafy vegetables such as </w:t>
      </w:r>
      <w:proofErr w:type="spellStart"/>
      <w:r w:rsidRPr="005250A4">
        <w:rPr>
          <w:rStyle w:val="Accentuation"/>
          <w:rFonts w:ascii="Arial" w:hAnsi="Arial" w:cs="Arial"/>
          <w:color w:val="000000" w:themeColor="text1"/>
          <w:sz w:val="20"/>
          <w:szCs w:val="20"/>
          <w:lang w:val="en-US"/>
        </w:rPr>
        <w:t>Solanum</w:t>
      </w:r>
      <w:proofErr w:type="spellEnd"/>
      <w:r w:rsidRPr="005250A4">
        <w:rPr>
          <w:rStyle w:val="Accentuation"/>
          <w:rFonts w:ascii="Arial" w:hAnsi="Arial" w:cs="Arial"/>
          <w:color w:val="000000" w:themeColor="text1"/>
          <w:sz w:val="20"/>
          <w:szCs w:val="20"/>
          <w:lang w:val="en-US"/>
        </w:rPr>
        <w:t xml:space="preserve"> </w:t>
      </w:r>
      <w:proofErr w:type="spellStart"/>
      <w:r w:rsidRPr="005250A4">
        <w:rPr>
          <w:rStyle w:val="Accentuation"/>
          <w:rFonts w:ascii="Arial" w:hAnsi="Arial" w:cs="Arial"/>
          <w:color w:val="000000" w:themeColor="text1"/>
          <w:sz w:val="20"/>
          <w:szCs w:val="20"/>
          <w:lang w:val="en-US"/>
        </w:rPr>
        <w:t>torvum</w:t>
      </w:r>
      <w:proofErr w:type="spellEnd"/>
      <w:r w:rsidRPr="005250A4">
        <w:rPr>
          <w:rFonts w:ascii="Arial" w:hAnsi="Arial" w:cs="Arial"/>
          <w:color w:val="000000" w:themeColor="text1"/>
          <w:sz w:val="20"/>
          <w:szCs w:val="20"/>
          <w:lang w:val="en-US"/>
        </w:rPr>
        <w:t xml:space="preserve">, these results were significantly higher (polyphenols: 43.63 mg GAE/g DM; </w:t>
      </w:r>
      <w:r w:rsidRPr="005250A4">
        <w:rPr>
          <w:rFonts w:ascii="Arial" w:hAnsi="Arial" w:cs="Arial"/>
          <w:color w:val="000000" w:themeColor="text1"/>
          <w:sz w:val="20"/>
          <w:szCs w:val="20"/>
          <w:lang w:val="en-US"/>
        </w:rPr>
        <w:lastRenderedPageBreak/>
        <w:t>condensed tannins: 17.73 mg CE/g DM) than those reported by</w:t>
      </w:r>
      <w:r w:rsidR="00425F62" w:rsidRPr="005250A4">
        <w:rPr>
          <w:rFonts w:ascii="Arial" w:hAnsi="Arial" w:cs="Arial"/>
          <w:color w:val="000000" w:themeColor="text1"/>
          <w:sz w:val="20"/>
          <w:szCs w:val="20"/>
          <w:lang w:val="en-US"/>
        </w:rPr>
        <w:t xml:space="preserve"> </w:t>
      </w:r>
      <w:r w:rsidR="00425F62"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{"citationItems":[{"id":"ITEM-1","itemData":{"DOI":"10.18006/2024.12(2).203.217","ISSN":"23208694","abstract":"This study investigates the bioactive compound content and biological activities of raw powder extracts and particle size fractions from Solanum torvum leaves. The leaves, harvested from Douala, were processed into powders and subsequently divided into different fractions. Methanolic extracts of these powders were analyzed for their content of bioactive compounds (total polyphenols, total flavonoids, and condensed tannins), antioxidant (DPPH, ABTS, FRAP assays), and antimicrobial (bacterial and fungal) activities. The particle size fraction of 250-400 µm constitutes the largest proportion (33.41%) of the raw powder. The highest contents of bioactive compounds are found in the 200-250, 400-500, and &lt; 125 µm fractions for total polyphenols (44.62 ± 0.19 mg GEA/100 ml extract), total flavonoids (14.47 ± 0.37 mg QE/100 ml extract), and condensed tannins (22.79 ± 0.12 mg CE/100 ml extract), respectively. The antioxidant activity of extracts from 500-800µm fraction improved their DPPH and ABTS assays by 31.50% and 40.44% compared to the raw powder. The same fraction (500-800 µm) and the raw powder extracts demonstrated bactericidal activities, while the 125-200, 200-250, and ≥ 800 µm fraction extracts exhibited moderate and significant antifungal activities against several bacterial and fungal strains, respectively. These biological activities are primarily attributed to the average flavonoid contents, which become more accessible in extracts after fractionation. This method of processing powder suggests that no plant powder should be disregarded or rejected due to its low content of bioactive compounds.","author":[{"dropping-particle":"","family":"Assiéné","given":"Agamou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Serge","non-dropping-particle":"","parse-names":false,"suffix":""},{"dropping-particle":"","family":"Tize","given":"Zra","non-dropping-particle":"","parse-names":false,"suffix":""},{"dropping-particle":"","family":"Obono","given":"NdongTatiana Léa","non-dropping-particle":"","parse-names":false,"suffix":""},{"dropping-particle":"","family":"Mbango","given":"Eke Pauline","non-dropping-particle":"","parse-names":false,"suffix":""},{"dropping-particle":"","family":"Mboube","given":"Ngongang Oriane","non-dropping-particle":"","parse-names":false,"suffix":""},{"dropping-particle":"","family":"Keubing","given":"Feudjio Suzanne Rose","non-dropping-particle":"","parse-names":false,"suffix":""},{"dropping-particle":"","family":"Fongnzossie","given":"Fedoung Evariste","non-dropping-particle":"","parse-names":false,"suffix":""}],"container-title":"Journal of Experimental Biology and Agricultural Sciences","id":"ITEM-1","issue":"2","issued":{"date-parts":[["2024"]]},"page":"203-217","title":"Influence of particle size fraction and bioactive compound contents on the biological activities of Solanum torvum L. leaf powder extracts","type":"article-journal","volume":"12"},"uris":["http://www.mendeley.com/documents/?uuid=525e65e2-dadf-41e6-a150-3a587026cce5"]}],"mendeley":{"formattedCitation":"(Assiéné, Djeukeu, Assiéné, Tize, et al., 2024)","manualFormatting":"Assiéné, Djeukeu, Assiéné, Tize, et al. (2024)","plainTextFormattedCitation":"(Assiéné, Djeukeu, Assiéné, Tize, et al., 2024)","previouslyFormattedCitation":"(Assiéné, Djeukeu, Assiéné, Tize, et al., 2024)"},"properties":{"noteIndex":0},"schema":"https://github.com/citation-style-language/schema/raw/master/csl-citation.json"}</w:instrText>
      </w:r>
      <w:r w:rsidR="00425F62"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Assiéné, Djeukeu, Assiéné, Tize,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2024)</w:t>
      </w:r>
      <w:r w:rsidR="00425F62"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Additionally, the fruit powders of </w:t>
      </w:r>
      <w:r w:rsidRPr="005250A4">
        <w:rPr>
          <w:rStyle w:val="Accentuation"/>
          <w:rFonts w:ascii="Arial" w:hAnsi="Arial" w:cs="Arial"/>
          <w:color w:val="000000" w:themeColor="text1"/>
          <w:sz w:val="20"/>
          <w:szCs w:val="20"/>
          <w:lang w:val="en-US"/>
        </w:rPr>
        <w:t xml:space="preserve">A. </w:t>
      </w:r>
      <w:proofErr w:type="spellStart"/>
      <w:r w:rsidRPr="005250A4">
        <w:rPr>
          <w:rStyle w:val="Accentuation"/>
          <w:rFonts w:ascii="Arial" w:hAnsi="Arial" w:cs="Arial"/>
          <w:color w:val="000000" w:themeColor="text1"/>
          <w:sz w:val="20"/>
          <w:szCs w:val="20"/>
          <w:lang w:val="en-US"/>
        </w:rPr>
        <w:t>esculentus</w:t>
      </w:r>
      <w:proofErr w:type="spellEnd"/>
      <w:r w:rsidR="0008421F" w:rsidRPr="005250A4">
        <w:rPr>
          <w:rFonts w:ascii="Arial" w:hAnsi="Arial" w:cs="Arial"/>
          <w:color w:val="000000" w:themeColor="text1"/>
          <w:sz w:val="20"/>
          <w:szCs w:val="20"/>
          <w:lang w:val="en-US"/>
        </w:rPr>
        <w:t xml:space="preserve"> exhibited the highes</w:t>
      </w:r>
      <w:r w:rsidR="00C50244" w:rsidRPr="005250A4">
        <w:rPr>
          <w:rFonts w:ascii="Arial" w:hAnsi="Arial" w:cs="Arial"/>
          <w:color w:val="000000" w:themeColor="text1"/>
          <w:sz w:val="20"/>
          <w:szCs w:val="20"/>
          <w:lang w:val="en-US"/>
        </w:rPr>
        <w:t xml:space="preserve">t </w:t>
      </w:r>
      <w:r w:rsidRPr="005250A4">
        <w:rPr>
          <w:rFonts w:ascii="Arial" w:hAnsi="Arial" w:cs="Arial"/>
          <w:color w:val="000000" w:themeColor="text1"/>
          <w:sz w:val="20"/>
          <w:szCs w:val="20"/>
          <w:lang w:val="en-US"/>
        </w:rPr>
        <w:t>total flavonoids</w:t>
      </w:r>
      <w:r w:rsidR="00C50244" w:rsidRPr="005250A4">
        <w:rPr>
          <w:rFonts w:ascii="Arial" w:hAnsi="Arial" w:cs="Arial"/>
          <w:color w:val="000000" w:themeColor="text1"/>
          <w:sz w:val="20"/>
          <w:szCs w:val="20"/>
          <w:lang w:val="en-US"/>
        </w:rPr>
        <w:t xml:space="preserve"> content</w:t>
      </w:r>
      <w:r w:rsidRPr="005250A4">
        <w:rPr>
          <w:rFonts w:ascii="Arial" w:hAnsi="Arial" w:cs="Arial"/>
          <w:color w:val="000000" w:themeColor="text1"/>
          <w:sz w:val="20"/>
          <w:szCs w:val="20"/>
          <w:lang w:val="en-US"/>
        </w:rPr>
        <w:t xml:space="preserve"> (15.03 ± 0.97 mg QE/g DM), surpassing the value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DE04E6">
        <w:rPr>
          <w:rFonts w:ascii="Arial" w:hAnsi="Arial" w:cs="Arial"/>
          <w:color w:val="000000" w:themeColor="text1"/>
          <w:sz w:val="20"/>
          <w:szCs w:val="20"/>
          <w:lang w:val="en-US"/>
        </w:rPr>
        <w:instrText>ADDIN CSL_CITATION {"citationItems":[{"id":"ITEM-1","itemData":{"DOI":"10.1016/j.foodchem.2021.129437","ISSN":"18737072","PMID":"33744662","abstract":"Polysaccharides have been isolated from okra pods (Abelmoschus esculentus), with little focus on the leaves. This study characterized a water-soluble polysaccharide isolated from okra leaves (OLP), and investigated its functional properties, for their potential applications. FT-IR and NMR spectroscopy were used to describe structural characteristics and the influence on functional properties was examined. The result revealed OLP as a low-molecular-weight polysaccharide (26.9 × 103 g/mol−1) consisting of galactose (~54 mol%), galacturonic acid (~29 mol%), rhamnose (~9mol%) and arabinose (~5mol%) as the primary sugars, and rhamnogalacturonan-I as the predominant structural unit. OLP was found to be an extensively-branched, highly acetylated, and unmethylated polysaccharide. OLP exhibited non-Newtonian flow behavior and showed comparable or superior functional properties such as thermal stability and emulsifying capacity, and higher antioxidant capacity than polysaccharide previously obtained from okra pods. This study presents a means of utilizing okra leaves as a new polysaccharide source, with potential applications in food-related industries.","author":[{"dropping-particle":"","family":"Olawuyi","given":"Ibukunoluwa Fola","non-dropping-particle":"","parse-names":false,"suffix":""},{"dropping-particle":"","family":"Lee","given":"Won Young","non-dropping-particle":"","parse-names":false,"suffix":""}],"container-title":"Food Chemistry","id":"ITEM-1","issue":"September 2020","issued":{"date-parts":[["2021"]]},"page":"129437","publisher":"Elsevier Ltd","title":"Structural characterization, functional properties and antioxidant activities of polysaccharide extract obtained from okra leaves (Abelmoschus esculentus)","type":"article-journal","volume":"354"},"uris":["http://www.mendeley.com/documents/?uuid=76ffffdd-9424-45e3-ab70-ed128fdf2917"]}],"mendeley":{"formattedCitation":"(Olawuyi &amp; Lee, 2021)","manualFormatting":"Olawuyi &amp; Lee (2021)","plainTextFormattedCitation":"(Olawuyi &amp; Lee, 2021)","previouslyFormattedCitation":"(Olawuyi &amp; Lee, 2021)"},"properties":{"noteIndex":0},"schema":"https://github.com/citation-style-language/schema/raw/master/csl-citation.json"}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Olawuyi &amp; Lee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2021)</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for </w:t>
      </w:r>
      <w:r w:rsidRPr="005250A4">
        <w:rPr>
          <w:rStyle w:val="Accentuation"/>
          <w:rFonts w:ascii="Arial" w:hAnsi="Arial" w:cs="Arial"/>
          <w:color w:val="000000" w:themeColor="text1"/>
          <w:sz w:val="20"/>
          <w:szCs w:val="20"/>
          <w:lang w:val="en-US"/>
        </w:rPr>
        <w:t xml:space="preserve">A. </w:t>
      </w:r>
      <w:proofErr w:type="spellStart"/>
      <w:r w:rsidRPr="005250A4">
        <w:rPr>
          <w:rStyle w:val="Accentuation"/>
          <w:rFonts w:ascii="Arial" w:hAnsi="Arial" w:cs="Arial"/>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fruits (4.10 mg RE/g DM). </w:t>
      </w:r>
      <w:r w:rsidR="00C50244" w:rsidRPr="005250A4">
        <w:rPr>
          <w:rFonts w:ascii="Arial" w:hAnsi="Arial" w:cs="Arial"/>
          <w:color w:val="000000" w:themeColor="text1"/>
          <w:sz w:val="20"/>
          <w:szCs w:val="20"/>
          <w:lang w:val="en-US"/>
        </w:rPr>
        <w:t>C</w:t>
      </w:r>
      <w:r w:rsidRPr="005250A4">
        <w:rPr>
          <w:rFonts w:ascii="Arial" w:hAnsi="Arial" w:cs="Arial"/>
          <w:color w:val="000000" w:themeColor="text1"/>
          <w:sz w:val="20"/>
          <w:szCs w:val="20"/>
          <w:lang w:val="en-US"/>
        </w:rPr>
        <w:t xml:space="preserve">ompared </w:t>
      </w:r>
      <w:r w:rsidR="00C50244" w:rsidRPr="005250A4">
        <w:rPr>
          <w:rFonts w:ascii="Arial" w:hAnsi="Arial" w:cs="Arial"/>
          <w:color w:val="000000" w:themeColor="text1"/>
          <w:sz w:val="20"/>
          <w:szCs w:val="20"/>
          <w:lang w:val="en-US"/>
        </w:rPr>
        <w:t>with those of</w:t>
      </w:r>
      <w:r w:rsidRPr="005250A4">
        <w:rPr>
          <w:rFonts w:ascii="Arial" w:hAnsi="Arial" w:cs="Arial"/>
          <w:color w:val="000000" w:themeColor="text1"/>
          <w:sz w:val="20"/>
          <w:szCs w:val="20"/>
          <w:lang w:val="en-US"/>
        </w:rPr>
        <w:t xml:space="preserve"> other leafy vegetables</w:t>
      </w:r>
      <w:r w:rsidR="00C50244" w:rsidRPr="005250A4">
        <w:rPr>
          <w:rFonts w:ascii="Arial" w:hAnsi="Arial" w:cs="Arial"/>
          <w:color w:val="000000" w:themeColor="text1"/>
          <w:sz w:val="20"/>
          <w:szCs w:val="20"/>
          <w:lang w:val="en-US"/>
        </w:rPr>
        <w:t>, such as</w:t>
      </w:r>
      <w:r w:rsidRPr="005250A4">
        <w:rPr>
          <w:rFonts w:ascii="Arial" w:hAnsi="Arial" w:cs="Arial"/>
          <w:color w:val="000000" w:themeColor="text1"/>
          <w:sz w:val="20"/>
          <w:szCs w:val="20"/>
          <w:lang w:val="en-US"/>
        </w:rPr>
        <w:t xml:space="preserve"> </w:t>
      </w:r>
      <w:proofErr w:type="spellStart"/>
      <w:r w:rsidRPr="005250A4">
        <w:rPr>
          <w:rStyle w:val="Accentuation"/>
          <w:rFonts w:ascii="Arial" w:hAnsi="Arial" w:cs="Arial"/>
          <w:color w:val="000000" w:themeColor="text1"/>
          <w:sz w:val="20"/>
          <w:szCs w:val="20"/>
          <w:lang w:val="en-US"/>
        </w:rPr>
        <w:t>Manihot</w:t>
      </w:r>
      <w:proofErr w:type="spellEnd"/>
      <w:r w:rsidRPr="005250A4">
        <w:rPr>
          <w:rStyle w:val="Accentuation"/>
          <w:rFonts w:ascii="Arial" w:hAnsi="Arial" w:cs="Arial"/>
          <w:color w:val="000000" w:themeColor="text1"/>
          <w:sz w:val="20"/>
          <w:szCs w:val="20"/>
          <w:lang w:val="en-US"/>
        </w:rPr>
        <w:t xml:space="preserve"> </w:t>
      </w:r>
      <w:proofErr w:type="spellStart"/>
      <w:r w:rsidRPr="005250A4">
        <w:rPr>
          <w:rStyle w:val="Accentuation"/>
          <w:rFonts w:ascii="Arial" w:hAnsi="Arial" w:cs="Arial"/>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(4.71 mg QE/g DM) and </w:t>
      </w:r>
      <w:proofErr w:type="spellStart"/>
      <w:r w:rsidRPr="005250A4">
        <w:rPr>
          <w:rStyle w:val="Accentuation"/>
          <w:rFonts w:ascii="Arial" w:hAnsi="Arial" w:cs="Arial"/>
          <w:color w:val="000000" w:themeColor="text1"/>
          <w:sz w:val="20"/>
          <w:szCs w:val="20"/>
          <w:lang w:val="en-US"/>
        </w:rPr>
        <w:t>Ceiba</w:t>
      </w:r>
      <w:proofErr w:type="spellEnd"/>
      <w:r w:rsidRPr="005250A4">
        <w:rPr>
          <w:rStyle w:val="Accentuation"/>
          <w:rFonts w:ascii="Arial" w:hAnsi="Arial" w:cs="Arial"/>
          <w:color w:val="000000" w:themeColor="text1"/>
          <w:sz w:val="20"/>
          <w:szCs w:val="20"/>
          <w:lang w:val="en-US"/>
        </w:rPr>
        <w:t xml:space="preserve"> </w:t>
      </w:r>
      <w:proofErr w:type="spellStart"/>
      <w:r w:rsidRPr="005250A4">
        <w:rPr>
          <w:rStyle w:val="Accentuation"/>
          <w:rFonts w:ascii="Arial" w:hAnsi="Arial" w:cs="Arial"/>
          <w:color w:val="000000" w:themeColor="text1"/>
          <w:sz w:val="20"/>
          <w:szCs w:val="20"/>
          <w:lang w:val="en-US"/>
        </w:rPr>
        <w:t>pentandra</w:t>
      </w:r>
      <w:proofErr w:type="spellEnd"/>
      <w:r w:rsidRPr="005250A4">
        <w:rPr>
          <w:rFonts w:ascii="Arial" w:hAnsi="Arial" w:cs="Arial"/>
          <w:color w:val="000000" w:themeColor="text1"/>
          <w:sz w:val="20"/>
          <w:szCs w:val="20"/>
          <w:lang w:val="en-US"/>
        </w:rPr>
        <w:t xml:space="preserve"> (4.51 mg QE/g DM), th</w:t>
      </w:r>
      <w:r w:rsidR="00C50244" w:rsidRPr="005250A4">
        <w:rPr>
          <w:rFonts w:ascii="Arial" w:hAnsi="Arial" w:cs="Arial"/>
          <w:color w:val="000000" w:themeColor="text1"/>
          <w:sz w:val="20"/>
          <w:szCs w:val="20"/>
          <w:lang w:val="en-US"/>
        </w:rPr>
        <w:t>ese values were</w:t>
      </w:r>
      <w:r w:rsidRPr="005250A4">
        <w:rPr>
          <w:rFonts w:ascii="Arial" w:hAnsi="Arial" w:cs="Arial"/>
          <w:color w:val="000000" w:themeColor="text1"/>
          <w:sz w:val="20"/>
          <w:szCs w:val="20"/>
          <w:lang w:val="en-US"/>
        </w:rPr>
        <w:t xml:space="preserve"> significantly higher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{"citationItems":[{"id":"ITEM-1","itemData":{"ISBN":"2201-2796","ISSN":"2201-2796","abstract":"The leaves of Ceiba pentandra (Java), Manihot esculentus (Cassava) and Abelmoschus esculentus (Okra) are consumed as vegetables in Southwestern Nigeria. The proximate and phytochemical composition of these leaves were investigated using standard procedures. Powdered dried leaves of Java, Cassava and Okra were analysed for ash, moisture, fat, fibre, protein, carbohydrate, tannins, flavonoids, phenols and ascorbic acid composition. The percentage composition result values for ash, moisture, fat, fibre, protein and carbohydrate in the leaves ranged from 15.00% - 6.30%, 0.15% - 4.85%, 9.60% - 8.40%, 25.44% - 17.55%, 21.16% - 8.65% and 41.25% - 32.65% respectively. Tannins, flavonoids and phenols composition values ranges were 8.98% - 0.81%, 4.71% - 0.12% and 0.07% - 0.03% respectively while ascorbic acid content ranged from 3.16mg/100g to 2.84mg/100g. The result values obtained have shown that these leaves have good nutritive and therapeutic values and there is need for increased inclusion of these leaves as vegetables in everyday meal.","author":[{"dropping-particle":"","family":"Raimi","given":"Monsurat M.","non-dropping-particle":"","parse-names":false,"suffix":""},{"dropping-particle":"","family":"Oyekanmi","given":"Adeyinka M.","non-dropping-particle":"","parse-names":false,"suffix":""},{"dropping-particle":"","family":"Farombi","given":"Abolaji G","non-dropping-particle":"","parse-names":false,"suffix":""}],"container-title":"Scientific Research Journal (SCIRJ)","id":"ITEM-1","issue":"4","issued":{"date-parts":[["2014"]]},"page":"30-34","title":"Proximate and Phytochemical Composition of Leaves of Ceiba pentandra, Manihot esculentus and Abelmoschus esculentus in Southwestern Nigeria","type":"article-journal","volume":"2"},"uris":["http://www.mendeley.com/documents/?uuid=223a3444-7d99-465a-9bd8-8b153c6b1a6c"]}],"mendeley":{"formattedCitation":"(Raimi et al., 2014)","plainTextFormattedCitation":"(Raimi et al., 2014)","previouslyFormattedCitation":"(Raimi et al., 2014)"},"properties":{"noteIndex":0},"schema":"https://github.com/citation-style-language/schema/raw/master/csl-citation.json"}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(Raimi et al., 2014)</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 observed differences among these results can be attributed not only to the solvent used and the extraction method but also to various other factors, including biotic stress (fungi, insects, bacteria, weeds, etc.) and specific </w:t>
      </w:r>
      <w:proofErr w:type="spellStart"/>
      <w:r w:rsidRPr="005250A4">
        <w:rPr>
          <w:rFonts w:ascii="Arial" w:hAnsi="Arial" w:cs="Arial"/>
          <w:color w:val="000000" w:themeColor="text1"/>
          <w:sz w:val="20"/>
          <w:szCs w:val="20"/>
          <w:lang w:val="en-US"/>
        </w:rPr>
        <w:t>pedoclimatic</w:t>
      </w:r>
      <w:proofErr w:type="spellEnd"/>
      <w:r w:rsidRPr="005250A4">
        <w:rPr>
          <w:rFonts w:ascii="Arial" w:hAnsi="Arial" w:cs="Arial"/>
          <w:color w:val="000000" w:themeColor="text1"/>
          <w:sz w:val="20"/>
          <w:szCs w:val="20"/>
          <w:lang w:val="en-US"/>
        </w:rPr>
        <w:t xml:space="preserve"> conditions for each plant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{"citationItems":[{"id":"ITEM-1","itemData":{"DOI":"10.3390/genes9060309","ISSN":"20734425","abstract":"Plants are sessile organisms and, in order to defend themselves against exogenous (a)biotic constraints, they synthesize an array of secondary metabolites which have important physiological and ecological effects. Plant secondary metabolites can be classified into four major classes: terpenoids, phenolic compounds, alkaloids and sulphur-containing compounds. These phytochemicals can be antimicrobial, act as attractants/repellents, or as deterrents against herbivores. The synthesis of such a rich variety of phytochemicals is also observed in undifferentiated plant cells under laboratory conditions and can be further induced with elicitors or by feeding precursors. In this review, we discuss the recent literature on the production of representatives of three plant secondary metabolite classes: artemisinin (a sesquiterpene), lignans (phenolic compounds) and caffeine (an alkaloid). Their respective production in well-known plants, i.e.,Artemisia,Coffea Arabica L., as well as neglected species, like the fibre-producing plant Urtica dioica L., will be surveyed. The production of artemisinin and caffeine in heterologous hosts will also be discussed. Additionally, metabolic engineering strategies to increase the bioactivity and stability of plant secondary metabolites will be surveyed, by focusing on glycosyltransferases (GTs). We end our review by proposing strategies to enhance the production of plant secondary metabolites in cell cultures by inducing cell wall modifications with chemicals/drugs, or with altered concentrations of the micronutrient boron and the quasi-essential element silicon.","author":[{"dropping-particle":"","family":"Guerriero","given":"Gea","non-dropping-particle":"","parse-names":false,"suffix":""},{"dropping-particle":"","family":"Berni","given":"Roberto","non-dropping-particle":"","parse-names":false,"suffix":""},{"dropping-particle":"","family":"Muñoz-Sanchez","given":"J. Armando","non-dropping-particle":"","parse-names":false,"suffix":""},{"dropping-particle":"","family":"Apone","given":"Fabio","non-dropping-particle":"","parse-names":false,"suffix":""},{"dropping-particle":"","family":"Abdel-Salam","given":"Eslam M.","non-dropping-particle":"","parse-names":false,"suffix":""},{"dropping-particle":"","family":"Qahtan","given":"Ahmad A.","non-dropping-particle":"","parse-names":false,"suffix":""},{"dropping-particle":"","family":"Alatar","given":"Abdulrahman A.","non-dropping-particle":"","parse-names":false,"suffix":""},{"dropping-particle":"","family":"Cantini","given":"Claudio","non-dropping-particle":"","parse-names":false,"suffix":""},{"dropping-particle":"","family":"Cai","given":"Giampiero","non-dropping-particle":"","parse-names":false,"suffix":""},{"dropping-particle":"","family":"Hausman","given":"Jean Francois","non-dropping-particle":"","parse-names":false,"suffix":""},{"dropping-particle":"","family":"Siddiqui","given":"Khawar Sohail","non-dropping-particle":"","parse-names":false,"suffix":""},{"dropping-particle":"","family":"Hernández-Sotomayor","given":"S. M.Teresa","non-dropping-particle":"","parse-names":false,"suffix":""},{"dropping-particle":"","family":"Faisal","given":"Mohammad","non-dropping-particle":"","parse-names":false,"suffix":""}],"container-title":"Genes","id":"ITEM-1","issue":"309","issued":{"date-parts":[["2018"]]},"page":"1-22","title":"Production of plant secondary metabolites: Examples, tips and suggestions for biotechnologists","type":"article-journal","volume":"9"},"uris":["http://www.mendeley.com/documents/?uuid=c8e2084c-f844-4cab-9ddf-0e2ab5822119"]}],"mendeley":{"formattedCitation":"(Guerriero et al., 2018)","plainTextFormattedCitation":"(Guerriero et al., 2018)","previouslyFormattedCitation":"(Guerriero et al., 2018)"},"properties":{"noteIndex":0},"schema":"https://github.com/citation-style-language/schema/raw/master/csl-citation.json"}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(Guerriero et al., 2018)</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08421F" w:rsidRPr="005250A4">
        <w:rPr>
          <w:rFonts w:ascii="Arial" w:hAnsi="Arial" w:cs="Arial"/>
          <w:color w:val="000000" w:themeColor="text1"/>
          <w:sz w:val="20"/>
          <w:szCs w:val="20"/>
          <w:lang w:val="en-US"/>
        </w:rPr>
        <w:t>These values indicate that the leaves and fruits of the studied plants are rich in bioactive compounds.</w:t>
      </w:r>
    </w:p>
    <w:p w14:paraId="5587D5F5" w14:textId="77777777" w:rsidR="002029EC" w:rsidRPr="00C30CF4" w:rsidRDefault="00FF5AFD" w:rsidP="00C30CF4">
      <w:pPr>
        <w:spacing w:line="360" w:lineRule="auto"/>
        <w:jc w:val="both"/>
        <w:rPr>
          <w:rFonts w:ascii="Arial" w:hAnsi="Arial" w:cs="Arial"/>
          <w:b/>
          <w:bCs/>
          <w:color w:val="000000" w:themeColor="text1"/>
          <w:sz w:val="20"/>
          <w:szCs w:val="20"/>
          <w:lang w:val="en-US"/>
        </w:rPr>
      </w:pPr>
      <w:r w:rsidRPr="00C30CF4">
        <w:rPr>
          <w:rFonts w:ascii="Arial" w:hAnsi="Arial" w:cs="Arial"/>
          <w:b/>
          <w:bCs/>
          <w:color w:val="000000" w:themeColor="text1"/>
          <w:sz w:val="20"/>
          <w:szCs w:val="20"/>
          <w:lang w:val="en-US"/>
        </w:rPr>
        <w:t>Table</w:t>
      </w:r>
      <w:r w:rsidR="005A7E94" w:rsidRPr="00C30CF4">
        <w:rPr>
          <w:rFonts w:ascii="Arial" w:hAnsi="Arial" w:cs="Arial"/>
          <w:b/>
          <w:bCs/>
          <w:color w:val="000000" w:themeColor="text1"/>
          <w:sz w:val="20"/>
          <w:szCs w:val="20"/>
          <w:lang w:val="en-US"/>
        </w:rPr>
        <w:t xml:space="preserve"> 4</w:t>
      </w:r>
      <w:r w:rsidRPr="00C30CF4">
        <w:rPr>
          <w:rFonts w:ascii="Arial" w:hAnsi="Arial" w:cs="Arial"/>
          <w:b/>
          <w:bCs/>
          <w:color w:val="000000" w:themeColor="text1"/>
          <w:sz w:val="20"/>
          <w:szCs w:val="20"/>
          <w:lang w:val="en-US"/>
        </w:rPr>
        <w:t>:</w:t>
      </w:r>
      <w:r w:rsidR="002029EC" w:rsidRPr="00C30CF4">
        <w:rPr>
          <w:rFonts w:ascii="Arial" w:hAnsi="Arial" w:cs="Arial"/>
          <w:b/>
          <w:bCs/>
          <w:color w:val="000000" w:themeColor="text1"/>
          <w:sz w:val="20"/>
          <w:szCs w:val="20"/>
          <w:lang w:val="en-US"/>
        </w:rPr>
        <w:t xml:space="preserve"> </w:t>
      </w:r>
      <w:r w:rsidR="00DA421F" w:rsidRPr="00C30CF4">
        <w:rPr>
          <w:rFonts w:ascii="Arial" w:hAnsi="Arial" w:cs="Arial"/>
          <w:b/>
          <w:bCs/>
          <w:color w:val="000000" w:themeColor="text1"/>
          <w:sz w:val="20"/>
          <w:szCs w:val="20"/>
          <w:lang w:val="en-US"/>
        </w:rPr>
        <w:t>Polyphenol</w:t>
      </w:r>
      <w:r w:rsidR="00204DE2" w:rsidRPr="00C30CF4">
        <w:rPr>
          <w:rFonts w:ascii="Arial" w:hAnsi="Arial" w:cs="Arial"/>
          <w:b/>
          <w:bCs/>
          <w:color w:val="000000" w:themeColor="text1"/>
          <w:sz w:val="20"/>
          <w:szCs w:val="20"/>
          <w:lang w:val="en-US"/>
        </w:rPr>
        <w:t xml:space="preserve"> </w:t>
      </w:r>
      <w:r w:rsidR="006D3A34" w:rsidRPr="00C30CF4">
        <w:rPr>
          <w:rFonts w:ascii="Arial" w:hAnsi="Arial" w:cs="Arial"/>
          <w:b/>
          <w:bCs/>
          <w:color w:val="000000" w:themeColor="text1"/>
          <w:sz w:val="20"/>
          <w:szCs w:val="20"/>
          <w:lang w:val="en-US"/>
        </w:rPr>
        <w:t xml:space="preserve">contents </w:t>
      </w:r>
      <w:r w:rsidR="00935722" w:rsidRPr="00C30CF4">
        <w:rPr>
          <w:rFonts w:ascii="Arial" w:hAnsi="Arial" w:cs="Arial"/>
          <w:b/>
          <w:bCs/>
          <w:color w:val="000000" w:themeColor="text1"/>
          <w:sz w:val="20"/>
          <w:szCs w:val="20"/>
          <w:lang w:val="en-US"/>
        </w:rPr>
        <w:t xml:space="preserve">of leaf </w:t>
      </w:r>
      <w:r w:rsidR="002029EC" w:rsidRPr="00C30CF4">
        <w:rPr>
          <w:rFonts w:ascii="Arial" w:hAnsi="Arial" w:cs="Arial"/>
          <w:b/>
          <w:bCs/>
          <w:color w:val="000000" w:themeColor="text1"/>
          <w:sz w:val="20"/>
          <w:szCs w:val="20"/>
          <w:lang w:val="en-US"/>
        </w:rPr>
        <w:t xml:space="preserve">and fruit </w:t>
      </w:r>
      <w:r w:rsidR="00E85751" w:rsidRPr="00C30CF4">
        <w:rPr>
          <w:rFonts w:ascii="Arial" w:hAnsi="Arial" w:cs="Arial"/>
          <w:b/>
          <w:bCs/>
          <w:color w:val="000000" w:themeColor="text1"/>
          <w:sz w:val="20"/>
          <w:szCs w:val="20"/>
          <w:lang w:val="en-US"/>
        </w:rPr>
        <w:t xml:space="preserve">powders </w:t>
      </w:r>
      <w:r w:rsidR="002029EC" w:rsidRPr="00C30CF4">
        <w:rPr>
          <w:rFonts w:ascii="Arial" w:hAnsi="Arial" w:cs="Arial"/>
          <w:b/>
          <w:bCs/>
          <w:color w:val="000000" w:themeColor="text1"/>
          <w:sz w:val="20"/>
          <w:szCs w:val="20"/>
          <w:lang w:val="en-US"/>
        </w:rPr>
        <w:t xml:space="preserve">of </w:t>
      </w:r>
      <w:proofErr w:type="spellStart"/>
      <w:r w:rsidR="002029EC" w:rsidRPr="00C30CF4">
        <w:rPr>
          <w:rFonts w:ascii="Arial" w:hAnsi="Arial" w:cs="Arial"/>
          <w:b/>
          <w:bCs/>
          <w:i/>
          <w:color w:val="000000" w:themeColor="text1"/>
          <w:sz w:val="20"/>
          <w:szCs w:val="20"/>
          <w:lang w:val="en-US"/>
        </w:rPr>
        <w:t>Corchorus</w:t>
      </w:r>
      <w:proofErr w:type="spellEnd"/>
      <w:r w:rsidR="002029EC" w:rsidRPr="00C30CF4">
        <w:rPr>
          <w:rFonts w:ascii="Arial" w:hAnsi="Arial" w:cs="Arial"/>
          <w:b/>
          <w:bCs/>
          <w:i/>
          <w:color w:val="000000" w:themeColor="text1"/>
          <w:sz w:val="20"/>
          <w:szCs w:val="20"/>
          <w:lang w:val="en-US"/>
        </w:rPr>
        <w:t xml:space="preserve"> </w:t>
      </w:r>
      <w:proofErr w:type="spellStart"/>
      <w:r w:rsidR="002029EC" w:rsidRPr="00C30CF4">
        <w:rPr>
          <w:rFonts w:ascii="Arial" w:hAnsi="Arial" w:cs="Arial"/>
          <w:b/>
          <w:bCs/>
          <w:i/>
          <w:color w:val="000000" w:themeColor="text1"/>
          <w:sz w:val="20"/>
          <w:szCs w:val="20"/>
          <w:lang w:val="en-US"/>
        </w:rPr>
        <w:t>olitorius</w:t>
      </w:r>
      <w:proofErr w:type="spellEnd"/>
      <w:r w:rsidR="002029EC" w:rsidRPr="00C30CF4">
        <w:rPr>
          <w:rFonts w:ascii="Arial" w:hAnsi="Arial" w:cs="Arial"/>
          <w:b/>
          <w:bCs/>
          <w:i/>
          <w:color w:val="000000" w:themeColor="text1"/>
          <w:sz w:val="20"/>
          <w:szCs w:val="20"/>
          <w:lang w:val="en-US"/>
        </w:rPr>
        <w:t xml:space="preserve"> </w:t>
      </w:r>
      <w:r w:rsidR="002029EC" w:rsidRPr="00C30CF4">
        <w:rPr>
          <w:rFonts w:ascii="Arial" w:hAnsi="Arial" w:cs="Arial"/>
          <w:b/>
          <w:bCs/>
          <w:color w:val="000000" w:themeColor="text1"/>
          <w:sz w:val="20"/>
          <w:szCs w:val="20"/>
          <w:lang w:val="en-US"/>
        </w:rPr>
        <w:t>and</w:t>
      </w:r>
      <w:r w:rsidR="002029EC" w:rsidRPr="00C30CF4">
        <w:rPr>
          <w:rFonts w:ascii="Arial" w:hAnsi="Arial" w:cs="Arial"/>
          <w:b/>
          <w:bCs/>
          <w:i/>
          <w:color w:val="000000" w:themeColor="text1"/>
          <w:sz w:val="20"/>
          <w:szCs w:val="20"/>
          <w:lang w:val="en-US"/>
        </w:rPr>
        <w:t xml:space="preserve"> </w:t>
      </w:r>
      <w:proofErr w:type="spellStart"/>
      <w:r w:rsidR="002029EC" w:rsidRPr="00C30CF4">
        <w:rPr>
          <w:rFonts w:ascii="Arial" w:hAnsi="Arial" w:cs="Arial"/>
          <w:b/>
          <w:bCs/>
          <w:i/>
          <w:color w:val="000000" w:themeColor="text1"/>
          <w:sz w:val="20"/>
          <w:szCs w:val="20"/>
          <w:lang w:val="en-US"/>
        </w:rPr>
        <w:t>Abelmoschus</w:t>
      </w:r>
      <w:proofErr w:type="spellEnd"/>
      <w:r w:rsidR="002029EC" w:rsidRPr="00C30CF4">
        <w:rPr>
          <w:rFonts w:ascii="Arial" w:hAnsi="Arial" w:cs="Arial"/>
          <w:b/>
          <w:bCs/>
          <w:i/>
          <w:color w:val="000000" w:themeColor="text1"/>
          <w:sz w:val="20"/>
          <w:szCs w:val="20"/>
          <w:lang w:val="en-US"/>
        </w:rPr>
        <w:t xml:space="preserve"> </w:t>
      </w:r>
      <w:proofErr w:type="spellStart"/>
      <w:r w:rsidR="002029EC" w:rsidRPr="00C30CF4">
        <w:rPr>
          <w:rFonts w:ascii="Arial" w:hAnsi="Arial" w:cs="Arial"/>
          <w:b/>
          <w:bCs/>
          <w:i/>
          <w:color w:val="000000" w:themeColor="text1"/>
          <w:sz w:val="20"/>
          <w:szCs w:val="20"/>
          <w:lang w:val="en-US"/>
        </w:rPr>
        <w:t>esculentus</w:t>
      </w:r>
      <w:proofErr w:type="spellEnd"/>
    </w:p>
    <w:tbl>
      <w:tblPr>
        <w:tblStyle w:val="Grilledutableau"/>
        <w:tblW w:w="9356" w:type="dxa"/>
        <w:tblInd w:w="-284" w:type="dxa"/>
        <w:tblLayout w:type="fixed"/>
        <w:tblLook w:val="04A0" w:firstRow="1" w:lastRow="0" w:firstColumn="1" w:lastColumn="0" w:noHBand="0" w:noVBand="1"/>
      </w:tblPr>
      <w:tblGrid>
        <w:gridCol w:w="3142"/>
        <w:gridCol w:w="1428"/>
        <w:gridCol w:w="1666"/>
        <w:gridCol w:w="1585"/>
        <w:gridCol w:w="1535"/>
      </w:tblGrid>
      <w:tr w:rsidR="00175578" w:rsidRPr="00202D84" w14:paraId="4C44560E" w14:textId="77777777" w:rsidTr="00933753">
        <w:trPr>
          <w:trHeight w:val="523"/>
        </w:trPr>
        <w:tc>
          <w:tcPr>
            <w:tcW w:w="3142" w:type="dxa"/>
            <w:vMerge w:val="restart"/>
            <w:tcBorders>
              <w:left w:val="nil"/>
              <w:bottom w:val="nil"/>
              <w:right w:val="nil"/>
            </w:tcBorders>
            <w:vAlign w:val="center"/>
          </w:tcPr>
          <w:p w14:paraId="5727F836" w14:textId="77777777" w:rsidR="00A273BC" w:rsidRPr="00202D84" w:rsidRDefault="00A273BC" w:rsidP="000A025A">
            <w:pPr>
              <w:rPr>
                <w:rFonts w:ascii="Arial" w:hAnsi="Arial" w:cs="Arial"/>
                <w:i/>
                <w:color w:val="000000" w:themeColor="text1"/>
                <w:sz w:val="18"/>
                <w:szCs w:val="18"/>
                <w:lang w:val="en-US"/>
              </w:rPr>
            </w:pPr>
            <w:r w:rsidRPr="00202D84">
              <w:rPr>
                <w:rFonts w:ascii="Arial" w:hAnsi="Arial" w:cs="Arial"/>
                <w:color w:val="000000" w:themeColor="text1"/>
                <w:sz w:val="18"/>
                <w:szCs w:val="18"/>
                <w:lang w:val="en-US"/>
              </w:rPr>
              <w:t>Bioactive compounds</w:t>
            </w:r>
          </w:p>
        </w:tc>
        <w:tc>
          <w:tcPr>
            <w:tcW w:w="3094" w:type="dxa"/>
            <w:gridSpan w:val="2"/>
            <w:tcBorders>
              <w:left w:val="nil"/>
              <w:right w:val="nil"/>
            </w:tcBorders>
            <w:vAlign w:val="center"/>
          </w:tcPr>
          <w:p w14:paraId="336A1226" w14:textId="260450FE" w:rsidR="00A273BC" w:rsidRPr="00202D84" w:rsidRDefault="00A273BC" w:rsidP="006853A0">
            <w:pPr>
              <w:jc w:val="center"/>
              <w:rPr>
                <w:rFonts w:ascii="Arial" w:hAnsi="Arial" w:cs="Arial"/>
                <w:color w:val="000000" w:themeColor="text1"/>
                <w:sz w:val="18"/>
                <w:szCs w:val="18"/>
                <w:lang w:val="en-US"/>
              </w:rPr>
            </w:pPr>
            <w:proofErr w:type="spellStart"/>
            <w:r w:rsidRPr="00202D84">
              <w:rPr>
                <w:rFonts w:ascii="Arial" w:hAnsi="Arial" w:cs="Arial"/>
                <w:i/>
                <w:color w:val="000000" w:themeColor="text1"/>
                <w:sz w:val="18"/>
                <w:szCs w:val="18"/>
                <w:lang w:val="en-US"/>
              </w:rPr>
              <w:t>Corchorus</w:t>
            </w:r>
            <w:proofErr w:type="spellEnd"/>
            <w:r w:rsidRPr="00202D84">
              <w:rPr>
                <w:rFonts w:ascii="Arial" w:hAnsi="Arial" w:cs="Arial"/>
                <w:i/>
                <w:color w:val="000000" w:themeColor="text1"/>
                <w:sz w:val="18"/>
                <w:szCs w:val="18"/>
                <w:lang w:val="en-US"/>
              </w:rPr>
              <w:t xml:space="preserve"> </w:t>
            </w:r>
            <w:proofErr w:type="spellStart"/>
            <w:r w:rsidRPr="00202D84">
              <w:rPr>
                <w:rFonts w:ascii="Arial" w:hAnsi="Arial" w:cs="Arial"/>
                <w:i/>
                <w:color w:val="000000" w:themeColor="text1"/>
                <w:sz w:val="18"/>
                <w:szCs w:val="18"/>
                <w:lang w:val="en-US"/>
              </w:rPr>
              <w:t>olitorius</w:t>
            </w:r>
            <w:proofErr w:type="spellEnd"/>
          </w:p>
        </w:tc>
        <w:tc>
          <w:tcPr>
            <w:tcW w:w="3120" w:type="dxa"/>
            <w:gridSpan w:val="2"/>
            <w:tcBorders>
              <w:left w:val="nil"/>
              <w:right w:val="nil"/>
            </w:tcBorders>
            <w:vAlign w:val="center"/>
          </w:tcPr>
          <w:p w14:paraId="0747102D"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i/>
                <w:color w:val="000000" w:themeColor="text1"/>
                <w:sz w:val="18"/>
                <w:szCs w:val="18"/>
                <w:lang w:val="en-US"/>
              </w:rPr>
              <w:t xml:space="preserve">   </w:t>
            </w:r>
            <w:proofErr w:type="spellStart"/>
            <w:r w:rsidRPr="00202D84">
              <w:rPr>
                <w:rFonts w:ascii="Arial" w:hAnsi="Arial" w:cs="Arial"/>
                <w:i/>
                <w:color w:val="000000" w:themeColor="text1"/>
                <w:sz w:val="18"/>
                <w:szCs w:val="18"/>
                <w:lang w:val="en-US"/>
              </w:rPr>
              <w:t>Abelmoschus</w:t>
            </w:r>
            <w:proofErr w:type="spellEnd"/>
            <w:r w:rsidRPr="00202D84">
              <w:rPr>
                <w:rFonts w:ascii="Arial" w:hAnsi="Arial" w:cs="Arial"/>
                <w:i/>
                <w:color w:val="000000" w:themeColor="text1"/>
                <w:sz w:val="18"/>
                <w:szCs w:val="18"/>
                <w:lang w:val="en-US"/>
              </w:rPr>
              <w:t xml:space="preserve"> </w:t>
            </w:r>
            <w:proofErr w:type="spellStart"/>
            <w:r w:rsidRPr="00202D84">
              <w:rPr>
                <w:rFonts w:ascii="Arial" w:hAnsi="Arial" w:cs="Arial"/>
                <w:i/>
                <w:color w:val="000000" w:themeColor="text1"/>
                <w:sz w:val="18"/>
                <w:szCs w:val="18"/>
                <w:lang w:val="en-US"/>
              </w:rPr>
              <w:t>esculentus</w:t>
            </w:r>
            <w:proofErr w:type="spellEnd"/>
          </w:p>
        </w:tc>
      </w:tr>
      <w:tr w:rsidR="00175578" w:rsidRPr="00202D84" w14:paraId="3DC6DFC2" w14:textId="77777777" w:rsidTr="00933753">
        <w:trPr>
          <w:trHeight w:val="439"/>
        </w:trPr>
        <w:tc>
          <w:tcPr>
            <w:tcW w:w="3142" w:type="dxa"/>
            <w:vMerge/>
            <w:tcBorders>
              <w:left w:val="nil"/>
              <w:bottom w:val="nil"/>
              <w:right w:val="nil"/>
            </w:tcBorders>
            <w:vAlign w:val="center"/>
          </w:tcPr>
          <w:p w14:paraId="74A62A67" w14:textId="77777777" w:rsidR="00A273BC" w:rsidRPr="00202D84" w:rsidRDefault="00A273BC" w:rsidP="00F92F0D">
            <w:pPr>
              <w:jc w:val="center"/>
              <w:rPr>
                <w:rFonts w:ascii="Arial" w:hAnsi="Arial" w:cs="Arial"/>
                <w:color w:val="000000" w:themeColor="text1"/>
                <w:sz w:val="18"/>
                <w:szCs w:val="18"/>
                <w:lang w:val="en-US"/>
              </w:rPr>
            </w:pPr>
          </w:p>
        </w:tc>
        <w:tc>
          <w:tcPr>
            <w:tcW w:w="1428" w:type="dxa"/>
            <w:tcBorders>
              <w:left w:val="nil"/>
              <w:bottom w:val="single" w:sz="4" w:space="0" w:color="auto"/>
              <w:right w:val="nil"/>
            </w:tcBorders>
            <w:vAlign w:val="center"/>
          </w:tcPr>
          <w:p w14:paraId="25B5B10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666" w:type="dxa"/>
            <w:tcBorders>
              <w:left w:val="nil"/>
              <w:bottom w:val="single" w:sz="4" w:space="0" w:color="auto"/>
              <w:right w:val="nil"/>
            </w:tcBorders>
            <w:vAlign w:val="center"/>
          </w:tcPr>
          <w:p w14:paraId="4654F38B"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c>
          <w:tcPr>
            <w:tcW w:w="1585" w:type="dxa"/>
            <w:tcBorders>
              <w:left w:val="nil"/>
              <w:bottom w:val="single" w:sz="4" w:space="0" w:color="auto"/>
              <w:right w:val="nil"/>
            </w:tcBorders>
            <w:vAlign w:val="center"/>
          </w:tcPr>
          <w:p w14:paraId="440FF676"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Leave</w:t>
            </w:r>
          </w:p>
        </w:tc>
        <w:tc>
          <w:tcPr>
            <w:tcW w:w="1535" w:type="dxa"/>
            <w:tcBorders>
              <w:left w:val="nil"/>
              <w:bottom w:val="single" w:sz="4" w:space="0" w:color="auto"/>
              <w:right w:val="nil"/>
            </w:tcBorders>
            <w:vAlign w:val="center"/>
          </w:tcPr>
          <w:p w14:paraId="336ED3FA" w14:textId="77777777" w:rsidR="00A273BC" w:rsidRPr="00202D84" w:rsidRDefault="00A273BC" w:rsidP="00F92F0D">
            <w:pPr>
              <w:jc w:val="center"/>
              <w:rPr>
                <w:rFonts w:ascii="Arial" w:hAnsi="Arial" w:cs="Arial"/>
                <w:color w:val="000000" w:themeColor="text1"/>
                <w:sz w:val="18"/>
                <w:szCs w:val="18"/>
                <w:lang w:val="en-US"/>
              </w:rPr>
            </w:pPr>
            <w:r w:rsidRPr="00202D84">
              <w:rPr>
                <w:rFonts w:ascii="Arial" w:hAnsi="Arial" w:cs="Arial"/>
                <w:color w:val="000000" w:themeColor="text1"/>
                <w:sz w:val="18"/>
                <w:szCs w:val="18"/>
                <w:lang w:val="en-US"/>
              </w:rPr>
              <w:t>Fruit</w:t>
            </w:r>
          </w:p>
        </w:tc>
      </w:tr>
      <w:tr w:rsidR="00175578" w:rsidRPr="00202D84" w14:paraId="556C168D" w14:textId="77777777" w:rsidTr="00933753">
        <w:trPr>
          <w:trHeight w:val="754"/>
        </w:trPr>
        <w:tc>
          <w:tcPr>
            <w:tcW w:w="3142" w:type="dxa"/>
            <w:tcBorders>
              <w:top w:val="single" w:sz="4" w:space="0" w:color="auto"/>
              <w:left w:val="nil"/>
              <w:bottom w:val="nil"/>
              <w:right w:val="nil"/>
            </w:tcBorders>
            <w:vAlign w:val="center"/>
          </w:tcPr>
          <w:p w14:paraId="1182E953" w14:textId="77777777" w:rsidR="00A273BC" w:rsidRPr="00202D84" w:rsidRDefault="00A273BC" w:rsidP="00965093">
            <w:pPr>
              <w:rPr>
                <w:rFonts w:ascii="Arial" w:hAnsi="Arial" w:cs="Arial"/>
                <w:b/>
                <w:color w:val="000000" w:themeColor="text1"/>
                <w:sz w:val="18"/>
                <w:szCs w:val="18"/>
                <w:lang w:val="en-US"/>
              </w:rPr>
            </w:pPr>
            <w:r w:rsidRPr="00202D84">
              <w:rPr>
                <w:rFonts w:ascii="Arial" w:hAnsi="Arial" w:cs="Arial"/>
                <w:color w:val="000000" w:themeColor="text1"/>
                <w:sz w:val="18"/>
                <w:szCs w:val="18"/>
                <w:lang w:val="en-US"/>
              </w:rPr>
              <w:t xml:space="preserve">Total polyphenols </w:t>
            </w:r>
            <w:r w:rsidR="00695A5E" w:rsidRPr="00202D84">
              <w:rPr>
                <w:rFonts w:ascii="Arial" w:hAnsi="Arial" w:cs="Arial"/>
                <w:color w:val="000000" w:themeColor="text1"/>
                <w:sz w:val="18"/>
                <w:szCs w:val="18"/>
                <w:lang w:val="en-US"/>
              </w:rPr>
              <w:t>(mg GAE</w:t>
            </w:r>
            <w:r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663DD271"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240.10 ± 1.99</w:t>
            </w:r>
            <w:r w:rsidRPr="00202D84">
              <w:rPr>
                <w:rFonts w:ascii="Arial" w:hAnsi="Arial" w:cs="Arial"/>
                <w:color w:val="000000" w:themeColor="text1"/>
                <w:sz w:val="18"/>
                <w:szCs w:val="18"/>
                <w:vertAlign w:val="superscript"/>
                <w:lang w:val="en-US"/>
              </w:rPr>
              <w:t>d</w:t>
            </w:r>
          </w:p>
        </w:tc>
        <w:tc>
          <w:tcPr>
            <w:tcW w:w="1666" w:type="dxa"/>
            <w:tcBorders>
              <w:top w:val="nil"/>
              <w:left w:val="nil"/>
              <w:bottom w:val="nil"/>
              <w:right w:val="nil"/>
            </w:tcBorders>
            <w:vAlign w:val="center"/>
          </w:tcPr>
          <w:p w14:paraId="6CBF2937"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50.10 ± 1.02</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7C9D1FF5" w14:textId="77777777" w:rsidR="00A273BC" w:rsidRPr="00202D84" w:rsidRDefault="00A273BC" w:rsidP="00965093">
            <w:pPr>
              <w:jc w:val="center"/>
              <w:rPr>
                <w:rFonts w:ascii="Arial" w:hAnsi="Arial" w:cs="Arial"/>
                <w:color w:val="000000" w:themeColor="text1"/>
                <w:sz w:val="18"/>
                <w:szCs w:val="18"/>
                <w:vertAlign w:val="superscript"/>
                <w:lang w:val="en-US"/>
              </w:rPr>
            </w:pPr>
            <w:r w:rsidRPr="00202D84">
              <w:rPr>
                <w:rFonts w:ascii="Arial" w:hAnsi="Arial" w:cs="Arial"/>
                <w:color w:val="000000" w:themeColor="text1"/>
                <w:sz w:val="18"/>
                <w:szCs w:val="18"/>
                <w:lang w:val="en-US"/>
              </w:rPr>
              <w:t>4.28 ± 0.10</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32DFF94F" w14:textId="77777777" w:rsidR="00A273BC" w:rsidRPr="00202D84" w:rsidRDefault="00A273BC" w:rsidP="00965093">
            <w:pPr>
              <w:jc w:val="center"/>
              <w:rPr>
                <w:rFonts w:ascii="Arial" w:hAnsi="Arial" w:cs="Arial"/>
                <w:b/>
                <w:color w:val="000000" w:themeColor="text1"/>
                <w:sz w:val="18"/>
                <w:szCs w:val="18"/>
                <w:vertAlign w:val="superscript"/>
                <w:lang w:val="en-US"/>
              </w:rPr>
            </w:pPr>
            <w:r w:rsidRPr="00202D84">
              <w:rPr>
                <w:rFonts w:ascii="Arial" w:hAnsi="Arial" w:cs="Arial"/>
                <w:color w:val="000000" w:themeColor="text1"/>
                <w:sz w:val="18"/>
                <w:szCs w:val="18"/>
                <w:lang w:val="en-US"/>
              </w:rPr>
              <w:t>95.10 ± 1.04</w:t>
            </w:r>
            <w:r w:rsidRPr="00202D84">
              <w:rPr>
                <w:rFonts w:ascii="Arial" w:hAnsi="Arial" w:cs="Arial"/>
                <w:color w:val="000000" w:themeColor="text1"/>
                <w:sz w:val="18"/>
                <w:szCs w:val="18"/>
                <w:vertAlign w:val="superscript"/>
                <w:lang w:val="en-US"/>
              </w:rPr>
              <w:t>c</w:t>
            </w:r>
          </w:p>
        </w:tc>
      </w:tr>
      <w:tr w:rsidR="00175578" w:rsidRPr="00202D84" w14:paraId="325EB3D5" w14:textId="77777777" w:rsidTr="00933753">
        <w:trPr>
          <w:trHeight w:val="654"/>
        </w:trPr>
        <w:tc>
          <w:tcPr>
            <w:tcW w:w="3142" w:type="dxa"/>
            <w:tcBorders>
              <w:top w:val="nil"/>
              <w:left w:val="nil"/>
              <w:bottom w:val="nil"/>
              <w:right w:val="nil"/>
            </w:tcBorders>
            <w:vAlign w:val="center"/>
          </w:tcPr>
          <w:p w14:paraId="2EAA0AAC" w14:textId="77777777" w:rsidR="00A273BC" w:rsidRPr="00202D84" w:rsidRDefault="000A025A" w:rsidP="00965093">
            <w:pPr>
              <w:rPr>
                <w:rFonts w:ascii="Arial" w:hAnsi="Arial" w:cs="Arial"/>
                <w:color w:val="000000" w:themeColor="text1"/>
                <w:sz w:val="18"/>
                <w:szCs w:val="18"/>
                <w:lang w:val="en-US"/>
              </w:rPr>
            </w:pPr>
            <w:r w:rsidRPr="00202D84">
              <w:rPr>
                <w:rFonts w:ascii="Arial" w:hAnsi="Arial" w:cs="Arial"/>
                <w:color w:val="000000" w:themeColor="text1"/>
                <w:sz w:val="18"/>
                <w:szCs w:val="18"/>
                <w:lang w:val="en-US"/>
              </w:rPr>
              <w:t xml:space="preserve">Total </w:t>
            </w:r>
            <w:r w:rsidR="00653D48" w:rsidRPr="00202D84">
              <w:rPr>
                <w:rFonts w:ascii="Arial" w:hAnsi="Arial" w:cs="Arial"/>
                <w:color w:val="000000" w:themeColor="text1"/>
                <w:sz w:val="18"/>
                <w:szCs w:val="18"/>
                <w:lang w:val="en-US"/>
              </w:rPr>
              <w:t>flavonoids (</w:t>
            </w:r>
            <w:r w:rsidR="00695A5E" w:rsidRPr="00202D84">
              <w:rPr>
                <w:rFonts w:ascii="Arial" w:hAnsi="Arial" w:cs="Arial"/>
                <w:color w:val="000000" w:themeColor="text1"/>
                <w:sz w:val="18"/>
                <w:szCs w:val="18"/>
                <w:lang w:val="en-US"/>
              </w:rPr>
              <w:t>mg QE</w:t>
            </w:r>
            <w:r w:rsidR="00A273BC" w:rsidRPr="00202D84">
              <w:rPr>
                <w:rFonts w:ascii="Arial" w:hAnsi="Arial" w:cs="Arial"/>
                <w:color w:val="000000" w:themeColor="text1"/>
                <w:sz w:val="18"/>
                <w:szCs w:val="18"/>
                <w:lang w:val="en-US"/>
              </w:rPr>
              <w:t>/g</w:t>
            </w:r>
            <w:r w:rsidR="00767B9A" w:rsidRPr="00202D84">
              <w:rPr>
                <w:rFonts w:ascii="Arial" w:hAnsi="Arial" w:cs="Arial"/>
                <w:color w:val="000000" w:themeColor="text1"/>
                <w:sz w:val="18"/>
                <w:szCs w:val="18"/>
                <w:lang w:val="en-US"/>
              </w:rPr>
              <w:t xml:space="preserve"> DM</w:t>
            </w:r>
            <w:r w:rsidR="00A273BC" w:rsidRPr="00202D84">
              <w:rPr>
                <w:rFonts w:ascii="Arial" w:hAnsi="Arial" w:cs="Arial"/>
                <w:color w:val="000000" w:themeColor="text1"/>
                <w:sz w:val="18"/>
                <w:szCs w:val="18"/>
                <w:lang w:val="en-US"/>
              </w:rPr>
              <w:t>)</w:t>
            </w:r>
          </w:p>
        </w:tc>
        <w:tc>
          <w:tcPr>
            <w:tcW w:w="1428" w:type="dxa"/>
            <w:tcBorders>
              <w:top w:val="nil"/>
              <w:left w:val="nil"/>
              <w:bottom w:val="nil"/>
              <w:right w:val="nil"/>
            </w:tcBorders>
            <w:vAlign w:val="center"/>
          </w:tcPr>
          <w:p w14:paraId="4C682E18"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0.50 ± 0.05</w:t>
            </w:r>
            <w:r w:rsidRPr="00202D84">
              <w:rPr>
                <w:rFonts w:ascii="Arial" w:hAnsi="Arial" w:cs="Arial"/>
                <w:color w:val="000000" w:themeColor="text1"/>
                <w:sz w:val="18"/>
                <w:szCs w:val="18"/>
                <w:vertAlign w:val="superscript"/>
                <w:lang w:val="en-US"/>
              </w:rPr>
              <w:t>b</w:t>
            </w:r>
          </w:p>
        </w:tc>
        <w:tc>
          <w:tcPr>
            <w:tcW w:w="1666" w:type="dxa"/>
            <w:tcBorders>
              <w:top w:val="nil"/>
              <w:left w:val="nil"/>
              <w:bottom w:val="nil"/>
              <w:right w:val="nil"/>
            </w:tcBorders>
            <w:vAlign w:val="center"/>
          </w:tcPr>
          <w:p w14:paraId="53BD1EB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0.45 ± 0.01</w:t>
            </w:r>
            <w:r w:rsidRPr="00202D84">
              <w:rPr>
                <w:rFonts w:ascii="Arial" w:hAnsi="Arial" w:cs="Arial"/>
                <w:color w:val="000000" w:themeColor="text1"/>
                <w:sz w:val="18"/>
                <w:szCs w:val="18"/>
                <w:vertAlign w:val="superscript"/>
                <w:lang w:val="en-US"/>
              </w:rPr>
              <w:t>b</w:t>
            </w:r>
          </w:p>
        </w:tc>
        <w:tc>
          <w:tcPr>
            <w:tcW w:w="1585" w:type="dxa"/>
            <w:tcBorders>
              <w:top w:val="nil"/>
              <w:left w:val="nil"/>
              <w:bottom w:val="nil"/>
              <w:right w:val="nil"/>
            </w:tcBorders>
            <w:vAlign w:val="center"/>
          </w:tcPr>
          <w:p w14:paraId="19513891"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0.22 ± 0.01</w:t>
            </w:r>
            <w:r w:rsidRPr="00202D84">
              <w:rPr>
                <w:rFonts w:ascii="Arial" w:hAnsi="Arial" w:cs="Arial"/>
                <w:color w:val="000000" w:themeColor="text1"/>
                <w:sz w:val="18"/>
                <w:szCs w:val="18"/>
                <w:vertAlign w:val="superscript"/>
                <w:lang w:val="en-US"/>
              </w:rPr>
              <w:t>a</w:t>
            </w:r>
          </w:p>
        </w:tc>
        <w:tc>
          <w:tcPr>
            <w:tcW w:w="1535" w:type="dxa"/>
            <w:tcBorders>
              <w:top w:val="nil"/>
              <w:left w:val="nil"/>
              <w:bottom w:val="nil"/>
              <w:right w:val="nil"/>
            </w:tcBorders>
            <w:vAlign w:val="center"/>
          </w:tcPr>
          <w:p w14:paraId="5BF3C879"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bookmarkStart w:id="17" w:name="_Hlk195112887"/>
            <w:r w:rsidRPr="00202D84">
              <w:rPr>
                <w:rFonts w:ascii="Arial" w:hAnsi="Arial" w:cs="Arial"/>
                <w:color w:val="000000" w:themeColor="text1"/>
                <w:sz w:val="18"/>
                <w:szCs w:val="18"/>
                <w:lang w:val="en-US"/>
              </w:rPr>
              <w:t>15.03 ± 0.97</w:t>
            </w:r>
            <w:bookmarkEnd w:id="17"/>
            <w:r w:rsidRPr="00202D84">
              <w:rPr>
                <w:rFonts w:ascii="Arial" w:hAnsi="Arial" w:cs="Arial"/>
                <w:color w:val="000000" w:themeColor="text1"/>
                <w:sz w:val="18"/>
                <w:szCs w:val="18"/>
                <w:vertAlign w:val="superscript"/>
                <w:lang w:val="en-US"/>
              </w:rPr>
              <w:t>c</w:t>
            </w:r>
          </w:p>
        </w:tc>
      </w:tr>
      <w:tr w:rsidR="00175578" w:rsidRPr="00202D84" w14:paraId="0BC7B86D" w14:textId="77777777" w:rsidTr="00933753">
        <w:trPr>
          <w:trHeight w:val="646"/>
        </w:trPr>
        <w:tc>
          <w:tcPr>
            <w:tcW w:w="3142" w:type="dxa"/>
            <w:tcBorders>
              <w:top w:val="nil"/>
              <w:left w:val="nil"/>
              <w:bottom w:val="single" w:sz="4" w:space="0" w:color="auto"/>
              <w:right w:val="nil"/>
            </w:tcBorders>
            <w:vAlign w:val="center"/>
          </w:tcPr>
          <w:p w14:paraId="7625BF1A" w14:textId="77777777" w:rsidR="00A273BC" w:rsidRPr="00202D84" w:rsidRDefault="00A273BC" w:rsidP="00965093">
            <w:pPr>
              <w:rPr>
                <w:rFonts w:ascii="Arial" w:hAnsi="Arial" w:cs="Arial"/>
                <w:color w:val="000000" w:themeColor="text1"/>
                <w:sz w:val="18"/>
                <w:szCs w:val="18"/>
              </w:rPr>
            </w:pPr>
            <w:r w:rsidRPr="00202D84">
              <w:rPr>
                <w:rFonts w:ascii="Arial" w:hAnsi="Arial" w:cs="Arial"/>
                <w:color w:val="000000" w:themeColor="text1"/>
                <w:sz w:val="18"/>
                <w:szCs w:val="18"/>
              </w:rPr>
              <w:t xml:space="preserve">Condensed tannins </w:t>
            </w:r>
            <w:r w:rsidR="00695A5E" w:rsidRPr="00202D84">
              <w:rPr>
                <w:rFonts w:ascii="Arial" w:hAnsi="Arial" w:cs="Arial"/>
                <w:color w:val="000000" w:themeColor="text1"/>
                <w:sz w:val="18"/>
                <w:szCs w:val="18"/>
              </w:rPr>
              <w:t>(mg CE</w:t>
            </w:r>
            <w:r w:rsidRPr="00202D84">
              <w:rPr>
                <w:rFonts w:ascii="Arial" w:hAnsi="Arial" w:cs="Arial"/>
                <w:color w:val="000000" w:themeColor="text1"/>
                <w:sz w:val="18"/>
                <w:szCs w:val="18"/>
              </w:rPr>
              <w:t>/g</w:t>
            </w:r>
            <w:r w:rsidR="00767B9A" w:rsidRPr="00202D84">
              <w:rPr>
                <w:rFonts w:ascii="Arial" w:hAnsi="Arial" w:cs="Arial"/>
                <w:color w:val="000000" w:themeColor="text1"/>
                <w:sz w:val="18"/>
                <w:szCs w:val="18"/>
              </w:rPr>
              <w:t xml:space="preserve"> DM</w:t>
            </w:r>
            <w:r w:rsidRPr="00202D84">
              <w:rPr>
                <w:rFonts w:ascii="Arial" w:hAnsi="Arial" w:cs="Arial"/>
                <w:color w:val="000000" w:themeColor="text1"/>
                <w:sz w:val="18"/>
                <w:szCs w:val="18"/>
              </w:rPr>
              <w:t>)</w:t>
            </w:r>
          </w:p>
        </w:tc>
        <w:tc>
          <w:tcPr>
            <w:tcW w:w="1428" w:type="dxa"/>
            <w:tcBorders>
              <w:top w:val="nil"/>
              <w:left w:val="nil"/>
              <w:bottom w:val="single" w:sz="4" w:space="0" w:color="auto"/>
              <w:right w:val="nil"/>
            </w:tcBorders>
            <w:vAlign w:val="center"/>
          </w:tcPr>
          <w:p w14:paraId="212148A6"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25.10 ± 1.05</w:t>
            </w:r>
            <w:r w:rsidRPr="00202D84">
              <w:rPr>
                <w:rFonts w:ascii="Arial" w:hAnsi="Arial" w:cs="Arial"/>
                <w:color w:val="000000" w:themeColor="text1"/>
                <w:sz w:val="18"/>
                <w:szCs w:val="18"/>
                <w:vertAlign w:val="superscript"/>
                <w:lang w:val="en-US"/>
              </w:rPr>
              <w:t>c</w:t>
            </w:r>
          </w:p>
        </w:tc>
        <w:tc>
          <w:tcPr>
            <w:tcW w:w="1666" w:type="dxa"/>
            <w:tcBorders>
              <w:top w:val="nil"/>
              <w:left w:val="nil"/>
              <w:bottom w:val="single" w:sz="4" w:space="0" w:color="auto"/>
              <w:right w:val="nil"/>
            </w:tcBorders>
            <w:vAlign w:val="center"/>
          </w:tcPr>
          <w:p w14:paraId="14ECDA0E"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0.15 ± 0.02</w:t>
            </w:r>
            <w:r w:rsidRPr="00202D84">
              <w:rPr>
                <w:rFonts w:ascii="Arial" w:hAnsi="Arial" w:cs="Arial"/>
                <w:color w:val="000000" w:themeColor="text1"/>
                <w:sz w:val="18"/>
                <w:szCs w:val="18"/>
                <w:vertAlign w:val="superscript"/>
                <w:lang w:val="en-US"/>
              </w:rPr>
              <w:t>a</w:t>
            </w:r>
          </w:p>
        </w:tc>
        <w:tc>
          <w:tcPr>
            <w:tcW w:w="1585" w:type="dxa"/>
            <w:tcBorders>
              <w:top w:val="nil"/>
              <w:left w:val="nil"/>
              <w:bottom w:val="single" w:sz="4" w:space="0" w:color="auto"/>
              <w:right w:val="nil"/>
            </w:tcBorders>
            <w:vAlign w:val="center"/>
          </w:tcPr>
          <w:p w14:paraId="5D760514"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eastAsia="Times New Roman" w:hAnsi="Arial" w:cs="Arial"/>
                <w:color w:val="000000" w:themeColor="text1"/>
                <w:sz w:val="18"/>
                <w:szCs w:val="18"/>
                <w:lang w:val="en-US" w:eastAsia="fr-FR"/>
              </w:rPr>
              <w:t xml:space="preserve">0.17 </w:t>
            </w:r>
            <w:r w:rsidRPr="00202D84">
              <w:rPr>
                <w:rFonts w:ascii="Arial" w:hAnsi="Arial" w:cs="Arial"/>
                <w:color w:val="000000" w:themeColor="text1"/>
                <w:sz w:val="18"/>
                <w:szCs w:val="18"/>
                <w:lang w:val="en-US"/>
              </w:rPr>
              <w:t>± 0.01</w:t>
            </w:r>
            <w:r w:rsidRPr="00202D84">
              <w:rPr>
                <w:rFonts w:ascii="Arial" w:hAnsi="Arial" w:cs="Arial"/>
                <w:color w:val="000000" w:themeColor="text1"/>
                <w:sz w:val="18"/>
                <w:szCs w:val="18"/>
                <w:vertAlign w:val="superscript"/>
                <w:lang w:val="en-US"/>
              </w:rPr>
              <w:t>a</w:t>
            </w:r>
          </w:p>
        </w:tc>
        <w:tc>
          <w:tcPr>
            <w:tcW w:w="1535" w:type="dxa"/>
            <w:tcBorders>
              <w:top w:val="nil"/>
              <w:left w:val="nil"/>
              <w:bottom w:val="single" w:sz="4" w:space="0" w:color="auto"/>
              <w:right w:val="nil"/>
            </w:tcBorders>
            <w:vAlign w:val="center"/>
          </w:tcPr>
          <w:p w14:paraId="13ADC0BC" w14:textId="77777777" w:rsidR="00A273BC" w:rsidRPr="00202D84" w:rsidRDefault="00A273BC" w:rsidP="00965093">
            <w:pPr>
              <w:jc w:val="center"/>
              <w:rPr>
                <w:rFonts w:ascii="Arial" w:eastAsia="Times New Roman" w:hAnsi="Arial" w:cs="Arial"/>
                <w:color w:val="000000" w:themeColor="text1"/>
                <w:sz w:val="18"/>
                <w:szCs w:val="18"/>
                <w:vertAlign w:val="superscript"/>
                <w:lang w:val="en-US" w:eastAsia="fr-FR"/>
              </w:rPr>
            </w:pPr>
            <w:r w:rsidRPr="00202D84">
              <w:rPr>
                <w:rFonts w:ascii="Arial" w:hAnsi="Arial" w:cs="Arial"/>
                <w:color w:val="000000" w:themeColor="text1"/>
                <w:sz w:val="18"/>
                <w:szCs w:val="18"/>
                <w:lang w:val="en-US"/>
              </w:rPr>
              <w:t>0.30 ± 0.01</w:t>
            </w:r>
            <w:r w:rsidRPr="00202D84">
              <w:rPr>
                <w:rFonts w:ascii="Arial" w:hAnsi="Arial" w:cs="Arial"/>
                <w:color w:val="000000" w:themeColor="text1"/>
                <w:sz w:val="18"/>
                <w:szCs w:val="18"/>
                <w:vertAlign w:val="superscript"/>
                <w:lang w:val="en-US"/>
              </w:rPr>
              <w:t>b</w:t>
            </w:r>
          </w:p>
        </w:tc>
      </w:tr>
      <w:tr w:rsidR="00175578" w:rsidRPr="00885888" w14:paraId="41BE435D" w14:textId="77777777" w:rsidTr="007774E4">
        <w:trPr>
          <w:trHeight w:val="450"/>
        </w:trPr>
        <w:tc>
          <w:tcPr>
            <w:tcW w:w="9356" w:type="dxa"/>
            <w:gridSpan w:val="5"/>
            <w:tcBorders>
              <w:top w:val="single" w:sz="4" w:space="0" w:color="auto"/>
              <w:left w:val="nil"/>
              <w:bottom w:val="nil"/>
              <w:right w:val="nil"/>
            </w:tcBorders>
            <w:vAlign w:val="center"/>
          </w:tcPr>
          <w:p w14:paraId="07FAF60F" w14:textId="6F6114B6" w:rsidR="00A273BC" w:rsidRPr="00202D84" w:rsidRDefault="00A273BC" w:rsidP="0093786A">
            <w:pPr>
              <w:jc w:val="both"/>
              <w:rPr>
                <w:rFonts w:ascii="Arial" w:hAnsi="Arial" w:cs="Arial"/>
                <w:color w:val="000000" w:themeColor="text1"/>
                <w:sz w:val="18"/>
                <w:szCs w:val="18"/>
                <w:lang w:val="en-US"/>
              </w:rPr>
            </w:pPr>
            <w:proofErr w:type="spellStart"/>
            <w:r w:rsidRPr="00202D84">
              <w:rPr>
                <w:rFonts w:ascii="Arial" w:hAnsi="Arial" w:cs="Arial"/>
                <w:color w:val="000000" w:themeColor="text1"/>
                <w:sz w:val="18"/>
                <w:szCs w:val="18"/>
                <w:lang w:val="en-US"/>
              </w:rPr>
              <w:t>Mn</w:t>
            </w:r>
            <w:proofErr w:type="spellEnd"/>
            <w:r w:rsidRPr="00202D84">
              <w:rPr>
                <w:rFonts w:ascii="Arial" w:hAnsi="Arial" w:cs="Arial"/>
                <w:color w:val="000000" w:themeColor="text1"/>
                <w:sz w:val="18"/>
                <w:szCs w:val="18"/>
                <w:lang w:val="en-US"/>
              </w:rPr>
              <w:t xml:space="preserve"> ± </w:t>
            </w:r>
            <w:proofErr w:type="spellStart"/>
            <w:r w:rsidR="00C50244" w:rsidRPr="00202D84">
              <w:rPr>
                <w:rFonts w:ascii="Arial" w:hAnsi="Arial" w:cs="Arial"/>
                <w:color w:val="000000" w:themeColor="text1"/>
                <w:sz w:val="18"/>
                <w:szCs w:val="18"/>
                <w:lang w:val="en-US"/>
              </w:rPr>
              <w:t>Sd</w:t>
            </w:r>
            <w:proofErr w:type="spellEnd"/>
            <w:r w:rsidR="00C50244" w:rsidRPr="00202D84">
              <w:rPr>
                <w:rFonts w:ascii="Arial" w:hAnsi="Arial" w:cs="Arial"/>
                <w:color w:val="000000" w:themeColor="text1"/>
                <w:sz w:val="18"/>
                <w:szCs w:val="18"/>
                <w:lang w:val="en-US"/>
              </w:rPr>
              <w:t>:</w:t>
            </w:r>
            <w:r w:rsidRPr="00202D84">
              <w:rPr>
                <w:rFonts w:ascii="Arial" w:hAnsi="Arial" w:cs="Arial"/>
                <w:color w:val="000000" w:themeColor="text1"/>
                <w:sz w:val="18"/>
                <w:szCs w:val="18"/>
                <w:lang w:val="en-US"/>
              </w:rPr>
              <w:t xml:space="preserve"> Mean ± Standard </w:t>
            </w:r>
            <w:r w:rsidR="00C50244" w:rsidRPr="00202D84">
              <w:rPr>
                <w:rFonts w:ascii="Arial" w:hAnsi="Arial" w:cs="Arial"/>
                <w:color w:val="000000" w:themeColor="text1"/>
                <w:sz w:val="18"/>
                <w:szCs w:val="18"/>
                <w:lang w:val="en-US"/>
              </w:rPr>
              <w:t>deviation;</w:t>
            </w:r>
            <w:r w:rsidRPr="00202D84">
              <w:rPr>
                <w:rFonts w:ascii="Arial" w:hAnsi="Arial" w:cs="Arial"/>
                <w:color w:val="000000" w:themeColor="text1"/>
                <w:sz w:val="18"/>
                <w:szCs w:val="18"/>
                <w:lang w:val="en-US"/>
              </w:rPr>
              <w:t xml:space="preserve"> Means affected to the different superscript letters for each line indicate a significant difference at P </w:t>
            </w:r>
            <w:r w:rsidR="0018782C" w:rsidRPr="00202D84">
              <w:rPr>
                <w:rFonts w:ascii="Arial" w:hAnsi="Arial" w:cs="Arial"/>
                <w:color w:val="000000" w:themeColor="text1"/>
                <w:sz w:val="18"/>
                <w:szCs w:val="18"/>
                <w:lang w:val="en-US"/>
              </w:rPr>
              <w:t>&lt;</w:t>
            </w:r>
            <w:r w:rsidRPr="00202D84">
              <w:rPr>
                <w:rFonts w:ascii="Arial" w:hAnsi="Arial" w:cs="Arial"/>
                <w:color w:val="000000" w:themeColor="text1"/>
                <w:sz w:val="18"/>
                <w:szCs w:val="18"/>
                <w:lang w:val="en-US"/>
              </w:rPr>
              <w:t xml:space="preserve"> .05</w:t>
            </w:r>
          </w:p>
        </w:tc>
      </w:tr>
    </w:tbl>
    <w:p w14:paraId="4EE95FC7" w14:textId="77777777" w:rsidR="00202FD1" w:rsidRDefault="00202FD1" w:rsidP="00202FD1">
      <w:pPr>
        <w:pStyle w:val="Paragraphedeliste"/>
        <w:spacing w:after="0" w:line="480" w:lineRule="auto"/>
        <w:jc w:val="both"/>
        <w:rPr>
          <w:rFonts w:ascii="Times New Roman" w:hAnsi="Times New Roman" w:cs="Times New Roman"/>
          <w:b/>
          <w:color w:val="000000" w:themeColor="text1"/>
          <w:szCs w:val="24"/>
          <w:lang w:val="en-US"/>
        </w:rPr>
      </w:pPr>
    </w:p>
    <w:p w14:paraId="3B2B1D2E" w14:textId="6F0932A9" w:rsidR="00967CD9" w:rsidRPr="005250A4" w:rsidRDefault="00F767DB" w:rsidP="0020641D">
      <w:pPr>
        <w:pStyle w:val="Paragraphedeliste"/>
        <w:numPr>
          <w:ilvl w:val="2"/>
          <w:numId w:val="7"/>
        </w:numPr>
        <w:spacing w:after="0" w:line="480" w:lineRule="auto"/>
        <w:jc w:val="both"/>
        <w:rPr>
          <w:rStyle w:val="fontstyle01"/>
          <w:rFonts w:ascii="Arial" w:hAnsi="Arial" w:cs="Arial"/>
          <w:b/>
          <w:color w:val="000000" w:themeColor="text1"/>
          <w:sz w:val="20"/>
          <w:szCs w:val="22"/>
          <w:lang w:val="en-US"/>
        </w:rPr>
      </w:pPr>
      <w:r w:rsidRPr="005250A4">
        <w:rPr>
          <w:rFonts w:ascii="Arial" w:hAnsi="Arial" w:cs="Arial"/>
          <w:b/>
          <w:color w:val="000000" w:themeColor="text1"/>
          <w:sz w:val="20"/>
          <w:lang w:val="en-US"/>
        </w:rPr>
        <w:t>A</w:t>
      </w:r>
      <w:r w:rsidR="00453D4E" w:rsidRPr="005250A4">
        <w:rPr>
          <w:rStyle w:val="fontstyle01"/>
          <w:rFonts w:ascii="Arial" w:hAnsi="Arial" w:cs="Arial"/>
          <w:b/>
          <w:color w:val="000000" w:themeColor="text1"/>
          <w:sz w:val="20"/>
          <w:szCs w:val="22"/>
          <w:lang w:val="en-US"/>
        </w:rPr>
        <w:t>ntioxidant activity</w:t>
      </w:r>
      <w:r w:rsidR="00B17ABC" w:rsidRPr="005250A4">
        <w:rPr>
          <w:rStyle w:val="fontstyle01"/>
          <w:rFonts w:ascii="Arial" w:hAnsi="Arial" w:cs="Arial"/>
          <w:b/>
          <w:color w:val="000000" w:themeColor="text1"/>
          <w:sz w:val="20"/>
          <w:szCs w:val="22"/>
          <w:lang w:val="en-US"/>
        </w:rPr>
        <w:t xml:space="preserve"> </w:t>
      </w:r>
    </w:p>
    <w:p w14:paraId="000B31C0" w14:textId="2342E82B" w:rsidR="00FA557E" w:rsidRPr="005250A4" w:rsidRDefault="00FA557E" w:rsidP="002279E9">
      <w:pPr>
        <w:spacing w:after="0" w:line="360" w:lineRule="auto"/>
        <w:jc w:val="both"/>
        <w:rPr>
          <w:rFonts w:ascii="Arial" w:hAnsi="Arial" w:cs="Arial"/>
          <w:color w:val="000000" w:themeColor="text1"/>
          <w:sz w:val="20"/>
          <w:szCs w:val="20"/>
          <w:lang w:val="en-US"/>
        </w:rPr>
      </w:pPr>
      <w:r w:rsidRPr="005250A4">
        <w:rPr>
          <w:rStyle w:val="lev"/>
          <w:rFonts w:ascii="Arial" w:hAnsi="Arial" w:cs="Arial"/>
          <w:b w:val="0"/>
          <w:color w:val="000000" w:themeColor="text1"/>
          <w:sz w:val="20"/>
          <w:szCs w:val="20"/>
          <w:lang w:val="en-US"/>
        </w:rPr>
        <w:t>Antioxidants</w:t>
      </w:r>
      <w:r w:rsidRPr="005250A4">
        <w:rPr>
          <w:rFonts w:ascii="Arial" w:hAnsi="Arial" w:cs="Arial"/>
          <w:color w:val="000000" w:themeColor="text1"/>
          <w:sz w:val="20"/>
          <w:szCs w:val="20"/>
          <w:lang w:val="en-US"/>
        </w:rPr>
        <w:t xml:space="preserve"> are molecules capable of inhibiting the oxidation of other molecules. In the context of food, an antioxidant is defined as any substance that, when present at a low concentration relative to that of an </w:t>
      </w:r>
      <w:proofErr w:type="spellStart"/>
      <w:r w:rsidRPr="005250A4">
        <w:rPr>
          <w:rFonts w:ascii="Arial" w:hAnsi="Arial" w:cs="Arial"/>
          <w:color w:val="000000" w:themeColor="text1"/>
          <w:sz w:val="20"/>
          <w:szCs w:val="20"/>
          <w:lang w:val="en-US"/>
        </w:rPr>
        <w:t>oxidizable</w:t>
      </w:r>
      <w:proofErr w:type="spellEnd"/>
      <w:r w:rsidRPr="005250A4">
        <w:rPr>
          <w:rFonts w:ascii="Arial" w:hAnsi="Arial" w:cs="Arial"/>
          <w:color w:val="000000" w:themeColor="text1"/>
          <w:sz w:val="20"/>
          <w:szCs w:val="20"/>
          <w:lang w:val="en-US"/>
        </w:rPr>
        <w:t xml:space="preserve"> substrate, significantly delays or inhibits the oxidation of that substrate. Antioxidant compounds can neutralize free radicals, including reactive oxygen species (</w:t>
      </w:r>
      <m:oMath>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superoxide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hydroxyl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peroxyl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alkoxyl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and nitric oxide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By slowing the process of lipid perox</w:t>
      </w:r>
      <w:proofErr w:type="spellStart"/>
      <w:r w:rsidRPr="005250A4">
        <w:rPr>
          <w:rFonts w:ascii="Arial" w:hAnsi="Arial" w:cs="Arial"/>
          <w:color w:val="000000" w:themeColor="text1"/>
          <w:sz w:val="20"/>
          <w:szCs w:val="20"/>
          <w:lang w:val="en-US"/>
        </w:rPr>
        <w:t>idation</w:t>
      </w:r>
      <w:proofErr w:type="spellEnd"/>
      <w:r w:rsidRPr="005250A4">
        <w:rPr>
          <w:rFonts w:ascii="Arial" w:hAnsi="Arial" w:cs="Arial"/>
          <w:color w:val="000000" w:themeColor="text1"/>
          <w:sz w:val="20"/>
          <w:szCs w:val="20"/>
          <w:lang w:val="en-US"/>
        </w:rPr>
        <w:t xml:space="preserve">, which is a major cause of deterioration in food and pharmaceutical products during processing and storage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{"citationItems":[{"id":"ITEM-1","itemData":{"DOI":"10.1007/s00204-011-0774-2","ISSN":"03405761","PMID":"22102161","abstract":"Recently, there has been growing interest in research into the role of plant-derived antioxidants in food and human health. The beneficial influence of many foodstuffs and beverages including fruits, vegetables, tea, coffee, and cacao on human health has been recently recognized to originate from their antioxidant activity. For this purpose, the most commonly methods used in vitro determination of antioxidant capacity of food constituents are reviewed and presented. Also, the general chemistry underlying the assays in the present paper was clarified. Hence, this overview provides a basis and rationale for developing standardized antioxidant capacity methods for the food, nutraceutical, and dietary supplement industries. In addition, the most important advantages and shortcomings of each method were detected and highlighted. The chemical principles of these methods are outlined and critically discussed. The chemical principles of methods of 2,2′-azinobis- (3-ethylbenzothiazoline-6-sulphonate) radical (ABTS •+) scavenging, 1,1-diphenyl-2-picrylhydrazyl (DPPH •) radical scavenging, Fe 3+-Fe 2+ transformation assay, ferric reducing antioxidant power (FRAP) assay, cupric ions (Cu 2+) reducing power assay (Cuprac), Folin-Ciocalteu reducing capacity (FCR assay), peroxyl radical scavenging, superoxide anion radical (O 2•- ) scavenging, hydrogen peroxide (H 2O 2) scavenging, hydroxyl radical (OH •) scavenging, singlet oxygen ( 1O 2) quenching assay and nitric oxide radical (NO •) scavenging assay are outlined and critically discussed. Also, the general antioxidant aspects of main food components were discussed by a number of methods which are currently used for detection of antioxidant properties food components. This review consists of two main sections. The first section is devoted to main components in the foodstuffs and beverages. The second general section is some definitions of the main antioxidant methods commonly used for determination of antioxidant activity of components in the foodstuffs and beverages. In addition, there are given some chemical and kinetic basis and technical details of the used methods. © 2011 Springer-Verlag.","author":[{"dropping-particle":"","family":"Gülçin","given":"Ilhami","non-dropping-particle":"","parse-names":false,"suffix":""}],"container-title":"Archives of Toxicology","id":"ITEM-1","issue":"3","issued":{"date-parts":[["2012"]]},"page":"345-391","title":"Antioxidant activity of food constituents: An overview","type":"article-journal","volume":"86"},"uris":["http://www.mendeley.com/documents/?uuid=dc149c1c-a4d6-47cf-9c5f-d7c1ed353ef1"]}],"mendeley":{"formattedCitation":"(Gülçin, 2012)","plainTextFormattedCitation":"(Gülçin, 2012)","previouslyFormattedCitation":"(Gülçin,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these antioxidant compounds can extend shelf life. Additionally, incorporating these antioxidants into the diet may help combat various chronic diseases, such as obesity, diabetes, and cardiovascular conditions. Given their central role in the diet of populations, the leaves and fruits of the two studied plants</w:t>
      </w:r>
      <w:r w:rsidR="007A60FB" w:rsidRPr="005250A4">
        <w:rPr>
          <w:rFonts w:ascii="Arial" w:hAnsi="Arial" w:cs="Arial"/>
          <w:color w:val="000000" w:themeColor="text1"/>
          <w:sz w:val="20"/>
          <w:szCs w:val="20"/>
          <w:lang w:val="en-US"/>
        </w:rPr>
        <w:t xml:space="preserve"> (</w:t>
      </w:r>
      <w:r w:rsidR="007A60FB" w:rsidRPr="005250A4">
        <w:rPr>
          <w:rFonts w:ascii="Arial" w:hAnsi="Arial" w:cs="Arial"/>
          <w:i/>
          <w:color w:val="000000" w:themeColor="text1"/>
          <w:sz w:val="20"/>
          <w:szCs w:val="20"/>
          <w:lang w:val="en-US"/>
        </w:rPr>
        <w:t xml:space="preserve">C. </w:t>
      </w:r>
      <w:proofErr w:type="spellStart"/>
      <w:r w:rsidR="007A60FB" w:rsidRPr="005250A4">
        <w:rPr>
          <w:rFonts w:ascii="Arial" w:hAnsi="Arial" w:cs="Arial"/>
          <w:i/>
          <w:color w:val="000000" w:themeColor="text1"/>
          <w:sz w:val="20"/>
          <w:szCs w:val="20"/>
          <w:lang w:val="en-US"/>
        </w:rPr>
        <w:t>olitorius</w:t>
      </w:r>
      <w:proofErr w:type="spellEnd"/>
      <w:r w:rsidR="007A60FB" w:rsidRPr="005250A4">
        <w:rPr>
          <w:rFonts w:ascii="Arial" w:hAnsi="Arial" w:cs="Arial"/>
          <w:i/>
          <w:color w:val="000000" w:themeColor="text1"/>
          <w:sz w:val="20"/>
          <w:szCs w:val="20"/>
          <w:lang w:val="en-US"/>
        </w:rPr>
        <w:t xml:space="preserve"> </w:t>
      </w:r>
      <w:r w:rsidR="007A60FB" w:rsidRPr="005250A4">
        <w:rPr>
          <w:rFonts w:ascii="Arial" w:hAnsi="Arial" w:cs="Arial"/>
          <w:color w:val="000000" w:themeColor="text1"/>
          <w:sz w:val="20"/>
          <w:szCs w:val="20"/>
          <w:lang w:val="en-US"/>
        </w:rPr>
        <w:t>and</w:t>
      </w:r>
      <w:r w:rsidR="007A60FB" w:rsidRPr="005250A4">
        <w:rPr>
          <w:rFonts w:ascii="Arial" w:hAnsi="Arial" w:cs="Arial"/>
          <w:i/>
          <w:color w:val="000000" w:themeColor="text1"/>
          <w:sz w:val="20"/>
          <w:szCs w:val="20"/>
          <w:lang w:val="en-US"/>
        </w:rPr>
        <w:t xml:space="preserve"> A. </w:t>
      </w:r>
      <w:proofErr w:type="spellStart"/>
      <w:r w:rsidR="007A60FB" w:rsidRPr="005250A4">
        <w:rPr>
          <w:rFonts w:ascii="Arial" w:hAnsi="Arial" w:cs="Arial"/>
          <w:i/>
          <w:color w:val="000000" w:themeColor="text1"/>
          <w:sz w:val="20"/>
          <w:szCs w:val="20"/>
          <w:lang w:val="en-US"/>
        </w:rPr>
        <w:t>esculentus</w:t>
      </w:r>
      <w:proofErr w:type="spellEnd"/>
      <w:r w:rsidR="007A60FB"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are likely to be rich sources of antioxidant compounds.</w:t>
      </w:r>
    </w:p>
    <w:p w14:paraId="48804387" w14:textId="14EEA347" w:rsidR="00FA557E" w:rsidRPr="005250A4" w:rsidRDefault="00FA557E" w:rsidP="00FA557E">
      <w:pPr>
        <w:pStyle w:val="NormalWeb"/>
        <w:spacing w:line="360" w:lineRule="auto"/>
        <w:rPr>
          <w:rFonts w:ascii="Arial" w:hAnsi="Arial" w:cs="Arial"/>
          <w:color w:val="000000" w:themeColor="text1"/>
          <w:sz w:val="20"/>
          <w:szCs w:val="20"/>
          <w:lang w:val="en-US"/>
        </w:rPr>
      </w:pPr>
      <w:r w:rsidRPr="005250A4">
        <w:rPr>
          <w:rStyle w:val="lev"/>
          <w:rFonts w:ascii="Arial" w:hAnsi="Arial" w:cs="Arial"/>
          <w:b w:val="0"/>
          <w:color w:val="000000" w:themeColor="text1"/>
          <w:sz w:val="20"/>
          <w:szCs w:val="20"/>
          <w:lang w:val="en-US"/>
        </w:rPr>
        <w:t>Fig</w:t>
      </w:r>
      <w:r w:rsidR="00761298" w:rsidRPr="005250A4">
        <w:rPr>
          <w:rStyle w:val="lev"/>
          <w:rFonts w:ascii="Arial" w:hAnsi="Arial" w:cs="Arial"/>
          <w:b w:val="0"/>
          <w:color w:val="000000" w:themeColor="text1"/>
          <w:sz w:val="20"/>
          <w:szCs w:val="20"/>
          <w:lang w:val="en-US"/>
        </w:rPr>
        <w:t>.</w:t>
      </w:r>
      <w:r w:rsidRPr="005250A4">
        <w:rPr>
          <w:rStyle w:val="lev"/>
          <w:rFonts w:ascii="Arial" w:hAnsi="Arial" w:cs="Arial"/>
          <w:b w:val="0"/>
          <w:color w:val="000000" w:themeColor="text1"/>
          <w:sz w:val="20"/>
          <w:szCs w:val="20"/>
          <w:lang w:val="en-US"/>
        </w:rPr>
        <w:t xml:space="preserve"> 1</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illustrates that the powders derived from the leaves and fruits of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exhibit</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depending on the studied organ</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 xml:space="preserve">The </w:t>
      </w:r>
      <w:r w:rsidRPr="005250A4">
        <w:rPr>
          <w:rStyle w:val="lev"/>
          <w:rFonts w:ascii="Arial" w:hAnsi="Arial" w:cs="Arial"/>
          <w:b w:val="0"/>
          <w:color w:val="000000" w:themeColor="text1"/>
          <w:sz w:val="20"/>
          <w:szCs w:val="20"/>
          <w:lang w:val="en-US"/>
        </w:rPr>
        <w:t>inhibitory concentrations (IC</w:t>
      </w:r>
      <w:r w:rsidRPr="005250A4">
        <w:rPr>
          <w:rStyle w:val="lev"/>
          <w:rFonts w:ascii="Arial" w:hAnsi="Arial" w:cs="Arial"/>
          <w:b w:val="0"/>
          <w:color w:val="000000" w:themeColor="text1"/>
          <w:sz w:val="20"/>
          <w:szCs w:val="20"/>
          <w:vertAlign w:val="subscript"/>
          <w:lang w:val="en-US"/>
        </w:rPr>
        <w:t>50</w:t>
      </w:r>
      <w:r w:rsidRPr="005250A4">
        <w:rPr>
          <w:rStyle w:val="lev"/>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C50244"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lastRenderedPageBreak/>
        <w:t>as follows:</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18.06 ± 1.04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16.17 ± 1.35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ABTS, and</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22.52 ± 1.15 µg/ml</w:t>
      </w:r>
      <w:r w:rsidRPr="005250A4">
        <w:rPr>
          <w:rFonts w:ascii="Arial" w:hAnsi="Arial" w:cs="Arial"/>
          <w:color w:val="000000" w:themeColor="text1"/>
          <w:sz w:val="20"/>
          <w:szCs w:val="20"/>
          <w:lang w:val="en-US"/>
        </w:rPr>
        <w:t xml:space="preserve"> for FRAP. Notably, the leaves of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display</w:t>
      </w:r>
      <w:r w:rsidR="00C50244" w:rsidRPr="005250A4">
        <w:rPr>
          <w:rFonts w:ascii="Arial" w:hAnsi="Arial" w:cs="Arial"/>
          <w:color w:val="000000" w:themeColor="text1"/>
          <w:sz w:val="20"/>
          <w:szCs w:val="20"/>
          <w:lang w:val="en-US"/>
        </w:rPr>
        <w:t>ed</w:t>
      </w:r>
      <w:r w:rsidRPr="005250A4">
        <w:rPr>
          <w:rFonts w:ascii="Arial" w:hAnsi="Arial" w:cs="Arial"/>
          <w:color w:val="000000" w:themeColor="text1"/>
          <w:sz w:val="20"/>
          <w:szCs w:val="20"/>
          <w:lang w:val="en-US"/>
        </w:rPr>
        <w:t xml:space="preserve"> the most substantial antioxidant activities for DPPH (18.06 ± 1.04 µg/ml), ABTS (16.17 ± 1.35 µg/ml), and FRAP (22.52 ± 1.15 µg/ml), closely approaching those of the standard, which is vitamin C (8.92 ± 0.66 µg/ml for DPPH, 2.72 ± 0.80 µg/ml for ABTS, and 13.94 ± 0.70 µg/ml for FRAP). However, the inhibitory concentrations of </w:t>
      </w:r>
      <w:r w:rsidR="00C50244" w:rsidRPr="005250A4">
        <w:rPr>
          <w:rFonts w:ascii="Arial" w:hAnsi="Arial" w:cs="Arial"/>
          <w:color w:val="000000" w:themeColor="text1"/>
          <w:sz w:val="20"/>
          <w:szCs w:val="20"/>
          <w:lang w:val="en-US"/>
        </w:rPr>
        <w:t xml:space="preserve">the </w:t>
      </w:r>
      <w:r w:rsidRPr="005250A4">
        <w:rPr>
          <w:rFonts w:ascii="Arial" w:hAnsi="Arial" w:cs="Arial"/>
          <w:color w:val="000000" w:themeColor="text1"/>
          <w:sz w:val="20"/>
          <w:szCs w:val="20"/>
          <w:lang w:val="en-US"/>
        </w:rPr>
        <w:t xml:space="preserve">leaf </w:t>
      </w:r>
      <w:r w:rsidR="00202D84" w:rsidRPr="005250A4">
        <w:rPr>
          <w:rFonts w:ascii="Arial" w:hAnsi="Arial" w:cs="Arial"/>
          <w:color w:val="000000" w:themeColor="text1"/>
          <w:sz w:val="20"/>
          <w:szCs w:val="20"/>
          <w:lang w:val="en-US"/>
        </w:rPr>
        <w:t>extract</w:t>
      </w:r>
      <w:r w:rsidRPr="005250A4">
        <w:rPr>
          <w:rFonts w:ascii="Arial" w:hAnsi="Arial" w:cs="Arial"/>
          <w:color w:val="000000" w:themeColor="text1"/>
          <w:sz w:val="20"/>
          <w:szCs w:val="20"/>
          <w:lang w:val="en-US"/>
        </w:rPr>
        <w:t xml:space="preserve"> responsible for the highest DPPH and ABTS antioxidant activities d</w:t>
      </w:r>
      <w:r w:rsidR="00C50244" w:rsidRPr="005250A4">
        <w:rPr>
          <w:rFonts w:ascii="Arial" w:hAnsi="Arial" w:cs="Arial"/>
          <w:color w:val="000000" w:themeColor="text1"/>
          <w:sz w:val="20"/>
          <w:szCs w:val="20"/>
          <w:lang w:val="en-US"/>
        </w:rPr>
        <w:t>id</w:t>
      </w:r>
      <w:r w:rsidRPr="005250A4">
        <w:rPr>
          <w:rFonts w:ascii="Arial" w:hAnsi="Arial" w:cs="Arial"/>
          <w:color w:val="000000" w:themeColor="text1"/>
          <w:sz w:val="20"/>
          <w:szCs w:val="20"/>
          <w:lang w:val="en-US"/>
        </w:rPr>
        <w:t xml:space="preserve"> not exhibit significant differences. These IC</w:t>
      </w:r>
      <w:r w:rsidRPr="005250A4">
        <w:rPr>
          <w:rFonts w:ascii="Arial" w:hAnsi="Arial" w:cs="Arial"/>
          <w:color w:val="000000" w:themeColor="text1"/>
          <w:sz w:val="20"/>
          <w:szCs w:val="20"/>
          <w:vertAlign w:val="subscript"/>
          <w:lang w:val="en-US"/>
        </w:rPr>
        <w:t>50</w:t>
      </w:r>
      <w:r w:rsidR="007234F0" w:rsidRPr="005250A4">
        <w:rPr>
          <w:rFonts w:ascii="Arial" w:hAnsi="Arial" w:cs="Arial"/>
          <w:color w:val="000000" w:themeColor="text1"/>
          <w:sz w:val="20"/>
          <w:szCs w:val="20"/>
          <w:lang w:val="en-US"/>
        </w:rPr>
        <w:t xml:space="preserve"> values are higher</w:t>
      </w:r>
      <w:r w:rsidRPr="005250A4">
        <w:rPr>
          <w:rFonts w:ascii="Arial" w:hAnsi="Arial" w:cs="Arial"/>
          <w:color w:val="000000" w:themeColor="text1"/>
          <w:sz w:val="20"/>
          <w:szCs w:val="20"/>
          <w:lang w:val="en-US"/>
        </w:rPr>
        <w:t xml:space="preserve"> </w:t>
      </w:r>
      <w:r w:rsidR="00C50244" w:rsidRPr="005250A4">
        <w:rPr>
          <w:rFonts w:ascii="Arial" w:hAnsi="Arial" w:cs="Arial"/>
          <w:color w:val="000000" w:themeColor="text1"/>
          <w:sz w:val="20"/>
          <w:szCs w:val="20"/>
          <w:lang w:val="en-US"/>
        </w:rPr>
        <w:t xml:space="preserve">than </w:t>
      </w:r>
      <w:r w:rsidRPr="005250A4">
        <w:rPr>
          <w:rFonts w:ascii="Arial" w:hAnsi="Arial" w:cs="Arial"/>
          <w:color w:val="000000" w:themeColor="text1"/>
          <w:sz w:val="20"/>
          <w:szCs w:val="20"/>
          <w:lang w:val="en-US"/>
        </w:rPr>
        <w:t>th</w:t>
      </w:r>
      <w:r w:rsidR="00A43AD8" w:rsidRPr="005250A4">
        <w:rPr>
          <w:rFonts w:ascii="Arial" w:hAnsi="Arial" w:cs="Arial"/>
          <w:color w:val="000000" w:themeColor="text1"/>
          <w:sz w:val="20"/>
          <w:szCs w:val="20"/>
          <w:lang w:val="en-US"/>
        </w:rPr>
        <w:t xml:space="preserve">ose </w:t>
      </w:r>
      <w:r w:rsidRPr="005250A4">
        <w:rPr>
          <w:rFonts w:ascii="Arial" w:hAnsi="Arial" w:cs="Arial"/>
          <w:color w:val="000000" w:themeColor="text1"/>
          <w:sz w:val="20"/>
          <w:szCs w:val="20"/>
          <w:lang w:val="en-US"/>
        </w:rPr>
        <w:t>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{"citationItems":[{"id":"ITEM-1","itemData":{"DOI":"10.22159/ijcpr.2017v9i5.22138","abstract":"Objective: The present study was carried out to evaluate the in vitro preliminary phytochemical analysis and antioxidant activity of methanolic leaf extracts of Corchorus olitorius L. The in vitro antioxidant activity was evaluated by DPPH radical scavenging activity method.Methods: Fresh jute leaves (immature, mature and senescence) were collected, air dried and the crude powder was prepared for phytochemical and antioxidant analysis. The powder was mixed with 70% methanol and the supernatant was separated. The antioxidant activity of this methanolic extract was measured on the basis of the scavenging activity of the stable 1, 1-diphenyl 2-picrylhydrazyl (DPPH) free radical with slight modifications. Phytochemical analysis was performed according to standard laboratory protocol.Results: The results indicated the presence of different phytochemicals viz. glycosides, steroids, cholesterol, alkaloids, phenols, flavonoids, riboflavin, saponins and terpenoids. The sample also showed antioxidant activity by inhibiting DPPH radical. The significant antioxidant activity of methanolic leaf extract of might be due to the presence of saponins, phenols, flavonoids and alkaloids found in the preliminary phytochemical analysis.Conclusion: Present study reveals that the jute leaf possesses different phytonutrients and exhibited DPPH radical scavenging activity, and therefore, may be used for therapeutic purposes.","author":[{"dropping-particle":"","family":"Sadat","given":"Abdul","non-dropping-particle":"","parse-names":false,"suffix":""},{"dropping-particle":"","family":"Hore","given":"Mayukh","non-dropping-particle":"","parse-names":false,"suffix":""},{"dropping-particle":"","family":"Chakraborty","given":"Kaushik","non-dropping-particle":"","parse-names":false,"suffix":""},{"dropping-particle":"","family":"Roy","given":"Subhrajyoti","non-dropping-particle":"","parse-names":false,"suffix":""}],"container-title":"International Journal of Current Pharmaceutical Research","id":"ITEM-1","issue":"5","issued":{"date-parts":[["2017"]]},"page":"59-63","title":"Phytochemical Analysis and Antioxidant Activity of Methanolic Extract of Leaves of Corchorus Olitorius","type":"article-journal","volume":"9"},"uris":["http://www.mendeley.com/documents/?uuid=9b5a8679-4129-486d-bf1f-6cab42f76094"]}],"mendeley":{"formattedCitation":"(Sadat et al., 2017)","manualFormatting":"Sadat et al. 2017)","plainTextFormattedCitation":"(Sadat et al., 2017)","previouslyFormattedCitation":"(Sadat et al.,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Sadat et al.</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(75.41 µg/ml for DPPH) an</w:t>
      </w:r>
      <w:r w:rsidR="00535C77">
        <w:rPr>
          <w:rFonts w:ascii="Arial" w:hAnsi="Arial" w:cs="Arial"/>
          <w:color w:val="000000" w:themeColor="text1"/>
          <w:sz w:val="20"/>
          <w:szCs w:val="20"/>
          <w:lang w:val="en-US"/>
        </w:rPr>
        <w:t>d</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{"citationItems":[{"id":"ITEM-1","itemData":{"DOI":"10.1016/j.indcrop.2018.03.047","ISSN":"09266690","abstract":"Tossa jute (Corchorus olitorius L.) is one of the Tunisian plants, traditionally used as a medicinal herb. The purpose of this study was to analyze the antioxidant and antibacterial activities, and phenolic profiles of C. olitorius L extracts. The effects of various solvents (ethanol, 50/50 ethanol/water and water) on the phenolic profile of C. olitorius leaf and their corresponding biological activity were studied. The results showed that ethanol appeared the most effective solvent for polyphenols and flavonoids’ extraction, as confirmed by the LC–MS analysis. In fact, the ethanolic extract (EE) showed the highest content of phenolic acid and flavonoid compounds. The major identified compounds were quinic acid, 4-O-caffeoylquinic acid, 3,4-di-O-caffeoyquinic acid, protocatchuic acid, caffeic acid, quercetin, and cirsiliol. Also, other phenolic compounds such as p-coumaric acid, trans-Ferulic acid, rosmarinic acid, naringenin, naringin, apegenin-7-O-glucoside, cirsilineol, and cirsiliol were detected in this extract. Results indicated that EE extraction exhibited higher antioxidant activities than the ethanol/aqueous extract (EAE) and aqueous extract (AE), in dose-dependent manner (p &lt; 0.05). At EE concentration of 500 μg/mL, the antioxidant activities were about 91.65 ± 0.15% against 1,1-diphenyl-2-picryl hydrazyl radical (DPPH) radicals, 70.24 ± 0.19% against lipid peroxidation and 86.19 ± 0.85% against β-carotene bleaching. The EE ferric reducing power (FRAP) reached a high absorbance of 2.0 ± 0.14 and displayed a protection role of DNA, at the same concentration. Antimicrobial test showed also that increasing concentrations of phenolic extracts increased the clear diameter zone around the tested bacteria and that EE exhibited the best antibacterial activity against Staphylocaccus aureus, Micrococcus luteus, Bacillus cereus, Escherichia coli, Klebsiella pneumoniae, Salmonella enterica, Salmonella typhi, and Enterobacter sp. The overall data suggested that EE might be used as a natural antioxidant and antimicrobial for functional foods.","author":[{"dropping-particle":"","family":"Yakoub","given":"Amira Racha","non-dropping-particle":"Ben","parse-names":false,"suffix":""},{"dropping-particle":"","family":"Abdehedi","given":"Ola","non-dropping-particle":"","parse-names":false,"suffix":""},{"dropping-particle":"","family":"Jridi","given":"Mourad","non-dropping-particle":"","parse-names":false,"suffix":""},{"dropping-particle":"","family":"Elfalleh","given":"Walid","non-dropping-particle":"","parse-names":false,"suffix":""},{"dropping-particle":"","family":"Nasri","given":"Moncef","non-dropping-particle":"","parse-names":false,"suffix":""},{"dropping-particle":"","family":"Ferchichi","given":"Ali","non-dropping-particle":"","parse-names":false,"suffix":""}],"container-title":"Industrial Crops and Products","id":"ITEM-1","issue":"March","issued":{"date-parts":[["2018"]]},"page":"206-213","title":"Flavonoids, phenols, antioxidant, and antimicrobial activities in various extracts from Tossa jute leave (Corchorus olitorius L.)","type":"article-journal","volume":"118"},"uris":["http://www.mendeley.com/documents/?uuid=aec6e7f1-ef0f-4fc0-a446-63e053eafcbc"]}],"mendeley":{"formattedCitation":"(Ben Yakoub et al., 2018)","manualFormatting":"Ben Yakoub et al. (2018)","plainTextFormattedCitation":"(Ben Yakoub et al., 2018)","previouslyFormattedCitation":"(Ben Yakoub et al., 2018)"},"properties":{"noteIndex":0},"schema":"https://github.com/citation-style-language/schema/raw/master/csl-citation.json"}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 xml:space="preserve">Ben Yakoub et al. </w:t>
      </w:r>
      <w:r w:rsidR="00535C77">
        <w:rPr>
          <w:rFonts w:ascii="Arial" w:hAnsi="Arial" w:cs="Arial"/>
          <w:noProof/>
          <w:color w:val="000000" w:themeColor="text1"/>
          <w:sz w:val="20"/>
          <w:szCs w:val="20"/>
          <w:lang w:val="en-US"/>
        </w:rPr>
        <w:t>(</w:t>
      </w:r>
      <w:r w:rsidR="00302617" w:rsidRPr="00302617">
        <w:rPr>
          <w:rFonts w:ascii="Arial" w:hAnsi="Arial" w:cs="Arial"/>
          <w:noProof/>
          <w:color w:val="000000" w:themeColor="text1"/>
          <w:sz w:val="20"/>
          <w:szCs w:val="20"/>
          <w:lang w:val="en-US"/>
        </w:rPr>
        <w:t>2018)</w:t>
      </w:r>
      <w:r w:rsidR="00202FD1" w:rsidRPr="005250A4">
        <w:rPr>
          <w:rFonts w:ascii="Arial" w:hAnsi="Arial" w:cs="Arial"/>
          <w:color w:val="000000" w:themeColor="text1"/>
          <w:sz w:val="20"/>
          <w:szCs w:val="20"/>
          <w:lang w:val="en-US"/>
        </w:rPr>
        <w:fldChar w:fldCharType="end"/>
      </w:r>
      <w:r w:rsidRPr="005250A4">
        <w:rPr>
          <w:rFonts w:ascii="Arial" w:hAnsi="Arial" w:cs="Arial"/>
          <w:color w:val="000000" w:themeColor="text1"/>
          <w:sz w:val="20"/>
          <w:szCs w:val="20"/>
          <w:lang w:val="en-US"/>
        </w:rPr>
        <w:t xml:space="preserve"> (500 µg/ml for FRAP) f</w:t>
      </w:r>
      <w:r w:rsidR="00A43AD8" w:rsidRPr="005250A4">
        <w:rPr>
          <w:rFonts w:ascii="Arial" w:hAnsi="Arial" w:cs="Arial"/>
          <w:color w:val="000000" w:themeColor="text1"/>
          <w:sz w:val="20"/>
          <w:szCs w:val="20"/>
          <w:lang w:val="en-US"/>
        </w:rPr>
        <w:t>or</w:t>
      </w:r>
      <w:r w:rsidRPr="005250A4">
        <w:rPr>
          <w:rFonts w:ascii="Arial" w:hAnsi="Arial" w:cs="Arial"/>
          <w:color w:val="000000" w:themeColor="text1"/>
          <w:sz w:val="20"/>
          <w:szCs w:val="20"/>
          <w:lang w:val="en-US"/>
        </w:rPr>
        <w:t xml:space="preserve"> ethanol extracts of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Furthermore, the</w:t>
      </w:r>
      <w:r w:rsidR="00A43AD8" w:rsidRPr="005250A4">
        <w:rPr>
          <w:rFonts w:ascii="Arial" w:hAnsi="Arial" w:cs="Arial"/>
          <w:color w:val="000000" w:themeColor="text1"/>
          <w:sz w:val="20"/>
          <w:szCs w:val="20"/>
          <w:lang w:val="en-US"/>
        </w:rPr>
        <w:t>se values</w:t>
      </w:r>
      <w:r w:rsidRPr="005250A4">
        <w:rPr>
          <w:rFonts w:ascii="Arial" w:hAnsi="Arial" w:cs="Arial"/>
          <w:color w:val="000000" w:themeColor="text1"/>
          <w:sz w:val="20"/>
          <w:szCs w:val="20"/>
          <w:lang w:val="en-US"/>
        </w:rPr>
        <w:t xml:space="preserve"> are lower than </w:t>
      </w:r>
      <w:r w:rsidR="00A43AD8" w:rsidRPr="005250A4">
        <w:rPr>
          <w:rFonts w:ascii="Arial" w:hAnsi="Arial" w:cs="Arial"/>
          <w:color w:val="000000" w:themeColor="text1"/>
          <w:sz w:val="20"/>
          <w:szCs w:val="20"/>
          <w:lang w:val="en-US"/>
        </w:rPr>
        <w:t xml:space="preserve">those of </w:t>
      </w:r>
      <w:r w:rsidRPr="005250A4">
        <w:rPr>
          <w:rFonts w:ascii="Arial" w:hAnsi="Arial" w:cs="Arial"/>
          <w:color w:val="000000" w:themeColor="text1"/>
          <w:sz w:val="20"/>
          <w:szCs w:val="20"/>
          <w:lang w:val="en-US"/>
        </w:rPr>
        <w:t xml:space="preserve">the </w:t>
      </w:r>
      <w:proofErr w:type="spellStart"/>
      <w:r w:rsidRPr="005250A4">
        <w:rPr>
          <w:rFonts w:ascii="Arial" w:hAnsi="Arial" w:cs="Arial"/>
          <w:color w:val="000000" w:themeColor="text1"/>
          <w:sz w:val="20"/>
          <w:szCs w:val="20"/>
          <w:lang w:val="en-US"/>
        </w:rPr>
        <w:t>methanolic</w:t>
      </w:r>
      <w:proofErr w:type="spellEnd"/>
      <w:r w:rsidRPr="005250A4">
        <w:rPr>
          <w:rFonts w:ascii="Arial" w:hAnsi="Arial" w:cs="Arial"/>
          <w:color w:val="000000" w:themeColor="text1"/>
          <w:sz w:val="20"/>
          <w:szCs w:val="20"/>
          <w:lang w:val="en-US"/>
        </w:rPr>
        <w:t xml:space="preserve"> leaf extracts of </w:t>
      </w:r>
      <w:r w:rsidRPr="005250A4">
        <w:rPr>
          <w:rStyle w:val="Accentuation"/>
          <w:rFonts w:ascii="Arial" w:hAnsi="Arial" w:cs="Arial"/>
          <w:color w:val="000000" w:themeColor="text1"/>
          <w:sz w:val="20"/>
          <w:szCs w:val="20"/>
          <w:lang w:val="en-US"/>
        </w:rPr>
        <w:t xml:space="preserve">M. </w:t>
      </w:r>
      <w:proofErr w:type="spellStart"/>
      <w:r w:rsidRPr="005250A4">
        <w:rPr>
          <w:rStyle w:val="Accentuation"/>
          <w:rFonts w:ascii="Arial" w:hAnsi="Arial" w:cs="Arial"/>
          <w:color w:val="000000" w:themeColor="text1"/>
          <w:sz w:val="20"/>
          <w:szCs w:val="20"/>
          <w:lang w:val="en-US"/>
        </w:rPr>
        <w:t>sericea</w:t>
      </w:r>
      <w:proofErr w:type="spellEnd"/>
      <w:r w:rsidRPr="005250A4">
        <w:rPr>
          <w:rFonts w:ascii="Arial" w:hAnsi="Arial" w:cs="Arial"/>
          <w:color w:val="000000" w:themeColor="text1"/>
          <w:sz w:val="20"/>
          <w:szCs w:val="20"/>
          <w:lang w:val="en-US"/>
        </w:rPr>
        <w:t xml:space="preserve"> (13.26 ± 0.39 </w:t>
      </w:r>
      <w:r w:rsidRPr="005250A4">
        <w:rPr>
          <w:rFonts w:ascii="Arial" w:hAnsi="Arial" w:cs="Arial"/>
          <w:color w:val="000000" w:themeColor="text1"/>
          <w:sz w:val="20"/>
          <w:szCs w:val="20"/>
        </w:rPr>
        <w:t>μ</w:t>
      </w:r>
      <w:r w:rsidRPr="005250A4">
        <w:rPr>
          <w:rFonts w:ascii="Arial" w:hAnsi="Arial" w:cs="Arial"/>
          <w:color w:val="000000" w:themeColor="text1"/>
          <w:sz w:val="20"/>
          <w:szCs w:val="20"/>
          <w:lang w:val="en-US"/>
        </w:rPr>
        <w:t>g/ml for ABTS) reported by</w:t>
      </w:r>
      <w:r w:rsidR="00202FD1" w:rsidRPr="005250A4">
        <w:rPr>
          <w:rFonts w:ascii="Arial" w:hAnsi="Arial" w:cs="Arial"/>
          <w:color w:val="000000" w:themeColor="text1"/>
          <w:sz w:val="20"/>
          <w:szCs w:val="20"/>
          <w:lang w:val="en-US"/>
        </w:rPr>
        <w:t xml:space="preserve"> </w:t>
      </w:r>
      <w:r w:rsidR="00202FD1" w:rsidRPr="005250A4">
        <w:rPr>
          <w:rFonts w:ascii="Arial" w:hAnsi="Arial" w:cs="Arial"/>
          <w:color w:val="000000" w:themeColor="text1"/>
          <w:sz w:val="20"/>
          <w:szCs w:val="20"/>
          <w:lang w:val="en-US"/>
        </w:rPr>
        <w:fldChar w:fldCharType="begin" w:fldLock="1"/>
      </w:r>
      <w:r w:rsidR="00E91D2D">
        <w:rPr>
          <w:rFonts w:ascii="Arial" w:hAnsi="Arial" w:cs="Arial"/>
          <w:color w:val="000000" w:themeColor="text1"/>
          <w:sz w:val="20"/>
          <w:szCs w:val="20"/>
          <w:lang w:val="en-US"/>
        </w:rPr>
        <w:instrText>ADDIN CSL_CITATION {"citationItems":[{"id":"ITEM-1","itemData":{"DOI":"10.5530/pj.2017.2.36","ISSN":"09753575","abstract":"Objectives: To evaluate the phytochemical composition and the antioxidant activity of aqueous-methanolic (20:80) leaves extract of Mundulea sericea Willd. Methods: The extract of leaves was tested for antioxidant activity using various in vitro models viz., 2,2-diphenyl-1-picrylhydrazyl (DPPH), nitric oxide, ABTS, ferric reducing antioxidant power (FRAP), total antioxidant activity and reducing power. The phytochemical composition (GC-MS and HPLC) along with total phenolic and flavonoid content of the extract at different concentrations were also determined. Results: Total phenolic and flavonoid contents were found to be equivalents to 107.86 ?} 0.53 μg of gallic acid and 44.53 ?} 0.156 μg of rutin /mg of dried hydro-methanolic methanolic extract, respectively. Among various antioxidant assays performed, maximum inhibition was observed for ABTS (IC50 13.26 ?} 0.396 μg) followed by DPPH (IC50 79.83 ?} 0.306 μg) and NO (IC50 6.35 ?} 0.23 μg/mL) assay. The GC-MS analysis revealed over 38 compounds; the prevailing compounds were Sec- Butyl ethyl sulfoxide and Di-methyl sulfoxonium formyl methylide. The RP-HPLC analysis further confirmed the presence of rutin, cinnamic acid and salicylic acid. Conclusion: The results of the present study demonstrated that Mundulea sericea leaves possess high phenolic with flavonoid contents and also revealed potential antioxidant activity so these leaves could be used as a viable source of natural antioxidants for industrial and pharmaceutical preparations.","author":[{"dropping-particle":"","family":"Khyade","given":"Mahendra Shivshankar","non-dropping-particle":"","parse-names":false,"suffix":""},{"dropping-particle":"","family":"Waman","given":"Mohan Baban","non-dropping-particle":"","parse-names":false,"suffix":""}],"container-title":"Pharmacognosy Journal","id":"ITEM-1","issue":"2","issued":{"date-parts":[["2017"]]},"page":"213-220","title":"Chemical profile and antioxidant properties of mundulea sericea","type":"article-journal","volume":"9"},"uris":["http://www.mendeley.com/documents/?uuid=8677e087-9619-4431-8303-28703fb511f8"]}],"mendeley":{"formattedCitation":"(Khyade &amp; Waman, 2017)","manualFormatting":"Khyade &amp; Waman (2017)","plainTextFormattedCitation":"(Khyade &amp; Waman, 2017)","previouslyFormattedCitation":"(Khyade &amp; Waman, 2017)"},"properties":{"noteIndex":0},"schema":"https://github.com/citation-style-language/schema/raw/master/csl-citation.json"}</w:instrText>
      </w:r>
      <w:r w:rsidR="00202FD1" w:rsidRPr="005250A4">
        <w:rPr>
          <w:rFonts w:ascii="Arial" w:hAnsi="Arial" w:cs="Arial"/>
          <w:color w:val="000000" w:themeColor="text1"/>
          <w:sz w:val="20"/>
          <w:szCs w:val="20"/>
          <w:lang w:val="en-US"/>
        </w:rPr>
        <w:fldChar w:fldCharType="separate"/>
      </w:r>
      <w:r w:rsidR="00302617" w:rsidRPr="00302617">
        <w:rPr>
          <w:rFonts w:ascii="Arial" w:hAnsi="Arial" w:cs="Arial"/>
          <w:noProof/>
          <w:color w:val="000000" w:themeColor="text1"/>
          <w:sz w:val="20"/>
          <w:szCs w:val="20"/>
          <w:lang w:val="en-US"/>
        </w:rPr>
        <w:t>Khyade &amp; Waman</w:t>
      </w:r>
      <w:r w:rsidR="00535C77">
        <w:rPr>
          <w:rFonts w:ascii="Arial" w:hAnsi="Arial" w:cs="Arial"/>
          <w:noProof/>
          <w:color w:val="000000" w:themeColor="text1"/>
          <w:sz w:val="20"/>
          <w:szCs w:val="20"/>
          <w:lang w:val="en-US"/>
        </w:rPr>
        <w:t xml:space="preserve"> (</w:t>
      </w:r>
      <w:r w:rsidR="00302617" w:rsidRPr="00302617">
        <w:rPr>
          <w:rFonts w:ascii="Arial" w:hAnsi="Arial" w:cs="Arial"/>
          <w:noProof/>
          <w:color w:val="000000" w:themeColor="text1"/>
          <w:sz w:val="20"/>
          <w:szCs w:val="20"/>
          <w:lang w:val="en-US"/>
        </w:rPr>
        <w:t>2017)</w:t>
      </w:r>
      <w:r w:rsidR="00202FD1" w:rsidRPr="005250A4">
        <w:rPr>
          <w:rFonts w:ascii="Arial" w:hAnsi="Arial" w:cs="Arial"/>
          <w:color w:val="000000" w:themeColor="text1"/>
          <w:sz w:val="20"/>
          <w:szCs w:val="20"/>
          <w:lang w:val="en-US"/>
        </w:rPr>
        <w:fldChar w:fldCharType="end"/>
      </w:r>
      <w:r w:rsidR="00202FD1"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These observed differences may be attributed to the effects of the solvent type used during the extraction process from the studied organs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{"citationItems":[{"id":"ITEM-1","itemData":{"DOI":"10.5530/ax.2012.2.5","ISSN":"22312536","abstract":"Introduction: Canna edulis Ker Gawler, grown in the sub Himalayan region containing starchy rhizome are used by the tribal people as food and herbal medicine. Methods: Investigations were done to find out 2,2-diphenyl-1-picryl hydrazyl (DPPH) radical scavenging activity, total flavonols and total proanthocyanidin contents, nitric oxide (NO) scavenging activity, hydroxyl radical scavenging activity of different solvent fractions of aquous extract of C. edulis rhizome. Among the cellular molecules, lipids containing unsaturated fatty acids with more than one double bond are particularly susceptible to action of free radicals. The resulting reaction, known as lipid peroxidation and anti lipid peroxidation activity has been performed using goat liver homogenate. Results: Six out of 29 fractions showed DPPH free radical inhibition above 75% and were used for further phytochemical screening. Diethyl ether : ethyl acetate (1:3) fraction showed the maximum inhibition percent. Highest amount of total flavonol and total proanthocyanidins were recorded in diethyl ether : ethyl acetate (1:3) fraction. Maximum NO scavenging activity and hydroxyl radical inhibition activity were observed in bioactive diethyl ether : ethyl acetate (1:1) fraction. Inhibition of lipid peroxides was maximum in ethyl acetate fraction. Data from thin layer chromatography (TLC) revealed the presence of phenolic compounds in all fractions, whereas flavonoid glycoside compounds were restricted in ethyl acetate and diethyl ether : ethyl acetate (1:3). Conclusions: Thus it can be concluded that the antiradical scavenging activity of Canna rhizome may be due to the presence of polyphenolic compouns like phenols, flavonoids, proanthocynidins etc.","author":[{"dropping-particle":"","family":"Mishra","given":"Tanmayee","non-dropping-particle":"","parse-names":false,"suffix":""},{"dropping-particle":"","family":"Das","given":"Abhaya Prasad","non-dropping-particle":"","parse-names":false,"suffix":""},{"dropping-particle":"","family":"Sen","given":"Arnab","non-dropping-particle":"","parse-names":false,"suffix":""}],"container-title":"Free Radicals and Antioxidants","id":"ITEM-1","issue":"1","issued":{"date-parts":[["2012"]]},"page":"13-20","title":"Phytochemical Screening and ln-vitro Antioxidant Profiling of Solvent Fractions of Canna edulis Ker Gawler","type":"article-journal","volume":"2"},"uris":["http://www.mendeley.com/documents/?uuid=7a235b6a-fd12-4368-ae14-3f09f0597bd3"]}],"mendeley":{"formattedCitation":"(Mishra et al., 2012)","plainTextFormattedCitation":"(Mishra et al., 2012)","previouslyFormattedCitation":"(Mishra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(Mishra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p>
    <w:p w14:paraId="7BAB7565" w14:textId="05FA5F86" w:rsidR="00563493" w:rsidRPr="005250A4" w:rsidRDefault="00EA0251"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Similar to </w:t>
      </w:r>
      <w:r w:rsidR="00A43AD8" w:rsidRPr="005250A4">
        <w:rPr>
          <w:rFonts w:ascii="Arial" w:hAnsi="Arial" w:cs="Arial"/>
          <w:color w:val="000000" w:themeColor="text1"/>
          <w:sz w:val="20"/>
          <w:szCs w:val="20"/>
          <w:lang w:val="en-US"/>
        </w:rPr>
        <w:t xml:space="preserve">those of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the leaves and fruits of </w:t>
      </w:r>
      <w:r w:rsidRPr="005250A4">
        <w:rPr>
          <w:rStyle w:val="Accentuation"/>
          <w:rFonts w:ascii="Arial" w:hAnsi="Arial" w:cs="Arial"/>
          <w:color w:val="000000" w:themeColor="text1"/>
          <w:sz w:val="20"/>
          <w:szCs w:val="20"/>
          <w:lang w:val="en-US"/>
        </w:rPr>
        <w:t xml:space="preserve">A. </w:t>
      </w:r>
      <w:proofErr w:type="spellStart"/>
      <w:r w:rsidRPr="005250A4">
        <w:rPr>
          <w:rStyle w:val="Accentuation"/>
          <w:rFonts w:ascii="Arial" w:hAnsi="Arial" w:cs="Arial"/>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also exhibit </w:t>
      </w:r>
      <w:r w:rsidRPr="005250A4">
        <w:rPr>
          <w:rStyle w:val="lev"/>
          <w:rFonts w:ascii="Arial" w:hAnsi="Arial" w:cs="Arial"/>
          <w:b w:val="0"/>
          <w:color w:val="000000" w:themeColor="text1"/>
          <w:sz w:val="20"/>
          <w:szCs w:val="20"/>
          <w:lang w:val="en-US"/>
        </w:rPr>
        <w:t>antioxidant activities</w:t>
      </w:r>
      <w:r w:rsidRPr="005250A4">
        <w:rPr>
          <w:rFonts w:ascii="Arial" w:hAnsi="Arial" w:cs="Arial"/>
          <w:color w:val="000000" w:themeColor="text1"/>
          <w:sz w:val="20"/>
          <w:szCs w:val="20"/>
          <w:lang w:val="en-US"/>
        </w:rPr>
        <w:t xml:space="preserve"> that significantly vary across different organs. The </w:t>
      </w:r>
      <w:r w:rsidRPr="005250A4">
        <w:rPr>
          <w:rStyle w:val="lev"/>
          <w:rFonts w:ascii="Arial" w:hAnsi="Arial" w:cs="Arial"/>
          <w:b w:val="0"/>
          <w:color w:val="000000" w:themeColor="text1"/>
          <w:sz w:val="20"/>
          <w:szCs w:val="20"/>
          <w:lang w:val="en-US"/>
        </w:rPr>
        <w:t>inhibitory concentrations (IC</w:t>
      </w:r>
      <w:r w:rsidRPr="005250A4">
        <w:rPr>
          <w:rStyle w:val="lev"/>
          <w:rFonts w:ascii="Arial" w:hAnsi="Arial" w:cs="Arial"/>
          <w:b w:val="0"/>
          <w:color w:val="000000" w:themeColor="text1"/>
          <w:sz w:val="20"/>
          <w:szCs w:val="20"/>
          <w:vertAlign w:val="subscript"/>
          <w:lang w:val="en-US"/>
        </w:rPr>
        <w:t>50</w:t>
      </w:r>
      <w:r w:rsidRPr="005250A4">
        <w:rPr>
          <w:rStyle w:val="lev"/>
          <w:rFonts w:ascii="Arial" w:hAnsi="Arial" w:cs="Arial"/>
          <w:b w:val="0"/>
          <w:color w:val="000000" w:themeColor="text1"/>
          <w:sz w:val="20"/>
          <w:szCs w:val="20"/>
          <w:lang w:val="en-US"/>
        </w:rPr>
        <w:t>)</w:t>
      </w:r>
      <w:r w:rsidRPr="005250A4">
        <w:rPr>
          <w:rFonts w:ascii="Arial" w:hAnsi="Arial" w:cs="Arial"/>
          <w:b/>
          <w:color w:val="000000" w:themeColor="text1"/>
          <w:sz w:val="20"/>
          <w:szCs w:val="20"/>
          <w:lang w:val="en-US"/>
        </w:rPr>
        <w:t xml:space="preserve"> </w:t>
      </w:r>
      <w:r w:rsidR="00A43AD8" w:rsidRPr="005250A4">
        <w:rPr>
          <w:rFonts w:ascii="Arial" w:hAnsi="Arial" w:cs="Arial"/>
          <w:color w:val="000000" w:themeColor="text1"/>
          <w:sz w:val="20"/>
          <w:szCs w:val="20"/>
          <w:lang w:val="en-US"/>
        </w:rPr>
        <w:t>were</w:t>
      </w:r>
      <w:r w:rsidRPr="005250A4">
        <w:rPr>
          <w:rFonts w:ascii="Arial" w:hAnsi="Arial" w:cs="Arial"/>
          <w:color w:val="000000" w:themeColor="text1"/>
          <w:sz w:val="20"/>
          <w:szCs w:val="20"/>
          <w:lang w:val="en-US"/>
        </w:rPr>
        <w:t xml:space="preserve"> as follows: </w:t>
      </w:r>
      <w:r w:rsidRPr="005250A4">
        <w:rPr>
          <w:rStyle w:val="lev"/>
          <w:rFonts w:ascii="Arial" w:hAnsi="Arial" w:cs="Arial"/>
          <w:b w:val="0"/>
          <w:color w:val="000000" w:themeColor="text1"/>
          <w:sz w:val="20"/>
          <w:szCs w:val="20"/>
          <w:lang w:val="en-US"/>
        </w:rPr>
        <w:t>19.38 ± 1.52 µg/ml</w:t>
      </w:r>
      <w:r w:rsidRPr="005250A4">
        <w:rPr>
          <w:rFonts w:ascii="Arial" w:hAnsi="Arial" w:cs="Arial"/>
          <w:b/>
          <w:color w:val="000000" w:themeColor="text1"/>
          <w:sz w:val="20"/>
          <w:szCs w:val="20"/>
          <w:lang w:val="en-US"/>
        </w:rPr>
        <w:t xml:space="preserve"> </w:t>
      </w:r>
      <w:r w:rsidRPr="005250A4">
        <w:rPr>
          <w:rFonts w:ascii="Arial" w:hAnsi="Arial" w:cs="Arial"/>
          <w:color w:val="000000" w:themeColor="text1"/>
          <w:sz w:val="20"/>
          <w:szCs w:val="20"/>
          <w:lang w:val="en-US"/>
        </w:rPr>
        <w:t>for DPPH</w:t>
      </w:r>
      <w:r w:rsidRPr="005250A4">
        <w:rPr>
          <w:rFonts w:ascii="Arial" w:hAnsi="Arial" w:cs="Arial"/>
          <w:b/>
          <w:color w:val="000000" w:themeColor="text1"/>
          <w:sz w:val="20"/>
          <w:szCs w:val="20"/>
          <w:lang w:val="en-US"/>
        </w:rPr>
        <w:t xml:space="preserve">, </w:t>
      </w:r>
      <w:r w:rsidRPr="005250A4">
        <w:rPr>
          <w:rStyle w:val="lev"/>
          <w:rFonts w:ascii="Arial" w:hAnsi="Arial" w:cs="Arial"/>
          <w:b w:val="0"/>
          <w:color w:val="000000" w:themeColor="text1"/>
          <w:sz w:val="20"/>
          <w:szCs w:val="20"/>
          <w:lang w:val="en-US"/>
        </w:rPr>
        <w:t>47.04 ± 1.19 µg/ml</w:t>
      </w:r>
      <w:r w:rsidRPr="005250A4">
        <w:rPr>
          <w:rFonts w:ascii="Arial" w:hAnsi="Arial" w:cs="Arial"/>
          <w:color w:val="000000" w:themeColor="text1"/>
          <w:sz w:val="20"/>
          <w:szCs w:val="20"/>
          <w:lang w:val="en-US"/>
        </w:rPr>
        <w:t xml:space="preserve"> for ABTS, and </w:t>
      </w:r>
      <w:r w:rsidRPr="005250A4">
        <w:rPr>
          <w:rStyle w:val="lev"/>
          <w:rFonts w:ascii="Arial" w:hAnsi="Arial" w:cs="Arial"/>
          <w:b w:val="0"/>
          <w:color w:val="000000" w:themeColor="text1"/>
          <w:sz w:val="20"/>
          <w:szCs w:val="20"/>
          <w:lang w:val="en-US"/>
        </w:rPr>
        <w:t>30.38 ± 2.07 µg/ml</w:t>
      </w:r>
      <w:r w:rsidRPr="005250A4">
        <w:rPr>
          <w:rFonts w:ascii="Arial" w:hAnsi="Arial" w:cs="Arial"/>
          <w:color w:val="000000" w:themeColor="text1"/>
          <w:sz w:val="20"/>
          <w:szCs w:val="20"/>
          <w:lang w:val="en-US"/>
        </w:rPr>
        <w:t xml:space="preserve"> for FRAP (</w:t>
      </w:r>
      <w:r w:rsidRPr="005250A4">
        <w:rPr>
          <w:rStyle w:val="lev"/>
          <w:rFonts w:ascii="Arial" w:hAnsi="Arial" w:cs="Arial"/>
          <w:b w:val="0"/>
          <w:color w:val="000000" w:themeColor="text1"/>
          <w:sz w:val="20"/>
          <w:szCs w:val="20"/>
          <w:lang w:val="en-US"/>
        </w:rPr>
        <w:t>Fig</w:t>
      </w:r>
      <w:r w:rsidR="00761298" w:rsidRPr="005250A4">
        <w:rPr>
          <w:rStyle w:val="lev"/>
          <w:rFonts w:ascii="Arial" w:hAnsi="Arial" w:cs="Arial"/>
          <w:b w:val="0"/>
          <w:color w:val="000000" w:themeColor="text1"/>
          <w:sz w:val="20"/>
          <w:szCs w:val="20"/>
          <w:lang w:val="en-US"/>
        </w:rPr>
        <w:t>.</w:t>
      </w:r>
      <w:r w:rsidRPr="005250A4">
        <w:rPr>
          <w:rStyle w:val="lev"/>
          <w:rFonts w:ascii="Arial" w:hAnsi="Arial" w:cs="Arial"/>
          <w:b w:val="0"/>
          <w:color w:val="000000" w:themeColor="text1"/>
          <w:sz w:val="20"/>
          <w:szCs w:val="20"/>
          <w:lang w:val="en-US"/>
        </w:rPr>
        <w:t xml:space="preserve"> 1</w:t>
      </w:r>
      <w:r w:rsidRPr="005250A4">
        <w:rPr>
          <w:rFonts w:ascii="Arial" w:hAnsi="Arial" w:cs="Arial"/>
          <w:color w:val="000000" w:themeColor="text1"/>
          <w:sz w:val="20"/>
          <w:szCs w:val="20"/>
          <w:lang w:val="en-US"/>
        </w:rPr>
        <w:t xml:space="preserve">). Interestingly, unlike </w:t>
      </w:r>
      <w:r w:rsidR="00A43AD8" w:rsidRPr="005250A4">
        <w:rPr>
          <w:rFonts w:ascii="Arial" w:hAnsi="Arial" w:cs="Arial"/>
          <w:color w:val="000000" w:themeColor="text1"/>
          <w:sz w:val="20"/>
          <w:szCs w:val="20"/>
          <w:lang w:val="en-US"/>
        </w:rPr>
        <w:t xml:space="preserve">those in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leaves, the most substantial DPPH, ABTS, and FRAP antioxidant activities (11.07 ± 1.64, 18.04 ± 1.94, and 23.17 ± 1.35 µg/ml, respectively) </w:t>
      </w:r>
      <w:r w:rsidR="00A43AD8" w:rsidRPr="005250A4">
        <w:rPr>
          <w:rFonts w:ascii="Arial" w:hAnsi="Arial" w:cs="Arial"/>
          <w:color w:val="000000" w:themeColor="text1"/>
          <w:sz w:val="20"/>
          <w:szCs w:val="20"/>
          <w:lang w:val="en-US"/>
        </w:rPr>
        <w:t>were detected</w:t>
      </w:r>
      <w:r w:rsidRPr="005250A4">
        <w:rPr>
          <w:rFonts w:ascii="Arial" w:hAnsi="Arial" w:cs="Arial"/>
          <w:color w:val="000000" w:themeColor="text1"/>
          <w:sz w:val="20"/>
          <w:szCs w:val="20"/>
          <w:lang w:val="en-US"/>
        </w:rPr>
        <w:t xml:space="preserve"> in the fruits of </w:t>
      </w:r>
      <w:r w:rsidRPr="005250A4">
        <w:rPr>
          <w:rStyle w:val="Accentuation"/>
          <w:rFonts w:ascii="Arial" w:hAnsi="Arial" w:cs="Arial"/>
          <w:color w:val="000000" w:themeColor="text1"/>
          <w:sz w:val="20"/>
          <w:szCs w:val="20"/>
          <w:lang w:val="en-US"/>
        </w:rPr>
        <w:t xml:space="preserve">A. </w:t>
      </w:r>
      <w:proofErr w:type="spellStart"/>
      <w:r w:rsidRPr="005250A4">
        <w:rPr>
          <w:rStyle w:val="Accentuation"/>
          <w:rFonts w:ascii="Arial" w:hAnsi="Arial" w:cs="Arial"/>
          <w:color w:val="000000" w:themeColor="text1"/>
          <w:sz w:val="20"/>
          <w:szCs w:val="20"/>
          <w:lang w:val="en-US"/>
        </w:rPr>
        <w:t>esculentus</w:t>
      </w:r>
      <w:proofErr w:type="spellEnd"/>
      <w:r w:rsidRPr="005250A4">
        <w:rPr>
          <w:rFonts w:ascii="Arial" w:hAnsi="Arial" w:cs="Arial"/>
          <w:color w:val="000000" w:themeColor="text1"/>
          <w:sz w:val="20"/>
          <w:szCs w:val="20"/>
          <w:lang w:val="en-US"/>
        </w:rPr>
        <w:t>. These values closely</w:t>
      </w:r>
      <w:r w:rsidR="00A43AD8" w:rsidRPr="005250A4">
        <w:rPr>
          <w:rFonts w:ascii="Arial" w:hAnsi="Arial" w:cs="Arial"/>
          <w:color w:val="000000" w:themeColor="text1"/>
          <w:sz w:val="20"/>
          <w:szCs w:val="20"/>
          <w:lang w:val="en-US"/>
        </w:rPr>
        <w:t xml:space="preserve"> resemble</w:t>
      </w:r>
      <w:r w:rsidRPr="005250A4">
        <w:rPr>
          <w:rFonts w:ascii="Arial" w:hAnsi="Arial" w:cs="Arial"/>
          <w:color w:val="000000" w:themeColor="text1"/>
          <w:sz w:val="20"/>
          <w:szCs w:val="20"/>
          <w:lang w:val="en-US"/>
        </w:rPr>
        <w:t xml:space="preserve"> those of the standard molecule, vitamin C (8.92 ± 0.66 µg/ml for DPPH, 2.72 ± 0.80 µg/ml for ABTS, and 13.94 ± 0.70 µg/ml for FRAP). Notably, </w:t>
      </w:r>
      <w:r w:rsidR="00A43AD8" w:rsidRPr="005250A4">
        <w:rPr>
          <w:rFonts w:ascii="Arial" w:hAnsi="Arial" w:cs="Arial"/>
          <w:color w:val="000000" w:themeColor="text1"/>
          <w:sz w:val="20"/>
          <w:szCs w:val="20"/>
          <w:lang w:val="en-US"/>
        </w:rPr>
        <w:t xml:space="preserve">various authors reported </w:t>
      </w:r>
      <w:r w:rsidRPr="005250A4">
        <w:rPr>
          <w:rFonts w:ascii="Arial" w:hAnsi="Arial" w:cs="Arial"/>
          <w:color w:val="000000" w:themeColor="text1"/>
          <w:sz w:val="20"/>
          <w:szCs w:val="20"/>
          <w:lang w:val="en-US"/>
        </w:rPr>
        <w:t>lower IC</w:t>
      </w:r>
      <w:r w:rsidRPr="005250A4">
        <w:rPr>
          <w:rFonts w:ascii="Arial" w:hAnsi="Arial" w:cs="Arial"/>
          <w:color w:val="000000" w:themeColor="text1"/>
          <w:sz w:val="20"/>
          <w:szCs w:val="20"/>
          <w:vertAlign w:val="subscript"/>
          <w:lang w:val="en-US"/>
        </w:rPr>
        <w:t>50</w:t>
      </w:r>
      <w:r w:rsidRPr="005250A4">
        <w:rPr>
          <w:rFonts w:ascii="Arial" w:hAnsi="Arial" w:cs="Arial"/>
          <w:color w:val="000000" w:themeColor="text1"/>
          <w:sz w:val="20"/>
          <w:szCs w:val="20"/>
          <w:lang w:val="en-US"/>
        </w:rPr>
        <w:t xml:space="preserve"> values for </w:t>
      </w:r>
      <w:proofErr w:type="spellStart"/>
      <w:r w:rsidRPr="005250A4">
        <w:rPr>
          <w:rFonts w:ascii="Arial" w:hAnsi="Arial" w:cs="Arial"/>
          <w:color w:val="000000" w:themeColor="text1"/>
          <w:sz w:val="20"/>
          <w:szCs w:val="20"/>
          <w:lang w:val="en-US"/>
        </w:rPr>
        <w:t>methanolic</w:t>
      </w:r>
      <w:proofErr w:type="spellEnd"/>
      <w:r w:rsidRPr="005250A4">
        <w:rPr>
          <w:rFonts w:ascii="Arial" w:hAnsi="Arial" w:cs="Arial"/>
          <w:color w:val="000000" w:themeColor="text1"/>
          <w:sz w:val="20"/>
          <w:szCs w:val="20"/>
          <w:lang w:val="en-US"/>
        </w:rPr>
        <w:t xml:space="preserve"> extracts (1000 µg/ml for DPPH)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{"citationItems":[{"id":"ITEM-1","itemData":{"ISSN":"22784535","abstract":"Diabetes mellitus is a leading cause of morbitity and mortality worldwide. There has been a constant search for natural compounds that possess antidiabetic effect with little or no side effects unlike the synthetic compounds. The purpose of this investigation is to determine the antioxidant potential and in vitro anti-diabetic activities of Abelmoschus esculentus. The antioxidant activity of Abelmoschus esculentus extracts was determined by total antioxidant activities like DPPH, ferrous ion chelating activity and inhibition of β- carotene bleaching. At 0.125 to 2.0 mg/mL, the scavenging activities of aqueous, ethanol and methanol extracts on DPPH radical ranged from 10.2 to 80.2%, 11.5 to 90.6% and 12.8 to 93.6%, respectively. The strongest chelating effect 68.5% was obtained from methanol whereas ethanol shows 65.6% at 1.0 mg/mL. At this concentration, the lowest ferrous ion chelating effect was exhibited by aqueous extract (62.4%). Abelmoschus esculentus efficiently inhibits both α-amylase and α-glucosidase enzymes in vitro in a dose dependent manner. These results revealed that methanolic extracts of Abelmoschus esculentus have better antioxidant and antidiabetic activity than ethanol and aqueous extracts which support the medicinal properties of Abelmoschus esculentus.","author":[{"dropping-particle":"","family":"Ahmed","given":"Babu Thabraz","non-dropping-particle":"","parse-names":false,"suffix":""},{"dropping-particle":"","family":"Kumar","given":"Sekar Ashok","non-dropping-particle":"","parse-names":false,"suffix":""}],"container-title":"Research Journal of Biotechnology","id":"ITEM-1","issue":"3","issued":{"date-parts":[["2016"]]},"page":"34-41","title":"Antioxidant and antidiabetic properties of abelmoschus esculentus extract - An in vitro assay","type":"article-journal","volume":"11"},"uris":["http://www.mendeley.com/documents/?uuid=bcbf6b18-8619-4a6c-9f3a-cb40726f3c26"]}],"mendeley":{"formattedCitation":"(Ahmed &amp; Kumar, 2016)","plainTextFormattedCitation":"(Ahmed &amp; Kumar, 2016)","previouslyFormattedCitation":"(Ahmed &amp; Kumar,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(Ahmed &amp; Kumar,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 xml:space="preserve">and </w:t>
      </w:r>
      <w:proofErr w:type="spellStart"/>
      <w:r w:rsidR="002A1BBD" w:rsidRPr="005250A4">
        <w:rPr>
          <w:rFonts w:ascii="Arial" w:hAnsi="Arial" w:cs="Arial"/>
          <w:color w:val="000000" w:themeColor="text1"/>
          <w:sz w:val="20"/>
          <w:szCs w:val="20"/>
          <w:lang w:val="en-US"/>
        </w:rPr>
        <w:t>hydro</w:t>
      </w:r>
      <w:r w:rsidRPr="005250A4">
        <w:rPr>
          <w:rFonts w:ascii="Arial" w:hAnsi="Arial" w:cs="Arial"/>
          <w:color w:val="000000" w:themeColor="text1"/>
          <w:sz w:val="20"/>
          <w:szCs w:val="20"/>
          <w:lang w:val="en-US"/>
        </w:rPr>
        <w:t>ethanolic</w:t>
      </w:r>
      <w:proofErr w:type="spellEnd"/>
      <w:r w:rsidRPr="005250A4">
        <w:rPr>
          <w:rFonts w:ascii="Arial" w:hAnsi="Arial" w:cs="Arial"/>
          <w:color w:val="000000" w:themeColor="text1"/>
          <w:sz w:val="20"/>
          <w:szCs w:val="20"/>
          <w:lang w:val="en-US"/>
        </w:rPr>
        <w:t xml:space="preserve"> extracts (890 µg/ml for FRAP)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rPr>
        <w:instrText>ADDIN CSL_CITATION {"citationItems":[{"id":"ITEM-1","itemData":{"DOI":"10.3390/molecules25204739","ISSN":"14203049","PMID":"33076530","abstract":"The aim of this work was to perform an unprecedented in-depth study on the bioactive phytochemicals of Abelmoschus esculentus L. Moench Tunisian landrace (Marsaouia). For this purpose, its nutritional, aroma volatile, and phenolic profiles were characterized, and sundry biological activities were assessed in vitro. The approximate composition revealed that total dietary fiber as the most abundant macronutrient, mainly insoluble dietary fiber, followed by total carbohydrates and proteins. In addition, okra pods were rich in K, Ca, Mg, organic acids, tocopherols, and chlorophylls. Gas Chromatography-Electron Impact Mass Spectrometry (GC-EIMS) analysis showed that oxygenated monoterpenes, sesquiterpene hydrocarbons, and phenylpropanoids were the predominant essential volatile components in A. esculentus pods. A total of eight flavonols were detected by High-Performance Liquid Chromatography coupled to a DAD detector and mass spectrometry by electrospray ionization (HPLC-DAD-MS/ESI); with quercetin-3-O-glucoside being the majority phenolic component, followed by quercetin-O-pentosyl-hexoside and quercetin-dihexoside. This pioneering study, evidences that Tunisian okra display promising antioxidant and cytotoxic actions, in addition to relevant inhibitory effects against α-amylase and α-glucosidase enzymes, and interesting analgesic activity.","author":[{"dropping-particle":"","family":"Romdhane","given":"Mariem Haj","non-dropping-particle":"","parse-names":false,"suffix":""},{"dropping-particle":"","family":"Chahdoura","given":"Hassiba","non-dropping-particle":"","parse-names":false,"suffix":""},{"dropping-particle":"","family":"Barros","given":"Lillian","non-dropping-particle":"","parse-names":false,"suffix":""},{"dropping-par</w:instrText>
      </w:r>
      <w:r w:rsidR="00E91D2D" w:rsidRPr="001313B4">
        <w:rPr>
          <w:rFonts w:ascii="Arial" w:hAnsi="Arial" w:cs="Arial"/>
          <w:color w:val="000000" w:themeColor="text1"/>
          <w:sz w:val="20"/>
          <w:szCs w:val="20"/>
          <w:lang w:val="en-US"/>
        </w:rPr>
        <w:instrText>ticle":"","family":"Dias","given":"Maria Inês","non-dropping-particle":"","parse-names":false,"suffix":""},{"dropping-particle":"","family":"Corrêa","given":"Rúbia Carvalho Gomes","non-dropping-particle":"","parse-names":false,"suffix":""},{"dropping-particle":"","family":"Morales","given":"Patricia","non-dropping-particle":"","parse-names":false,"suffix":""},{"dropping-particle":"","family":"Ciudad-Mulero","given":"Maria","non-dropping-particle":"","parse-names":false,"suffix":""},{"dropping-particle":"","family":"Flamini","given":"Guido","non-dropping-particle":"","parse-names":false,"suffix":""},{"dropping-particle":"","family":"Majdoub","given":"Hatem","non-dropping-particle":"","parse-names":false,"suffix":""},{"dropping-particle":"","family":"Ferreira","given":"Isabel C.F.R.","non-dropping-particle":"","parse-names":false,"suffix":""}],"container-title":"Molecules","id":"ITEM-1","issue":"20","issued":{"date-parts":[["2020"]]},"title":"Chemical composition, nutritional value, and biological evaluation of tunisian okra pods (abelmoschus esculentus L. moench)","type":"article-journal","volume":"25"},"uris":["http://www.mendeley.com/documents/?uuid=bcbcc09b-6e3a-4a86-9b62-97d06806c899"]}],"mendeley":{"formattedCitation":"(Romdhane et al., 2020)","plainTextFormattedCitation":"(Romdhane et al., 2020)","previouslyFormattedCitation":"(Romdhane et al., 2020)"},"properties":{"noteIndex":0},"schema":"https://github.com/citation-style-language/schema/raw/master/csl-citation.json"}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(Romdhane et al., 2020)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from </w:t>
      </w:r>
      <w:r w:rsidRPr="005250A4">
        <w:rPr>
          <w:rStyle w:val="Accentuation"/>
          <w:rFonts w:ascii="Arial" w:hAnsi="Arial" w:cs="Arial"/>
          <w:color w:val="000000" w:themeColor="text1"/>
          <w:sz w:val="20"/>
          <w:szCs w:val="20"/>
          <w:lang w:val="en-US"/>
        </w:rPr>
        <w:t xml:space="preserve">A. </w:t>
      </w:r>
      <w:proofErr w:type="spellStart"/>
      <w:r w:rsidRPr="005250A4">
        <w:rPr>
          <w:rStyle w:val="Accentuation"/>
          <w:rFonts w:ascii="Arial" w:hAnsi="Arial" w:cs="Arial"/>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fruits. </w:t>
      </w:r>
      <w:r w:rsidR="00A43AD8" w:rsidRPr="005250A4">
        <w:rPr>
          <w:rFonts w:ascii="Arial" w:hAnsi="Arial" w:cs="Arial"/>
          <w:color w:val="000000" w:themeColor="text1"/>
          <w:sz w:val="20"/>
          <w:szCs w:val="20"/>
          <w:lang w:val="en-US"/>
        </w:rPr>
        <w:t>Although the</w:t>
      </w:r>
      <w:r w:rsidRPr="005250A4">
        <w:rPr>
          <w:rFonts w:ascii="Arial" w:hAnsi="Arial" w:cs="Arial"/>
          <w:color w:val="000000" w:themeColor="text1"/>
          <w:sz w:val="20"/>
          <w:szCs w:val="20"/>
          <w:lang w:val="en-US"/>
        </w:rPr>
        <w:t xml:space="preserve"> solvent type should indeed be considered during the evaluation of these activities, it is not the sole factor responsible for the observed variations.</w:t>
      </w:r>
    </w:p>
    <w:p w14:paraId="7BC3ABFC" w14:textId="5E03F647" w:rsidR="00171216" w:rsidRPr="005250A4" w:rsidRDefault="00171216" w:rsidP="00171216">
      <w:pPr>
        <w:pStyle w:val="NormalWeb"/>
        <w:spacing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From the preceding analysis, it is evident that neither the solvent type used during extraction nor the specific plant organs studied serve as the primary determinants of the obtained antioxidant activities and the observed variations. Instead, the substantial diversity of bioactive compounds both in terms of quality and quantity (including nutrients and secondary metabolites)</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plays a pivotal role. Notably, the leaves of </w:t>
      </w:r>
      <w:r w:rsidRPr="005250A4">
        <w:rPr>
          <w:rStyle w:val="Accentuation"/>
          <w:rFonts w:ascii="Arial" w:hAnsi="Arial" w:cs="Arial"/>
          <w:color w:val="000000" w:themeColor="text1"/>
          <w:sz w:val="20"/>
          <w:szCs w:val="20"/>
          <w:lang w:val="en-US"/>
        </w:rPr>
        <w:t xml:space="preserve">C. </w:t>
      </w:r>
      <w:proofErr w:type="spellStart"/>
      <w:r w:rsidRPr="005250A4">
        <w:rPr>
          <w:rStyle w:val="Accentuation"/>
          <w:rFonts w:ascii="Arial" w:hAnsi="Arial" w:cs="Arial"/>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exhibit</w:t>
      </w:r>
      <w:r w:rsidR="00D3778E" w:rsidRPr="005250A4">
        <w:rPr>
          <w:rFonts w:ascii="Arial" w:hAnsi="Arial" w:cs="Arial"/>
          <w:color w:val="000000" w:themeColor="text1"/>
          <w:sz w:val="20"/>
          <w:szCs w:val="20"/>
          <w:lang w:val="en-US"/>
        </w:rPr>
        <w:t>ed high</w:t>
      </w:r>
      <w:r w:rsidRPr="005250A4">
        <w:rPr>
          <w:rFonts w:ascii="Arial" w:hAnsi="Arial" w:cs="Arial"/>
          <w:color w:val="000000" w:themeColor="text1"/>
          <w:sz w:val="20"/>
          <w:szCs w:val="20"/>
          <w:lang w:val="en-US"/>
        </w:rPr>
        <w:t xml:space="preserve"> </w:t>
      </w:r>
      <w:r w:rsidR="00D3778E" w:rsidRPr="005250A4">
        <w:rPr>
          <w:rFonts w:ascii="Arial" w:hAnsi="Arial" w:cs="Arial"/>
          <w:color w:val="000000" w:themeColor="text1"/>
          <w:sz w:val="20"/>
          <w:szCs w:val="20"/>
          <w:lang w:val="en-US"/>
        </w:rPr>
        <w:t>content</w:t>
      </w:r>
      <w:r w:rsidRPr="005250A4">
        <w:rPr>
          <w:rFonts w:ascii="Arial" w:hAnsi="Arial" w:cs="Arial"/>
          <w:color w:val="000000" w:themeColor="text1"/>
          <w:sz w:val="20"/>
          <w:szCs w:val="20"/>
          <w:lang w:val="en-US"/>
        </w:rPr>
        <w:t>s of polyphenols</w:t>
      </w:r>
      <w:r w:rsidR="00D3778E" w:rsidRPr="005250A4">
        <w:rPr>
          <w:rFonts w:ascii="Arial" w:hAnsi="Arial" w:cs="Arial"/>
          <w:color w:val="000000" w:themeColor="text1"/>
          <w:sz w:val="20"/>
          <w:szCs w:val="20"/>
          <w:lang w:val="en-US"/>
        </w:rPr>
        <w:t xml:space="preserve"> and</w:t>
      </w:r>
      <w:r w:rsidRPr="005250A4">
        <w:rPr>
          <w:rFonts w:ascii="Arial" w:hAnsi="Arial" w:cs="Arial"/>
          <w:color w:val="000000" w:themeColor="text1"/>
          <w:sz w:val="20"/>
          <w:szCs w:val="20"/>
          <w:lang w:val="en-US"/>
        </w:rPr>
        <w:t xml:space="preserve"> condensed tannins (Tables 3 and 4)</w:t>
      </w:r>
      <w:r w:rsidR="00D3778E"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and </w:t>
      </w:r>
      <w:r w:rsidR="00D3778E" w:rsidRPr="005250A4">
        <w:rPr>
          <w:rFonts w:ascii="Arial" w:hAnsi="Arial" w:cs="Arial"/>
          <w:color w:val="000000" w:themeColor="text1"/>
          <w:sz w:val="20"/>
          <w:szCs w:val="20"/>
          <w:lang w:val="en-US"/>
        </w:rPr>
        <w:t xml:space="preserve">a high </w:t>
      </w:r>
      <w:r w:rsidRPr="005250A4">
        <w:rPr>
          <w:rFonts w:ascii="Arial" w:hAnsi="Arial" w:cs="Arial"/>
          <w:color w:val="000000" w:themeColor="text1"/>
          <w:sz w:val="20"/>
          <w:szCs w:val="20"/>
          <w:lang w:val="en-US"/>
        </w:rPr>
        <w:t xml:space="preserve">zinc content (Table 1). Conversely, the fruits of </w:t>
      </w:r>
      <w:r w:rsidRPr="005250A4">
        <w:rPr>
          <w:rStyle w:val="Accentuation"/>
          <w:rFonts w:ascii="Arial" w:hAnsi="Arial" w:cs="Arial"/>
          <w:color w:val="000000" w:themeColor="text1"/>
          <w:sz w:val="20"/>
          <w:szCs w:val="20"/>
          <w:lang w:val="en-US"/>
        </w:rPr>
        <w:t xml:space="preserve">A. </w:t>
      </w:r>
      <w:proofErr w:type="spellStart"/>
      <w:r w:rsidRPr="005250A4">
        <w:rPr>
          <w:rStyle w:val="Accentuation"/>
          <w:rFonts w:ascii="Arial" w:hAnsi="Arial" w:cs="Arial"/>
          <w:color w:val="000000" w:themeColor="text1"/>
          <w:sz w:val="20"/>
          <w:szCs w:val="20"/>
          <w:lang w:val="en-US"/>
        </w:rPr>
        <w:t>esculentus</w:t>
      </w:r>
      <w:proofErr w:type="spellEnd"/>
      <w:r w:rsidRPr="005250A4">
        <w:rPr>
          <w:rFonts w:ascii="Arial" w:hAnsi="Arial" w:cs="Arial"/>
          <w:color w:val="000000" w:themeColor="text1"/>
          <w:sz w:val="20"/>
          <w:szCs w:val="20"/>
          <w:lang w:val="en-US"/>
        </w:rPr>
        <w:t xml:space="preserve"> </w:t>
      </w:r>
      <w:r w:rsidR="0083560A" w:rsidRPr="005250A4">
        <w:rPr>
          <w:rFonts w:ascii="Arial" w:hAnsi="Arial" w:cs="Arial"/>
          <w:color w:val="000000" w:themeColor="text1"/>
          <w:sz w:val="20"/>
          <w:szCs w:val="20"/>
          <w:lang w:val="en-US"/>
        </w:rPr>
        <w:t>exhibited</w:t>
      </w:r>
      <w:r w:rsidRPr="005250A4">
        <w:rPr>
          <w:rFonts w:ascii="Arial" w:hAnsi="Arial" w:cs="Arial"/>
          <w:color w:val="000000" w:themeColor="text1"/>
          <w:sz w:val="20"/>
          <w:szCs w:val="20"/>
          <w:lang w:val="en-US"/>
        </w:rPr>
        <w:t xml:space="preserve"> elevated </w:t>
      </w:r>
      <w:r w:rsidR="0083560A" w:rsidRPr="005250A4">
        <w:rPr>
          <w:rFonts w:ascii="Arial" w:hAnsi="Arial" w:cs="Arial"/>
          <w:color w:val="000000" w:themeColor="text1"/>
          <w:sz w:val="20"/>
          <w:szCs w:val="20"/>
          <w:lang w:val="en-US"/>
        </w:rPr>
        <w:t>values</w:t>
      </w:r>
      <w:r w:rsidRPr="005250A4">
        <w:rPr>
          <w:rFonts w:ascii="Arial" w:hAnsi="Arial" w:cs="Arial"/>
          <w:color w:val="000000" w:themeColor="text1"/>
          <w:sz w:val="20"/>
          <w:szCs w:val="20"/>
          <w:lang w:val="en-US"/>
        </w:rPr>
        <w:t xml:space="preserve"> of polyphen</w:t>
      </w:r>
      <w:r w:rsidR="007234F0" w:rsidRPr="005250A4">
        <w:rPr>
          <w:rFonts w:ascii="Arial" w:hAnsi="Arial" w:cs="Arial"/>
          <w:color w:val="000000" w:themeColor="text1"/>
          <w:sz w:val="20"/>
          <w:szCs w:val="20"/>
          <w:lang w:val="en-US"/>
        </w:rPr>
        <w:t>ols and flavonoids (</w:t>
      </w:r>
      <w:r w:rsidRPr="005250A4">
        <w:rPr>
          <w:rFonts w:ascii="Arial" w:hAnsi="Arial" w:cs="Arial"/>
          <w:color w:val="000000" w:themeColor="text1"/>
          <w:sz w:val="20"/>
          <w:szCs w:val="20"/>
          <w:lang w:val="en-US"/>
        </w:rPr>
        <w:t>Tables 3 and 4), along with notable zinc content (Table 1). The</w:t>
      </w:r>
      <w:r w:rsidR="00940EC8" w:rsidRPr="005250A4">
        <w:rPr>
          <w:rFonts w:ascii="Arial" w:hAnsi="Arial" w:cs="Arial"/>
          <w:color w:val="000000" w:themeColor="text1"/>
          <w:sz w:val="20"/>
          <w:szCs w:val="20"/>
          <w:lang w:val="en-US"/>
        </w:rPr>
        <w:t xml:space="preserve"> antioxidant properties of these</w:t>
      </w:r>
      <w:r w:rsidRPr="005250A4">
        <w:rPr>
          <w:rFonts w:ascii="Arial" w:hAnsi="Arial" w:cs="Arial"/>
          <w:color w:val="000000" w:themeColor="text1"/>
          <w:sz w:val="20"/>
          <w:szCs w:val="20"/>
          <w:lang w:val="en-US"/>
        </w:rPr>
        <w:t xml:space="preserve"> bioactive molecules have been extensively investigated</w:t>
      </w:r>
      <w:r w:rsidR="00940EC8"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by numerous </w:t>
      </w:r>
      <w:r w:rsidR="00D525FA" w:rsidRPr="005250A4">
        <w:rPr>
          <w:rFonts w:ascii="Arial" w:hAnsi="Arial" w:cs="Arial"/>
          <w:color w:val="000000" w:themeColor="text1"/>
          <w:sz w:val="20"/>
          <w:szCs w:val="20"/>
          <w:lang w:val="en-US"/>
        </w:rPr>
        <w:t>researchers</w:t>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E603C3">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2014)","manualFormatting":"(Prasad, 2014;","plainTextFormattedCitation":"(Prasad, 2014)","previouslyFormattedCitation":"(Prasad, 2014)"},"properties":{"noteIndex":0},"schema":"https://github.com/citation-style-language/schema/raw/master/csl-citation.json"}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(Prasad, 2014</w:t>
      </w:r>
      <w:r w:rsidR="00E603C3">
        <w:rPr>
          <w:rFonts w:ascii="Arial" w:hAnsi="Arial" w:cs="Arial"/>
          <w:noProof/>
          <w:color w:val="000000" w:themeColor="text1"/>
          <w:sz w:val="20"/>
          <w:szCs w:val="20"/>
          <w:lang w:val="en-US"/>
        </w:rPr>
        <w:t>;</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 xml:space="preserve"> </w:t>
      </w:r>
      <w:r w:rsidR="00E603C3">
        <w:rPr>
          <w:rFonts w:ascii="Arial" w:hAnsi="Arial" w:cs="Arial"/>
          <w:color w:val="000000" w:themeColor="text1"/>
          <w:sz w:val="20"/>
          <w:szCs w:val="20"/>
          <w:lang w:val="en-US"/>
        </w:rPr>
        <w:fldChar w:fldCharType="begin" w:fldLock="1"/>
      </w:r>
      <w:r w:rsidR="007178A0">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2016)","manualFormatting":"Apak et al., 2016)","plainTextFormattedCitation":"(Apak et al., 2016)","previouslyFormattedCitation":"(Apak et al., 2016)"},"properties":{"noteIndex":0},"schema":"https://github.com/citation-style-language/schema/raw/master/csl-citation.json"}</w:instrText>
      </w:r>
      <w:r w:rsidR="00E603C3">
        <w:rPr>
          <w:rFonts w:ascii="Arial" w:hAnsi="Arial" w:cs="Arial"/>
          <w:color w:val="000000" w:themeColor="text1"/>
          <w:sz w:val="20"/>
          <w:szCs w:val="20"/>
          <w:lang w:val="en-US"/>
        </w:rPr>
        <w:fldChar w:fldCharType="separate"/>
      </w:r>
      <w:r w:rsidR="00E603C3" w:rsidRPr="00E603C3">
        <w:rPr>
          <w:rFonts w:ascii="Arial" w:hAnsi="Arial" w:cs="Arial"/>
          <w:noProof/>
          <w:color w:val="000000" w:themeColor="text1"/>
          <w:sz w:val="20"/>
          <w:szCs w:val="20"/>
          <w:lang w:val="en-US"/>
        </w:rPr>
        <w:t>Apak et al., 2016)</w:t>
      </w:r>
      <w:r w:rsidR="00E603C3">
        <w:rPr>
          <w:rFonts w:ascii="Arial" w:hAnsi="Arial" w:cs="Arial"/>
          <w:color w:val="000000" w:themeColor="text1"/>
          <w:sz w:val="20"/>
          <w:szCs w:val="20"/>
          <w:lang w:val="en-US"/>
        </w:rPr>
        <w:fldChar w:fldCharType="end"/>
      </w:r>
      <w:r w:rsidR="00E603C3">
        <w:rPr>
          <w:rFonts w:ascii="Arial" w:hAnsi="Arial" w:cs="Arial"/>
          <w:color w:val="000000" w:themeColor="text1"/>
          <w:sz w:val="20"/>
          <w:szCs w:val="20"/>
          <w:lang w:val="en-US"/>
        </w:rPr>
        <w:t>.</w:t>
      </w:r>
      <w:r w:rsidR="0012384A" w:rsidRPr="005250A4">
        <w:rPr>
          <w:rFonts w:ascii="Arial" w:hAnsi="Arial" w:cs="Arial"/>
          <w:color w:val="000000" w:themeColor="text1"/>
          <w:sz w:val="20"/>
          <w:szCs w:val="20"/>
          <w:lang w:val="en-US"/>
        </w:rPr>
        <w:t xml:space="preserve"> </w:t>
      </w:r>
    </w:p>
    <w:p w14:paraId="495D7D82" w14:textId="363CDC71" w:rsidR="003138BF" w:rsidRPr="005250A4" w:rsidRDefault="00171216" w:rsidP="008B25B9">
      <w:pPr>
        <w:pStyle w:val="NormalWeb"/>
        <w:spacing w:before="0" w:beforeAutospacing="0" w:after="240" w:afterAutospacing="0" w:line="360" w:lineRule="auto"/>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Phenols serve as effective electron donors due to their highly reactive hydroxyl group, which has the capacity to absorb free radicals </w:t>
      </w:r>
      <m:oMath>
        <m:r>
          <w:rPr>
            <w:rFonts w:ascii="Cambria Math" w:hAnsi="Cambria Math" w:cs="Arial"/>
            <w:color w:val="000000" w:themeColor="text1"/>
            <w:sz w:val="20"/>
            <w:szCs w:val="20"/>
            <w:lang w:val="en-US"/>
          </w:rPr>
          <m:t>(</m:t>
        </m:r>
        <m:r>
          <m:rPr>
            <m:sty m:val="p"/>
          </m:rPr>
          <w:rPr>
            <w:rFonts w:ascii="Cambria Math" w:hAnsi="Cambria Math" w:cs="Arial"/>
            <w:color w:val="000000" w:themeColor="text1"/>
            <w:sz w:val="20"/>
            <w:szCs w:val="20"/>
            <w:lang w:val="en-US"/>
          </w:rPr>
          <m:t>ROS</m:t>
        </m:r>
      </m:oMath>
      <w:r w:rsidRPr="005250A4">
        <w:rPr>
          <w:rFonts w:ascii="Arial" w:hAnsi="Arial" w:cs="Arial"/>
          <w:color w:val="000000" w:themeColor="text1"/>
          <w:sz w:val="20"/>
          <w:szCs w:val="20"/>
          <w:lang w:val="en-US"/>
        </w:rPr>
        <w:t xml:space="preserve">,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RO</m:t>
            </m:r>
          </m:e>
          <m:sup>
            <m:r>
              <m:rPr>
                <m:sty m:val="p"/>
              </m:rPr>
              <w:rPr>
                <w:rFonts w:ascii="Cambria Math" w:hAnsi="Cambria Math" w:cs="Arial"/>
                <w:color w:val="000000" w:themeColor="text1"/>
                <w:sz w:val="20"/>
                <w:szCs w:val="20"/>
                <w:lang w:val="en-US"/>
              </w:rPr>
              <m:t>.</m:t>
            </m:r>
          </m:sup>
        </m:sSup>
      </m:oMath>
      <w:r w:rsidRPr="005250A4">
        <w:rPr>
          <w:rFonts w:ascii="Arial" w:hAnsi="Arial" w:cs="Arial"/>
          <w:color w:val="000000" w:themeColor="text1"/>
          <w:sz w:val="20"/>
          <w:szCs w:val="20"/>
          <w:lang w:val="en-US"/>
        </w:rPr>
        <w:t xml:space="preserve">,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NO</m:t>
            </m:r>
          </m:e>
          <m:sup>
            <m:r>
              <m:rPr>
                <m:sty m:val="p"/>
              </m:rPr>
              <w:rPr>
                <w:rFonts w:ascii="Cambria Math" w:hAnsi="Cambria Math" w:cs="Arial"/>
                <w:color w:val="000000" w:themeColor="text1"/>
                <w:sz w:val="20"/>
                <w:szCs w:val="20"/>
                <w:lang w:val="en-US"/>
              </w:rPr>
              <m:t>.</m:t>
            </m:r>
          </m:sup>
        </m:sSup>
      </m:oMath>
      <w:r w:rsidRPr="005250A4">
        <w:rPr>
          <w:rFonts w:ascii="Arial" w:eastAsiaTheme="minorEastAsia" w:hAnsi="Arial" w:cs="Arial"/>
          <w:color w:val="000000" w:themeColor="text1"/>
          <w:sz w:val="20"/>
          <w:szCs w:val="20"/>
          <w:lang w:val="en-US"/>
        </w:rPr>
        <w:t xml:space="preserve">)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{"citationItems":[{"id":"ITEM-1","itemData":{"DOI":"10.1021/acs.jafc.5b04739","ISSN":"15205118","PMID":"26728425","abstract":"Because there is no widely adopted \"total antioxidant parameter\" as a nutritional index for labeling food and biological fluids, it is desirable to establish and standardize methods that can measure the total antioxidant capacity (TAC) level directly from plant-based food extracts and biological fluids. In this review, we (i) present and classify the widely used analytical approaches (e.g., in vitro and in vivo, enzymatic and nonenzymatic, electron transfer (ET)- and hydrogen atom transfer (HAT)-based, direct and indirect assays) for evaluating antioxidant capacity/activity; (ii) discuss total antioxidant capacity/activity assays in terms of chemical kinetics and thermodynamics, reaction mechanisms, and analytical performance characteristics, together with advantages and drawbacks; and (iii) critically evaluate ET-based methods for analytical, food chemical, biomedical/clinical, and environmental scientific communities so that they can effectively use these assays in the correct places to meet their needs.","author":[{"dropping-particle":"","family":"Apak","given":"Reşat","non-dropping-particle":"","parse-names":false,"suffix":""},{"dropping-particle":"","family":"Özyürek","given":"Mustafa","non-dropping-particle":"","parse-names":false,"suffix":""},{"dropping-particle":"","family":"Güçlü","given":"Kubilay","non-dropping-particle":"","parse-names":false,"suffix":""},{"dropping-particle":"","family":"Çapanoglu","given":"Esra","non-dropping-particle":"","parse-names":false,"suffix":""}],"container-title":"Journal of Agricultural and Food Chemistry","id":"ITEM-1","issue":"5","issued":{"date-parts":[["2016"]]},"page":"997-1027","title":"Antioxidant activity/capacity measurement. 1. Classification, physicochemical principles, mechanisms, and electron transfer (ET)-based assays","type":"article-journal","volume":"64"},"uris":["http://www.mendeley.com/documents/?uuid=fa5dcc7e-a700-42ee-93b7-7168af525108"]}],"mendeley":{"formattedCitation":"(Apak et al., 2016)","plainTextFormattedCitation":"(Apak et al., 2016)","previouslyFormattedCitation":"(Apak et al., 2016)"},"properties":{"noteIndex":0},"schema":"https://github.com/citation-style-language/schema/raw/master/csl-citation.json"}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(Apak et al., 2016)</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They can inhibit auto-oxidation and radical chain reactions by releasing hydrogen atoms. On the other hand, the resonance and </w:t>
      </w:r>
      <w:r w:rsidR="00AB3A2D" w:rsidRPr="005250A4">
        <w:rPr>
          <w:rFonts w:ascii="Arial" w:hAnsi="Arial" w:cs="Arial"/>
          <w:color w:val="000000" w:themeColor="text1"/>
          <w:sz w:val="20"/>
          <w:szCs w:val="20"/>
          <w:lang w:val="en-US"/>
        </w:rPr>
        <w:t>non-localization</w:t>
      </w:r>
      <w:r w:rsidRPr="005250A4">
        <w:rPr>
          <w:rFonts w:ascii="Arial" w:hAnsi="Arial" w:cs="Arial"/>
          <w:color w:val="000000" w:themeColor="text1"/>
          <w:sz w:val="20"/>
          <w:szCs w:val="20"/>
          <w:lang w:val="en-US"/>
        </w:rPr>
        <w:t xml:space="preserve"> properties of phenols lead to stable radical intermediates that lack suitable sites when attacked by dioxygen, resulting in new radical reactions or chains that can be rapidly oxidized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{"citationItems":[{"id":"ITEM-1","itemData":{"DOI":"10.1111/j.1750-3841.2012.02830.x","ISSN":"00221147","PMID":"22860581","abstract":"Solanum torvum fruit widely used in traditional medicine of India and also in food preparation. Three different extracts such as water (WE), methanol (ME), and ethanol (EE) were used to evaluate their antioxidant and radical scavenging activity by different methods. All the assays results were compared with well-known standard antioxidants. The IC50 values of assays were determined. The total phenolic and flavonoids content were found to be maximum in water and ethanol extracts, respectively. The electron quenching ability of fruit extract was assayed by DPPH and reducing power assays succeeding order were ME &gt; EE &gt; WE, respectively. Inhibition of membrane damage, was assayed interns of oxidative hemolysis and lipid peroxidation assays, among all WE extract shows 58.00% and 68.55 5% percentage of inhibition with 0.9 and 0.8 correlations (r2), respectively. Antioxidant and radical quenching efficiency were assayed by β-carotene bleaching and hydroxyl radical scavenging method and results were compared with vitamin C and catechin. The in vitro free radical quenching and antioxidant results were well correlated with in vitro DNA protection assay. As analyzed by HPTLC gallic acid content is high in WE (1394 ± 25.0) and ME (598 ± 54.0) whereas ferulic acid is high in EE (32 ± 5.94) μg/g, respectively. This study indicate that S. torvum fruit is an excellent source of natural antioxidant and could be an effective nutritional food supplement, which interns will have therapeutic applications. © 2012 Institute of Food Technologists®.","author":[{"dropping-particle":"","family":"Ramamurthy","given":"C. H.","non-dropping-particle":"","parse-names":false,"suffix":""},{"dropping-particle":"","family":"Kumar","given":"M. Suresh","non-dropping-particle":"","parse-names":false,"suffix":""},{"dropping-particle":"","family":"Suyavaran","given":"V. Sujatha A.","non-dropping-particle":"","parse-names":false,"suffix":""},{"dropping-particle":"","family":"Mareeswaran","given":"R.","non-dropping-particle":"","parse-names":false,"suffix":""},{"dropping-particle":"","family":"Thirunavukkarasu","given":"C.","non-dropping-particle":"","parse-names":false,"suffix":""}],"container-title":"Journal of Food Science","id":"ITEM-1","issue":"8","issued":{"date-parts":[["2012"]]},"page":"907-913","title":"Evaluation of Antioxidant, Radical Scavenging Activity and Polyphenolics Profile in Solanum torvum L. Fruits","type":"article-journal","volume":"77"},"uris":["http://www.mendeley.com/documents/?uuid=8e8d4057-3c98-411e-ad79-308b0f7f1941"]}],"mendeley":{"formattedCitation":"(Ramamurthy et al., 2012)","plainTextFormattedCitation":"(Ramamurthy et al., 2012)","previouslyFormattedCitation":"(Ramamurthy et al., 2012)"},"properties":{"noteIndex":0},"schema":"https://github.com/citation-style-language/schema/raw/master/csl-citation.json"}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(Ramamurthy et al., 2012)</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w:t>
      </w:r>
      <w:r w:rsidR="000A227C"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Notably, tannins specifica</w:t>
      </w:r>
      <w:r w:rsidR="002A1BBD" w:rsidRPr="005250A4">
        <w:rPr>
          <w:rFonts w:ascii="Arial" w:hAnsi="Arial" w:cs="Arial"/>
          <w:color w:val="000000" w:themeColor="text1"/>
          <w:sz w:val="20"/>
          <w:szCs w:val="20"/>
          <w:lang w:val="en-US"/>
        </w:rPr>
        <w:t xml:space="preserve">lly inhibit lipid peroxidation. </w:t>
      </w:r>
      <w:r w:rsidR="007E17A7" w:rsidRPr="005250A4">
        <w:rPr>
          <w:rFonts w:ascii="Arial" w:hAnsi="Arial" w:cs="Arial"/>
          <w:color w:val="000000" w:themeColor="text1"/>
          <w:sz w:val="20"/>
          <w:szCs w:val="20"/>
          <w:lang w:val="en-US"/>
        </w:rPr>
        <w:t>P</w:t>
      </w:r>
      <w:r w:rsidRPr="005250A4">
        <w:rPr>
          <w:rFonts w:ascii="Arial" w:hAnsi="Arial" w:cs="Arial"/>
          <w:color w:val="000000" w:themeColor="text1"/>
          <w:sz w:val="20"/>
          <w:szCs w:val="20"/>
          <w:lang w:val="en-US"/>
        </w:rPr>
        <w:t>olyphenols</w:t>
      </w:r>
      <w:r w:rsidR="007E17A7" w:rsidRPr="005250A4">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possess electron-donating properties. This reducing property of tannins helps neutralize free radicals by forming </w:t>
      </w:r>
      <w:r w:rsidRPr="005250A4">
        <w:rPr>
          <w:rFonts w:ascii="Arial" w:hAnsi="Arial" w:cs="Arial"/>
          <w:color w:val="000000" w:themeColor="text1"/>
          <w:sz w:val="20"/>
          <w:szCs w:val="20"/>
          <w:lang w:val="en-US"/>
        </w:rPr>
        <w:lastRenderedPageBreak/>
        <w:t xml:space="preserve">stable products, effectively terminating radical chain reactions that can be detrimental to the organism </w:t>
      </w:r>
      <w:r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{"citationItems":[{"id":"ITEM-1","itemData":{"DOI":"10.1016/j.arabjc.2009.12.008","ISSN":"18785352","abstract":"Tannic acid, a naturally occurring plant polyphenol, is composed of a central glucose molecule derivatized at its hydroxyl groups with one or more galloyl residues. In the present paper, we examines the in vitro radical scavenging and antioxidant capacity of tannic acid by using different in vitro analytical methodologies such as 1,1-diphenyl-2-picryl-hydrazyl free radical (DPPH{radical dot}) scavenging, 2,2′-azino-bis(3-ethylbenzthiazoline-6-sulfonic acid) (ABTS) radical scavenging activity, total antioxidant activity determination by ferric thiocyanate, total reducing ability determination using by Fe3+-Fe2+ transformation method, superoxide anion radical scavenging by riboflavin-methionine-illuminate system, hydrogen peroxide scavenging and ferrous ions (Fe2+) chelating activities. Also, butylated hydroxyanisole (BHA), butylated hydroxytoluene (BHT), α-tocopherol and trolox, a water-soluble analogue of tocopherol, were used as the reference antioxidant radical scavenger compounds. Tannic acid inhibited 97.7% lipid peroxidation of linoleic acid emulsion at 15 μg/mL concentration. On the other hand, the above mentioned standard antioxidants indicated an inhibition of 92.2%, 99.6%, 84.6% and 95.6% on peroxidation of linoleic acid emulsion at 45 μg/mL concentration, respectively. In addition, tannic acid had an effective DPPH{radical dot} scavenging, ABTS{radical dot}+ radical scavenging, superoxide anion radical scavenging, hydrogen peroxide scavenging, Fe3+ reducing power and metal chelating on ferrous ions activities. Also, those various antioxidant activities were compared to BHA, BHT, α-tocopherol and trolox as references antioxidant compounds. The present study shows that tannic acid is the effective natural antioxidant component that can be used as food preservative agents or nutraceuticals. © 2009.","author":[{"dropping-particle":"","family":"Gülçin","given":"Ilhami","non-dropping-particle":"","parse-names":false,"suffix":""},{"dropping-particle":"","family":"Huyut","given":"Zübeyr","non-dropping-particle":"","parse-names":false,"suffix":""},{"dropping-particle":"","family":"Elmastaş","given":"Mahfuz","non-dropping-particle":"","parse-names":false,"suffix":""},{"dropping-particle":"","family":"Aboul-Enein","given":"Hassan Y.","non-dropping-particle":"","parse-names":false,"suffix":""}],"container-title":"Arabian Journal of Chemistry","id":"ITEM-1","issue":"1","issued":{"date-parts":[["2010"]]},"page":"43-53","title":"Radical scavenging and antioxidant activity of tannic acid","type":"article-journal","volume":"3"},"uris":["http://www.mendeley.com/documents/?uuid=d61f38c7-e76c-41d4-87b1-7d57e50770b9"]}],"mendeley":{"formattedCitation":"(Gülçin et al., 2010)","plainTextFormattedCitation":"(Gülçin et al., 2010)","previouslyFormattedCitation":"(Gülçin et al., 2010)"},"properties":{"noteIndex":0},"schema":"https://github.com/citation-style-language/schema/raw/master/csl-citation.json"}</w:instrText>
      </w:r>
      <w:r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(Gülçin et al., 2010)</w:t>
      </w:r>
      <w:r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In contrast, flavonoids, with their diverse range, inhibit or slow oxidation processes generated by free radicals and reactive oxygen species (ROS) within the body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{"citationItems":[{"id":"ITEM-1","itemData":{"DOI":"10.1080/14786419.2018.1493588","ISSN":"14786427","PMID":"30445839","abstract":"Flavonoids have aroused much interest in research, since they present a great diversity of biological activities observed in vitro, such as: antioxidant effect, modulation of the enzymatic activity and inhibition of cellular proliferation, exerting beneficial effects on the organism, as well as the use of its therapeutic potential. With wide distribution in the plant kingdom represent a class of phenolic compounds that differ in their chemical structure and particular characteristics. The objective of this review was to describe the relevant aspects of flavonoids, reporting the different known groups, the probable mechanisms by which they act, their pharmacological properties and to gain a better understanding of the reported beneficial health effects of these substances. This systematic review consisted of research using scientific databases such as Scopus, Science Direct, PubMed, SciVerse and SciELO, without time limitation. Some pharmacological properties of some flavonoids and their health benefits have been confirmed by previous studies.","author":[{"dropping-particle":"","family":"Jucá","given":"Mércia Marques","non-dropping-particle":"","parse-names":false,"suffix":""},{"dropping-particle":"","family":"Cysne Filho","given":"Francisco Mauricio Sales","non-dropping-particle":"","parse-names":false,"suffix":""},{"dropping-particle":"","family":"Almeida","given":"Jamily Cunha","non-dropping-particle":"de","parse-names":false,"suffix":""},{"dropping-particle":"","family":"Mesquita","given":"Dara da Silva","non-dropping-particle":"","parse-names":false,"suffix":""},{"dropping-particle":"","family":"Barriga","given":"Jéssica Rodrigues de Moraes","non-dropping-particle":"","parse-names":false,"suffix":""},{"dropping-particle":"","family":"Dias","given":"Kátia Cilene Ferreira","non-dropping-particle":"","parse-names":false,"suffix":""},{"dropping-particle":"","family":"Barbosa","given":"Talita Matias","non-dropping-particle":"","parse-names":false,"suffix":""},{"dropping-particle":"","family":"Vasconcelos","given":"Luna Costa","non-dropping-particle":"","parse-names":false,"suffix":""},{"dropping-particle":"","family":"Leal","given":"Luzia Kalyne Almeida Moreira","non-dropping-particle":"","parse-names":false,"suffix":""},{"dropping-particle":"","family":"Ribeiro","given":"José Eduardo","non-dropping-particle":"","parse-names":false,"suffix":""},{"dropping-particle":"","family":"Vasconcelos","given":"Silvânia Maria Mendes","non-dropping-particle":"","parse-names":false,"suffix":""}],"container-title":"Natural Product Research","id":"ITEM-1","issue":"5","issued":{"date-parts":[["2020"]]},"page":"692-705","title":"Flavonoids: biological activities and therapeutic potential","type":"article-journal","volume":"34"},"uris":["http://www.mendeley.com/documents/?uuid=9992e889-10cd-4a42-bd93-61f331744405"]}],"mendeley":{"formattedCitation":"(Jucá et al., 2020)","plainTextFormattedCitation":"(Jucá et al., 2020)","previouslyFormattedCitation":"(Jucá et al., 2020)"},"properties":{"noteIndex":0},"schema":"https://github.com/citation-style-language/schema/raw/master/csl-citation.json"}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(Jucá et al., 2020)</w:t>
      </w:r>
      <w:r w:rsidR="00563493" w:rsidRPr="005250A4">
        <w:rPr>
          <w:rFonts w:ascii="Arial" w:hAnsi="Arial" w:cs="Arial"/>
          <w:color w:val="000000" w:themeColor="text1"/>
          <w:sz w:val="20"/>
          <w:szCs w:val="20"/>
        </w:rPr>
        <w:fldChar w:fldCharType="end"/>
      </w:r>
      <w:r w:rsidRPr="005250A4">
        <w:rPr>
          <w:rFonts w:ascii="Arial" w:hAnsi="Arial" w:cs="Arial"/>
          <w:color w:val="000000" w:themeColor="text1"/>
          <w:sz w:val="20"/>
          <w:szCs w:val="20"/>
          <w:lang w:val="en-US"/>
        </w:rPr>
        <w:t xml:space="preserve">. Additionally, zinc, akin to flavonoids, acts as an inhibitor of NADPH oxidase, leading to reduced ROS generation. Zinc also serves as a cofactor for superoxide dismutase (SOD), an enzyme </w:t>
      </w:r>
      <w:r w:rsidR="007E17A7" w:rsidRPr="005250A4">
        <w:rPr>
          <w:rFonts w:ascii="Arial" w:hAnsi="Arial" w:cs="Arial"/>
          <w:color w:val="000000" w:themeColor="text1"/>
          <w:sz w:val="20"/>
          <w:szCs w:val="20"/>
          <w:lang w:val="en-US"/>
        </w:rPr>
        <w:t xml:space="preserve">that </w:t>
      </w:r>
      <w:r w:rsidRPr="005250A4">
        <w:rPr>
          <w:rFonts w:ascii="Arial" w:hAnsi="Arial" w:cs="Arial"/>
          <w:color w:val="000000" w:themeColor="text1"/>
          <w:sz w:val="20"/>
          <w:szCs w:val="20"/>
          <w:lang w:val="en-US"/>
        </w:rPr>
        <w:t>catal</w:t>
      </w:r>
      <w:r w:rsidR="00563493" w:rsidRPr="005250A4">
        <w:rPr>
          <w:rFonts w:ascii="Arial" w:hAnsi="Arial" w:cs="Arial"/>
          <w:color w:val="000000" w:themeColor="text1"/>
          <w:sz w:val="20"/>
          <w:szCs w:val="20"/>
          <w:lang w:val="en-US"/>
        </w:rPr>
        <w:t>yz</w:t>
      </w:r>
      <w:r w:rsidR="007E17A7" w:rsidRPr="005250A4">
        <w:rPr>
          <w:rFonts w:ascii="Arial" w:hAnsi="Arial" w:cs="Arial"/>
          <w:color w:val="000000" w:themeColor="text1"/>
          <w:sz w:val="20"/>
          <w:szCs w:val="20"/>
          <w:lang w:val="en-US"/>
        </w:rPr>
        <w:t>es</w:t>
      </w:r>
      <w:r w:rsidR="00563493" w:rsidRPr="005250A4">
        <w:rPr>
          <w:rFonts w:ascii="Arial" w:hAnsi="Arial" w:cs="Arial"/>
          <w:color w:val="000000" w:themeColor="text1"/>
          <w:sz w:val="20"/>
          <w:szCs w:val="20"/>
          <w:lang w:val="en-US"/>
        </w:rPr>
        <w:t xml:space="preserve"> the </w:t>
      </w:r>
      <w:proofErr w:type="spellStart"/>
      <w:r w:rsidR="00563493" w:rsidRPr="005250A4">
        <w:rPr>
          <w:rFonts w:ascii="Arial" w:hAnsi="Arial" w:cs="Arial"/>
          <w:color w:val="000000" w:themeColor="text1"/>
          <w:sz w:val="20"/>
          <w:szCs w:val="20"/>
          <w:lang w:val="en-US"/>
        </w:rPr>
        <w:t>dismutation</w:t>
      </w:r>
      <w:proofErr w:type="spellEnd"/>
      <w:r w:rsidR="00563493" w:rsidRPr="005250A4">
        <w:rPr>
          <w:rFonts w:ascii="Arial" w:hAnsi="Arial" w:cs="Arial"/>
          <w:color w:val="000000" w:themeColor="text1"/>
          <w:sz w:val="20"/>
          <w:szCs w:val="20"/>
          <w:lang w:val="en-US"/>
        </w:rPr>
        <w:t xml:space="preserve"> of </w:t>
      </w:r>
      <m:oMath>
        <m:sSubSup>
          <m:sSubSupPr>
            <m:ctrlPr>
              <w:rPr>
                <w:rFonts w:ascii="Cambria Math" w:hAnsi="Cambria Math" w:cs="Arial"/>
                <w:color w:val="000000" w:themeColor="text1"/>
                <w:sz w:val="20"/>
                <w:szCs w:val="20"/>
              </w:rPr>
            </m:ctrlPr>
          </m:sSubSupPr>
          <m:e>
            <m:r>
              <m:rPr>
                <m:sty m:val="p"/>
              </m:rPr>
              <w:rPr>
                <w:rFonts w:ascii="Cambria Math" w:hAnsi="Cambria Math" w:cs="Arial"/>
                <w:color w:val="000000" w:themeColor="text1"/>
                <w:sz w:val="20"/>
                <w:szCs w:val="20"/>
                <w:lang w:val="en-US"/>
              </w:rPr>
              <m:t>O</m:t>
            </m:r>
          </m:e>
          <m:sub>
            <m:r>
              <m:rPr>
                <m:sty m:val="p"/>
              </m:rPr>
              <w:rPr>
                <w:rFonts w:ascii="Cambria Math" w:hAnsi="Cambria Math" w:cs="Arial"/>
                <w:color w:val="000000" w:themeColor="text1"/>
                <w:sz w:val="20"/>
                <w:szCs w:val="20"/>
                <w:lang w:val="en-US"/>
              </w:rPr>
              <m:t>2</m:t>
            </m:r>
          </m:sub>
          <m:sup>
            <m:r>
              <m:rPr>
                <m:sty m:val="p"/>
              </m:rPr>
              <w:rPr>
                <w:rFonts w:ascii="Cambria Math" w:hAnsi="Cambria Math" w:cs="Arial"/>
                <w:color w:val="000000" w:themeColor="text1"/>
                <w:sz w:val="20"/>
                <w:szCs w:val="20"/>
                <w:lang w:val="en-US"/>
              </w:rPr>
              <m:t>. -</m:t>
            </m:r>
          </m:sup>
        </m:sSubSup>
      </m:oMath>
      <w:r w:rsidR="00563493" w:rsidRPr="005250A4">
        <w:rPr>
          <w:rFonts w:ascii="Arial" w:hAnsi="Arial" w:cs="Arial"/>
          <w:color w:val="000000" w:themeColor="text1"/>
          <w:sz w:val="20"/>
          <w:szCs w:val="20"/>
          <w:lang w:val="en-US"/>
        </w:rPr>
        <w:t xml:space="preserve"> to H</w:t>
      </w:r>
      <w:r w:rsidR="00563493" w:rsidRPr="005250A4">
        <w:rPr>
          <w:rFonts w:ascii="Arial" w:hAnsi="Arial" w:cs="Arial"/>
          <w:color w:val="000000" w:themeColor="text1"/>
          <w:sz w:val="20"/>
          <w:szCs w:val="20"/>
          <w:vertAlign w:val="subscript"/>
          <w:lang w:val="en-US"/>
        </w:rPr>
        <w:t>2</w:t>
      </w:r>
      <w:r w:rsidR="00563493" w:rsidRPr="005250A4">
        <w:rPr>
          <w:rFonts w:ascii="Arial" w:hAnsi="Arial" w:cs="Arial"/>
          <w:color w:val="000000" w:themeColor="text1"/>
          <w:sz w:val="20"/>
          <w:szCs w:val="20"/>
          <w:lang w:val="en-US"/>
        </w:rPr>
        <w:t>O</w:t>
      </w:r>
      <w:r w:rsidR="00563493" w:rsidRPr="005250A4">
        <w:rPr>
          <w:rFonts w:ascii="Arial" w:hAnsi="Arial" w:cs="Arial"/>
          <w:color w:val="000000" w:themeColor="text1"/>
          <w:sz w:val="20"/>
          <w:szCs w:val="20"/>
          <w:vertAlign w:val="subscript"/>
          <w:lang w:val="en-US"/>
        </w:rPr>
        <w:t>2</w:t>
      </w:r>
      <w:r w:rsidRPr="005250A4">
        <w:rPr>
          <w:rFonts w:ascii="Arial" w:hAnsi="Arial" w:cs="Arial"/>
          <w:color w:val="000000" w:themeColor="text1"/>
          <w:sz w:val="20"/>
          <w:szCs w:val="20"/>
          <w:lang w:val="en-US"/>
        </w:rPr>
        <w:t xml:space="preserve">. Furthermore, zinc induces the production of </w:t>
      </w:r>
      <w:proofErr w:type="spellStart"/>
      <w:r w:rsidRPr="005250A4">
        <w:rPr>
          <w:rFonts w:ascii="Arial" w:hAnsi="Arial" w:cs="Arial"/>
          <w:color w:val="000000" w:themeColor="text1"/>
          <w:sz w:val="20"/>
          <w:szCs w:val="20"/>
          <w:lang w:val="en-US"/>
        </w:rPr>
        <w:t>metallothionein</w:t>
      </w:r>
      <w:proofErr w:type="spellEnd"/>
      <w:r w:rsidRPr="005250A4">
        <w:rPr>
          <w:rFonts w:ascii="Arial" w:hAnsi="Arial" w:cs="Arial"/>
          <w:color w:val="000000" w:themeColor="text1"/>
          <w:sz w:val="20"/>
          <w:szCs w:val="20"/>
          <w:lang w:val="en-US"/>
        </w:rPr>
        <w:t xml:space="preserve">, which is rich in cysteine and serves as an excellent detoxification agent for </w:t>
      </w:r>
      <m:oMath>
        <m:sSup>
          <m:sSupPr>
            <m:ctrlPr>
              <w:rPr>
                <w:rFonts w:ascii="Cambria Math" w:hAnsi="Cambria Math" w:cs="Arial"/>
                <w:color w:val="000000" w:themeColor="text1"/>
                <w:sz w:val="20"/>
                <w:szCs w:val="20"/>
              </w:rPr>
            </m:ctrlPr>
          </m:sSupPr>
          <m:e>
            <m:r>
              <m:rPr>
                <m:sty m:val="p"/>
              </m:rPr>
              <w:rPr>
                <w:rFonts w:ascii="Cambria Math" w:hAnsi="Cambria Math" w:cs="Arial"/>
                <w:color w:val="000000" w:themeColor="text1"/>
                <w:sz w:val="20"/>
                <w:szCs w:val="20"/>
                <w:lang w:val="en-US"/>
              </w:rPr>
              <m:t>HO</m:t>
            </m:r>
          </m:e>
          <m:sup>
            <m:r>
              <m:rPr>
                <m:sty m:val="p"/>
              </m:rPr>
              <w:rPr>
                <w:rFonts w:ascii="Cambria Math" w:hAnsi="Cambria Math" w:cs="Arial"/>
                <w:color w:val="000000" w:themeColor="text1"/>
                <w:sz w:val="20"/>
                <w:szCs w:val="20"/>
                <w:lang w:val="en-US"/>
              </w:rPr>
              <m:t>.</m:t>
            </m:r>
          </m:sup>
        </m:sSup>
      </m:oMath>
      <w:r w:rsidR="00563493" w:rsidRPr="005250A4">
        <w:rPr>
          <w:rFonts w:ascii="Arial" w:hAnsi="Arial" w:cs="Arial"/>
          <w:color w:val="000000" w:themeColor="text1"/>
          <w:sz w:val="20"/>
          <w:szCs w:val="20"/>
          <w:lang w:val="en-US"/>
        </w:rPr>
        <w:t xml:space="preserve"> </w:t>
      </w:r>
      <w:r w:rsidR="00563493" w:rsidRPr="005250A4">
        <w:rPr>
          <w:rFonts w:ascii="Arial" w:hAnsi="Arial" w:cs="Arial"/>
          <w:color w:val="000000" w:themeColor="text1"/>
          <w:sz w:val="20"/>
          <w:szCs w:val="20"/>
        </w:rPr>
        <w:fldChar w:fldCharType="begin" w:fldLock="1"/>
      </w:r>
      <w:r w:rsidR="00E91D2D">
        <w:rPr>
          <w:rFonts w:ascii="Arial" w:hAnsi="Arial" w:cs="Arial"/>
          <w:color w:val="000000" w:themeColor="text1"/>
          <w:sz w:val="20"/>
          <w:szCs w:val="20"/>
          <w:lang w:val="en-US"/>
        </w:rPr>
        <w:instrText>ADDIN CSL_CITATION {"citationItems":[{"id":"ITEM-1","itemData":{"DOI":"10.3389/fnut.2014.00014","ISSN":"2296861X","abstract":"Zinc supplementation trials in the elderly showed that the incidence of infections was decreased by approximately 66% in the zinc group. Zinc supplementation also decreased oxidative stress biomarkers and decreased inflammatory cytokines in the elderly. In our studies in the experimental model of zinc deficiency in humans, we showed that zinc deficiency per se increased the generation of IL-1β and its mRNA in human mononuclear cells following LPS stimulation. Zinc supplementation upregulated A20, a zinc transcription factor, which inhibited the activation of NF-κB, resulting in decreased generation of inflammatory cytokines. Oxidative stress and chronic inflammation are important contributing factors for several chronic diseases attributed to aging, such as atherosclerosis and related cardiac disorders, cancer, neurodegeneration, immunologic disorders and the aging process itself. Zinc is very effective in decreasing reactive oxygen species (ROS). In this review, the mechanism of zinc actions on oxidative stress and generation of inflammatory cytokines and its impact on health in humans will be presented.","author":[{"dropping-particle":"","family":"Prasad","given":"Ananda S.","non-dropping-particle":"","parse-names":false,"suffix":""}],"container-title":"Frontiers in Nutrition","id":"ITEM-1","issue":"September","issued":{"date-parts":[["2014"]]},"page":"1-10","title":"Zinc is an Antioxidant and Anti-Inflammatory Agent: Its Role in Human Health","type":"article-journal","volume":"1"},"uris":["http://www.mendeley.com/documents/?uuid=18033671-08b8-44a3-9ff6-a82a8ca01583"]}],"mendeley":{"formattedCitation":"(Prasad, 2014)","plainTextFormattedCitation":"(Prasad, 2014)","previouslyFormattedCitation":"(Prasad, 2014)"},"properties":{"noteIndex":0},"schema":"https://github.com/citation-style-language/schema/raw/master/csl-citation.json"}</w:instrText>
      </w:r>
      <w:r w:rsidR="00563493" w:rsidRPr="005250A4">
        <w:rPr>
          <w:rFonts w:ascii="Arial" w:hAnsi="Arial" w:cs="Arial"/>
          <w:color w:val="000000" w:themeColor="text1"/>
          <w:sz w:val="20"/>
          <w:szCs w:val="20"/>
        </w:rPr>
        <w:fldChar w:fldCharType="separate"/>
      </w:r>
      <w:r w:rsidR="00302617" w:rsidRPr="00302617">
        <w:rPr>
          <w:rFonts w:ascii="Arial" w:hAnsi="Arial" w:cs="Arial"/>
          <w:noProof/>
          <w:color w:val="000000" w:themeColor="text1"/>
          <w:sz w:val="20"/>
          <w:szCs w:val="20"/>
          <w:lang w:val="en-US"/>
        </w:rPr>
        <w:t>(Prasad, 2014)</w:t>
      </w:r>
      <w:r w:rsidR="00563493" w:rsidRPr="005250A4">
        <w:rPr>
          <w:rFonts w:ascii="Arial" w:hAnsi="Arial" w:cs="Arial"/>
          <w:color w:val="000000" w:themeColor="text1"/>
          <w:sz w:val="20"/>
          <w:szCs w:val="20"/>
        </w:rPr>
        <w:fldChar w:fldCharType="end"/>
      </w:r>
      <w:r w:rsidR="00563493"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p>
    <w:p w14:paraId="3902D8D0" w14:textId="77777777" w:rsidR="00260B7B" w:rsidRPr="00175578" w:rsidRDefault="006D3A34" w:rsidP="00A273BC">
      <w:pPr>
        <w:spacing w:line="360" w:lineRule="auto"/>
        <w:jc w:val="both"/>
        <w:rPr>
          <w:rFonts w:ascii="Times New Roman" w:hAnsi="Times New Roman" w:cs="Times New Roman"/>
          <w:color w:val="000000" w:themeColor="text1"/>
          <w:sz w:val="24"/>
          <w:szCs w:val="24"/>
          <w:lang w:val="en-US"/>
        </w:rPr>
      </w:pPr>
      <w:r w:rsidRPr="00175578">
        <w:rPr>
          <w:rFonts w:ascii="Times New Roman" w:hAnsi="Times New Roman" w:cs="Times New Roman"/>
          <w:noProof/>
          <w:color w:val="000000" w:themeColor="text1"/>
          <w:lang w:val="en-US"/>
        </w:rPr>
        <w:drawing>
          <wp:inline distT="0" distB="0" distL="0" distR="0" wp14:anchorId="18E028DB" wp14:editId="4CD9AB72">
            <wp:extent cx="6257925" cy="31623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031FD7" w14:textId="3322DEC4" w:rsidR="00036666" w:rsidRPr="00987596" w:rsidRDefault="00241C57" w:rsidP="00987596">
      <w:pPr>
        <w:pStyle w:val="NormalWeb"/>
        <w:spacing w:before="0" w:beforeAutospacing="0" w:line="360" w:lineRule="auto"/>
        <w:jc w:val="center"/>
        <w:rPr>
          <w:rFonts w:ascii="Arial" w:hAnsi="Arial" w:cs="Arial"/>
          <w:bCs/>
          <w:color w:val="000000" w:themeColor="text1"/>
          <w:sz w:val="20"/>
          <w:szCs w:val="20"/>
          <w:lang w:val="en-US"/>
        </w:rPr>
      </w:pPr>
      <w:r w:rsidRPr="005250A4">
        <w:rPr>
          <w:rFonts w:ascii="Arial" w:hAnsi="Arial" w:cs="Arial"/>
          <w:color w:val="000000" w:themeColor="text1"/>
          <w:sz w:val="20"/>
          <w:szCs w:val="20"/>
          <w:lang w:val="en-US"/>
        </w:rPr>
        <w:t>Fig</w:t>
      </w:r>
      <w:r w:rsidR="00761298" w:rsidRPr="005250A4">
        <w:rPr>
          <w:rFonts w:ascii="Arial" w:hAnsi="Arial" w:cs="Arial"/>
          <w:color w:val="000000" w:themeColor="text1"/>
          <w:sz w:val="20"/>
          <w:szCs w:val="20"/>
          <w:lang w:val="en-US"/>
        </w:rPr>
        <w:t>.</w:t>
      </w:r>
      <w:r w:rsidRPr="005250A4">
        <w:rPr>
          <w:rFonts w:ascii="Arial" w:hAnsi="Arial" w:cs="Arial"/>
          <w:color w:val="000000" w:themeColor="text1"/>
          <w:sz w:val="20"/>
          <w:szCs w:val="20"/>
          <w:lang w:val="en-US"/>
        </w:rPr>
        <w:t xml:space="preserve"> </w:t>
      </w:r>
      <w:r w:rsidR="002A1BBD" w:rsidRPr="005250A4">
        <w:rPr>
          <w:rFonts w:ascii="Arial" w:hAnsi="Arial" w:cs="Arial"/>
          <w:color w:val="000000" w:themeColor="text1"/>
          <w:sz w:val="20"/>
          <w:szCs w:val="20"/>
          <w:lang w:val="en-US"/>
        </w:rPr>
        <w:t>1</w:t>
      </w:r>
      <w:r w:rsidR="00761298" w:rsidRPr="005250A4">
        <w:rPr>
          <w:rFonts w:ascii="Arial" w:hAnsi="Arial" w:cs="Arial"/>
          <w:color w:val="000000" w:themeColor="text1"/>
          <w:sz w:val="20"/>
          <w:szCs w:val="20"/>
          <w:lang w:val="en-US"/>
        </w:rPr>
        <w:t>.</w:t>
      </w:r>
      <w:r w:rsidR="00E359A3" w:rsidRPr="005250A4">
        <w:rPr>
          <w:rFonts w:ascii="Arial" w:hAnsi="Arial" w:cs="Arial"/>
          <w:color w:val="000000" w:themeColor="text1"/>
          <w:sz w:val="20"/>
          <w:szCs w:val="20"/>
          <w:lang w:val="en-US"/>
        </w:rPr>
        <w:t xml:space="preserve"> Antioxidant activity</w:t>
      </w:r>
      <w:r w:rsidRPr="005250A4">
        <w:rPr>
          <w:rFonts w:ascii="Arial" w:hAnsi="Arial" w:cs="Arial"/>
          <w:color w:val="000000" w:themeColor="text1"/>
          <w:sz w:val="20"/>
          <w:szCs w:val="20"/>
          <w:lang w:val="en-US"/>
        </w:rPr>
        <w:t xml:space="preserve"> of leave</w:t>
      </w:r>
      <w:r w:rsidR="009D5750" w:rsidRPr="005250A4">
        <w:rPr>
          <w:rFonts w:ascii="Arial" w:hAnsi="Arial" w:cs="Arial"/>
          <w:color w:val="000000" w:themeColor="text1"/>
          <w:sz w:val="20"/>
          <w:szCs w:val="20"/>
          <w:lang w:val="en-US"/>
        </w:rPr>
        <w:t>s</w:t>
      </w:r>
      <w:r w:rsidRPr="005250A4">
        <w:rPr>
          <w:rFonts w:ascii="Arial" w:hAnsi="Arial" w:cs="Arial"/>
          <w:color w:val="000000" w:themeColor="text1"/>
          <w:sz w:val="20"/>
          <w:szCs w:val="20"/>
          <w:lang w:val="en-US"/>
        </w:rPr>
        <w:t xml:space="preserve"> and fruits of </w:t>
      </w:r>
      <w:proofErr w:type="spellStart"/>
      <w:r w:rsidRPr="005250A4">
        <w:rPr>
          <w:rFonts w:ascii="Arial" w:hAnsi="Arial" w:cs="Arial"/>
          <w:i/>
          <w:color w:val="000000" w:themeColor="text1"/>
          <w:sz w:val="20"/>
          <w:szCs w:val="20"/>
          <w:lang w:val="en-US"/>
        </w:rPr>
        <w:t>Corchorus</w:t>
      </w:r>
      <w:proofErr w:type="spellEnd"/>
      <w:r w:rsidRPr="005250A4">
        <w:rPr>
          <w:rFonts w:ascii="Arial" w:hAnsi="Arial" w:cs="Arial"/>
          <w:i/>
          <w:color w:val="000000" w:themeColor="text1"/>
          <w:sz w:val="20"/>
          <w:szCs w:val="20"/>
          <w:lang w:val="en-US"/>
        </w:rPr>
        <w:t xml:space="preserve"> </w:t>
      </w:r>
      <w:proofErr w:type="spellStart"/>
      <w:r w:rsidRPr="005250A4">
        <w:rPr>
          <w:rFonts w:ascii="Arial" w:hAnsi="Arial" w:cs="Arial"/>
          <w:i/>
          <w:color w:val="000000" w:themeColor="text1"/>
          <w:sz w:val="20"/>
          <w:szCs w:val="20"/>
          <w:lang w:val="en-US"/>
        </w:rPr>
        <w:t>olitorius</w:t>
      </w:r>
      <w:proofErr w:type="spellEnd"/>
      <w:r w:rsidRPr="005250A4">
        <w:rPr>
          <w:rFonts w:ascii="Arial" w:hAnsi="Arial" w:cs="Arial"/>
          <w:color w:val="000000" w:themeColor="text1"/>
          <w:sz w:val="20"/>
          <w:szCs w:val="20"/>
          <w:lang w:val="en-US"/>
        </w:rPr>
        <w:t xml:space="preserve"> and </w:t>
      </w:r>
      <w:proofErr w:type="spellStart"/>
      <w:r w:rsidR="002A1BBD" w:rsidRPr="005250A4">
        <w:rPr>
          <w:rFonts w:ascii="Arial" w:hAnsi="Arial" w:cs="Arial"/>
          <w:i/>
          <w:color w:val="000000" w:themeColor="text1"/>
          <w:sz w:val="20"/>
          <w:szCs w:val="20"/>
          <w:lang w:val="en-US"/>
        </w:rPr>
        <w:t>Abelmos</w:t>
      </w:r>
      <w:r w:rsidR="00EC75FB" w:rsidRPr="005250A4">
        <w:rPr>
          <w:rFonts w:ascii="Arial" w:hAnsi="Arial" w:cs="Arial"/>
          <w:i/>
          <w:color w:val="000000" w:themeColor="text1"/>
          <w:sz w:val="20"/>
          <w:szCs w:val="20"/>
          <w:lang w:val="en-US"/>
        </w:rPr>
        <w:t>chus</w:t>
      </w:r>
      <w:proofErr w:type="spellEnd"/>
      <w:r w:rsidR="00EC75FB" w:rsidRPr="005250A4">
        <w:rPr>
          <w:rFonts w:ascii="Arial" w:hAnsi="Arial" w:cs="Arial"/>
          <w:i/>
          <w:color w:val="000000" w:themeColor="text1"/>
          <w:sz w:val="20"/>
          <w:szCs w:val="20"/>
          <w:lang w:val="en-US"/>
        </w:rPr>
        <w:t xml:space="preserve"> </w:t>
      </w:r>
      <w:proofErr w:type="spellStart"/>
      <w:r w:rsidR="00EC75FB" w:rsidRPr="005250A4">
        <w:rPr>
          <w:rFonts w:ascii="Arial" w:hAnsi="Arial" w:cs="Arial"/>
          <w:i/>
          <w:color w:val="000000" w:themeColor="text1"/>
          <w:sz w:val="20"/>
          <w:szCs w:val="20"/>
          <w:lang w:val="en-US"/>
        </w:rPr>
        <w:t>esculentus</w:t>
      </w:r>
      <w:proofErr w:type="spellEnd"/>
      <w:r w:rsidR="00EC75FB" w:rsidRPr="005250A4">
        <w:rPr>
          <w:rFonts w:ascii="Arial" w:hAnsi="Arial" w:cs="Arial"/>
          <w:i/>
          <w:color w:val="000000" w:themeColor="text1"/>
          <w:sz w:val="20"/>
          <w:szCs w:val="20"/>
          <w:lang w:val="en-US"/>
        </w:rPr>
        <w:t xml:space="preserve"> </w:t>
      </w:r>
      <w:r w:rsidR="002A1BBD" w:rsidRPr="005250A4">
        <w:rPr>
          <w:rFonts w:ascii="Arial" w:hAnsi="Arial" w:cs="Arial"/>
          <w:color w:val="000000" w:themeColor="text1"/>
          <w:sz w:val="20"/>
          <w:szCs w:val="20"/>
          <w:lang w:val="en-US"/>
        </w:rPr>
        <w:t>(</w:t>
      </w:r>
      <w:r w:rsidR="00EE7F38" w:rsidRPr="005250A4">
        <w:rPr>
          <w:rFonts w:ascii="Arial" w:hAnsi="Arial" w:cs="Arial"/>
          <w:color w:val="000000" w:themeColor="text1"/>
          <w:sz w:val="20"/>
          <w:szCs w:val="20"/>
          <w:lang w:val="en-US"/>
        </w:rPr>
        <w:t>t</w:t>
      </w:r>
      <w:r w:rsidR="002A1BBD" w:rsidRPr="005250A4">
        <w:rPr>
          <w:rFonts w:ascii="Arial" w:hAnsi="Arial" w:cs="Arial"/>
          <w:color w:val="000000" w:themeColor="text1"/>
          <w:sz w:val="20"/>
          <w:szCs w:val="20"/>
          <w:lang w:val="en-US"/>
        </w:rPr>
        <w:t xml:space="preserve">he lowercase letters assigned to the top of each bar, </w:t>
      </w:r>
      <w:r w:rsidR="00EE7F38" w:rsidRPr="005250A4">
        <w:rPr>
          <w:rFonts w:ascii="Arial" w:hAnsi="Arial" w:cs="Arial"/>
          <w:color w:val="000000" w:themeColor="text1"/>
          <w:sz w:val="20"/>
          <w:szCs w:val="20"/>
          <w:lang w:val="en-US"/>
        </w:rPr>
        <w:t xml:space="preserve">which are </w:t>
      </w:r>
      <w:r w:rsidR="002A1BBD" w:rsidRPr="005250A4">
        <w:rPr>
          <w:rFonts w:ascii="Arial" w:hAnsi="Arial" w:cs="Arial"/>
          <w:color w:val="000000" w:themeColor="text1"/>
          <w:sz w:val="20"/>
          <w:szCs w:val="20"/>
          <w:lang w:val="en-US"/>
        </w:rPr>
        <w:t xml:space="preserve">distinct for each plant matrix, indicate a significant difference at the probability threshold of </w:t>
      </w:r>
      <w:r w:rsidR="00014DE2" w:rsidRPr="005250A4">
        <w:rPr>
          <w:rStyle w:val="lev"/>
          <w:rFonts w:ascii="Arial" w:hAnsi="Arial" w:cs="Arial"/>
          <w:b w:val="0"/>
          <w:color w:val="000000" w:themeColor="text1"/>
          <w:sz w:val="20"/>
          <w:szCs w:val="20"/>
          <w:lang w:val="en-US"/>
        </w:rPr>
        <w:t xml:space="preserve">P </w:t>
      </w:r>
      <w:r w:rsidR="00CA7959" w:rsidRPr="005250A4">
        <w:rPr>
          <w:rStyle w:val="lev"/>
          <w:rFonts w:ascii="Arial" w:hAnsi="Arial" w:cs="Arial"/>
          <w:b w:val="0"/>
          <w:color w:val="000000" w:themeColor="text1"/>
          <w:sz w:val="20"/>
          <w:szCs w:val="20"/>
          <w:lang w:val="en-US"/>
        </w:rPr>
        <w:t>&lt;</w:t>
      </w:r>
      <w:r w:rsidR="002A1BBD" w:rsidRPr="005250A4">
        <w:rPr>
          <w:rStyle w:val="lev"/>
          <w:rFonts w:ascii="Arial" w:hAnsi="Arial" w:cs="Arial"/>
          <w:b w:val="0"/>
          <w:color w:val="000000" w:themeColor="text1"/>
          <w:sz w:val="20"/>
          <w:szCs w:val="20"/>
          <w:lang w:val="en-US"/>
        </w:rPr>
        <w:t xml:space="preserve"> .05)</w:t>
      </w:r>
      <w:r w:rsidR="00D7533E" w:rsidRPr="005250A4">
        <w:rPr>
          <w:rFonts w:ascii="Arial" w:hAnsi="Arial" w:cs="Arial"/>
          <w:color w:val="000000" w:themeColor="text1"/>
          <w:sz w:val="20"/>
          <w:szCs w:val="20"/>
          <w:lang w:val="en-US"/>
        </w:rPr>
        <w:tab/>
      </w:r>
    </w:p>
    <w:p w14:paraId="2B58738A" w14:textId="77777777" w:rsidR="008A6B66" w:rsidRPr="00175578" w:rsidRDefault="008A6B66" w:rsidP="00C240F5">
      <w:pPr>
        <w:tabs>
          <w:tab w:val="left" w:pos="4710"/>
        </w:tabs>
        <w:rPr>
          <w:rFonts w:ascii="Times New Roman" w:hAnsi="Times New Roman" w:cs="Times New Roman"/>
          <w:color w:val="000000" w:themeColor="text1"/>
          <w:lang w:val="en-US"/>
        </w:rPr>
        <w:sectPr w:rsidR="008A6B66" w:rsidRPr="00175578" w:rsidSect="00E95FD3">
          <w:pgSz w:w="11906" w:h="16838"/>
          <w:pgMar w:top="1417" w:right="1417" w:bottom="1417" w:left="1417" w:header="708" w:footer="708" w:gutter="0"/>
          <w:cols w:space="708"/>
          <w:docGrid w:linePitch="360"/>
        </w:sectPr>
      </w:pPr>
    </w:p>
    <w:p w14:paraId="7B5532B8" w14:textId="565E252E" w:rsidR="0022296C" w:rsidRPr="005250A4" w:rsidRDefault="00202D84" w:rsidP="0020641D">
      <w:pPr>
        <w:pStyle w:val="Paragraphedeliste"/>
        <w:numPr>
          <w:ilvl w:val="0"/>
          <w:numId w:val="7"/>
        </w:numPr>
        <w:tabs>
          <w:tab w:val="left" w:pos="2685"/>
        </w:tabs>
        <w:spacing w:before="240"/>
        <w:ind w:left="284" w:hanging="284"/>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lastRenderedPageBreak/>
        <w:t xml:space="preserve">CONCLUSION </w:t>
      </w:r>
    </w:p>
    <w:p w14:paraId="64325CBA" w14:textId="47477F4E" w:rsidR="007246B7" w:rsidRPr="005250A4" w:rsidRDefault="007246B7" w:rsidP="00545209">
      <w:pPr>
        <w:pStyle w:val="NormalWeb"/>
        <w:spacing w:line="360" w:lineRule="auto"/>
        <w:rPr>
          <w:rFonts w:ascii="Arial" w:hAnsi="Arial" w:cs="Arial"/>
          <w:color w:val="000000" w:themeColor="text1"/>
          <w:sz w:val="20"/>
          <w:szCs w:val="20"/>
          <w:lang w:val="en-US"/>
        </w:rPr>
      </w:pPr>
      <w:r w:rsidRPr="007246B7">
        <w:rPr>
          <w:rFonts w:ascii="Arial" w:hAnsi="Arial" w:cs="Arial"/>
          <w:color w:val="000000" w:themeColor="text1"/>
          <w:sz w:val="20"/>
          <w:szCs w:val="20"/>
          <w:lang w:val="en-US"/>
        </w:rPr>
        <w:t xml:space="preserve">The aim of this study was to determine the powders derived from the leaves and fruits of </w:t>
      </w:r>
      <w:proofErr w:type="spellStart"/>
      <w:r w:rsidRPr="007246B7">
        <w:rPr>
          <w:rFonts w:ascii="Arial" w:hAnsi="Arial" w:cs="Arial"/>
          <w:i/>
          <w:iCs/>
          <w:color w:val="000000" w:themeColor="text1"/>
          <w:sz w:val="20"/>
          <w:szCs w:val="20"/>
          <w:lang w:val="en-US"/>
        </w:rPr>
        <w:t>Corchorus</w:t>
      </w:r>
      <w:proofErr w:type="spellEnd"/>
      <w:r w:rsidRPr="007246B7">
        <w:rPr>
          <w:rFonts w:ascii="Arial" w:hAnsi="Arial" w:cs="Arial"/>
          <w:i/>
          <w:iCs/>
          <w:color w:val="000000" w:themeColor="text1"/>
          <w:sz w:val="20"/>
          <w:szCs w:val="20"/>
          <w:lang w:val="en-US"/>
        </w:rPr>
        <w:t xml:space="preserve"> </w:t>
      </w:r>
      <w:proofErr w:type="spellStart"/>
      <w:r w:rsidRPr="007246B7">
        <w:rPr>
          <w:rFonts w:ascii="Arial" w:hAnsi="Arial" w:cs="Arial"/>
          <w:i/>
          <w:iCs/>
          <w:color w:val="000000" w:themeColor="text1"/>
          <w:sz w:val="20"/>
          <w:szCs w:val="20"/>
          <w:lang w:val="en-US"/>
        </w:rPr>
        <w:t>olitorius</w:t>
      </w:r>
      <w:proofErr w:type="spellEnd"/>
      <w:r w:rsidRPr="007246B7">
        <w:rPr>
          <w:rFonts w:ascii="Arial" w:hAnsi="Arial" w:cs="Arial"/>
          <w:color w:val="000000" w:themeColor="text1"/>
          <w:sz w:val="20"/>
          <w:szCs w:val="20"/>
          <w:lang w:val="en-US"/>
        </w:rPr>
        <w:t xml:space="preserve"> and </w:t>
      </w:r>
      <w:proofErr w:type="spellStart"/>
      <w:r w:rsidRPr="007246B7">
        <w:rPr>
          <w:rFonts w:ascii="Arial" w:hAnsi="Arial" w:cs="Arial"/>
          <w:i/>
          <w:iCs/>
          <w:color w:val="000000" w:themeColor="text1"/>
          <w:sz w:val="20"/>
          <w:szCs w:val="20"/>
          <w:lang w:val="en-US"/>
        </w:rPr>
        <w:t>Abelmoschus</w:t>
      </w:r>
      <w:proofErr w:type="spellEnd"/>
      <w:r w:rsidRPr="007246B7">
        <w:rPr>
          <w:rFonts w:ascii="Arial" w:hAnsi="Arial" w:cs="Arial"/>
          <w:i/>
          <w:iCs/>
          <w:color w:val="000000" w:themeColor="text1"/>
          <w:sz w:val="20"/>
          <w:szCs w:val="20"/>
          <w:lang w:val="en-US"/>
        </w:rPr>
        <w:t xml:space="preserve"> </w:t>
      </w:r>
      <w:proofErr w:type="spellStart"/>
      <w:r w:rsidRPr="007246B7">
        <w:rPr>
          <w:rFonts w:ascii="Arial" w:hAnsi="Arial" w:cs="Arial"/>
          <w:i/>
          <w:iCs/>
          <w:color w:val="000000" w:themeColor="text1"/>
          <w:sz w:val="20"/>
          <w:szCs w:val="20"/>
          <w:lang w:val="en-US"/>
        </w:rPr>
        <w:t>esculentus</w:t>
      </w:r>
      <w:proofErr w:type="spellEnd"/>
      <w:r w:rsidRPr="007246B7">
        <w:rPr>
          <w:rFonts w:ascii="Arial" w:hAnsi="Arial" w:cs="Arial"/>
          <w:color w:val="000000" w:themeColor="text1"/>
          <w:sz w:val="20"/>
          <w:szCs w:val="20"/>
          <w:lang w:val="en-US"/>
        </w:rPr>
        <w:t>, which simultaneously exhibit high</w:t>
      </w:r>
      <w:r w:rsidR="000854BE">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xml:space="preserve">, high nutrient density, and reduced energy density. The powders from </w:t>
      </w:r>
      <w:r w:rsidRPr="007246B7">
        <w:rPr>
          <w:rFonts w:ascii="Arial" w:hAnsi="Arial" w:cs="Arial"/>
          <w:i/>
          <w:iCs/>
          <w:color w:val="000000" w:themeColor="text1"/>
          <w:sz w:val="20"/>
          <w:szCs w:val="20"/>
          <w:lang w:val="en-US"/>
        </w:rPr>
        <w:t xml:space="preserve">C. </w:t>
      </w:r>
      <w:proofErr w:type="spellStart"/>
      <w:r w:rsidRPr="007246B7">
        <w:rPr>
          <w:rFonts w:ascii="Arial" w:hAnsi="Arial" w:cs="Arial"/>
          <w:i/>
          <w:iCs/>
          <w:color w:val="000000" w:themeColor="text1"/>
          <w:sz w:val="20"/>
          <w:szCs w:val="20"/>
          <w:lang w:val="en-US"/>
        </w:rPr>
        <w:t>olitorius</w:t>
      </w:r>
      <w:proofErr w:type="spellEnd"/>
      <w:r w:rsidRPr="007246B7">
        <w:rPr>
          <w:rFonts w:ascii="Arial" w:hAnsi="Arial" w:cs="Arial"/>
          <w:color w:val="000000" w:themeColor="text1"/>
          <w:sz w:val="20"/>
          <w:szCs w:val="20"/>
          <w:lang w:val="en-US"/>
        </w:rPr>
        <w:t xml:space="preserve"> fruits and </w:t>
      </w:r>
      <w:r w:rsidRPr="007246B7">
        <w:rPr>
          <w:rFonts w:ascii="Arial" w:hAnsi="Arial" w:cs="Arial"/>
          <w:i/>
          <w:iCs/>
          <w:color w:val="000000" w:themeColor="text1"/>
          <w:sz w:val="20"/>
          <w:szCs w:val="20"/>
          <w:lang w:val="en-US"/>
        </w:rPr>
        <w:t xml:space="preserve">A. </w:t>
      </w:r>
      <w:proofErr w:type="spellStart"/>
      <w:r w:rsidRPr="007246B7">
        <w:rPr>
          <w:rFonts w:ascii="Arial" w:hAnsi="Arial" w:cs="Arial"/>
          <w:i/>
          <w:iCs/>
          <w:color w:val="000000" w:themeColor="text1"/>
          <w:sz w:val="20"/>
          <w:szCs w:val="20"/>
          <w:lang w:val="en-US"/>
        </w:rPr>
        <w:t>esculentus</w:t>
      </w:r>
      <w:proofErr w:type="spellEnd"/>
      <w:r w:rsidRPr="007246B7">
        <w:rPr>
          <w:rFonts w:ascii="Arial" w:hAnsi="Arial" w:cs="Arial"/>
          <w:color w:val="000000" w:themeColor="text1"/>
          <w:sz w:val="20"/>
          <w:szCs w:val="20"/>
          <w:lang w:val="en-US"/>
        </w:rPr>
        <w:t xml:space="preserve"> leaves exhibit high energy density (due to high available carbohydrate and total lipid content and maximum energy intake), low nutrient density, and high contents of total ash and crude fiber. These powders are primarily intended for patients seeking weight gain management.</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 xml:space="preserve">C. </w:t>
      </w:r>
      <w:proofErr w:type="spellStart"/>
      <w:r w:rsidRPr="007246B7">
        <w:rPr>
          <w:rFonts w:ascii="Arial" w:hAnsi="Arial" w:cs="Arial"/>
          <w:i/>
          <w:iCs/>
          <w:color w:val="000000" w:themeColor="text1"/>
          <w:sz w:val="20"/>
          <w:szCs w:val="20"/>
          <w:lang w:val="en-US"/>
        </w:rPr>
        <w:t>olitorius</w:t>
      </w:r>
      <w:proofErr w:type="spellEnd"/>
      <w:r w:rsidRPr="007246B7">
        <w:rPr>
          <w:rFonts w:ascii="Arial" w:hAnsi="Arial" w:cs="Arial"/>
          <w:color w:val="000000" w:themeColor="text1"/>
          <w:sz w:val="20"/>
          <w:szCs w:val="20"/>
          <w:lang w:val="en-US"/>
        </w:rPr>
        <w:t xml:space="preserve"> leaves exhibit moderate nutrient density (with elevated copper, calcium, phosphorus, and protein contents), low energy density, high total polyphenol and condensed tannin contents, and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These powders are prioritized for managing chronic diseases and addressing mineral and protein deficiencies.</w:t>
      </w:r>
      <w:r>
        <w:rPr>
          <w:rFonts w:ascii="Arial" w:hAnsi="Arial" w:cs="Arial"/>
          <w:color w:val="000000" w:themeColor="text1"/>
          <w:sz w:val="20"/>
          <w:szCs w:val="20"/>
          <w:lang w:val="en-US"/>
        </w:rPr>
        <w:t xml:space="preserve"> </w:t>
      </w:r>
      <w:r w:rsidRPr="007246B7">
        <w:rPr>
          <w:rFonts w:ascii="Arial" w:hAnsi="Arial" w:cs="Arial"/>
          <w:color w:val="000000" w:themeColor="text1"/>
          <w:sz w:val="20"/>
          <w:szCs w:val="20"/>
          <w:lang w:val="en-US"/>
        </w:rPr>
        <w:t xml:space="preserve">The powders from </w:t>
      </w:r>
      <w:r w:rsidRPr="007246B7">
        <w:rPr>
          <w:rFonts w:ascii="Arial" w:hAnsi="Arial" w:cs="Arial"/>
          <w:i/>
          <w:iCs/>
          <w:color w:val="000000" w:themeColor="text1"/>
          <w:sz w:val="20"/>
          <w:szCs w:val="20"/>
          <w:lang w:val="en-US"/>
        </w:rPr>
        <w:t xml:space="preserve">A. </w:t>
      </w:r>
      <w:proofErr w:type="spellStart"/>
      <w:r w:rsidRPr="007246B7">
        <w:rPr>
          <w:rFonts w:ascii="Arial" w:hAnsi="Arial" w:cs="Arial"/>
          <w:i/>
          <w:iCs/>
          <w:color w:val="000000" w:themeColor="text1"/>
          <w:sz w:val="20"/>
          <w:szCs w:val="20"/>
          <w:lang w:val="en-US"/>
        </w:rPr>
        <w:t>esculentus</w:t>
      </w:r>
      <w:proofErr w:type="spellEnd"/>
      <w:r w:rsidRPr="007246B7">
        <w:rPr>
          <w:rFonts w:ascii="Arial" w:hAnsi="Arial" w:cs="Arial"/>
          <w:color w:val="000000" w:themeColor="text1"/>
          <w:sz w:val="20"/>
          <w:szCs w:val="20"/>
          <w:lang w:val="en-US"/>
        </w:rPr>
        <w:t xml:space="preserve"> fruits exhibit high nutrient density (with elevated iron, zinc, magnesium, potassium, and sodium contents), reduced energy density, and high total flavonoid content and antioxidant activity. These powders are primarily intended for managing chronic diseases and mineral deficiencies. Only the powder from </w:t>
      </w:r>
      <w:r w:rsidRPr="007246B7">
        <w:rPr>
          <w:rFonts w:ascii="Arial" w:hAnsi="Arial" w:cs="Arial"/>
          <w:i/>
          <w:iCs/>
          <w:color w:val="000000" w:themeColor="text1"/>
          <w:sz w:val="20"/>
          <w:szCs w:val="20"/>
          <w:lang w:val="en-US"/>
        </w:rPr>
        <w:t xml:space="preserve">A. </w:t>
      </w:r>
      <w:proofErr w:type="spellStart"/>
      <w:r w:rsidRPr="007246B7">
        <w:rPr>
          <w:rFonts w:ascii="Arial" w:hAnsi="Arial" w:cs="Arial"/>
          <w:i/>
          <w:iCs/>
          <w:color w:val="000000" w:themeColor="text1"/>
          <w:sz w:val="20"/>
          <w:szCs w:val="20"/>
          <w:lang w:val="en-US"/>
        </w:rPr>
        <w:t>esculentus</w:t>
      </w:r>
      <w:proofErr w:type="spellEnd"/>
      <w:r w:rsidRPr="007246B7">
        <w:rPr>
          <w:rFonts w:ascii="Arial" w:hAnsi="Arial" w:cs="Arial"/>
          <w:color w:val="000000" w:themeColor="text1"/>
          <w:sz w:val="20"/>
          <w:szCs w:val="20"/>
          <w:lang w:val="en-US"/>
        </w:rPr>
        <w:t xml:space="preserve"> fruits exhibited high antioxidant </w:t>
      </w:r>
      <w:r w:rsidR="000854BE">
        <w:rPr>
          <w:rFonts w:ascii="Arial" w:hAnsi="Arial" w:cs="Arial"/>
          <w:color w:val="000000" w:themeColor="text1"/>
          <w:sz w:val="20"/>
          <w:szCs w:val="20"/>
          <w:lang w:val="en-US"/>
        </w:rPr>
        <w:t>activity</w:t>
      </w:r>
      <w:r w:rsidRPr="007246B7">
        <w:rPr>
          <w:rFonts w:ascii="Arial" w:hAnsi="Arial" w:cs="Arial"/>
          <w:color w:val="000000" w:themeColor="text1"/>
          <w:sz w:val="20"/>
          <w:szCs w:val="20"/>
          <w:lang w:val="en-US"/>
        </w:rPr>
        <w:t>, high nutrient density, and reduced energy density on average. It is more advisable than the other powders for meeting the needs of patients with chronic diseases, specifically those who are overweight or obese.</w:t>
      </w:r>
    </w:p>
    <w:p w14:paraId="3E125758" w14:textId="17E5B15C" w:rsidR="00E021D4" w:rsidRPr="005250A4" w:rsidRDefault="005250A4" w:rsidP="00E0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000000" w:themeColor="text1"/>
          <w:sz w:val="20"/>
          <w:szCs w:val="20"/>
          <w:lang w:val="en-US" w:eastAsia="fr-FR"/>
        </w:rPr>
      </w:pPr>
      <w:r w:rsidRPr="005250A4">
        <w:rPr>
          <w:rFonts w:ascii="Arial" w:eastAsia="Times New Roman" w:hAnsi="Arial" w:cs="Arial"/>
          <w:b/>
          <w:color w:val="000000" w:themeColor="text1"/>
          <w:sz w:val="20"/>
          <w:szCs w:val="20"/>
          <w:lang w:val="en-US" w:eastAsia="fr-FR"/>
        </w:rPr>
        <w:t>DISCLAIMER (ARTIFICIAL INTELLIGENCE)</w:t>
      </w:r>
    </w:p>
    <w:p w14:paraId="72D5EA5D" w14:textId="6451D273" w:rsidR="00D33046" w:rsidRPr="005250A4" w:rsidRDefault="00D33046" w:rsidP="00E0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Authors hereby declare that no generative AI technologies such as large language Models (</w:t>
      </w:r>
      <w:proofErr w:type="spellStart"/>
      <w:r w:rsidRPr="005250A4">
        <w:rPr>
          <w:rFonts w:ascii="Arial" w:eastAsia="Times New Roman" w:hAnsi="Arial" w:cs="Arial"/>
          <w:color w:val="000000" w:themeColor="text1"/>
          <w:sz w:val="20"/>
          <w:szCs w:val="20"/>
          <w:lang w:val="en-US" w:eastAsia="fr-FR"/>
        </w:rPr>
        <w:t>ChatGPT</w:t>
      </w:r>
      <w:proofErr w:type="spellEnd"/>
      <w:r w:rsidRPr="005250A4">
        <w:rPr>
          <w:rFonts w:ascii="Arial" w:eastAsia="Times New Roman" w:hAnsi="Arial" w:cs="Arial"/>
          <w:color w:val="000000" w:themeColor="text1"/>
          <w:sz w:val="20"/>
          <w:szCs w:val="20"/>
          <w:lang w:val="en-US" w:eastAsia="fr-FR"/>
        </w:rPr>
        <w:t>, Copilot, etc.) and text to image generators have been used during the writing or editing of this manuscript.</w:t>
      </w:r>
    </w:p>
    <w:p w14:paraId="0A3272AD" w14:textId="276E800C" w:rsidR="00C03B2F" w:rsidRPr="005250A4" w:rsidRDefault="005250A4" w:rsidP="00E021D4">
      <w:pPr>
        <w:spacing w:before="240" w:line="360" w:lineRule="auto"/>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CONSENT AND ETHICAL APPROVAL</w:t>
      </w:r>
    </w:p>
    <w:p w14:paraId="7AC03DE5" w14:textId="11FE4BC8" w:rsidR="00E021D4" w:rsidRPr="005250A4" w:rsidRDefault="00D33046" w:rsidP="00E021D4">
      <w:pPr>
        <w:spacing w:after="0"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It is </w:t>
      </w:r>
      <w:r w:rsidR="00202D84">
        <w:rPr>
          <w:rFonts w:ascii="Arial" w:hAnsi="Arial" w:cs="Arial"/>
          <w:color w:val="000000" w:themeColor="text1"/>
          <w:sz w:val="20"/>
          <w:szCs w:val="20"/>
          <w:lang w:val="en-US"/>
        </w:rPr>
        <w:t xml:space="preserve">not </w:t>
      </w:r>
      <w:r w:rsidRPr="005250A4">
        <w:rPr>
          <w:rFonts w:ascii="Arial" w:hAnsi="Arial" w:cs="Arial"/>
          <w:color w:val="000000" w:themeColor="text1"/>
          <w:sz w:val="20"/>
          <w:szCs w:val="20"/>
          <w:lang w:val="en-US"/>
        </w:rPr>
        <w:t>applicable</w:t>
      </w:r>
    </w:p>
    <w:p w14:paraId="329D55B1" w14:textId="25C90A26" w:rsidR="00C651BB" w:rsidRPr="005250A4" w:rsidRDefault="005250A4" w:rsidP="008534F2">
      <w:pPr>
        <w:spacing w:before="240"/>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ACKNOWLEDGEMENT</w:t>
      </w:r>
    </w:p>
    <w:p w14:paraId="343F0DD1" w14:textId="4F7B6DFC" w:rsidR="00E91D2D" w:rsidRPr="005250A4" w:rsidRDefault="00C651BB" w:rsidP="00C651BB">
      <w:pPr>
        <w:spacing w:line="360" w:lineRule="auto"/>
        <w:jc w:val="both"/>
        <w:rPr>
          <w:rFonts w:ascii="Arial" w:hAnsi="Arial" w:cs="Arial"/>
          <w:color w:val="000000" w:themeColor="text1"/>
          <w:sz w:val="20"/>
          <w:szCs w:val="20"/>
          <w:lang w:val="en-US"/>
        </w:rPr>
      </w:pPr>
      <w:r w:rsidRPr="005250A4">
        <w:rPr>
          <w:rFonts w:ascii="Arial" w:hAnsi="Arial" w:cs="Arial"/>
          <w:color w:val="000000" w:themeColor="text1"/>
          <w:sz w:val="20"/>
          <w:szCs w:val="20"/>
          <w:lang w:val="en-US"/>
        </w:rPr>
        <w:t xml:space="preserve">The authors would like to thank all members and Leadership of the Animal Feed and Nutrition Laboratory and Soil Science Laboratory of the Faculty of Agronomy and Agricultural Sciences of the University of </w:t>
      </w:r>
      <w:proofErr w:type="spellStart"/>
      <w:r w:rsidRPr="005250A4">
        <w:rPr>
          <w:rFonts w:ascii="Arial" w:hAnsi="Arial" w:cs="Arial"/>
          <w:color w:val="000000" w:themeColor="text1"/>
          <w:sz w:val="20"/>
          <w:szCs w:val="20"/>
          <w:lang w:val="en-US"/>
        </w:rPr>
        <w:t>Dschang</w:t>
      </w:r>
      <w:proofErr w:type="spellEnd"/>
      <w:r w:rsidRPr="005250A4">
        <w:rPr>
          <w:rFonts w:ascii="Arial" w:hAnsi="Arial" w:cs="Arial"/>
          <w:color w:val="000000" w:themeColor="text1"/>
          <w:sz w:val="20"/>
          <w:szCs w:val="20"/>
          <w:lang w:val="en-US"/>
        </w:rPr>
        <w:t xml:space="preserve">.  </w:t>
      </w:r>
    </w:p>
    <w:p w14:paraId="6A430527" w14:textId="350DC086" w:rsidR="00D33046" w:rsidRPr="005250A4" w:rsidRDefault="005250A4" w:rsidP="00D33046">
      <w:pPr>
        <w:spacing w:before="240" w:after="100" w:afterAutospacing="1" w:line="24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b/>
          <w:bCs/>
          <w:color w:val="000000" w:themeColor="text1"/>
          <w:sz w:val="20"/>
          <w:szCs w:val="20"/>
          <w:lang w:val="en-US" w:eastAsia="fr-FR"/>
        </w:rPr>
        <w:t>COMPETING INTERESTS</w:t>
      </w:r>
    </w:p>
    <w:p w14:paraId="35F2DDB8" w14:textId="30EC1808" w:rsidR="00D33046" w:rsidRPr="005250A4" w:rsidRDefault="00D33046" w:rsidP="00D33046">
      <w:pPr>
        <w:spacing w:before="100" w:beforeAutospacing="1" w:after="100" w:afterAutospacing="1" w:line="240" w:lineRule="auto"/>
        <w:jc w:val="both"/>
        <w:rPr>
          <w:rFonts w:ascii="Arial" w:eastAsia="Times New Roman" w:hAnsi="Arial" w:cs="Arial"/>
          <w:color w:val="000000" w:themeColor="text1"/>
          <w:sz w:val="20"/>
          <w:szCs w:val="20"/>
          <w:lang w:val="en-US" w:eastAsia="fr-FR"/>
        </w:rPr>
      </w:pPr>
      <w:bookmarkStart w:id="18" w:name="_GoBack"/>
      <w:r w:rsidRPr="005250A4">
        <w:rPr>
          <w:rFonts w:ascii="Arial" w:eastAsia="Times New Roman" w:hAnsi="Arial" w:cs="Arial"/>
          <w:color w:val="000000" w:themeColor="text1"/>
          <w:sz w:val="20"/>
          <w:szCs w:val="20"/>
          <w:lang w:val="en-US" w:eastAsia="fr-FR"/>
        </w:rPr>
        <w:t>Authors have declared that no competing interests exist</w:t>
      </w:r>
    </w:p>
    <w:bookmarkEnd w:id="18"/>
    <w:p w14:paraId="2CC0F0BC" w14:textId="679AFA20" w:rsidR="00D33046" w:rsidRPr="005250A4" w:rsidRDefault="005250A4" w:rsidP="00D33046">
      <w:pPr>
        <w:spacing w:before="240"/>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AUTHOR CONTRIBUTIONS</w:t>
      </w:r>
    </w:p>
    <w:p w14:paraId="2130DAB5" w14:textId="21B5CC7F" w:rsidR="00D33046" w:rsidRPr="005250A4" w:rsidRDefault="00D33046" w:rsidP="00D33046">
      <w:pPr>
        <w:spacing w:before="240" w:line="360" w:lineRule="auto"/>
        <w:jc w:val="both"/>
        <w:rPr>
          <w:rFonts w:ascii="Arial" w:hAnsi="Arial" w:cs="Arial"/>
          <w:color w:val="000000" w:themeColor="text1"/>
          <w:sz w:val="20"/>
          <w:szCs w:val="20"/>
          <w:lang w:val="en-US"/>
        </w:rPr>
      </w:pPr>
      <w:proofErr w:type="spellStart"/>
      <w:r w:rsidRPr="005250A4">
        <w:rPr>
          <w:rFonts w:ascii="Arial" w:hAnsi="Arial" w:cs="Arial"/>
          <w:b/>
          <w:color w:val="000000" w:themeColor="text1"/>
          <w:sz w:val="20"/>
          <w:szCs w:val="20"/>
          <w:lang w:val="en-US"/>
        </w:rPr>
        <w:t>Assiéné</w:t>
      </w:r>
      <w:proofErr w:type="spellEnd"/>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Agamou</w:t>
      </w:r>
      <w:proofErr w:type="spellEnd"/>
      <w:r w:rsidRPr="005250A4">
        <w:rPr>
          <w:rFonts w:ascii="Arial" w:hAnsi="Arial" w:cs="Arial"/>
          <w:b/>
          <w:color w:val="000000" w:themeColor="text1"/>
          <w:sz w:val="20"/>
          <w:szCs w:val="20"/>
          <w:lang w:val="en-US"/>
        </w:rPr>
        <w:t xml:space="preserve"> Julien </w:t>
      </w:r>
      <w:proofErr w:type="spellStart"/>
      <w:r w:rsidRPr="005250A4">
        <w:rPr>
          <w:rFonts w:ascii="Arial" w:hAnsi="Arial" w:cs="Arial"/>
          <w:b/>
          <w:color w:val="000000" w:themeColor="text1"/>
          <w:sz w:val="20"/>
          <w:szCs w:val="20"/>
          <w:lang w:val="en-US"/>
        </w:rPr>
        <w:t>Armel</w:t>
      </w:r>
      <w:proofErr w:type="spellEnd"/>
      <w:r w:rsidRPr="005250A4">
        <w:rPr>
          <w:rFonts w:ascii="Arial" w:hAnsi="Arial" w:cs="Arial"/>
          <w:b/>
          <w:color w:val="000000" w:themeColor="text1"/>
          <w:sz w:val="20"/>
          <w:szCs w:val="20"/>
          <w:lang w:val="en-US"/>
        </w:rPr>
        <w:t>:</w:t>
      </w:r>
      <w:r w:rsidRPr="005250A4">
        <w:rPr>
          <w:rFonts w:ascii="Arial" w:hAnsi="Arial" w:cs="Arial"/>
          <w:color w:val="000000" w:themeColor="text1"/>
          <w:sz w:val="20"/>
          <w:szCs w:val="20"/>
          <w:lang w:val="en-US"/>
        </w:rPr>
        <w:t xml:space="preserve"> Conceptualization, Investigation, Methodology, Data analysis, Writing-Original draft, Writing-review and editing; </w:t>
      </w:r>
      <w:proofErr w:type="spellStart"/>
      <w:r w:rsidRPr="005250A4">
        <w:rPr>
          <w:rFonts w:ascii="Arial" w:hAnsi="Arial" w:cs="Arial"/>
          <w:b/>
          <w:color w:val="000000" w:themeColor="text1"/>
          <w:sz w:val="20"/>
          <w:szCs w:val="20"/>
          <w:lang w:val="en-US"/>
        </w:rPr>
        <w:t>Djeukeu</w:t>
      </w:r>
      <w:proofErr w:type="spellEnd"/>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Asongni</w:t>
      </w:r>
      <w:proofErr w:type="spellEnd"/>
      <w:r w:rsidRPr="005250A4">
        <w:rPr>
          <w:rFonts w:ascii="Arial" w:hAnsi="Arial" w:cs="Arial"/>
          <w:b/>
          <w:color w:val="000000" w:themeColor="text1"/>
          <w:sz w:val="20"/>
          <w:szCs w:val="20"/>
          <w:lang w:val="en-US"/>
        </w:rPr>
        <w:t xml:space="preserve"> William</w:t>
      </w:r>
      <w:r w:rsidRPr="005250A4">
        <w:rPr>
          <w:rFonts w:ascii="Arial" w:hAnsi="Arial" w:cs="Arial"/>
          <w:color w:val="000000" w:themeColor="text1"/>
          <w:sz w:val="20"/>
          <w:szCs w:val="20"/>
          <w:lang w:val="en-US"/>
        </w:rPr>
        <w:t xml:space="preserve">: Methodology; Data analysis, Review original draft; </w:t>
      </w:r>
      <w:proofErr w:type="spellStart"/>
      <w:r w:rsidRPr="005250A4">
        <w:rPr>
          <w:rFonts w:ascii="Arial" w:hAnsi="Arial" w:cs="Arial"/>
          <w:b/>
          <w:color w:val="000000" w:themeColor="text1"/>
          <w:sz w:val="20"/>
          <w:szCs w:val="20"/>
          <w:lang w:val="en-US"/>
        </w:rPr>
        <w:t>Assiéné</w:t>
      </w:r>
      <w:proofErr w:type="spellEnd"/>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Oyong</w:t>
      </w:r>
      <w:proofErr w:type="spellEnd"/>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Damase</w:t>
      </w:r>
      <w:proofErr w:type="spellEnd"/>
      <w:r w:rsidRPr="005250A4">
        <w:rPr>
          <w:rFonts w:ascii="Arial" w:hAnsi="Arial" w:cs="Arial"/>
          <w:b/>
          <w:color w:val="000000" w:themeColor="text1"/>
          <w:sz w:val="20"/>
          <w:szCs w:val="20"/>
          <w:lang w:val="en-US"/>
        </w:rPr>
        <w:t xml:space="preserve"> Serge</w:t>
      </w:r>
      <w:r w:rsidRPr="005250A4">
        <w:rPr>
          <w:rFonts w:ascii="Arial" w:hAnsi="Arial" w:cs="Arial"/>
          <w:color w:val="000000" w:themeColor="text1"/>
          <w:sz w:val="20"/>
          <w:szCs w:val="20"/>
          <w:lang w:val="en-US"/>
        </w:rPr>
        <w:t>: Data analysis, Review original draft</w:t>
      </w:r>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Nyangono</w:t>
      </w:r>
      <w:proofErr w:type="spellEnd"/>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Biyegue</w:t>
      </w:r>
      <w:proofErr w:type="spellEnd"/>
      <w:r w:rsidRPr="005250A4">
        <w:rPr>
          <w:rFonts w:ascii="Arial" w:hAnsi="Arial" w:cs="Arial"/>
          <w:b/>
          <w:color w:val="000000" w:themeColor="text1"/>
          <w:sz w:val="20"/>
          <w:szCs w:val="20"/>
          <w:lang w:val="en-US"/>
        </w:rPr>
        <w:t xml:space="preserve"> </w:t>
      </w:r>
      <w:proofErr w:type="spellStart"/>
      <w:r w:rsidRPr="005250A4">
        <w:rPr>
          <w:rFonts w:ascii="Arial" w:hAnsi="Arial" w:cs="Arial"/>
          <w:b/>
          <w:color w:val="000000" w:themeColor="text1"/>
          <w:sz w:val="20"/>
          <w:szCs w:val="20"/>
          <w:lang w:val="en-US"/>
        </w:rPr>
        <w:t>Fernande</w:t>
      </w:r>
      <w:proofErr w:type="spellEnd"/>
      <w:r w:rsidRPr="005250A4">
        <w:rPr>
          <w:rFonts w:ascii="Arial" w:hAnsi="Arial" w:cs="Arial"/>
          <w:color w:val="000000" w:themeColor="text1"/>
          <w:sz w:val="20"/>
          <w:szCs w:val="20"/>
          <w:lang w:val="en-US"/>
        </w:rPr>
        <w:t>: Supervision, Methodology, Review original draft</w:t>
      </w:r>
    </w:p>
    <w:p w14:paraId="21B20AB3" w14:textId="63ADE942" w:rsidR="009862B6" w:rsidRPr="005250A4" w:rsidRDefault="005250A4" w:rsidP="00203B28">
      <w:pPr>
        <w:tabs>
          <w:tab w:val="left" w:pos="2685"/>
        </w:tabs>
        <w:spacing w:before="240"/>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lastRenderedPageBreak/>
        <w:t>REFERENCES</w:t>
      </w:r>
    </w:p>
    <w:p w14:paraId="41C6B92F" w14:textId="696AA56E" w:rsidR="00CB3EB5" w:rsidRPr="00885888" w:rsidRDefault="00C23E48" w:rsidP="00CB3EB5">
      <w:pPr>
        <w:widowControl w:val="0"/>
        <w:autoSpaceDE w:val="0"/>
        <w:autoSpaceDN w:val="0"/>
        <w:adjustRightInd w:val="0"/>
        <w:spacing w:before="240" w:line="240" w:lineRule="auto"/>
        <w:ind w:left="480" w:hanging="480"/>
        <w:rPr>
          <w:rFonts w:ascii="Arial" w:hAnsi="Arial" w:cs="Arial"/>
          <w:noProof/>
          <w:sz w:val="20"/>
          <w:lang w:val="en-US"/>
        </w:rPr>
      </w:pPr>
      <w:r w:rsidRPr="005250A4">
        <w:rPr>
          <w:rFonts w:ascii="Arial" w:hAnsi="Arial" w:cs="Arial"/>
          <w:color w:val="000000" w:themeColor="text1"/>
          <w:sz w:val="20"/>
          <w:szCs w:val="20"/>
          <w:lang w:val="en-US"/>
        </w:rPr>
        <w:fldChar w:fldCharType="begin" w:fldLock="1"/>
      </w:r>
      <w:r w:rsidRPr="005250A4">
        <w:rPr>
          <w:rFonts w:ascii="Arial" w:hAnsi="Arial" w:cs="Arial"/>
          <w:color w:val="000000" w:themeColor="text1"/>
          <w:sz w:val="20"/>
          <w:szCs w:val="20"/>
          <w:lang w:val="en-US"/>
        </w:rPr>
        <w:instrText xml:space="preserve">ADDIN Mendeley Bibliography CSL_BIBLIOGRAPHY </w:instrText>
      </w:r>
      <w:r w:rsidRPr="005250A4">
        <w:rPr>
          <w:rFonts w:ascii="Arial" w:hAnsi="Arial" w:cs="Arial"/>
          <w:color w:val="000000" w:themeColor="text1"/>
          <w:sz w:val="20"/>
          <w:szCs w:val="20"/>
          <w:lang w:val="en-US"/>
        </w:rPr>
        <w:fldChar w:fldCharType="separate"/>
      </w:r>
      <w:r w:rsidR="00CB3EB5" w:rsidRPr="00885888">
        <w:rPr>
          <w:rFonts w:ascii="Arial" w:hAnsi="Arial" w:cs="Arial"/>
          <w:noProof/>
          <w:sz w:val="20"/>
          <w:lang w:val="en-US"/>
        </w:rPr>
        <w:t xml:space="preserve">Abbaspour, N., Hurrell, R., &amp; Kelishadi, R. (2014). Review on iron and its importance for human health. </w:t>
      </w:r>
      <w:r w:rsidR="00CB3EB5" w:rsidRPr="00885888">
        <w:rPr>
          <w:rFonts w:ascii="Arial" w:hAnsi="Arial" w:cs="Arial"/>
          <w:i/>
          <w:iCs/>
          <w:noProof/>
          <w:sz w:val="20"/>
          <w:lang w:val="en-US"/>
        </w:rPr>
        <w:t>Journal of Research in Medical Sciences</w:t>
      </w:r>
      <w:r w:rsidR="00CB3EB5" w:rsidRPr="00885888">
        <w:rPr>
          <w:rFonts w:ascii="Arial" w:hAnsi="Arial" w:cs="Arial"/>
          <w:noProof/>
          <w:sz w:val="20"/>
          <w:lang w:val="en-US"/>
        </w:rPr>
        <w:t xml:space="preserve">, </w:t>
      </w:r>
      <w:r w:rsidR="00CB3EB5" w:rsidRPr="00885888">
        <w:rPr>
          <w:rFonts w:ascii="Arial" w:hAnsi="Arial" w:cs="Arial"/>
          <w:i/>
          <w:iCs/>
          <w:noProof/>
          <w:sz w:val="20"/>
          <w:lang w:val="en-US"/>
        </w:rPr>
        <w:t>19</w:t>
      </w:r>
      <w:r w:rsidR="00CB3EB5" w:rsidRPr="00885888">
        <w:rPr>
          <w:rFonts w:ascii="Arial" w:hAnsi="Arial" w:cs="Arial"/>
          <w:noProof/>
          <w:sz w:val="20"/>
          <w:lang w:val="en-US"/>
        </w:rPr>
        <w:t>(February), 164–174.</w:t>
      </w:r>
    </w:p>
    <w:p w14:paraId="7FBB1C62"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Abdel-Razek, M. A. M., Abdelwahab, M. F., Abdelmohsen, U. R., &amp; Hamed, A. N. E. (2022). Pharmacological and phytochemical biodiversity of Corchorus olitorius. </w:t>
      </w:r>
      <w:r w:rsidRPr="00885888">
        <w:rPr>
          <w:rFonts w:ascii="Arial" w:hAnsi="Arial" w:cs="Arial"/>
          <w:i/>
          <w:iCs/>
          <w:noProof/>
          <w:sz w:val="20"/>
          <w:lang w:val="en-US"/>
        </w:rPr>
        <w:t>RSC Advances</w:t>
      </w:r>
      <w:r w:rsidRPr="00885888">
        <w:rPr>
          <w:rFonts w:ascii="Arial" w:hAnsi="Arial" w:cs="Arial"/>
          <w:noProof/>
          <w:sz w:val="20"/>
          <w:lang w:val="en-US"/>
        </w:rPr>
        <w:t xml:space="preserve">, </w:t>
      </w:r>
      <w:r w:rsidRPr="00885888">
        <w:rPr>
          <w:rFonts w:ascii="Arial" w:hAnsi="Arial" w:cs="Arial"/>
          <w:i/>
          <w:iCs/>
          <w:noProof/>
          <w:sz w:val="20"/>
          <w:lang w:val="en-US"/>
        </w:rPr>
        <w:t>12</w:t>
      </w:r>
      <w:r w:rsidRPr="00885888">
        <w:rPr>
          <w:rFonts w:ascii="Arial" w:hAnsi="Arial" w:cs="Arial"/>
          <w:noProof/>
          <w:sz w:val="20"/>
          <w:lang w:val="en-US"/>
        </w:rPr>
        <w:t>(54), 35103–35114. https://doi.org/10.1039/d2ra07406k</w:t>
      </w:r>
    </w:p>
    <w:p w14:paraId="483CD369"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Adesina, A. J., Olaleye, A. A., Popoola, Olatunya, Gbolagade, Idowu, K. A., &amp; Ajakaye, A. O. (2022). Nutritional evaluation of leafy vegetables of Corchorus olitorius family from Ekiti State, Nigeria. </w:t>
      </w:r>
      <w:r w:rsidRPr="00885888">
        <w:rPr>
          <w:rFonts w:ascii="Arial" w:hAnsi="Arial" w:cs="Arial"/>
          <w:i/>
          <w:iCs/>
          <w:noProof/>
          <w:sz w:val="20"/>
          <w:lang w:val="en-US"/>
        </w:rPr>
        <w:t>ChemSearch Journal</w:t>
      </w:r>
      <w:r w:rsidRPr="00885888">
        <w:rPr>
          <w:rFonts w:ascii="Arial" w:hAnsi="Arial" w:cs="Arial"/>
          <w:noProof/>
          <w:sz w:val="20"/>
          <w:lang w:val="en-US"/>
        </w:rPr>
        <w:t xml:space="preserve">, </w:t>
      </w:r>
      <w:r w:rsidRPr="00885888">
        <w:rPr>
          <w:rFonts w:ascii="Arial" w:hAnsi="Arial" w:cs="Arial"/>
          <w:i/>
          <w:iCs/>
          <w:noProof/>
          <w:sz w:val="20"/>
          <w:lang w:val="en-US"/>
        </w:rPr>
        <w:t>13</w:t>
      </w:r>
      <w:r w:rsidRPr="00885888">
        <w:rPr>
          <w:rFonts w:ascii="Arial" w:hAnsi="Arial" w:cs="Arial"/>
          <w:noProof/>
          <w:sz w:val="20"/>
          <w:lang w:val="en-US"/>
        </w:rPr>
        <w:t>(1), 147–156. http://www.ajol.info/index.php/csj</w:t>
      </w:r>
    </w:p>
    <w:p w14:paraId="60874E11"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Ahmed, B. T., &amp; Kumar, S. A. (2016). Antioxidant and antidiabetic properties of abelmoschus esculentus extract - An in vitro assay. </w:t>
      </w:r>
      <w:r w:rsidRPr="00885888">
        <w:rPr>
          <w:rFonts w:ascii="Arial" w:hAnsi="Arial" w:cs="Arial"/>
          <w:i/>
          <w:iCs/>
          <w:noProof/>
          <w:sz w:val="20"/>
          <w:lang w:val="en-US"/>
        </w:rPr>
        <w:t>Research Journal of Biotechnology</w:t>
      </w:r>
      <w:r w:rsidRPr="00885888">
        <w:rPr>
          <w:rFonts w:ascii="Arial" w:hAnsi="Arial" w:cs="Arial"/>
          <w:noProof/>
          <w:sz w:val="20"/>
          <w:lang w:val="en-US"/>
        </w:rPr>
        <w:t xml:space="preserve">, </w:t>
      </w:r>
      <w:r w:rsidRPr="00885888">
        <w:rPr>
          <w:rFonts w:ascii="Arial" w:hAnsi="Arial" w:cs="Arial"/>
          <w:i/>
          <w:iCs/>
          <w:noProof/>
          <w:sz w:val="20"/>
          <w:lang w:val="en-US"/>
        </w:rPr>
        <w:t>11</w:t>
      </w:r>
      <w:r w:rsidRPr="00885888">
        <w:rPr>
          <w:rFonts w:ascii="Arial" w:hAnsi="Arial" w:cs="Arial"/>
          <w:noProof/>
          <w:sz w:val="20"/>
          <w:lang w:val="en-US"/>
        </w:rPr>
        <w:t>(3), 34–41.</w:t>
      </w:r>
    </w:p>
    <w:p w14:paraId="41CAC3BC"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885888">
        <w:rPr>
          <w:rFonts w:ascii="Arial" w:hAnsi="Arial" w:cs="Arial"/>
          <w:noProof/>
          <w:sz w:val="20"/>
          <w:lang w:val="en-US"/>
        </w:rPr>
        <w:t xml:space="preserve">Alawi, A. M. Al, Majoni, S. W., &amp; Falhammar, H. (2018). Review Article Magnesium and Human Health : Perspectives and Research Directions. </w:t>
      </w:r>
      <w:r w:rsidRPr="00CB3EB5">
        <w:rPr>
          <w:rFonts w:ascii="Arial" w:hAnsi="Arial" w:cs="Arial"/>
          <w:i/>
          <w:iCs/>
          <w:noProof/>
          <w:sz w:val="20"/>
        </w:rPr>
        <w:t>Int J Endocrinol</w:t>
      </w:r>
      <w:r w:rsidRPr="00CB3EB5">
        <w:rPr>
          <w:rFonts w:ascii="Arial" w:hAnsi="Arial" w:cs="Arial"/>
          <w:noProof/>
          <w:sz w:val="20"/>
        </w:rPr>
        <w:t xml:space="preserve">, </w:t>
      </w:r>
      <w:r w:rsidRPr="00CB3EB5">
        <w:rPr>
          <w:rFonts w:ascii="Arial" w:hAnsi="Arial" w:cs="Arial"/>
          <w:i/>
          <w:iCs/>
          <w:noProof/>
          <w:sz w:val="20"/>
        </w:rPr>
        <w:t>2018</w:t>
      </w:r>
      <w:r w:rsidRPr="00CB3EB5">
        <w:rPr>
          <w:rFonts w:ascii="Arial" w:hAnsi="Arial" w:cs="Arial"/>
          <w:noProof/>
          <w:sz w:val="20"/>
        </w:rPr>
        <w:t>, 17 pages. https://doi.org/https://doi.org/10.1155/2018/9041694</w:t>
      </w:r>
    </w:p>
    <w:p w14:paraId="1AC3C9CF"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AOAC. (1999). </w:t>
      </w:r>
      <w:r w:rsidRPr="00885888">
        <w:rPr>
          <w:rFonts w:ascii="Arial" w:hAnsi="Arial" w:cs="Arial"/>
          <w:i/>
          <w:iCs/>
          <w:noProof/>
          <w:sz w:val="20"/>
          <w:lang w:val="en-US"/>
        </w:rPr>
        <w:t>Official methods of analysis</w:t>
      </w:r>
      <w:r w:rsidRPr="00885888">
        <w:rPr>
          <w:rFonts w:ascii="Arial" w:hAnsi="Arial" w:cs="Arial"/>
          <w:noProof/>
          <w:sz w:val="20"/>
          <w:lang w:val="en-US"/>
        </w:rPr>
        <w:t xml:space="preserve"> (16th editi). Association of Official Analytical Chemists.</w:t>
      </w:r>
    </w:p>
    <w:p w14:paraId="6421BAC0"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AOAC. (2011). Official methods of analysis of AOAC International. In </w:t>
      </w:r>
      <w:r w:rsidRPr="00885888">
        <w:rPr>
          <w:rFonts w:ascii="Arial" w:hAnsi="Arial" w:cs="Arial"/>
          <w:i/>
          <w:iCs/>
          <w:noProof/>
          <w:sz w:val="20"/>
          <w:lang w:val="en-US"/>
        </w:rPr>
        <w:t>AOAC International, Gaitherburg</w:t>
      </w:r>
      <w:r w:rsidRPr="00885888">
        <w:rPr>
          <w:rFonts w:ascii="Arial" w:hAnsi="Arial" w:cs="Arial"/>
          <w:noProof/>
          <w:sz w:val="20"/>
          <w:lang w:val="en-US"/>
        </w:rPr>
        <w:t xml:space="preserve"> (Vol. 18st).</w:t>
      </w:r>
    </w:p>
    <w:p w14:paraId="7D064C8F"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Apak, R., Özyürek, M., Güçlü, K., &amp; Çapanoglu, E. (2016). Antioxidant activity/capacity measurement. 1. Classification, physicochemical principles, mechanisms, and electron transfer (ET)-based assays. </w:t>
      </w:r>
      <w:r w:rsidRPr="00885888">
        <w:rPr>
          <w:rFonts w:ascii="Arial" w:hAnsi="Arial" w:cs="Arial"/>
          <w:i/>
          <w:iCs/>
          <w:noProof/>
          <w:sz w:val="20"/>
          <w:lang w:val="en-US"/>
        </w:rPr>
        <w:t>Journal of Agricultural and Food Chemistry</w:t>
      </w:r>
      <w:r w:rsidRPr="00885888">
        <w:rPr>
          <w:rFonts w:ascii="Arial" w:hAnsi="Arial" w:cs="Arial"/>
          <w:noProof/>
          <w:sz w:val="20"/>
          <w:lang w:val="en-US"/>
        </w:rPr>
        <w:t xml:space="preserve">, </w:t>
      </w:r>
      <w:r w:rsidRPr="00885888">
        <w:rPr>
          <w:rFonts w:ascii="Arial" w:hAnsi="Arial" w:cs="Arial"/>
          <w:i/>
          <w:iCs/>
          <w:noProof/>
          <w:sz w:val="20"/>
          <w:lang w:val="en-US"/>
        </w:rPr>
        <w:t>64</w:t>
      </w:r>
      <w:r w:rsidRPr="00885888">
        <w:rPr>
          <w:rFonts w:ascii="Arial" w:hAnsi="Arial" w:cs="Arial"/>
          <w:noProof/>
          <w:sz w:val="20"/>
          <w:lang w:val="en-US"/>
        </w:rPr>
        <w:t>(5), 997–1027. https://doi.org/10.1021/acs.jafc.5b04739</w:t>
      </w:r>
    </w:p>
    <w:p w14:paraId="75B410F8"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Assiéné, A. J. A., Djeukeu, A. W., Assiéné, O. D. S., Mbida-Mbida, Y. I., &amp; Nyangono, B. C. F. (2024). </w:t>
      </w:r>
      <w:r w:rsidRPr="00885888">
        <w:rPr>
          <w:rFonts w:ascii="Arial" w:hAnsi="Arial" w:cs="Arial"/>
          <w:noProof/>
          <w:sz w:val="20"/>
          <w:lang w:val="en-US"/>
        </w:rPr>
        <w:t xml:space="preserve">Nutritional and bioactive potentials of a powder and a decoction made from Ceylon cinnamon bark , Laurus nobilis leaves , and Curcuma longa Linn rhizome. </w:t>
      </w:r>
      <w:r w:rsidRPr="00885888">
        <w:rPr>
          <w:rFonts w:ascii="Arial" w:hAnsi="Arial" w:cs="Arial"/>
          <w:i/>
          <w:iCs/>
          <w:noProof/>
          <w:sz w:val="20"/>
          <w:lang w:val="en-US"/>
        </w:rPr>
        <w:t>Applied Food Research</w:t>
      </w:r>
      <w:r w:rsidRPr="00885888">
        <w:rPr>
          <w:rFonts w:ascii="Arial" w:hAnsi="Arial" w:cs="Arial"/>
          <w:noProof/>
          <w:sz w:val="20"/>
          <w:lang w:val="en-US"/>
        </w:rPr>
        <w:t xml:space="preserve">, </w:t>
      </w:r>
      <w:r w:rsidRPr="00885888">
        <w:rPr>
          <w:rFonts w:ascii="Arial" w:hAnsi="Arial" w:cs="Arial"/>
          <w:i/>
          <w:iCs/>
          <w:noProof/>
          <w:sz w:val="20"/>
          <w:lang w:val="en-US"/>
        </w:rPr>
        <w:t>4</w:t>
      </w:r>
      <w:r w:rsidRPr="00885888">
        <w:rPr>
          <w:rFonts w:ascii="Arial" w:hAnsi="Arial" w:cs="Arial"/>
          <w:noProof/>
          <w:sz w:val="20"/>
          <w:lang w:val="en-US"/>
        </w:rPr>
        <w:t>(2024), 100436. https://doi.org/10.1016/j.afres.2024.100436</w:t>
      </w:r>
    </w:p>
    <w:p w14:paraId="17FBE039"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Assiéné, A. J. A., Djeukeu, A. W., Assiéné, O. D. S., Tize, Z., Obono, N. L., Mbango, E. P., Mboube, N. O., Keubing, F. S. R., &amp; Fongnzossie, F. E. (2024). Influence of particle size fraction and bioactive compound contents on the biological activities of Solanum torvum L. leaf powder extracts. </w:t>
      </w:r>
      <w:r w:rsidRPr="00885888">
        <w:rPr>
          <w:rFonts w:ascii="Arial" w:hAnsi="Arial" w:cs="Arial"/>
          <w:i/>
          <w:iCs/>
          <w:noProof/>
          <w:sz w:val="20"/>
          <w:lang w:val="en-US"/>
        </w:rPr>
        <w:t>Journal of Experimental Biology and Agricultural Sciences</w:t>
      </w:r>
      <w:r w:rsidRPr="00885888">
        <w:rPr>
          <w:rFonts w:ascii="Arial" w:hAnsi="Arial" w:cs="Arial"/>
          <w:noProof/>
          <w:sz w:val="20"/>
          <w:lang w:val="en-US"/>
        </w:rPr>
        <w:t xml:space="preserve">, </w:t>
      </w:r>
      <w:r w:rsidRPr="00885888">
        <w:rPr>
          <w:rFonts w:ascii="Arial" w:hAnsi="Arial" w:cs="Arial"/>
          <w:i/>
          <w:iCs/>
          <w:noProof/>
          <w:sz w:val="20"/>
          <w:lang w:val="en-US"/>
        </w:rPr>
        <w:t>12</w:t>
      </w:r>
      <w:r w:rsidRPr="00885888">
        <w:rPr>
          <w:rFonts w:ascii="Arial" w:hAnsi="Arial" w:cs="Arial"/>
          <w:noProof/>
          <w:sz w:val="20"/>
          <w:lang w:val="en-US"/>
        </w:rPr>
        <w:t>(2), 203–217. https://doi.org/10.18006/2024.12(2).203.217</w:t>
      </w:r>
    </w:p>
    <w:p w14:paraId="34D5B45D"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Assiéné, A. J. A., Fombang, E. N., &amp; Mbofung, C. M. F. (2015). </w:t>
      </w:r>
      <w:r w:rsidRPr="00885888">
        <w:rPr>
          <w:rFonts w:ascii="Arial" w:hAnsi="Arial" w:cs="Arial"/>
          <w:noProof/>
          <w:sz w:val="20"/>
          <w:lang w:val="en-US"/>
        </w:rPr>
        <w:t xml:space="preserve">Particular benefits can be attributed to Moringa oleifera Lam leaves based on origin and stage of maturity. </w:t>
      </w:r>
      <w:r w:rsidRPr="00885888">
        <w:rPr>
          <w:rFonts w:ascii="Arial" w:hAnsi="Arial" w:cs="Arial"/>
          <w:i/>
          <w:iCs/>
          <w:noProof/>
          <w:sz w:val="20"/>
          <w:lang w:val="en-US"/>
        </w:rPr>
        <w:t>Journal of Experimental Biology and Agricultural Sciences</w:t>
      </w:r>
      <w:r w:rsidRPr="00885888">
        <w:rPr>
          <w:rFonts w:ascii="Arial" w:hAnsi="Arial" w:cs="Arial"/>
          <w:noProof/>
          <w:sz w:val="20"/>
          <w:lang w:val="en-US"/>
        </w:rPr>
        <w:t xml:space="preserve">, </w:t>
      </w:r>
      <w:r w:rsidRPr="00885888">
        <w:rPr>
          <w:rFonts w:ascii="Arial" w:hAnsi="Arial" w:cs="Arial"/>
          <w:i/>
          <w:iCs/>
          <w:noProof/>
          <w:sz w:val="20"/>
          <w:lang w:val="en-US"/>
        </w:rPr>
        <w:t>3</w:t>
      </w:r>
      <w:r w:rsidRPr="00885888">
        <w:rPr>
          <w:rFonts w:ascii="Arial" w:hAnsi="Arial" w:cs="Arial"/>
          <w:noProof/>
          <w:sz w:val="20"/>
          <w:lang w:val="en-US"/>
        </w:rPr>
        <w:t>(2320), 541–555. https://doi.org/http://dx.doi.org/10.18006/2015.3(6).541.555</w:t>
      </w:r>
    </w:p>
    <w:p w14:paraId="05751C78"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Assiéné, A. J. A., Fombang, E. N., &amp; Mbofung, M. C. (2020). </w:t>
      </w:r>
      <w:r w:rsidRPr="00885888">
        <w:rPr>
          <w:rFonts w:ascii="Arial" w:hAnsi="Arial" w:cs="Arial"/>
          <w:noProof/>
          <w:sz w:val="20"/>
          <w:lang w:val="en-US"/>
        </w:rPr>
        <w:t xml:space="preserve">In vitro Protein Digestibility and Iron Bioavailability According to Agro-Ecological Zone and Stage of Maturity of Moringa oleifera Lam Leaves. </w:t>
      </w:r>
      <w:r w:rsidRPr="00885888">
        <w:rPr>
          <w:rFonts w:ascii="Arial" w:hAnsi="Arial" w:cs="Arial"/>
          <w:i/>
          <w:iCs/>
          <w:noProof/>
          <w:sz w:val="20"/>
          <w:lang w:val="en-US"/>
        </w:rPr>
        <w:t>European Journal of Nutrition &amp; Food Safety</w:t>
      </w:r>
      <w:r w:rsidRPr="00885888">
        <w:rPr>
          <w:rFonts w:ascii="Arial" w:hAnsi="Arial" w:cs="Arial"/>
          <w:noProof/>
          <w:sz w:val="20"/>
          <w:lang w:val="en-US"/>
        </w:rPr>
        <w:t xml:space="preserve">, </w:t>
      </w:r>
      <w:r w:rsidRPr="00885888">
        <w:rPr>
          <w:rFonts w:ascii="Arial" w:hAnsi="Arial" w:cs="Arial"/>
          <w:i/>
          <w:iCs/>
          <w:noProof/>
          <w:sz w:val="20"/>
          <w:lang w:val="en-US"/>
        </w:rPr>
        <w:t>12</w:t>
      </w:r>
      <w:r w:rsidRPr="00885888">
        <w:rPr>
          <w:rFonts w:ascii="Arial" w:hAnsi="Arial" w:cs="Arial"/>
          <w:noProof/>
          <w:sz w:val="20"/>
          <w:lang w:val="en-US"/>
        </w:rPr>
        <w:t>(11), 90–103. https://doi.org/10.9734/EJNFS/2020/v12i1130325</w:t>
      </w:r>
    </w:p>
    <w:p w14:paraId="78D1E269"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Astrup, A., &amp; Bügel, S. (2018). Overfed but undernourished : recognizing nutritional inadequacies/deficiencies in patients with overweight or obesity. </w:t>
      </w:r>
      <w:r w:rsidRPr="00885888">
        <w:rPr>
          <w:rFonts w:ascii="Arial" w:hAnsi="Arial" w:cs="Arial"/>
          <w:i/>
          <w:iCs/>
          <w:noProof/>
          <w:sz w:val="20"/>
          <w:lang w:val="en-US"/>
        </w:rPr>
        <w:t>International Journal of Obesity</w:t>
      </w:r>
      <w:r w:rsidRPr="00885888">
        <w:rPr>
          <w:rFonts w:ascii="Arial" w:hAnsi="Arial" w:cs="Arial"/>
          <w:noProof/>
          <w:sz w:val="20"/>
          <w:lang w:val="en-US"/>
        </w:rPr>
        <w:t>. https://doi.org/10.1038/s41366-018-0143-9</w:t>
      </w:r>
    </w:p>
    <w:p w14:paraId="26E7C68A"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Bawa, S. H., &amp; Badrie, N. (2016). Nutrient profile, bioactive components, and functional properties of okra (Abelmoschus esculentus (L.) Moench). In </w:t>
      </w:r>
      <w:r w:rsidRPr="00885888">
        <w:rPr>
          <w:rFonts w:ascii="Arial" w:hAnsi="Arial" w:cs="Arial"/>
          <w:i/>
          <w:iCs/>
          <w:noProof/>
          <w:sz w:val="20"/>
          <w:lang w:val="en-US"/>
        </w:rPr>
        <w:t>Fruits, Vegetables, and Herbs: Bioactive Foods in Health Promotion</w:t>
      </w:r>
      <w:r w:rsidRPr="00885888">
        <w:rPr>
          <w:rFonts w:ascii="Arial" w:hAnsi="Arial" w:cs="Arial"/>
          <w:noProof/>
          <w:sz w:val="20"/>
          <w:lang w:val="en-US"/>
        </w:rPr>
        <w:t>. Elsevier Inc. https://doi.org/10.1016/B978-0-12-802972-5.00018-4</w:t>
      </w:r>
    </w:p>
    <w:p w14:paraId="24B8614B"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Ben Yakoub, A. R., Abdehedi, O., Jridi, M., Elfalleh, W., Nasri, M., &amp; Ferchichi, A. (2018). Flavonoids, </w:t>
      </w:r>
      <w:r w:rsidRPr="00885888">
        <w:rPr>
          <w:rFonts w:ascii="Arial" w:hAnsi="Arial" w:cs="Arial"/>
          <w:noProof/>
          <w:sz w:val="20"/>
          <w:lang w:val="en-US"/>
        </w:rPr>
        <w:lastRenderedPageBreak/>
        <w:t xml:space="preserve">phenols, antioxidant, and antimicrobial activities in various extracts from Tossa jute leave (Corchorus olitorius L.). </w:t>
      </w:r>
      <w:r w:rsidRPr="00885888">
        <w:rPr>
          <w:rFonts w:ascii="Arial" w:hAnsi="Arial" w:cs="Arial"/>
          <w:i/>
          <w:iCs/>
          <w:noProof/>
          <w:sz w:val="20"/>
          <w:lang w:val="en-US"/>
        </w:rPr>
        <w:t>Industrial Crops and Products</w:t>
      </w:r>
      <w:r w:rsidRPr="00885888">
        <w:rPr>
          <w:rFonts w:ascii="Arial" w:hAnsi="Arial" w:cs="Arial"/>
          <w:noProof/>
          <w:sz w:val="20"/>
          <w:lang w:val="en-US"/>
        </w:rPr>
        <w:t xml:space="preserve">, </w:t>
      </w:r>
      <w:r w:rsidRPr="00885888">
        <w:rPr>
          <w:rFonts w:ascii="Arial" w:hAnsi="Arial" w:cs="Arial"/>
          <w:i/>
          <w:iCs/>
          <w:noProof/>
          <w:sz w:val="20"/>
          <w:lang w:val="en-US"/>
        </w:rPr>
        <w:t>118</w:t>
      </w:r>
      <w:r w:rsidRPr="00885888">
        <w:rPr>
          <w:rFonts w:ascii="Arial" w:hAnsi="Arial" w:cs="Arial"/>
          <w:noProof/>
          <w:sz w:val="20"/>
          <w:lang w:val="en-US"/>
        </w:rPr>
        <w:t>(March), 206–213. https://doi.org/10.1016/j.indcrop.2018.03.047</w:t>
      </w:r>
    </w:p>
    <w:p w14:paraId="507946D2"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Borokini, F. B., Oladipo, G. O., Komolafe, O. Y., &amp; Ajongbolo, K. F. (2022). Phytochemical, nutritional and antioxidant properties of Abelmoschus esculentus Moench L leaf: A pointer to its fertility potentials. </w:t>
      </w:r>
      <w:r w:rsidRPr="00885888">
        <w:rPr>
          <w:rFonts w:ascii="Arial" w:hAnsi="Arial" w:cs="Arial"/>
          <w:i/>
          <w:iCs/>
          <w:noProof/>
          <w:sz w:val="20"/>
          <w:lang w:val="en-US"/>
        </w:rPr>
        <w:t>Measurement: Food</w:t>
      </w:r>
      <w:r w:rsidRPr="00885888">
        <w:rPr>
          <w:rFonts w:ascii="Arial" w:hAnsi="Arial" w:cs="Arial"/>
          <w:noProof/>
          <w:sz w:val="20"/>
          <w:lang w:val="en-US"/>
        </w:rPr>
        <w:t xml:space="preserve">, </w:t>
      </w:r>
      <w:r w:rsidRPr="00885888">
        <w:rPr>
          <w:rFonts w:ascii="Arial" w:hAnsi="Arial" w:cs="Arial"/>
          <w:i/>
          <w:iCs/>
          <w:noProof/>
          <w:sz w:val="20"/>
          <w:lang w:val="en-US"/>
        </w:rPr>
        <w:t>6</w:t>
      </w:r>
      <w:r w:rsidRPr="00885888">
        <w:rPr>
          <w:rFonts w:ascii="Arial" w:hAnsi="Arial" w:cs="Arial"/>
          <w:noProof/>
          <w:sz w:val="20"/>
          <w:lang w:val="en-US"/>
        </w:rPr>
        <w:t>, 100034. https://doi.org/10.1016/j.meafoo.2022.100034</w:t>
      </w:r>
    </w:p>
    <w:p w14:paraId="579ED88E"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Bost, M., Houdart, S., Oberli, M., Kalonji, E., Huneau, J. F., &amp; Margaritis, I. (2016). Dietary copper and human health: Current evidence and unresolved issues. </w:t>
      </w:r>
      <w:r w:rsidRPr="00885888">
        <w:rPr>
          <w:rFonts w:ascii="Arial" w:hAnsi="Arial" w:cs="Arial"/>
          <w:i/>
          <w:iCs/>
          <w:noProof/>
          <w:sz w:val="20"/>
          <w:lang w:val="en-US"/>
        </w:rPr>
        <w:t>Journal of Trace Elements in Medicine and Biology</w:t>
      </w:r>
      <w:r w:rsidRPr="00885888">
        <w:rPr>
          <w:rFonts w:ascii="Arial" w:hAnsi="Arial" w:cs="Arial"/>
          <w:noProof/>
          <w:sz w:val="20"/>
          <w:lang w:val="en-US"/>
        </w:rPr>
        <w:t xml:space="preserve">, </w:t>
      </w:r>
      <w:r w:rsidRPr="00885888">
        <w:rPr>
          <w:rFonts w:ascii="Arial" w:hAnsi="Arial" w:cs="Arial"/>
          <w:i/>
          <w:iCs/>
          <w:noProof/>
          <w:sz w:val="20"/>
          <w:lang w:val="en-US"/>
        </w:rPr>
        <w:t>35</w:t>
      </w:r>
      <w:r w:rsidRPr="00885888">
        <w:rPr>
          <w:rFonts w:ascii="Arial" w:hAnsi="Arial" w:cs="Arial"/>
          <w:noProof/>
          <w:sz w:val="20"/>
          <w:lang w:val="en-US"/>
        </w:rPr>
        <w:t>, 107–115. https://doi.org/10.1016/j.jtemb.2016.02.006</w:t>
      </w:r>
    </w:p>
    <w:p w14:paraId="03E69981"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Bourely. (1982). Observation sur le dosage de l’huile des graines de cotonnie. </w:t>
      </w:r>
      <w:r w:rsidRPr="00CB3EB5">
        <w:rPr>
          <w:rFonts w:ascii="Arial" w:hAnsi="Arial" w:cs="Arial"/>
          <w:i/>
          <w:iCs/>
          <w:noProof/>
          <w:sz w:val="20"/>
        </w:rPr>
        <w:t>Coton et Fibres Tropicales</w:t>
      </w:r>
      <w:r w:rsidRPr="00CB3EB5">
        <w:rPr>
          <w:rFonts w:ascii="Arial" w:hAnsi="Arial" w:cs="Arial"/>
          <w:noProof/>
          <w:sz w:val="20"/>
        </w:rPr>
        <w:t xml:space="preserve">, </w:t>
      </w:r>
      <w:r w:rsidRPr="00CB3EB5">
        <w:rPr>
          <w:rFonts w:ascii="Arial" w:hAnsi="Arial" w:cs="Arial"/>
          <w:i/>
          <w:iCs/>
          <w:noProof/>
          <w:sz w:val="20"/>
        </w:rPr>
        <w:t>27</w:t>
      </w:r>
      <w:r w:rsidRPr="00CB3EB5">
        <w:rPr>
          <w:rFonts w:ascii="Arial" w:hAnsi="Arial" w:cs="Arial"/>
          <w:noProof/>
          <w:sz w:val="20"/>
        </w:rPr>
        <w:t>, 183–196. https://agritrop.cirad.fr/455410/</w:t>
      </w:r>
    </w:p>
    <w:p w14:paraId="409B9C24"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Chang, A. R., &amp; Anderson, C. (2017). </w:t>
      </w:r>
      <w:r w:rsidRPr="00885888">
        <w:rPr>
          <w:rFonts w:ascii="Arial" w:hAnsi="Arial" w:cs="Arial"/>
          <w:noProof/>
          <w:sz w:val="20"/>
          <w:lang w:val="en-US"/>
        </w:rPr>
        <w:t xml:space="preserve">Dietary phosphorus intake and kidney function. </w:t>
      </w:r>
      <w:r w:rsidRPr="00885888">
        <w:rPr>
          <w:rFonts w:ascii="Arial" w:hAnsi="Arial" w:cs="Arial"/>
          <w:i/>
          <w:iCs/>
          <w:noProof/>
          <w:sz w:val="20"/>
          <w:lang w:val="en-US"/>
        </w:rPr>
        <w:t>Annual Review of Nutrition</w:t>
      </w:r>
      <w:r w:rsidRPr="00885888">
        <w:rPr>
          <w:rFonts w:ascii="Arial" w:hAnsi="Arial" w:cs="Arial"/>
          <w:noProof/>
          <w:sz w:val="20"/>
          <w:lang w:val="en-US"/>
        </w:rPr>
        <w:t xml:space="preserve">, </w:t>
      </w:r>
      <w:r w:rsidRPr="00885888">
        <w:rPr>
          <w:rFonts w:ascii="Arial" w:hAnsi="Arial" w:cs="Arial"/>
          <w:i/>
          <w:iCs/>
          <w:noProof/>
          <w:sz w:val="20"/>
          <w:lang w:val="en-US"/>
        </w:rPr>
        <w:t>37</w:t>
      </w:r>
      <w:r w:rsidRPr="00885888">
        <w:rPr>
          <w:rFonts w:ascii="Arial" w:hAnsi="Arial" w:cs="Arial"/>
          <w:noProof/>
          <w:sz w:val="20"/>
          <w:lang w:val="en-US"/>
        </w:rPr>
        <w:t>(June 14), 321–346. https://doi.org/10.1201/9781315119533</w:t>
      </w:r>
    </w:p>
    <w:p w14:paraId="2CC1E659"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Chang, C. C., Yang, M. H., Wen, H. M., &amp; Chern, J. C. (2002). Estimation of total flavonoid content in propolis by two complementary colometric methods. </w:t>
      </w:r>
      <w:r w:rsidRPr="00885888">
        <w:rPr>
          <w:rFonts w:ascii="Arial" w:hAnsi="Arial" w:cs="Arial"/>
          <w:i/>
          <w:iCs/>
          <w:noProof/>
          <w:sz w:val="20"/>
          <w:lang w:val="en-US"/>
        </w:rPr>
        <w:t>Journal of Food and Drug Analysis</w:t>
      </w:r>
      <w:r w:rsidRPr="00885888">
        <w:rPr>
          <w:rFonts w:ascii="Arial" w:hAnsi="Arial" w:cs="Arial"/>
          <w:noProof/>
          <w:sz w:val="20"/>
          <w:lang w:val="en-US"/>
        </w:rPr>
        <w:t xml:space="preserve">, </w:t>
      </w:r>
      <w:r w:rsidRPr="00885888">
        <w:rPr>
          <w:rFonts w:ascii="Arial" w:hAnsi="Arial" w:cs="Arial"/>
          <w:i/>
          <w:iCs/>
          <w:noProof/>
          <w:sz w:val="20"/>
          <w:lang w:val="en-US"/>
        </w:rPr>
        <w:t>10</w:t>
      </w:r>
      <w:r w:rsidRPr="00885888">
        <w:rPr>
          <w:rFonts w:ascii="Arial" w:hAnsi="Arial" w:cs="Arial"/>
          <w:noProof/>
          <w:sz w:val="20"/>
          <w:lang w:val="en-US"/>
        </w:rPr>
        <w:t>(3), 178–182. https://doi.org/10.38212/2224-6614.2748</w:t>
      </w:r>
    </w:p>
    <w:p w14:paraId="25AEB2E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885888">
        <w:rPr>
          <w:rFonts w:ascii="Arial" w:hAnsi="Arial" w:cs="Arial"/>
          <w:noProof/>
          <w:sz w:val="20"/>
          <w:lang w:val="en-US"/>
        </w:rPr>
        <w:t xml:space="preserve">Debnath, B., Singh, W. S., Das, M., Goswami, S., Singh, M. K., Maiti, D., &amp; Manna, K. (2018). Role of plant alkaloids on human health: A review of biological activities. </w:t>
      </w:r>
      <w:r w:rsidRPr="00CB3EB5">
        <w:rPr>
          <w:rFonts w:ascii="Arial" w:hAnsi="Arial" w:cs="Arial"/>
          <w:i/>
          <w:iCs/>
          <w:noProof/>
          <w:sz w:val="20"/>
        </w:rPr>
        <w:t>Materials Today Chemistry</w:t>
      </w:r>
      <w:r w:rsidRPr="00CB3EB5">
        <w:rPr>
          <w:rFonts w:ascii="Arial" w:hAnsi="Arial" w:cs="Arial"/>
          <w:noProof/>
          <w:sz w:val="20"/>
        </w:rPr>
        <w:t xml:space="preserve">, </w:t>
      </w:r>
      <w:r w:rsidRPr="00CB3EB5">
        <w:rPr>
          <w:rFonts w:ascii="Arial" w:hAnsi="Arial" w:cs="Arial"/>
          <w:i/>
          <w:iCs/>
          <w:noProof/>
          <w:sz w:val="20"/>
        </w:rPr>
        <w:t>9</w:t>
      </w:r>
      <w:r w:rsidRPr="00CB3EB5">
        <w:rPr>
          <w:rFonts w:ascii="Arial" w:hAnsi="Arial" w:cs="Arial"/>
          <w:noProof/>
          <w:sz w:val="20"/>
        </w:rPr>
        <w:t>, 56–72. https://doi.org/10.1016/j.mtchem.2018.05.001</w:t>
      </w:r>
    </w:p>
    <w:p w14:paraId="3A13430E"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Diaz-Muñoz, G., Miranda, I. L., Sartori, S. K., de Rezende, D. C., &amp; Diaz, M. A. N. (2018). </w:t>
      </w:r>
      <w:r w:rsidRPr="00885888">
        <w:rPr>
          <w:rFonts w:ascii="Arial" w:hAnsi="Arial" w:cs="Arial"/>
          <w:noProof/>
          <w:sz w:val="20"/>
          <w:lang w:val="en-US"/>
        </w:rPr>
        <w:t xml:space="preserve">Anthraquinones: An Overview. In </w:t>
      </w:r>
      <w:r w:rsidRPr="00885888">
        <w:rPr>
          <w:rFonts w:ascii="Arial" w:hAnsi="Arial" w:cs="Arial"/>
          <w:i/>
          <w:iCs/>
          <w:noProof/>
          <w:sz w:val="20"/>
          <w:lang w:val="en-US"/>
        </w:rPr>
        <w:t>Studies in Natural Products Chemistry</w:t>
      </w:r>
      <w:r w:rsidRPr="00885888">
        <w:rPr>
          <w:rFonts w:ascii="Arial" w:hAnsi="Arial" w:cs="Arial"/>
          <w:noProof/>
          <w:sz w:val="20"/>
          <w:lang w:val="en-US"/>
        </w:rPr>
        <w:t xml:space="preserve"> (Vol. 58, pp. 313–338). https://doi.org/10.1016/B978-0-444-64056-7.00011-8</w:t>
      </w:r>
    </w:p>
    <w:p w14:paraId="10004DD3"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Fang, Z., Li, J., Yang, R., Fang, L., &amp; Zhang, Y. (2020). </w:t>
      </w:r>
      <w:r w:rsidRPr="00885888">
        <w:rPr>
          <w:rFonts w:ascii="Arial" w:hAnsi="Arial" w:cs="Arial"/>
          <w:noProof/>
          <w:sz w:val="20"/>
          <w:lang w:val="en-US"/>
        </w:rPr>
        <w:t xml:space="preserve">A review: The triterpenoid saponins and biological activities of lonicera linn. </w:t>
      </w:r>
      <w:r w:rsidRPr="00885888">
        <w:rPr>
          <w:rFonts w:ascii="Arial" w:hAnsi="Arial" w:cs="Arial"/>
          <w:i/>
          <w:iCs/>
          <w:noProof/>
          <w:sz w:val="20"/>
          <w:lang w:val="en-US"/>
        </w:rPr>
        <w:t>Molecules</w:t>
      </w:r>
      <w:r w:rsidRPr="00885888">
        <w:rPr>
          <w:rFonts w:ascii="Arial" w:hAnsi="Arial" w:cs="Arial"/>
          <w:noProof/>
          <w:sz w:val="20"/>
          <w:lang w:val="en-US"/>
        </w:rPr>
        <w:t xml:space="preserve">, </w:t>
      </w:r>
      <w:r w:rsidRPr="00885888">
        <w:rPr>
          <w:rFonts w:ascii="Arial" w:hAnsi="Arial" w:cs="Arial"/>
          <w:i/>
          <w:iCs/>
          <w:noProof/>
          <w:sz w:val="20"/>
          <w:lang w:val="en-US"/>
        </w:rPr>
        <w:t>25</w:t>
      </w:r>
      <w:r w:rsidRPr="00885888">
        <w:rPr>
          <w:rFonts w:ascii="Arial" w:hAnsi="Arial" w:cs="Arial"/>
          <w:noProof/>
          <w:sz w:val="20"/>
          <w:lang w:val="en-US"/>
        </w:rPr>
        <w:t>(17), 1–16. https://doi.org/10.3390/molecules25173773</w:t>
      </w:r>
    </w:p>
    <w:p w14:paraId="76B6540B"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Farquhar, W. B., Edwards, D. G., Jurkovitz, C. T., &amp; Weintraub, W. S. (2015). Dietary sodium and health: More than just blood pressure. </w:t>
      </w:r>
      <w:r w:rsidRPr="00885888">
        <w:rPr>
          <w:rFonts w:ascii="Arial" w:hAnsi="Arial" w:cs="Arial"/>
          <w:i/>
          <w:iCs/>
          <w:noProof/>
          <w:sz w:val="20"/>
          <w:lang w:val="en-US"/>
        </w:rPr>
        <w:t>Journal of the American College of Cardiology</w:t>
      </w:r>
      <w:r w:rsidRPr="00885888">
        <w:rPr>
          <w:rFonts w:ascii="Arial" w:hAnsi="Arial" w:cs="Arial"/>
          <w:noProof/>
          <w:sz w:val="20"/>
          <w:lang w:val="en-US"/>
        </w:rPr>
        <w:t xml:space="preserve">, </w:t>
      </w:r>
      <w:r w:rsidRPr="00885888">
        <w:rPr>
          <w:rFonts w:ascii="Arial" w:hAnsi="Arial" w:cs="Arial"/>
          <w:i/>
          <w:iCs/>
          <w:noProof/>
          <w:sz w:val="20"/>
          <w:lang w:val="en-US"/>
        </w:rPr>
        <w:t>65</w:t>
      </w:r>
      <w:r w:rsidRPr="00885888">
        <w:rPr>
          <w:rFonts w:ascii="Arial" w:hAnsi="Arial" w:cs="Arial"/>
          <w:noProof/>
          <w:sz w:val="20"/>
          <w:lang w:val="en-US"/>
        </w:rPr>
        <w:t>(10), 1042–1050. https://doi.org/10.1016/j.jacc.2014.12.039</w:t>
      </w:r>
    </w:p>
    <w:p w14:paraId="4BC31345"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Fischer, E., &amp; Stein, E. A. (1961). DNS colorimetric determination of available carbohydrates in foods. </w:t>
      </w:r>
      <w:r w:rsidRPr="00885888">
        <w:rPr>
          <w:rFonts w:ascii="Arial" w:hAnsi="Arial" w:cs="Arial"/>
          <w:i/>
          <w:iCs/>
          <w:noProof/>
          <w:sz w:val="20"/>
          <w:lang w:val="en-US"/>
        </w:rPr>
        <w:t>Biochemical Preparation</w:t>
      </w:r>
      <w:r w:rsidRPr="00885888">
        <w:rPr>
          <w:rFonts w:ascii="Arial" w:hAnsi="Arial" w:cs="Arial"/>
          <w:noProof/>
          <w:sz w:val="20"/>
          <w:lang w:val="en-US"/>
        </w:rPr>
        <w:t xml:space="preserve">, </w:t>
      </w:r>
      <w:r w:rsidRPr="00885888">
        <w:rPr>
          <w:rFonts w:ascii="Arial" w:hAnsi="Arial" w:cs="Arial"/>
          <w:i/>
          <w:iCs/>
          <w:noProof/>
          <w:sz w:val="20"/>
          <w:lang w:val="en-US"/>
        </w:rPr>
        <w:t>8</w:t>
      </w:r>
      <w:r w:rsidRPr="00885888">
        <w:rPr>
          <w:rFonts w:ascii="Arial" w:hAnsi="Arial" w:cs="Arial"/>
          <w:noProof/>
          <w:sz w:val="20"/>
          <w:lang w:val="en-US"/>
        </w:rPr>
        <w:t>, 30–37.</w:t>
      </w:r>
    </w:p>
    <w:p w14:paraId="15C71FDA"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Galla, N. R., Pamidighantam, P. R., Karakala, B., Gurusiddaiah, M. R., &amp; Akula, S. (2017). Nutritional, textural and sensory quality of biscuits supplemented with spinach (Spinacia oleracea L.). </w:t>
      </w:r>
      <w:r w:rsidRPr="00885888">
        <w:rPr>
          <w:rFonts w:ascii="Arial" w:hAnsi="Arial" w:cs="Arial"/>
          <w:i/>
          <w:iCs/>
          <w:noProof/>
          <w:sz w:val="20"/>
          <w:lang w:val="en-US"/>
        </w:rPr>
        <w:t>International Journal of Gastronomy and Food Science</w:t>
      </w:r>
      <w:r w:rsidRPr="00885888">
        <w:rPr>
          <w:rFonts w:ascii="Arial" w:hAnsi="Arial" w:cs="Arial"/>
          <w:noProof/>
          <w:sz w:val="20"/>
          <w:lang w:val="en-US"/>
        </w:rPr>
        <w:t xml:space="preserve">, </w:t>
      </w:r>
      <w:r w:rsidRPr="00885888">
        <w:rPr>
          <w:rFonts w:ascii="Arial" w:hAnsi="Arial" w:cs="Arial"/>
          <w:i/>
          <w:iCs/>
          <w:noProof/>
          <w:sz w:val="20"/>
          <w:lang w:val="en-US"/>
        </w:rPr>
        <w:t>7</w:t>
      </w:r>
      <w:r w:rsidRPr="00885888">
        <w:rPr>
          <w:rFonts w:ascii="Arial" w:hAnsi="Arial" w:cs="Arial"/>
          <w:noProof/>
          <w:sz w:val="20"/>
          <w:lang w:val="en-US"/>
        </w:rPr>
        <w:t>(2017), 20–26. https://doi.org/10.1016/j.ijgfs.2016.12.003</w:t>
      </w:r>
    </w:p>
    <w:p w14:paraId="131DA33F"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Gemede, H. F., Ratta, N., Haki, G. D., &amp; Beyene, A. Z. W. F. (2015). Nutritional Quality and Health Benefits of Okra (Abelmoschus esculentus): A Review. </w:t>
      </w:r>
      <w:r w:rsidRPr="00885888">
        <w:rPr>
          <w:rFonts w:ascii="Arial" w:hAnsi="Arial" w:cs="Arial"/>
          <w:i/>
          <w:iCs/>
          <w:noProof/>
          <w:sz w:val="20"/>
          <w:lang w:val="en-US"/>
        </w:rPr>
        <w:t>Journal of Food Processing &amp; Technology</w:t>
      </w:r>
      <w:r w:rsidRPr="00885888">
        <w:rPr>
          <w:rFonts w:ascii="Arial" w:hAnsi="Arial" w:cs="Arial"/>
          <w:noProof/>
          <w:sz w:val="20"/>
          <w:lang w:val="en-US"/>
        </w:rPr>
        <w:t xml:space="preserve">, </w:t>
      </w:r>
      <w:r w:rsidRPr="00885888">
        <w:rPr>
          <w:rFonts w:ascii="Arial" w:hAnsi="Arial" w:cs="Arial"/>
          <w:i/>
          <w:iCs/>
          <w:noProof/>
          <w:sz w:val="20"/>
          <w:lang w:val="en-US"/>
        </w:rPr>
        <w:t>06</w:t>
      </w:r>
      <w:r w:rsidRPr="00885888">
        <w:rPr>
          <w:rFonts w:ascii="Arial" w:hAnsi="Arial" w:cs="Arial"/>
          <w:noProof/>
          <w:sz w:val="20"/>
          <w:lang w:val="en-US"/>
        </w:rPr>
        <w:t>(06). https://doi.org/10.4172/2157-7110.1000458</w:t>
      </w:r>
    </w:p>
    <w:p w14:paraId="730C7270"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Guerriero, G., Berni, R., Muñoz-Sanchez, J. A., Apone, F., Abdel-Salam, E. M., Qahtan, A. A., Alatar, A. A., Cantini, C., Cai, G., Hausman, J. F., Siddiqui, K. S., Hernández-Sotomayor, S. M. T., &amp; Faisal, M. (2018). Production of plant secondary metabolites: Examples, tips and suggestions for biotechnologists. </w:t>
      </w:r>
      <w:r w:rsidRPr="00885888">
        <w:rPr>
          <w:rFonts w:ascii="Arial" w:hAnsi="Arial" w:cs="Arial"/>
          <w:i/>
          <w:iCs/>
          <w:noProof/>
          <w:sz w:val="20"/>
          <w:lang w:val="en-US"/>
        </w:rPr>
        <w:t>Genes</w:t>
      </w:r>
      <w:r w:rsidRPr="00885888">
        <w:rPr>
          <w:rFonts w:ascii="Arial" w:hAnsi="Arial" w:cs="Arial"/>
          <w:noProof/>
          <w:sz w:val="20"/>
          <w:lang w:val="en-US"/>
        </w:rPr>
        <w:t xml:space="preserve">, </w:t>
      </w:r>
      <w:r w:rsidRPr="00885888">
        <w:rPr>
          <w:rFonts w:ascii="Arial" w:hAnsi="Arial" w:cs="Arial"/>
          <w:i/>
          <w:iCs/>
          <w:noProof/>
          <w:sz w:val="20"/>
          <w:lang w:val="en-US"/>
        </w:rPr>
        <w:t>9</w:t>
      </w:r>
      <w:r w:rsidRPr="00885888">
        <w:rPr>
          <w:rFonts w:ascii="Arial" w:hAnsi="Arial" w:cs="Arial"/>
          <w:noProof/>
          <w:sz w:val="20"/>
          <w:lang w:val="en-US"/>
        </w:rPr>
        <w:t>(309), 1–22. https://doi.org/10.3390/genes9060309</w:t>
      </w:r>
    </w:p>
    <w:p w14:paraId="3F8F28A0"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Gülçin, I. (2012). Antioxidant activity of food constituents: An overview. </w:t>
      </w:r>
      <w:r w:rsidRPr="00885888">
        <w:rPr>
          <w:rFonts w:ascii="Arial" w:hAnsi="Arial" w:cs="Arial"/>
          <w:i/>
          <w:iCs/>
          <w:noProof/>
          <w:sz w:val="20"/>
          <w:lang w:val="en-US"/>
        </w:rPr>
        <w:t>Archives of Toxicology</w:t>
      </w:r>
      <w:r w:rsidRPr="00885888">
        <w:rPr>
          <w:rFonts w:ascii="Arial" w:hAnsi="Arial" w:cs="Arial"/>
          <w:noProof/>
          <w:sz w:val="20"/>
          <w:lang w:val="en-US"/>
        </w:rPr>
        <w:t xml:space="preserve">, </w:t>
      </w:r>
      <w:r w:rsidRPr="00885888">
        <w:rPr>
          <w:rFonts w:ascii="Arial" w:hAnsi="Arial" w:cs="Arial"/>
          <w:i/>
          <w:iCs/>
          <w:noProof/>
          <w:sz w:val="20"/>
          <w:lang w:val="en-US"/>
        </w:rPr>
        <w:t>86</w:t>
      </w:r>
      <w:r w:rsidRPr="00885888">
        <w:rPr>
          <w:rFonts w:ascii="Arial" w:hAnsi="Arial" w:cs="Arial"/>
          <w:noProof/>
          <w:sz w:val="20"/>
          <w:lang w:val="en-US"/>
        </w:rPr>
        <w:t>(3), 345–391. https://doi.org/10.1007/s00204-011-0774-2</w:t>
      </w:r>
    </w:p>
    <w:p w14:paraId="7216585D"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Gülçin, I., Huyut, Z., Elmastaş, M., &amp; Aboul-Enein, H. Y. (2010). Radical scavenging and antioxidant activity of tannic acid. </w:t>
      </w:r>
      <w:r w:rsidRPr="00885888">
        <w:rPr>
          <w:rFonts w:ascii="Arial" w:hAnsi="Arial" w:cs="Arial"/>
          <w:i/>
          <w:iCs/>
          <w:noProof/>
          <w:sz w:val="20"/>
          <w:lang w:val="en-US"/>
        </w:rPr>
        <w:t>Arabian Journal of Chemistry</w:t>
      </w:r>
      <w:r w:rsidRPr="00885888">
        <w:rPr>
          <w:rFonts w:ascii="Arial" w:hAnsi="Arial" w:cs="Arial"/>
          <w:noProof/>
          <w:sz w:val="20"/>
          <w:lang w:val="en-US"/>
        </w:rPr>
        <w:t xml:space="preserve">, </w:t>
      </w:r>
      <w:r w:rsidRPr="00885888">
        <w:rPr>
          <w:rFonts w:ascii="Arial" w:hAnsi="Arial" w:cs="Arial"/>
          <w:i/>
          <w:iCs/>
          <w:noProof/>
          <w:sz w:val="20"/>
          <w:lang w:val="en-US"/>
        </w:rPr>
        <w:t>3</w:t>
      </w:r>
      <w:r w:rsidRPr="00885888">
        <w:rPr>
          <w:rFonts w:ascii="Arial" w:hAnsi="Arial" w:cs="Arial"/>
          <w:noProof/>
          <w:sz w:val="20"/>
          <w:lang w:val="en-US"/>
        </w:rPr>
        <w:t xml:space="preserve">(1), 43–53. </w:t>
      </w:r>
      <w:r w:rsidRPr="00885888">
        <w:rPr>
          <w:rFonts w:ascii="Arial" w:hAnsi="Arial" w:cs="Arial"/>
          <w:noProof/>
          <w:sz w:val="20"/>
          <w:lang w:val="en-US"/>
        </w:rPr>
        <w:lastRenderedPageBreak/>
        <w:t>https://doi.org/10.1016/j.arabjc.2009.12.008</w:t>
      </w:r>
    </w:p>
    <w:p w14:paraId="5E48EA9C"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Harborne, J. B. (1998). Phytochemical Methods: A Guide to Modern Techniques of Plant Analysis. Second Edition. In </w:t>
      </w:r>
      <w:r w:rsidRPr="00885888">
        <w:rPr>
          <w:rFonts w:ascii="Arial" w:hAnsi="Arial" w:cs="Arial"/>
          <w:i/>
          <w:iCs/>
          <w:noProof/>
          <w:sz w:val="20"/>
          <w:lang w:val="en-US"/>
        </w:rPr>
        <w:t>Brittonia</w:t>
      </w:r>
      <w:r w:rsidRPr="00885888">
        <w:rPr>
          <w:rFonts w:ascii="Arial" w:hAnsi="Arial" w:cs="Arial"/>
          <w:noProof/>
          <w:sz w:val="20"/>
          <w:lang w:val="en-US"/>
        </w:rPr>
        <w:t xml:space="preserve"> (Vol. 42, Issue 2). Springer Dordrecht. https://doi.org/10.2307/2807624</w:t>
      </w:r>
    </w:p>
    <w:p w14:paraId="2E5D4235"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He, W. Sen, Zhu, H., &amp; Chen, Z. Y. (2018). Plant Sterols: Chemical and Enzymatic Structural Modifications and Effects on Their Cholesterol-Lowering Activity. </w:t>
      </w:r>
      <w:r w:rsidRPr="00885888">
        <w:rPr>
          <w:rFonts w:ascii="Arial" w:hAnsi="Arial" w:cs="Arial"/>
          <w:i/>
          <w:iCs/>
          <w:noProof/>
          <w:sz w:val="20"/>
          <w:lang w:val="en-US"/>
        </w:rPr>
        <w:t>Journal of Agricultural and Food Chemistry</w:t>
      </w:r>
      <w:r w:rsidRPr="00885888">
        <w:rPr>
          <w:rFonts w:ascii="Arial" w:hAnsi="Arial" w:cs="Arial"/>
          <w:noProof/>
          <w:sz w:val="20"/>
          <w:lang w:val="en-US"/>
        </w:rPr>
        <w:t xml:space="preserve">, </w:t>
      </w:r>
      <w:r w:rsidRPr="00885888">
        <w:rPr>
          <w:rFonts w:ascii="Arial" w:hAnsi="Arial" w:cs="Arial"/>
          <w:i/>
          <w:iCs/>
          <w:noProof/>
          <w:sz w:val="20"/>
          <w:lang w:val="en-US"/>
        </w:rPr>
        <w:t>66</w:t>
      </w:r>
      <w:r w:rsidRPr="00885888">
        <w:rPr>
          <w:rFonts w:ascii="Arial" w:hAnsi="Arial" w:cs="Arial"/>
          <w:noProof/>
          <w:sz w:val="20"/>
          <w:lang w:val="en-US"/>
        </w:rPr>
        <w:t>(12), 3047–3062. https://doi.org/10.1021/acs.jafc.8b00059</w:t>
      </w:r>
    </w:p>
    <w:p w14:paraId="4AC1B56F"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Hussain, S., Jõudu, I., &amp; Bhat, R. (2020). Dietary fiber from underutilized plant resources-A positive approach for valorization of fruit and vegetable wastes. </w:t>
      </w:r>
      <w:r w:rsidRPr="00885888">
        <w:rPr>
          <w:rFonts w:ascii="Arial" w:hAnsi="Arial" w:cs="Arial"/>
          <w:i/>
          <w:iCs/>
          <w:noProof/>
          <w:sz w:val="20"/>
          <w:lang w:val="en-US"/>
        </w:rPr>
        <w:t>Sustainability (Switzerland)</w:t>
      </w:r>
      <w:r w:rsidRPr="00885888">
        <w:rPr>
          <w:rFonts w:ascii="Arial" w:hAnsi="Arial" w:cs="Arial"/>
          <w:noProof/>
          <w:sz w:val="20"/>
          <w:lang w:val="en-US"/>
        </w:rPr>
        <w:t xml:space="preserve">, </w:t>
      </w:r>
      <w:r w:rsidRPr="00885888">
        <w:rPr>
          <w:rFonts w:ascii="Arial" w:hAnsi="Arial" w:cs="Arial"/>
          <w:i/>
          <w:iCs/>
          <w:noProof/>
          <w:sz w:val="20"/>
          <w:lang w:val="en-US"/>
        </w:rPr>
        <w:t>12</w:t>
      </w:r>
      <w:r w:rsidRPr="00885888">
        <w:rPr>
          <w:rFonts w:ascii="Arial" w:hAnsi="Arial" w:cs="Arial"/>
          <w:noProof/>
          <w:sz w:val="20"/>
          <w:lang w:val="en-US"/>
        </w:rPr>
        <w:t>(13). https://doi.org/10.3390/su12135401</w:t>
      </w:r>
    </w:p>
    <w:p w14:paraId="045A366C"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Islam, M. M. (2013). Biochemistry, Medicinal and Food values of Jute (Corchorus capsularis L. and C. olitorius L.) leaf: A Review. </w:t>
      </w:r>
      <w:r w:rsidRPr="00885888">
        <w:rPr>
          <w:rFonts w:ascii="Arial" w:hAnsi="Arial" w:cs="Arial"/>
          <w:i/>
          <w:iCs/>
          <w:noProof/>
          <w:sz w:val="20"/>
          <w:lang w:val="en-US"/>
        </w:rPr>
        <w:t>International Journal of Enhanced Research in Science Technology &amp; Engineering</w:t>
      </w:r>
      <w:r w:rsidRPr="00885888">
        <w:rPr>
          <w:rFonts w:ascii="Arial" w:hAnsi="Arial" w:cs="Arial"/>
          <w:noProof/>
          <w:sz w:val="20"/>
          <w:lang w:val="en-US"/>
        </w:rPr>
        <w:t xml:space="preserve">, </w:t>
      </w:r>
      <w:r w:rsidRPr="00885888">
        <w:rPr>
          <w:rFonts w:ascii="Arial" w:hAnsi="Arial" w:cs="Arial"/>
          <w:i/>
          <w:iCs/>
          <w:noProof/>
          <w:sz w:val="20"/>
          <w:lang w:val="en-US"/>
        </w:rPr>
        <w:t>2</w:t>
      </w:r>
      <w:r w:rsidRPr="00885888">
        <w:rPr>
          <w:rFonts w:ascii="Arial" w:hAnsi="Arial" w:cs="Arial"/>
          <w:noProof/>
          <w:sz w:val="20"/>
          <w:lang w:val="en-US"/>
        </w:rPr>
        <w:t>(11), 35–44. http://www.erpublications.com/uploaded_files/download/download_27_11_2013_06_45_32.pdf</w:t>
      </w:r>
    </w:p>
    <w:p w14:paraId="13E69192"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Jucá, M. M., Cysne Filho, F. M. S., de Almeida, J. C., Mesquita, D. da S., Barriga, J. R. de M., Dias, K. C. F., Barbosa, T. M., Vasconcelos, L. C., Leal, L. K. A. M., Ribeiro, J. E., &amp; Vasconcelos, S. M. M. (2020). </w:t>
      </w:r>
      <w:r w:rsidRPr="00885888">
        <w:rPr>
          <w:rFonts w:ascii="Arial" w:hAnsi="Arial" w:cs="Arial"/>
          <w:noProof/>
          <w:sz w:val="20"/>
          <w:lang w:val="en-US"/>
        </w:rPr>
        <w:t xml:space="preserve">Flavonoids: biological activities and therapeutic potential. </w:t>
      </w:r>
      <w:r w:rsidRPr="00885888">
        <w:rPr>
          <w:rFonts w:ascii="Arial" w:hAnsi="Arial" w:cs="Arial"/>
          <w:i/>
          <w:iCs/>
          <w:noProof/>
          <w:sz w:val="20"/>
          <w:lang w:val="en-US"/>
        </w:rPr>
        <w:t>Natural Product Research</w:t>
      </w:r>
      <w:r w:rsidRPr="00885888">
        <w:rPr>
          <w:rFonts w:ascii="Arial" w:hAnsi="Arial" w:cs="Arial"/>
          <w:noProof/>
          <w:sz w:val="20"/>
          <w:lang w:val="en-US"/>
        </w:rPr>
        <w:t xml:space="preserve">, </w:t>
      </w:r>
      <w:r w:rsidRPr="00885888">
        <w:rPr>
          <w:rFonts w:ascii="Arial" w:hAnsi="Arial" w:cs="Arial"/>
          <w:i/>
          <w:iCs/>
          <w:noProof/>
          <w:sz w:val="20"/>
          <w:lang w:val="en-US"/>
        </w:rPr>
        <w:t>34</w:t>
      </w:r>
      <w:r w:rsidRPr="00885888">
        <w:rPr>
          <w:rFonts w:ascii="Arial" w:hAnsi="Arial" w:cs="Arial"/>
          <w:noProof/>
          <w:sz w:val="20"/>
          <w:lang w:val="en-US"/>
        </w:rPr>
        <w:t>(5), 692–705. https://doi.org/10.1080/14786419.2018.1493588</w:t>
      </w:r>
    </w:p>
    <w:p w14:paraId="0F6B5AB2"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Jung, F., Krüger-Genge, A., Waldeck, P., &amp; Küpper, J. H. (2019). Spirulina platensis, a super food? </w:t>
      </w:r>
      <w:r w:rsidRPr="00885888">
        <w:rPr>
          <w:rFonts w:ascii="Arial" w:hAnsi="Arial" w:cs="Arial"/>
          <w:i/>
          <w:iCs/>
          <w:noProof/>
          <w:sz w:val="20"/>
          <w:lang w:val="en-US"/>
        </w:rPr>
        <w:t>Journal of Cellular Biotechnology</w:t>
      </w:r>
      <w:r w:rsidRPr="00885888">
        <w:rPr>
          <w:rFonts w:ascii="Arial" w:hAnsi="Arial" w:cs="Arial"/>
          <w:noProof/>
          <w:sz w:val="20"/>
          <w:lang w:val="en-US"/>
        </w:rPr>
        <w:t xml:space="preserve">, </w:t>
      </w:r>
      <w:r w:rsidRPr="00885888">
        <w:rPr>
          <w:rFonts w:ascii="Arial" w:hAnsi="Arial" w:cs="Arial"/>
          <w:i/>
          <w:iCs/>
          <w:noProof/>
          <w:sz w:val="20"/>
          <w:lang w:val="en-US"/>
        </w:rPr>
        <w:t>5</w:t>
      </w:r>
      <w:r w:rsidRPr="00885888">
        <w:rPr>
          <w:rFonts w:ascii="Arial" w:hAnsi="Arial" w:cs="Arial"/>
          <w:noProof/>
          <w:sz w:val="20"/>
          <w:lang w:val="en-US"/>
        </w:rPr>
        <w:t>(1), 43–54. https://doi.org/10.3233/JCB-189012</w:t>
      </w:r>
    </w:p>
    <w:p w14:paraId="24830B2C"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Khyade, M. S., &amp; Waman, M. B. (2017). Chemical profile and antioxidant properties of mundulea sericea. </w:t>
      </w:r>
      <w:r w:rsidRPr="00885888">
        <w:rPr>
          <w:rFonts w:ascii="Arial" w:hAnsi="Arial" w:cs="Arial"/>
          <w:i/>
          <w:iCs/>
          <w:noProof/>
          <w:sz w:val="20"/>
          <w:lang w:val="en-US"/>
        </w:rPr>
        <w:t>Pharmacognosy Journal</w:t>
      </w:r>
      <w:r w:rsidRPr="00885888">
        <w:rPr>
          <w:rFonts w:ascii="Arial" w:hAnsi="Arial" w:cs="Arial"/>
          <w:noProof/>
          <w:sz w:val="20"/>
          <w:lang w:val="en-US"/>
        </w:rPr>
        <w:t xml:space="preserve">, </w:t>
      </w:r>
      <w:r w:rsidRPr="00885888">
        <w:rPr>
          <w:rFonts w:ascii="Arial" w:hAnsi="Arial" w:cs="Arial"/>
          <w:i/>
          <w:iCs/>
          <w:noProof/>
          <w:sz w:val="20"/>
          <w:lang w:val="en-US"/>
        </w:rPr>
        <w:t>9</w:t>
      </w:r>
      <w:r w:rsidRPr="00885888">
        <w:rPr>
          <w:rFonts w:ascii="Arial" w:hAnsi="Arial" w:cs="Arial"/>
          <w:noProof/>
          <w:sz w:val="20"/>
          <w:lang w:val="en-US"/>
        </w:rPr>
        <w:t>(2), 213–220. https://doi.org/10.5530/pj.2017.2.36</w:t>
      </w:r>
    </w:p>
    <w:p w14:paraId="52506CC7"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Klevay, L. M. (2022). The contemporaneous epidemic of chronic, copper deficiency. </w:t>
      </w:r>
      <w:r w:rsidRPr="00885888">
        <w:rPr>
          <w:rFonts w:ascii="Arial" w:hAnsi="Arial" w:cs="Arial"/>
          <w:i/>
          <w:iCs/>
          <w:noProof/>
          <w:sz w:val="20"/>
          <w:lang w:val="en-US"/>
        </w:rPr>
        <w:t>Journal of Nutritional Science</w:t>
      </w:r>
      <w:r w:rsidRPr="00885888">
        <w:rPr>
          <w:rFonts w:ascii="Arial" w:hAnsi="Arial" w:cs="Arial"/>
          <w:noProof/>
          <w:sz w:val="20"/>
          <w:lang w:val="en-US"/>
        </w:rPr>
        <w:t xml:space="preserve">, </w:t>
      </w:r>
      <w:r w:rsidRPr="00885888">
        <w:rPr>
          <w:rFonts w:ascii="Arial" w:hAnsi="Arial" w:cs="Arial"/>
          <w:i/>
          <w:iCs/>
          <w:noProof/>
          <w:sz w:val="20"/>
          <w:lang w:val="en-US"/>
        </w:rPr>
        <w:t>11</w:t>
      </w:r>
      <w:r w:rsidRPr="00885888">
        <w:rPr>
          <w:rFonts w:ascii="Arial" w:hAnsi="Arial" w:cs="Arial"/>
          <w:noProof/>
          <w:sz w:val="20"/>
          <w:lang w:val="en-US"/>
        </w:rPr>
        <w:t>(89), 1–6. https://doi.org/10.1017/jns.2022.83</w:t>
      </w:r>
    </w:p>
    <w:p w14:paraId="7269E74E"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Loumerem, M., &amp; Alercia, A. (2016). Descriptors for jute (Corchorus olitorius L.). </w:t>
      </w:r>
      <w:r w:rsidRPr="00885888">
        <w:rPr>
          <w:rFonts w:ascii="Arial" w:hAnsi="Arial" w:cs="Arial"/>
          <w:i/>
          <w:iCs/>
          <w:noProof/>
          <w:sz w:val="20"/>
          <w:lang w:val="en-US"/>
        </w:rPr>
        <w:t>Genetic Resources and Crop Evolution</w:t>
      </w:r>
      <w:r w:rsidRPr="00885888">
        <w:rPr>
          <w:rFonts w:ascii="Arial" w:hAnsi="Arial" w:cs="Arial"/>
          <w:noProof/>
          <w:sz w:val="20"/>
          <w:lang w:val="en-US"/>
        </w:rPr>
        <w:t xml:space="preserve">, </w:t>
      </w:r>
      <w:r w:rsidRPr="00885888">
        <w:rPr>
          <w:rFonts w:ascii="Arial" w:hAnsi="Arial" w:cs="Arial"/>
          <w:i/>
          <w:iCs/>
          <w:noProof/>
          <w:sz w:val="20"/>
          <w:lang w:val="en-US"/>
        </w:rPr>
        <w:t>63</w:t>
      </w:r>
      <w:r w:rsidRPr="00885888">
        <w:rPr>
          <w:rFonts w:ascii="Arial" w:hAnsi="Arial" w:cs="Arial"/>
          <w:noProof/>
          <w:sz w:val="20"/>
          <w:lang w:val="en-US"/>
        </w:rPr>
        <w:t>(7), 1103–1111. https://doi.org/10.1007/s10722-016-0415-y</w:t>
      </w:r>
    </w:p>
    <w:p w14:paraId="63DB9372"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Makkar, H. P. S., Siddhuraju, P., &amp; Becker, K. (2007). </w:t>
      </w:r>
      <w:r w:rsidRPr="00885888">
        <w:rPr>
          <w:rFonts w:ascii="Arial" w:hAnsi="Arial" w:cs="Arial"/>
          <w:i/>
          <w:iCs/>
          <w:noProof/>
          <w:sz w:val="20"/>
          <w:lang w:val="en-US"/>
        </w:rPr>
        <w:t>Plant secondary metabolites</w:t>
      </w:r>
      <w:r w:rsidRPr="00885888">
        <w:rPr>
          <w:rFonts w:ascii="Arial" w:hAnsi="Arial" w:cs="Arial"/>
          <w:noProof/>
          <w:sz w:val="20"/>
          <w:lang w:val="en-US"/>
        </w:rPr>
        <w:t>. Humana Press Inc., Totowa, New Jersey 07512. www.humanapress.com</w:t>
      </w:r>
    </w:p>
    <w:p w14:paraId="79B45CD8"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Mishra, T., Das, A. P., &amp; Sen, A. (2012). Phytochemical Screening and ln-vitro Antioxidant Profiling of Solvent Fractions of Canna edulis Ker Gawler. </w:t>
      </w:r>
      <w:r w:rsidRPr="00885888">
        <w:rPr>
          <w:rFonts w:ascii="Arial" w:hAnsi="Arial" w:cs="Arial"/>
          <w:i/>
          <w:iCs/>
          <w:noProof/>
          <w:sz w:val="20"/>
          <w:lang w:val="en-US"/>
        </w:rPr>
        <w:t>Free Radicals and Antioxidants</w:t>
      </w:r>
      <w:r w:rsidRPr="00885888">
        <w:rPr>
          <w:rFonts w:ascii="Arial" w:hAnsi="Arial" w:cs="Arial"/>
          <w:noProof/>
          <w:sz w:val="20"/>
          <w:lang w:val="en-US"/>
        </w:rPr>
        <w:t xml:space="preserve">, </w:t>
      </w:r>
      <w:r w:rsidRPr="00885888">
        <w:rPr>
          <w:rFonts w:ascii="Arial" w:hAnsi="Arial" w:cs="Arial"/>
          <w:i/>
          <w:iCs/>
          <w:noProof/>
          <w:sz w:val="20"/>
          <w:lang w:val="en-US"/>
        </w:rPr>
        <w:t>2</w:t>
      </w:r>
      <w:r w:rsidRPr="00885888">
        <w:rPr>
          <w:rFonts w:ascii="Arial" w:hAnsi="Arial" w:cs="Arial"/>
          <w:noProof/>
          <w:sz w:val="20"/>
          <w:lang w:val="en-US"/>
        </w:rPr>
        <w:t>(1), 13–20. https://doi.org/10.5530/ax.2012.2.5</w:t>
      </w:r>
    </w:p>
    <w:p w14:paraId="175AC1E8"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Ogboru, R., Okolie, P., &amp; Agboje, I. (2015). Phytochemical Screening and Medicinal Potentials of the Bark of. </w:t>
      </w:r>
      <w:r w:rsidRPr="00885888">
        <w:rPr>
          <w:rFonts w:ascii="Arial" w:hAnsi="Arial" w:cs="Arial"/>
          <w:i/>
          <w:iCs/>
          <w:noProof/>
          <w:sz w:val="20"/>
          <w:lang w:val="en-US"/>
        </w:rPr>
        <w:t>Environmental Analytical Chemistry</w:t>
      </w:r>
      <w:r w:rsidRPr="00885888">
        <w:rPr>
          <w:rFonts w:ascii="Arial" w:hAnsi="Arial" w:cs="Arial"/>
          <w:noProof/>
          <w:sz w:val="20"/>
          <w:lang w:val="en-US"/>
        </w:rPr>
        <w:t xml:space="preserve">, </w:t>
      </w:r>
      <w:r w:rsidRPr="00885888">
        <w:rPr>
          <w:rFonts w:ascii="Arial" w:hAnsi="Arial" w:cs="Arial"/>
          <w:i/>
          <w:iCs/>
          <w:noProof/>
          <w:sz w:val="20"/>
          <w:lang w:val="en-US"/>
        </w:rPr>
        <w:t>2</w:t>
      </w:r>
      <w:r w:rsidRPr="00885888">
        <w:rPr>
          <w:rFonts w:ascii="Arial" w:hAnsi="Arial" w:cs="Arial"/>
          <w:noProof/>
          <w:sz w:val="20"/>
          <w:lang w:val="en-US"/>
        </w:rPr>
        <w:t>(5), 2–4. https://doi.org/10.4172/2380-2391.1000158</w:t>
      </w:r>
    </w:p>
    <w:p w14:paraId="0FCDA971"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Olawuyi, I. F., &amp; Lee, W. Y. (2021). Structural characterization, functional properties and antioxidant activities of polysaccharide extract obtained from okra leaves (Abelmoschus esculentus). </w:t>
      </w:r>
      <w:r w:rsidRPr="00885888">
        <w:rPr>
          <w:rFonts w:ascii="Arial" w:hAnsi="Arial" w:cs="Arial"/>
          <w:i/>
          <w:iCs/>
          <w:noProof/>
          <w:sz w:val="20"/>
          <w:lang w:val="en-US"/>
        </w:rPr>
        <w:t>Food Chemistry</w:t>
      </w:r>
      <w:r w:rsidRPr="00885888">
        <w:rPr>
          <w:rFonts w:ascii="Arial" w:hAnsi="Arial" w:cs="Arial"/>
          <w:noProof/>
          <w:sz w:val="20"/>
          <w:lang w:val="en-US"/>
        </w:rPr>
        <w:t xml:space="preserve">, </w:t>
      </w:r>
      <w:r w:rsidRPr="00885888">
        <w:rPr>
          <w:rFonts w:ascii="Arial" w:hAnsi="Arial" w:cs="Arial"/>
          <w:i/>
          <w:iCs/>
          <w:noProof/>
          <w:sz w:val="20"/>
          <w:lang w:val="en-US"/>
        </w:rPr>
        <w:t>354</w:t>
      </w:r>
      <w:r w:rsidRPr="00885888">
        <w:rPr>
          <w:rFonts w:ascii="Arial" w:hAnsi="Arial" w:cs="Arial"/>
          <w:noProof/>
          <w:sz w:val="20"/>
          <w:lang w:val="en-US"/>
        </w:rPr>
        <w:t>(September 2020), 129437. https://doi.org/10.1016/j.foodchem.2021.129437</w:t>
      </w:r>
    </w:p>
    <w:p w14:paraId="5FEA0474"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Ozcan, T., Akpinar-Bayizit, A., Yilmaz-Ersan, L., &amp; Delikanli, B. (2014). Phenolics in Human Health. </w:t>
      </w:r>
      <w:r w:rsidRPr="00885888">
        <w:rPr>
          <w:rFonts w:ascii="Arial" w:hAnsi="Arial" w:cs="Arial"/>
          <w:i/>
          <w:iCs/>
          <w:noProof/>
          <w:sz w:val="20"/>
          <w:lang w:val="en-US"/>
        </w:rPr>
        <w:t>International Journal of Chemical Engineering and Applications</w:t>
      </w:r>
      <w:r w:rsidRPr="00885888">
        <w:rPr>
          <w:rFonts w:ascii="Arial" w:hAnsi="Arial" w:cs="Arial"/>
          <w:noProof/>
          <w:sz w:val="20"/>
          <w:lang w:val="en-US"/>
        </w:rPr>
        <w:t xml:space="preserve">, </w:t>
      </w:r>
      <w:r w:rsidRPr="00885888">
        <w:rPr>
          <w:rFonts w:ascii="Arial" w:hAnsi="Arial" w:cs="Arial"/>
          <w:i/>
          <w:iCs/>
          <w:noProof/>
          <w:sz w:val="20"/>
          <w:lang w:val="en-US"/>
        </w:rPr>
        <w:t>5</w:t>
      </w:r>
      <w:r w:rsidRPr="00885888">
        <w:rPr>
          <w:rFonts w:ascii="Arial" w:hAnsi="Arial" w:cs="Arial"/>
          <w:noProof/>
          <w:sz w:val="20"/>
          <w:lang w:val="en-US"/>
        </w:rPr>
        <w:t>(5), 393–396. https://doi.org/10.7763/ijcea.2014.v5.416</w:t>
      </w:r>
    </w:p>
    <w:p w14:paraId="2FB9BD05"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Padmaja, M., Sravanthi, M., &amp; Hemalatha, K. P. J. (2011). Evaluation of Antioxidant Activity of Two Indian Medicinal Plants. </w:t>
      </w:r>
      <w:r w:rsidRPr="00885888">
        <w:rPr>
          <w:rFonts w:ascii="Arial" w:hAnsi="Arial" w:cs="Arial"/>
          <w:i/>
          <w:iCs/>
          <w:noProof/>
          <w:sz w:val="20"/>
          <w:lang w:val="en-US"/>
        </w:rPr>
        <w:t>Journal of Phytology</w:t>
      </w:r>
      <w:r w:rsidRPr="00885888">
        <w:rPr>
          <w:rFonts w:ascii="Arial" w:hAnsi="Arial" w:cs="Arial"/>
          <w:noProof/>
          <w:sz w:val="20"/>
          <w:lang w:val="en-US"/>
        </w:rPr>
        <w:t xml:space="preserve">, </w:t>
      </w:r>
      <w:r w:rsidRPr="00885888">
        <w:rPr>
          <w:rFonts w:ascii="Arial" w:hAnsi="Arial" w:cs="Arial"/>
          <w:i/>
          <w:iCs/>
          <w:noProof/>
          <w:sz w:val="20"/>
          <w:lang w:val="en-US"/>
        </w:rPr>
        <w:t>3</w:t>
      </w:r>
      <w:r w:rsidRPr="00885888">
        <w:rPr>
          <w:rFonts w:ascii="Arial" w:hAnsi="Arial" w:cs="Arial"/>
          <w:noProof/>
          <w:sz w:val="20"/>
          <w:lang w:val="en-US"/>
        </w:rPr>
        <w:t>(3), 86–91.</w:t>
      </w:r>
    </w:p>
    <w:p w14:paraId="03952B5B"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Prasad, A. S. (2014). Zinc is an Antioxidant and Anti-Inflammatory Agent: Its Role in Human Health. </w:t>
      </w:r>
      <w:r w:rsidRPr="00885888">
        <w:rPr>
          <w:rFonts w:ascii="Arial" w:hAnsi="Arial" w:cs="Arial"/>
          <w:i/>
          <w:iCs/>
          <w:noProof/>
          <w:sz w:val="20"/>
          <w:lang w:val="en-US"/>
        </w:rPr>
        <w:t>Frontiers in Nutrition</w:t>
      </w:r>
      <w:r w:rsidRPr="00885888">
        <w:rPr>
          <w:rFonts w:ascii="Arial" w:hAnsi="Arial" w:cs="Arial"/>
          <w:noProof/>
          <w:sz w:val="20"/>
          <w:lang w:val="en-US"/>
        </w:rPr>
        <w:t xml:space="preserve">, </w:t>
      </w:r>
      <w:r w:rsidRPr="00885888">
        <w:rPr>
          <w:rFonts w:ascii="Arial" w:hAnsi="Arial" w:cs="Arial"/>
          <w:i/>
          <w:iCs/>
          <w:noProof/>
          <w:sz w:val="20"/>
          <w:lang w:val="en-US"/>
        </w:rPr>
        <w:t>1</w:t>
      </w:r>
      <w:r w:rsidRPr="00885888">
        <w:rPr>
          <w:rFonts w:ascii="Arial" w:hAnsi="Arial" w:cs="Arial"/>
          <w:noProof/>
          <w:sz w:val="20"/>
          <w:lang w:val="en-US"/>
        </w:rPr>
        <w:t>(September), 1–10. https://doi.org/10.3389/fnut.2014.00014</w:t>
      </w:r>
    </w:p>
    <w:p w14:paraId="0CAD00ED"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lastRenderedPageBreak/>
        <w:t xml:space="preserve">Pravina, P., Sayaji, D., &amp; Avinash, M. (2013). Calcium and its role in human body. </w:t>
      </w:r>
      <w:r w:rsidRPr="00885888">
        <w:rPr>
          <w:rFonts w:ascii="Arial" w:hAnsi="Arial" w:cs="Arial"/>
          <w:i/>
          <w:iCs/>
          <w:noProof/>
          <w:sz w:val="20"/>
          <w:lang w:val="en-US"/>
        </w:rPr>
        <w:t>Academia.Edu</w:t>
      </w:r>
      <w:r w:rsidRPr="00885888">
        <w:rPr>
          <w:rFonts w:ascii="Arial" w:hAnsi="Arial" w:cs="Arial"/>
          <w:noProof/>
          <w:sz w:val="20"/>
          <w:lang w:val="en-US"/>
        </w:rPr>
        <w:t xml:space="preserve">, </w:t>
      </w:r>
      <w:r w:rsidRPr="00885888">
        <w:rPr>
          <w:rFonts w:ascii="Arial" w:hAnsi="Arial" w:cs="Arial"/>
          <w:i/>
          <w:iCs/>
          <w:noProof/>
          <w:sz w:val="20"/>
          <w:lang w:val="en-US"/>
        </w:rPr>
        <w:t>4</w:t>
      </w:r>
      <w:r w:rsidRPr="00885888">
        <w:rPr>
          <w:rFonts w:ascii="Arial" w:hAnsi="Arial" w:cs="Arial"/>
          <w:noProof/>
          <w:sz w:val="20"/>
          <w:lang w:val="en-US"/>
        </w:rPr>
        <w:t>(2), 659–668. http://www.academia.edu/download/32830082/8.pdf</w:t>
      </w:r>
    </w:p>
    <w:p w14:paraId="640946C8"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Prithvira, K. (2019). Biological Activities of Flavonoids: an Overview. </w:t>
      </w:r>
      <w:r w:rsidRPr="00885888">
        <w:rPr>
          <w:rFonts w:ascii="Arial" w:hAnsi="Arial" w:cs="Arial"/>
          <w:i/>
          <w:iCs/>
          <w:noProof/>
          <w:sz w:val="20"/>
          <w:lang w:val="en-US"/>
        </w:rPr>
        <w:t>International Journal of Pharmaceutical Sciences and Research</w:t>
      </w:r>
      <w:r w:rsidRPr="00885888">
        <w:rPr>
          <w:rFonts w:ascii="Arial" w:hAnsi="Arial" w:cs="Arial"/>
          <w:noProof/>
          <w:sz w:val="20"/>
          <w:lang w:val="en-US"/>
        </w:rPr>
        <w:t xml:space="preserve">, </w:t>
      </w:r>
      <w:r w:rsidRPr="00885888">
        <w:rPr>
          <w:rFonts w:ascii="Arial" w:hAnsi="Arial" w:cs="Arial"/>
          <w:i/>
          <w:iCs/>
          <w:noProof/>
          <w:sz w:val="20"/>
          <w:lang w:val="en-US"/>
        </w:rPr>
        <w:t>10</w:t>
      </w:r>
      <w:r w:rsidRPr="00885888">
        <w:rPr>
          <w:rFonts w:ascii="Arial" w:hAnsi="Arial" w:cs="Arial"/>
          <w:noProof/>
          <w:sz w:val="20"/>
          <w:lang w:val="en-US"/>
        </w:rPr>
        <w:t>(4), 1567–1574. https://doi.org/10.13040/IJPSR.0975-8232.10(4).1567-74</w:t>
      </w:r>
    </w:p>
    <w:p w14:paraId="52ED59D2"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Raimi, M. M., Oyekanmi, A. M., &amp; Farombi, A. G. (2014). Proximate and Phytochemical Composition of Leaves of Ceiba pentandra, Manihot esculentus and Abelmoschus esculentus in Southwestern Nigeria. </w:t>
      </w:r>
      <w:r w:rsidRPr="00885888">
        <w:rPr>
          <w:rFonts w:ascii="Arial" w:hAnsi="Arial" w:cs="Arial"/>
          <w:i/>
          <w:iCs/>
          <w:noProof/>
          <w:sz w:val="20"/>
          <w:lang w:val="en-US"/>
        </w:rPr>
        <w:t>Scientific Research Journal (SCIRJ)</w:t>
      </w:r>
      <w:r w:rsidRPr="00885888">
        <w:rPr>
          <w:rFonts w:ascii="Arial" w:hAnsi="Arial" w:cs="Arial"/>
          <w:noProof/>
          <w:sz w:val="20"/>
          <w:lang w:val="en-US"/>
        </w:rPr>
        <w:t xml:space="preserve">, </w:t>
      </w:r>
      <w:r w:rsidRPr="00885888">
        <w:rPr>
          <w:rFonts w:ascii="Arial" w:hAnsi="Arial" w:cs="Arial"/>
          <w:i/>
          <w:iCs/>
          <w:noProof/>
          <w:sz w:val="20"/>
          <w:lang w:val="en-US"/>
        </w:rPr>
        <w:t>2</w:t>
      </w:r>
      <w:r w:rsidRPr="00885888">
        <w:rPr>
          <w:rFonts w:ascii="Arial" w:hAnsi="Arial" w:cs="Arial"/>
          <w:noProof/>
          <w:sz w:val="20"/>
          <w:lang w:val="en-US"/>
        </w:rPr>
        <w:t>(4), 30–34. http://www.scirj.org/papers-0414/scirj-P0414132.pdf</w:t>
      </w:r>
    </w:p>
    <w:p w14:paraId="769BAE18"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Ramamurthy, C. H., Kumar, M. S., Suyavaran, V. S. A., Mareeswaran, R., &amp; Thirunavukkarasu, C. (2012). Evaluation of Antioxidant, Radical Scavenging Activity and Polyphenolics Profile in Solanum torvum L. Fruits. </w:t>
      </w:r>
      <w:r w:rsidRPr="00885888">
        <w:rPr>
          <w:rFonts w:ascii="Arial" w:hAnsi="Arial" w:cs="Arial"/>
          <w:i/>
          <w:iCs/>
          <w:noProof/>
          <w:sz w:val="20"/>
          <w:lang w:val="en-US"/>
        </w:rPr>
        <w:t>Journal of Food Science</w:t>
      </w:r>
      <w:r w:rsidRPr="00885888">
        <w:rPr>
          <w:rFonts w:ascii="Arial" w:hAnsi="Arial" w:cs="Arial"/>
          <w:noProof/>
          <w:sz w:val="20"/>
          <w:lang w:val="en-US"/>
        </w:rPr>
        <w:t xml:space="preserve">, </w:t>
      </w:r>
      <w:r w:rsidRPr="00885888">
        <w:rPr>
          <w:rFonts w:ascii="Arial" w:hAnsi="Arial" w:cs="Arial"/>
          <w:i/>
          <w:iCs/>
          <w:noProof/>
          <w:sz w:val="20"/>
          <w:lang w:val="en-US"/>
        </w:rPr>
        <w:t>77</w:t>
      </w:r>
      <w:r w:rsidRPr="00885888">
        <w:rPr>
          <w:rFonts w:ascii="Arial" w:hAnsi="Arial" w:cs="Arial"/>
          <w:noProof/>
          <w:sz w:val="20"/>
          <w:lang w:val="en-US"/>
        </w:rPr>
        <w:t>(8), 907–913. https://doi.org/10.1111/j.1750-3841.2012.02830.x</w:t>
      </w:r>
    </w:p>
    <w:p w14:paraId="4D72C2A2"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885888">
        <w:rPr>
          <w:rFonts w:ascii="Arial" w:hAnsi="Arial" w:cs="Arial"/>
          <w:noProof/>
          <w:sz w:val="20"/>
          <w:lang w:val="en-US"/>
        </w:rPr>
        <w:t xml:space="preserve">Rodríguez-Miranda, J., Ruiz-López, I. I., Herman-Lara, E., Martínez-Sánchez, C. E., Delgado-Licon, E., &amp; Vivar-Vera, M. A. (2011). Development of extruded snacks using taro (Colocasia esculenta) and nixtamalized maize (Zea mays) flour blends. </w:t>
      </w:r>
      <w:r w:rsidRPr="00CB3EB5">
        <w:rPr>
          <w:rFonts w:ascii="Arial" w:hAnsi="Arial" w:cs="Arial"/>
          <w:i/>
          <w:iCs/>
          <w:noProof/>
          <w:sz w:val="20"/>
        </w:rPr>
        <w:t>LWT</w:t>
      </w:r>
      <w:r w:rsidRPr="00CB3EB5">
        <w:rPr>
          <w:rFonts w:ascii="Arial" w:hAnsi="Arial" w:cs="Arial"/>
          <w:noProof/>
          <w:sz w:val="20"/>
        </w:rPr>
        <w:t xml:space="preserve">, </w:t>
      </w:r>
      <w:r w:rsidRPr="00CB3EB5">
        <w:rPr>
          <w:rFonts w:ascii="Arial" w:hAnsi="Arial" w:cs="Arial"/>
          <w:i/>
          <w:iCs/>
          <w:noProof/>
          <w:sz w:val="20"/>
        </w:rPr>
        <w:t>44</w:t>
      </w:r>
      <w:r w:rsidRPr="00CB3EB5">
        <w:rPr>
          <w:rFonts w:ascii="Arial" w:hAnsi="Arial" w:cs="Arial"/>
          <w:noProof/>
          <w:sz w:val="20"/>
        </w:rPr>
        <w:t>(3), 673–680. https://doi.org/10.1016/j.lwt.2010.06.036</w:t>
      </w:r>
    </w:p>
    <w:p w14:paraId="46A19AB1"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Romdhane, M. H., Chahdoura, H., Barros, L., Dias, M. I., Corrêa, R. C. G., Morales, P., Ciudad-Mulero, M., Flamini, G., Majdoub, H., &amp; Ferreira, I. C. F. R. (2020). </w:t>
      </w:r>
      <w:r w:rsidRPr="00885888">
        <w:rPr>
          <w:rFonts w:ascii="Arial" w:hAnsi="Arial" w:cs="Arial"/>
          <w:noProof/>
          <w:sz w:val="20"/>
          <w:lang w:val="en-US"/>
        </w:rPr>
        <w:t xml:space="preserve">Chemical composition, nutritional value, and biological evaluation of tunisian okra pods (abelmoschus esculentus L. moench). </w:t>
      </w:r>
      <w:r w:rsidRPr="00885888">
        <w:rPr>
          <w:rFonts w:ascii="Arial" w:hAnsi="Arial" w:cs="Arial"/>
          <w:i/>
          <w:iCs/>
          <w:noProof/>
          <w:sz w:val="20"/>
          <w:lang w:val="en-US"/>
        </w:rPr>
        <w:t>Molecules</w:t>
      </w:r>
      <w:r w:rsidRPr="00885888">
        <w:rPr>
          <w:rFonts w:ascii="Arial" w:hAnsi="Arial" w:cs="Arial"/>
          <w:noProof/>
          <w:sz w:val="20"/>
          <w:lang w:val="en-US"/>
        </w:rPr>
        <w:t xml:space="preserve">, </w:t>
      </w:r>
      <w:r w:rsidRPr="00885888">
        <w:rPr>
          <w:rFonts w:ascii="Arial" w:hAnsi="Arial" w:cs="Arial"/>
          <w:i/>
          <w:iCs/>
          <w:noProof/>
          <w:sz w:val="20"/>
          <w:lang w:val="en-US"/>
        </w:rPr>
        <w:t>25</w:t>
      </w:r>
      <w:r w:rsidRPr="00885888">
        <w:rPr>
          <w:rFonts w:ascii="Arial" w:hAnsi="Arial" w:cs="Arial"/>
          <w:noProof/>
          <w:sz w:val="20"/>
          <w:lang w:val="en-US"/>
        </w:rPr>
        <w:t>(20). https://doi.org/10.3390/molecules25204739</w:t>
      </w:r>
    </w:p>
    <w:p w14:paraId="40B849F9"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Sadat, A., Hore, M., Chakraborty, K., &amp; Roy, S. (2017). Phytochemical Analysis and Antioxidant Activity of Methanolic Extract of Leaves of Corchorus Olitorius. </w:t>
      </w:r>
      <w:r w:rsidRPr="00885888">
        <w:rPr>
          <w:rFonts w:ascii="Arial" w:hAnsi="Arial" w:cs="Arial"/>
          <w:i/>
          <w:iCs/>
          <w:noProof/>
          <w:sz w:val="20"/>
          <w:lang w:val="en-US"/>
        </w:rPr>
        <w:t>International Journal of Current Pharmaceutical Research</w:t>
      </w:r>
      <w:r w:rsidRPr="00885888">
        <w:rPr>
          <w:rFonts w:ascii="Arial" w:hAnsi="Arial" w:cs="Arial"/>
          <w:noProof/>
          <w:sz w:val="20"/>
          <w:lang w:val="en-US"/>
        </w:rPr>
        <w:t xml:space="preserve">, </w:t>
      </w:r>
      <w:r w:rsidRPr="00885888">
        <w:rPr>
          <w:rFonts w:ascii="Arial" w:hAnsi="Arial" w:cs="Arial"/>
          <w:i/>
          <w:iCs/>
          <w:noProof/>
          <w:sz w:val="20"/>
          <w:lang w:val="en-US"/>
        </w:rPr>
        <w:t>9</w:t>
      </w:r>
      <w:r w:rsidRPr="00885888">
        <w:rPr>
          <w:rFonts w:ascii="Arial" w:hAnsi="Arial" w:cs="Arial"/>
          <w:noProof/>
          <w:sz w:val="20"/>
          <w:lang w:val="en-US"/>
        </w:rPr>
        <w:t>(5), 59–63. https://doi.org/10.22159/ijcpr.2017v9i5.22138</w:t>
      </w:r>
    </w:p>
    <w:p w14:paraId="78FAAED8"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Senizza, B., Rocchetti, G., Sinan, K. I., Zengin, G., Mahomoodally, M. F., Glamocilja, J., Sokovic, M., Lobine, D., Etienne, O. K., &amp; Lucini, L. (2021). The phenolic and alkaloid profiles of Solanum erianthum and Solanum torvum modulated their biological properties. </w:t>
      </w:r>
      <w:r w:rsidRPr="00885888">
        <w:rPr>
          <w:rFonts w:ascii="Arial" w:hAnsi="Arial" w:cs="Arial"/>
          <w:i/>
          <w:iCs/>
          <w:noProof/>
          <w:sz w:val="20"/>
          <w:lang w:val="en-US"/>
        </w:rPr>
        <w:t>Food Bioscience</w:t>
      </w:r>
      <w:r w:rsidRPr="00885888">
        <w:rPr>
          <w:rFonts w:ascii="Arial" w:hAnsi="Arial" w:cs="Arial"/>
          <w:noProof/>
          <w:sz w:val="20"/>
          <w:lang w:val="en-US"/>
        </w:rPr>
        <w:t xml:space="preserve">, </w:t>
      </w:r>
      <w:r w:rsidRPr="00885888">
        <w:rPr>
          <w:rFonts w:ascii="Arial" w:hAnsi="Arial" w:cs="Arial"/>
          <w:i/>
          <w:iCs/>
          <w:noProof/>
          <w:sz w:val="20"/>
          <w:lang w:val="en-US"/>
        </w:rPr>
        <w:t>41</w:t>
      </w:r>
      <w:r w:rsidRPr="00885888">
        <w:rPr>
          <w:rFonts w:ascii="Arial" w:hAnsi="Arial" w:cs="Arial"/>
          <w:noProof/>
          <w:sz w:val="20"/>
          <w:lang w:val="en-US"/>
        </w:rPr>
        <w:t>(2021), 100974. https://doi.org/10.1016/j.fbio.2021.100974</w:t>
      </w:r>
    </w:p>
    <w:p w14:paraId="4412890F"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Sha’a, K. K., Clarkson, G. P., &amp; Artimas, S. P. (2019). Phytochemical analysis, proximate composition and antinutritional factors of Corchorus olitorius plant. </w:t>
      </w:r>
      <w:r w:rsidRPr="00885888">
        <w:rPr>
          <w:rFonts w:ascii="Arial" w:hAnsi="Arial" w:cs="Arial"/>
          <w:i/>
          <w:iCs/>
          <w:noProof/>
          <w:sz w:val="20"/>
          <w:lang w:val="en-US"/>
        </w:rPr>
        <w:t>International Journal of Biological and Chemical Sciences</w:t>
      </w:r>
      <w:r w:rsidRPr="00885888">
        <w:rPr>
          <w:rFonts w:ascii="Arial" w:hAnsi="Arial" w:cs="Arial"/>
          <w:noProof/>
          <w:sz w:val="20"/>
          <w:lang w:val="en-US"/>
        </w:rPr>
        <w:t xml:space="preserve">, </w:t>
      </w:r>
      <w:r w:rsidRPr="00885888">
        <w:rPr>
          <w:rFonts w:ascii="Arial" w:hAnsi="Arial" w:cs="Arial"/>
          <w:i/>
          <w:iCs/>
          <w:noProof/>
          <w:sz w:val="20"/>
          <w:lang w:val="en-US"/>
        </w:rPr>
        <w:t>13</w:t>
      </w:r>
      <w:r w:rsidRPr="00885888">
        <w:rPr>
          <w:rFonts w:ascii="Arial" w:hAnsi="Arial" w:cs="Arial"/>
          <w:noProof/>
          <w:sz w:val="20"/>
          <w:lang w:val="en-US"/>
        </w:rPr>
        <w:t>(4), 2147–2157. https://doi.org/https://dx.doi.org/10.4314/ijbcs.v13i4.21</w:t>
      </w:r>
    </w:p>
    <w:p w14:paraId="1620D034"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Stadlmayr, B., Charrondière, U. R., Eisenwagen, S., Jamnadass, R., &amp; Kehlenbeck, K. (2013). Nutrient composition of selected indigenous fruits from sub-Saharan Africa. </w:t>
      </w:r>
      <w:r w:rsidRPr="00885888">
        <w:rPr>
          <w:rFonts w:ascii="Arial" w:hAnsi="Arial" w:cs="Arial"/>
          <w:i/>
          <w:iCs/>
          <w:noProof/>
          <w:sz w:val="20"/>
          <w:lang w:val="en-US"/>
        </w:rPr>
        <w:t>Journal of the Science of Food and Agriculture</w:t>
      </w:r>
      <w:r w:rsidRPr="00885888">
        <w:rPr>
          <w:rFonts w:ascii="Arial" w:hAnsi="Arial" w:cs="Arial"/>
          <w:noProof/>
          <w:sz w:val="20"/>
          <w:lang w:val="en-US"/>
        </w:rPr>
        <w:t xml:space="preserve">, </w:t>
      </w:r>
      <w:r w:rsidRPr="00885888">
        <w:rPr>
          <w:rFonts w:ascii="Arial" w:hAnsi="Arial" w:cs="Arial"/>
          <w:i/>
          <w:iCs/>
          <w:noProof/>
          <w:sz w:val="20"/>
          <w:lang w:val="en-US"/>
        </w:rPr>
        <w:t>93</w:t>
      </w:r>
      <w:r w:rsidRPr="00885888">
        <w:rPr>
          <w:rFonts w:ascii="Arial" w:hAnsi="Arial" w:cs="Arial"/>
          <w:noProof/>
          <w:sz w:val="20"/>
          <w:lang w:val="en-US"/>
        </w:rPr>
        <w:t>(11), 2627–2636. https://doi.org/10.1002/jsfa.6196</w:t>
      </w:r>
    </w:p>
    <w:p w14:paraId="03E026DF"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885888">
        <w:rPr>
          <w:rFonts w:ascii="Arial" w:hAnsi="Arial" w:cs="Arial"/>
          <w:noProof/>
          <w:sz w:val="20"/>
          <w:lang w:val="en-US"/>
        </w:rPr>
        <w:t xml:space="preserve">Stone, M. S., Martyn, L., &amp; Weaver, C. M. (2016). Potassium intake, bioavailability, hypertension, and glucose control. </w:t>
      </w:r>
      <w:r w:rsidRPr="00CB3EB5">
        <w:rPr>
          <w:rFonts w:ascii="Arial" w:hAnsi="Arial" w:cs="Arial"/>
          <w:i/>
          <w:iCs/>
          <w:noProof/>
          <w:sz w:val="20"/>
        </w:rPr>
        <w:t>Nutrients</w:t>
      </w:r>
      <w:r w:rsidRPr="00CB3EB5">
        <w:rPr>
          <w:rFonts w:ascii="Arial" w:hAnsi="Arial" w:cs="Arial"/>
          <w:noProof/>
          <w:sz w:val="20"/>
        </w:rPr>
        <w:t xml:space="preserve">, </w:t>
      </w:r>
      <w:r w:rsidRPr="00CB3EB5">
        <w:rPr>
          <w:rFonts w:ascii="Arial" w:hAnsi="Arial" w:cs="Arial"/>
          <w:i/>
          <w:iCs/>
          <w:noProof/>
          <w:sz w:val="20"/>
        </w:rPr>
        <w:t>8</w:t>
      </w:r>
      <w:r w:rsidRPr="00CB3EB5">
        <w:rPr>
          <w:rFonts w:ascii="Arial" w:hAnsi="Arial" w:cs="Arial"/>
          <w:noProof/>
          <w:sz w:val="20"/>
        </w:rPr>
        <w:t>(7), 1–13. https://doi.org/10.3390/nu8070444</w:t>
      </w:r>
    </w:p>
    <w:p w14:paraId="493FF388" w14:textId="77777777" w:rsidR="00CB3EB5" w:rsidRPr="00CB3EB5" w:rsidRDefault="00CB3EB5" w:rsidP="00CB3EB5">
      <w:pPr>
        <w:widowControl w:val="0"/>
        <w:autoSpaceDE w:val="0"/>
        <w:autoSpaceDN w:val="0"/>
        <w:adjustRightInd w:val="0"/>
        <w:spacing w:before="240" w:line="240" w:lineRule="auto"/>
        <w:ind w:left="480" w:hanging="480"/>
        <w:rPr>
          <w:rFonts w:ascii="Arial" w:hAnsi="Arial" w:cs="Arial"/>
          <w:noProof/>
          <w:sz w:val="20"/>
        </w:rPr>
      </w:pPr>
      <w:r w:rsidRPr="00CB3EB5">
        <w:rPr>
          <w:rFonts w:ascii="Arial" w:hAnsi="Arial" w:cs="Arial"/>
          <w:noProof/>
          <w:sz w:val="20"/>
        </w:rPr>
        <w:t xml:space="preserve">Tchiégang, C., &amp; Aissatou, K. (2004). Données ethnonutritionnelles et caractéristiques physico-chimiques des légumes-feuilles consommés dans la savane de l’Adamaoua (Cameroun). In </w:t>
      </w:r>
      <w:r w:rsidRPr="00CB3EB5">
        <w:rPr>
          <w:rFonts w:ascii="Arial" w:hAnsi="Arial" w:cs="Arial"/>
          <w:i/>
          <w:iCs/>
          <w:noProof/>
          <w:sz w:val="20"/>
        </w:rPr>
        <w:t>Ecole Nationale Supérieure des Sciences Agro-Industrielles</w:t>
      </w:r>
      <w:r w:rsidRPr="00CB3EB5">
        <w:rPr>
          <w:rFonts w:ascii="Arial" w:hAnsi="Arial" w:cs="Arial"/>
          <w:noProof/>
          <w:sz w:val="20"/>
        </w:rPr>
        <w:t xml:space="preserve"> (Vol. 22). ENSAI.</w:t>
      </w:r>
    </w:p>
    <w:p w14:paraId="356E7CED"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CB3EB5">
        <w:rPr>
          <w:rFonts w:ascii="Arial" w:hAnsi="Arial" w:cs="Arial"/>
          <w:noProof/>
          <w:sz w:val="20"/>
        </w:rPr>
        <w:t xml:space="preserve">Vincente, A. R., Manganaris, G. A., Ortiz, C. M., Sozzi, G. O., &amp; Crisosto, C. H. (2014). </w:t>
      </w:r>
      <w:r w:rsidRPr="00885888">
        <w:rPr>
          <w:rFonts w:ascii="Arial" w:hAnsi="Arial" w:cs="Arial"/>
          <w:noProof/>
          <w:sz w:val="20"/>
          <w:lang w:val="en-US"/>
        </w:rPr>
        <w:t xml:space="preserve">Nutritional Quality of Fruits and Vegetables. In </w:t>
      </w:r>
      <w:r w:rsidRPr="00885888">
        <w:rPr>
          <w:rFonts w:ascii="Arial" w:hAnsi="Arial" w:cs="Arial"/>
          <w:i/>
          <w:iCs/>
          <w:noProof/>
          <w:sz w:val="20"/>
          <w:lang w:val="en-US"/>
        </w:rPr>
        <w:t>Postharvest Handling: A Systems Approach</w:t>
      </w:r>
      <w:r w:rsidRPr="00885888">
        <w:rPr>
          <w:rFonts w:ascii="Arial" w:hAnsi="Arial" w:cs="Arial"/>
          <w:noProof/>
          <w:sz w:val="20"/>
          <w:lang w:val="en-US"/>
        </w:rPr>
        <w:t xml:space="preserve"> (pp. 69–122). https://doi.org/10.1016/B978-0-12-408137-6.00005-3</w:t>
      </w:r>
    </w:p>
    <w:p w14:paraId="6ABB65BD"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Wang, P. Y., Fang, J. C., Gao, Z. H., Zhang, C., &amp; Xie, S. Y. (2016). Higher intake of fruits, vegetables or their fiber reduces the risk of type 2 diabetes: A meta-analysis. </w:t>
      </w:r>
      <w:r w:rsidRPr="00885888">
        <w:rPr>
          <w:rFonts w:ascii="Arial" w:hAnsi="Arial" w:cs="Arial"/>
          <w:i/>
          <w:iCs/>
          <w:noProof/>
          <w:sz w:val="20"/>
          <w:lang w:val="en-US"/>
        </w:rPr>
        <w:t>Journal of Diabetes Investigation</w:t>
      </w:r>
      <w:r w:rsidRPr="00885888">
        <w:rPr>
          <w:rFonts w:ascii="Arial" w:hAnsi="Arial" w:cs="Arial"/>
          <w:noProof/>
          <w:sz w:val="20"/>
          <w:lang w:val="en-US"/>
        </w:rPr>
        <w:t xml:space="preserve">, </w:t>
      </w:r>
      <w:r w:rsidRPr="00885888">
        <w:rPr>
          <w:rFonts w:ascii="Arial" w:hAnsi="Arial" w:cs="Arial"/>
          <w:i/>
          <w:iCs/>
          <w:noProof/>
          <w:sz w:val="20"/>
          <w:lang w:val="en-US"/>
        </w:rPr>
        <w:t>7</w:t>
      </w:r>
      <w:r w:rsidRPr="00885888">
        <w:rPr>
          <w:rFonts w:ascii="Arial" w:hAnsi="Arial" w:cs="Arial"/>
          <w:noProof/>
          <w:sz w:val="20"/>
          <w:lang w:val="en-US"/>
        </w:rPr>
        <w:t>(1), 56–69. https://doi.org/10.1111/jdi.12376</w:t>
      </w:r>
    </w:p>
    <w:p w14:paraId="323AF51A"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Wolff, J. (1968). </w:t>
      </w:r>
      <w:r w:rsidRPr="00CB3EB5">
        <w:rPr>
          <w:rFonts w:ascii="Arial" w:hAnsi="Arial" w:cs="Arial"/>
          <w:i/>
          <w:iCs/>
          <w:noProof/>
          <w:sz w:val="20"/>
        </w:rPr>
        <w:t>Manuel d’analyse des corps gras</w:t>
      </w:r>
      <w:r w:rsidRPr="00CB3EB5">
        <w:rPr>
          <w:rFonts w:ascii="Arial" w:hAnsi="Arial" w:cs="Arial"/>
          <w:noProof/>
          <w:sz w:val="20"/>
        </w:rPr>
        <w:t xml:space="preserve">. </w:t>
      </w:r>
      <w:r w:rsidRPr="00885888">
        <w:rPr>
          <w:rFonts w:ascii="Arial" w:hAnsi="Arial" w:cs="Arial"/>
          <w:noProof/>
          <w:sz w:val="20"/>
          <w:lang w:val="en-US"/>
        </w:rPr>
        <w:t>Azoulay.</w:t>
      </w:r>
    </w:p>
    <w:p w14:paraId="1AD9C070"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lastRenderedPageBreak/>
        <w:t xml:space="preserve">Xanthakos, S. A. (2009). Nutritional Deficiencies in Obesity and After Bariatric Surgery. </w:t>
      </w:r>
      <w:r w:rsidRPr="00885888">
        <w:rPr>
          <w:rFonts w:ascii="Arial" w:hAnsi="Arial" w:cs="Arial"/>
          <w:i/>
          <w:iCs/>
          <w:noProof/>
          <w:sz w:val="20"/>
          <w:lang w:val="en-US"/>
        </w:rPr>
        <w:t>Pediatric Clinics of North America</w:t>
      </w:r>
      <w:r w:rsidRPr="00885888">
        <w:rPr>
          <w:rFonts w:ascii="Arial" w:hAnsi="Arial" w:cs="Arial"/>
          <w:noProof/>
          <w:sz w:val="20"/>
          <w:lang w:val="en-US"/>
        </w:rPr>
        <w:t xml:space="preserve">, </w:t>
      </w:r>
      <w:r w:rsidRPr="00885888">
        <w:rPr>
          <w:rFonts w:ascii="Arial" w:hAnsi="Arial" w:cs="Arial"/>
          <w:i/>
          <w:iCs/>
          <w:noProof/>
          <w:sz w:val="20"/>
          <w:lang w:val="en-US"/>
        </w:rPr>
        <w:t>56</w:t>
      </w:r>
      <w:r w:rsidRPr="00885888">
        <w:rPr>
          <w:rFonts w:ascii="Arial" w:hAnsi="Arial" w:cs="Arial"/>
          <w:noProof/>
          <w:sz w:val="20"/>
          <w:lang w:val="en-US"/>
        </w:rPr>
        <w:t>(5), 1105–1121. https://doi.org/10.1016/j.pcl.2009.07.002</w:t>
      </w:r>
    </w:p>
    <w:p w14:paraId="2EB841EF" w14:textId="77777777" w:rsidR="00CB3EB5" w:rsidRPr="00885888" w:rsidRDefault="00CB3EB5" w:rsidP="00CB3EB5">
      <w:pPr>
        <w:widowControl w:val="0"/>
        <w:autoSpaceDE w:val="0"/>
        <w:autoSpaceDN w:val="0"/>
        <w:adjustRightInd w:val="0"/>
        <w:spacing w:before="240" w:line="240" w:lineRule="auto"/>
        <w:ind w:left="480" w:hanging="480"/>
        <w:rPr>
          <w:rFonts w:ascii="Arial" w:hAnsi="Arial" w:cs="Arial"/>
          <w:noProof/>
          <w:sz w:val="20"/>
          <w:lang w:val="en-US"/>
        </w:rPr>
      </w:pPr>
      <w:r w:rsidRPr="00885888">
        <w:rPr>
          <w:rFonts w:ascii="Arial" w:hAnsi="Arial" w:cs="Arial"/>
          <w:noProof/>
          <w:sz w:val="20"/>
          <w:lang w:val="en-US"/>
        </w:rPr>
        <w:t xml:space="preserve">Yan, Y. Y., Wang, Y. W., Chen, S. L., Zhuang, S. R., &amp; Wang, C. K. (2013). Anti-inflammatory effects of phenolic crude extracts from five fractions of Corchorus Olitorius L. </w:t>
      </w:r>
      <w:r w:rsidRPr="00885888">
        <w:rPr>
          <w:rFonts w:ascii="Arial" w:hAnsi="Arial" w:cs="Arial"/>
          <w:i/>
          <w:iCs/>
          <w:noProof/>
          <w:sz w:val="20"/>
          <w:lang w:val="en-US"/>
        </w:rPr>
        <w:t>Food Chemistry</w:t>
      </w:r>
      <w:r w:rsidRPr="00885888">
        <w:rPr>
          <w:rFonts w:ascii="Arial" w:hAnsi="Arial" w:cs="Arial"/>
          <w:noProof/>
          <w:sz w:val="20"/>
          <w:lang w:val="en-US"/>
        </w:rPr>
        <w:t xml:space="preserve">, </w:t>
      </w:r>
      <w:r w:rsidRPr="00885888">
        <w:rPr>
          <w:rFonts w:ascii="Arial" w:hAnsi="Arial" w:cs="Arial"/>
          <w:i/>
          <w:iCs/>
          <w:noProof/>
          <w:sz w:val="20"/>
          <w:lang w:val="en-US"/>
        </w:rPr>
        <w:t>138</w:t>
      </w:r>
      <w:r w:rsidRPr="00885888">
        <w:rPr>
          <w:rFonts w:ascii="Arial" w:hAnsi="Arial" w:cs="Arial"/>
          <w:noProof/>
          <w:sz w:val="20"/>
          <w:lang w:val="en-US"/>
        </w:rPr>
        <w:t>(2–3), 1008–1014. https://doi.org/10.1016/j.foodchem.2012.10.052</w:t>
      </w:r>
    </w:p>
    <w:p w14:paraId="633135A4" w14:textId="77777777" w:rsidR="00C23E48" w:rsidRPr="005250A4" w:rsidRDefault="00C23E48" w:rsidP="00203B28">
      <w:pPr>
        <w:tabs>
          <w:tab w:val="left" w:pos="2685"/>
        </w:tabs>
        <w:spacing w:before="240"/>
        <w:rPr>
          <w:rFonts w:ascii="Arial" w:hAnsi="Arial" w:cs="Arial"/>
          <w:color w:val="000000" w:themeColor="text1"/>
          <w:sz w:val="20"/>
          <w:szCs w:val="20"/>
          <w:lang w:val="en-US"/>
        </w:rPr>
      </w:pPr>
      <w:r w:rsidRPr="005250A4">
        <w:rPr>
          <w:rFonts w:ascii="Arial" w:hAnsi="Arial" w:cs="Arial"/>
          <w:color w:val="000000" w:themeColor="text1"/>
          <w:sz w:val="20"/>
          <w:szCs w:val="20"/>
          <w:lang w:val="en-US"/>
        </w:rPr>
        <w:fldChar w:fldCharType="end"/>
      </w:r>
    </w:p>
    <w:p w14:paraId="71E3BF33" w14:textId="77777777" w:rsidR="00036666" w:rsidRPr="005250A4" w:rsidRDefault="00036666" w:rsidP="000A227C">
      <w:pPr>
        <w:tabs>
          <w:tab w:val="left" w:pos="2685"/>
        </w:tabs>
        <w:jc w:val="both"/>
        <w:rPr>
          <w:rFonts w:ascii="Arial" w:hAnsi="Arial" w:cs="Arial"/>
          <w:color w:val="000000" w:themeColor="text1"/>
          <w:sz w:val="20"/>
          <w:szCs w:val="20"/>
          <w:lang w:val="en-US"/>
        </w:rPr>
      </w:pPr>
    </w:p>
    <w:sectPr w:rsidR="00036666" w:rsidRPr="005250A4" w:rsidSect="00E95FD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CER" w:date="2025-04-18T22:27:00Z" w:initials="A">
    <w:p w14:paraId="7C6E5AE2" w14:textId="53295FCC" w:rsidR="00885888" w:rsidRPr="00885888" w:rsidRDefault="00885888">
      <w:pPr>
        <w:pStyle w:val="Commentaire"/>
        <w:rPr>
          <w:lang w:val="en-US"/>
        </w:rPr>
      </w:pPr>
      <w:r>
        <w:rPr>
          <w:rStyle w:val="Marquedecommentaire"/>
        </w:rPr>
        <w:annotationRef/>
      </w:r>
      <w:r w:rsidRPr="00885888">
        <w:rPr>
          <w:lang w:val="en-US"/>
        </w:rPr>
        <w:t>rephrase this expression. I would have preferred you to replace it with necessary.</w:t>
      </w:r>
    </w:p>
  </w:comment>
  <w:comment w:id="4" w:author="ACER" w:date="2025-04-18T22:50:00Z" w:initials="A">
    <w:p w14:paraId="5F2DFEE9" w14:textId="11DA41D9" w:rsidR="00F31CB4" w:rsidRPr="00F31CB4" w:rsidRDefault="00F31CB4">
      <w:pPr>
        <w:pStyle w:val="Commentaire"/>
        <w:rPr>
          <w:lang w:val="en-US"/>
        </w:rPr>
      </w:pPr>
      <w:r>
        <w:rPr>
          <w:rStyle w:val="Marquedecommentaire"/>
        </w:rPr>
        <w:annotationRef/>
      </w:r>
      <w:r w:rsidRPr="00F31CB4">
        <w:rPr>
          <w:lang w:val="en-US"/>
        </w:rPr>
        <w:t>where is the formula???? put the formula for calculating water content</w:t>
      </w:r>
    </w:p>
  </w:comment>
  <w:comment w:id="5" w:author="ACER" w:date="2025-04-18T22:53:00Z" w:initials="A">
    <w:p w14:paraId="53927CF6" w14:textId="5D665A24" w:rsidR="00F31CB4" w:rsidRPr="00F31CB4" w:rsidRDefault="00F31CB4">
      <w:pPr>
        <w:pStyle w:val="Commentaire"/>
        <w:rPr>
          <w:lang w:val="en-US"/>
        </w:rPr>
      </w:pPr>
      <w:r>
        <w:rPr>
          <w:rStyle w:val="Marquedecommentaire"/>
        </w:rPr>
        <w:annotationRef/>
      </w:r>
      <w:r w:rsidRPr="00F31CB4">
        <w:rPr>
          <w:lang w:val="en-US"/>
        </w:rPr>
        <w:t>please enter the formula for calculating the content</w:t>
      </w:r>
    </w:p>
  </w:comment>
  <w:comment w:id="6" w:author="ACER" w:date="2025-04-18T22:54:00Z" w:initials="A">
    <w:p w14:paraId="64B3E2AC" w14:textId="146544E2" w:rsidR="004B0CB0" w:rsidRDefault="004B0CB0">
      <w:pPr>
        <w:pStyle w:val="Commentaire"/>
      </w:pPr>
      <w:r>
        <w:rPr>
          <w:rStyle w:val="Marquedecommentaire"/>
        </w:rPr>
        <w:annotationRef/>
      </w:r>
      <w:proofErr w:type="gramStart"/>
      <w:r>
        <w:t>formula</w:t>
      </w:r>
      <w:proofErr w:type="gramEnd"/>
      <w:r>
        <w:t> ??????</w:t>
      </w:r>
    </w:p>
  </w:comment>
  <w:comment w:id="7" w:author="ACER" w:date="2025-04-18T23:03:00Z" w:initials="A">
    <w:p w14:paraId="58EDF404" w14:textId="3521E56B" w:rsidR="004B0CB0" w:rsidRPr="004B0CB0" w:rsidRDefault="004B0CB0">
      <w:pPr>
        <w:pStyle w:val="Commentaire"/>
        <w:rPr>
          <w:lang w:val="en-US"/>
        </w:rPr>
      </w:pPr>
      <w:r>
        <w:rPr>
          <w:rStyle w:val="Marquedecommentaire"/>
        </w:rPr>
        <w:annotationRef/>
      </w:r>
      <w:r w:rsidRPr="004B0CB0">
        <w:rPr>
          <w:lang w:val="en-US"/>
        </w:rPr>
        <w:t>what do M, M1 and M2 mean?</w:t>
      </w:r>
    </w:p>
  </w:comment>
  <w:comment w:id="8" w:author="ACER" w:date="2025-04-18T23:09:00Z" w:initials="A">
    <w:p w14:paraId="7A680D1B" w14:textId="76AFEB36" w:rsidR="000224EE" w:rsidRPr="000224EE" w:rsidRDefault="000224EE">
      <w:pPr>
        <w:pStyle w:val="Commentaire"/>
        <w:rPr>
          <w:lang w:val="en-US"/>
        </w:rPr>
      </w:pPr>
      <w:r>
        <w:rPr>
          <w:rStyle w:val="Marquedecommentaire"/>
        </w:rPr>
        <w:annotationRef/>
      </w:r>
      <w:r w:rsidRPr="000224EE">
        <w:rPr>
          <w:lang w:val="en-US"/>
        </w:rPr>
        <w:t>specify at least the calculation formula</w:t>
      </w:r>
    </w:p>
  </w:comment>
  <w:comment w:id="9" w:author="ACER" w:date="2025-04-18T23:09:00Z" w:initials="A">
    <w:p w14:paraId="355F27FB" w14:textId="2DCED3A3" w:rsidR="000224EE" w:rsidRPr="000224EE" w:rsidRDefault="000224EE">
      <w:pPr>
        <w:pStyle w:val="Commentaire"/>
        <w:rPr>
          <w:lang w:val="en-US"/>
        </w:rPr>
      </w:pPr>
      <w:r>
        <w:rPr>
          <w:rStyle w:val="Marquedecommentaire"/>
        </w:rPr>
        <w:annotationRef/>
      </w:r>
      <w:r w:rsidRPr="000224EE">
        <w:rPr>
          <w:lang w:val="en-US"/>
        </w:rPr>
        <w:t>specify at least the calculation formula</w:t>
      </w:r>
    </w:p>
  </w:comment>
  <w:comment w:id="10" w:author="ACER" w:date="2025-04-18T23:13:00Z" w:initials="A">
    <w:p w14:paraId="1377E33E" w14:textId="34BA72D8" w:rsidR="000224EE" w:rsidRPr="000224EE" w:rsidRDefault="000224EE">
      <w:pPr>
        <w:pStyle w:val="Commentaire"/>
        <w:rPr>
          <w:lang w:val="en-US"/>
        </w:rPr>
      </w:pPr>
      <w:r>
        <w:rPr>
          <w:rStyle w:val="Marquedecommentaire"/>
        </w:rPr>
        <w:annotationRef/>
      </w:r>
      <w:r w:rsidRPr="000224EE">
        <w:rPr>
          <w:lang w:val="en-US"/>
        </w:rPr>
        <w:t xml:space="preserve">what are the standard qualitative analysis </w:t>
      </w:r>
      <w:proofErr w:type="gramStart"/>
      <w:r w:rsidRPr="000224EE">
        <w:rPr>
          <w:lang w:val="en-US"/>
        </w:rPr>
        <w:t>procedures ????</w:t>
      </w:r>
      <w:proofErr w:type="gramEnd"/>
    </w:p>
  </w:comment>
  <w:comment w:id="11" w:author="ACER" w:date="2025-04-18T23:22:00Z" w:initials="A">
    <w:p w14:paraId="268EAFCB" w14:textId="0417B535" w:rsidR="00721ECC" w:rsidRDefault="00721ECC">
      <w:pPr>
        <w:pStyle w:val="Commentaire"/>
      </w:pPr>
      <w:r>
        <w:rPr>
          <w:rStyle w:val="Marquedecommentaire"/>
        </w:rPr>
        <w:annotationRef/>
      </w:r>
      <w:r w:rsidRPr="00721ECC">
        <w:rPr>
          <w:lang w:val="en-US"/>
        </w:rPr>
        <w:t xml:space="preserve">is the rotary evaporator used to dry an extract? the rotary evaporator is used to concentrate an extract. </w:t>
      </w:r>
      <w:proofErr w:type="spellStart"/>
      <w:r w:rsidRPr="00721ECC">
        <w:t>Please</w:t>
      </w:r>
      <w:proofErr w:type="spellEnd"/>
      <w:r w:rsidRPr="00721ECC">
        <w:t xml:space="preserve"> </w:t>
      </w:r>
      <w:proofErr w:type="spellStart"/>
      <w:r w:rsidRPr="00721ECC">
        <w:t>rephrase</w:t>
      </w:r>
      <w:proofErr w:type="spellEnd"/>
      <w:r w:rsidRPr="00721ECC">
        <w:t xml:space="preserve"> the sentence.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6E5AE2" w15:done="0"/>
  <w15:commentEx w15:paraId="5F2DFEE9" w15:done="0"/>
  <w15:commentEx w15:paraId="53927CF6" w15:done="0"/>
  <w15:commentEx w15:paraId="64B3E2AC" w15:done="0"/>
  <w15:commentEx w15:paraId="58EDF404" w15:done="0"/>
  <w15:commentEx w15:paraId="7A680D1B" w15:done="0"/>
  <w15:commentEx w15:paraId="355F27FB" w15:done="0"/>
  <w15:commentEx w15:paraId="1377E33E" w15:done="0"/>
  <w15:commentEx w15:paraId="268EAFC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09F12" w14:textId="77777777" w:rsidR="00885888" w:rsidRDefault="00885888" w:rsidP="000C297E">
      <w:pPr>
        <w:spacing w:after="0" w:line="240" w:lineRule="auto"/>
      </w:pPr>
      <w:r>
        <w:separator/>
      </w:r>
    </w:p>
  </w:endnote>
  <w:endnote w:type="continuationSeparator" w:id="0">
    <w:p w14:paraId="317E4B1F" w14:textId="77777777" w:rsidR="00885888" w:rsidRDefault="00885888" w:rsidP="000C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44">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E076" w14:textId="77777777" w:rsidR="00885888" w:rsidRDefault="0088588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34252"/>
      <w:docPartObj>
        <w:docPartGallery w:val="Page Numbers (Bottom of Page)"/>
        <w:docPartUnique/>
      </w:docPartObj>
    </w:sdtPr>
    <w:sdtEndPr>
      <w:rPr>
        <w:rFonts w:ascii="Arial" w:hAnsi="Arial" w:cs="Arial"/>
      </w:rPr>
    </w:sdtEndPr>
    <w:sdtContent>
      <w:p w14:paraId="57B9B5C2" w14:textId="658BE273" w:rsidR="00885888" w:rsidRPr="00E91D2D" w:rsidRDefault="00885888">
        <w:pPr>
          <w:pStyle w:val="Pieddepage"/>
          <w:jc w:val="right"/>
          <w:rPr>
            <w:rFonts w:ascii="Arial" w:hAnsi="Arial" w:cs="Arial"/>
          </w:rPr>
        </w:pPr>
        <w:r w:rsidRPr="00E91D2D">
          <w:rPr>
            <w:rFonts w:ascii="Arial" w:hAnsi="Arial" w:cs="Arial"/>
          </w:rPr>
          <w:fldChar w:fldCharType="begin"/>
        </w:r>
        <w:r w:rsidRPr="00E91D2D">
          <w:rPr>
            <w:rFonts w:ascii="Arial" w:hAnsi="Arial" w:cs="Arial"/>
          </w:rPr>
          <w:instrText>PAGE   \* MERGEFORMAT</w:instrText>
        </w:r>
        <w:r w:rsidRPr="00E91D2D">
          <w:rPr>
            <w:rFonts w:ascii="Arial" w:hAnsi="Arial" w:cs="Arial"/>
          </w:rPr>
          <w:fldChar w:fldCharType="separate"/>
        </w:r>
        <w:r w:rsidR="00DE07DD">
          <w:rPr>
            <w:rFonts w:ascii="Arial" w:hAnsi="Arial" w:cs="Arial"/>
            <w:noProof/>
          </w:rPr>
          <w:t>1</w:t>
        </w:r>
        <w:r w:rsidRPr="00E91D2D">
          <w:rPr>
            <w:rFonts w:ascii="Arial" w:hAnsi="Arial" w:cs="Arial"/>
          </w:rPr>
          <w:fldChar w:fldCharType="end"/>
        </w:r>
      </w:p>
    </w:sdtContent>
  </w:sdt>
  <w:p w14:paraId="0A7EA71A" w14:textId="77777777" w:rsidR="00885888" w:rsidRDefault="0088588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8E37" w14:textId="77777777" w:rsidR="00885888" w:rsidRDefault="0088588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622E" w14:textId="77777777" w:rsidR="00885888" w:rsidRDefault="00885888" w:rsidP="000C297E">
      <w:pPr>
        <w:spacing w:after="0" w:line="240" w:lineRule="auto"/>
      </w:pPr>
      <w:r>
        <w:separator/>
      </w:r>
    </w:p>
  </w:footnote>
  <w:footnote w:type="continuationSeparator" w:id="0">
    <w:p w14:paraId="47A0FD76" w14:textId="77777777" w:rsidR="00885888" w:rsidRDefault="00885888" w:rsidP="000C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488E" w14:textId="7D299FBD" w:rsidR="00885888" w:rsidRDefault="00885888">
    <w:pPr>
      <w:pStyle w:val="En-tte"/>
    </w:pPr>
    <w:r>
      <w:rPr>
        <w:noProof/>
      </w:rPr>
      <w:pict w14:anchorId="2D85B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E220" w14:textId="15E8F689" w:rsidR="00885888" w:rsidRDefault="00885888">
    <w:pPr>
      <w:pStyle w:val="En-tte"/>
    </w:pPr>
    <w:r>
      <w:rPr>
        <w:noProof/>
      </w:rPr>
      <w:pict w14:anchorId="5C4D2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7CFBA" w14:textId="7096EE79" w:rsidR="00885888" w:rsidRDefault="00885888">
    <w:pPr>
      <w:pStyle w:val="En-tte"/>
    </w:pPr>
    <w:r>
      <w:rPr>
        <w:noProof/>
      </w:rPr>
      <w:pict w14:anchorId="54FFB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8751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B6E"/>
    <w:multiLevelType w:val="multilevel"/>
    <w:tmpl w:val="CDFE0F9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06D61"/>
    <w:multiLevelType w:val="multilevel"/>
    <w:tmpl w:val="2866170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4516AB1"/>
    <w:multiLevelType w:val="multilevel"/>
    <w:tmpl w:val="9F480A86"/>
    <w:lvl w:ilvl="0">
      <w:start w:val="1"/>
      <w:numFmt w:val="decimal"/>
      <w:lvlText w:val="%1."/>
      <w:lvlJc w:val="left"/>
      <w:pPr>
        <w:ind w:left="360" w:hanging="360"/>
      </w:pPr>
      <w:rPr>
        <w:rFonts w:hint="default"/>
      </w:rPr>
    </w:lvl>
    <w:lvl w:ilvl="1">
      <w:start w:val="6"/>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3501A32"/>
    <w:multiLevelType w:val="multilevel"/>
    <w:tmpl w:val="29642F22"/>
    <w:lvl w:ilvl="0">
      <w:start w:val="3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9A55B2"/>
    <w:multiLevelType w:val="multilevel"/>
    <w:tmpl w:val="C920482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492E1D"/>
    <w:multiLevelType w:val="multilevel"/>
    <w:tmpl w:val="1868C3F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63B3023"/>
    <w:multiLevelType w:val="multilevel"/>
    <w:tmpl w:val="A71E990C"/>
    <w:lvl w:ilvl="0">
      <w:start w:val="3"/>
      <w:numFmt w:val="decimal"/>
      <w:lvlText w:val="%1."/>
      <w:lvlJc w:val="left"/>
      <w:pPr>
        <w:ind w:left="540" w:hanging="540"/>
      </w:pPr>
      <w:rPr>
        <w:rFonts w:hint="default"/>
      </w:rPr>
    </w:lvl>
    <w:lvl w:ilvl="1">
      <w:start w:val="2"/>
      <w:numFmt w:val="decimal"/>
      <w:lvlText w:val="%1.%2."/>
      <w:lvlJc w:val="left"/>
      <w:pPr>
        <w:ind w:left="540" w:hanging="540"/>
      </w:pPr>
      <w:rPr>
        <w:rFonts w:ascii="Times New Roman" w:hAnsi="Times New Roman" w:cs="Times New Roman"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A56501"/>
    <w:multiLevelType w:val="hybridMultilevel"/>
    <w:tmpl w:val="DF32376C"/>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EE6179"/>
    <w:multiLevelType w:val="hybridMultilevel"/>
    <w:tmpl w:val="4174952C"/>
    <w:lvl w:ilvl="0" w:tplc="38349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0650FD"/>
    <w:multiLevelType w:val="hybridMultilevel"/>
    <w:tmpl w:val="553E8E12"/>
    <w:lvl w:ilvl="0" w:tplc="765038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9"/>
  </w:num>
  <w:num w:numId="5">
    <w:abstractNumId w:val="6"/>
  </w:num>
  <w:num w:numId="6">
    <w:abstractNumId w:val="0"/>
  </w:num>
  <w:num w:numId="7">
    <w:abstractNumId w:val="4"/>
  </w:num>
  <w:num w:numId="8">
    <w:abstractNumId w:val="1"/>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1E"/>
    <w:rsid w:val="000014DF"/>
    <w:rsid w:val="0000491D"/>
    <w:rsid w:val="00004FEB"/>
    <w:rsid w:val="000055B6"/>
    <w:rsid w:val="00006337"/>
    <w:rsid w:val="00006B62"/>
    <w:rsid w:val="00006CC6"/>
    <w:rsid w:val="000103B6"/>
    <w:rsid w:val="000122BA"/>
    <w:rsid w:val="0001392B"/>
    <w:rsid w:val="00014DE2"/>
    <w:rsid w:val="00015265"/>
    <w:rsid w:val="000157FB"/>
    <w:rsid w:val="00017FA8"/>
    <w:rsid w:val="0002044C"/>
    <w:rsid w:val="00020B01"/>
    <w:rsid w:val="000220BA"/>
    <w:rsid w:val="000224EE"/>
    <w:rsid w:val="0002269B"/>
    <w:rsid w:val="00022A0F"/>
    <w:rsid w:val="00024212"/>
    <w:rsid w:val="00024690"/>
    <w:rsid w:val="00025643"/>
    <w:rsid w:val="00026AC9"/>
    <w:rsid w:val="00033A5D"/>
    <w:rsid w:val="0003423F"/>
    <w:rsid w:val="00036666"/>
    <w:rsid w:val="00036D28"/>
    <w:rsid w:val="000373A4"/>
    <w:rsid w:val="000404C7"/>
    <w:rsid w:val="00042BA9"/>
    <w:rsid w:val="000441FC"/>
    <w:rsid w:val="0004545E"/>
    <w:rsid w:val="00046C40"/>
    <w:rsid w:val="00050980"/>
    <w:rsid w:val="000512E1"/>
    <w:rsid w:val="00051764"/>
    <w:rsid w:val="00052512"/>
    <w:rsid w:val="00053C53"/>
    <w:rsid w:val="0005430C"/>
    <w:rsid w:val="00054C60"/>
    <w:rsid w:val="00064D4B"/>
    <w:rsid w:val="00065DDC"/>
    <w:rsid w:val="000674F8"/>
    <w:rsid w:val="0006773B"/>
    <w:rsid w:val="00070C8C"/>
    <w:rsid w:val="000718D6"/>
    <w:rsid w:val="00073AD3"/>
    <w:rsid w:val="00074B6E"/>
    <w:rsid w:val="000763A6"/>
    <w:rsid w:val="0007711A"/>
    <w:rsid w:val="00080AD9"/>
    <w:rsid w:val="0008230C"/>
    <w:rsid w:val="0008421F"/>
    <w:rsid w:val="000854BE"/>
    <w:rsid w:val="00086DE4"/>
    <w:rsid w:val="000877C2"/>
    <w:rsid w:val="00096CB7"/>
    <w:rsid w:val="00097F75"/>
    <w:rsid w:val="000A025A"/>
    <w:rsid w:val="000A227C"/>
    <w:rsid w:val="000A2BF6"/>
    <w:rsid w:val="000A3BA2"/>
    <w:rsid w:val="000A4569"/>
    <w:rsid w:val="000A5E7C"/>
    <w:rsid w:val="000A778F"/>
    <w:rsid w:val="000A78C9"/>
    <w:rsid w:val="000B22EC"/>
    <w:rsid w:val="000B28A3"/>
    <w:rsid w:val="000B307A"/>
    <w:rsid w:val="000B4EC3"/>
    <w:rsid w:val="000B73CF"/>
    <w:rsid w:val="000C297E"/>
    <w:rsid w:val="000C34DE"/>
    <w:rsid w:val="000C3B73"/>
    <w:rsid w:val="000C4278"/>
    <w:rsid w:val="000C499B"/>
    <w:rsid w:val="000C51BE"/>
    <w:rsid w:val="000C62DE"/>
    <w:rsid w:val="000C7602"/>
    <w:rsid w:val="000D1A3B"/>
    <w:rsid w:val="000D221F"/>
    <w:rsid w:val="000D25B2"/>
    <w:rsid w:val="000D280C"/>
    <w:rsid w:val="000D39FE"/>
    <w:rsid w:val="000D4CAE"/>
    <w:rsid w:val="000D4D9B"/>
    <w:rsid w:val="000D5D0D"/>
    <w:rsid w:val="000D7B44"/>
    <w:rsid w:val="000D7BE6"/>
    <w:rsid w:val="000E2BF1"/>
    <w:rsid w:val="000E390B"/>
    <w:rsid w:val="000E3E83"/>
    <w:rsid w:val="000E4EFC"/>
    <w:rsid w:val="000E51AC"/>
    <w:rsid w:val="000E680F"/>
    <w:rsid w:val="000E6CE5"/>
    <w:rsid w:val="000E7CA4"/>
    <w:rsid w:val="000F0635"/>
    <w:rsid w:val="000F063C"/>
    <w:rsid w:val="000F0893"/>
    <w:rsid w:val="000F1D3F"/>
    <w:rsid w:val="000F1FCF"/>
    <w:rsid w:val="000F3849"/>
    <w:rsid w:val="000F3EC2"/>
    <w:rsid w:val="000F4A57"/>
    <w:rsid w:val="000F5664"/>
    <w:rsid w:val="000F7205"/>
    <w:rsid w:val="000F7372"/>
    <w:rsid w:val="001002EA"/>
    <w:rsid w:val="00102299"/>
    <w:rsid w:val="0010314F"/>
    <w:rsid w:val="00104950"/>
    <w:rsid w:val="00104D9F"/>
    <w:rsid w:val="00105C58"/>
    <w:rsid w:val="00105EE9"/>
    <w:rsid w:val="001069D9"/>
    <w:rsid w:val="001073B3"/>
    <w:rsid w:val="00107580"/>
    <w:rsid w:val="00107592"/>
    <w:rsid w:val="00107B93"/>
    <w:rsid w:val="00107FF1"/>
    <w:rsid w:val="00110924"/>
    <w:rsid w:val="00110D03"/>
    <w:rsid w:val="00110F15"/>
    <w:rsid w:val="00111186"/>
    <w:rsid w:val="001154A1"/>
    <w:rsid w:val="00115F1B"/>
    <w:rsid w:val="001164AA"/>
    <w:rsid w:val="00122C7F"/>
    <w:rsid w:val="00122CEB"/>
    <w:rsid w:val="001231F7"/>
    <w:rsid w:val="0012384A"/>
    <w:rsid w:val="00127C31"/>
    <w:rsid w:val="00130670"/>
    <w:rsid w:val="0013091D"/>
    <w:rsid w:val="001313B4"/>
    <w:rsid w:val="001317C0"/>
    <w:rsid w:val="001334E2"/>
    <w:rsid w:val="00134ACF"/>
    <w:rsid w:val="00136A57"/>
    <w:rsid w:val="001372D8"/>
    <w:rsid w:val="00137A47"/>
    <w:rsid w:val="00137BAE"/>
    <w:rsid w:val="00141D3B"/>
    <w:rsid w:val="00143449"/>
    <w:rsid w:val="00143580"/>
    <w:rsid w:val="00144DAA"/>
    <w:rsid w:val="00146DF0"/>
    <w:rsid w:val="001527CD"/>
    <w:rsid w:val="001550B4"/>
    <w:rsid w:val="00155D9F"/>
    <w:rsid w:val="001565E6"/>
    <w:rsid w:val="001579C9"/>
    <w:rsid w:val="00160469"/>
    <w:rsid w:val="00160A9C"/>
    <w:rsid w:val="001620E3"/>
    <w:rsid w:val="00164991"/>
    <w:rsid w:val="00164AAC"/>
    <w:rsid w:val="00165C95"/>
    <w:rsid w:val="00165F7E"/>
    <w:rsid w:val="00166CA0"/>
    <w:rsid w:val="00167318"/>
    <w:rsid w:val="0016781E"/>
    <w:rsid w:val="00171216"/>
    <w:rsid w:val="001723ED"/>
    <w:rsid w:val="00175578"/>
    <w:rsid w:val="00177826"/>
    <w:rsid w:val="00177B46"/>
    <w:rsid w:val="00181327"/>
    <w:rsid w:val="0018655C"/>
    <w:rsid w:val="0018782C"/>
    <w:rsid w:val="0019011C"/>
    <w:rsid w:val="00190A19"/>
    <w:rsid w:val="0019756A"/>
    <w:rsid w:val="001A1329"/>
    <w:rsid w:val="001A6169"/>
    <w:rsid w:val="001A6DFD"/>
    <w:rsid w:val="001B1B88"/>
    <w:rsid w:val="001B21D5"/>
    <w:rsid w:val="001B2543"/>
    <w:rsid w:val="001B3560"/>
    <w:rsid w:val="001B63C6"/>
    <w:rsid w:val="001B753B"/>
    <w:rsid w:val="001B7D07"/>
    <w:rsid w:val="001C3974"/>
    <w:rsid w:val="001C3E74"/>
    <w:rsid w:val="001C4FF0"/>
    <w:rsid w:val="001C7E75"/>
    <w:rsid w:val="001D33AA"/>
    <w:rsid w:val="001D6AFE"/>
    <w:rsid w:val="001E06B5"/>
    <w:rsid w:val="001E11E7"/>
    <w:rsid w:val="001E1296"/>
    <w:rsid w:val="001E355A"/>
    <w:rsid w:val="001E5F79"/>
    <w:rsid w:val="001E66E0"/>
    <w:rsid w:val="001E6C80"/>
    <w:rsid w:val="001E7239"/>
    <w:rsid w:val="001E7524"/>
    <w:rsid w:val="001F18D7"/>
    <w:rsid w:val="001F491B"/>
    <w:rsid w:val="001F5258"/>
    <w:rsid w:val="001F53E4"/>
    <w:rsid w:val="00200433"/>
    <w:rsid w:val="00201408"/>
    <w:rsid w:val="00201FD5"/>
    <w:rsid w:val="002029EC"/>
    <w:rsid w:val="00202D84"/>
    <w:rsid w:val="00202FD1"/>
    <w:rsid w:val="00203B28"/>
    <w:rsid w:val="00204CF1"/>
    <w:rsid w:val="00204DCA"/>
    <w:rsid w:val="00204DE2"/>
    <w:rsid w:val="00206134"/>
    <w:rsid w:val="0020641D"/>
    <w:rsid w:val="002106E2"/>
    <w:rsid w:val="0021089C"/>
    <w:rsid w:val="00211939"/>
    <w:rsid w:val="00212B42"/>
    <w:rsid w:val="002133E7"/>
    <w:rsid w:val="00213451"/>
    <w:rsid w:val="0021456C"/>
    <w:rsid w:val="002155B7"/>
    <w:rsid w:val="00216070"/>
    <w:rsid w:val="00217190"/>
    <w:rsid w:val="00217C8A"/>
    <w:rsid w:val="002213F6"/>
    <w:rsid w:val="002224E6"/>
    <w:rsid w:val="002225A2"/>
    <w:rsid w:val="0022296C"/>
    <w:rsid w:val="002240F8"/>
    <w:rsid w:val="002279E9"/>
    <w:rsid w:val="0023064A"/>
    <w:rsid w:val="002348BB"/>
    <w:rsid w:val="00235640"/>
    <w:rsid w:val="00235CDA"/>
    <w:rsid w:val="00236B0E"/>
    <w:rsid w:val="002405FB"/>
    <w:rsid w:val="00240F2B"/>
    <w:rsid w:val="00241C57"/>
    <w:rsid w:val="002422A5"/>
    <w:rsid w:val="00242C3B"/>
    <w:rsid w:val="002444A5"/>
    <w:rsid w:val="002457D2"/>
    <w:rsid w:val="00246DF3"/>
    <w:rsid w:val="0024798D"/>
    <w:rsid w:val="00250255"/>
    <w:rsid w:val="002512DF"/>
    <w:rsid w:val="00253737"/>
    <w:rsid w:val="00253CAF"/>
    <w:rsid w:val="00255DA3"/>
    <w:rsid w:val="00256D1F"/>
    <w:rsid w:val="00257383"/>
    <w:rsid w:val="00257A73"/>
    <w:rsid w:val="00260B7B"/>
    <w:rsid w:val="00260D35"/>
    <w:rsid w:val="002646EA"/>
    <w:rsid w:val="00264A81"/>
    <w:rsid w:val="002653D4"/>
    <w:rsid w:val="002707C6"/>
    <w:rsid w:val="002715B0"/>
    <w:rsid w:val="002718F1"/>
    <w:rsid w:val="002742A5"/>
    <w:rsid w:val="002759A7"/>
    <w:rsid w:val="00275D74"/>
    <w:rsid w:val="002768B0"/>
    <w:rsid w:val="002771E4"/>
    <w:rsid w:val="00277288"/>
    <w:rsid w:val="00277997"/>
    <w:rsid w:val="002809A8"/>
    <w:rsid w:val="002839FC"/>
    <w:rsid w:val="0028623A"/>
    <w:rsid w:val="002900CD"/>
    <w:rsid w:val="00292DA0"/>
    <w:rsid w:val="002931FA"/>
    <w:rsid w:val="0029461C"/>
    <w:rsid w:val="002952A6"/>
    <w:rsid w:val="0029703F"/>
    <w:rsid w:val="00297659"/>
    <w:rsid w:val="002A0816"/>
    <w:rsid w:val="002A1BBD"/>
    <w:rsid w:val="002A4732"/>
    <w:rsid w:val="002A59BF"/>
    <w:rsid w:val="002A6633"/>
    <w:rsid w:val="002B2B1D"/>
    <w:rsid w:val="002B3F42"/>
    <w:rsid w:val="002B46C2"/>
    <w:rsid w:val="002B4879"/>
    <w:rsid w:val="002B4986"/>
    <w:rsid w:val="002B4BF4"/>
    <w:rsid w:val="002B4CD1"/>
    <w:rsid w:val="002B5E7E"/>
    <w:rsid w:val="002B6A0D"/>
    <w:rsid w:val="002B6C68"/>
    <w:rsid w:val="002B6E92"/>
    <w:rsid w:val="002B7F8A"/>
    <w:rsid w:val="002C0905"/>
    <w:rsid w:val="002C0BEF"/>
    <w:rsid w:val="002C21B4"/>
    <w:rsid w:val="002C323C"/>
    <w:rsid w:val="002C4514"/>
    <w:rsid w:val="002C5A39"/>
    <w:rsid w:val="002C6601"/>
    <w:rsid w:val="002D11BC"/>
    <w:rsid w:val="002D2256"/>
    <w:rsid w:val="002D2B95"/>
    <w:rsid w:val="002D2FE7"/>
    <w:rsid w:val="002D40BE"/>
    <w:rsid w:val="002D4622"/>
    <w:rsid w:val="002D7EF6"/>
    <w:rsid w:val="002E32DF"/>
    <w:rsid w:val="002E4757"/>
    <w:rsid w:val="002E4B0D"/>
    <w:rsid w:val="002E4E59"/>
    <w:rsid w:val="002E5822"/>
    <w:rsid w:val="002E66F2"/>
    <w:rsid w:val="002F00B9"/>
    <w:rsid w:val="002F0B9C"/>
    <w:rsid w:val="002F1DEB"/>
    <w:rsid w:val="002F2527"/>
    <w:rsid w:val="002F508A"/>
    <w:rsid w:val="002F6F65"/>
    <w:rsid w:val="003012E5"/>
    <w:rsid w:val="0030132E"/>
    <w:rsid w:val="00301947"/>
    <w:rsid w:val="00302617"/>
    <w:rsid w:val="0030358D"/>
    <w:rsid w:val="003043AB"/>
    <w:rsid w:val="003053D8"/>
    <w:rsid w:val="0030541B"/>
    <w:rsid w:val="003108E8"/>
    <w:rsid w:val="003127D8"/>
    <w:rsid w:val="0031287D"/>
    <w:rsid w:val="003138BF"/>
    <w:rsid w:val="00314300"/>
    <w:rsid w:val="003148AB"/>
    <w:rsid w:val="00315D59"/>
    <w:rsid w:val="00317AB3"/>
    <w:rsid w:val="0032069F"/>
    <w:rsid w:val="00321C70"/>
    <w:rsid w:val="00323791"/>
    <w:rsid w:val="00326BD5"/>
    <w:rsid w:val="00326E74"/>
    <w:rsid w:val="0032710B"/>
    <w:rsid w:val="00331859"/>
    <w:rsid w:val="0033186E"/>
    <w:rsid w:val="00332CA2"/>
    <w:rsid w:val="003353D0"/>
    <w:rsid w:val="0033565F"/>
    <w:rsid w:val="00341E66"/>
    <w:rsid w:val="003421C3"/>
    <w:rsid w:val="0034258B"/>
    <w:rsid w:val="00342639"/>
    <w:rsid w:val="00343018"/>
    <w:rsid w:val="0034369E"/>
    <w:rsid w:val="00346F58"/>
    <w:rsid w:val="003474E0"/>
    <w:rsid w:val="00352E76"/>
    <w:rsid w:val="00352F63"/>
    <w:rsid w:val="003533FA"/>
    <w:rsid w:val="00354549"/>
    <w:rsid w:val="00355789"/>
    <w:rsid w:val="0035688B"/>
    <w:rsid w:val="00361161"/>
    <w:rsid w:val="00362236"/>
    <w:rsid w:val="003625E3"/>
    <w:rsid w:val="0036290C"/>
    <w:rsid w:val="0036425F"/>
    <w:rsid w:val="00364857"/>
    <w:rsid w:val="00365094"/>
    <w:rsid w:val="00366E43"/>
    <w:rsid w:val="00367296"/>
    <w:rsid w:val="003675B1"/>
    <w:rsid w:val="003704F9"/>
    <w:rsid w:val="0037292D"/>
    <w:rsid w:val="0037293D"/>
    <w:rsid w:val="00373355"/>
    <w:rsid w:val="00373644"/>
    <w:rsid w:val="003750C8"/>
    <w:rsid w:val="003759D3"/>
    <w:rsid w:val="0037706A"/>
    <w:rsid w:val="0037737A"/>
    <w:rsid w:val="00377B4F"/>
    <w:rsid w:val="003809BF"/>
    <w:rsid w:val="003817D3"/>
    <w:rsid w:val="00381A03"/>
    <w:rsid w:val="0038203F"/>
    <w:rsid w:val="00382A36"/>
    <w:rsid w:val="00382F64"/>
    <w:rsid w:val="00383591"/>
    <w:rsid w:val="00384080"/>
    <w:rsid w:val="00384A67"/>
    <w:rsid w:val="003850BA"/>
    <w:rsid w:val="00391045"/>
    <w:rsid w:val="003922BD"/>
    <w:rsid w:val="0039351D"/>
    <w:rsid w:val="003940E2"/>
    <w:rsid w:val="003962E6"/>
    <w:rsid w:val="003968D9"/>
    <w:rsid w:val="003A007C"/>
    <w:rsid w:val="003A232A"/>
    <w:rsid w:val="003A5733"/>
    <w:rsid w:val="003B060A"/>
    <w:rsid w:val="003B0AF2"/>
    <w:rsid w:val="003B146A"/>
    <w:rsid w:val="003B2BF3"/>
    <w:rsid w:val="003B3F13"/>
    <w:rsid w:val="003B46C2"/>
    <w:rsid w:val="003B66CA"/>
    <w:rsid w:val="003B7601"/>
    <w:rsid w:val="003C031A"/>
    <w:rsid w:val="003C10E4"/>
    <w:rsid w:val="003C7E8A"/>
    <w:rsid w:val="003D1A6E"/>
    <w:rsid w:val="003D1FBE"/>
    <w:rsid w:val="003D395D"/>
    <w:rsid w:val="003D632B"/>
    <w:rsid w:val="003D6C6D"/>
    <w:rsid w:val="003D6E11"/>
    <w:rsid w:val="003D723B"/>
    <w:rsid w:val="003E1AE3"/>
    <w:rsid w:val="003E2CF2"/>
    <w:rsid w:val="003E3000"/>
    <w:rsid w:val="003E3B29"/>
    <w:rsid w:val="003E451A"/>
    <w:rsid w:val="003E552E"/>
    <w:rsid w:val="003E6504"/>
    <w:rsid w:val="003F041B"/>
    <w:rsid w:val="003F0812"/>
    <w:rsid w:val="003F21BA"/>
    <w:rsid w:val="003F2E0A"/>
    <w:rsid w:val="003F4820"/>
    <w:rsid w:val="003F55B8"/>
    <w:rsid w:val="003F6229"/>
    <w:rsid w:val="003F6578"/>
    <w:rsid w:val="003F6FD5"/>
    <w:rsid w:val="0040070A"/>
    <w:rsid w:val="00401077"/>
    <w:rsid w:val="00404A69"/>
    <w:rsid w:val="004054BA"/>
    <w:rsid w:val="00405B9B"/>
    <w:rsid w:val="00405D51"/>
    <w:rsid w:val="004061ED"/>
    <w:rsid w:val="00406695"/>
    <w:rsid w:val="004069B1"/>
    <w:rsid w:val="004075E8"/>
    <w:rsid w:val="00407E74"/>
    <w:rsid w:val="00411C11"/>
    <w:rsid w:val="0041257A"/>
    <w:rsid w:val="00413999"/>
    <w:rsid w:val="00413C1E"/>
    <w:rsid w:val="00413F78"/>
    <w:rsid w:val="00415873"/>
    <w:rsid w:val="004173D8"/>
    <w:rsid w:val="004177AD"/>
    <w:rsid w:val="0042015E"/>
    <w:rsid w:val="0042054A"/>
    <w:rsid w:val="00420684"/>
    <w:rsid w:val="00420CB2"/>
    <w:rsid w:val="00425F62"/>
    <w:rsid w:val="004307C7"/>
    <w:rsid w:val="004320F0"/>
    <w:rsid w:val="00435CAA"/>
    <w:rsid w:val="004372A9"/>
    <w:rsid w:val="00440A1F"/>
    <w:rsid w:val="004411FE"/>
    <w:rsid w:val="00441652"/>
    <w:rsid w:val="00443291"/>
    <w:rsid w:val="0044587E"/>
    <w:rsid w:val="004459E5"/>
    <w:rsid w:val="00446612"/>
    <w:rsid w:val="004473A9"/>
    <w:rsid w:val="004504DF"/>
    <w:rsid w:val="00451A06"/>
    <w:rsid w:val="00451D5E"/>
    <w:rsid w:val="00453D4E"/>
    <w:rsid w:val="00454370"/>
    <w:rsid w:val="00455E8A"/>
    <w:rsid w:val="0045780B"/>
    <w:rsid w:val="00460383"/>
    <w:rsid w:val="004638FD"/>
    <w:rsid w:val="00463FD8"/>
    <w:rsid w:val="00464838"/>
    <w:rsid w:val="00464DA6"/>
    <w:rsid w:val="00464F2B"/>
    <w:rsid w:val="0046668E"/>
    <w:rsid w:val="00470F72"/>
    <w:rsid w:val="004728BD"/>
    <w:rsid w:val="004734D4"/>
    <w:rsid w:val="00473686"/>
    <w:rsid w:val="00473734"/>
    <w:rsid w:val="004749E1"/>
    <w:rsid w:val="00474B85"/>
    <w:rsid w:val="00475057"/>
    <w:rsid w:val="004771AA"/>
    <w:rsid w:val="00481583"/>
    <w:rsid w:val="00481DC7"/>
    <w:rsid w:val="004852C1"/>
    <w:rsid w:val="00486A8C"/>
    <w:rsid w:val="004872D2"/>
    <w:rsid w:val="0048777B"/>
    <w:rsid w:val="00493000"/>
    <w:rsid w:val="00494694"/>
    <w:rsid w:val="004948D8"/>
    <w:rsid w:val="004968E9"/>
    <w:rsid w:val="00497538"/>
    <w:rsid w:val="004A01F4"/>
    <w:rsid w:val="004A104B"/>
    <w:rsid w:val="004A1D1F"/>
    <w:rsid w:val="004A2491"/>
    <w:rsid w:val="004A35E5"/>
    <w:rsid w:val="004A65A0"/>
    <w:rsid w:val="004A6FCA"/>
    <w:rsid w:val="004B01E9"/>
    <w:rsid w:val="004B0CB0"/>
    <w:rsid w:val="004B164E"/>
    <w:rsid w:val="004B28CD"/>
    <w:rsid w:val="004B501D"/>
    <w:rsid w:val="004B685F"/>
    <w:rsid w:val="004B7ED0"/>
    <w:rsid w:val="004C084E"/>
    <w:rsid w:val="004C3F86"/>
    <w:rsid w:val="004C50F7"/>
    <w:rsid w:val="004C5DB3"/>
    <w:rsid w:val="004C614E"/>
    <w:rsid w:val="004C649C"/>
    <w:rsid w:val="004C6671"/>
    <w:rsid w:val="004C7157"/>
    <w:rsid w:val="004D4AFC"/>
    <w:rsid w:val="004D5DC9"/>
    <w:rsid w:val="004D5E14"/>
    <w:rsid w:val="004D62AC"/>
    <w:rsid w:val="004D6A96"/>
    <w:rsid w:val="004D6D3F"/>
    <w:rsid w:val="004E2CA7"/>
    <w:rsid w:val="004E2CFA"/>
    <w:rsid w:val="004E317B"/>
    <w:rsid w:val="004E3BD8"/>
    <w:rsid w:val="004E5E98"/>
    <w:rsid w:val="004F0852"/>
    <w:rsid w:val="004F0D96"/>
    <w:rsid w:val="004F2736"/>
    <w:rsid w:val="004F3E35"/>
    <w:rsid w:val="004F5E8C"/>
    <w:rsid w:val="004F67CF"/>
    <w:rsid w:val="004F68A8"/>
    <w:rsid w:val="00500C66"/>
    <w:rsid w:val="005012A2"/>
    <w:rsid w:val="0050233E"/>
    <w:rsid w:val="0050278C"/>
    <w:rsid w:val="00502927"/>
    <w:rsid w:val="00502D15"/>
    <w:rsid w:val="00502F08"/>
    <w:rsid w:val="00503EEF"/>
    <w:rsid w:val="00504E45"/>
    <w:rsid w:val="00505795"/>
    <w:rsid w:val="00512DAC"/>
    <w:rsid w:val="00512E03"/>
    <w:rsid w:val="005166D1"/>
    <w:rsid w:val="00516DDE"/>
    <w:rsid w:val="00517436"/>
    <w:rsid w:val="00520F31"/>
    <w:rsid w:val="005211BC"/>
    <w:rsid w:val="00522F81"/>
    <w:rsid w:val="005233D4"/>
    <w:rsid w:val="005250A4"/>
    <w:rsid w:val="0052629D"/>
    <w:rsid w:val="00526E41"/>
    <w:rsid w:val="0053074E"/>
    <w:rsid w:val="00532542"/>
    <w:rsid w:val="00532E4F"/>
    <w:rsid w:val="0053392B"/>
    <w:rsid w:val="0053394F"/>
    <w:rsid w:val="00535C77"/>
    <w:rsid w:val="00536DF8"/>
    <w:rsid w:val="00540AE8"/>
    <w:rsid w:val="00541448"/>
    <w:rsid w:val="005450FB"/>
    <w:rsid w:val="00545209"/>
    <w:rsid w:val="0054600C"/>
    <w:rsid w:val="00550B2D"/>
    <w:rsid w:val="00550B9C"/>
    <w:rsid w:val="00553A4E"/>
    <w:rsid w:val="00554987"/>
    <w:rsid w:val="00554A71"/>
    <w:rsid w:val="00555EE7"/>
    <w:rsid w:val="0055777F"/>
    <w:rsid w:val="00557931"/>
    <w:rsid w:val="00560CDE"/>
    <w:rsid w:val="005615E9"/>
    <w:rsid w:val="00563493"/>
    <w:rsid w:val="0056370D"/>
    <w:rsid w:val="00570873"/>
    <w:rsid w:val="00571E37"/>
    <w:rsid w:val="00572609"/>
    <w:rsid w:val="00572CD6"/>
    <w:rsid w:val="00572D66"/>
    <w:rsid w:val="00573ACB"/>
    <w:rsid w:val="005776F4"/>
    <w:rsid w:val="00577A13"/>
    <w:rsid w:val="0058264D"/>
    <w:rsid w:val="00582E3A"/>
    <w:rsid w:val="005830BB"/>
    <w:rsid w:val="00584396"/>
    <w:rsid w:val="00585534"/>
    <w:rsid w:val="00590102"/>
    <w:rsid w:val="00592715"/>
    <w:rsid w:val="005930B7"/>
    <w:rsid w:val="00593B1B"/>
    <w:rsid w:val="00594AC1"/>
    <w:rsid w:val="00595B07"/>
    <w:rsid w:val="005A00A7"/>
    <w:rsid w:val="005A4E7F"/>
    <w:rsid w:val="005A7E94"/>
    <w:rsid w:val="005B01DD"/>
    <w:rsid w:val="005B3568"/>
    <w:rsid w:val="005B5BA1"/>
    <w:rsid w:val="005B6F75"/>
    <w:rsid w:val="005B7291"/>
    <w:rsid w:val="005B7598"/>
    <w:rsid w:val="005B787E"/>
    <w:rsid w:val="005C112D"/>
    <w:rsid w:val="005C2AFF"/>
    <w:rsid w:val="005C30A2"/>
    <w:rsid w:val="005C39F8"/>
    <w:rsid w:val="005C3F46"/>
    <w:rsid w:val="005C56A8"/>
    <w:rsid w:val="005C5CB3"/>
    <w:rsid w:val="005C65E7"/>
    <w:rsid w:val="005D256F"/>
    <w:rsid w:val="005D35EA"/>
    <w:rsid w:val="005D5CA2"/>
    <w:rsid w:val="005D78C3"/>
    <w:rsid w:val="005E0211"/>
    <w:rsid w:val="005E04C1"/>
    <w:rsid w:val="005E067B"/>
    <w:rsid w:val="005E11B8"/>
    <w:rsid w:val="005E11CE"/>
    <w:rsid w:val="005E1692"/>
    <w:rsid w:val="005E1E13"/>
    <w:rsid w:val="005E2279"/>
    <w:rsid w:val="005E2E23"/>
    <w:rsid w:val="005E3488"/>
    <w:rsid w:val="005E4E45"/>
    <w:rsid w:val="005E5B0F"/>
    <w:rsid w:val="005E7A28"/>
    <w:rsid w:val="005F0D4B"/>
    <w:rsid w:val="005F1359"/>
    <w:rsid w:val="005F154D"/>
    <w:rsid w:val="005F2208"/>
    <w:rsid w:val="005F32EF"/>
    <w:rsid w:val="005F5F70"/>
    <w:rsid w:val="005F6D0E"/>
    <w:rsid w:val="005F75D1"/>
    <w:rsid w:val="00600477"/>
    <w:rsid w:val="0060274D"/>
    <w:rsid w:val="0060287B"/>
    <w:rsid w:val="00603F6D"/>
    <w:rsid w:val="00604272"/>
    <w:rsid w:val="0060494C"/>
    <w:rsid w:val="00612C3C"/>
    <w:rsid w:val="00613012"/>
    <w:rsid w:val="006139BC"/>
    <w:rsid w:val="006275A7"/>
    <w:rsid w:val="00627E18"/>
    <w:rsid w:val="006306B2"/>
    <w:rsid w:val="00630735"/>
    <w:rsid w:val="00630C3B"/>
    <w:rsid w:val="00631472"/>
    <w:rsid w:val="006327D6"/>
    <w:rsid w:val="0063615C"/>
    <w:rsid w:val="006364A9"/>
    <w:rsid w:val="0063792A"/>
    <w:rsid w:val="00640C03"/>
    <w:rsid w:val="00642A9E"/>
    <w:rsid w:val="006434B2"/>
    <w:rsid w:val="00643606"/>
    <w:rsid w:val="00643D28"/>
    <w:rsid w:val="00647D4C"/>
    <w:rsid w:val="006517DE"/>
    <w:rsid w:val="00652698"/>
    <w:rsid w:val="00653D44"/>
    <w:rsid w:val="00653D48"/>
    <w:rsid w:val="00654639"/>
    <w:rsid w:val="00655164"/>
    <w:rsid w:val="0066154D"/>
    <w:rsid w:val="00662953"/>
    <w:rsid w:val="00665183"/>
    <w:rsid w:val="00665A7A"/>
    <w:rsid w:val="00666661"/>
    <w:rsid w:val="00667718"/>
    <w:rsid w:val="00670571"/>
    <w:rsid w:val="006705E7"/>
    <w:rsid w:val="00670E60"/>
    <w:rsid w:val="00672301"/>
    <w:rsid w:val="006725A8"/>
    <w:rsid w:val="00672935"/>
    <w:rsid w:val="00674452"/>
    <w:rsid w:val="006749A3"/>
    <w:rsid w:val="00674A11"/>
    <w:rsid w:val="00675778"/>
    <w:rsid w:val="006762E1"/>
    <w:rsid w:val="00677956"/>
    <w:rsid w:val="00680EC2"/>
    <w:rsid w:val="006813D9"/>
    <w:rsid w:val="00681DFF"/>
    <w:rsid w:val="00682B56"/>
    <w:rsid w:val="006853A0"/>
    <w:rsid w:val="006869C0"/>
    <w:rsid w:val="0068724F"/>
    <w:rsid w:val="00687F09"/>
    <w:rsid w:val="006914E7"/>
    <w:rsid w:val="00691CB7"/>
    <w:rsid w:val="006933A9"/>
    <w:rsid w:val="00693EB8"/>
    <w:rsid w:val="006957BF"/>
    <w:rsid w:val="00695A5E"/>
    <w:rsid w:val="006A46FB"/>
    <w:rsid w:val="006A5452"/>
    <w:rsid w:val="006A5A1C"/>
    <w:rsid w:val="006B17F7"/>
    <w:rsid w:val="006B2744"/>
    <w:rsid w:val="006B41C2"/>
    <w:rsid w:val="006C08BD"/>
    <w:rsid w:val="006C1B78"/>
    <w:rsid w:val="006C39DA"/>
    <w:rsid w:val="006C563A"/>
    <w:rsid w:val="006C5F5B"/>
    <w:rsid w:val="006C6C15"/>
    <w:rsid w:val="006C6D97"/>
    <w:rsid w:val="006D0330"/>
    <w:rsid w:val="006D0609"/>
    <w:rsid w:val="006D09F1"/>
    <w:rsid w:val="006D3A34"/>
    <w:rsid w:val="006D4181"/>
    <w:rsid w:val="006D5947"/>
    <w:rsid w:val="006E2709"/>
    <w:rsid w:val="006E4035"/>
    <w:rsid w:val="006E50D1"/>
    <w:rsid w:val="006E5A44"/>
    <w:rsid w:val="006E6C45"/>
    <w:rsid w:val="006E7BFD"/>
    <w:rsid w:val="006F041F"/>
    <w:rsid w:val="006F1438"/>
    <w:rsid w:val="006F2D06"/>
    <w:rsid w:val="006F2DDC"/>
    <w:rsid w:val="006F5F14"/>
    <w:rsid w:val="006F6F18"/>
    <w:rsid w:val="007009F3"/>
    <w:rsid w:val="0070351A"/>
    <w:rsid w:val="00705164"/>
    <w:rsid w:val="007118E0"/>
    <w:rsid w:val="00712007"/>
    <w:rsid w:val="0071214B"/>
    <w:rsid w:val="00712381"/>
    <w:rsid w:val="007140E4"/>
    <w:rsid w:val="007150D9"/>
    <w:rsid w:val="00716790"/>
    <w:rsid w:val="007169EE"/>
    <w:rsid w:val="007178A0"/>
    <w:rsid w:val="00721ECC"/>
    <w:rsid w:val="00722190"/>
    <w:rsid w:val="00722390"/>
    <w:rsid w:val="007234F0"/>
    <w:rsid w:val="00723FB0"/>
    <w:rsid w:val="007246B7"/>
    <w:rsid w:val="00726E9F"/>
    <w:rsid w:val="0072769B"/>
    <w:rsid w:val="00727B05"/>
    <w:rsid w:val="007313D9"/>
    <w:rsid w:val="00731C64"/>
    <w:rsid w:val="00732E79"/>
    <w:rsid w:val="007345BE"/>
    <w:rsid w:val="0073541A"/>
    <w:rsid w:val="007359AF"/>
    <w:rsid w:val="0073604D"/>
    <w:rsid w:val="0074128C"/>
    <w:rsid w:val="00741FC5"/>
    <w:rsid w:val="007423A5"/>
    <w:rsid w:val="007443E8"/>
    <w:rsid w:val="00745A10"/>
    <w:rsid w:val="00745A40"/>
    <w:rsid w:val="00747CD7"/>
    <w:rsid w:val="007503B1"/>
    <w:rsid w:val="00750C7E"/>
    <w:rsid w:val="00751321"/>
    <w:rsid w:val="007535B5"/>
    <w:rsid w:val="00756816"/>
    <w:rsid w:val="00757B84"/>
    <w:rsid w:val="00757F44"/>
    <w:rsid w:val="00761298"/>
    <w:rsid w:val="007623CD"/>
    <w:rsid w:val="007626A5"/>
    <w:rsid w:val="007633AF"/>
    <w:rsid w:val="00763E01"/>
    <w:rsid w:val="00764085"/>
    <w:rsid w:val="007647B8"/>
    <w:rsid w:val="00765387"/>
    <w:rsid w:val="007668EB"/>
    <w:rsid w:val="007669BC"/>
    <w:rsid w:val="00766FD9"/>
    <w:rsid w:val="007672AA"/>
    <w:rsid w:val="00767B9A"/>
    <w:rsid w:val="0077106D"/>
    <w:rsid w:val="00773B1B"/>
    <w:rsid w:val="00775208"/>
    <w:rsid w:val="00776EA8"/>
    <w:rsid w:val="007774E4"/>
    <w:rsid w:val="007808BF"/>
    <w:rsid w:val="00782842"/>
    <w:rsid w:val="00782E2D"/>
    <w:rsid w:val="007866D3"/>
    <w:rsid w:val="00786F9A"/>
    <w:rsid w:val="007875F1"/>
    <w:rsid w:val="007915C5"/>
    <w:rsid w:val="00792736"/>
    <w:rsid w:val="00792C34"/>
    <w:rsid w:val="00792D53"/>
    <w:rsid w:val="007944A6"/>
    <w:rsid w:val="00795876"/>
    <w:rsid w:val="00795D7B"/>
    <w:rsid w:val="007962AD"/>
    <w:rsid w:val="00797CE1"/>
    <w:rsid w:val="007A0E45"/>
    <w:rsid w:val="007A2A36"/>
    <w:rsid w:val="007A2CD3"/>
    <w:rsid w:val="007A45E0"/>
    <w:rsid w:val="007A57AB"/>
    <w:rsid w:val="007A60FB"/>
    <w:rsid w:val="007B071B"/>
    <w:rsid w:val="007B0BB8"/>
    <w:rsid w:val="007B198C"/>
    <w:rsid w:val="007B656E"/>
    <w:rsid w:val="007C12D5"/>
    <w:rsid w:val="007C4E07"/>
    <w:rsid w:val="007C64A7"/>
    <w:rsid w:val="007C6505"/>
    <w:rsid w:val="007C6D65"/>
    <w:rsid w:val="007C7DFD"/>
    <w:rsid w:val="007D1294"/>
    <w:rsid w:val="007D198D"/>
    <w:rsid w:val="007D330C"/>
    <w:rsid w:val="007D36B8"/>
    <w:rsid w:val="007D3BAB"/>
    <w:rsid w:val="007D40F7"/>
    <w:rsid w:val="007D433B"/>
    <w:rsid w:val="007D6FFF"/>
    <w:rsid w:val="007E023D"/>
    <w:rsid w:val="007E1634"/>
    <w:rsid w:val="007E17A7"/>
    <w:rsid w:val="007E19B4"/>
    <w:rsid w:val="007E323B"/>
    <w:rsid w:val="007E3955"/>
    <w:rsid w:val="007E4060"/>
    <w:rsid w:val="007E42D9"/>
    <w:rsid w:val="007E6300"/>
    <w:rsid w:val="007E723D"/>
    <w:rsid w:val="007F11CD"/>
    <w:rsid w:val="007F38E5"/>
    <w:rsid w:val="007F3AD8"/>
    <w:rsid w:val="007F3D33"/>
    <w:rsid w:val="007F46DC"/>
    <w:rsid w:val="00800CE5"/>
    <w:rsid w:val="00803DE1"/>
    <w:rsid w:val="00805257"/>
    <w:rsid w:val="00805F5F"/>
    <w:rsid w:val="00806486"/>
    <w:rsid w:val="00806761"/>
    <w:rsid w:val="008073E5"/>
    <w:rsid w:val="00807D79"/>
    <w:rsid w:val="00810195"/>
    <w:rsid w:val="008121AD"/>
    <w:rsid w:val="0081225C"/>
    <w:rsid w:val="0081278D"/>
    <w:rsid w:val="00813887"/>
    <w:rsid w:val="00813B82"/>
    <w:rsid w:val="00814CB5"/>
    <w:rsid w:val="00815464"/>
    <w:rsid w:val="008164F1"/>
    <w:rsid w:val="008170F2"/>
    <w:rsid w:val="00821F2D"/>
    <w:rsid w:val="00822BE5"/>
    <w:rsid w:val="00823498"/>
    <w:rsid w:val="00823DBA"/>
    <w:rsid w:val="00824BE8"/>
    <w:rsid w:val="0082505A"/>
    <w:rsid w:val="0083108A"/>
    <w:rsid w:val="00831CFF"/>
    <w:rsid w:val="00833FED"/>
    <w:rsid w:val="0083560A"/>
    <w:rsid w:val="00835A17"/>
    <w:rsid w:val="00835B30"/>
    <w:rsid w:val="008360B0"/>
    <w:rsid w:val="008362B6"/>
    <w:rsid w:val="008363DC"/>
    <w:rsid w:val="0083694A"/>
    <w:rsid w:val="00840D4A"/>
    <w:rsid w:val="008416A5"/>
    <w:rsid w:val="008416E5"/>
    <w:rsid w:val="00841B32"/>
    <w:rsid w:val="00842A5A"/>
    <w:rsid w:val="008438E6"/>
    <w:rsid w:val="00844B76"/>
    <w:rsid w:val="008469FB"/>
    <w:rsid w:val="00847465"/>
    <w:rsid w:val="008505B3"/>
    <w:rsid w:val="00850E7B"/>
    <w:rsid w:val="008534F2"/>
    <w:rsid w:val="0085751E"/>
    <w:rsid w:val="00861540"/>
    <w:rsid w:val="0086165A"/>
    <w:rsid w:val="00861C55"/>
    <w:rsid w:val="00862116"/>
    <w:rsid w:val="008647EB"/>
    <w:rsid w:val="00871839"/>
    <w:rsid w:val="00874FDF"/>
    <w:rsid w:val="0087571D"/>
    <w:rsid w:val="008769F0"/>
    <w:rsid w:val="00876F05"/>
    <w:rsid w:val="0087709A"/>
    <w:rsid w:val="008803E8"/>
    <w:rsid w:val="008809ED"/>
    <w:rsid w:val="00880BBA"/>
    <w:rsid w:val="008815CC"/>
    <w:rsid w:val="00881672"/>
    <w:rsid w:val="008829AB"/>
    <w:rsid w:val="00883FC1"/>
    <w:rsid w:val="00885699"/>
    <w:rsid w:val="00885888"/>
    <w:rsid w:val="00885FED"/>
    <w:rsid w:val="00886C29"/>
    <w:rsid w:val="0088735F"/>
    <w:rsid w:val="00891188"/>
    <w:rsid w:val="00891215"/>
    <w:rsid w:val="008914BD"/>
    <w:rsid w:val="0089644C"/>
    <w:rsid w:val="008A0072"/>
    <w:rsid w:val="008A03FB"/>
    <w:rsid w:val="008A0CCC"/>
    <w:rsid w:val="008A1154"/>
    <w:rsid w:val="008A1EC2"/>
    <w:rsid w:val="008A4689"/>
    <w:rsid w:val="008A4DC2"/>
    <w:rsid w:val="008A56A8"/>
    <w:rsid w:val="008A5DAB"/>
    <w:rsid w:val="008A6B66"/>
    <w:rsid w:val="008A6C51"/>
    <w:rsid w:val="008B25B9"/>
    <w:rsid w:val="008B4357"/>
    <w:rsid w:val="008B5385"/>
    <w:rsid w:val="008B657E"/>
    <w:rsid w:val="008B68CD"/>
    <w:rsid w:val="008B7388"/>
    <w:rsid w:val="008B797E"/>
    <w:rsid w:val="008B7B89"/>
    <w:rsid w:val="008C1775"/>
    <w:rsid w:val="008C1BB3"/>
    <w:rsid w:val="008D007D"/>
    <w:rsid w:val="008D0393"/>
    <w:rsid w:val="008D2AB5"/>
    <w:rsid w:val="008D2BDB"/>
    <w:rsid w:val="008D50EA"/>
    <w:rsid w:val="008E334C"/>
    <w:rsid w:val="008E386A"/>
    <w:rsid w:val="008E3F2D"/>
    <w:rsid w:val="008E4E0F"/>
    <w:rsid w:val="008F171C"/>
    <w:rsid w:val="008F1750"/>
    <w:rsid w:val="008F1E5E"/>
    <w:rsid w:val="008F4C81"/>
    <w:rsid w:val="008F586C"/>
    <w:rsid w:val="008F6749"/>
    <w:rsid w:val="008F6965"/>
    <w:rsid w:val="008F7887"/>
    <w:rsid w:val="0090192B"/>
    <w:rsid w:val="00901B7E"/>
    <w:rsid w:val="00902F16"/>
    <w:rsid w:val="0090320A"/>
    <w:rsid w:val="009037EB"/>
    <w:rsid w:val="00903D5A"/>
    <w:rsid w:val="00904AE2"/>
    <w:rsid w:val="0090588F"/>
    <w:rsid w:val="0090638C"/>
    <w:rsid w:val="0090793F"/>
    <w:rsid w:val="00910FD0"/>
    <w:rsid w:val="0091151E"/>
    <w:rsid w:val="009152DD"/>
    <w:rsid w:val="00916904"/>
    <w:rsid w:val="00916D88"/>
    <w:rsid w:val="00917356"/>
    <w:rsid w:val="00920E20"/>
    <w:rsid w:val="00922BDB"/>
    <w:rsid w:val="009238E8"/>
    <w:rsid w:val="00925C44"/>
    <w:rsid w:val="00925ECF"/>
    <w:rsid w:val="0092721F"/>
    <w:rsid w:val="0092756C"/>
    <w:rsid w:val="00927964"/>
    <w:rsid w:val="00930708"/>
    <w:rsid w:val="00930AFF"/>
    <w:rsid w:val="00933753"/>
    <w:rsid w:val="00935722"/>
    <w:rsid w:val="00937323"/>
    <w:rsid w:val="0093786A"/>
    <w:rsid w:val="00940A16"/>
    <w:rsid w:val="00940EC8"/>
    <w:rsid w:val="00941A99"/>
    <w:rsid w:val="00944F00"/>
    <w:rsid w:val="00945926"/>
    <w:rsid w:val="00950B2F"/>
    <w:rsid w:val="0095143F"/>
    <w:rsid w:val="0095178D"/>
    <w:rsid w:val="009531E8"/>
    <w:rsid w:val="00953A03"/>
    <w:rsid w:val="00953B68"/>
    <w:rsid w:val="00965093"/>
    <w:rsid w:val="0096600E"/>
    <w:rsid w:val="00967BCE"/>
    <w:rsid w:val="00967CD9"/>
    <w:rsid w:val="00967FBB"/>
    <w:rsid w:val="00971053"/>
    <w:rsid w:val="009723A9"/>
    <w:rsid w:val="009736CC"/>
    <w:rsid w:val="00973961"/>
    <w:rsid w:val="00973F92"/>
    <w:rsid w:val="00977168"/>
    <w:rsid w:val="00980A56"/>
    <w:rsid w:val="00981D0B"/>
    <w:rsid w:val="00982549"/>
    <w:rsid w:val="00982827"/>
    <w:rsid w:val="00982A13"/>
    <w:rsid w:val="00982F51"/>
    <w:rsid w:val="00983239"/>
    <w:rsid w:val="00983613"/>
    <w:rsid w:val="009855C6"/>
    <w:rsid w:val="00985D26"/>
    <w:rsid w:val="009862B6"/>
    <w:rsid w:val="00987596"/>
    <w:rsid w:val="009913F5"/>
    <w:rsid w:val="00992433"/>
    <w:rsid w:val="00993183"/>
    <w:rsid w:val="00993ED3"/>
    <w:rsid w:val="00994318"/>
    <w:rsid w:val="00994449"/>
    <w:rsid w:val="00994B21"/>
    <w:rsid w:val="00995DC0"/>
    <w:rsid w:val="00997A87"/>
    <w:rsid w:val="009A4C77"/>
    <w:rsid w:val="009A5F54"/>
    <w:rsid w:val="009A70E7"/>
    <w:rsid w:val="009B0158"/>
    <w:rsid w:val="009B1C10"/>
    <w:rsid w:val="009B21A7"/>
    <w:rsid w:val="009B5C9B"/>
    <w:rsid w:val="009B6D5E"/>
    <w:rsid w:val="009C16B4"/>
    <w:rsid w:val="009C20D9"/>
    <w:rsid w:val="009C364F"/>
    <w:rsid w:val="009C39D7"/>
    <w:rsid w:val="009C39E3"/>
    <w:rsid w:val="009C4570"/>
    <w:rsid w:val="009C4833"/>
    <w:rsid w:val="009C4BF9"/>
    <w:rsid w:val="009C50CE"/>
    <w:rsid w:val="009D4DDD"/>
    <w:rsid w:val="009D4E68"/>
    <w:rsid w:val="009D5750"/>
    <w:rsid w:val="009D65D3"/>
    <w:rsid w:val="009D6E1D"/>
    <w:rsid w:val="009D79DE"/>
    <w:rsid w:val="009E60A0"/>
    <w:rsid w:val="009E6627"/>
    <w:rsid w:val="009E6F78"/>
    <w:rsid w:val="009E7670"/>
    <w:rsid w:val="009F217A"/>
    <w:rsid w:val="009F29EF"/>
    <w:rsid w:val="009F3ECB"/>
    <w:rsid w:val="009F47DF"/>
    <w:rsid w:val="009F7709"/>
    <w:rsid w:val="00A008E2"/>
    <w:rsid w:val="00A01A06"/>
    <w:rsid w:val="00A02560"/>
    <w:rsid w:val="00A0306B"/>
    <w:rsid w:val="00A04582"/>
    <w:rsid w:val="00A05269"/>
    <w:rsid w:val="00A06D06"/>
    <w:rsid w:val="00A1082D"/>
    <w:rsid w:val="00A1288A"/>
    <w:rsid w:val="00A132A7"/>
    <w:rsid w:val="00A13602"/>
    <w:rsid w:val="00A14786"/>
    <w:rsid w:val="00A14C98"/>
    <w:rsid w:val="00A16405"/>
    <w:rsid w:val="00A16630"/>
    <w:rsid w:val="00A171E6"/>
    <w:rsid w:val="00A17957"/>
    <w:rsid w:val="00A23E42"/>
    <w:rsid w:val="00A23FF2"/>
    <w:rsid w:val="00A248CB"/>
    <w:rsid w:val="00A24C73"/>
    <w:rsid w:val="00A273BC"/>
    <w:rsid w:val="00A27823"/>
    <w:rsid w:val="00A27E1B"/>
    <w:rsid w:val="00A27F3D"/>
    <w:rsid w:val="00A30254"/>
    <w:rsid w:val="00A3094C"/>
    <w:rsid w:val="00A311B9"/>
    <w:rsid w:val="00A31B7A"/>
    <w:rsid w:val="00A32248"/>
    <w:rsid w:val="00A32E9E"/>
    <w:rsid w:val="00A3416B"/>
    <w:rsid w:val="00A35EAD"/>
    <w:rsid w:val="00A36615"/>
    <w:rsid w:val="00A41F1A"/>
    <w:rsid w:val="00A42756"/>
    <w:rsid w:val="00A42AF2"/>
    <w:rsid w:val="00A43AD8"/>
    <w:rsid w:val="00A4400F"/>
    <w:rsid w:val="00A44133"/>
    <w:rsid w:val="00A451FD"/>
    <w:rsid w:val="00A45DBD"/>
    <w:rsid w:val="00A469E5"/>
    <w:rsid w:val="00A46AE6"/>
    <w:rsid w:val="00A476D8"/>
    <w:rsid w:val="00A47AB9"/>
    <w:rsid w:val="00A5098E"/>
    <w:rsid w:val="00A50E29"/>
    <w:rsid w:val="00A51099"/>
    <w:rsid w:val="00A5125A"/>
    <w:rsid w:val="00A51B21"/>
    <w:rsid w:val="00A51FA5"/>
    <w:rsid w:val="00A52115"/>
    <w:rsid w:val="00A53625"/>
    <w:rsid w:val="00A53F51"/>
    <w:rsid w:val="00A54272"/>
    <w:rsid w:val="00A54D61"/>
    <w:rsid w:val="00A55D34"/>
    <w:rsid w:val="00A60CB5"/>
    <w:rsid w:val="00A63BC0"/>
    <w:rsid w:val="00A649AC"/>
    <w:rsid w:val="00A64BE7"/>
    <w:rsid w:val="00A65703"/>
    <w:rsid w:val="00A65934"/>
    <w:rsid w:val="00A67C42"/>
    <w:rsid w:val="00A70B89"/>
    <w:rsid w:val="00A723D3"/>
    <w:rsid w:val="00A72490"/>
    <w:rsid w:val="00A74701"/>
    <w:rsid w:val="00A7719C"/>
    <w:rsid w:val="00A779DF"/>
    <w:rsid w:val="00A81737"/>
    <w:rsid w:val="00A81927"/>
    <w:rsid w:val="00A83893"/>
    <w:rsid w:val="00A861C9"/>
    <w:rsid w:val="00A903DD"/>
    <w:rsid w:val="00A91F1F"/>
    <w:rsid w:val="00A94F4F"/>
    <w:rsid w:val="00A95759"/>
    <w:rsid w:val="00A970DC"/>
    <w:rsid w:val="00A972F5"/>
    <w:rsid w:val="00AA1CB3"/>
    <w:rsid w:val="00AA286F"/>
    <w:rsid w:val="00AA29D3"/>
    <w:rsid w:val="00AA6D70"/>
    <w:rsid w:val="00AA7015"/>
    <w:rsid w:val="00AB2E56"/>
    <w:rsid w:val="00AB3225"/>
    <w:rsid w:val="00AB3A2D"/>
    <w:rsid w:val="00AB4F1A"/>
    <w:rsid w:val="00AB5234"/>
    <w:rsid w:val="00AB5AEC"/>
    <w:rsid w:val="00AB643D"/>
    <w:rsid w:val="00AC00BC"/>
    <w:rsid w:val="00AC0B60"/>
    <w:rsid w:val="00AC233F"/>
    <w:rsid w:val="00AC2CAF"/>
    <w:rsid w:val="00AC4237"/>
    <w:rsid w:val="00AC5E26"/>
    <w:rsid w:val="00AC74AB"/>
    <w:rsid w:val="00AC7797"/>
    <w:rsid w:val="00AD0853"/>
    <w:rsid w:val="00AD10C7"/>
    <w:rsid w:val="00AD3ADF"/>
    <w:rsid w:val="00AD4734"/>
    <w:rsid w:val="00AD5FD5"/>
    <w:rsid w:val="00AD6DF6"/>
    <w:rsid w:val="00AD7153"/>
    <w:rsid w:val="00AE1EAD"/>
    <w:rsid w:val="00AE2CA2"/>
    <w:rsid w:val="00AE58DD"/>
    <w:rsid w:val="00AE59CC"/>
    <w:rsid w:val="00AE5F89"/>
    <w:rsid w:val="00AE79F6"/>
    <w:rsid w:val="00AF025C"/>
    <w:rsid w:val="00AF32BE"/>
    <w:rsid w:val="00AF5E2F"/>
    <w:rsid w:val="00AF77DB"/>
    <w:rsid w:val="00AF7EAD"/>
    <w:rsid w:val="00B073F5"/>
    <w:rsid w:val="00B10666"/>
    <w:rsid w:val="00B113A2"/>
    <w:rsid w:val="00B11DF8"/>
    <w:rsid w:val="00B13C62"/>
    <w:rsid w:val="00B13F71"/>
    <w:rsid w:val="00B1475D"/>
    <w:rsid w:val="00B17ABC"/>
    <w:rsid w:val="00B2037B"/>
    <w:rsid w:val="00B20B15"/>
    <w:rsid w:val="00B22520"/>
    <w:rsid w:val="00B2290E"/>
    <w:rsid w:val="00B232CC"/>
    <w:rsid w:val="00B2338B"/>
    <w:rsid w:val="00B23510"/>
    <w:rsid w:val="00B2464B"/>
    <w:rsid w:val="00B27726"/>
    <w:rsid w:val="00B30ECE"/>
    <w:rsid w:val="00B32737"/>
    <w:rsid w:val="00B33C33"/>
    <w:rsid w:val="00B34385"/>
    <w:rsid w:val="00B36987"/>
    <w:rsid w:val="00B37493"/>
    <w:rsid w:val="00B375A0"/>
    <w:rsid w:val="00B37BFD"/>
    <w:rsid w:val="00B4131B"/>
    <w:rsid w:val="00B41FD4"/>
    <w:rsid w:val="00B45F1F"/>
    <w:rsid w:val="00B4667A"/>
    <w:rsid w:val="00B46B21"/>
    <w:rsid w:val="00B50929"/>
    <w:rsid w:val="00B52079"/>
    <w:rsid w:val="00B53E22"/>
    <w:rsid w:val="00B5402E"/>
    <w:rsid w:val="00B55357"/>
    <w:rsid w:val="00B55A76"/>
    <w:rsid w:val="00B56AE1"/>
    <w:rsid w:val="00B57437"/>
    <w:rsid w:val="00B61FBC"/>
    <w:rsid w:val="00B63CA4"/>
    <w:rsid w:val="00B63D1C"/>
    <w:rsid w:val="00B64B12"/>
    <w:rsid w:val="00B674B2"/>
    <w:rsid w:val="00B70156"/>
    <w:rsid w:val="00B738D2"/>
    <w:rsid w:val="00B73929"/>
    <w:rsid w:val="00B73A44"/>
    <w:rsid w:val="00B73CAD"/>
    <w:rsid w:val="00B805D8"/>
    <w:rsid w:val="00B80A90"/>
    <w:rsid w:val="00B82F47"/>
    <w:rsid w:val="00B835AD"/>
    <w:rsid w:val="00B839F0"/>
    <w:rsid w:val="00B83C44"/>
    <w:rsid w:val="00B84585"/>
    <w:rsid w:val="00B87A2C"/>
    <w:rsid w:val="00B92479"/>
    <w:rsid w:val="00B92F4C"/>
    <w:rsid w:val="00B93E24"/>
    <w:rsid w:val="00B95B7F"/>
    <w:rsid w:val="00B96396"/>
    <w:rsid w:val="00B96810"/>
    <w:rsid w:val="00B973E9"/>
    <w:rsid w:val="00BA16C9"/>
    <w:rsid w:val="00BA2770"/>
    <w:rsid w:val="00BA2F8D"/>
    <w:rsid w:val="00BA4A1F"/>
    <w:rsid w:val="00BA5181"/>
    <w:rsid w:val="00BA51D3"/>
    <w:rsid w:val="00BA5DE5"/>
    <w:rsid w:val="00BB1BB8"/>
    <w:rsid w:val="00BB1D33"/>
    <w:rsid w:val="00BB27C3"/>
    <w:rsid w:val="00BB32CC"/>
    <w:rsid w:val="00BB5910"/>
    <w:rsid w:val="00BB5AB9"/>
    <w:rsid w:val="00BB5ED0"/>
    <w:rsid w:val="00BB625F"/>
    <w:rsid w:val="00BB6C97"/>
    <w:rsid w:val="00BB711C"/>
    <w:rsid w:val="00BC23C2"/>
    <w:rsid w:val="00BC3924"/>
    <w:rsid w:val="00BC5107"/>
    <w:rsid w:val="00BC785F"/>
    <w:rsid w:val="00BD0CCD"/>
    <w:rsid w:val="00BD19A2"/>
    <w:rsid w:val="00BD1D95"/>
    <w:rsid w:val="00BD3DBF"/>
    <w:rsid w:val="00BD5225"/>
    <w:rsid w:val="00BD6C04"/>
    <w:rsid w:val="00BE0482"/>
    <w:rsid w:val="00BE1E80"/>
    <w:rsid w:val="00BE300D"/>
    <w:rsid w:val="00BE40A2"/>
    <w:rsid w:val="00BE42C4"/>
    <w:rsid w:val="00BE6CC2"/>
    <w:rsid w:val="00BE6F91"/>
    <w:rsid w:val="00BE7C04"/>
    <w:rsid w:val="00BF01CB"/>
    <w:rsid w:val="00BF1882"/>
    <w:rsid w:val="00BF2896"/>
    <w:rsid w:val="00BF40A1"/>
    <w:rsid w:val="00BF4407"/>
    <w:rsid w:val="00BF544C"/>
    <w:rsid w:val="00C01087"/>
    <w:rsid w:val="00C01BC2"/>
    <w:rsid w:val="00C0293E"/>
    <w:rsid w:val="00C03B2F"/>
    <w:rsid w:val="00C03D5D"/>
    <w:rsid w:val="00C03E12"/>
    <w:rsid w:val="00C0649C"/>
    <w:rsid w:val="00C078CA"/>
    <w:rsid w:val="00C12B64"/>
    <w:rsid w:val="00C1328C"/>
    <w:rsid w:val="00C178E1"/>
    <w:rsid w:val="00C228B4"/>
    <w:rsid w:val="00C2329F"/>
    <w:rsid w:val="00C23318"/>
    <w:rsid w:val="00C23A3D"/>
    <w:rsid w:val="00C23E48"/>
    <w:rsid w:val="00C240F5"/>
    <w:rsid w:val="00C2688B"/>
    <w:rsid w:val="00C26DD3"/>
    <w:rsid w:val="00C2776E"/>
    <w:rsid w:val="00C3027F"/>
    <w:rsid w:val="00C30CF4"/>
    <w:rsid w:val="00C3180E"/>
    <w:rsid w:val="00C32417"/>
    <w:rsid w:val="00C334DE"/>
    <w:rsid w:val="00C334E4"/>
    <w:rsid w:val="00C34C0E"/>
    <w:rsid w:val="00C34E41"/>
    <w:rsid w:val="00C3501D"/>
    <w:rsid w:val="00C36844"/>
    <w:rsid w:val="00C37145"/>
    <w:rsid w:val="00C43CCC"/>
    <w:rsid w:val="00C44EE9"/>
    <w:rsid w:val="00C457BE"/>
    <w:rsid w:val="00C462A6"/>
    <w:rsid w:val="00C4649E"/>
    <w:rsid w:val="00C46CF8"/>
    <w:rsid w:val="00C50244"/>
    <w:rsid w:val="00C5074D"/>
    <w:rsid w:val="00C50831"/>
    <w:rsid w:val="00C53549"/>
    <w:rsid w:val="00C54021"/>
    <w:rsid w:val="00C54267"/>
    <w:rsid w:val="00C56C9A"/>
    <w:rsid w:val="00C56FCF"/>
    <w:rsid w:val="00C5756E"/>
    <w:rsid w:val="00C57845"/>
    <w:rsid w:val="00C61F57"/>
    <w:rsid w:val="00C651BB"/>
    <w:rsid w:val="00C65735"/>
    <w:rsid w:val="00C70F97"/>
    <w:rsid w:val="00C80BBD"/>
    <w:rsid w:val="00C827A6"/>
    <w:rsid w:val="00C82A91"/>
    <w:rsid w:val="00C8357B"/>
    <w:rsid w:val="00C8705D"/>
    <w:rsid w:val="00C907D6"/>
    <w:rsid w:val="00C90CB8"/>
    <w:rsid w:val="00C91FFE"/>
    <w:rsid w:val="00C931A2"/>
    <w:rsid w:val="00C9652A"/>
    <w:rsid w:val="00CA0197"/>
    <w:rsid w:val="00CA0565"/>
    <w:rsid w:val="00CA0C4F"/>
    <w:rsid w:val="00CA0FA2"/>
    <w:rsid w:val="00CA18CE"/>
    <w:rsid w:val="00CA1DAB"/>
    <w:rsid w:val="00CA43AE"/>
    <w:rsid w:val="00CA5D25"/>
    <w:rsid w:val="00CA7959"/>
    <w:rsid w:val="00CA7C0D"/>
    <w:rsid w:val="00CB01A5"/>
    <w:rsid w:val="00CB3D3B"/>
    <w:rsid w:val="00CB3EB5"/>
    <w:rsid w:val="00CB542D"/>
    <w:rsid w:val="00CB555D"/>
    <w:rsid w:val="00CB59D5"/>
    <w:rsid w:val="00CB5C7D"/>
    <w:rsid w:val="00CC3F9C"/>
    <w:rsid w:val="00CC56B1"/>
    <w:rsid w:val="00CC6214"/>
    <w:rsid w:val="00CC6DAD"/>
    <w:rsid w:val="00CC6FE9"/>
    <w:rsid w:val="00CD02EB"/>
    <w:rsid w:val="00CD167A"/>
    <w:rsid w:val="00CD177E"/>
    <w:rsid w:val="00CD22CC"/>
    <w:rsid w:val="00CD3162"/>
    <w:rsid w:val="00CD4832"/>
    <w:rsid w:val="00CD49B4"/>
    <w:rsid w:val="00CD53CB"/>
    <w:rsid w:val="00CD6E5B"/>
    <w:rsid w:val="00CD7402"/>
    <w:rsid w:val="00CD7743"/>
    <w:rsid w:val="00CE2651"/>
    <w:rsid w:val="00CE2B1D"/>
    <w:rsid w:val="00CE60C1"/>
    <w:rsid w:val="00CF0924"/>
    <w:rsid w:val="00CF0F34"/>
    <w:rsid w:val="00CF1D05"/>
    <w:rsid w:val="00CF3EAA"/>
    <w:rsid w:val="00CF68B1"/>
    <w:rsid w:val="00CF6D76"/>
    <w:rsid w:val="00CF757F"/>
    <w:rsid w:val="00D0289A"/>
    <w:rsid w:val="00D02BAE"/>
    <w:rsid w:val="00D02EBF"/>
    <w:rsid w:val="00D03FBC"/>
    <w:rsid w:val="00D040E0"/>
    <w:rsid w:val="00D069DE"/>
    <w:rsid w:val="00D0701E"/>
    <w:rsid w:val="00D10C36"/>
    <w:rsid w:val="00D14E63"/>
    <w:rsid w:val="00D1550E"/>
    <w:rsid w:val="00D15969"/>
    <w:rsid w:val="00D21D32"/>
    <w:rsid w:val="00D2338C"/>
    <w:rsid w:val="00D23D3E"/>
    <w:rsid w:val="00D24C9A"/>
    <w:rsid w:val="00D257EF"/>
    <w:rsid w:val="00D258F0"/>
    <w:rsid w:val="00D264DF"/>
    <w:rsid w:val="00D26742"/>
    <w:rsid w:val="00D2752B"/>
    <w:rsid w:val="00D275F9"/>
    <w:rsid w:val="00D3091C"/>
    <w:rsid w:val="00D322EF"/>
    <w:rsid w:val="00D33046"/>
    <w:rsid w:val="00D3428E"/>
    <w:rsid w:val="00D34B73"/>
    <w:rsid w:val="00D357A9"/>
    <w:rsid w:val="00D360DD"/>
    <w:rsid w:val="00D3778E"/>
    <w:rsid w:val="00D425EB"/>
    <w:rsid w:val="00D42AD5"/>
    <w:rsid w:val="00D432C4"/>
    <w:rsid w:val="00D4448A"/>
    <w:rsid w:val="00D44729"/>
    <w:rsid w:val="00D451A5"/>
    <w:rsid w:val="00D45AEC"/>
    <w:rsid w:val="00D46407"/>
    <w:rsid w:val="00D520B2"/>
    <w:rsid w:val="00D5211A"/>
    <w:rsid w:val="00D525FA"/>
    <w:rsid w:val="00D52BC2"/>
    <w:rsid w:val="00D52D38"/>
    <w:rsid w:val="00D537CF"/>
    <w:rsid w:val="00D54B0C"/>
    <w:rsid w:val="00D55ACD"/>
    <w:rsid w:val="00D57B75"/>
    <w:rsid w:val="00D60CD7"/>
    <w:rsid w:val="00D6265F"/>
    <w:rsid w:val="00D62D35"/>
    <w:rsid w:val="00D64A3F"/>
    <w:rsid w:val="00D64A54"/>
    <w:rsid w:val="00D64E60"/>
    <w:rsid w:val="00D66708"/>
    <w:rsid w:val="00D67F55"/>
    <w:rsid w:val="00D7094E"/>
    <w:rsid w:val="00D72A3E"/>
    <w:rsid w:val="00D73259"/>
    <w:rsid w:val="00D73B56"/>
    <w:rsid w:val="00D7511C"/>
    <w:rsid w:val="00D7533E"/>
    <w:rsid w:val="00D75603"/>
    <w:rsid w:val="00D756F9"/>
    <w:rsid w:val="00D8006F"/>
    <w:rsid w:val="00D80E69"/>
    <w:rsid w:val="00D8299E"/>
    <w:rsid w:val="00D82FDB"/>
    <w:rsid w:val="00D83710"/>
    <w:rsid w:val="00D8527E"/>
    <w:rsid w:val="00D8596C"/>
    <w:rsid w:val="00D85EA4"/>
    <w:rsid w:val="00D86813"/>
    <w:rsid w:val="00D86C3C"/>
    <w:rsid w:val="00D87C1B"/>
    <w:rsid w:val="00D9198F"/>
    <w:rsid w:val="00D9280D"/>
    <w:rsid w:val="00D93088"/>
    <w:rsid w:val="00D934CE"/>
    <w:rsid w:val="00D934F2"/>
    <w:rsid w:val="00D9485A"/>
    <w:rsid w:val="00D96130"/>
    <w:rsid w:val="00D96E3E"/>
    <w:rsid w:val="00D96F61"/>
    <w:rsid w:val="00D97FF5"/>
    <w:rsid w:val="00DA0683"/>
    <w:rsid w:val="00DA118F"/>
    <w:rsid w:val="00DA2A54"/>
    <w:rsid w:val="00DA421F"/>
    <w:rsid w:val="00DA55B4"/>
    <w:rsid w:val="00DA5BFA"/>
    <w:rsid w:val="00DA62C4"/>
    <w:rsid w:val="00DA6B60"/>
    <w:rsid w:val="00DB0334"/>
    <w:rsid w:val="00DB0448"/>
    <w:rsid w:val="00DB13BE"/>
    <w:rsid w:val="00DB175E"/>
    <w:rsid w:val="00DB2CAF"/>
    <w:rsid w:val="00DB2FA9"/>
    <w:rsid w:val="00DB5C31"/>
    <w:rsid w:val="00DC4BB9"/>
    <w:rsid w:val="00DC651D"/>
    <w:rsid w:val="00DC657E"/>
    <w:rsid w:val="00DD075F"/>
    <w:rsid w:val="00DD356A"/>
    <w:rsid w:val="00DD3CE8"/>
    <w:rsid w:val="00DD4EF1"/>
    <w:rsid w:val="00DD52E2"/>
    <w:rsid w:val="00DD5ABA"/>
    <w:rsid w:val="00DD6338"/>
    <w:rsid w:val="00DD7126"/>
    <w:rsid w:val="00DE04E6"/>
    <w:rsid w:val="00DE07DD"/>
    <w:rsid w:val="00DE1D8B"/>
    <w:rsid w:val="00DE2775"/>
    <w:rsid w:val="00DE33C8"/>
    <w:rsid w:val="00DE3E16"/>
    <w:rsid w:val="00DE4EBD"/>
    <w:rsid w:val="00DE4ED8"/>
    <w:rsid w:val="00DE628D"/>
    <w:rsid w:val="00DE6388"/>
    <w:rsid w:val="00DE673D"/>
    <w:rsid w:val="00DE7951"/>
    <w:rsid w:val="00DF15A0"/>
    <w:rsid w:val="00DF1DCD"/>
    <w:rsid w:val="00DF3229"/>
    <w:rsid w:val="00DF3CD1"/>
    <w:rsid w:val="00DF45F3"/>
    <w:rsid w:val="00DF57A9"/>
    <w:rsid w:val="00DF6F64"/>
    <w:rsid w:val="00DF7A89"/>
    <w:rsid w:val="00E003AE"/>
    <w:rsid w:val="00E021D4"/>
    <w:rsid w:val="00E022E9"/>
    <w:rsid w:val="00E02B55"/>
    <w:rsid w:val="00E03B65"/>
    <w:rsid w:val="00E03D66"/>
    <w:rsid w:val="00E06C05"/>
    <w:rsid w:val="00E074A1"/>
    <w:rsid w:val="00E07CC5"/>
    <w:rsid w:val="00E109D8"/>
    <w:rsid w:val="00E1138B"/>
    <w:rsid w:val="00E11BFE"/>
    <w:rsid w:val="00E156D9"/>
    <w:rsid w:val="00E16877"/>
    <w:rsid w:val="00E1742A"/>
    <w:rsid w:val="00E17831"/>
    <w:rsid w:val="00E20032"/>
    <w:rsid w:val="00E202AA"/>
    <w:rsid w:val="00E202E7"/>
    <w:rsid w:val="00E2136D"/>
    <w:rsid w:val="00E21E0D"/>
    <w:rsid w:val="00E2376D"/>
    <w:rsid w:val="00E23F65"/>
    <w:rsid w:val="00E26918"/>
    <w:rsid w:val="00E300BE"/>
    <w:rsid w:val="00E31827"/>
    <w:rsid w:val="00E33D97"/>
    <w:rsid w:val="00E34882"/>
    <w:rsid w:val="00E35584"/>
    <w:rsid w:val="00E359A3"/>
    <w:rsid w:val="00E3604F"/>
    <w:rsid w:val="00E369FC"/>
    <w:rsid w:val="00E40DCF"/>
    <w:rsid w:val="00E41D68"/>
    <w:rsid w:val="00E4305F"/>
    <w:rsid w:val="00E45334"/>
    <w:rsid w:val="00E46855"/>
    <w:rsid w:val="00E504DF"/>
    <w:rsid w:val="00E5182C"/>
    <w:rsid w:val="00E51AC7"/>
    <w:rsid w:val="00E52CCF"/>
    <w:rsid w:val="00E52E32"/>
    <w:rsid w:val="00E52F77"/>
    <w:rsid w:val="00E53514"/>
    <w:rsid w:val="00E539AB"/>
    <w:rsid w:val="00E54B5C"/>
    <w:rsid w:val="00E551A2"/>
    <w:rsid w:val="00E55C1F"/>
    <w:rsid w:val="00E56582"/>
    <w:rsid w:val="00E57159"/>
    <w:rsid w:val="00E5785A"/>
    <w:rsid w:val="00E6010D"/>
    <w:rsid w:val="00E603C3"/>
    <w:rsid w:val="00E618F3"/>
    <w:rsid w:val="00E66AC2"/>
    <w:rsid w:val="00E670F7"/>
    <w:rsid w:val="00E703B3"/>
    <w:rsid w:val="00E72C01"/>
    <w:rsid w:val="00E73DE1"/>
    <w:rsid w:val="00E74B83"/>
    <w:rsid w:val="00E74DA3"/>
    <w:rsid w:val="00E762A1"/>
    <w:rsid w:val="00E77B9E"/>
    <w:rsid w:val="00E80C95"/>
    <w:rsid w:val="00E80FBA"/>
    <w:rsid w:val="00E82831"/>
    <w:rsid w:val="00E838E2"/>
    <w:rsid w:val="00E84B5F"/>
    <w:rsid w:val="00E85751"/>
    <w:rsid w:val="00E86360"/>
    <w:rsid w:val="00E8716D"/>
    <w:rsid w:val="00E90915"/>
    <w:rsid w:val="00E91182"/>
    <w:rsid w:val="00E91CEE"/>
    <w:rsid w:val="00E91D2D"/>
    <w:rsid w:val="00E92735"/>
    <w:rsid w:val="00E946C0"/>
    <w:rsid w:val="00E94FFA"/>
    <w:rsid w:val="00E95FD3"/>
    <w:rsid w:val="00E97509"/>
    <w:rsid w:val="00E9774B"/>
    <w:rsid w:val="00EA0251"/>
    <w:rsid w:val="00EA2EC8"/>
    <w:rsid w:val="00EA3A62"/>
    <w:rsid w:val="00EA58F0"/>
    <w:rsid w:val="00EA6835"/>
    <w:rsid w:val="00EA6CE1"/>
    <w:rsid w:val="00EB065A"/>
    <w:rsid w:val="00EB15AF"/>
    <w:rsid w:val="00EB2176"/>
    <w:rsid w:val="00EB233D"/>
    <w:rsid w:val="00EB26F8"/>
    <w:rsid w:val="00EB3A1A"/>
    <w:rsid w:val="00EB3CAB"/>
    <w:rsid w:val="00EB5B36"/>
    <w:rsid w:val="00EB6095"/>
    <w:rsid w:val="00EB6B8E"/>
    <w:rsid w:val="00EB74D2"/>
    <w:rsid w:val="00EB792A"/>
    <w:rsid w:val="00EC2BDB"/>
    <w:rsid w:val="00EC2DF2"/>
    <w:rsid w:val="00EC6458"/>
    <w:rsid w:val="00EC6C73"/>
    <w:rsid w:val="00EC75FB"/>
    <w:rsid w:val="00ED02BC"/>
    <w:rsid w:val="00ED0CEC"/>
    <w:rsid w:val="00ED5287"/>
    <w:rsid w:val="00ED6358"/>
    <w:rsid w:val="00ED65C7"/>
    <w:rsid w:val="00EE0ABF"/>
    <w:rsid w:val="00EE1F4B"/>
    <w:rsid w:val="00EE53C4"/>
    <w:rsid w:val="00EE58D2"/>
    <w:rsid w:val="00EE6CDC"/>
    <w:rsid w:val="00EE763F"/>
    <w:rsid w:val="00EE7F2B"/>
    <w:rsid w:val="00EE7F38"/>
    <w:rsid w:val="00EF294E"/>
    <w:rsid w:val="00EF3332"/>
    <w:rsid w:val="00EF3939"/>
    <w:rsid w:val="00EF3EFD"/>
    <w:rsid w:val="00EF4F06"/>
    <w:rsid w:val="00EF5701"/>
    <w:rsid w:val="00EF5ADA"/>
    <w:rsid w:val="00EF694A"/>
    <w:rsid w:val="00EF7E0C"/>
    <w:rsid w:val="00F012D1"/>
    <w:rsid w:val="00F02350"/>
    <w:rsid w:val="00F0261E"/>
    <w:rsid w:val="00F02DDD"/>
    <w:rsid w:val="00F02F64"/>
    <w:rsid w:val="00F04AAC"/>
    <w:rsid w:val="00F05D8A"/>
    <w:rsid w:val="00F065AE"/>
    <w:rsid w:val="00F111A9"/>
    <w:rsid w:val="00F11A96"/>
    <w:rsid w:val="00F133F1"/>
    <w:rsid w:val="00F1416B"/>
    <w:rsid w:val="00F14B04"/>
    <w:rsid w:val="00F16F4C"/>
    <w:rsid w:val="00F20085"/>
    <w:rsid w:val="00F203AC"/>
    <w:rsid w:val="00F211ED"/>
    <w:rsid w:val="00F24180"/>
    <w:rsid w:val="00F25162"/>
    <w:rsid w:val="00F27865"/>
    <w:rsid w:val="00F3175A"/>
    <w:rsid w:val="00F31CB4"/>
    <w:rsid w:val="00F31E3A"/>
    <w:rsid w:val="00F34913"/>
    <w:rsid w:val="00F3798D"/>
    <w:rsid w:val="00F41149"/>
    <w:rsid w:val="00F41E71"/>
    <w:rsid w:val="00F4217F"/>
    <w:rsid w:val="00F42EA8"/>
    <w:rsid w:val="00F43035"/>
    <w:rsid w:val="00F45C9B"/>
    <w:rsid w:val="00F47295"/>
    <w:rsid w:val="00F47456"/>
    <w:rsid w:val="00F4758D"/>
    <w:rsid w:val="00F510B7"/>
    <w:rsid w:val="00F517F3"/>
    <w:rsid w:val="00F52922"/>
    <w:rsid w:val="00F548DC"/>
    <w:rsid w:val="00F554E3"/>
    <w:rsid w:val="00F56907"/>
    <w:rsid w:val="00F571E0"/>
    <w:rsid w:val="00F57249"/>
    <w:rsid w:val="00F57924"/>
    <w:rsid w:val="00F57FF1"/>
    <w:rsid w:val="00F61546"/>
    <w:rsid w:val="00F616C3"/>
    <w:rsid w:val="00F61CB5"/>
    <w:rsid w:val="00F62947"/>
    <w:rsid w:val="00F62E9C"/>
    <w:rsid w:val="00F64531"/>
    <w:rsid w:val="00F6528E"/>
    <w:rsid w:val="00F655A2"/>
    <w:rsid w:val="00F66B5C"/>
    <w:rsid w:val="00F72144"/>
    <w:rsid w:val="00F728E3"/>
    <w:rsid w:val="00F735A1"/>
    <w:rsid w:val="00F7550F"/>
    <w:rsid w:val="00F7655A"/>
    <w:rsid w:val="00F767DB"/>
    <w:rsid w:val="00F76DC2"/>
    <w:rsid w:val="00F776CB"/>
    <w:rsid w:val="00F77716"/>
    <w:rsid w:val="00F80260"/>
    <w:rsid w:val="00F83D5D"/>
    <w:rsid w:val="00F86D6E"/>
    <w:rsid w:val="00F873E2"/>
    <w:rsid w:val="00F901F0"/>
    <w:rsid w:val="00F92F0D"/>
    <w:rsid w:val="00F93EF8"/>
    <w:rsid w:val="00F9465E"/>
    <w:rsid w:val="00F94B29"/>
    <w:rsid w:val="00F95724"/>
    <w:rsid w:val="00F966F6"/>
    <w:rsid w:val="00FA1A77"/>
    <w:rsid w:val="00FA23EB"/>
    <w:rsid w:val="00FA36B9"/>
    <w:rsid w:val="00FA3A64"/>
    <w:rsid w:val="00FA4BB9"/>
    <w:rsid w:val="00FA4CF5"/>
    <w:rsid w:val="00FA557E"/>
    <w:rsid w:val="00FB1039"/>
    <w:rsid w:val="00FB1FF9"/>
    <w:rsid w:val="00FB6FDF"/>
    <w:rsid w:val="00FC02D5"/>
    <w:rsid w:val="00FC3CF1"/>
    <w:rsid w:val="00FC5435"/>
    <w:rsid w:val="00FC5837"/>
    <w:rsid w:val="00FC5D03"/>
    <w:rsid w:val="00FC6055"/>
    <w:rsid w:val="00FD1A0F"/>
    <w:rsid w:val="00FD2383"/>
    <w:rsid w:val="00FD36CD"/>
    <w:rsid w:val="00FD529F"/>
    <w:rsid w:val="00FD59B0"/>
    <w:rsid w:val="00FD5A9A"/>
    <w:rsid w:val="00FD7464"/>
    <w:rsid w:val="00FD7A5D"/>
    <w:rsid w:val="00FE317B"/>
    <w:rsid w:val="00FE436E"/>
    <w:rsid w:val="00FF0E21"/>
    <w:rsid w:val="00FF0E92"/>
    <w:rsid w:val="00FF264E"/>
    <w:rsid w:val="00FF2E3D"/>
    <w:rsid w:val="00FF5AFD"/>
    <w:rsid w:val="00FF5E9E"/>
    <w:rsid w:val="00FF7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9977"/>
  <w15:chartTrackingRefBased/>
  <w15:docId w15:val="{6D672D15-A6AB-4710-B6B4-323C81F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3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2E32DF"/>
    <w:pPr>
      <w:spacing w:after="200" w:line="240" w:lineRule="auto"/>
    </w:pPr>
    <w:rPr>
      <w:i/>
      <w:iCs/>
      <w:color w:val="44546A" w:themeColor="text2"/>
      <w:sz w:val="18"/>
      <w:szCs w:val="18"/>
    </w:rPr>
  </w:style>
  <w:style w:type="table" w:styleId="TableauGrille6Couleur-Accentuation5">
    <w:name w:val="Grid Table 6 Colorful Accent 5"/>
    <w:basedOn w:val="TableauNormal"/>
    <w:uiPriority w:val="51"/>
    <w:rsid w:val="002E32D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claire">
    <w:name w:val="Light List"/>
    <w:basedOn w:val="TableauNormal"/>
    <w:uiPriority w:val="61"/>
    <w:rsid w:val="00D34B7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B073F5"/>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fontstyle01">
    <w:name w:val="fontstyle01"/>
    <w:basedOn w:val="Policepardfaut"/>
    <w:qFormat/>
    <w:rsid w:val="00B073F5"/>
    <w:rPr>
      <w:rFonts w:ascii="TimesNewRomanPSMT" w:hAnsi="TimesNewRomanPSMT" w:hint="default"/>
      <w:b w:val="0"/>
      <w:bCs w:val="0"/>
      <w:i w:val="0"/>
      <w:iCs w:val="0"/>
      <w:color w:val="000000"/>
      <w:sz w:val="24"/>
      <w:szCs w:val="24"/>
    </w:rPr>
  </w:style>
  <w:style w:type="character" w:customStyle="1" w:styleId="markedcontent">
    <w:name w:val="markedcontent"/>
    <w:basedOn w:val="Policepardfaut"/>
    <w:rsid w:val="00B073F5"/>
  </w:style>
  <w:style w:type="character" w:customStyle="1" w:styleId="fontstyle21">
    <w:name w:val="fontstyle21"/>
    <w:basedOn w:val="Policepardfaut"/>
    <w:rsid w:val="00B073F5"/>
    <w:rPr>
      <w:rFonts w:ascii="T44" w:hAnsi="T44" w:hint="default"/>
      <w:b w:val="0"/>
      <w:bCs w:val="0"/>
      <w:i w:val="0"/>
      <w:iCs w:val="0"/>
      <w:color w:val="000000"/>
      <w:sz w:val="14"/>
      <w:szCs w:val="14"/>
    </w:rPr>
  </w:style>
  <w:style w:type="table" w:styleId="Grilledetableauclaire">
    <w:name w:val="Grid Table Light"/>
    <w:basedOn w:val="TableauNormal"/>
    <w:uiPriority w:val="40"/>
    <w:rsid w:val="00B073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link w:val="ParagraphedelisteCar"/>
    <w:uiPriority w:val="34"/>
    <w:qFormat/>
    <w:rsid w:val="00C3180E"/>
    <w:pPr>
      <w:ind w:left="720"/>
      <w:contextualSpacing/>
    </w:pPr>
  </w:style>
  <w:style w:type="paragraph" w:styleId="En-tte">
    <w:name w:val="header"/>
    <w:basedOn w:val="Normal"/>
    <w:link w:val="En-tteCar"/>
    <w:uiPriority w:val="99"/>
    <w:unhideWhenUsed/>
    <w:rsid w:val="000C297E"/>
    <w:pPr>
      <w:tabs>
        <w:tab w:val="center" w:pos="4536"/>
        <w:tab w:val="right" w:pos="9072"/>
      </w:tabs>
      <w:spacing w:after="0" w:line="240" w:lineRule="auto"/>
    </w:pPr>
  </w:style>
  <w:style w:type="character" w:customStyle="1" w:styleId="En-tteCar">
    <w:name w:val="En-tête Car"/>
    <w:basedOn w:val="Policepardfaut"/>
    <w:link w:val="En-tte"/>
    <w:uiPriority w:val="99"/>
    <w:rsid w:val="000C297E"/>
  </w:style>
  <w:style w:type="paragraph" w:styleId="Pieddepage">
    <w:name w:val="footer"/>
    <w:basedOn w:val="Normal"/>
    <w:link w:val="PieddepageCar"/>
    <w:uiPriority w:val="99"/>
    <w:unhideWhenUsed/>
    <w:rsid w:val="000C2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97E"/>
  </w:style>
  <w:style w:type="character" w:styleId="Textedelespacerserv">
    <w:name w:val="Placeholder Text"/>
    <w:basedOn w:val="Policepardfaut"/>
    <w:uiPriority w:val="99"/>
    <w:semiHidden/>
    <w:rsid w:val="0035688B"/>
    <w:rPr>
      <w:color w:val="808080"/>
    </w:rPr>
  </w:style>
  <w:style w:type="character" w:styleId="lev">
    <w:name w:val="Strong"/>
    <w:basedOn w:val="Policepardfaut"/>
    <w:uiPriority w:val="22"/>
    <w:qFormat/>
    <w:rsid w:val="00FA557E"/>
    <w:rPr>
      <w:b/>
      <w:bCs/>
    </w:rPr>
  </w:style>
  <w:style w:type="character" w:styleId="Accentuation">
    <w:name w:val="Emphasis"/>
    <w:basedOn w:val="Policepardfaut"/>
    <w:uiPriority w:val="20"/>
    <w:qFormat/>
    <w:rsid w:val="00FA557E"/>
    <w:rPr>
      <w:i/>
      <w:iCs/>
    </w:rPr>
  </w:style>
  <w:style w:type="character" w:styleId="Lienhypertexte">
    <w:name w:val="Hyperlink"/>
    <w:basedOn w:val="Policepardfaut"/>
    <w:uiPriority w:val="99"/>
    <w:unhideWhenUsed/>
    <w:rsid w:val="00E91182"/>
    <w:rPr>
      <w:color w:val="0000FF"/>
      <w:u w:val="single"/>
    </w:rPr>
  </w:style>
  <w:style w:type="character" w:styleId="Numrodeligne">
    <w:name w:val="line number"/>
    <w:basedOn w:val="Policepardfaut"/>
    <w:uiPriority w:val="99"/>
    <w:semiHidden/>
    <w:unhideWhenUsed/>
    <w:rsid w:val="00B30ECE"/>
  </w:style>
  <w:style w:type="character" w:customStyle="1" w:styleId="ParagraphedelisteCar">
    <w:name w:val="Paragraphe de liste Car"/>
    <w:link w:val="Paragraphedeliste"/>
    <w:uiPriority w:val="1"/>
    <w:rsid w:val="00C03B2F"/>
  </w:style>
  <w:style w:type="paragraph" w:styleId="Textedebulles">
    <w:name w:val="Balloon Text"/>
    <w:basedOn w:val="Normal"/>
    <w:link w:val="TextedebullesCar"/>
    <w:uiPriority w:val="99"/>
    <w:semiHidden/>
    <w:unhideWhenUsed/>
    <w:rsid w:val="00A9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1F1F"/>
    <w:rPr>
      <w:rFonts w:ascii="Segoe UI" w:hAnsi="Segoe UI" w:cs="Segoe UI"/>
      <w:sz w:val="18"/>
      <w:szCs w:val="18"/>
    </w:rPr>
  </w:style>
  <w:style w:type="character" w:customStyle="1" w:styleId="UnresolvedMention">
    <w:name w:val="Unresolved Mention"/>
    <w:basedOn w:val="Policepardfaut"/>
    <w:uiPriority w:val="99"/>
    <w:semiHidden/>
    <w:unhideWhenUsed/>
    <w:rsid w:val="002E4B0D"/>
    <w:rPr>
      <w:color w:val="605E5C"/>
      <w:shd w:val="clear" w:color="auto" w:fill="E1DFDD"/>
    </w:rPr>
  </w:style>
  <w:style w:type="paragraph" w:styleId="Notedebasdepage">
    <w:name w:val="footnote text"/>
    <w:basedOn w:val="Normal"/>
    <w:link w:val="NotedebasdepageCar"/>
    <w:uiPriority w:val="99"/>
    <w:semiHidden/>
    <w:unhideWhenUsed/>
    <w:rsid w:val="004B28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28CD"/>
    <w:rPr>
      <w:sz w:val="20"/>
      <w:szCs w:val="20"/>
    </w:rPr>
  </w:style>
  <w:style w:type="character" w:styleId="Appelnotedebasdep">
    <w:name w:val="footnote reference"/>
    <w:basedOn w:val="Policepardfaut"/>
    <w:uiPriority w:val="99"/>
    <w:semiHidden/>
    <w:unhideWhenUsed/>
    <w:rsid w:val="004B28CD"/>
    <w:rPr>
      <w:vertAlign w:val="superscript"/>
    </w:rPr>
  </w:style>
  <w:style w:type="character" w:styleId="Marquedecommentaire">
    <w:name w:val="annotation reference"/>
    <w:basedOn w:val="Policepardfaut"/>
    <w:uiPriority w:val="99"/>
    <w:semiHidden/>
    <w:unhideWhenUsed/>
    <w:rsid w:val="00885888"/>
    <w:rPr>
      <w:sz w:val="16"/>
      <w:szCs w:val="16"/>
    </w:rPr>
  </w:style>
  <w:style w:type="paragraph" w:styleId="Commentaire">
    <w:name w:val="annotation text"/>
    <w:basedOn w:val="Normal"/>
    <w:link w:val="CommentaireCar"/>
    <w:uiPriority w:val="99"/>
    <w:semiHidden/>
    <w:unhideWhenUsed/>
    <w:rsid w:val="00885888"/>
    <w:pPr>
      <w:spacing w:line="240" w:lineRule="auto"/>
    </w:pPr>
    <w:rPr>
      <w:sz w:val="20"/>
      <w:szCs w:val="20"/>
    </w:rPr>
  </w:style>
  <w:style w:type="character" w:customStyle="1" w:styleId="CommentaireCar">
    <w:name w:val="Commentaire Car"/>
    <w:basedOn w:val="Policepardfaut"/>
    <w:link w:val="Commentaire"/>
    <w:uiPriority w:val="99"/>
    <w:semiHidden/>
    <w:rsid w:val="00885888"/>
    <w:rPr>
      <w:sz w:val="20"/>
      <w:szCs w:val="20"/>
    </w:rPr>
  </w:style>
  <w:style w:type="paragraph" w:styleId="Objetducommentaire">
    <w:name w:val="annotation subject"/>
    <w:basedOn w:val="Commentaire"/>
    <w:next w:val="Commentaire"/>
    <w:link w:val="ObjetducommentaireCar"/>
    <w:uiPriority w:val="99"/>
    <w:semiHidden/>
    <w:unhideWhenUsed/>
    <w:rsid w:val="00885888"/>
    <w:rPr>
      <w:b/>
      <w:bCs/>
    </w:rPr>
  </w:style>
  <w:style w:type="character" w:customStyle="1" w:styleId="ObjetducommentaireCar">
    <w:name w:val="Objet du commentaire Car"/>
    <w:basedOn w:val="CommentaireCar"/>
    <w:link w:val="Objetducommentaire"/>
    <w:uiPriority w:val="99"/>
    <w:semiHidden/>
    <w:rsid w:val="00885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403">
      <w:bodyDiv w:val="1"/>
      <w:marLeft w:val="0"/>
      <w:marRight w:val="0"/>
      <w:marTop w:val="0"/>
      <w:marBottom w:val="0"/>
      <w:divBdr>
        <w:top w:val="none" w:sz="0" w:space="0" w:color="auto"/>
        <w:left w:val="none" w:sz="0" w:space="0" w:color="auto"/>
        <w:bottom w:val="none" w:sz="0" w:space="0" w:color="auto"/>
        <w:right w:val="none" w:sz="0" w:space="0" w:color="auto"/>
      </w:divBdr>
      <w:divsChild>
        <w:div w:id="614596975">
          <w:marLeft w:val="0"/>
          <w:marRight w:val="0"/>
          <w:marTop w:val="0"/>
          <w:marBottom w:val="0"/>
          <w:divBdr>
            <w:top w:val="none" w:sz="0" w:space="0" w:color="auto"/>
            <w:left w:val="none" w:sz="0" w:space="0" w:color="auto"/>
            <w:bottom w:val="none" w:sz="0" w:space="0" w:color="auto"/>
            <w:right w:val="none" w:sz="0" w:space="0" w:color="auto"/>
          </w:divBdr>
          <w:divsChild>
            <w:div w:id="1243175393">
              <w:marLeft w:val="0"/>
              <w:marRight w:val="0"/>
              <w:marTop w:val="0"/>
              <w:marBottom w:val="0"/>
              <w:divBdr>
                <w:top w:val="none" w:sz="0" w:space="0" w:color="auto"/>
                <w:left w:val="none" w:sz="0" w:space="0" w:color="auto"/>
                <w:bottom w:val="none" w:sz="0" w:space="0" w:color="auto"/>
                <w:right w:val="none" w:sz="0" w:space="0" w:color="auto"/>
              </w:divBdr>
              <w:divsChild>
                <w:div w:id="8198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579">
      <w:bodyDiv w:val="1"/>
      <w:marLeft w:val="0"/>
      <w:marRight w:val="0"/>
      <w:marTop w:val="0"/>
      <w:marBottom w:val="0"/>
      <w:divBdr>
        <w:top w:val="none" w:sz="0" w:space="0" w:color="auto"/>
        <w:left w:val="none" w:sz="0" w:space="0" w:color="auto"/>
        <w:bottom w:val="none" w:sz="0" w:space="0" w:color="auto"/>
        <w:right w:val="none" w:sz="0" w:space="0" w:color="auto"/>
      </w:divBdr>
      <w:divsChild>
        <w:div w:id="78060339">
          <w:marLeft w:val="0"/>
          <w:marRight w:val="0"/>
          <w:marTop w:val="0"/>
          <w:marBottom w:val="0"/>
          <w:divBdr>
            <w:top w:val="none" w:sz="0" w:space="0" w:color="auto"/>
            <w:left w:val="none" w:sz="0" w:space="0" w:color="auto"/>
            <w:bottom w:val="none" w:sz="0" w:space="0" w:color="auto"/>
            <w:right w:val="none" w:sz="0" w:space="0" w:color="auto"/>
          </w:divBdr>
          <w:divsChild>
            <w:div w:id="2001494827">
              <w:marLeft w:val="0"/>
              <w:marRight w:val="0"/>
              <w:marTop w:val="0"/>
              <w:marBottom w:val="0"/>
              <w:divBdr>
                <w:top w:val="none" w:sz="0" w:space="0" w:color="auto"/>
                <w:left w:val="none" w:sz="0" w:space="0" w:color="auto"/>
                <w:bottom w:val="none" w:sz="0" w:space="0" w:color="auto"/>
                <w:right w:val="none" w:sz="0" w:space="0" w:color="auto"/>
              </w:divBdr>
              <w:divsChild>
                <w:div w:id="1920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334">
      <w:bodyDiv w:val="1"/>
      <w:marLeft w:val="0"/>
      <w:marRight w:val="0"/>
      <w:marTop w:val="0"/>
      <w:marBottom w:val="0"/>
      <w:divBdr>
        <w:top w:val="none" w:sz="0" w:space="0" w:color="auto"/>
        <w:left w:val="none" w:sz="0" w:space="0" w:color="auto"/>
        <w:bottom w:val="none" w:sz="0" w:space="0" w:color="auto"/>
        <w:right w:val="none" w:sz="0" w:space="0" w:color="auto"/>
      </w:divBdr>
      <w:divsChild>
        <w:div w:id="2069763737">
          <w:marLeft w:val="0"/>
          <w:marRight w:val="0"/>
          <w:marTop w:val="0"/>
          <w:marBottom w:val="0"/>
          <w:divBdr>
            <w:top w:val="none" w:sz="0" w:space="0" w:color="auto"/>
            <w:left w:val="none" w:sz="0" w:space="0" w:color="auto"/>
            <w:bottom w:val="none" w:sz="0" w:space="0" w:color="auto"/>
            <w:right w:val="none" w:sz="0" w:space="0" w:color="auto"/>
          </w:divBdr>
          <w:divsChild>
            <w:div w:id="653988728">
              <w:marLeft w:val="0"/>
              <w:marRight w:val="0"/>
              <w:marTop w:val="0"/>
              <w:marBottom w:val="0"/>
              <w:divBdr>
                <w:top w:val="none" w:sz="0" w:space="0" w:color="auto"/>
                <w:left w:val="none" w:sz="0" w:space="0" w:color="auto"/>
                <w:bottom w:val="none" w:sz="0" w:space="0" w:color="auto"/>
                <w:right w:val="none" w:sz="0" w:space="0" w:color="auto"/>
              </w:divBdr>
              <w:divsChild>
                <w:div w:id="1152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4983">
      <w:bodyDiv w:val="1"/>
      <w:marLeft w:val="0"/>
      <w:marRight w:val="0"/>
      <w:marTop w:val="0"/>
      <w:marBottom w:val="0"/>
      <w:divBdr>
        <w:top w:val="none" w:sz="0" w:space="0" w:color="auto"/>
        <w:left w:val="none" w:sz="0" w:space="0" w:color="auto"/>
        <w:bottom w:val="none" w:sz="0" w:space="0" w:color="auto"/>
        <w:right w:val="none" w:sz="0" w:space="0" w:color="auto"/>
      </w:divBdr>
      <w:divsChild>
        <w:div w:id="803426096">
          <w:marLeft w:val="0"/>
          <w:marRight w:val="0"/>
          <w:marTop w:val="0"/>
          <w:marBottom w:val="0"/>
          <w:divBdr>
            <w:top w:val="none" w:sz="0" w:space="0" w:color="auto"/>
            <w:left w:val="none" w:sz="0" w:space="0" w:color="auto"/>
            <w:bottom w:val="none" w:sz="0" w:space="0" w:color="auto"/>
            <w:right w:val="none" w:sz="0" w:space="0" w:color="auto"/>
          </w:divBdr>
          <w:divsChild>
            <w:div w:id="552931534">
              <w:marLeft w:val="0"/>
              <w:marRight w:val="0"/>
              <w:marTop w:val="0"/>
              <w:marBottom w:val="0"/>
              <w:divBdr>
                <w:top w:val="none" w:sz="0" w:space="0" w:color="auto"/>
                <w:left w:val="none" w:sz="0" w:space="0" w:color="auto"/>
                <w:bottom w:val="none" w:sz="0" w:space="0" w:color="auto"/>
                <w:right w:val="none" w:sz="0" w:space="0" w:color="auto"/>
              </w:divBdr>
              <w:divsChild>
                <w:div w:id="16808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6625">
      <w:bodyDiv w:val="1"/>
      <w:marLeft w:val="0"/>
      <w:marRight w:val="0"/>
      <w:marTop w:val="0"/>
      <w:marBottom w:val="0"/>
      <w:divBdr>
        <w:top w:val="none" w:sz="0" w:space="0" w:color="auto"/>
        <w:left w:val="none" w:sz="0" w:space="0" w:color="auto"/>
        <w:bottom w:val="none" w:sz="0" w:space="0" w:color="auto"/>
        <w:right w:val="none" w:sz="0" w:space="0" w:color="auto"/>
      </w:divBdr>
      <w:divsChild>
        <w:div w:id="1533686577">
          <w:marLeft w:val="0"/>
          <w:marRight w:val="0"/>
          <w:marTop w:val="0"/>
          <w:marBottom w:val="0"/>
          <w:divBdr>
            <w:top w:val="none" w:sz="0" w:space="0" w:color="auto"/>
            <w:left w:val="none" w:sz="0" w:space="0" w:color="auto"/>
            <w:bottom w:val="none" w:sz="0" w:space="0" w:color="auto"/>
            <w:right w:val="none" w:sz="0" w:space="0" w:color="auto"/>
          </w:divBdr>
          <w:divsChild>
            <w:div w:id="416824096">
              <w:marLeft w:val="0"/>
              <w:marRight w:val="0"/>
              <w:marTop w:val="0"/>
              <w:marBottom w:val="0"/>
              <w:divBdr>
                <w:top w:val="none" w:sz="0" w:space="0" w:color="auto"/>
                <w:left w:val="none" w:sz="0" w:space="0" w:color="auto"/>
                <w:bottom w:val="none" w:sz="0" w:space="0" w:color="auto"/>
                <w:right w:val="none" w:sz="0" w:space="0" w:color="auto"/>
              </w:divBdr>
              <w:divsChild>
                <w:div w:id="11868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3054">
      <w:bodyDiv w:val="1"/>
      <w:marLeft w:val="0"/>
      <w:marRight w:val="0"/>
      <w:marTop w:val="0"/>
      <w:marBottom w:val="0"/>
      <w:divBdr>
        <w:top w:val="none" w:sz="0" w:space="0" w:color="auto"/>
        <w:left w:val="none" w:sz="0" w:space="0" w:color="auto"/>
        <w:bottom w:val="none" w:sz="0" w:space="0" w:color="auto"/>
        <w:right w:val="none" w:sz="0" w:space="0" w:color="auto"/>
      </w:divBdr>
      <w:divsChild>
        <w:div w:id="550700666">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7439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1450">
      <w:bodyDiv w:val="1"/>
      <w:marLeft w:val="0"/>
      <w:marRight w:val="0"/>
      <w:marTop w:val="0"/>
      <w:marBottom w:val="0"/>
      <w:divBdr>
        <w:top w:val="none" w:sz="0" w:space="0" w:color="auto"/>
        <w:left w:val="none" w:sz="0" w:space="0" w:color="auto"/>
        <w:bottom w:val="none" w:sz="0" w:space="0" w:color="auto"/>
        <w:right w:val="none" w:sz="0" w:space="0" w:color="auto"/>
      </w:divBdr>
      <w:divsChild>
        <w:div w:id="1329359746">
          <w:marLeft w:val="0"/>
          <w:marRight w:val="0"/>
          <w:marTop w:val="0"/>
          <w:marBottom w:val="0"/>
          <w:divBdr>
            <w:top w:val="none" w:sz="0" w:space="0" w:color="auto"/>
            <w:left w:val="none" w:sz="0" w:space="0" w:color="auto"/>
            <w:bottom w:val="none" w:sz="0" w:space="0" w:color="auto"/>
            <w:right w:val="none" w:sz="0" w:space="0" w:color="auto"/>
          </w:divBdr>
          <w:divsChild>
            <w:div w:id="1393699611">
              <w:marLeft w:val="0"/>
              <w:marRight w:val="0"/>
              <w:marTop w:val="0"/>
              <w:marBottom w:val="0"/>
              <w:divBdr>
                <w:top w:val="none" w:sz="0" w:space="0" w:color="auto"/>
                <w:left w:val="none" w:sz="0" w:space="0" w:color="auto"/>
                <w:bottom w:val="none" w:sz="0" w:space="0" w:color="auto"/>
                <w:right w:val="none" w:sz="0" w:space="0" w:color="auto"/>
              </w:divBdr>
              <w:divsChild>
                <w:div w:id="12800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1447">
      <w:bodyDiv w:val="1"/>
      <w:marLeft w:val="0"/>
      <w:marRight w:val="0"/>
      <w:marTop w:val="0"/>
      <w:marBottom w:val="0"/>
      <w:divBdr>
        <w:top w:val="none" w:sz="0" w:space="0" w:color="auto"/>
        <w:left w:val="none" w:sz="0" w:space="0" w:color="auto"/>
        <w:bottom w:val="none" w:sz="0" w:space="0" w:color="auto"/>
        <w:right w:val="none" w:sz="0" w:space="0" w:color="auto"/>
      </w:divBdr>
      <w:divsChild>
        <w:div w:id="2125147283">
          <w:marLeft w:val="0"/>
          <w:marRight w:val="0"/>
          <w:marTop w:val="0"/>
          <w:marBottom w:val="0"/>
          <w:divBdr>
            <w:top w:val="none" w:sz="0" w:space="0" w:color="auto"/>
            <w:left w:val="none" w:sz="0" w:space="0" w:color="auto"/>
            <w:bottom w:val="none" w:sz="0" w:space="0" w:color="auto"/>
            <w:right w:val="none" w:sz="0" w:space="0" w:color="auto"/>
          </w:divBdr>
          <w:divsChild>
            <w:div w:id="1839612078">
              <w:marLeft w:val="0"/>
              <w:marRight w:val="0"/>
              <w:marTop w:val="0"/>
              <w:marBottom w:val="0"/>
              <w:divBdr>
                <w:top w:val="none" w:sz="0" w:space="0" w:color="auto"/>
                <w:left w:val="none" w:sz="0" w:space="0" w:color="auto"/>
                <w:bottom w:val="none" w:sz="0" w:space="0" w:color="auto"/>
                <w:right w:val="none" w:sz="0" w:space="0" w:color="auto"/>
              </w:divBdr>
              <w:divsChild>
                <w:div w:id="7810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8302">
      <w:bodyDiv w:val="1"/>
      <w:marLeft w:val="0"/>
      <w:marRight w:val="0"/>
      <w:marTop w:val="0"/>
      <w:marBottom w:val="0"/>
      <w:divBdr>
        <w:top w:val="none" w:sz="0" w:space="0" w:color="auto"/>
        <w:left w:val="none" w:sz="0" w:space="0" w:color="auto"/>
        <w:bottom w:val="none" w:sz="0" w:space="0" w:color="auto"/>
        <w:right w:val="none" w:sz="0" w:space="0" w:color="auto"/>
      </w:divBdr>
      <w:divsChild>
        <w:div w:id="1139036986">
          <w:marLeft w:val="0"/>
          <w:marRight w:val="0"/>
          <w:marTop w:val="0"/>
          <w:marBottom w:val="0"/>
          <w:divBdr>
            <w:top w:val="none" w:sz="0" w:space="0" w:color="auto"/>
            <w:left w:val="none" w:sz="0" w:space="0" w:color="auto"/>
            <w:bottom w:val="none" w:sz="0" w:space="0" w:color="auto"/>
            <w:right w:val="none" w:sz="0" w:space="0" w:color="auto"/>
          </w:divBdr>
          <w:divsChild>
            <w:div w:id="1615671104">
              <w:marLeft w:val="0"/>
              <w:marRight w:val="0"/>
              <w:marTop w:val="0"/>
              <w:marBottom w:val="0"/>
              <w:divBdr>
                <w:top w:val="none" w:sz="0" w:space="0" w:color="auto"/>
                <w:left w:val="none" w:sz="0" w:space="0" w:color="auto"/>
                <w:bottom w:val="none" w:sz="0" w:space="0" w:color="auto"/>
                <w:right w:val="none" w:sz="0" w:space="0" w:color="auto"/>
              </w:divBdr>
              <w:divsChild>
                <w:div w:id="7338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447">
      <w:bodyDiv w:val="1"/>
      <w:marLeft w:val="0"/>
      <w:marRight w:val="0"/>
      <w:marTop w:val="0"/>
      <w:marBottom w:val="0"/>
      <w:divBdr>
        <w:top w:val="none" w:sz="0" w:space="0" w:color="auto"/>
        <w:left w:val="none" w:sz="0" w:space="0" w:color="auto"/>
        <w:bottom w:val="none" w:sz="0" w:space="0" w:color="auto"/>
        <w:right w:val="none" w:sz="0" w:space="0" w:color="auto"/>
      </w:divBdr>
      <w:divsChild>
        <w:div w:id="1897083120">
          <w:marLeft w:val="0"/>
          <w:marRight w:val="0"/>
          <w:marTop w:val="0"/>
          <w:marBottom w:val="0"/>
          <w:divBdr>
            <w:top w:val="none" w:sz="0" w:space="0" w:color="auto"/>
            <w:left w:val="none" w:sz="0" w:space="0" w:color="auto"/>
            <w:bottom w:val="none" w:sz="0" w:space="0" w:color="auto"/>
            <w:right w:val="none" w:sz="0" w:space="0" w:color="auto"/>
          </w:divBdr>
          <w:divsChild>
            <w:div w:id="359674189">
              <w:marLeft w:val="0"/>
              <w:marRight w:val="0"/>
              <w:marTop w:val="0"/>
              <w:marBottom w:val="0"/>
              <w:divBdr>
                <w:top w:val="none" w:sz="0" w:space="0" w:color="auto"/>
                <w:left w:val="none" w:sz="0" w:space="0" w:color="auto"/>
                <w:bottom w:val="none" w:sz="0" w:space="0" w:color="auto"/>
                <w:right w:val="none" w:sz="0" w:space="0" w:color="auto"/>
              </w:divBdr>
              <w:divsChild>
                <w:div w:id="988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963">
      <w:bodyDiv w:val="1"/>
      <w:marLeft w:val="0"/>
      <w:marRight w:val="0"/>
      <w:marTop w:val="0"/>
      <w:marBottom w:val="0"/>
      <w:divBdr>
        <w:top w:val="none" w:sz="0" w:space="0" w:color="auto"/>
        <w:left w:val="none" w:sz="0" w:space="0" w:color="auto"/>
        <w:bottom w:val="none" w:sz="0" w:space="0" w:color="auto"/>
        <w:right w:val="none" w:sz="0" w:space="0" w:color="auto"/>
      </w:divBdr>
    </w:div>
    <w:div w:id="287665421">
      <w:bodyDiv w:val="1"/>
      <w:marLeft w:val="0"/>
      <w:marRight w:val="0"/>
      <w:marTop w:val="0"/>
      <w:marBottom w:val="0"/>
      <w:divBdr>
        <w:top w:val="none" w:sz="0" w:space="0" w:color="auto"/>
        <w:left w:val="none" w:sz="0" w:space="0" w:color="auto"/>
        <w:bottom w:val="none" w:sz="0" w:space="0" w:color="auto"/>
        <w:right w:val="none" w:sz="0" w:space="0" w:color="auto"/>
      </w:divBdr>
      <w:divsChild>
        <w:div w:id="1805654415">
          <w:marLeft w:val="0"/>
          <w:marRight w:val="0"/>
          <w:marTop w:val="0"/>
          <w:marBottom w:val="0"/>
          <w:divBdr>
            <w:top w:val="none" w:sz="0" w:space="0" w:color="auto"/>
            <w:left w:val="none" w:sz="0" w:space="0" w:color="auto"/>
            <w:bottom w:val="none" w:sz="0" w:space="0" w:color="auto"/>
            <w:right w:val="none" w:sz="0" w:space="0" w:color="auto"/>
          </w:divBdr>
          <w:divsChild>
            <w:div w:id="101075239">
              <w:marLeft w:val="0"/>
              <w:marRight w:val="0"/>
              <w:marTop w:val="0"/>
              <w:marBottom w:val="0"/>
              <w:divBdr>
                <w:top w:val="none" w:sz="0" w:space="0" w:color="auto"/>
                <w:left w:val="none" w:sz="0" w:space="0" w:color="auto"/>
                <w:bottom w:val="none" w:sz="0" w:space="0" w:color="auto"/>
                <w:right w:val="none" w:sz="0" w:space="0" w:color="auto"/>
              </w:divBdr>
              <w:divsChild>
                <w:div w:id="816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8234">
      <w:bodyDiv w:val="1"/>
      <w:marLeft w:val="0"/>
      <w:marRight w:val="0"/>
      <w:marTop w:val="0"/>
      <w:marBottom w:val="0"/>
      <w:divBdr>
        <w:top w:val="none" w:sz="0" w:space="0" w:color="auto"/>
        <w:left w:val="none" w:sz="0" w:space="0" w:color="auto"/>
        <w:bottom w:val="none" w:sz="0" w:space="0" w:color="auto"/>
        <w:right w:val="none" w:sz="0" w:space="0" w:color="auto"/>
      </w:divBdr>
      <w:divsChild>
        <w:div w:id="1999334648">
          <w:marLeft w:val="0"/>
          <w:marRight w:val="0"/>
          <w:marTop w:val="0"/>
          <w:marBottom w:val="0"/>
          <w:divBdr>
            <w:top w:val="none" w:sz="0" w:space="0" w:color="auto"/>
            <w:left w:val="none" w:sz="0" w:space="0" w:color="auto"/>
            <w:bottom w:val="none" w:sz="0" w:space="0" w:color="auto"/>
            <w:right w:val="none" w:sz="0" w:space="0" w:color="auto"/>
          </w:divBdr>
          <w:divsChild>
            <w:div w:id="1735617763">
              <w:marLeft w:val="0"/>
              <w:marRight w:val="0"/>
              <w:marTop w:val="0"/>
              <w:marBottom w:val="0"/>
              <w:divBdr>
                <w:top w:val="none" w:sz="0" w:space="0" w:color="auto"/>
                <w:left w:val="none" w:sz="0" w:space="0" w:color="auto"/>
                <w:bottom w:val="none" w:sz="0" w:space="0" w:color="auto"/>
                <w:right w:val="none" w:sz="0" w:space="0" w:color="auto"/>
              </w:divBdr>
              <w:divsChild>
                <w:div w:id="15286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3656">
      <w:bodyDiv w:val="1"/>
      <w:marLeft w:val="0"/>
      <w:marRight w:val="0"/>
      <w:marTop w:val="0"/>
      <w:marBottom w:val="0"/>
      <w:divBdr>
        <w:top w:val="none" w:sz="0" w:space="0" w:color="auto"/>
        <w:left w:val="none" w:sz="0" w:space="0" w:color="auto"/>
        <w:bottom w:val="none" w:sz="0" w:space="0" w:color="auto"/>
        <w:right w:val="none" w:sz="0" w:space="0" w:color="auto"/>
      </w:divBdr>
      <w:divsChild>
        <w:div w:id="1280916591">
          <w:marLeft w:val="0"/>
          <w:marRight w:val="0"/>
          <w:marTop w:val="0"/>
          <w:marBottom w:val="0"/>
          <w:divBdr>
            <w:top w:val="none" w:sz="0" w:space="0" w:color="auto"/>
            <w:left w:val="none" w:sz="0" w:space="0" w:color="auto"/>
            <w:bottom w:val="none" w:sz="0" w:space="0" w:color="auto"/>
            <w:right w:val="none" w:sz="0" w:space="0" w:color="auto"/>
          </w:divBdr>
          <w:divsChild>
            <w:div w:id="1566723099">
              <w:marLeft w:val="0"/>
              <w:marRight w:val="0"/>
              <w:marTop w:val="0"/>
              <w:marBottom w:val="0"/>
              <w:divBdr>
                <w:top w:val="none" w:sz="0" w:space="0" w:color="auto"/>
                <w:left w:val="none" w:sz="0" w:space="0" w:color="auto"/>
                <w:bottom w:val="none" w:sz="0" w:space="0" w:color="auto"/>
                <w:right w:val="none" w:sz="0" w:space="0" w:color="auto"/>
              </w:divBdr>
              <w:divsChild>
                <w:div w:id="2126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97812">
      <w:bodyDiv w:val="1"/>
      <w:marLeft w:val="0"/>
      <w:marRight w:val="0"/>
      <w:marTop w:val="0"/>
      <w:marBottom w:val="0"/>
      <w:divBdr>
        <w:top w:val="none" w:sz="0" w:space="0" w:color="auto"/>
        <w:left w:val="none" w:sz="0" w:space="0" w:color="auto"/>
        <w:bottom w:val="none" w:sz="0" w:space="0" w:color="auto"/>
        <w:right w:val="none" w:sz="0" w:space="0" w:color="auto"/>
      </w:divBdr>
    </w:div>
    <w:div w:id="665208151">
      <w:bodyDiv w:val="1"/>
      <w:marLeft w:val="0"/>
      <w:marRight w:val="0"/>
      <w:marTop w:val="0"/>
      <w:marBottom w:val="0"/>
      <w:divBdr>
        <w:top w:val="none" w:sz="0" w:space="0" w:color="auto"/>
        <w:left w:val="none" w:sz="0" w:space="0" w:color="auto"/>
        <w:bottom w:val="none" w:sz="0" w:space="0" w:color="auto"/>
        <w:right w:val="none" w:sz="0" w:space="0" w:color="auto"/>
      </w:divBdr>
    </w:div>
    <w:div w:id="682246744">
      <w:bodyDiv w:val="1"/>
      <w:marLeft w:val="0"/>
      <w:marRight w:val="0"/>
      <w:marTop w:val="0"/>
      <w:marBottom w:val="0"/>
      <w:divBdr>
        <w:top w:val="none" w:sz="0" w:space="0" w:color="auto"/>
        <w:left w:val="none" w:sz="0" w:space="0" w:color="auto"/>
        <w:bottom w:val="none" w:sz="0" w:space="0" w:color="auto"/>
        <w:right w:val="none" w:sz="0" w:space="0" w:color="auto"/>
      </w:divBdr>
    </w:div>
    <w:div w:id="1080130976">
      <w:bodyDiv w:val="1"/>
      <w:marLeft w:val="0"/>
      <w:marRight w:val="0"/>
      <w:marTop w:val="0"/>
      <w:marBottom w:val="0"/>
      <w:divBdr>
        <w:top w:val="none" w:sz="0" w:space="0" w:color="auto"/>
        <w:left w:val="none" w:sz="0" w:space="0" w:color="auto"/>
        <w:bottom w:val="none" w:sz="0" w:space="0" w:color="auto"/>
        <w:right w:val="none" w:sz="0" w:space="0" w:color="auto"/>
      </w:divBdr>
    </w:div>
    <w:div w:id="1174223772">
      <w:bodyDiv w:val="1"/>
      <w:marLeft w:val="0"/>
      <w:marRight w:val="0"/>
      <w:marTop w:val="0"/>
      <w:marBottom w:val="0"/>
      <w:divBdr>
        <w:top w:val="none" w:sz="0" w:space="0" w:color="auto"/>
        <w:left w:val="none" w:sz="0" w:space="0" w:color="auto"/>
        <w:bottom w:val="none" w:sz="0" w:space="0" w:color="auto"/>
        <w:right w:val="none" w:sz="0" w:space="0" w:color="auto"/>
      </w:divBdr>
      <w:divsChild>
        <w:div w:id="1410035358">
          <w:marLeft w:val="0"/>
          <w:marRight w:val="0"/>
          <w:marTop w:val="0"/>
          <w:marBottom w:val="0"/>
          <w:divBdr>
            <w:top w:val="none" w:sz="0" w:space="0" w:color="auto"/>
            <w:left w:val="none" w:sz="0" w:space="0" w:color="auto"/>
            <w:bottom w:val="none" w:sz="0" w:space="0" w:color="auto"/>
            <w:right w:val="none" w:sz="0" w:space="0" w:color="auto"/>
          </w:divBdr>
          <w:divsChild>
            <w:div w:id="322046135">
              <w:marLeft w:val="0"/>
              <w:marRight w:val="0"/>
              <w:marTop w:val="0"/>
              <w:marBottom w:val="0"/>
              <w:divBdr>
                <w:top w:val="none" w:sz="0" w:space="0" w:color="auto"/>
                <w:left w:val="none" w:sz="0" w:space="0" w:color="auto"/>
                <w:bottom w:val="none" w:sz="0" w:space="0" w:color="auto"/>
                <w:right w:val="none" w:sz="0" w:space="0" w:color="auto"/>
              </w:divBdr>
              <w:divsChild>
                <w:div w:id="5291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4782">
      <w:bodyDiv w:val="1"/>
      <w:marLeft w:val="0"/>
      <w:marRight w:val="0"/>
      <w:marTop w:val="0"/>
      <w:marBottom w:val="0"/>
      <w:divBdr>
        <w:top w:val="none" w:sz="0" w:space="0" w:color="auto"/>
        <w:left w:val="none" w:sz="0" w:space="0" w:color="auto"/>
        <w:bottom w:val="none" w:sz="0" w:space="0" w:color="auto"/>
        <w:right w:val="none" w:sz="0" w:space="0" w:color="auto"/>
      </w:divBdr>
      <w:divsChild>
        <w:div w:id="481121574">
          <w:marLeft w:val="0"/>
          <w:marRight w:val="0"/>
          <w:marTop w:val="0"/>
          <w:marBottom w:val="0"/>
          <w:divBdr>
            <w:top w:val="none" w:sz="0" w:space="0" w:color="auto"/>
            <w:left w:val="none" w:sz="0" w:space="0" w:color="auto"/>
            <w:bottom w:val="none" w:sz="0" w:space="0" w:color="auto"/>
            <w:right w:val="none" w:sz="0" w:space="0" w:color="auto"/>
          </w:divBdr>
          <w:divsChild>
            <w:div w:id="1828011927">
              <w:marLeft w:val="0"/>
              <w:marRight w:val="0"/>
              <w:marTop w:val="0"/>
              <w:marBottom w:val="0"/>
              <w:divBdr>
                <w:top w:val="none" w:sz="0" w:space="0" w:color="auto"/>
                <w:left w:val="none" w:sz="0" w:space="0" w:color="auto"/>
                <w:bottom w:val="none" w:sz="0" w:space="0" w:color="auto"/>
                <w:right w:val="none" w:sz="0" w:space="0" w:color="auto"/>
              </w:divBdr>
              <w:divsChild>
                <w:div w:id="23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2949">
      <w:bodyDiv w:val="1"/>
      <w:marLeft w:val="0"/>
      <w:marRight w:val="0"/>
      <w:marTop w:val="0"/>
      <w:marBottom w:val="0"/>
      <w:divBdr>
        <w:top w:val="none" w:sz="0" w:space="0" w:color="auto"/>
        <w:left w:val="none" w:sz="0" w:space="0" w:color="auto"/>
        <w:bottom w:val="none" w:sz="0" w:space="0" w:color="auto"/>
        <w:right w:val="none" w:sz="0" w:space="0" w:color="auto"/>
      </w:divBdr>
      <w:divsChild>
        <w:div w:id="1256986137">
          <w:marLeft w:val="0"/>
          <w:marRight w:val="0"/>
          <w:marTop w:val="0"/>
          <w:marBottom w:val="0"/>
          <w:divBdr>
            <w:top w:val="none" w:sz="0" w:space="0" w:color="auto"/>
            <w:left w:val="none" w:sz="0" w:space="0" w:color="auto"/>
            <w:bottom w:val="none" w:sz="0" w:space="0" w:color="auto"/>
            <w:right w:val="none" w:sz="0" w:space="0" w:color="auto"/>
          </w:divBdr>
          <w:divsChild>
            <w:div w:id="311447880">
              <w:marLeft w:val="0"/>
              <w:marRight w:val="0"/>
              <w:marTop w:val="0"/>
              <w:marBottom w:val="0"/>
              <w:divBdr>
                <w:top w:val="none" w:sz="0" w:space="0" w:color="auto"/>
                <w:left w:val="none" w:sz="0" w:space="0" w:color="auto"/>
                <w:bottom w:val="none" w:sz="0" w:space="0" w:color="auto"/>
                <w:right w:val="none" w:sz="0" w:space="0" w:color="auto"/>
              </w:divBdr>
              <w:divsChild>
                <w:div w:id="1314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9786">
      <w:bodyDiv w:val="1"/>
      <w:marLeft w:val="0"/>
      <w:marRight w:val="0"/>
      <w:marTop w:val="0"/>
      <w:marBottom w:val="0"/>
      <w:divBdr>
        <w:top w:val="none" w:sz="0" w:space="0" w:color="auto"/>
        <w:left w:val="none" w:sz="0" w:space="0" w:color="auto"/>
        <w:bottom w:val="none" w:sz="0" w:space="0" w:color="auto"/>
        <w:right w:val="none" w:sz="0" w:space="0" w:color="auto"/>
      </w:divBdr>
      <w:divsChild>
        <w:div w:id="1638104589">
          <w:marLeft w:val="0"/>
          <w:marRight w:val="0"/>
          <w:marTop w:val="0"/>
          <w:marBottom w:val="0"/>
          <w:divBdr>
            <w:top w:val="none" w:sz="0" w:space="0" w:color="auto"/>
            <w:left w:val="none" w:sz="0" w:space="0" w:color="auto"/>
            <w:bottom w:val="none" w:sz="0" w:space="0" w:color="auto"/>
            <w:right w:val="none" w:sz="0" w:space="0" w:color="auto"/>
          </w:divBdr>
          <w:divsChild>
            <w:div w:id="1324891052">
              <w:marLeft w:val="0"/>
              <w:marRight w:val="0"/>
              <w:marTop w:val="0"/>
              <w:marBottom w:val="0"/>
              <w:divBdr>
                <w:top w:val="none" w:sz="0" w:space="0" w:color="auto"/>
                <w:left w:val="none" w:sz="0" w:space="0" w:color="auto"/>
                <w:bottom w:val="none" w:sz="0" w:space="0" w:color="auto"/>
                <w:right w:val="none" w:sz="0" w:space="0" w:color="auto"/>
              </w:divBdr>
              <w:divsChild>
                <w:div w:id="14507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3355">
      <w:bodyDiv w:val="1"/>
      <w:marLeft w:val="0"/>
      <w:marRight w:val="0"/>
      <w:marTop w:val="0"/>
      <w:marBottom w:val="0"/>
      <w:divBdr>
        <w:top w:val="none" w:sz="0" w:space="0" w:color="auto"/>
        <w:left w:val="none" w:sz="0" w:space="0" w:color="auto"/>
        <w:bottom w:val="none" w:sz="0" w:space="0" w:color="auto"/>
        <w:right w:val="none" w:sz="0" w:space="0" w:color="auto"/>
      </w:divBdr>
    </w:div>
    <w:div w:id="1711801472">
      <w:bodyDiv w:val="1"/>
      <w:marLeft w:val="0"/>
      <w:marRight w:val="0"/>
      <w:marTop w:val="0"/>
      <w:marBottom w:val="0"/>
      <w:divBdr>
        <w:top w:val="none" w:sz="0" w:space="0" w:color="auto"/>
        <w:left w:val="none" w:sz="0" w:space="0" w:color="auto"/>
        <w:bottom w:val="none" w:sz="0" w:space="0" w:color="auto"/>
        <w:right w:val="none" w:sz="0" w:space="0" w:color="auto"/>
      </w:divBdr>
      <w:divsChild>
        <w:div w:id="1603565202">
          <w:marLeft w:val="0"/>
          <w:marRight w:val="0"/>
          <w:marTop w:val="0"/>
          <w:marBottom w:val="0"/>
          <w:divBdr>
            <w:top w:val="none" w:sz="0" w:space="0" w:color="auto"/>
            <w:left w:val="none" w:sz="0" w:space="0" w:color="auto"/>
            <w:bottom w:val="none" w:sz="0" w:space="0" w:color="auto"/>
            <w:right w:val="none" w:sz="0" w:space="0" w:color="auto"/>
          </w:divBdr>
          <w:divsChild>
            <w:div w:id="1953393487">
              <w:marLeft w:val="0"/>
              <w:marRight w:val="0"/>
              <w:marTop w:val="0"/>
              <w:marBottom w:val="0"/>
              <w:divBdr>
                <w:top w:val="none" w:sz="0" w:space="0" w:color="auto"/>
                <w:left w:val="none" w:sz="0" w:space="0" w:color="auto"/>
                <w:bottom w:val="none" w:sz="0" w:space="0" w:color="auto"/>
                <w:right w:val="none" w:sz="0" w:space="0" w:color="auto"/>
              </w:divBdr>
              <w:divsChild>
                <w:div w:id="1050419999">
                  <w:marLeft w:val="0"/>
                  <w:marRight w:val="0"/>
                  <w:marTop w:val="0"/>
                  <w:marBottom w:val="0"/>
                  <w:divBdr>
                    <w:top w:val="none" w:sz="0" w:space="0" w:color="auto"/>
                    <w:left w:val="none" w:sz="0" w:space="0" w:color="auto"/>
                    <w:bottom w:val="none" w:sz="0" w:space="0" w:color="auto"/>
                    <w:right w:val="none" w:sz="0" w:space="0" w:color="auto"/>
                  </w:divBdr>
                </w:div>
                <w:div w:id="1919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212">
      <w:bodyDiv w:val="1"/>
      <w:marLeft w:val="0"/>
      <w:marRight w:val="0"/>
      <w:marTop w:val="0"/>
      <w:marBottom w:val="0"/>
      <w:divBdr>
        <w:top w:val="none" w:sz="0" w:space="0" w:color="auto"/>
        <w:left w:val="none" w:sz="0" w:space="0" w:color="auto"/>
        <w:bottom w:val="none" w:sz="0" w:space="0" w:color="auto"/>
        <w:right w:val="none" w:sz="0" w:space="0" w:color="auto"/>
      </w:divBdr>
      <w:divsChild>
        <w:div w:id="946887422">
          <w:marLeft w:val="0"/>
          <w:marRight w:val="0"/>
          <w:marTop w:val="0"/>
          <w:marBottom w:val="0"/>
          <w:divBdr>
            <w:top w:val="none" w:sz="0" w:space="0" w:color="auto"/>
            <w:left w:val="none" w:sz="0" w:space="0" w:color="auto"/>
            <w:bottom w:val="none" w:sz="0" w:space="0" w:color="auto"/>
            <w:right w:val="none" w:sz="0" w:space="0" w:color="auto"/>
          </w:divBdr>
          <w:divsChild>
            <w:div w:id="1359817749">
              <w:marLeft w:val="0"/>
              <w:marRight w:val="0"/>
              <w:marTop w:val="0"/>
              <w:marBottom w:val="0"/>
              <w:divBdr>
                <w:top w:val="none" w:sz="0" w:space="0" w:color="auto"/>
                <w:left w:val="none" w:sz="0" w:space="0" w:color="auto"/>
                <w:bottom w:val="none" w:sz="0" w:space="0" w:color="auto"/>
                <w:right w:val="none" w:sz="0" w:space="0" w:color="auto"/>
              </w:divBdr>
              <w:divsChild>
                <w:div w:id="696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15720">
      <w:bodyDiv w:val="1"/>
      <w:marLeft w:val="0"/>
      <w:marRight w:val="0"/>
      <w:marTop w:val="0"/>
      <w:marBottom w:val="0"/>
      <w:divBdr>
        <w:top w:val="none" w:sz="0" w:space="0" w:color="auto"/>
        <w:left w:val="none" w:sz="0" w:space="0" w:color="auto"/>
        <w:bottom w:val="none" w:sz="0" w:space="0" w:color="auto"/>
        <w:right w:val="none" w:sz="0" w:space="0" w:color="auto"/>
      </w:divBdr>
      <w:divsChild>
        <w:div w:id="192422390">
          <w:marLeft w:val="0"/>
          <w:marRight w:val="0"/>
          <w:marTop w:val="0"/>
          <w:marBottom w:val="0"/>
          <w:divBdr>
            <w:top w:val="none" w:sz="0" w:space="0" w:color="auto"/>
            <w:left w:val="none" w:sz="0" w:space="0" w:color="auto"/>
            <w:bottom w:val="none" w:sz="0" w:space="0" w:color="auto"/>
            <w:right w:val="none" w:sz="0" w:space="0" w:color="auto"/>
          </w:divBdr>
          <w:divsChild>
            <w:div w:id="2097701061">
              <w:marLeft w:val="0"/>
              <w:marRight w:val="0"/>
              <w:marTop w:val="0"/>
              <w:marBottom w:val="0"/>
              <w:divBdr>
                <w:top w:val="none" w:sz="0" w:space="0" w:color="auto"/>
                <w:left w:val="none" w:sz="0" w:space="0" w:color="auto"/>
                <w:bottom w:val="none" w:sz="0" w:space="0" w:color="auto"/>
                <w:right w:val="none" w:sz="0" w:space="0" w:color="auto"/>
              </w:divBdr>
              <w:divsChild>
                <w:div w:id="1506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2319">
      <w:bodyDiv w:val="1"/>
      <w:marLeft w:val="0"/>
      <w:marRight w:val="0"/>
      <w:marTop w:val="0"/>
      <w:marBottom w:val="0"/>
      <w:divBdr>
        <w:top w:val="none" w:sz="0" w:space="0" w:color="auto"/>
        <w:left w:val="none" w:sz="0" w:space="0" w:color="auto"/>
        <w:bottom w:val="none" w:sz="0" w:space="0" w:color="auto"/>
        <w:right w:val="none" w:sz="0" w:space="0" w:color="auto"/>
      </w:divBdr>
      <w:divsChild>
        <w:div w:id="1578518296">
          <w:marLeft w:val="0"/>
          <w:marRight w:val="0"/>
          <w:marTop w:val="0"/>
          <w:marBottom w:val="0"/>
          <w:divBdr>
            <w:top w:val="none" w:sz="0" w:space="0" w:color="auto"/>
            <w:left w:val="none" w:sz="0" w:space="0" w:color="auto"/>
            <w:bottom w:val="none" w:sz="0" w:space="0" w:color="auto"/>
            <w:right w:val="none" w:sz="0" w:space="0" w:color="auto"/>
          </w:divBdr>
          <w:divsChild>
            <w:div w:id="939530444">
              <w:marLeft w:val="0"/>
              <w:marRight w:val="0"/>
              <w:marTop w:val="0"/>
              <w:marBottom w:val="0"/>
              <w:divBdr>
                <w:top w:val="none" w:sz="0" w:space="0" w:color="auto"/>
                <w:left w:val="none" w:sz="0" w:space="0" w:color="auto"/>
                <w:bottom w:val="none" w:sz="0" w:space="0" w:color="auto"/>
                <w:right w:val="none" w:sz="0" w:space="0" w:color="auto"/>
              </w:divBdr>
              <w:divsChild>
                <w:div w:id="15283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ymel\Desktop\COURS%20ENSET%20ET%20PLUS\ENSET\MES%20RECHERCHES\MES%20PROPRES%20ARTICLES\4-QUATRIEME%20ARTICLE\CALCULS%20DES%20ANTIOXIDANTS%20EN%20HISTOGRAM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9175941445298"/>
          <c:y val="4.0021652832912306E-2"/>
          <c:w val="0.87207644706512144"/>
          <c:h val="0.69920500901242766"/>
        </c:manualLayout>
      </c:layout>
      <c:barChart>
        <c:barDir val="col"/>
        <c:grouping val="clustered"/>
        <c:varyColors val="0"/>
        <c:ser>
          <c:idx val="0"/>
          <c:order val="0"/>
          <c:tx>
            <c:strRef>
              <c:f>Feuil1!$O$16</c:f>
              <c:strCache>
                <c:ptCount val="1"/>
                <c:pt idx="0">
                  <c:v>DPPH </c:v>
                </c:pt>
              </c:strCache>
            </c:strRef>
          </c:tx>
          <c:spPr>
            <a:pattFill prst="ltUpDiag">
              <a:fgClr>
                <a:sysClr val="windowText" lastClr="000000"/>
              </a:fgClr>
              <a:bgClr>
                <a:schemeClr val="bg1"/>
              </a:bgClr>
            </a:pattFill>
            <a:ln>
              <a:solidFill>
                <a:schemeClr val="tx1"/>
              </a:solidFill>
            </a:ln>
            <a:effectLst/>
          </c:spPr>
          <c:invertIfNegative val="0"/>
          <c:dLbls>
            <c:dLbl>
              <c:idx val="0"/>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9E5-44C4-AC2A-41696A177850}"/>
                </c:ext>
              </c:extLst>
            </c:dLbl>
            <c:dLbl>
              <c:idx val="1"/>
              <c:layout>
                <c:manualLayout>
                  <c:x val="-3.7433632562631523E-17"/>
                  <c:y val="-1.0826416456152997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9E5-44C4-AC2A-41696A177850}"/>
                </c:ext>
              </c:extLst>
            </c:dLbl>
            <c:dLbl>
              <c:idx val="2"/>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F9E5-44C4-AC2A-41696A177850}"/>
                </c:ext>
              </c:extLst>
            </c:dLbl>
            <c:dLbl>
              <c:idx val="3"/>
              <c:layout>
                <c:manualLayout>
                  <c:x val="-7.4867265125263047E-17"/>
                  <c:y val="-3.6088054853844038E-3"/>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F9E5-44C4-AC2A-41696A177850}"/>
                </c:ext>
              </c:extLst>
            </c:dLbl>
            <c:dLbl>
              <c:idx val="4"/>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Feuil1!$T$17:$T$21</c:f>
                <c:numCache>
                  <c:formatCode>General</c:formatCode>
                  <c:ptCount val="5"/>
                  <c:pt idx="0">
                    <c:v>1.04</c:v>
                  </c:pt>
                  <c:pt idx="1">
                    <c:v>2.2599999999999998</c:v>
                  </c:pt>
                  <c:pt idx="2">
                    <c:v>0.52</c:v>
                  </c:pt>
                  <c:pt idx="3">
                    <c:v>1.64</c:v>
                  </c:pt>
                  <c:pt idx="4">
                    <c:v>0.66</c:v>
                  </c:pt>
                </c:numCache>
              </c:numRef>
            </c:plus>
            <c:minus>
              <c:numRef>
                <c:f>Feuil1!$T$17:$T$21</c:f>
                <c:numCache>
                  <c:formatCode>General</c:formatCode>
                  <c:ptCount val="5"/>
                  <c:pt idx="0">
                    <c:v>1.04</c:v>
                  </c:pt>
                  <c:pt idx="1">
                    <c:v>2.2599999999999998</c:v>
                  </c:pt>
                  <c:pt idx="2">
                    <c:v>0.52</c:v>
                  </c:pt>
                  <c:pt idx="3">
                    <c:v>1.64</c:v>
                  </c:pt>
                  <c:pt idx="4">
                    <c:v>0.66</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Feuil1!$O$17:$O$21</c:f>
              <c:numCache>
                <c:formatCode>General</c:formatCode>
                <c:ptCount val="5"/>
                <c:pt idx="0">
                  <c:v>18.059999999999999</c:v>
                </c:pt>
                <c:pt idx="1">
                  <c:v>44.44</c:v>
                </c:pt>
                <c:pt idx="2">
                  <c:v>19.38</c:v>
                </c:pt>
                <c:pt idx="3">
                  <c:v>11.07</c:v>
                </c:pt>
                <c:pt idx="4">
                  <c:v>8.92</c:v>
                </c:pt>
              </c:numCache>
            </c:numRef>
          </c:val>
          <c:extLst>
            <c:ext xmlns:c16="http://schemas.microsoft.com/office/drawing/2014/chart" uri="{C3380CC4-5D6E-409C-BE32-E72D297353CC}">
              <c16:uniqueId val="{00000000-F9E5-44C4-AC2A-41696A177850}"/>
            </c:ext>
          </c:extLst>
        </c:ser>
        <c:ser>
          <c:idx val="1"/>
          <c:order val="1"/>
          <c:tx>
            <c:strRef>
              <c:f>Feuil1!$P$16</c:f>
              <c:strCache>
                <c:ptCount val="1"/>
                <c:pt idx="0">
                  <c:v>ABTS </c:v>
                </c:pt>
              </c:strCache>
            </c:strRef>
          </c:tx>
          <c:spPr>
            <a:pattFill prst="pct50">
              <a:fgClr>
                <a:sysClr val="windowText" lastClr="000000"/>
              </a:fgClr>
              <a:bgClr>
                <a:schemeClr val="bg1"/>
              </a:bgClr>
            </a:pattFill>
            <a:ln>
              <a:solidFill>
                <a:schemeClr val="tx1"/>
              </a:solidFill>
            </a:ln>
            <a:effectLst/>
          </c:spPr>
          <c:invertIfNegative val="0"/>
          <c:dLbls>
            <c:dLbl>
              <c:idx val="0"/>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9E5-44C4-AC2A-41696A177850}"/>
                </c:ext>
              </c:extLst>
            </c:dLbl>
            <c:dLbl>
              <c:idx val="1"/>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9E5-44C4-AC2A-41696A177850}"/>
                </c:ext>
              </c:extLst>
            </c:dLbl>
            <c:dLbl>
              <c:idx val="2"/>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F9E5-44C4-AC2A-41696A177850}"/>
                </c:ext>
              </c:extLst>
            </c:dLbl>
            <c:dLbl>
              <c:idx val="3"/>
              <c:layout>
                <c:manualLayout>
                  <c:x val="0"/>
                  <c:y val="-1.082641645615301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F9E5-44C4-AC2A-41696A177850}"/>
                </c:ext>
              </c:extLst>
            </c:dLbl>
            <c:dLbl>
              <c:idx val="4"/>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Feuil1!$U$17:$U$21</c:f>
                <c:numCache>
                  <c:formatCode>General</c:formatCode>
                  <c:ptCount val="5"/>
                  <c:pt idx="0">
                    <c:v>1.35</c:v>
                  </c:pt>
                  <c:pt idx="1">
                    <c:v>1.24</c:v>
                  </c:pt>
                  <c:pt idx="2">
                    <c:v>1.19</c:v>
                  </c:pt>
                  <c:pt idx="3">
                    <c:v>1.94</c:v>
                  </c:pt>
                  <c:pt idx="4">
                    <c:v>0.8</c:v>
                  </c:pt>
                </c:numCache>
              </c:numRef>
            </c:plus>
            <c:minus>
              <c:numRef>
                <c:f>Feuil1!$U$17:$U$21</c:f>
                <c:numCache>
                  <c:formatCode>General</c:formatCode>
                  <c:ptCount val="5"/>
                  <c:pt idx="0">
                    <c:v>1.35</c:v>
                  </c:pt>
                  <c:pt idx="1">
                    <c:v>1.24</c:v>
                  </c:pt>
                  <c:pt idx="2">
                    <c:v>1.19</c:v>
                  </c:pt>
                  <c:pt idx="3">
                    <c:v>1.94</c:v>
                  </c:pt>
                  <c:pt idx="4">
                    <c:v>0.8</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Feuil1!$P$17:$P$21</c:f>
              <c:numCache>
                <c:formatCode>General</c:formatCode>
                <c:ptCount val="5"/>
                <c:pt idx="0">
                  <c:v>16.170000000000002</c:v>
                </c:pt>
                <c:pt idx="1">
                  <c:v>32.71</c:v>
                </c:pt>
                <c:pt idx="2">
                  <c:v>47.04</c:v>
                </c:pt>
                <c:pt idx="3">
                  <c:v>18.04</c:v>
                </c:pt>
                <c:pt idx="4">
                  <c:v>2.72</c:v>
                </c:pt>
              </c:numCache>
            </c:numRef>
          </c:val>
          <c:extLst>
            <c:ext xmlns:c16="http://schemas.microsoft.com/office/drawing/2014/chart" uri="{C3380CC4-5D6E-409C-BE32-E72D297353CC}">
              <c16:uniqueId val="{00000001-F9E5-44C4-AC2A-41696A177850}"/>
            </c:ext>
          </c:extLst>
        </c:ser>
        <c:ser>
          <c:idx val="2"/>
          <c:order val="2"/>
          <c:tx>
            <c:strRef>
              <c:f>Feuil1!$Q$16</c:f>
              <c:strCache>
                <c:ptCount val="1"/>
                <c:pt idx="0">
                  <c:v>FRAP </c:v>
                </c:pt>
              </c:strCache>
            </c:strRef>
          </c:tx>
          <c:spPr>
            <a:pattFill prst="dotDmnd">
              <a:fgClr>
                <a:sysClr val="windowText" lastClr="000000"/>
              </a:fgClr>
              <a:bgClr>
                <a:schemeClr val="bg1"/>
              </a:bgClr>
            </a:pattFill>
            <a:ln>
              <a:solidFill>
                <a:schemeClr val="tx1"/>
              </a:solidFill>
            </a:ln>
            <a:effectLst/>
          </c:spPr>
          <c:invertIfNegative val="0"/>
          <c:dLbls>
            <c:dLbl>
              <c:idx val="0"/>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9E5-44C4-AC2A-41696A177850}"/>
                </c:ext>
              </c:extLst>
            </c:dLbl>
            <c:dLbl>
              <c:idx val="1"/>
              <c:layout>
                <c:manualLayout>
                  <c:x val="-7.4867265125263047E-17"/>
                  <c:y val="-1.443522194153738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9E5-44C4-AC2A-41696A177850}"/>
                </c:ext>
              </c:extLst>
            </c:dLbl>
            <c:dLbl>
              <c:idx val="2"/>
              <c:layout>
                <c:manualLayout>
                  <c:x val="0"/>
                  <c:y val="-1.4435221941537384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F9E5-44C4-AC2A-41696A177850}"/>
                </c:ext>
              </c:extLst>
            </c:dLbl>
            <c:dLbl>
              <c:idx val="3"/>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F9E5-44C4-AC2A-41696A177850}"/>
                </c:ext>
              </c:extLst>
            </c:dLbl>
            <c:dLbl>
              <c:idx val="4"/>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F9E5-44C4-AC2A-41696A17785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Feuil1!$V$17:$V$21</c:f>
                <c:numCache>
                  <c:formatCode>General</c:formatCode>
                  <c:ptCount val="5"/>
                  <c:pt idx="0">
                    <c:v>0.15</c:v>
                  </c:pt>
                  <c:pt idx="1">
                    <c:v>2.42</c:v>
                  </c:pt>
                  <c:pt idx="2">
                    <c:v>2.0699999999999998</c:v>
                  </c:pt>
                  <c:pt idx="3">
                    <c:v>1.35</c:v>
                  </c:pt>
                  <c:pt idx="4">
                    <c:v>0.7</c:v>
                  </c:pt>
                </c:numCache>
              </c:numRef>
            </c:plus>
            <c:minus>
              <c:numRef>
                <c:f>Feuil1!$V$17:$V$21</c:f>
                <c:numCache>
                  <c:formatCode>General</c:formatCode>
                  <c:ptCount val="5"/>
                  <c:pt idx="0">
                    <c:v>0.15</c:v>
                  </c:pt>
                  <c:pt idx="1">
                    <c:v>2.42</c:v>
                  </c:pt>
                  <c:pt idx="2">
                    <c:v>2.0699999999999998</c:v>
                  </c:pt>
                  <c:pt idx="3">
                    <c:v>1.35</c:v>
                  </c:pt>
                  <c:pt idx="4">
                    <c:v>0.7</c:v>
                  </c:pt>
                </c:numCache>
              </c:numRef>
            </c:minus>
            <c:spPr>
              <a:noFill/>
              <a:ln w="9525" cap="flat" cmpd="sng" algn="ctr">
                <a:solidFill>
                  <a:schemeClr val="tx1">
                    <a:lumMod val="65000"/>
                    <a:lumOff val="35000"/>
                  </a:schemeClr>
                </a:solidFill>
                <a:round/>
              </a:ln>
              <a:effectLst/>
            </c:spPr>
          </c:errBars>
          <c:cat>
            <c:multiLvlStrRef>
              <c:f>Feuil1!$M$17:$N$21</c:f>
              <c:multiLvlStrCache>
                <c:ptCount val="5"/>
                <c:lvl>
                  <c:pt idx="0">
                    <c:v>Leave</c:v>
                  </c:pt>
                  <c:pt idx="1">
                    <c:v>Fruit</c:v>
                  </c:pt>
                  <c:pt idx="2">
                    <c:v>Leave</c:v>
                  </c:pt>
                  <c:pt idx="3">
                    <c:v>Fruit</c:v>
                  </c:pt>
                  <c:pt idx="4">
                    <c:v>Vitamin C</c:v>
                  </c:pt>
                </c:lvl>
                <c:lvl>
                  <c:pt idx="0">
                    <c:v>  Corchorus olitorius</c:v>
                  </c:pt>
                  <c:pt idx="2">
                    <c:v>   Abelmoschus esculentus</c:v>
                  </c:pt>
                  <c:pt idx="4">
                    <c:v>Standard </c:v>
                  </c:pt>
                </c:lvl>
              </c:multiLvlStrCache>
            </c:multiLvlStrRef>
          </c:cat>
          <c:val>
            <c:numRef>
              <c:f>Feuil1!$Q$17:$Q$21</c:f>
              <c:numCache>
                <c:formatCode>General</c:formatCode>
                <c:ptCount val="5"/>
                <c:pt idx="0">
                  <c:v>22.52</c:v>
                </c:pt>
                <c:pt idx="1">
                  <c:v>33.299999999999997</c:v>
                </c:pt>
                <c:pt idx="2">
                  <c:v>30.28</c:v>
                </c:pt>
                <c:pt idx="3">
                  <c:v>23.17</c:v>
                </c:pt>
                <c:pt idx="4">
                  <c:v>13.94</c:v>
                </c:pt>
              </c:numCache>
            </c:numRef>
          </c:val>
          <c:extLst>
            <c:ext xmlns:c16="http://schemas.microsoft.com/office/drawing/2014/chart" uri="{C3380CC4-5D6E-409C-BE32-E72D297353CC}">
              <c16:uniqueId val="{00000002-F9E5-44C4-AC2A-41696A177850}"/>
            </c:ext>
          </c:extLst>
        </c:ser>
        <c:dLbls>
          <c:dLblPos val="outEnd"/>
          <c:showLegendKey val="0"/>
          <c:showVal val="1"/>
          <c:showCatName val="0"/>
          <c:showSerName val="0"/>
          <c:showPercent val="0"/>
          <c:showBubbleSize val="0"/>
        </c:dLbls>
        <c:gapWidth val="219"/>
        <c:overlap val="-27"/>
        <c:axId val="271969944"/>
        <c:axId val="271972296"/>
      </c:barChart>
      <c:catAx>
        <c:axId val="271969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Plant matrix organ and standard </a:t>
                </a:r>
              </a:p>
            </c:rich>
          </c:tx>
          <c:layout>
            <c:manualLayout>
              <c:xMode val="edge"/>
              <c:yMode val="edge"/>
              <c:x val="0.35908931474889838"/>
              <c:y val="0.928533662207886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1972296"/>
        <c:crosses val="autoZero"/>
        <c:auto val="1"/>
        <c:lblAlgn val="ctr"/>
        <c:lblOffset val="100"/>
        <c:noMultiLvlLbl val="0"/>
      </c:catAx>
      <c:valAx>
        <c:axId val="271972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Scavenging activities (IC50) (µg/ml) </a:t>
                </a:r>
              </a:p>
            </c:rich>
          </c:tx>
          <c:layout>
            <c:manualLayout>
              <c:xMode val="edge"/>
              <c:yMode val="edge"/>
              <c:x val="6.356739654118578E-3"/>
              <c:y val="3.241596306485785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1969944"/>
        <c:crosses val="autoZero"/>
        <c:crossBetween val="between"/>
      </c:valAx>
      <c:spPr>
        <a:noFill/>
        <a:ln>
          <a:noFill/>
        </a:ln>
        <a:effectLst/>
      </c:spPr>
    </c:plotArea>
    <c:legend>
      <c:legendPos val="b"/>
      <c:layout>
        <c:manualLayout>
          <c:xMode val="edge"/>
          <c:yMode val="edge"/>
          <c:x val="0.73995581602527993"/>
          <c:y val="1.1218100749454511E-2"/>
          <c:w val="0.13713472645934574"/>
          <c:h val="0.2387440788595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CB2F-0365-4AB3-8ACD-7D273A64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43249</Words>
  <Characters>246520</Characters>
  <Application>Microsoft Office Word</Application>
  <DocSecurity>0</DocSecurity>
  <Lines>2054</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Arymel</dc:creator>
  <cp:keywords/>
  <dc:description/>
  <cp:lastModifiedBy>ACER</cp:lastModifiedBy>
  <cp:revision>4</cp:revision>
  <dcterms:created xsi:type="dcterms:W3CDTF">2025-04-18T08:43:00Z</dcterms:created>
  <dcterms:modified xsi:type="dcterms:W3CDTF">2025-04-19T00:14:00Z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http://www.zotero.org/styles/elsevier-vancouver-author-date</vt:lpwstr>
  </property>
  <property fmtid="{D5CDD505-2E9C-101B-9397-08002B2CF9AE}" pid="13" name="Mendeley Recent Style Name 5_1">
    <vt:lpwstr>Elsevier - Vancouver (author-date)</vt:lpwstr>
  </property>
  <property fmtid="{D5CDD505-2E9C-101B-9397-08002B2CF9AE}" pid="14" name="Mendeley Recent Style Id 6_1">
    <vt:lpwstr>http://www.zotero.org/styles/food-bioscience</vt:lpwstr>
  </property>
  <property fmtid="{D5CDD505-2E9C-101B-9397-08002B2CF9AE}" pid="15" name="Mendeley Recent Style Name 6_1">
    <vt:lpwstr>Food Bioscience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http://www.zotero.org/styles/south-african-journal-of-botany</vt:lpwstr>
  </property>
  <property fmtid="{D5CDD505-2E9C-101B-9397-08002B2CF9AE}" pid="19" name="Mendeley Recent Style Name 8_1">
    <vt:lpwstr>South African Journal of Botany</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f4a8946f-5915-3795-8045-c086df93df8b</vt:lpwstr>
  </property>
  <property fmtid="{D5CDD505-2E9C-101B-9397-08002B2CF9AE}" pid="24" name="Mendeley Citation Style_1">
    <vt:lpwstr>http://www.zotero.org/styles/apa</vt:lpwstr>
  </property>
</Properties>
</file>