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47AB862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72ECF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07E29C73" w14:textId="77777777" w:rsidTr="00041D26">
        <w:trPr>
          <w:trHeight w:val="359"/>
        </w:trPr>
        <w:tc>
          <w:tcPr>
            <w:tcW w:w="1234" w:type="pct"/>
          </w:tcPr>
          <w:p w14:paraId="1A456C0B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A37B" w14:textId="77777777" w:rsidR="0000007A" w:rsidRPr="00E65EB7" w:rsidRDefault="003A1AB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36E7B" w:rsidRPr="00787C8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Fisheries and Aquatic Research</w:t>
              </w:r>
            </w:hyperlink>
          </w:p>
        </w:tc>
      </w:tr>
      <w:tr w:rsidR="0000007A" w:rsidRPr="00F245A7" w14:paraId="3C03C160" w14:textId="77777777" w:rsidTr="002643B3">
        <w:trPr>
          <w:trHeight w:val="290"/>
        </w:trPr>
        <w:tc>
          <w:tcPr>
            <w:tcW w:w="1234" w:type="pct"/>
          </w:tcPr>
          <w:p w14:paraId="1B989782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24C0" w14:textId="77777777" w:rsidR="0000007A" w:rsidRPr="00F245A7" w:rsidRDefault="00041D2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041D26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Ms_AJFAR_134396</w:t>
            </w:r>
          </w:p>
        </w:tc>
      </w:tr>
      <w:tr w:rsidR="0000007A" w:rsidRPr="00F245A7" w14:paraId="5EDC5AEF" w14:textId="77777777" w:rsidTr="002643B3">
        <w:trPr>
          <w:trHeight w:val="650"/>
        </w:trPr>
        <w:tc>
          <w:tcPr>
            <w:tcW w:w="1234" w:type="pct"/>
          </w:tcPr>
          <w:p w14:paraId="771E61BA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2550" w14:textId="77777777" w:rsidR="0000007A" w:rsidRPr="00F245A7" w:rsidRDefault="00041D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041D26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Control of Reproduction in Oreochromis </w:t>
            </w:r>
            <w:proofErr w:type="spellStart"/>
            <w:r w:rsidRPr="00041D26">
              <w:rPr>
                <w:rFonts w:ascii="Arial" w:hAnsi="Arial" w:cs="Arial"/>
                <w:b/>
                <w:sz w:val="20"/>
                <w:szCs w:val="28"/>
                <w:lang w:val="en-GB"/>
              </w:rPr>
              <w:t>niloticus</w:t>
            </w:r>
            <w:proofErr w:type="spellEnd"/>
            <w:r w:rsidRPr="00041D26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(Linnaeus 1758) Using kola </w:t>
            </w:r>
            <w:proofErr w:type="spellStart"/>
            <w:r w:rsidRPr="00041D26">
              <w:rPr>
                <w:rFonts w:ascii="Arial" w:hAnsi="Arial" w:cs="Arial"/>
                <w:b/>
                <w:sz w:val="20"/>
                <w:szCs w:val="28"/>
                <w:lang w:val="en-GB"/>
              </w:rPr>
              <w:t>acuminata</w:t>
            </w:r>
            <w:proofErr w:type="spellEnd"/>
            <w:r w:rsidRPr="00041D26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seeds powder as Reproduction Inhibitor</w:t>
            </w:r>
          </w:p>
        </w:tc>
      </w:tr>
      <w:tr w:rsidR="00CF0BBB" w:rsidRPr="00F245A7" w14:paraId="25C3AE9E" w14:textId="77777777" w:rsidTr="002643B3">
        <w:trPr>
          <w:trHeight w:val="332"/>
        </w:trPr>
        <w:tc>
          <w:tcPr>
            <w:tcW w:w="1234" w:type="pct"/>
          </w:tcPr>
          <w:p w14:paraId="469959BE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9C7A" w14:textId="77777777" w:rsidR="00CF0BBB" w:rsidRPr="00F245A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5F0EA303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908C18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5B6509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83FEED4" w14:textId="77777777" w:rsidR="008662E5" w:rsidRPr="00900E9B" w:rsidRDefault="008662E5" w:rsidP="008662E5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14:paraId="17B9E55A" w14:textId="77777777" w:rsidR="008662E5" w:rsidRDefault="008662E5" w:rsidP="008662E5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51A07939" w14:textId="77777777" w:rsidR="00770F42" w:rsidRDefault="00770F42" w:rsidP="008662E5">
      <w:pPr>
        <w:pStyle w:val="BodyTex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Artificial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generated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or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assisted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comments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strictly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prohibited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during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peer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review.</w:t>
      </w:r>
    </w:p>
    <w:p w14:paraId="14575D25" w14:textId="77777777" w:rsidR="00770F42" w:rsidRPr="00900E9B" w:rsidRDefault="00770F42" w:rsidP="008662E5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769D1B52" w14:textId="77777777" w:rsidR="008662E5" w:rsidRPr="00900E9B" w:rsidRDefault="008662E5" w:rsidP="008662E5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14:paraId="042E128D" w14:textId="77777777" w:rsidR="008662E5" w:rsidRPr="00900E9B" w:rsidRDefault="008662E5" w:rsidP="008662E5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14:paraId="768A6524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3656FF94" w14:textId="77777777" w:rsidR="008662E5" w:rsidRPr="00900E9B" w:rsidRDefault="003A1AB8" w:rsidP="008662E5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8662E5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14:paraId="4297A104" w14:textId="77777777" w:rsidR="008662E5" w:rsidRDefault="008662E5" w:rsidP="008662E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4E08DE89" w14:textId="77777777" w:rsidR="008662E5" w:rsidRDefault="008662E5" w:rsidP="008662E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454DFD91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5C058EAC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5C3F4502" w14:textId="77777777" w:rsidR="008662E5" w:rsidRPr="00900E9B" w:rsidRDefault="008662E5" w:rsidP="008662E5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0247467B" w14:textId="77777777" w:rsidR="008662E5" w:rsidRPr="00900E9B" w:rsidRDefault="008662E5" w:rsidP="008662E5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1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03678D9E" w14:textId="77777777" w:rsidR="008662E5" w:rsidRPr="00900E9B" w:rsidRDefault="008662E5" w:rsidP="008662E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36B08AF7" w14:textId="77777777" w:rsidR="008662E5" w:rsidRPr="00900E9B" w:rsidRDefault="008662E5" w:rsidP="008662E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2DD008C8" w14:textId="77777777" w:rsidR="008662E5" w:rsidRPr="00900E9B" w:rsidRDefault="008662E5" w:rsidP="008662E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20EDB7CD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5AB0F077" w14:textId="77777777" w:rsidR="008662E5" w:rsidRPr="00900E9B" w:rsidRDefault="008662E5" w:rsidP="008662E5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14:paraId="5105D986" w14:textId="77777777" w:rsidR="008662E5" w:rsidRPr="00900E9B" w:rsidRDefault="008662E5" w:rsidP="008662E5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662E5" w:rsidRPr="00900E9B" w14:paraId="415777F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876D0C7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31346019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</w:tc>
      </w:tr>
      <w:tr w:rsidR="008662E5" w:rsidRPr="00900E9B" w14:paraId="3072562C" w14:textId="77777777">
        <w:tc>
          <w:tcPr>
            <w:tcW w:w="1265" w:type="pct"/>
            <w:noWrap/>
          </w:tcPr>
          <w:p w14:paraId="53A16916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72495997" w14:textId="77777777" w:rsidR="008662E5" w:rsidRDefault="008662E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02FEE594" w14:textId="77777777" w:rsidR="00770F42" w:rsidRDefault="00770F42" w:rsidP="00770F42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7BA0BA7" w14:textId="77777777" w:rsidR="00770F42" w:rsidRPr="00770F42" w:rsidRDefault="00770F42" w:rsidP="00770F42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075DB195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662E5" w:rsidRPr="00900E9B" w14:paraId="21705B33" w14:textId="77777777">
        <w:trPr>
          <w:trHeight w:val="1264"/>
        </w:trPr>
        <w:tc>
          <w:tcPr>
            <w:tcW w:w="1265" w:type="pct"/>
            <w:noWrap/>
          </w:tcPr>
          <w:p w14:paraId="2D609148" w14:textId="77777777" w:rsidR="008662E5" w:rsidRPr="00900E9B" w:rsidRDefault="008662E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6CB24C0C" w14:textId="77777777" w:rsidR="008662E5" w:rsidRPr="00900E9B" w:rsidRDefault="008662E5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1C60D9" w14:textId="4A77E437" w:rsidR="008662E5" w:rsidRPr="00900E9B" w:rsidRDefault="000F0376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result of the study </w:t>
            </w:r>
            <w:r w:rsidR="009C3E22">
              <w:rPr>
                <w:b/>
                <w:bCs/>
                <w:sz w:val="20"/>
                <w:szCs w:val="20"/>
                <w:lang w:val="en-GB"/>
              </w:rPr>
              <w:t>can contribute to the tilapia industry. Sex-reversal technology</w:t>
            </w:r>
            <w:r w:rsidR="00FB2C90">
              <w:rPr>
                <w:b/>
                <w:bCs/>
                <w:sz w:val="20"/>
                <w:szCs w:val="20"/>
                <w:lang w:val="en-GB"/>
              </w:rPr>
              <w:t xml:space="preserve"> or protocols</w:t>
            </w:r>
            <w:r w:rsidR="009C3E22">
              <w:rPr>
                <w:b/>
                <w:bCs/>
                <w:sz w:val="20"/>
                <w:szCs w:val="20"/>
                <w:lang w:val="en-GB"/>
              </w:rPr>
              <w:t xml:space="preserve"> for tilapia may not be available</w:t>
            </w:r>
            <w:r w:rsidR="00FB2C90">
              <w:rPr>
                <w:b/>
                <w:bCs/>
                <w:sz w:val="20"/>
                <w:szCs w:val="20"/>
                <w:lang w:val="en-GB"/>
              </w:rPr>
              <w:t xml:space="preserve"> all the time. Thus, this reproduction control using plant-based agents may </w:t>
            </w:r>
            <w:r w:rsidR="00356801">
              <w:rPr>
                <w:b/>
                <w:bCs/>
                <w:sz w:val="20"/>
                <w:szCs w:val="20"/>
                <w:lang w:val="en-GB"/>
              </w:rPr>
              <w:t xml:space="preserve">help to reduce over proliferation of fish </w:t>
            </w:r>
            <w:r w:rsidR="001A6E62">
              <w:rPr>
                <w:b/>
                <w:bCs/>
                <w:sz w:val="20"/>
                <w:szCs w:val="20"/>
                <w:lang w:val="en-GB"/>
              </w:rPr>
              <w:t>during grow-out.</w:t>
            </w:r>
          </w:p>
        </w:tc>
        <w:tc>
          <w:tcPr>
            <w:tcW w:w="1523" w:type="pct"/>
          </w:tcPr>
          <w:p w14:paraId="4EBC1B4E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662E5" w:rsidRPr="00900E9B" w14:paraId="63D191CF" w14:textId="77777777">
        <w:trPr>
          <w:trHeight w:val="1262"/>
        </w:trPr>
        <w:tc>
          <w:tcPr>
            <w:tcW w:w="1265" w:type="pct"/>
            <w:noWrap/>
          </w:tcPr>
          <w:p w14:paraId="6E678186" w14:textId="77777777" w:rsidR="008662E5" w:rsidRPr="00900E9B" w:rsidRDefault="008662E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3E0F542" w14:textId="77777777" w:rsidR="008662E5" w:rsidRPr="00900E9B" w:rsidRDefault="008662E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82D96F4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804EE66" w14:textId="68215E4C" w:rsidR="008662E5" w:rsidRPr="00900E9B" w:rsidRDefault="00F47B5D" w:rsidP="00F47B5D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Yes, the title is suitable.</w:t>
            </w:r>
          </w:p>
        </w:tc>
        <w:tc>
          <w:tcPr>
            <w:tcW w:w="1523" w:type="pct"/>
          </w:tcPr>
          <w:p w14:paraId="003A9E25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662E5" w:rsidRPr="00900E9B" w14:paraId="59A7B85A" w14:textId="77777777">
        <w:trPr>
          <w:trHeight w:val="1262"/>
        </w:trPr>
        <w:tc>
          <w:tcPr>
            <w:tcW w:w="1265" w:type="pct"/>
            <w:noWrap/>
          </w:tcPr>
          <w:p w14:paraId="79D39E05" w14:textId="77777777" w:rsidR="008662E5" w:rsidRPr="00900E9B" w:rsidRDefault="008662E5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46621CA7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CF20FA8" w14:textId="0361EE16" w:rsidR="008662E5" w:rsidRPr="00900E9B" w:rsidRDefault="00B36954" w:rsidP="006B7556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Yes, the abstract of the article is comprehensive.</w:t>
            </w:r>
          </w:p>
        </w:tc>
        <w:tc>
          <w:tcPr>
            <w:tcW w:w="1523" w:type="pct"/>
          </w:tcPr>
          <w:p w14:paraId="2D4F6378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662E5" w:rsidRPr="00900E9B" w14:paraId="1291676E" w14:textId="77777777">
        <w:trPr>
          <w:trHeight w:val="704"/>
        </w:trPr>
        <w:tc>
          <w:tcPr>
            <w:tcW w:w="1265" w:type="pct"/>
            <w:noWrap/>
          </w:tcPr>
          <w:p w14:paraId="125832A9" w14:textId="77777777" w:rsidR="008662E5" w:rsidRPr="00900E9B" w:rsidRDefault="008662E5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5C9C2854" w14:textId="74B45B9F" w:rsidR="008662E5" w:rsidRPr="00C115E9" w:rsidRDefault="00E05586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General comment for this section is to write the scientific names properly.</w:t>
            </w:r>
            <w:r w:rsidR="00B36954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B36954" w:rsidRPr="00B36954">
              <w:rPr>
                <w:bCs/>
                <w:sz w:val="20"/>
                <w:szCs w:val="20"/>
                <w:lang w:val="en-GB"/>
              </w:rPr>
              <w:t>Use appropriate format in writing scientific name (e.g. the first letter of the genus must be in uppercase, while the first letter of the species must be in lowercase)</w:t>
            </w:r>
            <w:r w:rsidR="00B36954">
              <w:rPr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6DC3FB6D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662E5" w:rsidRPr="00900E9B" w14:paraId="6AB2BC9E" w14:textId="77777777">
        <w:trPr>
          <w:trHeight w:val="703"/>
        </w:trPr>
        <w:tc>
          <w:tcPr>
            <w:tcW w:w="1265" w:type="pct"/>
            <w:noWrap/>
          </w:tcPr>
          <w:p w14:paraId="6F39B0EA" w14:textId="77777777" w:rsidR="008662E5" w:rsidRPr="00E10705" w:rsidRDefault="008662E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1344E591" w14:textId="4C9AB553" w:rsidR="008662E5" w:rsidRPr="006F5EBE" w:rsidRDefault="006B7556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Yes, the references are sufficient and up to date.</w:t>
            </w:r>
          </w:p>
        </w:tc>
        <w:tc>
          <w:tcPr>
            <w:tcW w:w="1523" w:type="pct"/>
          </w:tcPr>
          <w:p w14:paraId="55279602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662E5" w:rsidRPr="00900E9B" w14:paraId="4960B036" w14:textId="77777777">
        <w:trPr>
          <w:trHeight w:val="386"/>
        </w:trPr>
        <w:tc>
          <w:tcPr>
            <w:tcW w:w="1265" w:type="pct"/>
            <w:noWrap/>
          </w:tcPr>
          <w:p w14:paraId="65FAD6D5" w14:textId="77777777" w:rsidR="008662E5" w:rsidRPr="00900E9B" w:rsidRDefault="008662E5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6310969F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6F4B86" w14:textId="7A282A40" w:rsidR="008662E5" w:rsidRPr="00900E9B" w:rsidRDefault="006B755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Yes, the article is well written.</w:t>
            </w:r>
          </w:p>
        </w:tc>
        <w:tc>
          <w:tcPr>
            <w:tcW w:w="1523" w:type="pct"/>
          </w:tcPr>
          <w:p w14:paraId="5EB10D86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</w:tc>
      </w:tr>
      <w:tr w:rsidR="008662E5" w:rsidRPr="00900E9B" w14:paraId="36990848" w14:textId="77777777">
        <w:trPr>
          <w:trHeight w:val="1178"/>
        </w:trPr>
        <w:tc>
          <w:tcPr>
            <w:tcW w:w="1265" w:type="pct"/>
            <w:noWrap/>
          </w:tcPr>
          <w:p w14:paraId="1D54DBFD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5B88409D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23C0B9" w14:textId="0EE70F51" w:rsidR="008662E5" w:rsidRPr="000D0955" w:rsidRDefault="001A6E6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Please see documents for additional comments/suggestion for revision</w:t>
            </w:r>
          </w:p>
        </w:tc>
        <w:tc>
          <w:tcPr>
            <w:tcW w:w="1523" w:type="pct"/>
          </w:tcPr>
          <w:p w14:paraId="17A52C16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7DF8627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52A5165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381779F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8D6BFC4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187941B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9497160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18F581B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333B5CA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1D1BFC7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6B71461" w14:textId="77777777" w:rsidR="008662E5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89593F8" w14:textId="77777777" w:rsidR="008662E5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D5A7CEA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3770576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662E5" w:rsidRPr="00900E9B" w14:paraId="4C55AD61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3B49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043AEE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662E5" w:rsidRPr="00900E9B" w14:paraId="03501C37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31D1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CEA8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68CD18F" w14:textId="77777777" w:rsidR="008662E5" w:rsidRPr="00900E9B" w:rsidRDefault="008662E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8662E5" w:rsidRPr="00900E9B" w14:paraId="62970511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257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31457557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680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0DAB34E2" w14:textId="77777777" w:rsidR="008662E5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86F21" w14:textId="688B1822" w:rsidR="008662E5" w:rsidRPr="00900E9B" w:rsidRDefault="001A6E6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06C4B8F" w14:textId="77777777" w:rsidR="008662E5" w:rsidRPr="00900E9B" w:rsidRDefault="008662E5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659B8F7A" w14:textId="77777777" w:rsidR="008662E5" w:rsidRPr="00900E9B" w:rsidRDefault="008662E5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1BDC360E" w14:textId="77777777" w:rsidR="008662E5" w:rsidRPr="00900E9B" w:rsidRDefault="008662E5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6A127EC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662E5" w:rsidRPr="00900E9B" w14:paraId="3EDDBC88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366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6729" w14:textId="4B5E49D9" w:rsidR="008662E5" w:rsidRPr="00036C25" w:rsidRDefault="001A6E6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</w:tcPr>
          <w:p w14:paraId="39E063E4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  <w:p w14:paraId="7064ED0E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  <w:p w14:paraId="6AE71A02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</w:tc>
      </w:tr>
      <w:tr w:rsidR="008662E5" w:rsidRPr="00900E9B" w14:paraId="3A104B87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8658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CF1C" w14:textId="76D84B46" w:rsidR="008662E5" w:rsidRPr="00900E9B" w:rsidRDefault="001A6E6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</w:tcPr>
          <w:p w14:paraId="589249A6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  <w:p w14:paraId="7F205565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  <w:p w14:paraId="1678F9B5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E2E4B6B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1100562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4"/>
      </w:tblGrid>
      <w:tr w:rsidR="008662E5" w:rsidRPr="00900E9B" w14:paraId="1827A783" w14:textId="77777777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85AD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14:paraId="6534081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662E5" w:rsidRPr="00900E9B" w14:paraId="1AC207DD" w14:textId="77777777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E0CA" w14:textId="77777777" w:rsidR="008662E5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Here reviewer should declare his/her competing interest. If nothing to declare he/she can write “I declare that I have no competing interest as a reviewer”</w:t>
            </w:r>
          </w:p>
          <w:p w14:paraId="29CB02E3" w14:textId="77777777" w:rsidR="00934549" w:rsidRDefault="0093454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4520CCE" w14:textId="6C3A9AB3" w:rsidR="00934549" w:rsidRPr="00934549" w:rsidRDefault="0093454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45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 declare that I have no competing interest as a reviewer</w:t>
            </w:r>
          </w:p>
        </w:tc>
      </w:tr>
    </w:tbl>
    <w:p w14:paraId="20B478A3" w14:textId="77777777" w:rsidR="008662E5" w:rsidRPr="00900E9B" w:rsidRDefault="008662E5" w:rsidP="008662E5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14:paraId="4684C667" w14:textId="77777777" w:rsidR="008662E5" w:rsidRPr="00900E9B" w:rsidRDefault="008662E5" w:rsidP="008662E5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8662E5" w:rsidRPr="00900E9B" w14:paraId="487F742A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384E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14:paraId="45C8EED6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662E5" w:rsidRPr="00900E9B" w14:paraId="60A33DCB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42B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C0BF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MARKS of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 manuscript</w:t>
            </w:r>
            <w:proofErr w:type="gramEnd"/>
          </w:p>
        </w:tc>
      </w:tr>
      <w:tr w:rsidR="008662E5" w:rsidRPr="00900E9B" w14:paraId="27794914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8FD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14:paraId="524988BE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10  Lowest: 0 )</w:t>
            </w:r>
          </w:p>
          <w:p w14:paraId="6A0FC619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A2FAE8E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124878FF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Accept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It Is: (&gt;9-10)</w:t>
            </w:r>
          </w:p>
          <w:p w14:paraId="01568869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14:paraId="6FBBD957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14:paraId="148DDD77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14:paraId="2175CAA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14:paraId="3EECAA95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F344" w14:textId="68D2A5D5" w:rsidR="008662E5" w:rsidRPr="00900E9B" w:rsidRDefault="008610B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9</w:t>
            </w:r>
          </w:p>
        </w:tc>
      </w:tr>
    </w:tbl>
    <w:p w14:paraId="72F541C7" w14:textId="77777777" w:rsidR="008662E5" w:rsidRPr="00900E9B" w:rsidRDefault="008662E5" w:rsidP="008662E5">
      <w:pPr>
        <w:rPr>
          <w:sz w:val="20"/>
          <w:szCs w:val="20"/>
          <w:lang w:val="en-GB"/>
        </w:rPr>
      </w:pPr>
    </w:p>
    <w:p w14:paraId="45E9745E" w14:textId="77777777" w:rsidR="008662E5" w:rsidRPr="00900E9B" w:rsidRDefault="008662E5" w:rsidP="008662E5">
      <w:pPr>
        <w:rPr>
          <w:sz w:val="20"/>
          <w:szCs w:val="20"/>
          <w:lang w:val="en-GB"/>
        </w:rPr>
      </w:pPr>
    </w:p>
    <w:p w14:paraId="28220467" w14:textId="77777777" w:rsidR="008662E5" w:rsidRDefault="008662E5" w:rsidP="008662E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8662E5" w:rsidRPr="00900E9B" w14:paraId="65FB1D5D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BD7B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14:paraId="42E4FE43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662E5" w:rsidRPr="00900E9B" w14:paraId="44F96BD3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6E7F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E5B1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8662E5" w:rsidRPr="00900E9B" w14:paraId="368E29BF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6428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D11897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EA92C54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B165355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879BEC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775A7D7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7B4CDBA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45449E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3864" w14:textId="77777777" w:rsidR="008662E5" w:rsidRPr="00900E9B" w:rsidRDefault="00866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6E460ED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02672417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49E03E7A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3AC9AA09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658CF256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6B39A9A0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1E2D5DE8" w14:textId="77777777" w:rsidR="008662E5" w:rsidRPr="00900E9B" w:rsidRDefault="008662E5" w:rsidP="008662E5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14:paraId="4D784DA5" w14:textId="77777777" w:rsidR="008662E5" w:rsidRPr="00900E9B" w:rsidRDefault="008662E5" w:rsidP="008662E5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14:paraId="1B478DE8" w14:textId="77777777" w:rsidR="008662E5" w:rsidRDefault="008662E5" w:rsidP="008662E5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  <w:bookmarkStart w:id="2" w:name="_GoBack"/>
      <w:bookmarkEnd w:id="2"/>
    </w:p>
    <w:p w14:paraId="231BC464" w14:textId="77777777" w:rsidR="008662E5" w:rsidRDefault="008662E5" w:rsidP="008662E5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14:paraId="7B49F243" w14:textId="77777777" w:rsidR="008662E5" w:rsidRDefault="008662E5" w:rsidP="008662E5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14:paraId="5EDFEE8C" w14:textId="77777777" w:rsidR="008662E5" w:rsidRDefault="008662E5" w:rsidP="008662E5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14:paraId="4FCF5497" w14:textId="77777777" w:rsidR="008662E5" w:rsidRPr="00900E9B" w:rsidRDefault="008662E5" w:rsidP="008662E5">
      <w:pPr>
        <w:rPr>
          <w:sz w:val="20"/>
          <w:szCs w:val="20"/>
          <w:lang w:val="en-GB"/>
        </w:rPr>
      </w:pPr>
    </w:p>
    <w:p w14:paraId="5FECF5A0" w14:textId="77777777" w:rsidR="008662E5" w:rsidRPr="00900E9B" w:rsidRDefault="008662E5" w:rsidP="008662E5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8662E5" w:rsidRPr="00900E9B" w14:paraId="126D5C8C" w14:textId="77777777">
        <w:tc>
          <w:tcPr>
            <w:tcW w:w="4428" w:type="dxa"/>
          </w:tcPr>
          <w:p w14:paraId="2097F3FD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14:paraId="0077E3DE" w14:textId="56F1D98E" w:rsidR="008662E5" w:rsidRPr="00900E9B" w:rsidRDefault="000840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Niko A. Macaraeg</w:t>
            </w:r>
          </w:p>
        </w:tc>
      </w:tr>
      <w:tr w:rsidR="008662E5" w:rsidRPr="00900E9B" w14:paraId="184CF117" w14:textId="77777777">
        <w:tc>
          <w:tcPr>
            <w:tcW w:w="4428" w:type="dxa"/>
          </w:tcPr>
          <w:p w14:paraId="08841060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14:paraId="4D74E39E" w14:textId="0D7A93E9" w:rsidR="008662E5" w:rsidRPr="00900E9B" w:rsidRDefault="000840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Aquaculture Research and Development Division</w:t>
            </w:r>
          </w:p>
        </w:tc>
      </w:tr>
      <w:tr w:rsidR="008662E5" w:rsidRPr="00900E9B" w14:paraId="12E71428" w14:textId="77777777">
        <w:tc>
          <w:tcPr>
            <w:tcW w:w="4428" w:type="dxa"/>
          </w:tcPr>
          <w:p w14:paraId="5AC9C291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14:paraId="093A0BE5" w14:textId="2139B200" w:rsidR="008662E5" w:rsidRPr="00900E9B" w:rsidRDefault="000840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National Fisheries Research and Development Institute</w:t>
            </w:r>
          </w:p>
        </w:tc>
      </w:tr>
      <w:tr w:rsidR="008662E5" w:rsidRPr="00900E9B" w14:paraId="0F13D28D" w14:textId="77777777">
        <w:tc>
          <w:tcPr>
            <w:tcW w:w="4428" w:type="dxa"/>
          </w:tcPr>
          <w:p w14:paraId="45FCEC57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14:paraId="1303AD16" w14:textId="1EEF97E3" w:rsidR="008662E5" w:rsidRPr="00900E9B" w:rsidRDefault="000840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Philippines</w:t>
            </w:r>
          </w:p>
        </w:tc>
      </w:tr>
      <w:tr w:rsidR="008662E5" w:rsidRPr="00900E9B" w14:paraId="290975ED" w14:textId="77777777">
        <w:tc>
          <w:tcPr>
            <w:tcW w:w="4428" w:type="dxa"/>
          </w:tcPr>
          <w:p w14:paraId="06812F7C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14:paraId="25076DBB" w14:textId="2B45CA03" w:rsidR="008662E5" w:rsidRPr="00900E9B" w:rsidRDefault="00BC294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Science Research Specialist II</w:t>
            </w:r>
          </w:p>
        </w:tc>
      </w:tr>
      <w:tr w:rsidR="008662E5" w:rsidRPr="00900E9B" w14:paraId="5F955FD6" w14:textId="77777777">
        <w:tc>
          <w:tcPr>
            <w:tcW w:w="4428" w:type="dxa"/>
          </w:tcPr>
          <w:p w14:paraId="6AFDDA83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14:paraId="10AADBE4" w14:textId="2094ABE1" w:rsidR="008662E5" w:rsidRDefault="008610B5">
            <w:pPr>
              <w:rPr>
                <w:sz w:val="20"/>
                <w:szCs w:val="20"/>
                <w:lang w:val="en-GB"/>
              </w:rPr>
            </w:pPr>
            <w:hyperlink r:id="rId12" w:history="1">
              <w:r w:rsidRPr="00911837">
                <w:rPr>
                  <w:rStyle w:val="Hyperlink"/>
                  <w:sz w:val="20"/>
                  <w:szCs w:val="20"/>
                  <w:lang w:val="en-GB"/>
                </w:rPr>
                <w:t>nikomacaraeg@gmail.com</w:t>
              </w:r>
            </w:hyperlink>
          </w:p>
          <w:p w14:paraId="27B4D67E" w14:textId="7FFE9FF8" w:rsidR="008610B5" w:rsidRPr="00900E9B" w:rsidRDefault="008610B5">
            <w:pPr>
              <w:rPr>
                <w:sz w:val="20"/>
                <w:szCs w:val="20"/>
                <w:lang w:val="en-GB"/>
              </w:rPr>
            </w:pPr>
            <w:r w:rsidRPr="008610B5">
              <w:rPr>
                <w:sz w:val="20"/>
                <w:szCs w:val="20"/>
                <w:lang w:val="en-GB"/>
              </w:rPr>
              <w:t>nikomacaraeg@gmail.com</w:t>
            </w:r>
          </w:p>
        </w:tc>
      </w:tr>
      <w:tr w:rsidR="008662E5" w:rsidRPr="00900E9B" w14:paraId="24F67DEB" w14:textId="77777777">
        <w:trPr>
          <w:trHeight w:val="77"/>
        </w:trPr>
        <w:tc>
          <w:tcPr>
            <w:tcW w:w="4428" w:type="dxa"/>
          </w:tcPr>
          <w:p w14:paraId="008A7A33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14:paraId="5B7EA7C1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</w:p>
        </w:tc>
      </w:tr>
      <w:tr w:rsidR="008662E5" w:rsidRPr="00900E9B" w14:paraId="42FF8CB7" w14:textId="77777777">
        <w:tc>
          <w:tcPr>
            <w:tcW w:w="4428" w:type="dxa"/>
          </w:tcPr>
          <w:p w14:paraId="1F496768" w14:textId="77777777" w:rsidR="008662E5" w:rsidRPr="00900E9B" w:rsidRDefault="008662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14:paraId="5E10BBC0" w14:textId="15102D22" w:rsidR="008662E5" w:rsidRPr="00900E9B" w:rsidRDefault="00BC294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Aquaculture, Nanotechnology, Fish Nutrition, Aquatic Animal Health</w:t>
            </w:r>
          </w:p>
        </w:tc>
      </w:tr>
      <w:bookmarkEnd w:id="1"/>
    </w:tbl>
    <w:p w14:paraId="60C62BC2" w14:textId="77777777" w:rsidR="008662E5" w:rsidRPr="00900E9B" w:rsidRDefault="008662E5" w:rsidP="008662E5">
      <w:pPr>
        <w:rPr>
          <w:sz w:val="20"/>
          <w:szCs w:val="20"/>
          <w:lang w:val="en-GB"/>
        </w:rPr>
      </w:pPr>
    </w:p>
    <w:bookmarkEnd w:id="0"/>
    <w:p w14:paraId="2D89A52B" w14:textId="77777777" w:rsidR="008662E5" w:rsidRPr="00900E9B" w:rsidRDefault="008662E5" w:rsidP="008662E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492277C" w14:textId="77777777" w:rsidR="008662E5" w:rsidRPr="00F245A7" w:rsidRDefault="008662E5" w:rsidP="008662E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60170C0" w14:textId="77777777" w:rsidR="008662E5" w:rsidRDefault="008662E5" w:rsidP="008662E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04F5223" w14:textId="77777777" w:rsidR="008913D5" w:rsidRDefault="008913D5" w:rsidP="008662E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4B69CE">
      <w:headerReference w:type="default" r:id="rId13"/>
      <w:footerReference w:type="default" r:id="rId14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BEC34" w14:textId="77777777" w:rsidR="003A1AB8" w:rsidRPr="0000007A" w:rsidRDefault="003A1AB8" w:rsidP="0099583E">
      <w:r>
        <w:separator/>
      </w:r>
    </w:p>
  </w:endnote>
  <w:endnote w:type="continuationSeparator" w:id="0">
    <w:p w14:paraId="4E77A211" w14:textId="77777777" w:rsidR="003A1AB8" w:rsidRPr="0000007A" w:rsidRDefault="003A1AB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3BF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85980" w:rsidRPr="00C85980">
      <w:rPr>
        <w:sz w:val="16"/>
      </w:rPr>
      <w:t xml:space="preserve">Version: </w:t>
    </w:r>
    <w:r w:rsidR="00D86742">
      <w:rPr>
        <w:sz w:val="16"/>
      </w:rPr>
      <w:t>3</w:t>
    </w:r>
    <w:r w:rsidR="00C85980" w:rsidRPr="00C85980">
      <w:rPr>
        <w:sz w:val="16"/>
      </w:rPr>
      <w:t xml:space="preserve"> (0</w:t>
    </w:r>
    <w:r w:rsidR="00D86742">
      <w:rPr>
        <w:sz w:val="16"/>
      </w:rPr>
      <w:t>7</w:t>
    </w:r>
    <w:r w:rsidR="00C85980" w:rsidRPr="00C8598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3D895" w14:textId="77777777" w:rsidR="003A1AB8" w:rsidRPr="0000007A" w:rsidRDefault="003A1AB8" w:rsidP="0099583E">
      <w:r>
        <w:separator/>
      </w:r>
    </w:p>
  </w:footnote>
  <w:footnote w:type="continuationSeparator" w:id="0">
    <w:p w14:paraId="0FBBF50C" w14:textId="77777777" w:rsidR="003A1AB8" w:rsidRPr="0000007A" w:rsidRDefault="003A1AB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65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A9372D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8674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1D26"/>
    <w:rsid w:val="000450FC"/>
    <w:rsid w:val="00056CB0"/>
    <w:rsid w:val="000577C2"/>
    <w:rsid w:val="0006257C"/>
    <w:rsid w:val="00084030"/>
    <w:rsid w:val="00084D7C"/>
    <w:rsid w:val="00091112"/>
    <w:rsid w:val="000936AC"/>
    <w:rsid w:val="00094755"/>
    <w:rsid w:val="00095A59"/>
    <w:rsid w:val="000A2134"/>
    <w:rsid w:val="000A6F41"/>
    <w:rsid w:val="000B4EE5"/>
    <w:rsid w:val="000B74A1"/>
    <w:rsid w:val="000B757E"/>
    <w:rsid w:val="000B7DBC"/>
    <w:rsid w:val="000C0837"/>
    <w:rsid w:val="000C3B7E"/>
    <w:rsid w:val="000F0376"/>
    <w:rsid w:val="00100577"/>
    <w:rsid w:val="00101322"/>
    <w:rsid w:val="00136984"/>
    <w:rsid w:val="00136E7B"/>
    <w:rsid w:val="00144521"/>
    <w:rsid w:val="00150304"/>
    <w:rsid w:val="0015296D"/>
    <w:rsid w:val="001616F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6E62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0B6"/>
    <w:rsid w:val="002F6935"/>
    <w:rsid w:val="00312559"/>
    <w:rsid w:val="003204B8"/>
    <w:rsid w:val="0033692F"/>
    <w:rsid w:val="00346223"/>
    <w:rsid w:val="00356801"/>
    <w:rsid w:val="003A04E7"/>
    <w:rsid w:val="003A1AB8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3DF5"/>
    <w:rsid w:val="004674B4"/>
    <w:rsid w:val="004B4CAD"/>
    <w:rsid w:val="004B4FDC"/>
    <w:rsid w:val="004B69CE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66FA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668A8"/>
    <w:rsid w:val="0067046C"/>
    <w:rsid w:val="00676845"/>
    <w:rsid w:val="00680547"/>
    <w:rsid w:val="0068446F"/>
    <w:rsid w:val="0069428E"/>
    <w:rsid w:val="00696CAD"/>
    <w:rsid w:val="006A5E0B"/>
    <w:rsid w:val="006B7556"/>
    <w:rsid w:val="006C3797"/>
    <w:rsid w:val="006D334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0F42"/>
    <w:rsid w:val="00780B67"/>
    <w:rsid w:val="00787C84"/>
    <w:rsid w:val="007A4D8D"/>
    <w:rsid w:val="007B1099"/>
    <w:rsid w:val="007B21D4"/>
    <w:rsid w:val="007B6E18"/>
    <w:rsid w:val="007D0246"/>
    <w:rsid w:val="007F1A20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10B5"/>
    <w:rsid w:val="008662E5"/>
    <w:rsid w:val="0087201B"/>
    <w:rsid w:val="00877F10"/>
    <w:rsid w:val="00882091"/>
    <w:rsid w:val="008909E8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34549"/>
    <w:rsid w:val="009553EC"/>
    <w:rsid w:val="0097330E"/>
    <w:rsid w:val="00974330"/>
    <w:rsid w:val="0097498C"/>
    <w:rsid w:val="00982766"/>
    <w:rsid w:val="00984F06"/>
    <w:rsid w:val="009852C4"/>
    <w:rsid w:val="00985F26"/>
    <w:rsid w:val="0099583E"/>
    <w:rsid w:val="009A0242"/>
    <w:rsid w:val="009A59ED"/>
    <w:rsid w:val="009B5AA8"/>
    <w:rsid w:val="009C3E22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36954"/>
    <w:rsid w:val="00B52B96"/>
    <w:rsid w:val="00B60EFF"/>
    <w:rsid w:val="00B62087"/>
    <w:rsid w:val="00B62F41"/>
    <w:rsid w:val="00B73785"/>
    <w:rsid w:val="00B760E1"/>
    <w:rsid w:val="00B807F8"/>
    <w:rsid w:val="00B839A4"/>
    <w:rsid w:val="00B858FF"/>
    <w:rsid w:val="00BA1AB3"/>
    <w:rsid w:val="00BA6421"/>
    <w:rsid w:val="00BB34E6"/>
    <w:rsid w:val="00BB4FEC"/>
    <w:rsid w:val="00BC2946"/>
    <w:rsid w:val="00BC402F"/>
    <w:rsid w:val="00BD27BA"/>
    <w:rsid w:val="00BE13EF"/>
    <w:rsid w:val="00BE40A5"/>
    <w:rsid w:val="00BE6454"/>
    <w:rsid w:val="00BF39A4"/>
    <w:rsid w:val="00C01108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85980"/>
    <w:rsid w:val="00C87859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5030"/>
    <w:rsid w:val="00D17979"/>
    <w:rsid w:val="00D2075F"/>
    <w:rsid w:val="00D3257B"/>
    <w:rsid w:val="00D40416"/>
    <w:rsid w:val="00D45CF7"/>
    <w:rsid w:val="00D4782A"/>
    <w:rsid w:val="00D7603E"/>
    <w:rsid w:val="00D8579C"/>
    <w:rsid w:val="00D86742"/>
    <w:rsid w:val="00D90124"/>
    <w:rsid w:val="00D9392F"/>
    <w:rsid w:val="00DA41F5"/>
    <w:rsid w:val="00DB5B54"/>
    <w:rsid w:val="00DB7E1B"/>
    <w:rsid w:val="00DC1D81"/>
    <w:rsid w:val="00E05586"/>
    <w:rsid w:val="00E172F6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47B5D"/>
    <w:rsid w:val="00F51F7F"/>
    <w:rsid w:val="00F573EA"/>
    <w:rsid w:val="00F57E9D"/>
    <w:rsid w:val="00F653FF"/>
    <w:rsid w:val="00FA6528"/>
    <w:rsid w:val="00FB2C90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869B9"/>
  <w15:chartTrackingRefBased/>
  <w15:docId w15:val="{348526C2-42DA-DA44-A212-5D4858E9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87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far.com/index.php/AJF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komacaraeg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1.reviewerhub.org/benefits-for-reviewe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A3E0-C98C-4010-80F7-010051B5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https://journalajfar.com/index.php/AJFAR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1163</cp:lastModifiedBy>
  <cp:revision>17</cp:revision>
  <dcterms:created xsi:type="dcterms:W3CDTF">2025-04-10T05:57:00Z</dcterms:created>
  <dcterms:modified xsi:type="dcterms:W3CDTF">2025-04-10T09:04:00Z</dcterms:modified>
</cp:coreProperties>
</file>