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77777777" w:rsidR="000763D2" w:rsidRPr="00303AA8"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A19363B" w14:textId="77777777" w:rsidR="00CF0FD8" w:rsidRDefault="00CF0FD8" w:rsidP="00CF0FD8">
      <w:pPr>
        <w:pStyle w:val="Author"/>
        <w:jc w:val="both"/>
        <w:rPr>
          <w:rFonts w:ascii="Arial" w:hAnsi="Arial" w:cs="Arial"/>
          <w:bCs/>
          <w:iCs/>
          <w:kern w:val="28"/>
          <w:sz w:val="20"/>
        </w:rPr>
      </w:pPr>
    </w:p>
    <w:p w14:paraId="0AE560CC" w14:textId="77777777" w:rsidR="00CF0FD8" w:rsidRDefault="00CF0FD8" w:rsidP="00CF0FD8">
      <w:pPr>
        <w:pStyle w:val="Author"/>
        <w:rPr>
          <w:rFonts w:ascii="Arial" w:hAnsi="Arial" w:cs="Arial"/>
          <w:noProof/>
          <w:sz w:val="28"/>
          <w:szCs w:val="28"/>
          <w:lang w:val="en-PH" w:eastAsia="en-PH"/>
        </w:rPr>
      </w:pPr>
      <w:commentRangeStart w:id="0"/>
      <w:r w:rsidRPr="00CF0FD8">
        <w:rPr>
          <w:rFonts w:ascii="Arial" w:hAnsi="Arial" w:cs="Arial"/>
          <w:noProof/>
          <w:sz w:val="28"/>
          <w:szCs w:val="28"/>
          <w:lang w:val="en-PH" w:eastAsia="en-PH"/>
        </w:rPr>
        <w:t xml:space="preserve">JOB GRATIFICATION OF TEACHERS AS INCLINED BY PRINCIPAL GUIDANCE COMPORTMENT </w:t>
      </w:r>
    </w:p>
    <w:p w14:paraId="78B877E0" w14:textId="6F766A46" w:rsidR="00CF0FD8" w:rsidRDefault="00CF0FD8" w:rsidP="00CF0FD8">
      <w:pPr>
        <w:pStyle w:val="Author"/>
        <w:rPr>
          <w:rFonts w:ascii="Arial" w:hAnsi="Arial" w:cs="Arial"/>
          <w:noProof/>
          <w:sz w:val="28"/>
          <w:szCs w:val="28"/>
          <w:lang w:val="en-PH" w:eastAsia="en-PH"/>
        </w:rPr>
      </w:pPr>
      <w:r w:rsidRPr="00CF0FD8">
        <w:rPr>
          <w:rFonts w:ascii="Arial" w:hAnsi="Arial" w:cs="Arial"/>
          <w:noProof/>
          <w:sz w:val="28"/>
          <w:szCs w:val="28"/>
          <w:lang w:val="en-PH" w:eastAsia="en-PH"/>
        </w:rPr>
        <w:t>IN PUBLIC ELEMENTARY SCHOOLS</w:t>
      </w:r>
      <w:commentRangeEnd w:id="0"/>
      <w:r w:rsidR="006D675B">
        <w:rPr>
          <w:rStyle w:val="CommentReference"/>
          <w:rFonts w:ascii="Times New Roman" w:hAnsi="Times New Roman"/>
          <w:b w:val="0"/>
          <w:lang w:val="nb-NO" w:eastAsia="nb-NO"/>
        </w:rPr>
        <w:commentReference w:id="0"/>
      </w:r>
    </w:p>
    <w:p w14:paraId="7406DBC5" w14:textId="77777777" w:rsidR="008D2AED" w:rsidRDefault="008D2AED">
      <w:pPr>
        <w:pStyle w:val="Affiliation"/>
        <w:spacing w:line="240" w:lineRule="auto"/>
        <w:jc w:val="left"/>
        <w:rPr>
          <w:rFonts w:ascii="Arial" w:hAnsi="Arial" w:cs="Arial"/>
        </w:rPr>
      </w:pPr>
    </w:p>
    <w:p w14:paraId="46B3DCDD" w14:textId="68D2A4BD" w:rsidR="00717F2E" w:rsidRDefault="00D31ACD">
      <w:pPr>
        <w:pStyle w:val="Affiliation"/>
        <w:spacing w:line="240" w:lineRule="auto"/>
        <w:jc w:val="left"/>
        <w:rPr>
          <w:rFonts w:ascii="Arial" w:hAnsi="Arial" w:cs="Arial"/>
          <w:i/>
        </w:rPr>
        <w:sectPr w:rsidR="00717F2E" w:rsidSect="008D2AED">
          <w:headerReference w:type="even" r:id="rId12"/>
          <w:headerReference w:type="default" r:id="rId13"/>
          <w:footerReference w:type="even" r:id="rId14"/>
          <w:footerReference w:type="default" r:id="rId15"/>
          <w:headerReference w:type="first" r:id="rId16"/>
          <w:footerReference w:type="first" r:id="rId17"/>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D31ACD">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1144E8">
        <w:trPr>
          <w:trHeight w:val="3437"/>
        </w:trPr>
        <w:tc>
          <w:tcPr>
            <w:tcW w:w="9576" w:type="dxa"/>
            <w:shd w:val="clear" w:color="auto" w:fill="F2F2F2"/>
          </w:tcPr>
          <w:p w14:paraId="10E1D353" w14:textId="6A7B19D6" w:rsidR="00717F2E" w:rsidRPr="000763D2" w:rsidRDefault="001144E8">
            <w:pPr>
              <w:jc w:val="both"/>
              <w:rPr>
                <w:rFonts w:ascii="Arial" w:hAnsi="Arial" w:cs="Arial"/>
                <w:iCs/>
              </w:rPr>
            </w:pPr>
            <w:r w:rsidRPr="001144E8">
              <w:rPr>
                <w:rFonts w:ascii="Arial" w:hAnsi="Arial" w:cs="Arial"/>
                <w:iCs/>
              </w:rPr>
              <w:t xml:space="preserve">This study aimed to explore the significant relationship between job gratification of teachers and principal guidance comportment in public elementary schools. </w:t>
            </w:r>
            <w:commentRangeStart w:id="1"/>
            <w:r w:rsidRPr="001144E8">
              <w:rPr>
                <w:rFonts w:ascii="Arial" w:hAnsi="Arial" w:cs="Arial"/>
                <w:iCs/>
              </w:rPr>
              <w:t xml:space="preserve">A descriptive-correlational research design was employed, with a sample of 134 teachers from public schools. Data were gathered through standardized questionnaires distributed via face-to-face surveys. The data were analyzed using mean, standard deviation (SD), Pearson product-moment correlation, and multiple linear regression analyses. The findings indicated that both job gratification and principal guidance comportment were rated as very high. Correlation analysis revealed a significant positive relationship between these variables. </w:t>
            </w:r>
            <w:commentRangeEnd w:id="1"/>
            <w:r w:rsidR="006D675B">
              <w:rPr>
                <w:rStyle w:val="CommentReference"/>
                <w:rFonts w:ascii="Times New Roman" w:hAnsi="Times New Roman"/>
                <w:lang w:val="nb-NO" w:eastAsia="nb-NO"/>
              </w:rPr>
              <w:commentReference w:id="1"/>
            </w:r>
            <w:r w:rsidRPr="001144E8">
              <w:rPr>
                <w:rFonts w:ascii="Arial" w:hAnsi="Arial" w:cs="Arial"/>
                <w:iCs/>
              </w:rPr>
              <w:t>Additionally, the study found that various domains of job gratification, such as salary, working conditions, and supervisory practices, significantly influenced teachers’ perceptions of principal guidance comportment. It is recommended that school administrators strengthen initiatives that enhance both teacher gratification and leadership effectiveness. Providing professional development programs and fostering a supportive school culture will help sustain high levels of job gratification and improve principal-teacher relationships, ultimately benefiting the overall learning environment.</w:t>
            </w:r>
          </w:p>
        </w:tc>
      </w:tr>
    </w:tbl>
    <w:p w14:paraId="175A3F79" w14:textId="77777777" w:rsidR="00717F2E" w:rsidRDefault="00717F2E">
      <w:pPr>
        <w:pStyle w:val="Body"/>
        <w:spacing w:after="0"/>
        <w:rPr>
          <w:rFonts w:ascii="Arial" w:hAnsi="Arial" w:cs="Arial"/>
          <w:i/>
        </w:rPr>
      </w:pPr>
    </w:p>
    <w:p w14:paraId="02A1992A" w14:textId="3433D902" w:rsidR="00717F2E" w:rsidRDefault="00D31ACD" w:rsidP="001144E8">
      <w:pPr>
        <w:jc w:val="both"/>
        <w:rPr>
          <w:rFonts w:ascii="Arial" w:hAnsi="Arial" w:cs="Arial"/>
          <w:iCs/>
        </w:rPr>
      </w:pPr>
      <w:r w:rsidRPr="000763D2">
        <w:rPr>
          <w:rFonts w:ascii="Arial" w:hAnsi="Arial" w:cs="Arial"/>
          <w:i/>
          <w:iCs/>
        </w:rPr>
        <w:t>Keywords</w:t>
      </w:r>
      <w:r>
        <w:rPr>
          <w:rFonts w:ascii="Arial" w:hAnsi="Arial" w:cs="Arial"/>
        </w:rPr>
        <w:t xml:space="preserve">: </w:t>
      </w:r>
      <w:r w:rsidR="001144E8" w:rsidRPr="001144E8">
        <w:rPr>
          <w:rFonts w:ascii="Arial" w:hAnsi="Arial" w:cs="Arial"/>
          <w:iCs/>
        </w:rPr>
        <w:t xml:space="preserve">Job </w:t>
      </w:r>
      <w:commentRangeStart w:id="2"/>
      <w:r w:rsidR="001144E8" w:rsidRPr="001144E8">
        <w:rPr>
          <w:rFonts w:ascii="Arial" w:hAnsi="Arial" w:cs="Arial"/>
          <w:iCs/>
        </w:rPr>
        <w:t>Gratification</w:t>
      </w:r>
      <w:commentRangeEnd w:id="2"/>
      <w:r w:rsidR="006D675B">
        <w:rPr>
          <w:rStyle w:val="CommentReference"/>
          <w:rFonts w:ascii="Times New Roman" w:hAnsi="Times New Roman"/>
          <w:lang w:val="nb-NO" w:eastAsia="nb-NO"/>
        </w:rPr>
        <w:commentReference w:id="2"/>
      </w:r>
      <w:r w:rsidR="001144E8" w:rsidRPr="001144E8">
        <w:rPr>
          <w:rFonts w:ascii="Arial" w:hAnsi="Arial" w:cs="Arial"/>
          <w:iCs/>
        </w:rPr>
        <w:t>, Principal Guidance Comportment, Public Elementary School Teachers, Descriptive-Correlational, Education</w:t>
      </w:r>
    </w:p>
    <w:p w14:paraId="61917974" w14:textId="77777777" w:rsidR="001144E8" w:rsidRDefault="001144E8" w:rsidP="001144E8">
      <w:pPr>
        <w:jc w:val="both"/>
        <w:rPr>
          <w:rFonts w:ascii="Arial" w:hAnsi="Arial" w:cs="Arial"/>
          <w:iCs/>
        </w:rPr>
      </w:pPr>
    </w:p>
    <w:p w14:paraId="582A08FD" w14:textId="77777777" w:rsidR="001144E8" w:rsidRDefault="001144E8" w:rsidP="001144E8">
      <w:pPr>
        <w:jc w:val="both"/>
        <w:rPr>
          <w:rFonts w:ascii="Arial" w:hAnsi="Arial" w:cs="Arial"/>
        </w:rPr>
      </w:pPr>
    </w:p>
    <w:p w14:paraId="0C7D9A8E" w14:textId="77777777" w:rsidR="00717F2E" w:rsidRDefault="00D31ACD">
      <w:pPr>
        <w:pStyle w:val="AbstHead"/>
        <w:spacing w:after="0"/>
        <w:jc w:val="both"/>
        <w:rPr>
          <w:rFonts w:ascii="Arial" w:hAnsi="Arial" w:cs="Arial"/>
          <w:sz w:val="20"/>
        </w:rPr>
      </w:pPr>
      <w:r>
        <w:rPr>
          <w:rFonts w:ascii="Arial" w:hAnsi="Arial" w:cs="Arial"/>
          <w:sz w:val="20"/>
        </w:rPr>
        <w:t>1. INTRODUC</w:t>
      </w:r>
      <w:commentRangeStart w:id="3"/>
      <w:r>
        <w:rPr>
          <w:rFonts w:ascii="Arial" w:hAnsi="Arial" w:cs="Arial"/>
          <w:sz w:val="20"/>
        </w:rPr>
        <w:t>TION</w:t>
      </w:r>
      <w:commentRangeEnd w:id="3"/>
      <w:r w:rsidR="007C182C">
        <w:rPr>
          <w:rStyle w:val="CommentReference"/>
          <w:rFonts w:ascii="Times New Roman" w:hAnsi="Times New Roman"/>
          <w:b w:val="0"/>
          <w:caps w:val="0"/>
          <w:lang w:val="nb-NO" w:eastAsia="nb-NO"/>
        </w:rPr>
        <w:commentReference w:id="3"/>
      </w:r>
    </w:p>
    <w:p w14:paraId="499EF934" w14:textId="77777777" w:rsidR="00717F2E" w:rsidRDefault="00717F2E">
      <w:pPr>
        <w:pStyle w:val="AbstHead"/>
        <w:spacing w:after="0"/>
        <w:jc w:val="both"/>
        <w:rPr>
          <w:rFonts w:ascii="Arial" w:hAnsi="Arial" w:cs="Arial"/>
          <w:sz w:val="20"/>
        </w:rPr>
      </w:pPr>
    </w:p>
    <w:p w14:paraId="79A38C46" w14:textId="24BD6C67" w:rsidR="008D1265" w:rsidRPr="008D1265" w:rsidRDefault="008D1265" w:rsidP="008D1265">
      <w:pPr>
        <w:pStyle w:val="AbstHead"/>
        <w:jc w:val="both"/>
        <w:rPr>
          <w:rFonts w:ascii="Arial" w:hAnsi="Arial"/>
          <w:b w:val="0"/>
          <w:caps w:val="0"/>
          <w:sz w:val="20"/>
        </w:rPr>
      </w:pPr>
      <w:r w:rsidRPr="008D1265">
        <w:rPr>
          <w:rFonts w:ascii="Arial" w:hAnsi="Arial"/>
          <w:b w:val="0"/>
          <w:caps w:val="0"/>
          <w:sz w:val="20"/>
        </w:rPr>
        <w:t>The concept of job gratification has received significant attention over the past 65 years. Despite its widespread use in both scientific research and everyday life, there is still no universally accepted definition of job gratification</w:t>
      </w:r>
      <w:r w:rsidR="00724D20">
        <w:rPr>
          <w:rFonts w:ascii="Arial" w:hAnsi="Arial"/>
          <w:b w:val="0"/>
          <w:caps w:val="0"/>
          <w:sz w:val="20"/>
        </w:rPr>
        <w:t xml:space="preserve"> (</w:t>
      </w:r>
      <w:r w:rsidR="00724D20" w:rsidRPr="00724D20">
        <w:rPr>
          <w:rFonts w:ascii="Arial" w:hAnsi="Arial"/>
          <w:b w:val="0"/>
          <w:caps w:val="0"/>
          <w:sz w:val="20"/>
        </w:rPr>
        <w:t>Ren</w:t>
      </w:r>
      <w:r w:rsidR="00724D20">
        <w:rPr>
          <w:rFonts w:ascii="Arial" w:hAnsi="Arial"/>
          <w:b w:val="0"/>
          <w:caps w:val="0"/>
          <w:sz w:val="20"/>
        </w:rPr>
        <w:t xml:space="preserve"> et al., 2022).</w:t>
      </w:r>
      <w:r w:rsidRPr="008D1265">
        <w:rPr>
          <w:rFonts w:ascii="Arial" w:hAnsi="Arial"/>
          <w:b w:val="0"/>
          <w:caps w:val="0"/>
          <w:sz w:val="20"/>
        </w:rPr>
        <w:t xml:space="preserve"> The challenge of enhancing job gratification among teachers remains a pressing issue, which explains why educators experience both positive and negative emotions toward their profession </w:t>
      </w:r>
      <w:r w:rsidR="00724D20">
        <w:rPr>
          <w:rFonts w:ascii="Arial" w:hAnsi="Arial"/>
          <w:b w:val="0"/>
          <w:caps w:val="0"/>
          <w:sz w:val="20"/>
        </w:rPr>
        <w:t>(</w:t>
      </w:r>
      <w:proofErr w:type="spellStart"/>
      <w:r w:rsidR="00724D20" w:rsidRPr="00724D20">
        <w:rPr>
          <w:rFonts w:ascii="Arial" w:hAnsi="Arial"/>
          <w:b w:val="0"/>
          <w:caps w:val="0"/>
          <w:sz w:val="20"/>
        </w:rPr>
        <w:t>Sahito</w:t>
      </w:r>
      <w:proofErr w:type="spellEnd"/>
      <w:r w:rsidR="00724D20">
        <w:rPr>
          <w:rFonts w:ascii="Arial" w:hAnsi="Arial"/>
          <w:b w:val="0"/>
          <w:caps w:val="0"/>
          <w:sz w:val="20"/>
        </w:rPr>
        <w:t xml:space="preserve"> </w:t>
      </w:r>
      <w:r w:rsidR="00724D20" w:rsidRPr="00724D20">
        <w:rPr>
          <w:rFonts w:ascii="Arial" w:hAnsi="Arial"/>
          <w:b w:val="0"/>
          <w:caps w:val="0"/>
          <w:sz w:val="20"/>
        </w:rPr>
        <w:t xml:space="preserve">&amp; </w:t>
      </w:r>
      <w:proofErr w:type="spellStart"/>
      <w:r w:rsidR="00724D20" w:rsidRPr="00724D20">
        <w:rPr>
          <w:rFonts w:ascii="Arial" w:hAnsi="Arial"/>
          <w:b w:val="0"/>
          <w:caps w:val="0"/>
          <w:sz w:val="20"/>
        </w:rPr>
        <w:t>Vaisanen</w:t>
      </w:r>
      <w:proofErr w:type="spellEnd"/>
      <w:r w:rsidR="00724D20">
        <w:rPr>
          <w:rFonts w:ascii="Arial" w:hAnsi="Arial"/>
          <w:b w:val="0"/>
          <w:caps w:val="0"/>
          <w:sz w:val="20"/>
        </w:rPr>
        <w:t>, 2020</w:t>
      </w:r>
      <w:r w:rsidRPr="008D1265">
        <w:rPr>
          <w:rFonts w:ascii="Arial" w:hAnsi="Arial"/>
          <w:b w:val="0"/>
          <w:caps w:val="0"/>
          <w:sz w:val="20"/>
        </w:rPr>
        <w:t>). In response to this concern, numerous researchers have explored various factors influencing job gratification</w:t>
      </w:r>
      <w:r w:rsidR="00724D20">
        <w:rPr>
          <w:rFonts w:ascii="Arial" w:hAnsi="Arial"/>
          <w:b w:val="0"/>
          <w:caps w:val="0"/>
          <w:sz w:val="20"/>
        </w:rPr>
        <w:t xml:space="preserve"> (</w:t>
      </w:r>
      <w:r w:rsidR="00724D20" w:rsidRPr="00724D20">
        <w:rPr>
          <w:rFonts w:ascii="Arial" w:hAnsi="Arial"/>
          <w:b w:val="0"/>
          <w:caps w:val="0"/>
          <w:sz w:val="20"/>
        </w:rPr>
        <w:t>Jeshurun</w:t>
      </w:r>
      <w:r w:rsidR="00724D20">
        <w:rPr>
          <w:rFonts w:ascii="Arial" w:hAnsi="Arial"/>
          <w:b w:val="0"/>
          <w:caps w:val="0"/>
          <w:sz w:val="20"/>
        </w:rPr>
        <w:t xml:space="preserve"> et al., 2022;</w:t>
      </w:r>
      <w:r w:rsidR="00724D20" w:rsidRPr="00724D20">
        <w:t xml:space="preserve"> </w:t>
      </w:r>
      <w:r w:rsidR="00724D20" w:rsidRPr="00724D20">
        <w:rPr>
          <w:rFonts w:ascii="Arial" w:hAnsi="Arial"/>
          <w:b w:val="0"/>
          <w:caps w:val="0"/>
          <w:sz w:val="20"/>
        </w:rPr>
        <w:t>Chu</w:t>
      </w:r>
      <w:r w:rsidR="00724D20">
        <w:rPr>
          <w:rFonts w:ascii="Arial" w:hAnsi="Arial"/>
          <w:b w:val="0"/>
          <w:caps w:val="0"/>
          <w:sz w:val="20"/>
        </w:rPr>
        <w:t xml:space="preserve"> et al., 2024; </w:t>
      </w:r>
      <w:r w:rsidR="00724D20" w:rsidRPr="00724D20">
        <w:rPr>
          <w:rFonts w:ascii="Arial" w:hAnsi="Arial"/>
          <w:b w:val="0"/>
          <w:caps w:val="0"/>
          <w:sz w:val="20"/>
        </w:rPr>
        <w:t>Majekodunmi</w:t>
      </w:r>
      <w:r w:rsidR="00724D20">
        <w:rPr>
          <w:rFonts w:ascii="Arial" w:hAnsi="Arial"/>
          <w:b w:val="0"/>
          <w:caps w:val="0"/>
          <w:sz w:val="20"/>
        </w:rPr>
        <w:t xml:space="preserve"> </w:t>
      </w:r>
      <w:r w:rsidR="00724D20" w:rsidRPr="00724D20">
        <w:rPr>
          <w:rFonts w:ascii="Arial" w:hAnsi="Arial"/>
          <w:b w:val="0"/>
          <w:caps w:val="0"/>
          <w:sz w:val="20"/>
        </w:rPr>
        <w:t>&amp; Olajide-Arise</w:t>
      </w:r>
      <w:r w:rsidR="00724D20">
        <w:rPr>
          <w:rFonts w:ascii="Arial" w:hAnsi="Arial"/>
          <w:b w:val="0"/>
          <w:caps w:val="0"/>
          <w:sz w:val="20"/>
        </w:rPr>
        <w:t>, 2024).</w:t>
      </w:r>
      <w:r w:rsidRPr="008D1265">
        <w:rPr>
          <w:rFonts w:ascii="Arial" w:hAnsi="Arial"/>
          <w:b w:val="0"/>
          <w:caps w:val="0"/>
          <w:sz w:val="20"/>
        </w:rPr>
        <w:t xml:space="preserve"> Several studies have identified principal leadership behavior</w:t>
      </w:r>
      <w:r w:rsidR="00724D20">
        <w:rPr>
          <w:rFonts w:ascii="Arial" w:hAnsi="Arial"/>
          <w:b w:val="0"/>
          <w:caps w:val="0"/>
          <w:sz w:val="20"/>
        </w:rPr>
        <w:t>,</w:t>
      </w:r>
      <w:r w:rsidRPr="008D1265">
        <w:rPr>
          <w:rFonts w:ascii="Arial" w:hAnsi="Arial"/>
          <w:b w:val="0"/>
          <w:caps w:val="0"/>
          <w:sz w:val="20"/>
        </w:rPr>
        <w:t xml:space="preserve"> teacher professionalism and organizational climate as key predictors of job gratification</w:t>
      </w:r>
      <w:r w:rsidR="00724D20">
        <w:rPr>
          <w:rFonts w:ascii="Arial" w:hAnsi="Arial"/>
          <w:b w:val="0"/>
          <w:caps w:val="0"/>
          <w:sz w:val="20"/>
        </w:rPr>
        <w:t xml:space="preserve"> </w:t>
      </w:r>
      <w:commentRangeStart w:id="4"/>
      <w:r w:rsidR="00724D20">
        <w:rPr>
          <w:rFonts w:ascii="Arial" w:hAnsi="Arial"/>
          <w:b w:val="0"/>
          <w:caps w:val="0"/>
          <w:sz w:val="20"/>
        </w:rPr>
        <w:t>(</w:t>
      </w:r>
      <w:r w:rsidR="00724D20" w:rsidRPr="00724D20">
        <w:rPr>
          <w:rFonts w:ascii="Arial" w:hAnsi="Arial"/>
          <w:b w:val="0"/>
          <w:caps w:val="0"/>
          <w:sz w:val="20"/>
        </w:rPr>
        <w:t>Sanchez</w:t>
      </w:r>
      <w:r w:rsidR="00724D20">
        <w:rPr>
          <w:rFonts w:ascii="Arial" w:hAnsi="Arial"/>
          <w:b w:val="0"/>
          <w:caps w:val="0"/>
          <w:sz w:val="20"/>
        </w:rPr>
        <w:t xml:space="preserve"> et al., 2022; </w:t>
      </w:r>
      <w:r w:rsidR="00724D20" w:rsidRPr="00724D20">
        <w:rPr>
          <w:rFonts w:ascii="Arial" w:hAnsi="Arial"/>
          <w:b w:val="0"/>
          <w:caps w:val="0"/>
          <w:sz w:val="20"/>
        </w:rPr>
        <w:t>Dorji,</w:t>
      </w:r>
      <w:r w:rsidR="00724D20">
        <w:rPr>
          <w:rFonts w:ascii="Arial" w:hAnsi="Arial"/>
          <w:b w:val="0"/>
          <w:caps w:val="0"/>
          <w:sz w:val="20"/>
        </w:rPr>
        <w:t xml:space="preserve"> </w:t>
      </w:r>
      <w:r w:rsidR="00724D20" w:rsidRPr="00724D20">
        <w:rPr>
          <w:rFonts w:ascii="Arial" w:hAnsi="Arial"/>
          <w:b w:val="0"/>
          <w:caps w:val="0"/>
          <w:sz w:val="20"/>
        </w:rPr>
        <w:t>2023</w:t>
      </w:r>
      <w:r w:rsidR="00724D20">
        <w:rPr>
          <w:rFonts w:ascii="Arial" w:hAnsi="Arial"/>
          <w:b w:val="0"/>
          <w:caps w:val="0"/>
          <w:sz w:val="20"/>
        </w:rPr>
        <w:t xml:space="preserve">; </w:t>
      </w:r>
      <w:r w:rsidR="00724D20" w:rsidRPr="00724D20">
        <w:rPr>
          <w:rFonts w:ascii="Arial" w:hAnsi="Arial"/>
          <w:b w:val="0"/>
          <w:caps w:val="0"/>
          <w:sz w:val="20"/>
        </w:rPr>
        <w:t>Sanchez</w:t>
      </w:r>
      <w:r w:rsidR="00724D20">
        <w:rPr>
          <w:rFonts w:ascii="Arial" w:hAnsi="Arial"/>
          <w:b w:val="0"/>
          <w:caps w:val="0"/>
          <w:sz w:val="20"/>
        </w:rPr>
        <w:t xml:space="preserve"> et al., 2022; </w:t>
      </w:r>
      <w:r w:rsidR="00724D20" w:rsidRPr="00724D20">
        <w:rPr>
          <w:rFonts w:ascii="Arial" w:hAnsi="Arial"/>
          <w:b w:val="0"/>
          <w:caps w:val="0"/>
          <w:sz w:val="20"/>
        </w:rPr>
        <w:t>Ahmar,</w:t>
      </w:r>
      <w:r w:rsidR="00724D20">
        <w:rPr>
          <w:rFonts w:ascii="Arial" w:hAnsi="Arial"/>
          <w:b w:val="0"/>
          <w:caps w:val="0"/>
          <w:sz w:val="20"/>
        </w:rPr>
        <w:t xml:space="preserve"> 2024</w:t>
      </w:r>
      <w:r w:rsidR="00724D20" w:rsidRPr="00724D20">
        <w:rPr>
          <w:rFonts w:ascii="Arial" w:hAnsi="Arial"/>
          <w:b w:val="0"/>
          <w:caps w:val="0"/>
          <w:sz w:val="20"/>
        </w:rPr>
        <w:t>).</w:t>
      </w:r>
      <w:commentRangeEnd w:id="4"/>
      <w:r w:rsidR="006D675B">
        <w:rPr>
          <w:rStyle w:val="CommentReference"/>
          <w:rFonts w:ascii="Times New Roman" w:hAnsi="Times New Roman"/>
          <w:b w:val="0"/>
          <w:caps w:val="0"/>
          <w:lang w:val="nb-NO" w:eastAsia="nb-NO"/>
        </w:rPr>
        <w:commentReference w:id="4"/>
      </w:r>
    </w:p>
    <w:p w14:paraId="2FFC2BCE" w14:textId="77777777" w:rsidR="00724D20" w:rsidRDefault="008D1265" w:rsidP="008D1265">
      <w:pPr>
        <w:pStyle w:val="AbstHead"/>
        <w:jc w:val="both"/>
        <w:rPr>
          <w:rFonts w:ascii="Arial" w:hAnsi="Arial"/>
          <w:b w:val="0"/>
          <w:caps w:val="0"/>
          <w:sz w:val="20"/>
        </w:rPr>
      </w:pPr>
      <w:r w:rsidRPr="008D1265">
        <w:rPr>
          <w:rFonts w:ascii="Arial" w:hAnsi="Arial"/>
          <w:b w:val="0"/>
          <w:caps w:val="0"/>
          <w:sz w:val="20"/>
        </w:rPr>
        <w:t>In the Philippines, a news report revealed that while employment rates increased, job gratification declined</w:t>
      </w:r>
      <w:r w:rsidR="00724D20">
        <w:rPr>
          <w:rFonts w:ascii="Arial" w:hAnsi="Arial"/>
          <w:b w:val="0"/>
          <w:caps w:val="0"/>
          <w:sz w:val="20"/>
        </w:rPr>
        <w:t xml:space="preserve"> (</w:t>
      </w:r>
      <w:r w:rsidR="00724D20" w:rsidRPr="00724D20">
        <w:rPr>
          <w:rFonts w:ascii="Arial" w:hAnsi="Arial"/>
          <w:b w:val="0"/>
          <w:caps w:val="0"/>
          <w:sz w:val="20"/>
        </w:rPr>
        <w:t>Kokubun</w:t>
      </w:r>
      <w:r w:rsidR="00724D20">
        <w:rPr>
          <w:rFonts w:ascii="Arial" w:hAnsi="Arial"/>
          <w:b w:val="0"/>
          <w:caps w:val="0"/>
          <w:sz w:val="20"/>
        </w:rPr>
        <w:t xml:space="preserve">, 2019). </w:t>
      </w:r>
      <w:r w:rsidRPr="008D1265">
        <w:rPr>
          <w:rFonts w:ascii="Arial" w:hAnsi="Arial"/>
          <w:b w:val="0"/>
          <w:caps w:val="0"/>
          <w:sz w:val="20"/>
        </w:rPr>
        <w:t xml:space="preserve">According to the National Statistics Office (NSO), more Filipinos were employed; however, many sought different jobs or additional working hours to </w:t>
      </w:r>
      <w:r w:rsidRPr="008D1265">
        <w:rPr>
          <w:rFonts w:ascii="Arial" w:hAnsi="Arial"/>
          <w:b w:val="0"/>
          <w:caps w:val="0"/>
          <w:sz w:val="20"/>
        </w:rPr>
        <w:lastRenderedPageBreak/>
        <w:t>earn more</w:t>
      </w:r>
      <w:r w:rsidR="00724D20">
        <w:rPr>
          <w:rFonts w:ascii="Arial" w:hAnsi="Arial"/>
          <w:b w:val="0"/>
          <w:caps w:val="0"/>
          <w:sz w:val="20"/>
        </w:rPr>
        <w:t xml:space="preserve">. </w:t>
      </w:r>
      <w:r w:rsidRPr="008D1265">
        <w:rPr>
          <w:rFonts w:ascii="Arial" w:hAnsi="Arial"/>
          <w:b w:val="0"/>
          <w:caps w:val="0"/>
          <w:sz w:val="20"/>
        </w:rPr>
        <w:t xml:space="preserve"> </w:t>
      </w:r>
      <w:r w:rsidR="00724D20" w:rsidRPr="00724D20">
        <w:rPr>
          <w:rFonts w:ascii="Arial" w:hAnsi="Arial"/>
          <w:b w:val="0"/>
          <w:caps w:val="0"/>
          <w:sz w:val="20"/>
        </w:rPr>
        <w:t xml:space="preserve">Pratap </w:t>
      </w:r>
      <w:r w:rsidR="00724D20">
        <w:rPr>
          <w:rFonts w:ascii="Arial" w:hAnsi="Arial"/>
          <w:b w:val="0"/>
          <w:caps w:val="0"/>
          <w:sz w:val="20"/>
        </w:rPr>
        <w:t xml:space="preserve">et al. (2021) highlighted </w:t>
      </w:r>
      <w:r w:rsidRPr="008D1265">
        <w:rPr>
          <w:rFonts w:ascii="Arial" w:hAnsi="Arial"/>
          <w:b w:val="0"/>
          <w:caps w:val="0"/>
          <w:sz w:val="20"/>
        </w:rPr>
        <w:t>that the underemployment rate reflects the lack of quality jobs that align with the needs of the workforce</w:t>
      </w:r>
      <w:r w:rsidR="00724D20">
        <w:rPr>
          <w:rFonts w:ascii="Arial" w:hAnsi="Arial"/>
          <w:b w:val="0"/>
          <w:caps w:val="0"/>
          <w:sz w:val="20"/>
        </w:rPr>
        <w:t>.</w:t>
      </w:r>
    </w:p>
    <w:p w14:paraId="20264E73" w14:textId="50F5C236" w:rsidR="008D1265" w:rsidRPr="008D1265" w:rsidRDefault="008D1265" w:rsidP="008D1265">
      <w:pPr>
        <w:pStyle w:val="AbstHead"/>
        <w:jc w:val="both"/>
        <w:rPr>
          <w:rFonts w:ascii="Arial" w:hAnsi="Arial"/>
          <w:b w:val="0"/>
          <w:caps w:val="0"/>
          <w:sz w:val="20"/>
        </w:rPr>
      </w:pPr>
      <w:r w:rsidRPr="008D1265">
        <w:rPr>
          <w:rFonts w:ascii="Arial" w:hAnsi="Arial"/>
          <w:b w:val="0"/>
          <w:caps w:val="0"/>
          <w:sz w:val="20"/>
        </w:rPr>
        <w:t>Teachers face similar challenges despite the full implementation of salary standardization, as they continue to demand higher wages. In fact, many highly skilled and experienced teachers have resigned in pursuit of better-paying opportunities</w:t>
      </w:r>
      <w:r w:rsidR="00724D20">
        <w:rPr>
          <w:rFonts w:ascii="Arial" w:hAnsi="Arial"/>
          <w:b w:val="0"/>
          <w:caps w:val="0"/>
          <w:sz w:val="20"/>
        </w:rPr>
        <w:t xml:space="preserve"> (</w:t>
      </w:r>
      <w:r w:rsidR="00724D20" w:rsidRPr="00724D20">
        <w:rPr>
          <w:rFonts w:ascii="Arial" w:hAnsi="Arial"/>
          <w:b w:val="0"/>
          <w:caps w:val="0"/>
          <w:sz w:val="20"/>
        </w:rPr>
        <w:t>Peters-</w:t>
      </w:r>
      <w:proofErr w:type="spellStart"/>
      <w:r w:rsidR="00724D20" w:rsidRPr="00724D20">
        <w:rPr>
          <w:rFonts w:ascii="Arial" w:hAnsi="Arial"/>
          <w:b w:val="0"/>
          <w:caps w:val="0"/>
          <w:sz w:val="20"/>
        </w:rPr>
        <w:t>Dictor</w:t>
      </w:r>
      <w:proofErr w:type="spellEnd"/>
      <w:r w:rsidR="00724D20">
        <w:rPr>
          <w:rFonts w:ascii="Arial" w:hAnsi="Arial"/>
          <w:b w:val="0"/>
          <w:caps w:val="0"/>
          <w:sz w:val="20"/>
        </w:rPr>
        <w:t>, 2022).</w:t>
      </w:r>
    </w:p>
    <w:p w14:paraId="20B76228" w14:textId="0D00F921" w:rsidR="008D1265" w:rsidRPr="008D1265" w:rsidRDefault="008D1265" w:rsidP="008D1265">
      <w:pPr>
        <w:pStyle w:val="AbstHead"/>
        <w:jc w:val="both"/>
        <w:rPr>
          <w:rFonts w:ascii="Arial" w:hAnsi="Arial"/>
          <w:b w:val="0"/>
          <w:caps w:val="0"/>
          <w:sz w:val="20"/>
        </w:rPr>
      </w:pPr>
      <w:r w:rsidRPr="008D1265">
        <w:rPr>
          <w:rFonts w:ascii="Arial" w:hAnsi="Arial"/>
          <w:b w:val="0"/>
          <w:caps w:val="0"/>
          <w:sz w:val="20"/>
        </w:rPr>
        <w:t>Over the past decade, the Public Services Labor Independent Confederation (PS-LINK) reported that more than 4,000 Filipino educators, including school principals who opted to return to teaching roles, have migrated to the United States, the Middle East, and other Asian countries such as China, Japan, and Indonesia to teach (</w:t>
      </w:r>
      <w:r w:rsidR="00724D20" w:rsidRPr="00724D20">
        <w:rPr>
          <w:rFonts w:ascii="Arial" w:hAnsi="Arial"/>
          <w:b w:val="0"/>
          <w:caps w:val="0"/>
          <w:sz w:val="20"/>
        </w:rPr>
        <w:t>Perez-Amurao</w:t>
      </w:r>
      <w:r w:rsidR="00724D20">
        <w:rPr>
          <w:rFonts w:ascii="Arial" w:hAnsi="Arial"/>
          <w:b w:val="0"/>
          <w:caps w:val="0"/>
          <w:sz w:val="20"/>
        </w:rPr>
        <w:t>, 2020</w:t>
      </w:r>
      <w:r w:rsidRPr="008D1265">
        <w:rPr>
          <w:rFonts w:ascii="Arial" w:hAnsi="Arial"/>
          <w:b w:val="0"/>
          <w:caps w:val="0"/>
          <w:sz w:val="20"/>
        </w:rPr>
        <w:t>). The working conditions for public school teachers in the Philippines remain challenging. Issues such as low salaries, heavy teaching and non-teaching workloads, overcrowded classrooms, bureaucratic inefficiencies, corruption at various levels, and limited opportunities for career and personal growth have pushed many Filipino teachers to seek employment abroad (</w:t>
      </w:r>
      <w:r w:rsidR="00724D20" w:rsidRPr="00724D20">
        <w:rPr>
          <w:rFonts w:ascii="Arial" w:hAnsi="Arial"/>
          <w:b w:val="0"/>
          <w:caps w:val="0"/>
          <w:sz w:val="20"/>
        </w:rPr>
        <w:t>Soriano</w:t>
      </w:r>
      <w:r w:rsidRPr="008D1265">
        <w:rPr>
          <w:rFonts w:ascii="Arial" w:hAnsi="Arial"/>
          <w:b w:val="0"/>
          <w:caps w:val="0"/>
          <w:sz w:val="20"/>
        </w:rPr>
        <w:t>, 20</w:t>
      </w:r>
      <w:r w:rsidR="00724D20">
        <w:rPr>
          <w:rFonts w:ascii="Arial" w:hAnsi="Arial"/>
          <w:b w:val="0"/>
          <w:caps w:val="0"/>
          <w:sz w:val="20"/>
        </w:rPr>
        <w:t>23</w:t>
      </w:r>
      <w:r w:rsidRPr="008D1265">
        <w:rPr>
          <w:rFonts w:ascii="Arial" w:hAnsi="Arial"/>
          <w:b w:val="0"/>
          <w:caps w:val="0"/>
          <w:sz w:val="20"/>
        </w:rPr>
        <w:t>).</w:t>
      </w:r>
    </w:p>
    <w:p w14:paraId="68603CFC" w14:textId="45F3489F" w:rsidR="008D1265" w:rsidRPr="008D1265" w:rsidRDefault="008D1265" w:rsidP="008D1265">
      <w:pPr>
        <w:pStyle w:val="AbstHead"/>
        <w:jc w:val="both"/>
        <w:rPr>
          <w:rFonts w:ascii="Arial" w:hAnsi="Arial"/>
          <w:b w:val="0"/>
          <w:caps w:val="0"/>
          <w:sz w:val="20"/>
        </w:rPr>
      </w:pPr>
      <w:r w:rsidRPr="008D1265">
        <w:rPr>
          <w:rFonts w:ascii="Arial" w:hAnsi="Arial"/>
          <w:b w:val="0"/>
          <w:caps w:val="0"/>
          <w:sz w:val="20"/>
        </w:rPr>
        <w:t>In Region XI, the Department of Education continues to grapple with the issue of teacher job gratification. Despite salary standardization, teachers still yearn for higher earnings. Reports from the DepEd Davao del Sur Division’s Human Resource Information System (2012)</w:t>
      </w:r>
      <w:r w:rsidR="00ED49F7">
        <w:rPr>
          <w:rFonts w:ascii="Arial" w:hAnsi="Arial"/>
          <w:b w:val="0"/>
          <w:caps w:val="0"/>
          <w:sz w:val="20"/>
        </w:rPr>
        <w:t xml:space="preserve">, </w:t>
      </w:r>
      <w:r w:rsidRPr="008D1265">
        <w:rPr>
          <w:rFonts w:ascii="Arial" w:hAnsi="Arial"/>
          <w:b w:val="0"/>
          <w:caps w:val="0"/>
          <w:sz w:val="20"/>
        </w:rPr>
        <w:t>indicate that many teachers have left their teaching careers to work abroad for better financial opportunities</w:t>
      </w:r>
      <w:r w:rsidR="00ED49F7">
        <w:rPr>
          <w:rFonts w:ascii="Arial" w:hAnsi="Arial"/>
          <w:b w:val="0"/>
          <w:caps w:val="0"/>
          <w:sz w:val="20"/>
        </w:rPr>
        <w:t xml:space="preserve"> (</w:t>
      </w:r>
      <w:proofErr w:type="spellStart"/>
      <w:r w:rsidR="00ED49F7" w:rsidRPr="00ED49F7">
        <w:rPr>
          <w:rFonts w:ascii="Arial" w:hAnsi="Arial"/>
          <w:b w:val="0"/>
          <w:caps w:val="0"/>
          <w:sz w:val="20"/>
        </w:rPr>
        <w:t>Cahilog</w:t>
      </w:r>
      <w:proofErr w:type="spellEnd"/>
      <w:r w:rsidR="00ED49F7">
        <w:rPr>
          <w:rFonts w:ascii="Arial" w:hAnsi="Arial"/>
          <w:b w:val="0"/>
          <w:caps w:val="0"/>
          <w:sz w:val="20"/>
        </w:rPr>
        <w:t xml:space="preserve"> et al., 2023).</w:t>
      </w:r>
    </w:p>
    <w:p w14:paraId="4F106EA1" w14:textId="717E16F7" w:rsidR="008D1265" w:rsidRPr="008D1265" w:rsidRDefault="008D1265" w:rsidP="008D1265">
      <w:pPr>
        <w:pStyle w:val="AbstHead"/>
        <w:jc w:val="both"/>
        <w:rPr>
          <w:rFonts w:ascii="Arial" w:hAnsi="Arial"/>
          <w:b w:val="0"/>
          <w:caps w:val="0"/>
          <w:sz w:val="20"/>
        </w:rPr>
      </w:pPr>
      <w:r w:rsidRPr="008D1265">
        <w:rPr>
          <w:rFonts w:ascii="Arial" w:hAnsi="Arial"/>
          <w:b w:val="0"/>
          <w:caps w:val="0"/>
          <w:sz w:val="20"/>
        </w:rPr>
        <w:t xml:space="preserve">Given these circumstances, </w:t>
      </w:r>
      <w:r>
        <w:rPr>
          <w:rFonts w:ascii="Arial" w:hAnsi="Arial"/>
          <w:b w:val="0"/>
          <w:caps w:val="0"/>
          <w:sz w:val="20"/>
        </w:rPr>
        <w:t>t</w:t>
      </w:r>
      <w:r w:rsidRPr="008D1265">
        <w:rPr>
          <w:rFonts w:ascii="Arial" w:hAnsi="Arial"/>
          <w:b w:val="0"/>
          <w:caps w:val="0"/>
          <w:sz w:val="20"/>
        </w:rPr>
        <w:t>his study aimed to examine the significant relationship between job gratification of teachers and principal guidance comportment in public elementary schools.</w:t>
      </w:r>
      <w:r>
        <w:rPr>
          <w:rFonts w:ascii="Arial" w:hAnsi="Arial"/>
          <w:b w:val="0"/>
          <w:caps w:val="0"/>
          <w:sz w:val="20"/>
        </w:rPr>
        <w:t xml:space="preserve"> </w:t>
      </w:r>
      <w:r w:rsidRPr="008D1265">
        <w:rPr>
          <w:rFonts w:ascii="Arial" w:hAnsi="Arial"/>
          <w:b w:val="0"/>
          <w:caps w:val="0"/>
          <w:sz w:val="20"/>
        </w:rPr>
        <w:t xml:space="preserve">Furthermore, the findings of this study may serve as a foundation for formulating and improving DepEd policies and regulations to enhance teacher job gratification. The insights </w:t>
      </w:r>
      <w:r w:rsidRPr="008D1265">
        <w:rPr>
          <w:rFonts w:ascii="Arial" w:hAnsi="Arial"/>
          <w:b w:val="0"/>
          <w:caps w:val="0"/>
          <w:sz w:val="20"/>
        </w:rPr>
        <w:lastRenderedPageBreak/>
        <w:t>gained may help determine which programs and activities should be prioritized and implemented to foster a more fulfilling and satisfying teaching environment.</w:t>
      </w:r>
    </w:p>
    <w:p w14:paraId="44710395" w14:textId="77777777" w:rsidR="008D1265" w:rsidRPr="008D1265" w:rsidRDefault="008D1265" w:rsidP="008D1265">
      <w:pPr>
        <w:pStyle w:val="AbstHead"/>
        <w:jc w:val="both"/>
        <w:rPr>
          <w:rFonts w:ascii="Arial" w:hAnsi="Arial"/>
          <w:b w:val="0"/>
          <w:caps w:val="0"/>
          <w:sz w:val="20"/>
        </w:rPr>
      </w:pPr>
    </w:p>
    <w:p w14:paraId="4FFAF4CB" w14:textId="735047AA" w:rsidR="00C65285" w:rsidRDefault="00C65285" w:rsidP="00C65285">
      <w:pPr>
        <w:pStyle w:val="AbstHead"/>
        <w:spacing w:after="0"/>
        <w:jc w:val="both"/>
        <w:rPr>
          <w:rFonts w:ascii="Arial" w:hAnsi="Arial"/>
          <w:b w:val="0"/>
          <w:caps w:val="0"/>
          <w:sz w:val="20"/>
        </w:rPr>
      </w:pPr>
    </w:p>
    <w:p w14:paraId="6BF20B36" w14:textId="019D7026" w:rsidR="00B23383" w:rsidRDefault="00B23383" w:rsidP="000763D2">
      <w:pPr>
        <w:pStyle w:val="AbstHead"/>
        <w:spacing w:after="0"/>
        <w:jc w:val="both"/>
        <w:rPr>
          <w:rFonts w:ascii="Arial" w:hAnsi="Arial"/>
          <w:b w:val="0"/>
          <w:caps w:val="0"/>
          <w:sz w:val="20"/>
        </w:rPr>
      </w:pPr>
    </w:p>
    <w:p w14:paraId="19A864A0" w14:textId="6683CF3D" w:rsidR="000763D2" w:rsidRDefault="007C182C" w:rsidP="000763D2">
      <w:pPr>
        <w:pStyle w:val="AbstHead"/>
        <w:spacing w:after="0"/>
        <w:jc w:val="both"/>
        <w:rPr>
          <w:rFonts w:ascii="Arial" w:hAnsi="Arial" w:cs="Arial"/>
          <w:sz w:val="20"/>
        </w:rPr>
      </w:pPr>
      <w:r>
        <w:rPr>
          <w:noProof/>
        </w:rPr>
        <w:drawing>
          <wp:anchor distT="0" distB="0" distL="114300" distR="114300" simplePos="0" relativeHeight="251658240" behindDoc="0" locked="0" layoutInCell="1" allowOverlap="1" wp14:anchorId="2FC60520" wp14:editId="353A2F78">
            <wp:simplePos x="0" y="0"/>
            <wp:positionH relativeFrom="column">
              <wp:posOffset>922502</wp:posOffset>
            </wp:positionH>
            <wp:positionV relativeFrom="paragraph">
              <wp:posOffset>6133</wp:posOffset>
            </wp:positionV>
            <wp:extent cx="3825240" cy="3430905"/>
            <wp:effectExtent l="0" t="0" r="3810" b="0"/>
            <wp:wrapSquare wrapText="bothSides"/>
            <wp:docPr id="1638059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59841" name=""/>
                    <pic:cNvPicPr/>
                  </pic:nvPicPr>
                  <pic:blipFill rotWithShape="1">
                    <a:blip r:embed="rId18">
                      <a:extLst>
                        <a:ext uri="{28A0092B-C50C-407E-A947-70E740481C1C}">
                          <a14:useLocalDpi xmlns:a14="http://schemas.microsoft.com/office/drawing/2010/main" val="0"/>
                        </a:ext>
                      </a:extLst>
                    </a:blip>
                    <a:srcRect l="44590" t="26771" r="17106" b="12151"/>
                    <a:stretch/>
                  </pic:blipFill>
                  <pic:spPr bwMode="auto">
                    <a:xfrm>
                      <a:off x="0" y="0"/>
                      <a:ext cx="3825240" cy="3430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2EA22B" w14:textId="05033137" w:rsidR="00717F2E" w:rsidRDefault="000763D2" w:rsidP="00B23383">
      <w:pPr>
        <w:ind w:firstLine="720"/>
        <w:jc w:val="both"/>
        <w:rPr>
          <w:rFonts w:ascii="Arial" w:eastAsia="MS Mincho" w:hAnsi="Arial" w:cs="Arial"/>
          <w:b/>
          <w:bCs/>
          <w:lang w:eastAsia="ja-JP"/>
        </w:rPr>
      </w:pPr>
      <w:r>
        <w:rPr>
          <w:rFonts w:ascii="Arial" w:eastAsia="MS Mincho" w:hAnsi="Arial" w:cs="Arial"/>
          <w:b/>
          <w:bCs/>
          <w:lang w:eastAsia="ja-JP"/>
        </w:rPr>
        <w:t xml:space="preserve"> </w:t>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33B62E34" w14:textId="77777777" w:rsidR="008D1265" w:rsidRDefault="008D1265">
      <w:pPr>
        <w:jc w:val="center"/>
        <w:rPr>
          <w:rFonts w:ascii="Arial" w:eastAsia="MS Mincho" w:hAnsi="Arial" w:cs="Arial"/>
          <w:b/>
          <w:bCs/>
          <w:lang w:eastAsia="ja-JP"/>
        </w:rPr>
      </w:pPr>
    </w:p>
    <w:p w14:paraId="33637CF6" w14:textId="77777777" w:rsidR="008D1265" w:rsidRDefault="008D1265">
      <w:pPr>
        <w:jc w:val="center"/>
        <w:rPr>
          <w:rFonts w:ascii="Arial" w:eastAsia="MS Mincho" w:hAnsi="Arial" w:cs="Arial"/>
          <w:b/>
          <w:bCs/>
          <w:lang w:eastAsia="ja-JP"/>
        </w:rPr>
      </w:pPr>
    </w:p>
    <w:p w14:paraId="1495AE23" w14:textId="77777777" w:rsidR="008D1265" w:rsidRDefault="008D1265">
      <w:pPr>
        <w:jc w:val="center"/>
        <w:rPr>
          <w:rFonts w:ascii="Arial" w:eastAsia="MS Mincho" w:hAnsi="Arial" w:cs="Arial"/>
          <w:b/>
          <w:bCs/>
          <w:lang w:eastAsia="ja-JP"/>
        </w:rPr>
      </w:pPr>
    </w:p>
    <w:p w14:paraId="225D1BA4" w14:textId="77777777" w:rsidR="008D1265" w:rsidRDefault="008D1265">
      <w:pPr>
        <w:jc w:val="center"/>
        <w:rPr>
          <w:rFonts w:ascii="Arial" w:eastAsia="MS Mincho" w:hAnsi="Arial" w:cs="Arial"/>
          <w:b/>
          <w:bCs/>
          <w:lang w:eastAsia="ja-JP"/>
        </w:rPr>
      </w:pPr>
    </w:p>
    <w:p w14:paraId="61D0113C" w14:textId="77777777" w:rsidR="008D1265" w:rsidRDefault="008D1265">
      <w:pPr>
        <w:jc w:val="center"/>
        <w:rPr>
          <w:rFonts w:ascii="Arial" w:eastAsia="MS Mincho" w:hAnsi="Arial" w:cs="Arial"/>
          <w:b/>
          <w:bCs/>
          <w:lang w:eastAsia="ja-JP"/>
        </w:rPr>
      </w:pPr>
    </w:p>
    <w:p w14:paraId="5349910F" w14:textId="77777777" w:rsidR="008D1265" w:rsidRDefault="008D1265">
      <w:pPr>
        <w:jc w:val="center"/>
        <w:rPr>
          <w:rFonts w:ascii="Arial" w:eastAsia="MS Mincho" w:hAnsi="Arial" w:cs="Arial"/>
          <w:b/>
          <w:bCs/>
          <w:lang w:eastAsia="ja-JP"/>
        </w:rPr>
      </w:pPr>
    </w:p>
    <w:p w14:paraId="6879B2B3" w14:textId="77777777" w:rsidR="008D1265" w:rsidRDefault="008D1265">
      <w:pPr>
        <w:jc w:val="center"/>
        <w:rPr>
          <w:rFonts w:ascii="Arial" w:eastAsia="MS Mincho" w:hAnsi="Arial" w:cs="Arial"/>
          <w:b/>
          <w:bCs/>
          <w:lang w:eastAsia="ja-JP"/>
        </w:rPr>
      </w:pPr>
    </w:p>
    <w:p w14:paraId="07FCAEFC" w14:textId="77777777" w:rsidR="008D1265" w:rsidRDefault="008D1265">
      <w:pPr>
        <w:jc w:val="center"/>
        <w:rPr>
          <w:rFonts w:ascii="Arial" w:eastAsia="MS Mincho" w:hAnsi="Arial" w:cs="Arial"/>
          <w:b/>
          <w:bCs/>
          <w:lang w:eastAsia="ja-JP"/>
        </w:rPr>
      </w:pPr>
    </w:p>
    <w:p w14:paraId="323B3A52" w14:textId="77777777" w:rsidR="008D1265" w:rsidRDefault="008D1265">
      <w:pPr>
        <w:jc w:val="center"/>
        <w:rPr>
          <w:rFonts w:ascii="Arial" w:eastAsia="MS Mincho" w:hAnsi="Arial" w:cs="Arial"/>
          <w:b/>
          <w:bCs/>
          <w:lang w:eastAsia="ja-JP"/>
        </w:rPr>
      </w:pPr>
    </w:p>
    <w:p w14:paraId="2235615A" w14:textId="77777777" w:rsidR="008D1265" w:rsidRDefault="008D1265">
      <w:pPr>
        <w:jc w:val="center"/>
        <w:rPr>
          <w:rFonts w:ascii="Arial" w:eastAsia="MS Mincho" w:hAnsi="Arial" w:cs="Arial"/>
          <w:b/>
          <w:bCs/>
          <w:lang w:eastAsia="ja-JP"/>
        </w:rPr>
      </w:pPr>
    </w:p>
    <w:p w14:paraId="6D21782A" w14:textId="77777777" w:rsidR="008D1265" w:rsidRDefault="008D1265">
      <w:pPr>
        <w:jc w:val="center"/>
        <w:rPr>
          <w:rFonts w:ascii="Arial" w:eastAsia="MS Mincho" w:hAnsi="Arial" w:cs="Arial"/>
          <w:b/>
          <w:bCs/>
          <w:lang w:eastAsia="ja-JP"/>
        </w:rPr>
      </w:pPr>
    </w:p>
    <w:p w14:paraId="7B4D0CAD" w14:textId="77777777" w:rsidR="008D1265" w:rsidRDefault="008D1265">
      <w:pPr>
        <w:jc w:val="center"/>
        <w:rPr>
          <w:rFonts w:ascii="Arial" w:eastAsia="MS Mincho" w:hAnsi="Arial" w:cs="Arial"/>
          <w:b/>
          <w:bCs/>
          <w:lang w:eastAsia="ja-JP"/>
        </w:rPr>
      </w:pPr>
    </w:p>
    <w:p w14:paraId="58DD67AE" w14:textId="77777777" w:rsidR="008D1265" w:rsidRDefault="008D1265">
      <w:pPr>
        <w:jc w:val="center"/>
        <w:rPr>
          <w:rFonts w:ascii="Arial" w:eastAsia="MS Mincho" w:hAnsi="Arial" w:cs="Arial"/>
          <w:b/>
          <w:bCs/>
          <w:lang w:eastAsia="ja-JP"/>
        </w:rPr>
      </w:pPr>
    </w:p>
    <w:p w14:paraId="3D55E927" w14:textId="77777777" w:rsidR="008D1265" w:rsidRDefault="008D1265">
      <w:pPr>
        <w:jc w:val="center"/>
        <w:rPr>
          <w:rFonts w:ascii="Arial" w:eastAsia="MS Mincho" w:hAnsi="Arial" w:cs="Arial"/>
          <w:b/>
          <w:bCs/>
          <w:lang w:eastAsia="ja-JP"/>
        </w:rPr>
      </w:pPr>
    </w:p>
    <w:p w14:paraId="7099AF70" w14:textId="77777777" w:rsidR="008D1265" w:rsidRDefault="008D1265">
      <w:pPr>
        <w:jc w:val="center"/>
        <w:rPr>
          <w:rFonts w:ascii="Arial" w:eastAsia="MS Mincho" w:hAnsi="Arial" w:cs="Arial"/>
          <w:b/>
          <w:bCs/>
          <w:lang w:eastAsia="ja-JP"/>
        </w:rPr>
      </w:pPr>
    </w:p>
    <w:p w14:paraId="34E85992" w14:textId="77777777" w:rsidR="008D1265" w:rsidRDefault="008D1265">
      <w:pPr>
        <w:jc w:val="center"/>
        <w:rPr>
          <w:rFonts w:ascii="Arial" w:eastAsia="MS Mincho" w:hAnsi="Arial" w:cs="Arial"/>
          <w:b/>
          <w:bCs/>
          <w:lang w:eastAsia="ja-JP"/>
        </w:rPr>
      </w:pPr>
    </w:p>
    <w:p w14:paraId="07E17057" w14:textId="77777777" w:rsidR="008D1265" w:rsidRDefault="008D1265">
      <w:pPr>
        <w:jc w:val="center"/>
        <w:rPr>
          <w:rFonts w:ascii="Arial" w:eastAsia="MS Mincho" w:hAnsi="Arial" w:cs="Arial"/>
          <w:b/>
          <w:bCs/>
          <w:lang w:eastAsia="ja-JP"/>
        </w:rPr>
      </w:pPr>
    </w:p>
    <w:p w14:paraId="3679A193" w14:textId="77777777" w:rsidR="008D1265" w:rsidRDefault="008D1265">
      <w:pPr>
        <w:jc w:val="center"/>
        <w:rPr>
          <w:rFonts w:ascii="Arial" w:eastAsia="MS Mincho" w:hAnsi="Arial" w:cs="Arial"/>
          <w:b/>
          <w:bCs/>
          <w:lang w:eastAsia="ja-JP"/>
        </w:rPr>
      </w:pPr>
    </w:p>
    <w:p w14:paraId="73FC38F1" w14:textId="77777777" w:rsidR="008D1265" w:rsidRDefault="008D1265">
      <w:pPr>
        <w:jc w:val="center"/>
        <w:rPr>
          <w:rFonts w:ascii="Arial" w:eastAsia="MS Mincho" w:hAnsi="Arial" w:cs="Arial"/>
          <w:b/>
          <w:bCs/>
          <w:lang w:eastAsia="ja-JP"/>
        </w:rPr>
      </w:pPr>
    </w:p>
    <w:p w14:paraId="0ACC3BEE" w14:textId="77777777" w:rsidR="008D1265" w:rsidRDefault="008D1265">
      <w:pPr>
        <w:jc w:val="center"/>
        <w:rPr>
          <w:rFonts w:ascii="Arial" w:eastAsia="MS Mincho" w:hAnsi="Arial" w:cs="Arial"/>
          <w:b/>
          <w:bCs/>
          <w:lang w:eastAsia="ja-JP"/>
        </w:rPr>
      </w:pPr>
    </w:p>
    <w:p w14:paraId="388A769A" w14:textId="2E303774" w:rsidR="00717F2E" w:rsidRDefault="00D31ACD">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3A4B9D7B" w14:textId="77777777" w:rsidR="00A11651" w:rsidRDefault="00A11651">
      <w:pPr>
        <w:pStyle w:val="AbstHead"/>
        <w:spacing w:after="0"/>
        <w:jc w:val="both"/>
        <w:rPr>
          <w:rFonts w:ascii="Arial" w:hAnsi="Arial" w:cs="Arial"/>
          <w:sz w:val="20"/>
        </w:rPr>
      </w:pPr>
    </w:p>
    <w:p w14:paraId="24E976B7" w14:textId="77777777" w:rsidR="00A11651" w:rsidRDefault="00A11651">
      <w:pPr>
        <w:pStyle w:val="AbstHead"/>
        <w:spacing w:after="0"/>
        <w:jc w:val="both"/>
        <w:rPr>
          <w:rFonts w:ascii="Arial" w:hAnsi="Arial" w:cs="Arial"/>
          <w:sz w:val="20"/>
        </w:rPr>
      </w:pPr>
    </w:p>
    <w:p w14:paraId="012EB897" w14:textId="0EBDDD8F" w:rsidR="00717F2E" w:rsidRDefault="00D31ACD">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D31ACD">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4FE9632A" w14:textId="7FA8AC76" w:rsidR="00520D04" w:rsidRPr="00520D04" w:rsidRDefault="00520D04" w:rsidP="00520D04">
      <w:pPr>
        <w:jc w:val="both"/>
        <w:rPr>
          <w:rFonts w:ascii="Arial" w:hAnsi="Arial" w:cs="Arial"/>
        </w:rPr>
      </w:pPr>
      <w:r w:rsidRPr="00520D04">
        <w:rPr>
          <w:rFonts w:ascii="Arial" w:hAnsi="Arial" w:cs="Arial"/>
        </w:rPr>
        <w:t xml:space="preserve">This study employed the non-experimental quantitative research design utilizing correlational method. </w:t>
      </w:r>
      <w:commentRangeStart w:id="5"/>
      <w:r w:rsidRPr="00520D04">
        <w:rPr>
          <w:rFonts w:ascii="Arial" w:hAnsi="Arial" w:cs="Arial"/>
        </w:rPr>
        <w:t>Quantitative research design relates to the design of a research which uses quantitative research methods. The design varies depending on the method used, which could be telephone interviews, face-to-face interviews, online surveys, or surveys by post for instance (</w:t>
      </w:r>
      <w:r w:rsidR="00ED49F7">
        <w:rPr>
          <w:rFonts w:ascii="Arial" w:hAnsi="Arial" w:cs="Arial"/>
        </w:rPr>
        <w:t>Pregoner,</w:t>
      </w:r>
      <w:r w:rsidRPr="00520D04">
        <w:rPr>
          <w:rFonts w:ascii="Arial" w:hAnsi="Arial" w:cs="Arial"/>
        </w:rPr>
        <w:t xml:space="preserve"> 20</w:t>
      </w:r>
      <w:r w:rsidR="00ED49F7">
        <w:rPr>
          <w:rFonts w:ascii="Arial" w:hAnsi="Arial" w:cs="Arial"/>
        </w:rPr>
        <w:t>24</w:t>
      </w:r>
      <w:r w:rsidRPr="00520D04">
        <w:rPr>
          <w:rFonts w:ascii="Arial" w:hAnsi="Arial" w:cs="Arial"/>
        </w:rPr>
        <w:t>).</w:t>
      </w:r>
    </w:p>
    <w:p w14:paraId="601C5F56" w14:textId="77777777" w:rsidR="00520D04" w:rsidRDefault="00520D04" w:rsidP="00520D04">
      <w:pPr>
        <w:jc w:val="both"/>
        <w:rPr>
          <w:rFonts w:ascii="Arial" w:hAnsi="Arial" w:cs="Arial"/>
        </w:rPr>
      </w:pPr>
    </w:p>
    <w:p w14:paraId="17A60D4B" w14:textId="433DBAC3" w:rsidR="004B02D3" w:rsidRDefault="00520D04" w:rsidP="00520D04">
      <w:pPr>
        <w:jc w:val="both"/>
        <w:rPr>
          <w:rFonts w:ascii="Arial" w:hAnsi="Arial" w:cs="Arial"/>
        </w:rPr>
      </w:pPr>
      <w:r w:rsidRPr="00520D04">
        <w:rPr>
          <w:rFonts w:ascii="Arial" w:hAnsi="Arial" w:cs="Arial"/>
        </w:rPr>
        <w:t xml:space="preserve">Quantitative research design aimed at discovering how many people think, act or feel in a specific way. Quantitative research design </w:t>
      </w:r>
      <w:proofErr w:type="gramStart"/>
      <w:r w:rsidRPr="00520D04">
        <w:rPr>
          <w:rFonts w:ascii="Arial" w:hAnsi="Arial" w:cs="Arial"/>
        </w:rPr>
        <w:t>involve</w:t>
      </w:r>
      <w:proofErr w:type="gramEnd"/>
      <w:r w:rsidRPr="00520D04">
        <w:rPr>
          <w:rFonts w:ascii="Arial" w:hAnsi="Arial" w:cs="Arial"/>
        </w:rPr>
        <w:t xml:space="preserve"> large sample sizes, concentrating on the quantity of responses, as opposed to </w:t>
      </w:r>
      <w:commentRangeEnd w:id="5"/>
      <w:r w:rsidR="007C182C">
        <w:rPr>
          <w:rStyle w:val="CommentReference"/>
          <w:rFonts w:ascii="Times New Roman" w:hAnsi="Times New Roman"/>
          <w:lang w:val="nb-NO" w:eastAsia="nb-NO"/>
        </w:rPr>
        <w:commentReference w:id="5"/>
      </w:r>
      <w:r w:rsidRPr="00520D04">
        <w:rPr>
          <w:rFonts w:ascii="Arial" w:hAnsi="Arial" w:cs="Arial"/>
        </w:rPr>
        <w:t xml:space="preserve">gaining the more focused or emotional insight that is the aim of qualitative research. The standard format in quantitative research design is for each respondent to be asked the same questions, which ensures that the entire data sample can be analyzed fairly. The data supplied in a numerical format, and can be analyzed in a quantifiable way using statistical methods. Surveys can, however, be tailored to branch off if </w:t>
      </w:r>
      <w:r w:rsidRPr="00520D04">
        <w:rPr>
          <w:rFonts w:ascii="Arial" w:hAnsi="Arial" w:cs="Arial"/>
        </w:rPr>
        <w:lastRenderedPageBreak/>
        <w:t>the respondent answers in a certain way - for instance people who are satisfied or dissatisfied with a service may be asked different questions subsequently</w:t>
      </w:r>
      <w:r w:rsidR="009D5223">
        <w:rPr>
          <w:rFonts w:ascii="Arial" w:hAnsi="Arial" w:cs="Arial"/>
        </w:rPr>
        <w:t xml:space="preserve">. </w:t>
      </w:r>
      <w:r w:rsidRPr="00520D04">
        <w:rPr>
          <w:rFonts w:ascii="Arial" w:hAnsi="Arial" w:cs="Arial"/>
        </w:rPr>
        <w:t xml:space="preserve">This method </w:t>
      </w:r>
      <w:r w:rsidR="00FA1081">
        <w:rPr>
          <w:rFonts w:ascii="Arial" w:hAnsi="Arial" w:cs="Arial"/>
        </w:rPr>
        <w:t xml:space="preserve">was </w:t>
      </w:r>
      <w:r w:rsidRPr="00520D04">
        <w:rPr>
          <w:rFonts w:ascii="Arial" w:hAnsi="Arial" w:cs="Arial"/>
        </w:rPr>
        <w:t>used since the variables of this research study measures the relationship between job gratification in relation to principal guidance comportment</w:t>
      </w:r>
      <w:r>
        <w:rPr>
          <w:rFonts w:ascii="Arial" w:hAnsi="Arial" w:cs="Arial"/>
        </w:rPr>
        <w:t xml:space="preserve"> in public elementary schools</w:t>
      </w:r>
      <w:r w:rsidRPr="00520D04">
        <w:rPr>
          <w:rFonts w:ascii="Arial" w:hAnsi="Arial" w:cs="Arial"/>
        </w:rPr>
        <w:t xml:space="preserve">. This is also used to describe the statistical association between two or more variables </w:t>
      </w:r>
      <w:r w:rsidR="009D5223" w:rsidRPr="00520D04">
        <w:rPr>
          <w:rFonts w:ascii="Arial" w:hAnsi="Arial" w:cs="Arial"/>
        </w:rPr>
        <w:t>(</w:t>
      </w:r>
      <w:r w:rsidR="009D5223">
        <w:rPr>
          <w:rFonts w:ascii="Arial" w:hAnsi="Arial" w:cs="Arial"/>
        </w:rPr>
        <w:t>Baguio</w:t>
      </w:r>
      <w:r w:rsidR="009D5223" w:rsidRPr="00520D04">
        <w:rPr>
          <w:rFonts w:ascii="Arial" w:hAnsi="Arial" w:cs="Arial"/>
        </w:rPr>
        <w:t xml:space="preserve"> &amp; </w:t>
      </w:r>
      <w:r w:rsidR="009D5223">
        <w:rPr>
          <w:rFonts w:ascii="Arial" w:hAnsi="Arial" w:cs="Arial"/>
        </w:rPr>
        <w:t>Baguio</w:t>
      </w:r>
      <w:r w:rsidR="009D5223" w:rsidRPr="00520D04">
        <w:rPr>
          <w:rFonts w:ascii="Arial" w:hAnsi="Arial" w:cs="Arial"/>
        </w:rPr>
        <w:t>, 20</w:t>
      </w:r>
      <w:r w:rsidR="009D5223">
        <w:rPr>
          <w:rFonts w:ascii="Arial" w:hAnsi="Arial" w:cs="Arial"/>
        </w:rPr>
        <w:t>25</w:t>
      </w:r>
      <w:r w:rsidR="009D5223" w:rsidRPr="00520D04">
        <w:rPr>
          <w:rFonts w:ascii="Arial" w:hAnsi="Arial" w:cs="Arial"/>
        </w:rPr>
        <w:t xml:space="preserve">).  </w:t>
      </w:r>
    </w:p>
    <w:p w14:paraId="649B41DB" w14:textId="77777777" w:rsidR="00520D04" w:rsidRDefault="00520D04" w:rsidP="00520D04">
      <w:pPr>
        <w:rPr>
          <w:rFonts w:ascii="Arial" w:hAnsi="Arial" w:cs="Arial"/>
        </w:rPr>
      </w:pPr>
    </w:p>
    <w:p w14:paraId="62D0E155" w14:textId="77777777" w:rsidR="00520D04" w:rsidRDefault="00520D04" w:rsidP="00520D04">
      <w:pPr>
        <w:rPr>
          <w:rFonts w:ascii="Arial" w:hAnsi="Arial" w:cs="Arial"/>
        </w:rPr>
      </w:pPr>
    </w:p>
    <w:p w14:paraId="318F0781" w14:textId="3EA9EAEB" w:rsidR="00717F2E" w:rsidRDefault="00D31ACD" w:rsidP="004B02D3">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42358DD" w14:textId="38BB8003" w:rsidR="00D308B0" w:rsidRDefault="00D308B0" w:rsidP="00FA1081">
      <w:pPr>
        <w:jc w:val="both"/>
        <w:rPr>
          <w:rFonts w:ascii="Arial" w:hAnsi="Arial" w:cs="Arial"/>
        </w:rPr>
      </w:pPr>
      <w:r w:rsidRPr="00D308B0">
        <w:rPr>
          <w:rFonts w:ascii="Arial" w:hAnsi="Arial" w:cs="Arial"/>
        </w:rPr>
        <w:t>The respondents of the study were t</w:t>
      </w:r>
      <w:r w:rsidR="00FA1081">
        <w:rPr>
          <w:rFonts w:ascii="Arial" w:hAnsi="Arial" w:cs="Arial"/>
        </w:rPr>
        <w:t>eachers in public school</w:t>
      </w:r>
      <w:r w:rsidRPr="00D308B0">
        <w:rPr>
          <w:rFonts w:ascii="Arial" w:hAnsi="Arial" w:cs="Arial"/>
        </w:rPr>
        <w:t xml:space="preserve">s. There are </w:t>
      </w:r>
      <w:commentRangeStart w:id="6"/>
      <w:r w:rsidRPr="00D308B0">
        <w:rPr>
          <w:rFonts w:ascii="Arial" w:hAnsi="Arial" w:cs="Arial"/>
        </w:rPr>
        <w:t xml:space="preserve">134 respondents </w:t>
      </w:r>
      <w:commentRangeEnd w:id="6"/>
      <w:r w:rsidR="007C182C">
        <w:rPr>
          <w:rStyle w:val="CommentReference"/>
          <w:rFonts w:ascii="Times New Roman" w:hAnsi="Times New Roman"/>
          <w:lang w:val="nb-NO" w:eastAsia="nb-NO"/>
        </w:rPr>
        <w:commentReference w:id="6"/>
      </w:r>
      <w:r w:rsidRPr="00D308B0">
        <w:rPr>
          <w:rFonts w:ascii="Arial" w:hAnsi="Arial" w:cs="Arial"/>
        </w:rPr>
        <w:t>in public elementary schools. Universal sampling was used to determine the respondents</w:t>
      </w:r>
      <w:r w:rsidR="00FA1081">
        <w:rPr>
          <w:rFonts w:ascii="Arial" w:hAnsi="Arial" w:cs="Arial"/>
        </w:rPr>
        <w:t>'</w:t>
      </w:r>
      <w:r w:rsidRPr="00D308B0">
        <w:rPr>
          <w:rFonts w:ascii="Arial" w:hAnsi="Arial" w:cs="Arial"/>
        </w:rPr>
        <w:t xml:space="preserve"> relationship on the job gratification of teachers as inclined by principal guidance comportment in public elementary schools. The respondents were connected </w:t>
      </w:r>
      <w:r w:rsidR="00FA1081">
        <w:rPr>
          <w:rFonts w:ascii="Arial" w:hAnsi="Arial" w:cs="Arial"/>
        </w:rPr>
        <w:t>to</w:t>
      </w:r>
      <w:r w:rsidRPr="00D308B0">
        <w:rPr>
          <w:rFonts w:ascii="Arial" w:hAnsi="Arial" w:cs="Arial"/>
        </w:rPr>
        <w:t xml:space="preserve"> the service for at least three years experiences and above, wherein they can provide more information regarding the study. This study was conducted in the school year 2023-2024.</w:t>
      </w:r>
    </w:p>
    <w:p w14:paraId="04FBED7E" w14:textId="77777777" w:rsidR="00D308B0" w:rsidRDefault="00D308B0" w:rsidP="00D308B0">
      <w:pPr>
        <w:rPr>
          <w:rFonts w:ascii="Arial" w:hAnsi="Arial" w:cs="Arial"/>
          <w:b/>
          <w:bCs/>
        </w:rPr>
      </w:pPr>
    </w:p>
    <w:p w14:paraId="6BE2C45C" w14:textId="77777777" w:rsidR="00717F2E" w:rsidRDefault="00D31ACD">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176F500" w14:textId="32CD282A" w:rsidR="00951100" w:rsidRDefault="00D308B0" w:rsidP="00951100">
      <w:pPr>
        <w:jc w:val="both"/>
        <w:rPr>
          <w:rFonts w:ascii="Arial" w:hAnsi="Arial" w:cs="Arial"/>
        </w:rPr>
      </w:pPr>
      <w:r w:rsidRPr="00D308B0">
        <w:rPr>
          <w:rFonts w:ascii="Arial" w:hAnsi="Arial" w:cs="Arial"/>
        </w:rPr>
        <w:t xml:space="preserve">The instrument used in this study was the survey questionnaire on the job gratification of teachers as inclined by principal guidance comportment in public elementary schools.  It was a researcher made test that was based on some relevant studies and literature reviewed. Prior to the administration, the draft of this instrument was tested for content validity and reliability by the panel of experts in the field of Doctor of Educational Management. Based from their comments and suggestions, revisions were made. To test for reliability and validity of the instrument the pilot testing was done in </w:t>
      </w:r>
      <w:commentRangeStart w:id="7"/>
      <w:r w:rsidRPr="00D308B0">
        <w:rPr>
          <w:rFonts w:ascii="Arial" w:hAnsi="Arial" w:cs="Arial"/>
        </w:rPr>
        <w:t xml:space="preserve">30 teachers </w:t>
      </w:r>
      <w:commentRangeEnd w:id="7"/>
      <w:r w:rsidR="00D055FD">
        <w:rPr>
          <w:rStyle w:val="CommentReference"/>
          <w:rFonts w:ascii="Times New Roman" w:hAnsi="Times New Roman"/>
          <w:lang w:val="nb-NO" w:eastAsia="nb-NO"/>
        </w:rPr>
        <w:commentReference w:id="7"/>
      </w:r>
      <w:r w:rsidRPr="00D308B0">
        <w:rPr>
          <w:rFonts w:ascii="Arial" w:hAnsi="Arial" w:cs="Arial"/>
        </w:rPr>
        <w:t>in public elementary schools in one separate schools in the same district. The instruments were found reliable, with Cronbach’s Alpha result of 0.82 for job gratification and 0.90 for the principal guidance comportment. In taking the test the participants answer the 50 items questions.</w:t>
      </w:r>
    </w:p>
    <w:p w14:paraId="7CA74BBA" w14:textId="77777777" w:rsidR="00FF1468" w:rsidRDefault="00FF1468" w:rsidP="00951100">
      <w:pPr>
        <w:jc w:val="both"/>
        <w:rPr>
          <w:rFonts w:ascii="Arial" w:hAnsi="Arial" w:cs="Arial"/>
        </w:rPr>
      </w:pPr>
    </w:p>
    <w:p w14:paraId="171E153A" w14:textId="77777777" w:rsidR="00717F2E" w:rsidRDefault="00717F2E">
      <w:pPr>
        <w:rPr>
          <w:rFonts w:ascii="Arial" w:hAnsi="Arial" w:cs="Arial"/>
          <w:b/>
          <w:bCs/>
        </w:rPr>
      </w:pPr>
    </w:p>
    <w:p w14:paraId="7821138E" w14:textId="77777777" w:rsidR="00717F2E" w:rsidRDefault="00D31ACD">
      <w:pPr>
        <w:rPr>
          <w:rFonts w:ascii="Arial" w:hAnsi="Arial" w:cs="Arial"/>
          <w:b/>
          <w:bCs/>
        </w:rPr>
      </w:pPr>
      <w:r>
        <w:rPr>
          <w:rFonts w:ascii="Arial" w:hAnsi="Arial" w:cs="Arial"/>
          <w:b/>
          <w:bCs/>
        </w:rPr>
        <w:t>2.4 Data Gathering Procedure</w:t>
      </w:r>
    </w:p>
    <w:p w14:paraId="45970A54" w14:textId="77777777" w:rsidR="00D308B0" w:rsidRDefault="00D308B0" w:rsidP="00D308B0">
      <w:pPr>
        <w:pStyle w:val="Heading1"/>
        <w:jc w:val="both"/>
        <w:rPr>
          <w:rFonts w:cs="Arial"/>
          <w:b w:val="0"/>
          <w:kern w:val="0"/>
          <w:sz w:val="20"/>
        </w:rPr>
      </w:pPr>
      <w:r w:rsidRPr="00D308B0">
        <w:rPr>
          <w:rFonts w:cs="Arial"/>
          <w:b w:val="0"/>
          <w:kern w:val="0"/>
          <w:sz w:val="20"/>
        </w:rPr>
        <w:t>The researcher sought permission and endorsement from the Dean of the Graduate School of Rizal Memorial Colleges for the Superintendent's approval. After the Dean granted approval, a request letter was submitted to the Office of the Schools Division Superintendent. Once the Superintendent approved the request, an endorsement letter was sent to the School Heads. A letter requesting permission from the School Heads was attached in the appendices. Following this, a schedule was set for the distribution of the test questionnaires for pilot testing to determine the reliability and validity of the instrument. The explanation of the study and instructions for the tests were incorporated into the questionnaires. After the pilot testing was conducted, the survey was distributed to all respondents. The researcher then retrieved the completed questionnaires and submitted them to the statistician for statistical treatment. Once all questionnaires were collected, the data was tallied, tabulated, analyzed, and interpreted.</w:t>
      </w:r>
    </w:p>
    <w:p w14:paraId="126C7F06" w14:textId="77777777" w:rsidR="00D308B0" w:rsidRDefault="00D308B0" w:rsidP="00E96A2D">
      <w:pPr>
        <w:pStyle w:val="Heading1"/>
        <w:rPr>
          <w:rFonts w:cs="Arial"/>
          <w:b w:val="0"/>
          <w:kern w:val="0"/>
          <w:sz w:val="20"/>
        </w:rPr>
      </w:pPr>
    </w:p>
    <w:p w14:paraId="0B281753" w14:textId="1FC98E80" w:rsidR="00717F2E" w:rsidRDefault="00D31ACD" w:rsidP="00E96A2D">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28199381" w14:textId="14195D3A" w:rsidR="00D308B0" w:rsidRPr="00D308B0" w:rsidRDefault="00D308B0" w:rsidP="00D308B0">
      <w:pPr>
        <w:pStyle w:val="Head1"/>
        <w:jc w:val="both"/>
        <w:rPr>
          <w:rFonts w:ascii="Arial" w:hAnsi="Arial" w:cs="Arial"/>
          <w:b w:val="0"/>
          <w:caps w:val="0"/>
          <w:sz w:val="20"/>
        </w:rPr>
      </w:pPr>
      <w:r w:rsidRPr="00D308B0">
        <w:rPr>
          <w:rFonts w:ascii="Arial" w:hAnsi="Arial" w:cs="Arial"/>
          <w:b w:val="0"/>
          <w:caps w:val="0"/>
          <w:sz w:val="20"/>
        </w:rPr>
        <w:lastRenderedPageBreak/>
        <w:t>The following data analys</w:t>
      </w:r>
      <w:r>
        <w:rPr>
          <w:rFonts w:ascii="Arial" w:hAnsi="Arial" w:cs="Arial"/>
          <w:b w:val="0"/>
          <w:caps w:val="0"/>
          <w:sz w:val="20"/>
        </w:rPr>
        <w:t>e</w:t>
      </w:r>
      <w:r w:rsidRPr="00D308B0">
        <w:rPr>
          <w:rFonts w:ascii="Arial" w:hAnsi="Arial" w:cs="Arial"/>
          <w:b w:val="0"/>
          <w:caps w:val="0"/>
          <w:sz w:val="20"/>
        </w:rPr>
        <w:t>s were used in this study:</w:t>
      </w:r>
    </w:p>
    <w:p w14:paraId="783C8EF5" w14:textId="77777777" w:rsidR="00D308B0" w:rsidRPr="00D308B0" w:rsidRDefault="00D308B0" w:rsidP="00D308B0">
      <w:pPr>
        <w:pStyle w:val="Head1"/>
        <w:jc w:val="both"/>
        <w:rPr>
          <w:rFonts w:ascii="Arial" w:hAnsi="Arial" w:cs="Arial"/>
          <w:b w:val="0"/>
          <w:caps w:val="0"/>
          <w:sz w:val="20"/>
        </w:rPr>
      </w:pPr>
      <w:r w:rsidRPr="00D308B0">
        <w:rPr>
          <w:rFonts w:ascii="Arial" w:hAnsi="Arial" w:cs="Arial"/>
          <w:b w:val="0"/>
          <w:i/>
          <w:iCs/>
          <w:caps w:val="0"/>
          <w:sz w:val="20"/>
        </w:rPr>
        <w:t>Weighted Mean</w:t>
      </w:r>
      <w:r w:rsidRPr="00D308B0">
        <w:rPr>
          <w:rFonts w:ascii="Arial" w:hAnsi="Arial" w:cs="Arial"/>
          <w:b w:val="0"/>
          <w:caps w:val="0"/>
          <w:sz w:val="20"/>
        </w:rPr>
        <w:t>. This was used to measure the level of job gratification of teachers as inclined by principal guidance comportment in public elementary schools.</w:t>
      </w:r>
    </w:p>
    <w:p w14:paraId="464537B4" w14:textId="3732B7E2" w:rsidR="00D308B0" w:rsidRPr="00D308B0" w:rsidRDefault="00D308B0" w:rsidP="00D308B0">
      <w:pPr>
        <w:pStyle w:val="Head1"/>
        <w:jc w:val="both"/>
        <w:rPr>
          <w:rFonts w:ascii="Arial" w:hAnsi="Arial" w:cs="Arial"/>
          <w:b w:val="0"/>
          <w:caps w:val="0"/>
          <w:sz w:val="20"/>
        </w:rPr>
      </w:pPr>
      <w:r w:rsidRPr="00D308B0">
        <w:rPr>
          <w:rFonts w:ascii="Arial" w:hAnsi="Arial" w:cs="Arial"/>
          <w:b w:val="0"/>
          <w:i/>
          <w:iCs/>
          <w:caps w:val="0"/>
          <w:sz w:val="20"/>
        </w:rPr>
        <w:t>Product Moment Correlation Coefficient (Pearson r).</w:t>
      </w:r>
      <w:r w:rsidRPr="00D308B0">
        <w:rPr>
          <w:rFonts w:ascii="Arial" w:hAnsi="Arial" w:cs="Arial"/>
          <w:b w:val="0"/>
          <w:caps w:val="0"/>
          <w:sz w:val="20"/>
        </w:rPr>
        <w:t xml:space="preserve"> This was used to determine the relationships between the job gratification of teachers as inclined by principal guidance comportment in public elementary schools.</w:t>
      </w:r>
    </w:p>
    <w:p w14:paraId="52CA9CF9" w14:textId="7A84AC52" w:rsidR="00267BEA" w:rsidRDefault="00D308B0" w:rsidP="00D308B0">
      <w:pPr>
        <w:pStyle w:val="Head1"/>
        <w:spacing w:after="0"/>
        <w:jc w:val="both"/>
        <w:rPr>
          <w:rFonts w:ascii="Arial" w:hAnsi="Arial" w:cs="Arial"/>
          <w:b w:val="0"/>
          <w:caps w:val="0"/>
          <w:sz w:val="20"/>
        </w:rPr>
      </w:pPr>
      <w:commentRangeStart w:id="8"/>
      <w:r w:rsidRPr="00D308B0">
        <w:rPr>
          <w:rFonts w:ascii="Arial" w:hAnsi="Arial" w:cs="Arial"/>
          <w:b w:val="0"/>
          <w:i/>
          <w:iCs/>
          <w:caps w:val="0"/>
          <w:sz w:val="20"/>
        </w:rPr>
        <w:t>Regression Analysis.</w:t>
      </w:r>
      <w:commentRangeEnd w:id="8"/>
      <w:r w:rsidR="00D055FD">
        <w:rPr>
          <w:rStyle w:val="CommentReference"/>
          <w:rFonts w:ascii="Times New Roman" w:hAnsi="Times New Roman"/>
          <w:b w:val="0"/>
          <w:caps w:val="0"/>
          <w:lang w:val="nb-NO" w:eastAsia="nb-NO"/>
        </w:rPr>
        <w:commentReference w:id="8"/>
      </w:r>
      <w:r w:rsidRPr="00D308B0">
        <w:rPr>
          <w:rFonts w:ascii="Arial" w:hAnsi="Arial" w:cs="Arial"/>
          <w:b w:val="0"/>
          <w:caps w:val="0"/>
          <w:sz w:val="20"/>
        </w:rPr>
        <w:t xml:space="preserve"> </w:t>
      </w:r>
      <w:bookmarkStart w:id="9" w:name="_Hlk194488784"/>
      <w:r w:rsidRPr="00D308B0">
        <w:rPr>
          <w:rFonts w:ascii="Arial" w:hAnsi="Arial" w:cs="Arial"/>
          <w:b w:val="0"/>
          <w:caps w:val="0"/>
          <w:sz w:val="20"/>
        </w:rPr>
        <w:t xml:space="preserve">This was used to determine the </w:t>
      </w:r>
      <w:r>
        <w:rPr>
          <w:rFonts w:ascii="Arial" w:hAnsi="Arial" w:cs="Arial"/>
          <w:b w:val="0"/>
          <w:caps w:val="0"/>
          <w:sz w:val="20"/>
        </w:rPr>
        <w:t xml:space="preserve">domains of </w:t>
      </w:r>
      <w:r w:rsidRPr="00D308B0">
        <w:rPr>
          <w:rFonts w:ascii="Arial" w:hAnsi="Arial" w:cs="Arial"/>
          <w:b w:val="0"/>
          <w:caps w:val="0"/>
          <w:sz w:val="20"/>
        </w:rPr>
        <w:t xml:space="preserve">job gratification </w:t>
      </w:r>
      <w:r>
        <w:rPr>
          <w:rFonts w:ascii="Arial" w:hAnsi="Arial" w:cs="Arial"/>
          <w:b w:val="0"/>
          <w:caps w:val="0"/>
          <w:sz w:val="20"/>
        </w:rPr>
        <w:t xml:space="preserve">that </w:t>
      </w:r>
      <w:r w:rsidRPr="00D308B0">
        <w:rPr>
          <w:rFonts w:ascii="Arial" w:hAnsi="Arial" w:cs="Arial"/>
          <w:b w:val="0"/>
          <w:caps w:val="0"/>
          <w:sz w:val="20"/>
        </w:rPr>
        <w:t>significantly influence principal guidance comportment in public elementary schools.</w:t>
      </w:r>
    </w:p>
    <w:bookmarkEnd w:id="9"/>
    <w:p w14:paraId="28E3FC38" w14:textId="77777777" w:rsidR="00D308B0" w:rsidRDefault="00D308B0" w:rsidP="00D308B0">
      <w:pPr>
        <w:pStyle w:val="Head1"/>
        <w:spacing w:after="0"/>
        <w:jc w:val="both"/>
        <w:rPr>
          <w:rFonts w:ascii="Arial" w:hAnsi="Arial" w:cs="Arial"/>
          <w:b w:val="0"/>
          <w:caps w:val="0"/>
          <w:sz w:val="20"/>
        </w:rPr>
      </w:pPr>
    </w:p>
    <w:p w14:paraId="572E0B39" w14:textId="77777777" w:rsidR="00D308B0" w:rsidRDefault="00D308B0" w:rsidP="00D308B0">
      <w:pPr>
        <w:pStyle w:val="Head1"/>
        <w:spacing w:after="0"/>
        <w:jc w:val="both"/>
        <w:rPr>
          <w:rFonts w:ascii="Arial" w:hAnsi="Arial" w:cs="Arial"/>
          <w:sz w:val="20"/>
        </w:rPr>
      </w:pPr>
    </w:p>
    <w:p w14:paraId="54D02440" w14:textId="7A11D52C" w:rsidR="00717F2E" w:rsidRDefault="00D31ACD">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2FC6D5E" w14:textId="2131F123" w:rsidR="00717F2E" w:rsidRDefault="00D31ACD">
      <w:pPr>
        <w:suppressAutoHyphens/>
        <w:jc w:val="both"/>
        <w:rPr>
          <w:rFonts w:ascii="Arial" w:hAnsi="Arial" w:cs="Arial"/>
          <w:i/>
        </w:rPr>
      </w:pPr>
      <w:r>
        <w:rPr>
          <w:rFonts w:ascii="Arial" w:hAnsi="Arial" w:cs="Arial"/>
          <w:b/>
        </w:rPr>
        <w:t xml:space="preserve">3.1 </w:t>
      </w:r>
      <w:r w:rsidR="00D308B0" w:rsidRPr="00D308B0">
        <w:rPr>
          <w:rFonts w:ascii="Arial" w:hAnsi="Arial" w:cs="Arial"/>
          <w:b/>
        </w:rPr>
        <w:t>Job Gratification of Public Elementary School Teachers</w:t>
      </w:r>
    </w:p>
    <w:p w14:paraId="65E4B757" w14:textId="77777777" w:rsidR="002A75E4" w:rsidRDefault="002A75E4">
      <w:pPr>
        <w:suppressAutoHyphens/>
        <w:jc w:val="both"/>
        <w:rPr>
          <w:rFonts w:ascii="Arial" w:hAnsi="Arial" w:cs="Arial"/>
          <w:iCs/>
        </w:rPr>
      </w:pPr>
    </w:p>
    <w:p w14:paraId="18DFF92A" w14:textId="77777777" w:rsidR="00FF464C" w:rsidRDefault="00FF464C">
      <w:pPr>
        <w:suppressAutoHyphens/>
        <w:jc w:val="both"/>
        <w:rPr>
          <w:rFonts w:ascii="Arial" w:hAnsi="Arial" w:cs="Arial"/>
          <w:iCs/>
        </w:rPr>
      </w:pPr>
    </w:p>
    <w:p w14:paraId="38B78DFB" w14:textId="24B2DF5E" w:rsidR="002A75E4" w:rsidRDefault="00D31ACD">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3248E3" w:rsidRPr="003248E3">
        <w:rPr>
          <w:rFonts w:ascii="Arial" w:hAnsi="Arial" w:cs="Arial"/>
          <w:i/>
        </w:rPr>
        <w:t xml:space="preserve">Level of </w:t>
      </w:r>
      <w:r w:rsidR="00D308B0" w:rsidRPr="00D308B0">
        <w:rPr>
          <w:rFonts w:ascii="Arial" w:hAnsi="Arial" w:cs="Arial"/>
          <w:i/>
        </w:rPr>
        <w:t>Job Gratification of Public Elementary School Teachers</w:t>
      </w:r>
    </w:p>
    <w:p w14:paraId="5C6E0248" w14:textId="77777777" w:rsidR="00D308B0" w:rsidRDefault="00D308B0">
      <w:pPr>
        <w:suppressAutoHyphens/>
        <w:jc w:val="both"/>
        <w:rPr>
          <w:rFonts w:ascii="Arial" w:hAnsi="Arial" w:cs="Arial"/>
          <w:i/>
        </w:rPr>
      </w:pPr>
    </w:p>
    <w:tbl>
      <w:tblPr>
        <w:tblW w:w="810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100"/>
        <w:gridCol w:w="40"/>
        <w:gridCol w:w="827"/>
        <w:gridCol w:w="958"/>
        <w:gridCol w:w="19"/>
        <w:gridCol w:w="2152"/>
        <w:gridCol w:w="10"/>
      </w:tblGrid>
      <w:tr w:rsidR="007F45F6" w:rsidRPr="007F45F6" w14:paraId="60939CC3" w14:textId="77777777" w:rsidTr="007F45F6">
        <w:trPr>
          <w:gridAfter w:val="1"/>
          <w:wAfter w:w="9" w:type="dxa"/>
          <w:trHeight w:val="35"/>
        </w:trPr>
        <w:tc>
          <w:tcPr>
            <w:tcW w:w="4141" w:type="dxa"/>
            <w:gridSpan w:val="2"/>
            <w:tcBorders>
              <w:top w:val="single" w:sz="18" w:space="0" w:color="000000"/>
              <w:bottom w:val="single" w:sz="4" w:space="0" w:color="000000"/>
            </w:tcBorders>
          </w:tcPr>
          <w:p w14:paraId="7A27C65A" w14:textId="5CFD8491" w:rsidR="007F45F6" w:rsidRPr="007F45F6" w:rsidRDefault="007F45F6" w:rsidP="00052E04">
            <w:pPr>
              <w:jc w:val="center"/>
              <w:rPr>
                <w:rFonts w:ascii="Arial" w:eastAsia="Arial" w:hAnsi="Arial"/>
                <w:b/>
              </w:rPr>
            </w:pPr>
            <w:r w:rsidRPr="007F45F6">
              <w:rPr>
                <w:rFonts w:ascii="Arial" w:eastAsia="Arial" w:hAnsi="Arial"/>
                <w:b/>
              </w:rPr>
              <w:t>Domains</w:t>
            </w:r>
          </w:p>
        </w:tc>
        <w:tc>
          <w:tcPr>
            <w:tcW w:w="827" w:type="dxa"/>
            <w:tcBorders>
              <w:top w:val="single" w:sz="18" w:space="0" w:color="000000"/>
              <w:bottom w:val="single" w:sz="4" w:space="0" w:color="000000"/>
            </w:tcBorders>
          </w:tcPr>
          <w:p w14:paraId="62F15731" w14:textId="77777777" w:rsidR="007F45F6" w:rsidRPr="007F45F6" w:rsidRDefault="007F45F6" w:rsidP="00052E04">
            <w:pPr>
              <w:jc w:val="center"/>
              <w:rPr>
                <w:rFonts w:ascii="Arial" w:eastAsia="Arial" w:hAnsi="Arial"/>
                <w:b/>
              </w:rPr>
            </w:pPr>
            <w:r w:rsidRPr="007F45F6">
              <w:rPr>
                <w:rFonts w:ascii="Arial" w:eastAsia="Arial" w:hAnsi="Arial"/>
                <w:b/>
              </w:rPr>
              <w:t>SD</w:t>
            </w:r>
          </w:p>
        </w:tc>
        <w:tc>
          <w:tcPr>
            <w:tcW w:w="977" w:type="dxa"/>
            <w:gridSpan w:val="2"/>
            <w:tcBorders>
              <w:top w:val="single" w:sz="18" w:space="0" w:color="000000"/>
              <w:bottom w:val="single" w:sz="4" w:space="0" w:color="000000"/>
            </w:tcBorders>
          </w:tcPr>
          <w:p w14:paraId="5FAACD3D" w14:textId="77777777" w:rsidR="007F45F6" w:rsidRPr="007F45F6" w:rsidRDefault="007F45F6" w:rsidP="00052E04">
            <w:pPr>
              <w:jc w:val="center"/>
              <w:rPr>
                <w:rFonts w:ascii="Arial" w:eastAsia="Arial" w:hAnsi="Arial"/>
                <w:b/>
              </w:rPr>
            </w:pPr>
            <w:r w:rsidRPr="007F45F6">
              <w:rPr>
                <w:rFonts w:ascii="Arial" w:eastAsia="Arial" w:hAnsi="Arial"/>
                <w:b/>
              </w:rPr>
              <w:t>Mean</w:t>
            </w:r>
          </w:p>
        </w:tc>
        <w:tc>
          <w:tcPr>
            <w:tcW w:w="2152" w:type="dxa"/>
            <w:tcBorders>
              <w:top w:val="single" w:sz="18" w:space="0" w:color="000000"/>
              <w:bottom w:val="single" w:sz="4" w:space="0" w:color="000000"/>
            </w:tcBorders>
          </w:tcPr>
          <w:p w14:paraId="36908037" w14:textId="77777777" w:rsidR="007F45F6" w:rsidRPr="007F45F6" w:rsidRDefault="007F45F6" w:rsidP="00052E04">
            <w:pPr>
              <w:jc w:val="center"/>
              <w:rPr>
                <w:rFonts w:ascii="Arial" w:eastAsia="Arial" w:hAnsi="Arial"/>
                <w:b/>
              </w:rPr>
            </w:pPr>
            <w:r w:rsidRPr="007F45F6">
              <w:rPr>
                <w:rFonts w:ascii="Arial" w:eastAsia="Arial" w:hAnsi="Arial"/>
                <w:b/>
              </w:rPr>
              <w:t>Descriptive Level</w:t>
            </w:r>
          </w:p>
        </w:tc>
      </w:tr>
      <w:tr w:rsidR="007F45F6" w:rsidRPr="007F45F6" w14:paraId="569CB9FC" w14:textId="77777777" w:rsidTr="007F45F6">
        <w:trPr>
          <w:gridAfter w:val="1"/>
          <w:wAfter w:w="9" w:type="dxa"/>
          <w:trHeight w:val="271"/>
        </w:trPr>
        <w:tc>
          <w:tcPr>
            <w:tcW w:w="4141" w:type="dxa"/>
            <w:gridSpan w:val="2"/>
            <w:tcBorders>
              <w:top w:val="single" w:sz="4" w:space="0" w:color="000000"/>
            </w:tcBorders>
          </w:tcPr>
          <w:p w14:paraId="19F1DC6E" w14:textId="77777777" w:rsidR="007F45F6" w:rsidRPr="007F45F6" w:rsidRDefault="007F45F6" w:rsidP="00052E04">
            <w:pPr>
              <w:widowControl w:val="0"/>
              <w:pBdr>
                <w:top w:val="nil"/>
                <w:left w:val="nil"/>
                <w:bottom w:val="nil"/>
                <w:right w:val="nil"/>
                <w:between w:val="nil"/>
              </w:pBdr>
              <w:jc w:val="center"/>
              <w:rPr>
                <w:rFonts w:ascii="Arial" w:eastAsia="Arial" w:hAnsi="Arial"/>
              </w:rPr>
            </w:pPr>
            <w:r w:rsidRPr="007F45F6">
              <w:rPr>
                <w:rFonts w:ascii="Arial" w:eastAsia="Arial" w:hAnsi="Arial"/>
              </w:rPr>
              <w:t>Teacher Salary</w:t>
            </w:r>
          </w:p>
        </w:tc>
        <w:tc>
          <w:tcPr>
            <w:tcW w:w="827" w:type="dxa"/>
            <w:tcBorders>
              <w:top w:val="single" w:sz="4" w:space="0" w:color="000000"/>
            </w:tcBorders>
          </w:tcPr>
          <w:p w14:paraId="6EA2178A" w14:textId="77777777" w:rsidR="007F45F6" w:rsidRPr="007F45F6" w:rsidRDefault="007F45F6" w:rsidP="00052E04">
            <w:pPr>
              <w:jc w:val="center"/>
              <w:rPr>
                <w:rFonts w:ascii="Arial" w:eastAsia="Arial" w:hAnsi="Arial"/>
              </w:rPr>
            </w:pPr>
            <w:r w:rsidRPr="007F45F6">
              <w:rPr>
                <w:rFonts w:ascii="Arial" w:eastAsia="Arial" w:hAnsi="Arial"/>
              </w:rPr>
              <w:t>0.55</w:t>
            </w:r>
          </w:p>
        </w:tc>
        <w:tc>
          <w:tcPr>
            <w:tcW w:w="977" w:type="dxa"/>
            <w:gridSpan w:val="2"/>
            <w:tcBorders>
              <w:top w:val="single" w:sz="4" w:space="0" w:color="000000"/>
            </w:tcBorders>
          </w:tcPr>
          <w:p w14:paraId="5B6DF015" w14:textId="77777777" w:rsidR="007F45F6" w:rsidRPr="007F45F6" w:rsidRDefault="007F45F6" w:rsidP="00052E04">
            <w:pPr>
              <w:jc w:val="center"/>
              <w:rPr>
                <w:rFonts w:ascii="Arial" w:eastAsia="Arial" w:hAnsi="Arial"/>
              </w:rPr>
            </w:pPr>
            <w:r w:rsidRPr="007F45F6">
              <w:rPr>
                <w:rFonts w:ascii="Arial" w:eastAsia="Arial" w:hAnsi="Arial"/>
              </w:rPr>
              <w:t>4.28</w:t>
            </w:r>
          </w:p>
        </w:tc>
        <w:tc>
          <w:tcPr>
            <w:tcW w:w="2152" w:type="dxa"/>
            <w:tcBorders>
              <w:top w:val="single" w:sz="4" w:space="0" w:color="000000"/>
            </w:tcBorders>
          </w:tcPr>
          <w:p w14:paraId="23A045A6" w14:textId="77777777" w:rsidR="007F45F6" w:rsidRPr="007F45F6" w:rsidRDefault="007F45F6" w:rsidP="00052E04">
            <w:pPr>
              <w:jc w:val="center"/>
              <w:rPr>
                <w:rFonts w:ascii="Arial" w:eastAsia="Arial" w:hAnsi="Arial"/>
              </w:rPr>
            </w:pPr>
            <w:r w:rsidRPr="007F45F6">
              <w:rPr>
                <w:rFonts w:ascii="Arial" w:eastAsia="Arial" w:hAnsi="Arial"/>
              </w:rPr>
              <w:t>Very High</w:t>
            </w:r>
          </w:p>
        </w:tc>
      </w:tr>
      <w:tr w:rsidR="007F45F6" w:rsidRPr="007F45F6" w14:paraId="665F58AE" w14:textId="77777777" w:rsidTr="007F45F6">
        <w:trPr>
          <w:gridAfter w:val="1"/>
          <w:wAfter w:w="9" w:type="dxa"/>
          <w:trHeight w:val="282"/>
        </w:trPr>
        <w:tc>
          <w:tcPr>
            <w:tcW w:w="4141" w:type="dxa"/>
            <w:gridSpan w:val="2"/>
          </w:tcPr>
          <w:p w14:paraId="5597D9BA" w14:textId="77777777" w:rsidR="007F45F6" w:rsidRPr="007F45F6" w:rsidRDefault="007F45F6" w:rsidP="00052E04">
            <w:pPr>
              <w:widowControl w:val="0"/>
              <w:pBdr>
                <w:top w:val="nil"/>
                <w:left w:val="nil"/>
                <w:bottom w:val="nil"/>
                <w:right w:val="nil"/>
                <w:between w:val="nil"/>
              </w:pBdr>
              <w:jc w:val="center"/>
              <w:rPr>
                <w:rFonts w:ascii="Arial" w:eastAsia="Arial" w:hAnsi="Arial"/>
              </w:rPr>
            </w:pPr>
            <w:r w:rsidRPr="007F45F6">
              <w:rPr>
                <w:rFonts w:ascii="Arial" w:eastAsia="Arial" w:hAnsi="Arial"/>
              </w:rPr>
              <w:t>Teacher Position</w:t>
            </w:r>
          </w:p>
        </w:tc>
        <w:tc>
          <w:tcPr>
            <w:tcW w:w="827" w:type="dxa"/>
          </w:tcPr>
          <w:p w14:paraId="3D88A4F7" w14:textId="77777777" w:rsidR="007F45F6" w:rsidRPr="007F45F6" w:rsidRDefault="007F45F6" w:rsidP="00052E04">
            <w:pPr>
              <w:jc w:val="center"/>
              <w:rPr>
                <w:rFonts w:ascii="Arial" w:eastAsia="Arial" w:hAnsi="Arial"/>
              </w:rPr>
            </w:pPr>
            <w:r w:rsidRPr="007F45F6">
              <w:rPr>
                <w:rFonts w:ascii="Arial" w:eastAsia="Arial" w:hAnsi="Arial"/>
              </w:rPr>
              <w:t>0.60</w:t>
            </w:r>
          </w:p>
        </w:tc>
        <w:tc>
          <w:tcPr>
            <w:tcW w:w="977" w:type="dxa"/>
            <w:gridSpan w:val="2"/>
          </w:tcPr>
          <w:p w14:paraId="3E2D5CE4" w14:textId="77777777" w:rsidR="007F45F6" w:rsidRPr="007F45F6" w:rsidRDefault="007F45F6" w:rsidP="00052E04">
            <w:pPr>
              <w:jc w:val="center"/>
              <w:rPr>
                <w:rFonts w:ascii="Arial" w:eastAsia="Arial" w:hAnsi="Arial"/>
              </w:rPr>
            </w:pPr>
            <w:r w:rsidRPr="007F45F6">
              <w:rPr>
                <w:rFonts w:ascii="Arial" w:eastAsia="Arial" w:hAnsi="Arial"/>
              </w:rPr>
              <w:t>4.31</w:t>
            </w:r>
          </w:p>
        </w:tc>
        <w:tc>
          <w:tcPr>
            <w:tcW w:w="2152" w:type="dxa"/>
          </w:tcPr>
          <w:p w14:paraId="6D516367" w14:textId="77777777" w:rsidR="007F45F6" w:rsidRPr="007F45F6" w:rsidRDefault="007F45F6" w:rsidP="00052E04">
            <w:pPr>
              <w:jc w:val="center"/>
              <w:rPr>
                <w:rFonts w:ascii="Arial" w:eastAsia="Arial" w:hAnsi="Arial"/>
              </w:rPr>
            </w:pPr>
            <w:r w:rsidRPr="007F45F6">
              <w:rPr>
                <w:rFonts w:ascii="Arial" w:eastAsia="Arial" w:hAnsi="Arial"/>
              </w:rPr>
              <w:t>Very High</w:t>
            </w:r>
          </w:p>
        </w:tc>
      </w:tr>
      <w:tr w:rsidR="007F45F6" w:rsidRPr="007F45F6" w14:paraId="3E70F520" w14:textId="77777777" w:rsidTr="007F45F6">
        <w:trPr>
          <w:gridAfter w:val="1"/>
          <w:wAfter w:w="9" w:type="dxa"/>
          <w:trHeight w:val="282"/>
        </w:trPr>
        <w:tc>
          <w:tcPr>
            <w:tcW w:w="4141" w:type="dxa"/>
            <w:gridSpan w:val="2"/>
          </w:tcPr>
          <w:p w14:paraId="72DA0B8F" w14:textId="77777777" w:rsidR="007F45F6" w:rsidRPr="007F45F6" w:rsidRDefault="007F45F6" w:rsidP="00052E04">
            <w:pPr>
              <w:widowControl w:val="0"/>
              <w:pBdr>
                <w:top w:val="nil"/>
                <w:left w:val="nil"/>
                <w:bottom w:val="nil"/>
                <w:right w:val="nil"/>
                <w:between w:val="nil"/>
              </w:pBdr>
              <w:jc w:val="center"/>
              <w:rPr>
                <w:rFonts w:ascii="Arial" w:eastAsia="Arial" w:hAnsi="Arial"/>
              </w:rPr>
            </w:pPr>
            <w:r w:rsidRPr="007F45F6">
              <w:rPr>
                <w:rFonts w:ascii="Arial" w:eastAsia="Arial" w:hAnsi="Arial"/>
              </w:rPr>
              <w:t>Teaching Assignment</w:t>
            </w:r>
          </w:p>
        </w:tc>
        <w:tc>
          <w:tcPr>
            <w:tcW w:w="827" w:type="dxa"/>
          </w:tcPr>
          <w:p w14:paraId="31FA72EC" w14:textId="77777777" w:rsidR="007F45F6" w:rsidRPr="007F45F6" w:rsidRDefault="007F45F6" w:rsidP="00052E04">
            <w:pPr>
              <w:jc w:val="center"/>
              <w:rPr>
                <w:rFonts w:ascii="Arial" w:eastAsia="Arial" w:hAnsi="Arial"/>
              </w:rPr>
            </w:pPr>
            <w:r w:rsidRPr="007F45F6">
              <w:rPr>
                <w:rFonts w:ascii="Arial" w:eastAsia="Arial" w:hAnsi="Arial"/>
              </w:rPr>
              <w:t>0.58</w:t>
            </w:r>
          </w:p>
        </w:tc>
        <w:tc>
          <w:tcPr>
            <w:tcW w:w="977" w:type="dxa"/>
            <w:gridSpan w:val="2"/>
          </w:tcPr>
          <w:p w14:paraId="701798E1" w14:textId="77777777" w:rsidR="007F45F6" w:rsidRPr="007F45F6" w:rsidRDefault="007F45F6" w:rsidP="00052E04">
            <w:pPr>
              <w:jc w:val="center"/>
              <w:rPr>
                <w:rFonts w:ascii="Arial" w:eastAsia="Arial" w:hAnsi="Arial"/>
              </w:rPr>
            </w:pPr>
            <w:r w:rsidRPr="007F45F6">
              <w:rPr>
                <w:rFonts w:ascii="Arial" w:eastAsia="Arial" w:hAnsi="Arial"/>
              </w:rPr>
              <w:t>4.32</w:t>
            </w:r>
          </w:p>
        </w:tc>
        <w:tc>
          <w:tcPr>
            <w:tcW w:w="2152" w:type="dxa"/>
          </w:tcPr>
          <w:p w14:paraId="5450E513" w14:textId="77777777" w:rsidR="007F45F6" w:rsidRPr="007F45F6" w:rsidRDefault="007F45F6" w:rsidP="00052E04">
            <w:pPr>
              <w:jc w:val="center"/>
              <w:rPr>
                <w:rFonts w:ascii="Arial" w:eastAsia="Arial" w:hAnsi="Arial"/>
              </w:rPr>
            </w:pPr>
            <w:r w:rsidRPr="007F45F6">
              <w:rPr>
                <w:rFonts w:ascii="Arial" w:eastAsia="Arial" w:hAnsi="Arial"/>
              </w:rPr>
              <w:t>Very High</w:t>
            </w:r>
          </w:p>
        </w:tc>
      </w:tr>
      <w:tr w:rsidR="007F45F6" w:rsidRPr="007F45F6" w14:paraId="38EEF633" w14:textId="77777777" w:rsidTr="007F45F6">
        <w:trPr>
          <w:gridAfter w:val="1"/>
          <w:wAfter w:w="9" w:type="dxa"/>
          <w:trHeight w:val="282"/>
        </w:trPr>
        <w:tc>
          <w:tcPr>
            <w:tcW w:w="4141" w:type="dxa"/>
            <w:gridSpan w:val="2"/>
          </w:tcPr>
          <w:p w14:paraId="0E78A3B2" w14:textId="77777777" w:rsidR="007F45F6" w:rsidRPr="007F45F6" w:rsidRDefault="007F45F6" w:rsidP="00052E04">
            <w:pPr>
              <w:widowControl w:val="0"/>
              <w:pBdr>
                <w:top w:val="nil"/>
                <w:left w:val="nil"/>
                <w:bottom w:val="nil"/>
                <w:right w:val="nil"/>
                <w:between w:val="nil"/>
              </w:pBdr>
              <w:jc w:val="center"/>
              <w:rPr>
                <w:rFonts w:ascii="Arial" w:eastAsia="Arial" w:hAnsi="Arial"/>
              </w:rPr>
            </w:pPr>
            <w:r w:rsidRPr="007F45F6">
              <w:rPr>
                <w:rFonts w:ascii="Arial" w:eastAsia="Arial" w:hAnsi="Arial"/>
              </w:rPr>
              <w:t>Working Condition</w:t>
            </w:r>
          </w:p>
        </w:tc>
        <w:tc>
          <w:tcPr>
            <w:tcW w:w="827" w:type="dxa"/>
          </w:tcPr>
          <w:p w14:paraId="452C99B0" w14:textId="77777777" w:rsidR="007F45F6" w:rsidRPr="007F45F6" w:rsidRDefault="007F45F6" w:rsidP="00052E04">
            <w:pPr>
              <w:jc w:val="center"/>
              <w:rPr>
                <w:rFonts w:ascii="Arial" w:eastAsia="Arial" w:hAnsi="Arial"/>
              </w:rPr>
            </w:pPr>
            <w:r w:rsidRPr="007F45F6">
              <w:rPr>
                <w:rFonts w:ascii="Arial" w:eastAsia="Arial" w:hAnsi="Arial"/>
              </w:rPr>
              <w:t>0.63</w:t>
            </w:r>
          </w:p>
        </w:tc>
        <w:tc>
          <w:tcPr>
            <w:tcW w:w="977" w:type="dxa"/>
            <w:gridSpan w:val="2"/>
          </w:tcPr>
          <w:p w14:paraId="5B10CD5A" w14:textId="77777777" w:rsidR="007F45F6" w:rsidRPr="007F45F6" w:rsidRDefault="007F45F6" w:rsidP="00052E04">
            <w:pPr>
              <w:jc w:val="center"/>
              <w:rPr>
                <w:rFonts w:ascii="Arial" w:eastAsia="Arial" w:hAnsi="Arial"/>
              </w:rPr>
            </w:pPr>
            <w:r w:rsidRPr="007F45F6">
              <w:rPr>
                <w:rFonts w:ascii="Arial" w:eastAsia="Arial" w:hAnsi="Arial"/>
              </w:rPr>
              <w:t>4.34</w:t>
            </w:r>
          </w:p>
        </w:tc>
        <w:tc>
          <w:tcPr>
            <w:tcW w:w="2152" w:type="dxa"/>
          </w:tcPr>
          <w:p w14:paraId="2EA2DC6C" w14:textId="77777777" w:rsidR="007F45F6" w:rsidRPr="007F45F6" w:rsidRDefault="007F45F6" w:rsidP="00052E04">
            <w:pPr>
              <w:jc w:val="center"/>
              <w:rPr>
                <w:rFonts w:ascii="Arial" w:eastAsia="Arial" w:hAnsi="Arial"/>
              </w:rPr>
            </w:pPr>
            <w:r w:rsidRPr="007F45F6">
              <w:rPr>
                <w:rFonts w:ascii="Arial" w:eastAsia="Arial" w:hAnsi="Arial"/>
              </w:rPr>
              <w:t>Very High</w:t>
            </w:r>
          </w:p>
        </w:tc>
      </w:tr>
      <w:tr w:rsidR="007F45F6" w:rsidRPr="007F45F6" w14:paraId="3276B731" w14:textId="77777777" w:rsidTr="007F45F6">
        <w:trPr>
          <w:gridAfter w:val="1"/>
          <w:wAfter w:w="9" w:type="dxa"/>
          <w:trHeight w:val="282"/>
        </w:trPr>
        <w:tc>
          <w:tcPr>
            <w:tcW w:w="4141" w:type="dxa"/>
            <w:gridSpan w:val="2"/>
          </w:tcPr>
          <w:p w14:paraId="4267C9A2" w14:textId="77777777" w:rsidR="007F45F6" w:rsidRPr="007F45F6" w:rsidRDefault="007F45F6" w:rsidP="00052E04">
            <w:pPr>
              <w:widowControl w:val="0"/>
              <w:pBdr>
                <w:top w:val="nil"/>
                <w:left w:val="nil"/>
                <w:bottom w:val="nil"/>
                <w:right w:val="nil"/>
                <w:between w:val="nil"/>
              </w:pBdr>
              <w:jc w:val="center"/>
              <w:rPr>
                <w:rFonts w:ascii="Arial" w:eastAsia="Arial" w:hAnsi="Arial"/>
              </w:rPr>
            </w:pPr>
            <w:r w:rsidRPr="007F45F6">
              <w:rPr>
                <w:rFonts w:ascii="Arial" w:eastAsia="Arial" w:hAnsi="Arial"/>
              </w:rPr>
              <w:t>Supervisory Practices</w:t>
            </w:r>
          </w:p>
        </w:tc>
        <w:tc>
          <w:tcPr>
            <w:tcW w:w="827" w:type="dxa"/>
          </w:tcPr>
          <w:p w14:paraId="22AF3427" w14:textId="77777777" w:rsidR="007F45F6" w:rsidRPr="007F45F6" w:rsidRDefault="007F45F6" w:rsidP="00052E04">
            <w:pPr>
              <w:jc w:val="center"/>
              <w:rPr>
                <w:rFonts w:ascii="Arial" w:eastAsia="Arial" w:hAnsi="Arial"/>
              </w:rPr>
            </w:pPr>
            <w:r w:rsidRPr="007F45F6">
              <w:rPr>
                <w:rFonts w:ascii="Arial" w:eastAsia="Arial" w:hAnsi="Arial"/>
              </w:rPr>
              <w:t>0.74</w:t>
            </w:r>
          </w:p>
        </w:tc>
        <w:tc>
          <w:tcPr>
            <w:tcW w:w="977" w:type="dxa"/>
            <w:gridSpan w:val="2"/>
          </w:tcPr>
          <w:p w14:paraId="36709003" w14:textId="77777777" w:rsidR="007F45F6" w:rsidRPr="007F45F6" w:rsidRDefault="007F45F6" w:rsidP="00052E04">
            <w:pPr>
              <w:jc w:val="center"/>
              <w:rPr>
                <w:rFonts w:ascii="Arial" w:eastAsia="Arial" w:hAnsi="Arial"/>
              </w:rPr>
            </w:pPr>
            <w:r w:rsidRPr="007F45F6">
              <w:rPr>
                <w:rFonts w:ascii="Arial" w:eastAsia="Arial" w:hAnsi="Arial"/>
              </w:rPr>
              <w:t>4.31</w:t>
            </w:r>
          </w:p>
        </w:tc>
        <w:tc>
          <w:tcPr>
            <w:tcW w:w="2152" w:type="dxa"/>
          </w:tcPr>
          <w:p w14:paraId="1751A6BF" w14:textId="77777777" w:rsidR="007F45F6" w:rsidRPr="007F45F6" w:rsidRDefault="007F45F6" w:rsidP="00052E04">
            <w:pPr>
              <w:jc w:val="center"/>
              <w:rPr>
                <w:rFonts w:ascii="Arial" w:eastAsia="Arial" w:hAnsi="Arial"/>
              </w:rPr>
            </w:pPr>
            <w:r w:rsidRPr="007F45F6">
              <w:rPr>
                <w:rFonts w:ascii="Arial" w:eastAsia="Arial" w:hAnsi="Arial"/>
              </w:rPr>
              <w:t>Very High</w:t>
            </w:r>
          </w:p>
        </w:tc>
      </w:tr>
      <w:tr w:rsidR="007F45F6" w:rsidRPr="007F45F6" w14:paraId="6D910FB8" w14:textId="77777777" w:rsidTr="007F45F6">
        <w:trPr>
          <w:gridAfter w:val="1"/>
          <w:wAfter w:w="9" w:type="dxa"/>
          <w:trHeight w:val="282"/>
        </w:trPr>
        <w:tc>
          <w:tcPr>
            <w:tcW w:w="4141" w:type="dxa"/>
            <w:gridSpan w:val="2"/>
          </w:tcPr>
          <w:p w14:paraId="0F5EA96C" w14:textId="77777777" w:rsidR="007F45F6" w:rsidRPr="007F45F6" w:rsidRDefault="007F45F6" w:rsidP="00052E04">
            <w:pPr>
              <w:widowControl w:val="0"/>
              <w:pBdr>
                <w:top w:val="nil"/>
                <w:left w:val="nil"/>
                <w:bottom w:val="nil"/>
                <w:right w:val="nil"/>
                <w:between w:val="nil"/>
              </w:pBdr>
              <w:jc w:val="center"/>
              <w:rPr>
                <w:rFonts w:ascii="Arial" w:eastAsia="Arial" w:hAnsi="Arial"/>
              </w:rPr>
            </w:pPr>
            <w:r w:rsidRPr="007F45F6">
              <w:rPr>
                <w:rFonts w:ascii="Arial" w:eastAsia="Arial" w:hAnsi="Arial"/>
              </w:rPr>
              <w:t>Incentives</w:t>
            </w:r>
          </w:p>
        </w:tc>
        <w:tc>
          <w:tcPr>
            <w:tcW w:w="827" w:type="dxa"/>
          </w:tcPr>
          <w:p w14:paraId="3D9646D0" w14:textId="77777777" w:rsidR="007F45F6" w:rsidRPr="007F45F6" w:rsidRDefault="007F45F6" w:rsidP="00052E04">
            <w:pPr>
              <w:jc w:val="center"/>
              <w:rPr>
                <w:rFonts w:ascii="Arial" w:eastAsia="Arial" w:hAnsi="Arial"/>
              </w:rPr>
            </w:pPr>
            <w:r w:rsidRPr="007F45F6">
              <w:rPr>
                <w:rFonts w:ascii="Arial" w:eastAsia="Arial" w:hAnsi="Arial"/>
              </w:rPr>
              <w:t>0.80</w:t>
            </w:r>
          </w:p>
        </w:tc>
        <w:tc>
          <w:tcPr>
            <w:tcW w:w="977" w:type="dxa"/>
            <w:gridSpan w:val="2"/>
          </w:tcPr>
          <w:p w14:paraId="49276457" w14:textId="77777777" w:rsidR="007F45F6" w:rsidRPr="007F45F6" w:rsidRDefault="007F45F6" w:rsidP="00052E04">
            <w:pPr>
              <w:jc w:val="center"/>
              <w:rPr>
                <w:rFonts w:ascii="Arial" w:eastAsia="Arial" w:hAnsi="Arial"/>
              </w:rPr>
            </w:pPr>
            <w:r w:rsidRPr="007F45F6">
              <w:rPr>
                <w:rFonts w:ascii="Arial" w:eastAsia="Arial" w:hAnsi="Arial"/>
              </w:rPr>
              <w:t>4.30</w:t>
            </w:r>
          </w:p>
        </w:tc>
        <w:tc>
          <w:tcPr>
            <w:tcW w:w="2152" w:type="dxa"/>
          </w:tcPr>
          <w:p w14:paraId="07414217" w14:textId="77777777" w:rsidR="007F45F6" w:rsidRPr="007F45F6" w:rsidRDefault="007F45F6" w:rsidP="00052E04">
            <w:pPr>
              <w:jc w:val="center"/>
              <w:rPr>
                <w:rFonts w:ascii="Arial" w:eastAsia="Arial" w:hAnsi="Arial"/>
              </w:rPr>
            </w:pPr>
            <w:r w:rsidRPr="007F45F6">
              <w:rPr>
                <w:rFonts w:ascii="Arial" w:eastAsia="Arial" w:hAnsi="Arial"/>
              </w:rPr>
              <w:t>Very High</w:t>
            </w:r>
          </w:p>
        </w:tc>
      </w:tr>
      <w:tr w:rsidR="007F45F6" w14:paraId="3B8D6268" w14:textId="77777777" w:rsidTr="007F45F6">
        <w:trPr>
          <w:trHeight w:val="266"/>
        </w:trPr>
        <w:tc>
          <w:tcPr>
            <w:tcW w:w="4101" w:type="dxa"/>
            <w:tcBorders>
              <w:top w:val="single" w:sz="4" w:space="0" w:color="000000"/>
              <w:bottom w:val="single" w:sz="18" w:space="0" w:color="000000"/>
            </w:tcBorders>
          </w:tcPr>
          <w:p w14:paraId="7114FBDA" w14:textId="77777777" w:rsidR="007F45F6" w:rsidRPr="007F45F6" w:rsidRDefault="007F45F6" w:rsidP="00052E04">
            <w:pPr>
              <w:pBdr>
                <w:top w:val="nil"/>
                <w:left w:val="nil"/>
                <w:bottom w:val="nil"/>
                <w:right w:val="nil"/>
                <w:between w:val="nil"/>
              </w:pBdr>
              <w:jc w:val="center"/>
              <w:rPr>
                <w:rFonts w:ascii="Arial" w:eastAsia="Arial" w:hAnsi="Arial"/>
                <w:b/>
                <w:color w:val="000000"/>
              </w:rPr>
            </w:pPr>
            <w:r w:rsidRPr="007F45F6">
              <w:rPr>
                <w:rFonts w:ascii="Arial" w:eastAsia="Arial" w:hAnsi="Arial"/>
                <w:b/>
                <w:color w:val="000000"/>
              </w:rPr>
              <w:t>Overall</w:t>
            </w:r>
          </w:p>
        </w:tc>
        <w:tc>
          <w:tcPr>
            <w:tcW w:w="866" w:type="dxa"/>
            <w:gridSpan w:val="2"/>
            <w:tcBorders>
              <w:top w:val="single" w:sz="4" w:space="0" w:color="000000"/>
              <w:bottom w:val="single" w:sz="18" w:space="0" w:color="000000"/>
            </w:tcBorders>
          </w:tcPr>
          <w:p w14:paraId="4D0EDDB2" w14:textId="77777777" w:rsidR="007F45F6" w:rsidRPr="007F45F6" w:rsidRDefault="007F45F6" w:rsidP="00052E04">
            <w:pPr>
              <w:jc w:val="center"/>
              <w:rPr>
                <w:rFonts w:ascii="Arial" w:eastAsia="Arial" w:hAnsi="Arial"/>
                <w:b/>
              </w:rPr>
            </w:pPr>
            <w:r w:rsidRPr="007F45F6">
              <w:rPr>
                <w:rFonts w:ascii="Arial" w:eastAsia="Arial" w:hAnsi="Arial"/>
                <w:b/>
              </w:rPr>
              <w:t>0.50</w:t>
            </w:r>
          </w:p>
        </w:tc>
        <w:tc>
          <w:tcPr>
            <w:tcW w:w="958" w:type="dxa"/>
            <w:tcBorders>
              <w:top w:val="single" w:sz="4" w:space="0" w:color="000000"/>
              <w:bottom w:val="single" w:sz="18" w:space="0" w:color="000000"/>
            </w:tcBorders>
          </w:tcPr>
          <w:p w14:paraId="4E5BC71C" w14:textId="77777777" w:rsidR="007F45F6" w:rsidRPr="007F45F6" w:rsidRDefault="007F45F6" w:rsidP="00052E04">
            <w:pPr>
              <w:jc w:val="center"/>
              <w:rPr>
                <w:rFonts w:ascii="Arial" w:eastAsia="Arial" w:hAnsi="Arial"/>
                <w:b/>
              </w:rPr>
            </w:pPr>
            <w:r w:rsidRPr="007F45F6">
              <w:rPr>
                <w:rFonts w:ascii="Arial" w:eastAsia="Arial" w:hAnsi="Arial"/>
                <w:b/>
              </w:rPr>
              <w:t>4.31</w:t>
            </w:r>
          </w:p>
        </w:tc>
        <w:tc>
          <w:tcPr>
            <w:tcW w:w="2181" w:type="dxa"/>
            <w:gridSpan w:val="3"/>
            <w:tcBorders>
              <w:top w:val="single" w:sz="4" w:space="0" w:color="000000"/>
              <w:bottom w:val="single" w:sz="18" w:space="0" w:color="000000"/>
            </w:tcBorders>
          </w:tcPr>
          <w:p w14:paraId="31F26805" w14:textId="77777777" w:rsidR="007F45F6" w:rsidRPr="007F45F6" w:rsidRDefault="007F45F6" w:rsidP="00052E04">
            <w:pPr>
              <w:jc w:val="center"/>
              <w:rPr>
                <w:rFonts w:ascii="Arial" w:eastAsia="Arial" w:hAnsi="Arial"/>
                <w:b/>
              </w:rPr>
            </w:pPr>
            <w:r w:rsidRPr="007F45F6">
              <w:rPr>
                <w:rFonts w:ascii="Arial" w:eastAsia="Arial" w:hAnsi="Arial"/>
                <w:b/>
              </w:rPr>
              <w:t>Very High</w:t>
            </w:r>
          </w:p>
        </w:tc>
      </w:tr>
    </w:tbl>
    <w:p w14:paraId="20CF6BE0" w14:textId="77777777" w:rsidR="00D453B9" w:rsidRDefault="00D453B9" w:rsidP="003248E3">
      <w:pPr>
        <w:jc w:val="both"/>
        <w:rPr>
          <w:rFonts w:ascii="Arial" w:hAnsi="Arial" w:cs="Arial"/>
        </w:rPr>
      </w:pPr>
    </w:p>
    <w:p w14:paraId="50E97EEF" w14:textId="0E7EAE4E" w:rsidR="007F45F6" w:rsidRDefault="007F45F6" w:rsidP="007F45F6">
      <w:pPr>
        <w:jc w:val="both"/>
        <w:rPr>
          <w:rFonts w:ascii="Arial" w:hAnsi="Arial" w:cs="Arial"/>
        </w:rPr>
      </w:pPr>
      <w:r w:rsidRPr="007F45F6">
        <w:rPr>
          <w:rFonts w:ascii="Arial" w:hAnsi="Arial" w:cs="Arial"/>
        </w:rPr>
        <w:t xml:space="preserve">Presented in Table </w:t>
      </w:r>
      <w:r>
        <w:rPr>
          <w:rFonts w:ascii="Arial" w:hAnsi="Arial" w:cs="Arial"/>
        </w:rPr>
        <w:t>1</w:t>
      </w:r>
      <w:r w:rsidRPr="007F45F6">
        <w:rPr>
          <w:rFonts w:ascii="Arial" w:hAnsi="Arial" w:cs="Arial"/>
        </w:rPr>
        <w:t xml:space="preserve"> </w:t>
      </w:r>
      <w:r w:rsidR="00747370">
        <w:rPr>
          <w:rFonts w:ascii="Arial" w:hAnsi="Arial" w:cs="Arial"/>
        </w:rPr>
        <w:t>are</w:t>
      </w:r>
      <w:r w:rsidRPr="007F45F6">
        <w:rPr>
          <w:rFonts w:ascii="Arial" w:hAnsi="Arial" w:cs="Arial"/>
        </w:rPr>
        <w:t xml:space="preserve"> the </w:t>
      </w:r>
      <w:r w:rsidR="00DF5FE4">
        <w:rPr>
          <w:rFonts w:ascii="Arial" w:hAnsi="Arial" w:cs="Arial"/>
        </w:rPr>
        <w:t>domains</w:t>
      </w:r>
      <w:r w:rsidRPr="007F45F6">
        <w:rPr>
          <w:rFonts w:ascii="Arial" w:hAnsi="Arial" w:cs="Arial"/>
        </w:rPr>
        <w:t xml:space="preserve"> of job gratification among public elementary school teachers, including teacher salary, teacher position, teaching assignment, working condition, supervisory practices, and incentives, based on the mean scores and standard deviations. The </w:t>
      </w:r>
      <w:r w:rsidR="000C74B1">
        <w:rPr>
          <w:rFonts w:ascii="Arial" w:hAnsi="Arial" w:cs="Arial"/>
        </w:rPr>
        <w:t xml:space="preserve">domain </w:t>
      </w:r>
      <w:r w:rsidRPr="007F45F6">
        <w:rPr>
          <w:rFonts w:ascii="Arial" w:hAnsi="Arial" w:cs="Arial"/>
        </w:rPr>
        <w:t>working condition received the highest mean of 4.34, categorized as "very high," followed by teaching assignment with a mean of 4.32. Teacher position and supervisory practices both obtained a mean of 4.31, while incentives had the lowest mean of 4.30, all categorized as "very high." The overall mean of 4.31 is described as "very high," indicating that teachers generally experience a high level of job gratification across these domains.</w:t>
      </w:r>
      <w:r w:rsidR="000C74B1">
        <w:rPr>
          <w:rFonts w:ascii="Arial" w:hAnsi="Arial" w:cs="Arial"/>
        </w:rPr>
        <w:t xml:space="preserve"> </w:t>
      </w:r>
      <w:r w:rsidRPr="007F45F6">
        <w:rPr>
          <w:rFonts w:ascii="Arial" w:hAnsi="Arial" w:cs="Arial"/>
        </w:rPr>
        <w:t>The overall standard deviation of 0.50 indicates that the responses were closely clustered around the mean</w:t>
      </w:r>
      <w:r w:rsidR="000C74B1">
        <w:rPr>
          <w:rFonts w:ascii="Arial" w:hAnsi="Arial" w:cs="Arial"/>
        </w:rPr>
        <w:t xml:space="preserve">. </w:t>
      </w:r>
    </w:p>
    <w:p w14:paraId="6891DCF1" w14:textId="77777777" w:rsidR="000C74B1" w:rsidRPr="007F45F6" w:rsidRDefault="000C74B1" w:rsidP="007F45F6">
      <w:pPr>
        <w:jc w:val="both"/>
        <w:rPr>
          <w:rFonts w:ascii="Arial" w:hAnsi="Arial" w:cs="Arial"/>
        </w:rPr>
      </w:pPr>
    </w:p>
    <w:p w14:paraId="73C93D17" w14:textId="470CF879" w:rsidR="002A75E4" w:rsidRDefault="007F45F6" w:rsidP="007F45F6">
      <w:pPr>
        <w:jc w:val="both"/>
        <w:rPr>
          <w:rFonts w:ascii="Arial" w:hAnsi="Arial" w:cs="Arial"/>
        </w:rPr>
      </w:pPr>
      <w:commentRangeStart w:id="10"/>
      <w:r w:rsidRPr="00F206ED">
        <w:rPr>
          <w:rFonts w:ascii="Arial" w:hAnsi="Arial" w:cs="Arial"/>
          <w:strike/>
        </w:rPr>
        <w:t xml:space="preserve">This finding </w:t>
      </w:r>
      <w:commentRangeEnd w:id="10"/>
      <w:r w:rsidR="00F206ED" w:rsidRPr="00F206ED">
        <w:rPr>
          <w:rStyle w:val="CommentReference"/>
          <w:rFonts w:ascii="Times New Roman" w:hAnsi="Times New Roman"/>
          <w:strike/>
          <w:lang w:val="nb-NO" w:eastAsia="nb-NO"/>
        </w:rPr>
        <w:commentReference w:id="10"/>
      </w:r>
      <w:r w:rsidRPr="00F206ED">
        <w:rPr>
          <w:rFonts w:ascii="Arial" w:hAnsi="Arial" w:cs="Arial"/>
          <w:strike/>
        </w:rPr>
        <w:t>suggests</w:t>
      </w:r>
      <w:r w:rsidRPr="007F45F6">
        <w:rPr>
          <w:rFonts w:ascii="Arial" w:hAnsi="Arial" w:cs="Arial"/>
        </w:rPr>
        <w:t xml:space="preserve"> </w:t>
      </w:r>
      <w:r w:rsidR="00F206ED" w:rsidRPr="00F206ED">
        <w:rPr>
          <w:rFonts w:ascii="Arial" w:hAnsi="Arial" w:cs="Arial"/>
          <w:color w:val="FF0000"/>
        </w:rPr>
        <w:t xml:space="preserve">the study findings </w:t>
      </w:r>
      <w:r w:rsidR="00F206ED">
        <w:rPr>
          <w:rFonts w:ascii="Arial" w:hAnsi="Arial" w:cs="Arial"/>
        </w:rPr>
        <w:t xml:space="preserve">suggest </w:t>
      </w:r>
      <w:r w:rsidRPr="007F45F6">
        <w:rPr>
          <w:rFonts w:ascii="Arial" w:hAnsi="Arial" w:cs="Arial"/>
        </w:rPr>
        <w:t>that favorable working conditions, professional growth opportunities, and supportive supervision contribute significantly to teachers' job gratification. Additionally, while salary and incentives remain important factors, the overall positive perception of job gratification implies that teachers find fulfillment in their roles beyond financial compensation.</w:t>
      </w:r>
    </w:p>
    <w:p w14:paraId="023BEE7C" w14:textId="77777777" w:rsidR="007F45F6" w:rsidRDefault="007F45F6" w:rsidP="007F45F6">
      <w:pPr>
        <w:jc w:val="both"/>
        <w:rPr>
          <w:rFonts w:ascii="Arial" w:hAnsi="Arial" w:cs="Arial"/>
        </w:rPr>
      </w:pPr>
    </w:p>
    <w:p w14:paraId="54512BFC" w14:textId="77777777" w:rsidR="007F45F6" w:rsidRDefault="007F45F6" w:rsidP="007F45F6">
      <w:pPr>
        <w:jc w:val="both"/>
        <w:rPr>
          <w:rFonts w:ascii="Arial" w:hAnsi="Arial" w:cs="Arial"/>
        </w:rPr>
      </w:pPr>
    </w:p>
    <w:p w14:paraId="46ADB028" w14:textId="00DC5299" w:rsidR="000C74B1" w:rsidRPr="002A75E4" w:rsidRDefault="000C74B1" w:rsidP="007F45F6">
      <w:pPr>
        <w:jc w:val="both"/>
        <w:rPr>
          <w:rFonts w:ascii="Arial" w:hAnsi="Arial" w:cs="Arial"/>
        </w:rPr>
      </w:pPr>
      <w:commentRangeStart w:id="11"/>
      <w:r w:rsidRPr="000C74B1">
        <w:rPr>
          <w:rFonts w:ascii="Arial" w:hAnsi="Arial" w:cs="Arial"/>
        </w:rPr>
        <w:t xml:space="preserve">This finding is highlighted by the research of </w:t>
      </w:r>
      <w:proofErr w:type="spellStart"/>
      <w:r w:rsidRPr="000C74B1">
        <w:rPr>
          <w:rFonts w:ascii="Arial" w:hAnsi="Arial" w:cs="Arial"/>
        </w:rPr>
        <w:t>Demır</w:t>
      </w:r>
      <w:proofErr w:type="spellEnd"/>
      <w:r w:rsidRPr="000C74B1">
        <w:rPr>
          <w:rFonts w:ascii="Arial" w:hAnsi="Arial" w:cs="Arial"/>
        </w:rPr>
        <w:t xml:space="preserve"> (2020), </w:t>
      </w:r>
      <w:commentRangeEnd w:id="11"/>
      <w:r w:rsidR="0021536C">
        <w:rPr>
          <w:rStyle w:val="CommentReference"/>
          <w:rFonts w:ascii="Times New Roman" w:hAnsi="Times New Roman"/>
          <w:lang w:val="nb-NO" w:eastAsia="nb-NO"/>
        </w:rPr>
        <w:commentReference w:id="11"/>
      </w:r>
      <w:r w:rsidRPr="000C74B1">
        <w:rPr>
          <w:rFonts w:ascii="Arial" w:hAnsi="Arial" w:cs="Arial"/>
        </w:rPr>
        <w:t xml:space="preserve">who emphasized that strong levels of job gratification contribute to increased teacher motivation, commitment, and overall performance. Similarly, Ren et al. (2022) found that when teachers experience gratification through fair compensation, professional growth, and positive working conditions, they are </w:t>
      </w:r>
      <w:r w:rsidRPr="000C74B1">
        <w:rPr>
          <w:rFonts w:ascii="Arial" w:hAnsi="Arial" w:cs="Arial"/>
        </w:rPr>
        <w:lastRenderedPageBreak/>
        <w:t>more likely to demonstrate greater engagement and effectiveness in their roles. Additionally, Kumar (2024) argued that a well-supported and gratified teaching workforce fosters a more dynamic and productive educational environment, ultimately enhancing both teacher retention and student learning outcomes.</w:t>
      </w:r>
    </w:p>
    <w:p w14:paraId="47AABB42" w14:textId="77777777" w:rsidR="003248E3" w:rsidRPr="00E2395E" w:rsidRDefault="003248E3">
      <w:pPr>
        <w:jc w:val="both"/>
        <w:rPr>
          <w:rFonts w:ascii="Arial" w:hAnsi="Arial" w:cs="Arial"/>
        </w:rPr>
      </w:pPr>
    </w:p>
    <w:p w14:paraId="55F82C25" w14:textId="64B25DDB" w:rsidR="0073677C" w:rsidRDefault="00D31ACD" w:rsidP="00781D5E">
      <w:pPr>
        <w:jc w:val="both"/>
        <w:rPr>
          <w:rFonts w:ascii="Arial" w:hAnsi="Arial" w:cs="Arial"/>
          <w:b/>
        </w:rPr>
      </w:pPr>
      <w:r>
        <w:rPr>
          <w:rFonts w:ascii="Arial" w:hAnsi="Arial" w:cs="Arial"/>
          <w:b/>
        </w:rPr>
        <w:t xml:space="preserve">3.2 </w:t>
      </w:r>
      <w:r w:rsidR="00DF5FE4" w:rsidRPr="00DF5FE4">
        <w:rPr>
          <w:rFonts w:ascii="Arial" w:hAnsi="Arial" w:cs="Arial"/>
          <w:b/>
        </w:rPr>
        <w:t>Principal Guidance Comportment as Perceived by Public Elementary School Teachers</w:t>
      </w:r>
    </w:p>
    <w:p w14:paraId="5A3706A6" w14:textId="77777777" w:rsidR="00553932" w:rsidRDefault="00553932" w:rsidP="00781D5E">
      <w:pPr>
        <w:jc w:val="both"/>
        <w:rPr>
          <w:rFonts w:ascii="Arial" w:hAnsi="Arial" w:cs="Arial"/>
        </w:rPr>
      </w:pPr>
    </w:p>
    <w:p w14:paraId="67B20E69" w14:textId="1907C5FB" w:rsidR="006140BF" w:rsidRPr="006140BF" w:rsidRDefault="00D31ACD" w:rsidP="006140BF">
      <w:pPr>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3677C" w:rsidRPr="0073677C">
        <w:rPr>
          <w:rFonts w:ascii="Arial" w:hAnsi="Arial" w:cs="Arial"/>
          <w:i/>
        </w:rPr>
        <w:t xml:space="preserve">Level of </w:t>
      </w:r>
      <w:r w:rsidR="00DF5FE4" w:rsidRPr="00DF5FE4">
        <w:rPr>
          <w:rFonts w:ascii="Arial" w:hAnsi="Arial" w:cs="Arial"/>
          <w:i/>
        </w:rPr>
        <w:t>Principal Guidance Comportment as Perceived by Public Elementary School Teachers</w:t>
      </w:r>
    </w:p>
    <w:p w14:paraId="2745F126" w14:textId="34DFB8B9" w:rsidR="00781D5E" w:rsidRDefault="00781D5E">
      <w:pPr>
        <w:jc w:val="both"/>
        <w:rPr>
          <w:rFonts w:ascii="Arial" w:hAnsi="Arial" w:cs="Arial"/>
          <w:iCs/>
        </w:rPr>
      </w:pPr>
    </w:p>
    <w:tbl>
      <w:tblPr>
        <w:tblW w:w="837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235"/>
        <w:gridCol w:w="41"/>
        <w:gridCol w:w="854"/>
        <w:gridCol w:w="990"/>
        <w:gridCol w:w="19"/>
        <w:gridCol w:w="2223"/>
        <w:gridCol w:w="11"/>
      </w:tblGrid>
      <w:tr w:rsidR="00DF5FE4" w:rsidRPr="00DF5FE4" w14:paraId="6BDD28D7" w14:textId="77777777" w:rsidTr="00052E04">
        <w:trPr>
          <w:gridAfter w:val="1"/>
          <w:wAfter w:w="11" w:type="dxa"/>
          <w:trHeight w:val="546"/>
        </w:trPr>
        <w:tc>
          <w:tcPr>
            <w:tcW w:w="4276" w:type="dxa"/>
            <w:gridSpan w:val="2"/>
            <w:tcBorders>
              <w:top w:val="single" w:sz="18" w:space="0" w:color="000000"/>
              <w:bottom w:val="single" w:sz="4" w:space="0" w:color="000000"/>
            </w:tcBorders>
          </w:tcPr>
          <w:p w14:paraId="67F5741A" w14:textId="77777777" w:rsidR="00DF5FE4" w:rsidRPr="00DF5FE4" w:rsidRDefault="00DF5FE4" w:rsidP="00052E04">
            <w:pPr>
              <w:jc w:val="center"/>
              <w:rPr>
                <w:rFonts w:ascii="Arial" w:eastAsia="Arial" w:hAnsi="Arial"/>
                <w:b/>
              </w:rPr>
            </w:pPr>
            <w:r w:rsidRPr="00DF5FE4">
              <w:rPr>
                <w:rFonts w:ascii="Arial" w:eastAsia="Arial" w:hAnsi="Arial"/>
                <w:b/>
              </w:rPr>
              <w:t>Indicators</w:t>
            </w:r>
          </w:p>
        </w:tc>
        <w:tc>
          <w:tcPr>
            <w:tcW w:w="854" w:type="dxa"/>
            <w:tcBorders>
              <w:top w:val="single" w:sz="18" w:space="0" w:color="000000"/>
              <w:bottom w:val="single" w:sz="4" w:space="0" w:color="000000"/>
            </w:tcBorders>
          </w:tcPr>
          <w:p w14:paraId="4E73F3D8" w14:textId="77777777" w:rsidR="00DF5FE4" w:rsidRPr="00DF5FE4" w:rsidRDefault="00DF5FE4" w:rsidP="00052E04">
            <w:pPr>
              <w:jc w:val="center"/>
              <w:rPr>
                <w:rFonts w:ascii="Arial" w:eastAsia="Arial" w:hAnsi="Arial"/>
                <w:b/>
              </w:rPr>
            </w:pPr>
            <w:r w:rsidRPr="00DF5FE4">
              <w:rPr>
                <w:rFonts w:ascii="Arial" w:eastAsia="Arial" w:hAnsi="Arial"/>
                <w:b/>
              </w:rPr>
              <w:t>SD</w:t>
            </w:r>
          </w:p>
        </w:tc>
        <w:tc>
          <w:tcPr>
            <w:tcW w:w="1009" w:type="dxa"/>
            <w:gridSpan w:val="2"/>
            <w:tcBorders>
              <w:top w:val="single" w:sz="18" w:space="0" w:color="000000"/>
              <w:bottom w:val="single" w:sz="4" w:space="0" w:color="000000"/>
            </w:tcBorders>
          </w:tcPr>
          <w:p w14:paraId="515E7C9C" w14:textId="77777777" w:rsidR="00DF5FE4" w:rsidRPr="00DF5FE4" w:rsidRDefault="00DF5FE4" w:rsidP="00052E04">
            <w:pPr>
              <w:jc w:val="center"/>
              <w:rPr>
                <w:rFonts w:ascii="Arial" w:eastAsia="Arial" w:hAnsi="Arial"/>
                <w:b/>
              </w:rPr>
            </w:pPr>
            <w:r w:rsidRPr="00DF5FE4">
              <w:rPr>
                <w:rFonts w:ascii="Arial" w:eastAsia="Arial" w:hAnsi="Arial"/>
                <w:b/>
              </w:rPr>
              <w:t>Mean</w:t>
            </w:r>
          </w:p>
          <w:p w14:paraId="30DF5007" w14:textId="77777777" w:rsidR="00DF5FE4" w:rsidRPr="00DF5FE4" w:rsidRDefault="00DF5FE4" w:rsidP="00052E04">
            <w:pPr>
              <w:jc w:val="center"/>
              <w:rPr>
                <w:rFonts w:ascii="Arial" w:eastAsia="Arial" w:hAnsi="Arial"/>
                <w:b/>
              </w:rPr>
            </w:pPr>
          </w:p>
        </w:tc>
        <w:tc>
          <w:tcPr>
            <w:tcW w:w="2223" w:type="dxa"/>
            <w:tcBorders>
              <w:top w:val="single" w:sz="18" w:space="0" w:color="000000"/>
              <w:bottom w:val="single" w:sz="4" w:space="0" w:color="000000"/>
            </w:tcBorders>
          </w:tcPr>
          <w:p w14:paraId="020DF0D7" w14:textId="77777777" w:rsidR="00DF5FE4" w:rsidRPr="00DF5FE4" w:rsidRDefault="00DF5FE4" w:rsidP="00052E04">
            <w:pPr>
              <w:jc w:val="center"/>
              <w:rPr>
                <w:rFonts w:ascii="Arial" w:eastAsia="Arial" w:hAnsi="Arial"/>
                <w:b/>
              </w:rPr>
            </w:pPr>
            <w:r w:rsidRPr="00DF5FE4">
              <w:rPr>
                <w:rFonts w:ascii="Arial" w:eastAsia="Arial" w:hAnsi="Arial"/>
                <w:b/>
              </w:rPr>
              <w:t>Descriptive Level</w:t>
            </w:r>
          </w:p>
        </w:tc>
      </w:tr>
      <w:tr w:rsidR="00DF5FE4" w:rsidRPr="00DF5FE4" w14:paraId="30CE5AA3" w14:textId="77777777" w:rsidTr="00052E04">
        <w:trPr>
          <w:gridAfter w:val="1"/>
          <w:wAfter w:w="11" w:type="dxa"/>
          <w:trHeight w:val="269"/>
        </w:trPr>
        <w:tc>
          <w:tcPr>
            <w:tcW w:w="4276" w:type="dxa"/>
            <w:gridSpan w:val="2"/>
            <w:tcBorders>
              <w:top w:val="single" w:sz="4" w:space="0" w:color="000000"/>
            </w:tcBorders>
          </w:tcPr>
          <w:p w14:paraId="1E74BDEA" w14:textId="77777777" w:rsidR="00DF5FE4" w:rsidRPr="00DF5FE4" w:rsidRDefault="00DF5FE4" w:rsidP="00052E04">
            <w:pPr>
              <w:widowControl w:val="0"/>
              <w:pBdr>
                <w:top w:val="nil"/>
                <w:left w:val="nil"/>
                <w:bottom w:val="nil"/>
                <w:right w:val="nil"/>
                <w:between w:val="nil"/>
              </w:pBdr>
              <w:jc w:val="center"/>
              <w:rPr>
                <w:rFonts w:ascii="Arial" w:eastAsia="Arial" w:hAnsi="Arial"/>
              </w:rPr>
            </w:pPr>
            <w:r w:rsidRPr="00DF5FE4">
              <w:rPr>
                <w:rFonts w:ascii="Arial" w:eastAsia="Arial" w:hAnsi="Arial"/>
              </w:rPr>
              <w:t>Human Relations</w:t>
            </w:r>
          </w:p>
        </w:tc>
        <w:tc>
          <w:tcPr>
            <w:tcW w:w="854" w:type="dxa"/>
            <w:tcBorders>
              <w:top w:val="single" w:sz="4" w:space="0" w:color="000000"/>
            </w:tcBorders>
          </w:tcPr>
          <w:p w14:paraId="7FA68382" w14:textId="77777777" w:rsidR="00DF5FE4" w:rsidRPr="00DF5FE4" w:rsidRDefault="00DF5FE4" w:rsidP="00052E04">
            <w:pPr>
              <w:jc w:val="center"/>
              <w:rPr>
                <w:rFonts w:ascii="Arial" w:eastAsia="Arial" w:hAnsi="Arial"/>
              </w:rPr>
            </w:pPr>
            <w:r w:rsidRPr="00DF5FE4">
              <w:rPr>
                <w:rFonts w:ascii="Arial" w:eastAsia="Arial" w:hAnsi="Arial"/>
              </w:rPr>
              <w:t>0.72</w:t>
            </w:r>
          </w:p>
        </w:tc>
        <w:tc>
          <w:tcPr>
            <w:tcW w:w="1009" w:type="dxa"/>
            <w:gridSpan w:val="2"/>
            <w:tcBorders>
              <w:top w:val="single" w:sz="4" w:space="0" w:color="000000"/>
            </w:tcBorders>
          </w:tcPr>
          <w:p w14:paraId="321019B3" w14:textId="77777777" w:rsidR="00DF5FE4" w:rsidRPr="00DF5FE4" w:rsidRDefault="00DF5FE4" w:rsidP="00052E04">
            <w:pPr>
              <w:jc w:val="center"/>
              <w:rPr>
                <w:rFonts w:ascii="Arial" w:eastAsia="Arial" w:hAnsi="Arial"/>
              </w:rPr>
            </w:pPr>
            <w:r w:rsidRPr="00DF5FE4">
              <w:rPr>
                <w:rFonts w:ascii="Arial" w:eastAsia="Arial" w:hAnsi="Arial"/>
              </w:rPr>
              <w:t>4.32</w:t>
            </w:r>
          </w:p>
        </w:tc>
        <w:tc>
          <w:tcPr>
            <w:tcW w:w="2223" w:type="dxa"/>
            <w:tcBorders>
              <w:top w:val="single" w:sz="4" w:space="0" w:color="000000"/>
            </w:tcBorders>
          </w:tcPr>
          <w:p w14:paraId="2EB6AB17" w14:textId="77777777" w:rsidR="00DF5FE4" w:rsidRPr="00DF5FE4" w:rsidRDefault="00DF5FE4" w:rsidP="00052E04">
            <w:pPr>
              <w:jc w:val="center"/>
              <w:rPr>
                <w:rFonts w:ascii="Arial" w:eastAsia="Arial" w:hAnsi="Arial"/>
              </w:rPr>
            </w:pPr>
            <w:r w:rsidRPr="00DF5FE4">
              <w:rPr>
                <w:rFonts w:ascii="Arial" w:eastAsia="Arial" w:hAnsi="Arial"/>
              </w:rPr>
              <w:t>Very High</w:t>
            </w:r>
          </w:p>
        </w:tc>
      </w:tr>
      <w:tr w:rsidR="00DF5FE4" w:rsidRPr="00DF5FE4" w14:paraId="30E227F9" w14:textId="77777777" w:rsidTr="00052E04">
        <w:trPr>
          <w:gridAfter w:val="1"/>
          <w:wAfter w:w="11" w:type="dxa"/>
          <w:trHeight w:val="280"/>
        </w:trPr>
        <w:tc>
          <w:tcPr>
            <w:tcW w:w="4276" w:type="dxa"/>
            <w:gridSpan w:val="2"/>
          </w:tcPr>
          <w:p w14:paraId="7777EB6A" w14:textId="77777777" w:rsidR="00DF5FE4" w:rsidRPr="00DF5FE4" w:rsidRDefault="00DF5FE4" w:rsidP="00052E04">
            <w:pPr>
              <w:widowControl w:val="0"/>
              <w:pBdr>
                <w:top w:val="nil"/>
                <w:left w:val="nil"/>
                <w:bottom w:val="nil"/>
                <w:right w:val="nil"/>
                <w:between w:val="nil"/>
              </w:pBdr>
              <w:jc w:val="center"/>
              <w:rPr>
                <w:rFonts w:ascii="Arial" w:eastAsia="Arial" w:hAnsi="Arial"/>
              </w:rPr>
            </w:pPr>
            <w:r w:rsidRPr="00DF5FE4">
              <w:rPr>
                <w:rFonts w:ascii="Arial" w:eastAsia="Arial" w:hAnsi="Arial"/>
              </w:rPr>
              <w:t>Trust/Decision-Making</w:t>
            </w:r>
          </w:p>
        </w:tc>
        <w:tc>
          <w:tcPr>
            <w:tcW w:w="854" w:type="dxa"/>
          </w:tcPr>
          <w:p w14:paraId="4E8F374B" w14:textId="77777777" w:rsidR="00DF5FE4" w:rsidRPr="00DF5FE4" w:rsidRDefault="00DF5FE4" w:rsidP="00052E04">
            <w:pPr>
              <w:jc w:val="center"/>
              <w:rPr>
                <w:rFonts w:ascii="Arial" w:eastAsia="Arial" w:hAnsi="Arial"/>
              </w:rPr>
            </w:pPr>
            <w:r w:rsidRPr="00DF5FE4">
              <w:rPr>
                <w:rFonts w:ascii="Arial" w:eastAsia="Arial" w:hAnsi="Arial"/>
              </w:rPr>
              <w:t>0.64</w:t>
            </w:r>
          </w:p>
        </w:tc>
        <w:tc>
          <w:tcPr>
            <w:tcW w:w="1009" w:type="dxa"/>
            <w:gridSpan w:val="2"/>
          </w:tcPr>
          <w:p w14:paraId="674926C3" w14:textId="77777777" w:rsidR="00DF5FE4" w:rsidRPr="00DF5FE4" w:rsidRDefault="00DF5FE4" w:rsidP="00052E04">
            <w:pPr>
              <w:jc w:val="center"/>
              <w:rPr>
                <w:rFonts w:ascii="Arial" w:eastAsia="Arial" w:hAnsi="Arial"/>
              </w:rPr>
            </w:pPr>
            <w:r w:rsidRPr="00DF5FE4">
              <w:rPr>
                <w:rFonts w:ascii="Arial" w:eastAsia="Arial" w:hAnsi="Arial"/>
              </w:rPr>
              <w:t>4.34</w:t>
            </w:r>
          </w:p>
        </w:tc>
        <w:tc>
          <w:tcPr>
            <w:tcW w:w="2223" w:type="dxa"/>
          </w:tcPr>
          <w:p w14:paraId="7C6103F7" w14:textId="77777777" w:rsidR="00DF5FE4" w:rsidRPr="00DF5FE4" w:rsidRDefault="00DF5FE4" w:rsidP="00052E04">
            <w:pPr>
              <w:jc w:val="center"/>
              <w:rPr>
                <w:rFonts w:ascii="Arial" w:eastAsia="Arial" w:hAnsi="Arial"/>
              </w:rPr>
            </w:pPr>
            <w:r w:rsidRPr="00DF5FE4">
              <w:rPr>
                <w:rFonts w:ascii="Arial" w:eastAsia="Arial" w:hAnsi="Arial"/>
              </w:rPr>
              <w:t>Very High</w:t>
            </w:r>
          </w:p>
        </w:tc>
      </w:tr>
      <w:tr w:rsidR="00DF5FE4" w:rsidRPr="00DF5FE4" w14:paraId="640AB95B" w14:textId="77777777" w:rsidTr="00052E04">
        <w:trPr>
          <w:gridAfter w:val="1"/>
          <w:wAfter w:w="11" w:type="dxa"/>
          <w:trHeight w:val="280"/>
        </w:trPr>
        <w:tc>
          <w:tcPr>
            <w:tcW w:w="4276" w:type="dxa"/>
            <w:gridSpan w:val="2"/>
          </w:tcPr>
          <w:p w14:paraId="6F243E11" w14:textId="77777777" w:rsidR="00DF5FE4" w:rsidRPr="00DF5FE4" w:rsidRDefault="00DF5FE4" w:rsidP="00052E04">
            <w:pPr>
              <w:widowControl w:val="0"/>
              <w:pBdr>
                <w:top w:val="nil"/>
                <w:left w:val="nil"/>
                <w:bottom w:val="nil"/>
                <w:right w:val="nil"/>
                <w:between w:val="nil"/>
              </w:pBdr>
              <w:jc w:val="center"/>
              <w:rPr>
                <w:rFonts w:ascii="Arial" w:eastAsia="Arial" w:hAnsi="Arial"/>
              </w:rPr>
            </w:pPr>
            <w:r w:rsidRPr="00DF5FE4">
              <w:rPr>
                <w:rFonts w:ascii="Arial" w:eastAsia="Arial" w:hAnsi="Arial"/>
              </w:rPr>
              <w:t>Instructional Guidance</w:t>
            </w:r>
          </w:p>
        </w:tc>
        <w:tc>
          <w:tcPr>
            <w:tcW w:w="854" w:type="dxa"/>
          </w:tcPr>
          <w:p w14:paraId="5C6DFE5F" w14:textId="77777777" w:rsidR="00DF5FE4" w:rsidRPr="00DF5FE4" w:rsidRDefault="00DF5FE4" w:rsidP="00052E04">
            <w:pPr>
              <w:jc w:val="center"/>
              <w:rPr>
                <w:rFonts w:ascii="Arial" w:eastAsia="Arial" w:hAnsi="Arial"/>
              </w:rPr>
            </w:pPr>
            <w:r w:rsidRPr="00DF5FE4">
              <w:rPr>
                <w:rFonts w:ascii="Arial" w:eastAsia="Arial" w:hAnsi="Arial"/>
              </w:rPr>
              <w:t>0.66</w:t>
            </w:r>
          </w:p>
        </w:tc>
        <w:tc>
          <w:tcPr>
            <w:tcW w:w="1009" w:type="dxa"/>
            <w:gridSpan w:val="2"/>
          </w:tcPr>
          <w:p w14:paraId="02C46772" w14:textId="77777777" w:rsidR="00DF5FE4" w:rsidRPr="00DF5FE4" w:rsidRDefault="00DF5FE4" w:rsidP="00052E04">
            <w:pPr>
              <w:jc w:val="center"/>
              <w:rPr>
                <w:rFonts w:ascii="Arial" w:eastAsia="Arial" w:hAnsi="Arial"/>
              </w:rPr>
            </w:pPr>
            <w:r w:rsidRPr="00DF5FE4">
              <w:rPr>
                <w:rFonts w:ascii="Arial" w:eastAsia="Arial" w:hAnsi="Arial"/>
              </w:rPr>
              <w:t>4.32</w:t>
            </w:r>
          </w:p>
        </w:tc>
        <w:tc>
          <w:tcPr>
            <w:tcW w:w="2223" w:type="dxa"/>
          </w:tcPr>
          <w:p w14:paraId="43C1273A" w14:textId="77777777" w:rsidR="00DF5FE4" w:rsidRPr="00DF5FE4" w:rsidRDefault="00DF5FE4" w:rsidP="00052E04">
            <w:pPr>
              <w:jc w:val="center"/>
              <w:rPr>
                <w:rFonts w:ascii="Arial" w:eastAsia="Arial" w:hAnsi="Arial"/>
              </w:rPr>
            </w:pPr>
            <w:r w:rsidRPr="00DF5FE4">
              <w:rPr>
                <w:rFonts w:ascii="Arial" w:eastAsia="Arial" w:hAnsi="Arial"/>
              </w:rPr>
              <w:t>Very High</w:t>
            </w:r>
          </w:p>
        </w:tc>
      </w:tr>
      <w:tr w:rsidR="00DF5FE4" w:rsidRPr="00DF5FE4" w14:paraId="1B7DC5B1" w14:textId="77777777" w:rsidTr="00052E04">
        <w:trPr>
          <w:gridAfter w:val="1"/>
          <w:wAfter w:w="11" w:type="dxa"/>
          <w:trHeight w:val="280"/>
        </w:trPr>
        <w:tc>
          <w:tcPr>
            <w:tcW w:w="4276" w:type="dxa"/>
            <w:gridSpan w:val="2"/>
          </w:tcPr>
          <w:p w14:paraId="0A75CE60" w14:textId="77777777" w:rsidR="00DF5FE4" w:rsidRPr="00DF5FE4" w:rsidRDefault="00DF5FE4" w:rsidP="00052E04">
            <w:pPr>
              <w:widowControl w:val="0"/>
              <w:pBdr>
                <w:top w:val="nil"/>
                <w:left w:val="nil"/>
                <w:bottom w:val="nil"/>
                <w:right w:val="nil"/>
                <w:between w:val="nil"/>
              </w:pBdr>
              <w:jc w:val="center"/>
              <w:rPr>
                <w:rFonts w:ascii="Arial" w:eastAsia="Arial" w:hAnsi="Arial"/>
              </w:rPr>
            </w:pPr>
            <w:r w:rsidRPr="00DF5FE4">
              <w:rPr>
                <w:rFonts w:ascii="Arial" w:eastAsia="Arial" w:hAnsi="Arial"/>
              </w:rPr>
              <w:t>Control Domain</w:t>
            </w:r>
          </w:p>
        </w:tc>
        <w:tc>
          <w:tcPr>
            <w:tcW w:w="854" w:type="dxa"/>
          </w:tcPr>
          <w:p w14:paraId="647AE515" w14:textId="77777777" w:rsidR="00DF5FE4" w:rsidRPr="00DF5FE4" w:rsidRDefault="00DF5FE4" w:rsidP="00052E04">
            <w:pPr>
              <w:jc w:val="center"/>
              <w:rPr>
                <w:rFonts w:ascii="Arial" w:eastAsia="Arial" w:hAnsi="Arial"/>
              </w:rPr>
            </w:pPr>
            <w:r w:rsidRPr="00DF5FE4">
              <w:rPr>
                <w:rFonts w:ascii="Arial" w:eastAsia="Arial" w:hAnsi="Arial"/>
              </w:rPr>
              <w:t>0.73</w:t>
            </w:r>
          </w:p>
        </w:tc>
        <w:tc>
          <w:tcPr>
            <w:tcW w:w="1009" w:type="dxa"/>
            <w:gridSpan w:val="2"/>
          </w:tcPr>
          <w:p w14:paraId="59B336E9" w14:textId="77777777" w:rsidR="00DF5FE4" w:rsidRPr="00DF5FE4" w:rsidRDefault="00DF5FE4" w:rsidP="00052E04">
            <w:pPr>
              <w:jc w:val="center"/>
              <w:rPr>
                <w:rFonts w:ascii="Arial" w:eastAsia="Arial" w:hAnsi="Arial"/>
              </w:rPr>
            </w:pPr>
            <w:r w:rsidRPr="00DF5FE4">
              <w:rPr>
                <w:rFonts w:ascii="Arial" w:eastAsia="Arial" w:hAnsi="Arial"/>
              </w:rPr>
              <w:t>4.30</w:t>
            </w:r>
          </w:p>
        </w:tc>
        <w:tc>
          <w:tcPr>
            <w:tcW w:w="2223" w:type="dxa"/>
          </w:tcPr>
          <w:p w14:paraId="4B4E7225" w14:textId="77777777" w:rsidR="00DF5FE4" w:rsidRPr="00DF5FE4" w:rsidRDefault="00DF5FE4" w:rsidP="00052E04">
            <w:pPr>
              <w:jc w:val="center"/>
              <w:rPr>
                <w:rFonts w:ascii="Arial" w:eastAsia="Arial" w:hAnsi="Arial"/>
              </w:rPr>
            </w:pPr>
            <w:r w:rsidRPr="00DF5FE4">
              <w:rPr>
                <w:rFonts w:ascii="Arial" w:eastAsia="Arial" w:hAnsi="Arial"/>
              </w:rPr>
              <w:t>Very High</w:t>
            </w:r>
          </w:p>
        </w:tc>
      </w:tr>
      <w:tr w:rsidR="00DF5FE4" w:rsidRPr="00DF5FE4" w14:paraId="2CDC46A3" w14:textId="77777777" w:rsidTr="00052E04">
        <w:trPr>
          <w:gridAfter w:val="1"/>
          <w:wAfter w:w="11" w:type="dxa"/>
          <w:trHeight w:val="280"/>
        </w:trPr>
        <w:tc>
          <w:tcPr>
            <w:tcW w:w="4276" w:type="dxa"/>
            <w:gridSpan w:val="2"/>
          </w:tcPr>
          <w:p w14:paraId="4315DF62" w14:textId="77777777" w:rsidR="00DF5FE4" w:rsidRPr="00DF5FE4" w:rsidRDefault="00DF5FE4" w:rsidP="00052E04">
            <w:pPr>
              <w:widowControl w:val="0"/>
              <w:pBdr>
                <w:top w:val="nil"/>
                <w:left w:val="nil"/>
                <w:bottom w:val="nil"/>
                <w:right w:val="nil"/>
                <w:between w:val="nil"/>
              </w:pBdr>
              <w:jc w:val="center"/>
              <w:rPr>
                <w:rFonts w:ascii="Arial" w:eastAsia="Arial" w:hAnsi="Arial"/>
              </w:rPr>
            </w:pPr>
            <w:r w:rsidRPr="00DF5FE4">
              <w:rPr>
                <w:rFonts w:ascii="Arial" w:eastAsia="Arial" w:hAnsi="Arial"/>
              </w:rPr>
              <w:t>Conflict</w:t>
            </w:r>
          </w:p>
        </w:tc>
        <w:tc>
          <w:tcPr>
            <w:tcW w:w="854" w:type="dxa"/>
          </w:tcPr>
          <w:p w14:paraId="39278267" w14:textId="77777777" w:rsidR="00DF5FE4" w:rsidRPr="00DF5FE4" w:rsidRDefault="00DF5FE4" w:rsidP="00052E04">
            <w:pPr>
              <w:jc w:val="center"/>
              <w:rPr>
                <w:rFonts w:ascii="Arial" w:eastAsia="Arial" w:hAnsi="Arial"/>
              </w:rPr>
            </w:pPr>
            <w:r w:rsidRPr="00DF5FE4">
              <w:rPr>
                <w:rFonts w:ascii="Arial" w:eastAsia="Arial" w:hAnsi="Arial"/>
              </w:rPr>
              <w:t>0.78</w:t>
            </w:r>
          </w:p>
        </w:tc>
        <w:tc>
          <w:tcPr>
            <w:tcW w:w="1009" w:type="dxa"/>
            <w:gridSpan w:val="2"/>
          </w:tcPr>
          <w:p w14:paraId="3BC26E0E" w14:textId="77777777" w:rsidR="00DF5FE4" w:rsidRPr="00DF5FE4" w:rsidRDefault="00DF5FE4" w:rsidP="00052E04">
            <w:pPr>
              <w:jc w:val="center"/>
              <w:rPr>
                <w:rFonts w:ascii="Arial" w:eastAsia="Arial" w:hAnsi="Arial"/>
              </w:rPr>
            </w:pPr>
            <w:r w:rsidRPr="00DF5FE4">
              <w:rPr>
                <w:rFonts w:ascii="Arial" w:eastAsia="Arial" w:hAnsi="Arial"/>
              </w:rPr>
              <w:t>4.33</w:t>
            </w:r>
          </w:p>
        </w:tc>
        <w:tc>
          <w:tcPr>
            <w:tcW w:w="2223" w:type="dxa"/>
          </w:tcPr>
          <w:p w14:paraId="2D04D140" w14:textId="77777777" w:rsidR="00DF5FE4" w:rsidRPr="00DF5FE4" w:rsidRDefault="00DF5FE4" w:rsidP="00052E04">
            <w:pPr>
              <w:jc w:val="center"/>
              <w:rPr>
                <w:rFonts w:ascii="Arial" w:eastAsia="Arial" w:hAnsi="Arial"/>
              </w:rPr>
            </w:pPr>
            <w:r w:rsidRPr="00DF5FE4">
              <w:rPr>
                <w:rFonts w:ascii="Arial" w:eastAsia="Arial" w:hAnsi="Arial"/>
              </w:rPr>
              <w:t>Very High</w:t>
            </w:r>
          </w:p>
        </w:tc>
      </w:tr>
      <w:tr w:rsidR="00DF5FE4" w:rsidRPr="00DF5FE4" w14:paraId="001226BC" w14:textId="77777777" w:rsidTr="00052E04">
        <w:trPr>
          <w:trHeight w:val="264"/>
        </w:trPr>
        <w:tc>
          <w:tcPr>
            <w:tcW w:w="4235" w:type="dxa"/>
            <w:tcBorders>
              <w:top w:val="single" w:sz="4" w:space="0" w:color="000000"/>
              <w:bottom w:val="single" w:sz="18" w:space="0" w:color="000000"/>
            </w:tcBorders>
          </w:tcPr>
          <w:p w14:paraId="198EB282" w14:textId="77777777" w:rsidR="00DF5FE4" w:rsidRPr="00DF5FE4" w:rsidRDefault="00DF5FE4" w:rsidP="00052E04">
            <w:pPr>
              <w:pBdr>
                <w:top w:val="nil"/>
                <w:left w:val="nil"/>
                <w:bottom w:val="nil"/>
                <w:right w:val="nil"/>
                <w:between w:val="nil"/>
              </w:pBdr>
              <w:jc w:val="center"/>
              <w:rPr>
                <w:rFonts w:ascii="Arial" w:eastAsia="Arial" w:hAnsi="Arial"/>
                <w:b/>
                <w:color w:val="000000"/>
              </w:rPr>
            </w:pPr>
            <w:r w:rsidRPr="00DF5FE4">
              <w:rPr>
                <w:rFonts w:ascii="Arial" w:eastAsia="Arial" w:hAnsi="Arial"/>
                <w:b/>
                <w:color w:val="000000"/>
              </w:rPr>
              <w:t>Overall</w:t>
            </w:r>
          </w:p>
        </w:tc>
        <w:tc>
          <w:tcPr>
            <w:tcW w:w="895" w:type="dxa"/>
            <w:gridSpan w:val="2"/>
            <w:tcBorders>
              <w:top w:val="single" w:sz="4" w:space="0" w:color="000000"/>
              <w:bottom w:val="single" w:sz="18" w:space="0" w:color="000000"/>
            </w:tcBorders>
          </w:tcPr>
          <w:p w14:paraId="1262F028" w14:textId="77777777" w:rsidR="00DF5FE4" w:rsidRPr="00DF5FE4" w:rsidRDefault="00DF5FE4" w:rsidP="00052E04">
            <w:pPr>
              <w:jc w:val="center"/>
              <w:rPr>
                <w:rFonts w:ascii="Arial" w:eastAsia="Arial" w:hAnsi="Arial"/>
                <w:b/>
              </w:rPr>
            </w:pPr>
            <w:r w:rsidRPr="00DF5FE4">
              <w:rPr>
                <w:rFonts w:ascii="Arial" w:eastAsia="Arial" w:hAnsi="Arial"/>
                <w:b/>
              </w:rPr>
              <w:t>0.65</w:t>
            </w:r>
          </w:p>
        </w:tc>
        <w:tc>
          <w:tcPr>
            <w:tcW w:w="990" w:type="dxa"/>
            <w:tcBorders>
              <w:top w:val="single" w:sz="4" w:space="0" w:color="000000"/>
              <w:bottom w:val="single" w:sz="18" w:space="0" w:color="000000"/>
            </w:tcBorders>
          </w:tcPr>
          <w:p w14:paraId="78A3FA95" w14:textId="77777777" w:rsidR="00DF5FE4" w:rsidRPr="00DF5FE4" w:rsidRDefault="00DF5FE4" w:rsidP="00052E04">
            <w:pPr>
              <w:jc w:val="center"/>
              <w:rPr>
                <w:rFonts w:ascii="Arial" w:eastAsia="Arial" w:hAnsi="Arial"/>
                <w:b/>
              </w:rPr>
            </w:pPr>
            <w:r w:rsidRPr="00DF5FE4">
              <w:rPr>
                <w:rFonts w:ascii="Arial" w:eastAsia="Arial" w:hAnsi="Arial"/>
                <w:b/>
              </w:rPr>
              <w:t>4.32</w:t>
            </w:r>
          </w:p>
        </w:tc>
        <w:tc>
          <w:tcPr>
            <w:tcW w:w="2253" w:type="dxa"/>
            <w:gridSpan w:val="3"/>
            <w:tcBorders>
              <w:top w:val="single" w:sz="4" w:space="0" w:color="000000"/>
              <w:bottom w:val="single" w:sz="18" w:space="0" w:color="000000"/>
            </w:tcBorders>
          </w:tcPr>
          <w:p w14:paraId="45D10DFB" w14:textId="77777777" w:rsidR="00DF5FE4" w:rsidRPr="00DF5FE4" w:rsidRDefault="00DF5FE4" w:rsidP="00052E04">
            <w:pPr>
              <w:jc w:val="center"/>
              <w:rPr>
                <w:rFonts w:ascii="Arial" w:eastAsia="Arial" w:hAnsi="Arial"/>
                <w:b/>
              </w:rPr>
            </w:pPr>
            <w:r w:rsidRPr="00DF5FE4">
              <w:rPr>
                <w:rFonts w:ascii="Arial" w:eastAsia="Arial" w:hAnsi="Arial"/>
                <w:b/>
              </w:rPr>
              <w:t>Very High</w:t>
            </w:r>
          </w:p>
        </w:tc>
      </w:tr>
    </w:tbl>
    <w:p w14:paraId="21ED3F61" w14:textId="77777777" w:rsidR="0073677C" w:rsidRDefault="0073677C" w:rsidP="0073677C">
      <w:pPr>
        <w:jc w:val="both"/>
        <w:rPr>
          <w:rFonts w:ascii="Arial" w:hAnsi="Arial" w:cs="Arial"/>
        </w:rPr>
      </w:pPr>
    </w:p>
    <w:p w14:paraId="32FEEEB2" w14:textId="637DEA48" w:rsidR="00DF5FE4" w:rsidRDefault="00DF5FE4" w:rsidP="00DF5FE4">
      <w:pPr>
        <w:jc w:val="both"/>
        <w:rPr>
          <w:rFonts w:ascii="Arial" w:hAnsi="Arial" w:cs="Arial"/>
        </w:rPr>
      </w:pPr>
      <w:commentRangeStart w:id="12"/>
      <w:r w:rsidRPr="00DF5FE4">
        <w:rPr>
          <w:rFonts w:ascii="Arial" w:hAnsi="Arial" w:cs="Arial"/>
        </w:rPr>
        <w:t>Presented in Table</w:t>
      </w:r>
      <w:r w:rsidR="00747370">
        <w:rPr>
          <w:rFonts w:ascii="Arial" w:hAnsi="Arial" w:cs="Arial"/>
        </w:rPr>
        <w:t xml:space="preserve"> </w:t>
      </w:r>
      <w:r>
        <w:rPr>
          <w:rFonts w:ascii="Arial" w:hAnsi="Arial" w:cs="Arial"/>
        </w:rPr>
        <w:t>2</w:t>
      </w:r>
      <w:r w:rsidRPr="00DF5FE4">
        <w:rPr>
          <w:rFonts w:ascii="Arial" w:hAnsi="Arial" w:cs="Arial"/>
        </w:rPr>
        <w:t xml:space="preserve"> </w:t>
      </w:r>
      <w:r w:rsidR="00747370">
        <w:rPr>
          <w:rFonts w:ascii="Arial" w:hAnsi="Arial" w:cs="Arial"/>
        </w:rPr>
        <w:t>are</w:t>
      </w:r>
      <w:r w:rsidRPr="00DF5FE4">
        <w:rPr>
          <w:rFonts w:ascii="Arial" w:hAnsi="Arial" w:cs="Arial"/>
        </w:rPr>
        <w:t xml:space="preserve"> </w:t>
      </w:r>
      <w:commentRangeEnd w:id="12"/>
      <w:r w:rsidR="0021536C">
        <w:rPr>
          <w:rStyle w:val="CommentReference"/>
          <w:rFonts w:ascii="Times New Roman" w:hAnsi="Times New Roman"/>
          <w:lang w:val="nb-NO" w:eastAsia="nb-NO"/>
        </w:rPr>
        <w:commentReference w:id="12"/>
      </w:r>
      <w:r w:rsidRPr="00DF5FE4">
        <w:rPr>
          <w:rFonts w:ascii="Arial" w:hAnsi="Arial" w:cs="Arial"/>
        </w:rPr>
        <w:t xml:space="preserve">the </w:t>
      </w:r>
      <w:r>
        <w:rPr>
          <w:rFonts w:ascii="Arial" w:hAnsi="Arial" w:cs="Arial"/>
        </w:rPr>
        <w:t xml:space="preserve">domains </w:t>
      </w:r>
      <w:r w:rsidRPr="00DF5FE4">
        <w:rPr>
          <w:rFonts w:ascii="Arial" w:hAnsi="Arial" w:cs="Arial"/>
        </w:rPr>
        <w:t xml:space="preserve">of principal guidance comportment as perceived by public elementary school teachers, including human relations, trust/decision-making, instructional guidance, control domain, and conflict, based on the mean scores and standard deviations. The indicator trust/decision-making received the highest mean of 4.34, categorized as "very high," followed by conflict with a mean of 4.33. Human relations and instructional guidance both obtained a mean of 4.32, while control domain had the lowest mean of 4.30, all categorized as "very high." The overall mean of 4.32 is described as "very high," indicating that teachers generally perceive their principals as highly engaged in providing guidance through these key leadership </w:t>
      </w:r>
      <w:proofErr w:type="spellStart"/>
      <w:proofErr w:type="gramStart"/>
      <w:r w:rsidRPr="00DF5FE4">
        <w:rPr>
          <w:rFonts w:ascii="Arial" w:hAnsi="Arial" w:cs="Arial"/>
        </w:rPr>
        <w:t>domains.The</w:t>
      </w:r>
      <w:proofErr w:type="spellEnd"/>
      <w:proofErr w:type="gramEnd"/>
      <w:r w:rsidRPr="00DF5FE4">
        <w:rPr>
          <w:rFonts w:ascii="Arial" w:hAnsi="Arial" w:cs="Arial"/>
        </w:rPr>
        <w:t xml:space="preserve"> overall standard deviation of 0.65 indicates that the responses were closely clustered around the mean.</w:t>
      </w:r>
    </w:p>
    <w:p w14:paraId="2A177F14" w14:textId="77777777" w:rsidR="00364C20" w:rsidRPr="00DF5FE4" w:rsidRDefault="00364C20" w:rsidP="00DF5FE4">
      <w:pPr>
        <w:jc w:val="both"/>
        <w:rPr>
          <w:rFonts w:ascii="Arial" w:hAnsi="Arial" w:cs="Arial"/>
        </w:rPr>
      </w:pPr>
    </w:p>
    <w:p w14:paraId="3E314ADC" w14:textId="7917E50C" w:rsidR="0073677C" w:rsidRDefault="00DF5FE4" w:rsidP="00DF5FE4">
      <w:pPr>
        <w:jc w:val="both"/>
        <w:rPr>
          <w:rFonts w:ascii="Arial" w:hAnsi="Arial" w:cs="Arial"/>
        </w:rPr>
      </w:pPr>
      <w:r w:rsidRPr="00DF5FE4">
        <w:rPr>
          <w:rFonts w:ascii="Arial" w:hAnsi="Arial" w:cs="Arial"/>
        </w:rPr>
        <w:t>This finding suggests that principals demonstrate strong leadership in fostering trust, human relations, and instructional guidance, which are critical in shaping a positive school culture and enhancing teacher motivation. However, areas such as conflict management and control domain may require further attention to ensure that leadership strategies remain balanced and effective in promoting collaboration and professional growth.</w:t>
      </w:r>
    </w:p>
    <w:p w14:paraId="2B5353DC" w14:textId="77777777" w:rsidR="00364C20" w:rsidRDefault="00364C20" w:rsidP="00DF5FE4">
      <w:pPr>
        <w:jc w:val="both"/>
        <w:rPr>
          <w:rFonts w:ascii="Arial" w:hAnsi="Arial" w:cs="Arial"/>
        </w:rPr>
      </w:pPr>
    </w:p>
    <w:p w14:paraId="71E5DDF2" w14:textId="00B99BD9" w:rsidR="00364C20" w:rsidRDefault="00364C20" w:rsidP="00DF5FE4">
      <w:pPr>
        <w:jc w:val="both"/>
        <w:rPr>
          <w:rFonts w:ascii="Arial" w:hAnsi="Arial" w:cs="Arial"/>
        </w:rPr>
      </w:pPr>
      <w:r w:rsidRPr="00364C20">
        <w:rPr>
          <w:rFonts w:ascii="Arial" w:hAnsi="Arial" w:cs="Arial"/>
        </w:rPr>
        <w:t xml:space="preserve">This finding is reinforced by the research of </w:t>
      </w:r>
      <w:proofErr w:type="spellStart"/>
      <w:r w:rsidRPr="00364C20">
        <w:rPr>
          <w:rFonts w:ascii="Arial" w:hAnsi="Arial" w:cs="Arial"/>
        </w:rPr>
        <w:t>Nkwatsibwe</w:t>
      </w:r>
      <w:proofErr w:type="spellEnd"/>
      <w:r w:rsidRPr="00364C20">
        <w:rPr>
          <w:rFonts w:ascii="Arial" w:hAnsi="Arial" w:cs="Arial"/>
        </w:rPr>
        <w:t xml:space="preserve"> (2019), who stressed that effective principal guidance comportment fosters a positive and motivating work environment, encouraging teacher engagement and commitment. Similarly, </w:t>
      </w:r>
      <w:proofErr w:type="spellStart"/>
      <w:r w:rsidRPr="00364C20">
        <w:rPr>
          <w:rFonts w:ascii="Arial" w:hAnsi="Arial" w:cs="Arial"/>
        </w:rPr>
        <w:t>Polatcan</w:t>
      </w:r>
      <w:proofErr w:type="spellEnd"/>
      <w:r w:rsidRPr="00364C20">
        <w:rPr>
          <w:rFonts w:ascii="Arial" w:hAnsi="Arial" w:cs="Arial"/>
        </w:rPr>
        <w:t xml:space="preserve"> and </w:t>
      </w:r>
      <w:proofErr w:type="spellStart"/>
      <w:r w:rsidRPr="00364C20">
        <w:rPr>
          <w:rFonts w:ascii="Arial" w:hAnsi="Arial" w:cs="Arial"/>
        </w:rPr>
        <w:t>Cansoy</w:t>
      </w:r>
      <w:proofErr w:type="spellEnd"/>
      <w:r w:rsidRPr="00364C20">
        <w:rPr>
          <w:rFonts w:ascii="Arial" w:hAnsi="Arial" w:cs="Arial"/>
        </w:rPr>
        <w:t xml:space="preserve"> (2019) found that school leaders who demonstrate strong guidance skills create a culture of trust, collaboration, and professional growth among teachers. Additionally, </w:t>
      </w:r>
      <w:r w:rsidR="00B00250">
        <w:rPr>
          <w:rFonts w:ascii="Arial" w:hAnsi="Arial" w:cs="Arial"/>
        </w:rPr>
        <w:t>Alipio and Torres</w:t>
      </w:r>
      <w:r w:rsidRPr="00364C20">
        <w:rPr>
          <w:rFonts w:ascii="Arial" w:hAnsi="Arial" w:cs="Arial"/>
        </w:rPr>
        <w:t xml:space="preserve"> (20</w:t>
      </w:r>
      <w:r w:rsidR="00B00250">
        <w:rPr>
          <w:rFonts w:ascii="Arial" w:hAnsi="Arial" w:cs="Arial"/>
        </w:rPr>
        <w:t>23</w:t>
      </w:r>
      <w:r w:rsidRPr="00364C20">
        <w:rPr>
          <w:rFonts w:ascii="Arial" w:hAnsi="Arial" w:cs="Arial"/>
        </w:rPr>
        <w:t>) argued that principals who provide clear direction, support, and constructive feedback enhance teachers’ confidence and effectiveness, ultimately contributing to a more dynamic and well-structured educational setting.</w:t>
      </w:r>
    </w:p>
    <w:p w14:paraId="5ACEA73B" w14:textId="77777777" w:rsidR="00DF5FE4" w:rsidRDefault="00DF5FE4" w:rsidP="00DF5FE4">
      <w:pPr>
        <w:jc w:val="both"/>
        <w:rPr>
          <w:rFonts w:ascii="Arial" w:hAnsi="Arial" w:cs="Arial"/>
        </w:rPr>
      </w:pPr>
    </w:p>
    <w:p w14:paraId="357F9EE5" w14:textId="77777777" w:rsidR="0073677C" w:rsidRDefault="0073677C" w:rsidP="0073677C">
      <w:pPr>
        <w:jc w:val="both"/>
        <w:rPr>
          <w:rFonts w:ascii="Arial" w:hAnsi="Arial" w:cs="Arial"/>
        </w:rPr>
      </w:pPr>
    </w:p>
    <w:p w14:paraId="59320546" w14:textId="5BAB1454" w:rsidR="00717F2E" w:rsidRDefault="00781D5E" w:rsidP="00364C20">
      <w:pPr>
        <w:jc w:val="both"/>
        <w:rPr>
          <w:rFonts w:ascii="Arial" w:hAnsi="Arial" w:cs="Arial"/>
          <w:b/>
          <w:bCs/>
          <w:iCs/>
        </w:rPr>
      </w:pPr>
      <w:r>
        <w:rPr>
          <w:rFonts w:ascii="Arial" w:hAnsi="Arial" w:cs="Arial"/>
          <w:b/>
          <w:bCs/>
          <w:iCs/>
        </w:rPr>
        <w:t>3.</w:t>
      </w:r>
      <w:r w:rsidR="00B31D3E">
        <w:rPr>
          <w:rFonts w:ascii="Arial" w:hAnsi="Arial" w:cs="Arial"/>
          <w:b/>
          <w:bCs/>
          <w:iCs/>
        </w:rPr>
        <w:t>3</w:t>
      </w:r>
      <w:r>
        <w:rPr>
          <w:rFonts w:ascii="Arial" w:hAnsi="Arial" w:cs="Arial"/>
          <w:b/>
          <w:bCs/>
          <w:iCs/>
        </w:rPr>
        <w:t xml:space="preserve"> </w:t>
      </w:r>
      <w:r w:rsidR="00364C20" w:rsidRPr="00364C20">
        <w:rPr>
          <w:rFonts w:ascii="Arial" w:hAnsi="Arial" w:cs="Arial"/>
          <w:b/>
          <w:bCs/>
          <w:iCs/>
        </w:rPr>
        <w:t>Relationship Between Job Gratification of Teachers as Inclined by Principal Guidance Comportment in Public Elementary Schools</w:t>
      </w:r>
    </w:p>
    <w:p w14:paraId="1295EBEE" w14:textId="77777777" w:rsidR="008204D0" w:rsidRDefault="008204D0">
      <w:pPr>
        <w:rPr>
          <w:rFonts w:ascii="Arial" w:hAnsi="Arial" w:cs="Arial"/>
          <w:iCs/>
        </w:rPr>
      </w:pPr>
    </w:p>
    <w:p w14:paraId="6F013CCC" w14:textId="3A2F8F4D" w:rsidR="00717F2E" w:rsidRDefault="00D31ACD">
      <w:pPr>
        <w:rPr>
          <w:rFonts w:ascii="Arial" w:hAnsi="Arial" w:cs="Arial"/>
          <w:i/>
        </w:rPr>
      </w:pPr>
      <w:r>
        <w:rPr>
          <w:rFonts w:ascii="Arial" w:hAnsi="Arial" w:cs="Arial"/>
          <w:iCs/>
        </w:rPr>
        <w:lastRenderedPageBreak/>
        <w:t xml:space="preserve">Table </w:t>
      </w:r>
      <w:r w:rsidR="00B31D3E">
        <w:rPr>
          <w:rFonts w:ascii="Arial" w:hAnsi="Arial" w:cs="Arial"/>
          <w:iCs/>
        </w:rPr>
        <w:t>3</w:t>
      </w:r>
      <w:r w:rsidR="00781D5E">
        <w:rPr>
          <w:rFonts w:ascii="Arial" w:hAnsi="Arial" w:cs="Arial"/>
          <w:iCs/>
        </w:rPr>
        <w:t>.</w:t>
      </w:r>
      <w:r>
        <w:rPr>
          <w:rFonts w:ascii="Arial" w:hAnsi="Arial" w:cs="Arial"/>
          <w:iCs/>
        </w:rPr>
        <w:t xml:space="preserve">  </w:t>
      </w:r>
      <w:r w:rsidR="00385125" w:rsidRPr="00385125">
        <w:rPr>
          <w:rFonts w:ascii="Arial" w:hAnsi="Arial" w:cs="Arial"/>
          <w:i/>
        </w:rPr>
        <w:t xml:space="preserve">Significant </w:t>
      </w:r>
      <w:r w:rsidR="00364C20" w:rsidRPr="00364C20">
        <w:rPr>
          <w:rFonts w:ascii="Arial" w:hAnsi="Arial" w:cs="Arial"/>
          <w:i/>
        </w:rPr>
        <w:t>Relationship Between Job Gratification of Teachers as Inclined by Principal Guidance Comportment in Public Elementary Schools</w:t>
      </w:r>
    </w:p>
    <w:p w14:paraId="758E3412" w14:textId="77777777" w:rsidR="00385125" w:rsidRDefault="00385125">
      <w:pPr>
        <w:rPr>
          <w:rFonts w:ascii="Arial" w:hAnsi="Arial" w:cs="Arial"/>
          <w:i/>
        </w:rPr>
      </w:pPr>
    </w:p>
    <w:p w14:paraId="7E2C54BF" w14:textId="77777777" w:rsidR="00781D5E" w:rsidRDefault="00781D5E">
      <w:pPr>
        <w:rPr>
          <w:rFonts w:ascii="Arial" w:hAnsi="Arial" w:cs="Arial"/>
          <w:iCs/>
        </w:rPr>
      </w:pPr>
    </w:p>
    <w:tbl>
      <w:tblPr>
        <w:tblW w:w="826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407"/>
        <w:gridCol w:w="876"/>
        <w:gridCol w:w="785"/>
        <w:gridCol w:w="785"/>
        <w:gridCol w:w="785"/>
        <w:gridCol w:w="1585"/>
        <w:gridCol w:w="876"/>
        <w:gridCol w:w="1164"/>
      </w:tblGrid>
      <w:tr w:rsidR="00364C20" w14:paraId="7F991295" w14:textId="77777777" w:rsidTr="00364C20">
        <w:trPr>
          <w:trHeight w:val="565"/>
        </w:trPr>
        <w:tc>
          <w:tcPr>
            <w:tcW w:w="1407" w:type="dxa"/>
            <w:tcBorders>
              <w:top w:val="single" w:sz="4" w:space="0" w:color="000000"/>
              <w:bottom w:val="single" w:sz="4" w:space="0" w:color="000000"/>
            </w:tcBorders>
          </w:tcPr>
          <w:p w14:paraId="06455942" w14:textId="77777777" w:rsidR="00364C20" w:rsidRPr="00364C20" w:rsidRDefault="00364C20" w:rsidP="00052E04">
            <w:pPr>
              <w:widowControl w:val="0"/>
              <w:jc w:val="center"/>
              <w:rPr>
                <w:rFonts w:ascii="Arial" w:eastAsia="Arial" w:hAnsi="Arial"/>
                <w:b/>
              </w:rPr>
            </w:pPr>
            <w:r w:rsidRPr="00364C20">
              <w:rPr>
                <w:rFonts w:ascii="Arial" w:eastAsia="Arial" w:hAnsi="Arial"/>
                <w:b/>
              </w:rPr>
              <w:t>Variables</w:t>
            </w:r>
          </w:p>
        </w:tc>
        <w:tc>
          <w:tcPr>
            <w:tcW w:w="876" w:type="dxa"/>
            <w:tcBorders>
              <w:top w:val="single" w:sz="4" w:space="0" w:color="000000"/>
              <w:bottom w:val="single" w:sz="4" w:space="0" w:color="000000"/>
            </w:tcBorders>
          </w:tcPr>
          <w:p w14:paraId="2D7DE556" w14:textId="77777777" w:rsidR="00364C20" w:rsidRPr="00364C20" w:rsidRDefault="00364C20" w:rsidP="00052E04">
            <w:pPr>
              <w:widowControl w:val="0"/>
              <w:jc w:val="center"/>
              <w:rPr>
                <w:rFonts w:ascii="Arial" w:eastAsia="Arial" w:hAnsi="Arial"/>
                <w:b/>
              </w:rPr>
            </w:pPr>
            <w:r w:rsidRPr="00364C20">
              <w:rPr>
                <w:rFonts w:ascii="Arial" w:eastAsia="Arial" w:hAnsi="Arial"/>
                <w:b/>
              </w:rPr>
              <w:t>Mean</w:t>
            </w:r>
          </w:p>
        </w:tc>
        <w:tc>
          <w:tcPr>
            <w:tcW w:w="785" w:type="dxa"/>
            <w:tcBorders>
              <w:top w:val="single" w:sz="4" w:space="0" w:color="000000"/>
              <w:bottom w:val="single" w:sz="4" w:space="0" w:color="000000"/>
            </w:tcBorders>
          </w:tcPr>
          <w:p w14:paraId="51D3DC19" w14:textId="77777777" w:rsidR="00364C20" w:rsidRPr="00364C20" w:rsidRDefault="00364C20" w:rsidP="00052E04">
            <w:pPr>
              <w:widowControl w:val="0"/>
              <w:jc w:val="center"/>
              <w:rPr>
                <w:rFonts w:ascii="Arial" w:eastAsia="Arial" w:hAnsi="Arial"/>
                <w:b/>
              </w:rPr>
            </w:pPr>
            <w:r w:rsidRPr="00364C20">
              <w:rPr>
                <w:rFonts w:ascii="Arial" w:eastAsia="Arial" w:hAnsi="Arial"/>
                <w:b/>
              </w:rPr>
              <w:t>SD</w:t>
            </w:r>
          </w:p>
        </w:tc>
        <w:tc>
          <w:tcPr>
            <w:tcW w:w="785" w:type="dxa"/>
            <w:tcBorders>
              <w:top w:val="single" w:sz="4" w:space="0" w:color="000000"/>
              <w:bottom w:val="single" w:sz="4" w:space="0" w:color="000000"/>
            </w:tcBorders>
          </w:tcPr>
          <w:p w14:paraId="47AF8C57" w14:textId="77777777" w:rsidR="00364C20" w:rsidRPr="00364C20" w:rsidRDefault="00364C20" w:rsidP="00052E04">
            <w:pPr>
              <w:widowControl w:val="0"/>
              <w:jc w:val="center"/>
              <w:rPr>
                <w:rFonts w:ascii="Arial" w:eastAsia="Arial" w:hAnsi="Arial"/>
                <w:b/>
              </w:rPr>
            </w:pPr>
            <w:r w:rsidRPr="00364C20">
              <w:rPr>
                <w:rFonts w:ascii="Arial" w:eastAsia="Arial" w:hAnsi="Arial"/>
                <w:b/>
              </w:rPr>
              <w:t>R</w:t>
            </w:r>
          </w:p>
        </w:tc>
        <w:tc>
          <w:tcPr>
            <w:tcW w:w="785" w:type="dxa"/>
            <w:tcBorders>
              <w:top w:val="single" w:sz="4" w:space="0" w:color="000000"/>
              <w:bottom w:val="single" w:sz="4" w:space="0" w:color="000000"/>
            </w:tcBorders>
          </w:tcPr>
          <w:p w14:paraId="34A7B69B" w14:textId="77777777" w:rsidR="00364C20" w:rsidRPr="00364C20" w:rsidRDefault="00364C20" w:rsidP="00052E04">
            <w:pPr>
              <w:shd w:val="clear" w:color="auto" w:fill="FFFFFF"/>
              <w:jc w:val="center"/>
              <w:rPr>
                <w:rFonts w:ascii="Arial" w:eastAsia="Arial" w:hAnsi="Arial"/>
                <w:b/>
              </w:rPr>
            </w:pPr>
            <w:r w:rsidRPr="00364C20">
              <w:rPr>
                <w:rFonts w:ascii="Arial" w:eastAsia="Arial" w:hAnsi="Arial"/>
                <w:b/>
              </w:rPr>
              <w:t>R²</w:t>
            </w:r>
          </w:p>
          <w:p w14:paraId="21151959" w14:textId="77777777" w:rsidR="00364C20" w:rsidRPr="00364C20" w:rsidRDefault="00364C20" w:rsidP="00052E04">
            <w:pPr>
              <w:widowControl w:val="0"/>
              <w:jc w:val="center"/>
              <w:rPr>
                <w:rFonts w:ascii="Arial" w:eastAsia="Arial" w:hAnsi="Arial"/>
                <w:b/>
              </w:rPr>
            </w:pPr>
          </w:p>
        </w:tc>
        <w:tc>
          <w:tcPr>
            <w:tcW w:w="1585" w:type="dxa"/>
            <w:tcBorders>
              <w:top w:val="single" w:sz="4" w:space="0" w:color="000000"/>
              <w:bottom w:val="single" w:sz="4" w:space="0" w:color="000000"/>
            </w:tcBorders>
          </w:tcPr>
          <w:p w14:paraId="417A3849" w14:textId="77777777" w:rsidR="00364C20" w:rsidRPr="00364C20" w:rsidRDefault="00364C20" w:rsidP="00052E04">
            <w:pPr>
              <w:widowControl w:val="0"/>
              <w:jc w:val="center"/>
              <w:rPr>
                <w:rFonts w:ascii="Arial" w:eastAsia="Arial" w:hAnsi="Arial"/>
                <w:b/>
              </w:rPr>
            </w:pPr>
            <w:r w:rsidRPr="00364C20">
              <w:rPr>
                <w:rFonts w:ascii="Arial" w:eastAsia="Arial" w:hAnsi="Arial"/>
                <w:b/>
              </w:rPr>
              <w:t>Degree of Relationship</w:t>
            </w:r>
          </w:p>
        </w:tc>
        <w:tc>
          <w:tcPr>
            <w:tcW w:w="876" w:type="dxa"/>
            <w:tcBorders>
              <w:top w:val="single" w:sz="4" w:space="0" w:color="000000"/>
              <w:bottom w:val="single" w:sz="4" w:space="0" w:color="000000"/>
            </w:tcBorders>
          </w:tcPr>
          <w:p w14:paraId="08CE10E7" w14:textId="77777777" w:rsidR="00364C20" w:rsidRPr="00364C20" w:rsidRDefault="00364C20" w:rsidP="00052E04">
            <w:pPr>
              <w:widowControl w:val="0"/>
              <w:jc w:val="center"/>
              <w:rPr>
                <w:rFonts w:ascii="Arial" w:eastAsia="Arial" w:hAnsi="Arial"/>
                <w:b/>
              </w:rPr>
            </w:pPr>
            <w:r w:rsidRPr="00364C20">
              <w:rPr>
                <w:rFonts w:ascii="Arial" w:eastAsia="Arial" w:hAnsi="Arial"/>
                <w:b/>
              </w:rPr>
              <w:t>p-value</w:t>
            </w:r>
          </w:p>
        </w:tc>
        <w:tc>
          <w:tcPr>
            <w:tcW w:w="1164" w:type="dxa"/>
            <w:tcBorders>
              <w:top w:val="single" w:sz="4" w:space="0" w:color="000000"/>
              <w:bottom w:val="single" w:sz="4" w:space="0" w:color="000000"/>
            </w:tcBorders>
          </w:tcPr>
          <w:p w14:paraId="646B333A" w14:textId="77777777" w:rsidR="00364C20" w:rsidRPr="00364C20" w:rsidRDefault="00364C20" w:rsidP="00052E04">
            <w:pPr>
              <w:widowControl w:val="0"/>
              <w:jc w:val="center"/>
              <w:rPr>
                <w:rFonts w:ascii="Arial" w:eastAsia="Arial" w:hAnsi="Arial"/>
                <w:b/>
              </w:rPr>
            </w:pPr>
            <w:r w:rsidRPr="00364C20">
              <w:rPr>
                <w:rFonts w:ascii="Arial" w:eastAsia="Arial" w:hAnsi="Arial"/>
                <w:b/>
              </w:rPr>
              <w:t>Decision</w:t>
            </w:r>
          </w:p>
        </w:tc>
      </w:tr>
      <w:tr w:rsidR="00364C20" w14:paraId="010B48A7" w14:textId="77777777" w:rsidTr="00364C20">
        <w:trPr>
          <w:trHeight w:val="700"/>
        </w:trPr>
        <w:tc>
          <w:tcPr>
            <w:tcW w:w="1407" w:type="dxa"/>
            <w:tcBorders>
              <w:top w:val="single" w:sz="4" w:space="0" w:color="000000"/>
            </w:tcBorders>
          </w:tcPr>
          <w:p w14:paraId="2E6AC827" w14:textId="77777777" w:rsidR="00364C20" w:rsidRPr="00364C20" w:rsidRDefault="00364C20" w:rsidP="00052E04">
            <w:pPr>
              <w:widowControl w:val="0"/>
              <w:jc w:val="center"/>
              <w:rPr>
                <w:rFonts w:ascii="Arial" w:eastAsia="Arial" w:hAnsi="Arial"/>
              </w:rPr>
            </w:pPr>
            <w:r w:rsidRPr="00364C20">
              <w:rPr>
                <w:rFonts w:ascii="Arial" w:eastAsia="Arial" w:hAnsi="Arial"/>
              </w:rPr>
              <w:t xml:space="preserve">Job Gratification </w:t>
            </w:r>
            <w:r w:rsidRPr="00364C20">
              <w:rPr>
                <w:rFonts w:ascii="Arial" w:eastAsia="Arial" w:hAnsi="Arial"/>
                <w:bCs/>
              </w:rPr>
              <w:t>of Teachers</w:t>
            </w:r>
          </w:p>
        </w:tc>
        <w:tc>
          <w:tcPr>
            <w:tcW w:w="876" w:type="dxa"/>
            <w:tcBorders>
              <w:top w:val="single" w:sz="4" w:space="0" w:color="000000"/>
            </w:tcBorders>
          </w:tcPr>
          <w:p w14:paraId="518D5AE8" w14:textId="77777777" w:rsidR="00364C20" w:rsidRPr="00364C20" w:rsidRDefault="00364C20" w:rsidP="00052E04">
            <w:pPr>
              <w:widowControl w:val="0"/>
              <w:spacing w:line="480" w:lineRule="auto"/>
              <w:jc w:val="center"/>
              <w:rPr>
                <w:rFonts w:ascii="Arial" w:eastAsia="Arial" w:hAnsi="Arial"/>
              </w:rPr>
            </w:pPr>
            <w:r w:rsidRPr="00364C20">
              <w:rPr>
                <w:rFonts w:ascii="Arial" w:eastAsia="Arial" w:hAnsi="Arial"/>
              </w:rPr>
              <w:t>4.31</w:t>
            </w:r>
          </w:p>
        </w:tc>
        <w:tc>
          <w:tcPr>
            <w:tcW w:w="785" w:type="dxa"/>
            <w:tcBorders>
              <w:top w:val="single" w:sz="4" w:space="0" w:color="000000"/>
            </w:tcBorders>
          </w:tcPr>
          <w:p w14:paraId="36E54ED9" w14:textId="77777777" w:rsidR="00364C20" w:rsidRPr="00364C20" w:rsidRDefault="00364C20" w:rsidP="00052E04">
            <w:pPr>
              <w:widowControl w:val="0"/>
              <w:spacing w:line="480" w:lineRule="auto"/>
              <w:jc w:val="center"/>
              <w:rPr>
                <w:rFonts w:ascii="Arial" w:eastAsia="Arial" w:hAnsi="Arial"/>
              </w:rPr>
            </w:pPr>
            <w:r w:rsidRPr="00364C20">
              <w:rPr>
                <w:rFonts w:ascii="Arial" w:eastAsia="Arial" w:hAnsi="Arial"/>
              </w:rPr>
              <w:t>0.50</w:t>
            </w:r>
          </w:p>
        </w:tc>
        <w:tc>
          <w:tcPr>
            <w:tcW w:w="785" w:type="dxa"/>
            <w:tcBorders>
              <w:top w:val="single" w:sz="4" w:space="0" w:color="000000"/>
            </w:tcBorders>
          </w:tcPr>
          <w:p w14:paraId="160EA923" w14:textId="77777777" w:rsidR="00364C20" w:rsidRPr="00364C20" w:rsidRDefault="00364C20" w:rsidP="00052E04">
            <w:pPr>
              <w:widowControl w:val="0"/>
              <w:spacing w:line="480" w:lineRule="auto"/>
              <w:jc w:val="center"/>
              <w:rPr>
                <w:rFonts w:ascii="Arial" w:eastAsia="Arial" w:hAnsi="Arial"/>
              </w:rPr>
            </w:pPr>
          </w:p>
        </w:tc>
        <w:tc>
          <w:tcPr>
            <w:tcW w:w="785" w:type="dxa"/>
            <w:tcBorders>
              <w:top w:val="single" w:sz="4" w:space="0" w:color="000000"/>
            </w:tcBorders>
          </w:tcPr>
          <w:p w14:paraId="4B7B5012" w14:textId="77777777" w:rsidR="00364C20" w:rsidRPr="00364C20" w:rsidRDefault="00364C20" w:rsidP="00052E04">
            <w:pPr>
              <w:widowControl w:val="0"/>
              <w:spacing w:line="480" w:lineRule="auto"/>
              <w:jc w:val="center"/>
              <w:rPr>
                <w:rFonts w:ascii="Arial" w:eastAsia="Arial" w:hAnsi="Arial"/>
              </w:rPr>
            </w:pPr>
          </w:p>
        </w:tc>
        <w:tc>
          <w:tcPr>
            <w:tcW w:w="1585" w:type="dxa"/>
            <w:tcBorders>
              <w:top w:val="single" w:sz="4" w:space="0" w:color="000000"/>
            </w:tcBorders>
          </w:tcPr>
          <w:p w14:paraId="54BBB0C2" w14:textId="77777777" w:rsidR="00364C20" w:rsidRPr="00364C20" w:rsidRDefault="00364C20" w:rsidP="00052E04">
            <w:pPr>
              <w:widowControl w:val="0"/>
              <w:spacing w:line="480" w:lineRule="auto"/>
              <w:jc w:val="center"/>
              <w:rPr>
                <w:rFonts w:ascii="Arial" w:eastAsia="Arial" w:hAnsi="Arial"/>
              </w:rPr>
            </w:pPr>
          </w:p>
        </w:tc>
        <w:tc>
          <w:tcPr>
            <w:tcW w:w="876" w:type="dxa"/>
            <w:tcBorders>
              <w:top w:val="single" w:sz="4" w:space="0" w:color="000000"/>
            </w:tcBorders>
          </w:tcPr>
          <w:p w14:paraId="3F78E3BC" w14:textId="77777777" w:rsidR="00364C20" w:rsidRPr="00364C20" w:rsidRDefault="00364C20" w:rsidP="00052E04">
            <w:pPr>
              <w:widowControl w:val="0"/>
              <w:spacing w:line="480" w:lineRule="auto"/>
              <w:jc w:val="center"/>
              <w:rPr>
                <w:rFonts w:ascii="Arial" w:eastAsia="Arial" w:hAnsi="Arial"/>
              </w:rPr>
            </w:pPr>
          </w:p>
        </w:tc>
        <w:tc>
          <w:tcPr>
            <w:tcW w:w="1164" w:type="dxa"/>
            <w:tcBorders>
              <w:top w:val="single" w:sz="4" w:space="0" w:color="000000"/>
            </w:tcBorders>
          </w:tcPr>
          <w:p w14:paraId="1BC5744C" w14:textId="77777777" w:rsidR="00364C20" w:rsidRPr="00364C20" w:rsidRDefault="00364C20" w:rsidP="00052E04">
            <w:pPr>
              <w:widowControl w:val="0"/>
              <w:spacing w:line="480" w:lineRule="auto"/>
              <w:jc w:val="center"/>
              <w:rPr>
                <w:rFonts w:ascii="Arial" w:eastAsia="Arial" w:hAnsi="Arial"/>
              </w:rPr>
            </w:pPr>
          </w:p>
        </w:tc>
      </w:tr>
      <w:tr w:rsidR="00364C20" w14:paraId="30136C8A" w14:textId="77777777" w:rsidTr="00364C20">
        <w:trPr>
          <w:trHeight w:val="565"/>
        </w:trPr>
        <w:tc>
          <w:tcPr>
            <w:tcW w:w="1407" w:type="dxa"/>
          </w:tcPr>
          <w:p w14:paraId="28EED542" w14:textId="77777777" w:rsidR="00364C20" w:rsidRPr="00364C20" w:rsidRDefault="00364C20" w:rsidP="00052E04">
            <w:pPr>
              <w:widowControl w:val="0"/>
              <w:jc w:val="center"/>
              <w:rPr>
                <w:rFonts w:ascii="Arial" w:eastAsia="Arial" w:hAnsi="Arial"/>
              </w:rPr>
            </w:pPr>
          </w:p>
        </w:tc>
        <w:tc>
          <w:tcPr>
            <w:tcW w:w="876" w:type="dxa"/>
          </w:tcPr>
          <w:p w14:paraId="6D780D5B" w14:textId="77777777" w:rsidR="00364C20" w:rsidRPr="00364C20" w:rsidRDefault="00364C20" w:rsidP="00052E04">
            <w:pPr>
              <w:widowControl w:val="0"/>
              <w:spacing w:line="480" w:lineRule="auto"/>
              <w:jc w:val="center"/>
              <w:rPr>
                <w:rFonts w:ascii="Arial" w:eastAsia="Arial" w:hAnsi="Arial"/>
              </w:rPr>
            </w:pPr>
          </w:p>
        </w:tc>
        <w:tc>
          <w:tcPr>
            <w:tcW w:w="785" w:type="dxa"/>
          </w:tcPr>
          <w:p w14:paraId="31A5533C" w14:textId="77777777" w:rsidR="00364C20" w:rsidRPr="00364C20" w:rsidRDefault="00364C20" w:rsidP="00052E04">
            <w:pPr>
              <w:widowControl w:val="0"/>
              <w:spacing w:line="480" w:lineRule="auto"/>
              <w:jc w:val="center"/>
              <w:rPr>
                <w:rFonts w:ascii="Arial" w:eastAsia="Arial" w:hAnsi="Arial"/>
              </w:rPr>
            </w:pPr>
          </w:p>
        </w:tc>
        <w:tc>
          <w:tcPr>
            <w:tcW w:w="785" w:type="dxa"/>
          </w:tcPr>
          <w:p w14:paraId="2E76E7B6" w14:textId="77777777" w:rsidR="00364C20" w:rsidRPr="00364C20" w:rsidRDefault="00364C20" w:rsidP="00052E04">
            <w:pPr>
              <w:widowControl w:val="0"/>
              <w:spacing w:line="480" w:lineRule="auto"/>
              <w:jc w:val="center"/>
              <w:rPr>
                <w:rFonts w:ascii="Arial" w:eastAsia="Arial" w:hAnsi="Arial"/>
              </w:rPr>
            </w:pPr>
            <w:r w:rsidRPr="00364C20">
              <w:rPr>
                <w:rFonts w:ascii="Arial" w:eastAsia="Arial" w:hAnsi="Arial"/>
              </w:rPr>
              <w:t>0.62</w:t>
            </w:r>
          </w:p>
        </w:tc>
        <w:tc>
          <w:tcPr>
            <w:tcW w:w="785" w:type="dxa"/>
          </w:tcPr>
          <w:p w14:paraId="22A3EC76" w14:textId="77777777" w:rsidR="00364C20" w:rsidRPr="00364C20" w:rsidRDefault="00364C20" w:rsidP="00052E04">
            <w:pPr>
              <w:widowControl w:val="0"/>
              <w:spacing w:line="480" w:lineRule="auto"/>
              <w:jc w:val="center"/>
              <w:rPr>
                <w:rFonts w:ascii="Arial" w:eastAsia="Arial" w:hAnsi="Arial"/>
              </w:rPr>
            </w:pPr>
            <w:r w:rsidRPr="00364C20">
              <w:rPr>
                <w:rFonts w:ascii="Arial" w:eastAsia="Arial" w:hAnsi="Arial"/>
              </w:rPr>
              <w:t>0.38</w:t>
            </w:r>
          </w:p>
        </w:tc>
        <w:tc>
          <w:tcPr>
            <w:tcW w:w="1585" w:type="dxa"/>
          </w:tcPr>
          <w:p w14:paraId="05B33F51" w14:textId="77777777" w:rsidR="00364C20" w:rsidRPr="00364C20" w:rsidRDefault="00364C20" w:rsidP="00052E04">
            <w:pPr>
              <w:widowControl w:val="0"/>
              <w:spacing w:line="480" w:lineRule="auto"/>
              <w:jc w:val="center"/>
              <w:rPr>
                <w:rFonts w:ascii="Arial" w:eastAsia="Arial" w:hAnsi="Arial"/>
              </w:rPr>
            </w:pPr>
            <w:r w:rsidRPr="00364C20">
              <w:rPr>
                <w:rFonts w:ascii="Arial" w:eastAsia="Arial" w:hAnsi="Arial"/>
              </w:rPr>
              <w:t>High</w:t>
            </w:r>
          </w:p>
        </w:tc>
        <w:tc>
          <w:tcPr>
            <w:tcW w:w="876" w:type="dxa"/>
          </w:tcPr>
          <w:p w14:paraId="4890AEBD" w14:textId="77777777" w:rsidR="00364C20" w:rsidRPr="00364C20" w:rsidRDefault="00364C20" w:rsidP="00052E04">
            <w:pPr>
              <w:widowControl w:val="0"/>
              <w:spacing w:line="480" w:lineRule="auto"/>
              <w:jc w:val="center"/>
              <w:rPr>
                <w:rFonts w:ascii="Arial" w:eastAsia="Arial" w:hAnsi="Arial"/>
              </w:rPr>
            </w:pPr>
            <w:r w:rsidRPr="00364C20">
              <w:rPr>
                <w:rFonts w:ascii="Arial" w:eastAsia="Arial" w:hAnsi="Arial"/>
              </w:rPr>
              <w:t>0.000</w:t>
            </w:r>
          </w:p>
        </w:tc>
        <w:tc>
          <w:tcPr>
            <w:tcW w:w="1164" w:type="dxa"/>
          </w:tcPr>
          <w:p w14:paraId="718C57DB" w14:textId="77777777" w:rsidR="00364C20" w:rsidRPr="00364C20" w:rsidRDefault="00364C20" w:rsidP="00052E04">
            <w:pPr>
              <w:widowControl w:val="0"/>
              <w:jc w:val="center"/>
              <w:rPr>
                <w:rFonts w:ascii="Arial" w:eastAsia="Arial" w:hAnsi="Arial"/>
              </w:rPr>
            </w:pPr>
            <w:r w:rsidRPr="00364C20">
              <w:rPr>
                <w:rFonts w:ascii="Arial" w:eastAsia="Arial" w:hAnsi="Arial"/>
              </w:rPr>
              <w:t>Reject Ho1</w:t>
            </w:r>
          </w:p>
        </w:tc>
      </w:tr>
      <w:tr w:rsidR="00364C20" w14:paraId="646552C5" w14:textId="77777777" w:rsidTr="00364C20">
        <w:trPr>
          <w:trHeight w:val="700"/>
        </w:trPr>
        <w:tc>
          <w:tcPr>
            <w:tcW w:w="1407" w:type="dxa"/>
          </w:tcPr>
          <w:p w14:paraId="7437A6E6" w14:textId="77777777" w:rsidR="00364C20" w:rsidRPr="00364C20" w:rsidRDefault="00364C20" w:rsidP="00052E04">
            <w:pPr>
              <w:widowControl w:val="0"/>
              <w:jc w:val="center"/>
              <w:rPr>
                <w:rFonts w:ascii="Arial" w:eastAsia="Arial" w:hAnsi="Arial"/>
              </w:rPr>
            </w:pPr>
            <w:r w:rsidRPr="00364C20">
              <w:rPr>
                <w:rFonts w:ascii="Arial" w:eastAsia="Arial" w:hAnsi="Arial"/>
              </w:rPr>
              <w:t>Principal Guidance Comportment</w:t>
            </w:r>
          </w:p>
        </w:tc>
        <w:tc>
          <w:tcPr>
            <w:tcW w:w="876" w:type="dxa"/>
          </w:tcPr>
          <w:p w14:paraId="160AAB4F" w14:textId="77777777" w:rsidR="00364C20" w:rsidRPr="00364C20" w:rsidRDefault="00364C20" w:rsidP="00052E04">
            <w:pPr>
              <w:widowControl w:val="0"/>
              <w:spacing w:line="480" w:lineRule="auto"/>
              <w:jc w:val="center"/>
              <w:rPr>
                <w:rFonts w:ascii="Arial" w:eastAsia="Arial" w:hAnsi="Arial"/>
              </w:rPr>
            </w:pPr>
            <w:r w:rsidRPr="00364C20">
              <w:rPr>
                <w:rFonts w:ascii="Arial" w:eastAsia="Arial" w:hAnsi="Arial"/>
              </w:rPr>
              <w:t>4.32</w:t>
            </w:r>
          </w:p>
        </w:tc>
        <w:tc>
          <w:tcPr>
            <w:tcW w:w="785" w:type="dxa"/>
          </w:tcPr>
          <w:p w14:paraId="325AC2F4" w14:textId="77777777" w:rsidR="00364C20" w:rsidRPr="00364C20" w:rsidRDefault="00364C20" w:rsidP="00052E04">
            <w:pPr>
              <w:widowControl w:val="0"/>
              <w:spacing w:line="480" w:lineRule="auto"/>
              <w:jc w:val="center"/>
              <w:rPr>
                <w:rFonts w:ascii="Arial" w:eastAsia="Arial" w:hAnsi="Arial"/>
              </w:rPr>
            </w:pPr>
            <w:r w:rsidRPr="00364C20">
              <w:rPr>
                <w:rFonts w:ascii="Arial" w:eastAsia="Arial" w:hAnsi="Arial"/>
              </w:rPr>
              <w:t>0.55</w:t>
            </w:r>
          </w:p>
        </w:tc>
        <w:tc>
          <w:tcPr>
            <w:tcW w:w="785" w:type="dxa"/>
          </w:tcPr>
          <w:p w14:paraId="5EF5C888" w14:textId="77777777" w:rsidR="00364C20" w:rsidRPr="00364C20" w:rsidRDefault="00364C20" w:rsidP="00052E04">
            <w:pPr>
              <w:widowControl w:val="0"/>
              <w:spacing w:line="480" w:lineRule="auto"/>
              <w:jc w:val="center"/>
              <w:rPr>
                <w:rFonts w:ascii="Arial" w:eastAsia="Arial" w:hAnsi="Arial"/>
              </w:rPr>
            </w:pPr>
          </w:p>
        </w:tc>
        <w:tc>
          <w:tcPr>
            <w:tcW w:w="785" w:type="dxa"/>
          </w:tcPr>
          <w:p w14:paraId="161AE499" w14:textId="77777777" w:rsidR="00364C20" w:rsidRPr="00364C20" w:rsidRDefault="00364C20" w:rsidP="00052E04">
            <w:pPr>
              <w:widowControl w:val="0"/>
              <w:spacing w:line="480" w:lineRule="auto"/>
              <w:jc w:val="center"/>
              <w:rPr>
                <w:rFonts w:ascii="Arial" w:eastAsia="Arial" w:hAnsi="Arial"/>
              </w:rPr>
            </w:pPr>
          </w:p>
        </w:tc>
        <w:tc>
          <w:tcPr>
            <w:tcW w:w="1585" w:type="dxa"/>
          </w:tcPr>
          <w:p w14:paraId="20C0773C" w14:textId="77777777" w:rsidR="00364C20" w:rsidRPr="00364C20" w:rsidRDefault="00364C20" w:rsidP="00052E04">
            <w:pPr>
              <w:widowControl w:val="0"/>
              <w:spacing w:line="480" w:lineRule="auto"/>
              <w:jc w:val="center"/>
              <w:rPr>
                <w:rFonts w:ascii="Arial" w:eastAsia="Arial" w:hAnsi="Arial"/>
              </w:rPr>
            </w:pPr>
          </w:p>
        </w:tc>
        <w:tc>
          <w:tcPr>
            <w:tcW w:w="876" w:type="dxa"/>
          </w:tcPr>
          <w:p w14:paraId="12AAEE60" w14:textId="77777777" w:rsidR="00364C20" w:rsidRPr="00364C20" w:rsidRDefault="00364C20" w:rsidP="00052E04">
            <w:pPr>
              <w:widowControl w:val="0"/>
              <w:spacing w:line="480" w:lineRule="auto"/>
              <w:jc w:val="center"/>
              <w:rPr>
                <w:rFonts w:ascii="Arial" w:eastAsia="Arial" w:hAnsi="Arial"/>
              </w:rPr>
            </w:pPr>
          </w:p>
        </w:tc>
        <w:tc>
          <w:tcPr>
            <w:tcW w:w="1164" w:type="dxa"/>
          </w:tcPr>
          <w:p w14:paraId="4287877B" w14:textId="77777777" w:rsidR="00364C20" w:rsidRPr="00364C20" w:rsidRDefault="00364C20" w:rsidP="00052E04">
            <w:pPr>
              <w:widowControl w:val="0"/>
              <w:spacing w:line="480" w:lineRule="auto"/>
              <w:jc w:val="center"/>
              <w:rPr>
                <w:rFonts w:ascii="Arial" w:eastAsia="Arial" w:hAnsi="Arial"/>
              </w:rPr>
            </w:pPr>
          </w:p>
        </w:tc>
      </w:tr>
    </w:tbl>
    <w:p w14:paraId="1BDBE2B2" w14:textId="77777777" w:rsidR="00717F2E" w:rsidRDefault="00717F2E">
      <w:pPr>
        <w:jc w:val="both"/>
        <w:rPr>
          <w:rFonts w:ascii="Arial" w:hAnsi="Arial" w:cs="Arial"/>
        </w:rPr>
      </w:pPr>
    </w:p>
    <w:p w14:paraId="5881DC25" w14:textId="6845A6E0" w:rsidR="00B31D3E" w:rsidRPr="00B31D3E" w:rsidRDefault="00B31D3E" w:rsidP="00B31D3E">
      <w:pPr>
        <w:jc w:val="both"/>
        <w:rPr>
          <w:rFonts w:ascii="Arial" w:hAnsi="Arial" w:cs="Arial"/>
        </w:rPr>
      </w:pPr>
      <w:r w:rsidRPr="00B31D3E">
        <w:rPr>
          <w:rFonts w:ascii="Arial" w:hAnsi="Arial" w:cs="Arial"/>
        </w:rPr>
        <w:t xml:space="preserve">Presented in Table </w:t>
      </w:r>
      <w:r>
        <w:rPr>
          <w:rFonts w:ascii="Arial" w:hAnsi="Arial" w:cs="Arial"/>
        </w:rPr>
        <w:t>4</w:t>
      </w:r>
      <w:r w:rsidRPr="00B31D3E">
        <w:rPr>
          <w:rFonts w:ascii="Arial" w:hAnsi="Arial" w:cs="Arial"/>
        </w:rPr>
        <w:t xml:space="preserve"> is the correlation analysis between job gratification of teachers and principal guidance comportment in public elementary schools. The relationship between these two variables has a correlation coefficient (R) of 0.62 with a p-value of 0.000, which is less than the 0.05 significance level. This indicates a high and statistically significant positive relationship between job gratification and principal guidance comportment. </w:t>
      </w:r>
      <w:commentRangeStart w:id="13"/>
      <w:r w:rsidRPr="00B31D3E">
        <w:rPr>
          <w:rFonts w:ascii="Arial" w:hAnsi="Arial" w:cs="Arial"/>
        </w:rPr>
        <w:t>The R² value of 0.38 suggests that approximately 38% of the variation in teachers' job gratification can be explained by principal guidance comportment.</w:t>
      </w:r>
      <w:commentRangeEnd w:id="13"/>
      <w:r w:rsidR="00282673">
        <w:rPr>
          <w:rStyle w:val="CommentReference"/>
          <w:rFonts w:ascii="Times New Roman" w:hAnsi="Times New Roman"/>
          <w:lang w:val="nb-NO" w:eastAsia="nb-NO"/>
        </w:rPr>
        <w:commentReference w:id="13"/>
      </w:r>
      <w:r w:rsidRPr="00B31D3E">
        <w:rPr>
          <w:rFonts w:ascii="Arial" w:hAnsi="Arial" w:cs="Arial"/>
        </w:rPr>
        <w:t xml:space="preserve"> Since the p-value is less than 0.05, the null hypothesis (Ho1) is rejected, supporting the claim that principal guidance comportment is significantly related to teachers' job gratification.</w:t>
      </w:r>
    </w:p>
    <w:p w14:paraId="0526461B" w14:textId="77777777" w:rsidR="00B31D3E" w:rsidRDefault="00B31D3E" w:rsidP="00B31D3E">
      <w:pPr>
        <w:jc w:val="both"/>
        <w:rPr>
          <w:rFonts w:ascii="Arial" w:hAnsi="Arial" w:cs="Arial"/>
        </w:rPr>
      </w:pPr>
    </w:p>
    <w:p w14:paraId="0BC2EB0D" w14:textId="5F7ACD63" w:rsidR="008204D0" w:rsidRDefault="00B31D3E" w:rsidP="00B31D3E">
      <w:pPr>
        <w:jc w:val="both"/>
        <w:rPr>
          <w:rFonts w:ascii="Arial" w:hAnsi="Arial" w:cs="Arial"/>
        </w:rPr>
      </w:pPr>
      <w:r w:rsidRPr="00B31D3E">
        <w:rPr>
          <w:rFonts w:ascii="Arial" w:hAnsi="Arial" w:cs="Arial"/>
        </w:rPr>
        <w:t>This finding suggests that teachers who experience higher job gratification tend to perceive their principal’s guidance comportment positively. A fulfilling and motivating work environment for teachers is fostered through effective leadership, clear communication, and supportive interactions from school principals. This positive relationship underscores the crucial role of school leaders in enhancing teachers' overall well-being and job satisfaction. It emphasizes the need for principals to cultivate a supportive, respectful, and collaborative school culture to improve teacher retention and performance.</w:t>
      </w:r>
    </w:p>
    <w:p w14:paraId="250008C3" w14:textId="77777777" w:rsidR="00B31D3E" w:rsidRDefault="00B31D3E" w:rsidP="00B31D3E">
      <w:pPr>
        <w:jc w:val="both"/>
        <w:rPr>
          <w:rFonts w:ascii="Arial" w:hAnsi="Arial" w:cs="Arial"/>
        </w:rPr>
      </w:pPr>
    </w:p>
    <w:p w14:paraId="29575B5A" w14:textId="3811CDB4" w:rsidR="00B31D3E" w:rsidRDefault="00B31D3E" w:rsidP="00B31D3E">
      <w:pPr>
        <w:jc w:val="both"/>
        <w:rPr>
          <w:rFonts w:ascii="Arial" w:hAnsi="Arial" w:cs="Arial"/>
        </w:rPr>
      </w:pPr>
      <w:r w:rsidRPr="00B31D3E">
        <w:rPr>
          <w:rFonts w:ascii="Arial" w:hAnsi="Arial" w:cs="Arial"/>
        </w:rPr>
        <w:t xml:space="preserve">This finding is consistent with the study of Asis and </w:t>
      </w:r>
      <w:proofErr w:type="spellStart"/>
      <w:r w:rsidRPr="00B31D3E">
        <w:rPr>
          <w:rFonts w:ascii="Arial" w:hAnsi="Arial" w:cs="Arial"/>
        </w:rPr>
        <w:t>Oco</w:t>
      </w:r>
      <w:proofErr w:type="spellEnd"/>
      <w:r w:rsidRPr="00B31D3E">
        <w:rPr>
          <w:rFonts w:ascii="Arial" w:hAnsi="Arial" w:cs="Arial"/>
        </w:rPr>
        <w:t xml:space="preserve"> (2021), who underscored the significant relationship between job gratification and principal guidance comportment. Their research revealed that teachers who experience higher levels of gratification in their roles tend to perceive their principals’ leadership more positively, fostering a more productive and harmonious school environment. Similarly, Kilag et al. (2023) stressed that when teachers feel valued and supported through fair compensation, career growth, and a positive work atmosphere, they are more likely to respond positively to their principal’s guidance, leading to improved collaboration and instructional effectiveness. Furthermore, </w:t>
      </w:r>
      <w:proofErr w:type="spellStart"/>
      <w:r w:rsidRPr="00B31D3E">
        <w:rPr>
          <w:rFonts w:ascii="Arial" w:hAnsi="Arial" w:cs="Arial"/>
        </w:rPr>
        <w:t>Wang’ombe</w:t>
      </w:r>
      <w:proofErr w:type="spellEnd"/>
      <w:r w:rsidRPr="00B31D3E">
        <w:rPr>
          <w:rFonts w:ascii="Arial" w:hAnsi="Arial" w:cs="Arial"/>
        </w:rPr>
        <w:t xml:space="preserve"> (2023) noted that strong principal guidance, coupled with high job gratification, creates a work culture that enhances teacher motivation, commitment, and overall professional well-being, ultimately benefiting both educators and students.</w:t>
      </w:r>
    </w:p>
    <w:p w14:paraId="52FFEA07" w14:textId="77777777" w:rsidR="00B31D3E" w:rsidRDefault="00B31D3E" w:rsidP="00B31D3E">
      <w:pPr>
        <w:jc w:val="both"/>
        <w:rPr>
          <w:rFonts w:ascii="Arial" w:hAnsi="Arial" w:cs="Arial"/>
        </w:rPr>
      </w:pPr>
    </w:p>
    <w:p w14:paraId="43A73F3E" w14:textId="77777777" w:rsidR="00B31D3E" w:rsidRDefault="00B31D3E" w:rsidP="00B31D3E">
      <w:pPr>
        <w:jc w:val="both"/>
        <w:rPr>
          <w:rFonts w:ascii="Arial" w:hAnsi="Arial" w:cs="Arial"/>
        </w:rPr>
      </w:pPr>
    </w:p>
    <w:p w14:paraId="28FB30C1" w14:textId="03A24BAE" w:rsidR="00717F2E" w:rsidRDefault="00665D1C" w:rsidP="00665D1C">
      <w:pPr>
        <w:rPr>
          <w:rFonts w:ascii="Arial" w:hAnsi="Arial" w:cs="Arial"/>
          <w:b/>
          <w:bCs/>
          <w:iCs/>
        </w:rPr>
      </w:pPr>
      <w:r>
        <w:rPr>
          <w:rFonts w:ascii="Arial" w:hAnsi="Arial" w:cs="Arial"/>
          <w:b/>
          <w:bCs/>
          <w:iCs/>
        </w:rPr>
        <w:t>3.</w:t>
      </w:r>
      <w:r w:rsidR="00E86249">
        <w:rPr>
          <w:rFonts w:ascii="Arial" w:hAnsi="Arial" w:cs="Arial"/>
          <w:b/>
          <w:bCs/>
          <w:iCs/>
        </w:rPr>
        <w:t>5</w:t>
      </w:r>
      <w:r w:rsidR="00271F07">
        <w:rPr>
          <w:rFonts w:ascii="Arial" w:hAnsi="Arial" w:cs="Arial"/>
          <w:b/>
          <w:bCs/>
          <w:iCs/>
        </w:rPr>
        <w:t>.</w:t>
      </w:r>
      <w:r>
        <w:rPr>
          <w:rFonts w:ascii="Arial" w:hAnsi="Arial" w:cs="Arial"/>
          <w:b/>
          <w:bCs/>
          <w:iCs/>
        </w:rPr>
        <w:t xml:space="preserve"> </w:t>
      </w:r>
      <w:r w:rsidR="00E86249" w:rsidRPr="00E86249">
        <w:rPr>
          <w:rFonts w:ascii="Arial" w:hAnsi="Arial" w:cs="Arial"/>
          <w:b/>
          <w:bCs/>
          <w:iCs/>
        </w:rPr>
        <w:t>Domains of the Job Gratification of Teachers that Significantly Influence Principal Guidance Comportment in Public Elementary Schools</w:t>
      </w:r>
    </w:p>
    <w:p w14:paraId="5314F880" w14:textId="77777777" w:rsidR="00B364F1" w:rsidRDefault="00B364F1" w:rsidP="00665D1C">
      <w:pPr>
        <w:rPr>
          <w:rFonts w:ascii="Arial" w:hAnsi="Arial" w:cs="Arial"/>
          <w:b/>
          <w:bCs/>
          <w:iCs/>
        </w:rPr>
      </w:pPr>
    </w:p>
    <w:p w14:paraId="0494CD41" w14:textId="2B58B1B8" w:rsidR="00385125" w:rsidRDefault="00B364F1" w:rsidP="00B364F1">
      <w:pPr>
        <w:jc w:val="both"/>
        <w:rPr>
          <w:rFonts w:ascii="Arial" w:eastAsia="Arial" w:hAnsi="Arial"/>
        </w:rPr>
      </w:pPr>
      <w:r w:rsidRPr="00B364F1">
        <w:rPr>
          <w:rFonts w:ascii="Arial" w:eastAsia="Arial" w:hAnsi="Arial"/>
          <w:b/>
        </w:rPr>
        <w:t xml:space="preserve">Table </w:t>
      </w:r>
      <w:r w:rsidR="008E7BE1">
        <w:rPr>
          <w:rFonts w:ascii="Arial" w:eastAsia="Arial" w:hAnsi="Arial"/>
          <w:b/>
        </w:rPr>
        <w:t>4</w:t>
      </w:r>
      <w:r w:rsidR="00751E00">
        <w:rPr>
          <w:rFonts w:ascii="Arial" w:eastAsia="Arial" w:hAnsi="Arial"/>
          <w:b/>
        </w:rPr>
        <w:t>.</w:t>
      </w:r>
      <w:r w:rsidRPr="00B364F1">
        <w:rPr>
          <w:rFonts w:ascii="Arial" w:eastAsia="Arial" w:hAnsi="Arial"/>
          <w:b/>
        </w:rPr>
        <w:t xml:space="preserve"> </w:t>
      </w:r>
      <w:r w:rsidR="00E86249" w:rsidRPr="00E86249">
        <w:rPr>
          <w:rFonts w:ascii="Arial" w:eastAsia="Arial" w:hAnsi="Arial"/>
        </w:rPr>
        <w:t>Domains of the Job Gratification of Teachers that Significantly Influence Principal Guidance Comportment in Public Elementary Schools</w:t>
      </w:r>
    </w:p>
    <w:p w14:paraId="38C538C8" w14:textId="77777777" w:rsidR="00E86249" w:rsidRPr="00B364F1" w:rsidRDefault="00E86249" w:rsidP="00B364F1">
      <w:pPr>
        <w:jc w:val="both"/>
        <w:rPr>
          <w:rFonts w:ascii="Arial" w:eastAsia="Arial" w:hAnsi="Arial"/>
          <w:i/>
        </w:rPr>
      </w:pPr>
    </w:p>
    <w:tbl>
      <w:tblPr>
        <w:tblW w:w="828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81"/>
        <w:gridCol w:w="943"/>
        <w:gridCol w:w="992"/>
        <w:gridCol w:w="1044"/>
        <w:gridCol w:w="1013"/>
        <w:gridCol w:w="1068"/>
        <w:gridCol w:w="1439"/>
      </w:tblGrid>
      <w:tr w:rsidR="00E86249" w:rsidRPr="00E86249" w14:paraId="6A24D0F8" w14:textId="77777777" w:rsidTr="00C12631">
        <w:trPr>
          <w:trHeight w:val="330"/>
        </w:trPr>
        <w:tc>
          <w:tcPr>
            <w:tcW w:w="1781" w:type="dxa"/>
            <w:tcBorders>
              <w:top w:val="single" w:sz="4" w:space="0" w:color="000000"/>
              <w:bottom w:val="single" w:sz="4" w:space="0" w:color="000000"/>
            </w:tcBorders>
          </w:tcPr>
          <w:p w14:paraId="1A62EAEA" w14:textId="77777777" w:rsidR="00E86249" w:rsidRPr="00E86249" w:rsidRDefault="00E86249" w:rsidP="00052E04">
            <w:pPr>
              <w:widowControl w:val="0"/>
              <w:spacing w:line="480" w:lineRule="auto"/>
              <w:jc w:val="center"/>
              <w:rPr>
                <w:rFonts w:ascii="Arial" w:eastAsia="Arial" w:hAnsi="Arial"/>
                <w:b/>
              </w:rPr>
            </w:pPr>
            <w:r w:rsidRPr="00E86249">
              <w:rPr>
                <w:rFonts w:ascii="Arial" w:eastAsia="Arial" w:hAnsi="Arial"/>
                <w:b/>
              </w:rPr>
              <w:t>Domains</w:t>
            </w:r>
          </w:p>
        </w:tc>
        <w:tc>
          <w:tcPr>
            <w:tcW w:w="943" w:type="dxa"/>
            <w:tcBorders>
              <w:top w:val="single" w:sz="4" w:space="0" w:color="000000"/>
              <w:bottom w:val="single" w:sz="4" w:space="0" w:color="000000"/>
            </w:tcBorders>
          </w:tcPr>
          <w:p w14:paraId="5FDAD937" w14:textId="77777777" w:rsidR="00E86249" w:rsidRPr="00E86249" w:rsidRDefault="00E86249" w:rsidP="00052E04">
            <w:pPr>
              <w:widowControl w:val="0"/>
              <w:spacing w:line="480" w:lineRule="auto"/>
              <w:jc w:val="center"/>
              <w:rPr>
                <w:rFonts w:ascii="Arial" w:eastAsia="Arial" w:hAnsi="Arial"/>
                <w:b/>
              </w:rPr>
            </w:pPr>
            <w:r w:rsidRPr="00E86249">
              <w:rPr>
                <w:rFonts w:ascii="Arial" w:eastAsia="Arial" w:hAnsi="Arial"/>
                <w:b/>
              </w:rPr>
              <w:t>B</w:t>
            </w:r>
          </w:p>
        </w:tc>
        <w:tc>
          <w:tcPr>
            <w:tcW w:w="992" w:type="dxa"/>
            <w:tcBorders>
              <w:top w:val="single" w:sz="4" w:space="0" w:color="000000"/>
              <w:bottom w:val="single" w:sz="4" w:space="0" w:color="000000"/>
            </w:tcBorders>
          </w:tcPr>
          <w:p w14:paraId="69CBF463" w14:textId="77777777" w:rsidR="00E86249" w:rsidRPr="00E86249" w:rsidRDefault="00E86249" w:rsidP="00052E04">
            <w:pPr>
              <w:widowControl w:val="0"/>
              <w:spacing w:line="480" w:lineRule="auto"/>
              <w:jc w:val="center"/>
              <w:rPr>
                <w:rFonts w:ascii="Arial" w:eastAsia="Arial" w:hAnsi="Arial"/>
                <w:b/>
              </w:rPr>
            </w:pPr>
            <w:r w:rsidRPr="00E86249">
              <w:rPr>
                <w:rFonts w:ascii="Arial" w:eastAsia="Arial" w:hAnsi="Arial"/>
                <w:b/>
              </w:rPr>
              <w:t>BE</w:t>
            </w:r>
          </w:p>
        </w:tc>
        <w:tc>
          <w:tcPr>
            <w:tcW w:w="1044" w:type="dxa"/>
            <w:tcBorders>
              <w:top w:val="single" w:sz="4" w:space="0" w:color="000000"/>
              <w:bottom w:val="single" w:sz="4" w:space="0" w:color="000000"/>
            </w:tcBorders>
          </w:tcPr>
          <w:p w14:paraId="506B58E6" w14:textId="77777777" w:rsidR="00E86249" w:rsidRPr="00E86249" w:rsidRDefault="00E86249" w:rsidP="00052E04">
            <w:pPr>
              <w:widowControl w:val="0"/>
              <w:spacing w:line="480" w:lineRule="auto"/>
              <w:jc w:val="center"/>
              <w:rPr>
                <w:rFonts w:ascii="Arial" w:eastAsia="Arial" w:hAnsi="Arial"/>
                <w:b/>
              </w:rPr>
            </w:pPr>
            <w:r w:rsidRPr="00E86249">
              <w:rPr>
                <w:rFonts w:ascii="Arial" w:eastAsia="Arial" w:hAnsi="Arial"/>
                <w:b/>
              </w:rPr>
              <w:t>Beta</w:t>
            </w:r>
          </w:p>
        </w:tc>
        <w:tc>
          <w:tcPr>
            <w:tcW w:w="1013" w:type="dxa"/>
            <w:tcBorders>
              <w:top w:val="single" w:sz="4" w:space="0" w:color="000000"/>
              <w:bottom w:val="single" w:sz="4" w:space="0" w:color="000000"/>
            </w:tcBorders>
          </w:tcPr>
          <w:p w14:paraId="413E4EB7" w14:textId="77777777" w:rsidR="00E86249" w:rsidRPr="00E86249" w:rsidRDefault="00E86249" w:rsidP="00052E04">
            <w:pPr>
              <w:widowControl w:val="0"/>
              <w:spacing w:line="480" w:lineRule="auto"/>
              <w:jc w:val="center"/>
              <w:rPr>
                <w:rFonts w:ascii="Arial" w:eastAsia="Arial" w:hAnsi="Arial"/>
                <w:b/>
              </w:rPr>
            </w:pPr>
            <w:r w:rsidRPr="00E86249">
              <w:rPr>
                <w:rFonts w:ascii="Arial" w:eastAsia="Arial" w:hAnsi="Arial"/>
                <w:b/>
              </w:rPr>
              <w:t>t-stat</w:t>
            </w:r>
          </w:p>
        </w:tc>
        <w:tc>
          <w:tcPr>
            <w:tcW w:w="1068" w:type="dxa"/>
            <w:tcBorders>
              <w:top w:val="single" w:sz="4" w:space="0" w:color="000000"/>
              <w:bottom w:val="single" w:sz="4" w:space="0" w:color="000000"/>
            </w:tcBorders>
          </w:tcPr>
          <w:p w14:paraId="0E5E902F" w14:textId="77777777" w:rsidR="00E86249" w:rsidRPr="00E86249" w:rsidRDefault="00E86249" w:rsidP="00052E04">
            <w:pPr>
              <w:widowControl w:val="0"/>
              <w:spacing w:line="480" w:lineRule="auto"/>
              <w:jc w:val="center"/>
              <w:rPr>
                <w:rFonts w:ascii="Arial" w:eastAsia="Arial" w:hAnsi="Arial"/>
                <w:b/>
              </w:rPr>
            </w:pPr>
            <w:r w:rsidRPr="00E86249">
              <w:rPr>
                <w:rFonts w:ascii="Arial" w:eastAsia="Arial" w:hAnsi="Arial"/>
                <w:b/>
              </w:rPr>
              <w:t>p-value</w:t>
            </w:r>
          </w:p>
        </w:tc>
        <w:tc>
          <w:tcPr>
            <w:tcW w:w="1435" w:type="dxa"/>
            <w:tcBorders>
              <w:top w:val="single" w:sz="4" w:space="0" w:color="000000"/>
              <w:bottom w:val="single" w:sz="4" w:space="0" w:color="000000"/>
            </w:tcBorders>
          </w:tcPr>
          <w:p w14:paraId="5CCE1C69" w14:textId="77777777" w:rsidR="00E86249" w:rsidRPr="00E86249" w:rsidRDefault="00E86249" w:rsidP="00052E04">
            <w:pPr>
              <w:widowControl w:val="0"/>
              <w:spacing w:line="480" w:lineRule="auto"/>
              <w:jc w:val="center"/>
              <w:rPr>
                <w:rFonts w:ascii="Arial" w:eastAsia="Arial" w:hAnsi="Arial"/>
                <w:b/>
              </w:rPr>
            </w:pPr>
            <w:r w:rsidRPr="00E86249">
              <w:rPr>
                <w:rFonts w:ascii="Arial" w:eastAsia="Arial" w:hAnsi="Arial"/>
                <w:b/>
              </w:rPr>
              <w:t>Decision</w:t>
            </w:r>
          </w:p>
        </w:tc>
      </w:tr>
      <w:tr w:rsidR="00E86249" w:rsidRPr="00E86249" w14:paraId="3004EB7A" w14:textId="77777777" w:rsidTr="00C12631">
        <w:trPr>
          <w:trHeight w:val="548"/>
        </w:trPr>
        <w:tc>
          <w:tcPr>
            <w:tcW w:w="1781" w:type="dxa"/>
            <w:tcBorders>
              <w:top w:val="single" w:sz="4" w:space="0" w:color="000000"/>
            </w:tcBorders>
          </w:tcPr>
          <w:p w14:paraId="2171985B" w14:textId="77777777" w:rsidR="00E86249" w:rsidRPr="00E86249" w:rsidRDefault="00E86249" w:rsidP="00052E04">
            <w:pPr>
              <w:widowControl w:val="0"/>
              <w:jc w:val="center"/>
              <w:rPr>
                <w:rFonts w:ascii="Arial" w:eastAsia="Arial" w:hAnsi="Arial"/>
              </w:rPr>
            </w:pPr>
            <w:r w:rsidRPr="00E86249">
              <w:rPr>
                <w:rFonts w:ascii="Arial" w:eastAsia="Arial" w:hAnsi="Arial"/>
              </w:rPr>
              <w:t>Constant</w:t>
            </w:r>
          </w:p>
        </w:tc>
        <w:tc>
          <w:tcPr>
            <w:tcW w:w="943" w:type="dxa"/>
            <w:tcBorders>
              <w:top w:val="single" w:sz="4" w:space="0" w:color="000000"/>
            </w:tcBorders>
          </w:tcPr>
          <w:p w14:paraId="1DEEA1DE" w14:textId="77777777" w:rsidR="00E86249" w:rsidRPr="00E86249" w:rsidRDefault="00E86249" w:rsidP="00052E04">
            <w:pPr>
              <w:widowControl w:val="0"/>
              <w:jc w:val="center"/>
              <w:rPr>
                <w:rFonts w:ascii="Arial" w:eastAsia="Arial" w:hAnsi="Arial"/>
              </w:rPr>
            </w:pPr>
            <w:r w:rsidRPr="00E86249">
              <w:rPr>
                <w:rFonts w:ascii="Arial" w:eastAsia="Arial" w:hAnsi="Arial"/>
              </w:rPr>
              <w:t>2.90</w:t>
            </w:r>
          </w:p>
        </w:tc>
        <w:tc>
          <w:tcPr>
            <w:tcW w:w="992" w:type="dxa"/>
            <w:tcBorders>
              <w:top w:val="single" w:sz="4" w:space="0" w:color="000000"/>
            </w:tcBorders>
          </w:tcPr>
          <w:p w14:paraId="66C48E13" w14:textId="77777777" w:rsidR="00E86249" w:rsidRPr="00E86249" w:rsidRDefault="00E86249" w:rsidP="00052E04">
            <w:pPr>
              <w:widowControl w:val="0"/>
              <w:jc w:val="center"/>
              <w:rPr>
                <w:rFonts w:ascii="Arial" w:eastAsia="Arial" w:hAnsi="Arial"/>
              </w:rPr>
            </w:pPr>
            <w:r w:rsidRPr="00E86249">
              <w:rPr>
                <w:rFonts w:ascii="Arial" w:eastAsia="Arial" w:hAnsi="Arial"/>
              </w:rPr>
              <w:t>0.60</w:t>
            </w:r>
          </w:p>
        </w:tc>
        <w:tc>
          <w:tcPr>
            <w:tcW w:w="1044" w:type="dxa"/>
            <w:tcBorders>
              <w:top w:val="single" w:sz="4" w:space="0" w:color="000000"/>
            </w:tcBorders>
          </w:tcPr>
          <w:p w14:paraId="1D8B533C" w14:textId="77777777" w:rsidR="00E86249" w:rsidRPr="00E86249" w:rsidRDefault="00E86249" w:rsidP="00052E04">
            <w:pPr>
              <w:widowControl w:val="0"/>
              <w:jc w:val="center"/>
              <w:rPr>
                <w:rFonts w:ascii="Arial" w:eastAsia="Arial" w:hAnsi="Arial"/>
              </w:rPr>
            </w:pPr>
          </w:p>
        </w:tc>
        <w:tc>
          <w:tcPr>
            <w:tcW w:w="1013" w:type="dxa"/>
            <w:tcBorders>
              <w:top w:val="single" w:sz="4" w:space="0" w:color="000000"/>
            </w:tcBorders>
          </w:tcPr>
          <w:p w14:paraId="0504E098" w14:textId="77777777" w:rsidR="00E86249" w:rsidRPr="00E86249" w:rsidRDefault="00E86249" w:rsidP="00052E04">
            <w:pPr>
              <w:widowControl w:val="0"/>
              <w:jc w:val="center"/>
              <w:rPr>
                <w:rFonts w:ascii="Arial" w:eastAsia="Arial" w:hAnsi="Arial"/>
              </w:rPr>
            </w:pPr>
            <w:r w:rsidRPr="00E86249">
              <w:rPr>
                <w:rFonts w:ascii="Arial" w:eastAsia="Arial" w:hAnsi="Arial"/>
              </w:rPr>
              <w:t>5.30</w:t>
            </w:r>
          </w:p>
        </w:tc>
        <w:tc>
          <w:tcPr>
            <w:tcW w:w="1068" w:type="dxa"/>
            <w:tcBorders>
              <w:top w:val="single" w:sz="4" w:space="0" w:color="000000"/>
            </w:tcBorders>
          </w:tcPr>
          <w:p w14:paraId="2728D8C0" w14:textId="77777777" w:rsidR="00E86249" w:rsidRPr="00E86249" w:rsidRDefault="00E86249" w:rsidP="00052E04">
            <w:pPr>
              <w:widowControl w:val="0"/>
              <w:jc w:val="center"/>
              <w:rPr>
                <w:rFonts w:ascii="Arial" w:eastAsia="Arial" w:hAnsi="Arial"/>
              </w:rPr>
            </w:pPr>
            <w:r w:rsidRPr="00E86249">
              <w:rPr>
                <w:rFonts w:ascii="Arial" w:eastAsia="Arial" w:hAnsi="Arial"/>
              </w:rPr>
              <w:t>0.000</w:t>
            </w:r>
          </w:p>
        </w:tc>
        <w:tc>
          <w:tcPr>
            <w:tcW w:w="1435" w:type="dxa"/>
            <w:tcBorders>
              <w:top w:val="single" w:sz="4" w:space="0" w:color="000000"/>
            </w:tcBorders>
          </w:tcPr>
          <w:p w14:paraId="650FF3B2" w14:textId="77777777" w:rsidR="00E86249" w:rsidRPr="00E86249" w:rsidRDefault="00E86249" w:rsidP="00052E04">
            <w:pPr>
              <w:widowControl w:val="0"/>
              <w:jc w:val="both"/>
              <w:rPr>
                <w:rFonts w:ascii="Arial" w:eastAsia="Arial" w:hAnsi="Arial"/>
              </w:rPr>
            </w:pPr>
            <w:r w:rsidRPr="00E86249">
              <w:rPr>
                <w:rFonts w:ascii="Arial" w:eastAsia="Arial" w:hAnsi="Arial"/>
              </w:rPr>
              <w:t>Significant</w:t>
            </w:r>
          </w:p>
        </w:tc>
      </w:tr>
      <w:tr w:rsidR="00E86249" w:rsidRPr="00E86249" w14:paraId="5074E9AF" w14:textId="77777777" w:rsidTr="00C12631">
        <w:trPr>
          <w:trHeight w:val="69"/>
        </w:trPr>
        <w:tc>
          <w:tcPr>
            <w:tcW w:w="1781" w:type="dxa"/>
          </w:tcPr>
          <w:p w14:paraId="47CA6BCE" w14:textId="77777777" w:rsidR="00E86249" w:rsidRPr="00E86249" w:rsidRDefault="00E86249" w:rsidP="00052E04">
            <w:pPr>
              <w:widowControl w:val="0"/>
              <w:jc w:val="both"/>
              <w:rPr>
                <w:rFonts w:ascii="Arial" w:eastAsia="Arial" w:hAnsi="Arial"/>
              </w:rPr>
            </w:pPr>
            <w:r w:rsidRPr="00E86249">
              <w:rPr>
                <w:rFonts w:ascii="Arial" w:eastAsia="Arial" w:hAnsi="Arial"/>
              </w:rPr>
              <w:t>Teacher Salary</w:t>
            </w:r>
          </w:p>
        </w:tc>
        <w:tc>
          <w:tcPr>
            <w:tcW w:w="943" w:type="dxa"/>
          </w:tcPr>
          <w:p w14:paraId="3B96986D" w14:textId="77777777" w:rsidR="00E86249" w:rsidRPr="00E86249" w:rsidRDefault="00E86249" w:rsidP="00052E04">
            <w:pPr>
              <w:widowControl w:val="0"/>
              <w:jc w:val="center"/>
              <w:rPr>
                <w:rFonts w:ascii="Arial" w:eastAsia="Arial" w:hAnsi="Arial"/>
              </w:rPr>
            </w:pPr>
            <w:r w:rsidRPr="00E86249">
              <w:rPr>
                <w:rFonts w:ascii="Arial" w:eastAsia="Arial" w:hAnsi="Arial"/>
              </w:rPr>
              <w:t>0.64</w:t>
            </w:r>
          </w:p>
        </w:tc>
        <w:tc>
          <w:tcPr>
            <w:tcW w:w="992" w:type="dxa"/>
          </w:tcPr>
          <w:p w14:paraId="1B62583B" w14:textId="77777777" w:rsidR="00E86249" w:rsidRPr="00E86249" w:rsidRDefault="00E86249" w:rsidP="00052E04">
            <w:pPr>
              <w:widowControl w:val="0"/>
              <w:jc w:val="center"/>
              <w:rPr>
                <w:rFonts w:ascii="Arial" w:eastAsia="Arial" w:hAnsi="Arial"/>
              </w:rPr>
            </w:pPr>
            <w:r w:rsidRPr="00E86249">
              <w:rPr>
                <w:rFonts w:ascii="Arial" w:eastAsia="Arial" w:hAnsi="Arial"/>
              </w:rPr>
              <w:t>0.50</w:t>
            </w:r>
          </w:p>
        </w:tc>
        <w:tc>
          <w:tcPr>
            <w:tcW w:w="1044" w:type="dxa"/>
          </w:tcPr>
          <w:p w14:paraId="26DF7F9D" w14:textId="77777777" w:rsidR="00E86249" w:rsidRPr="00E86249" w:rsidRDefault="00E86249" w:rsidP="00052E04">
            <w:pPr>
              <w:widowControl w:val="0"/>
              <w:jc w:val="center"/>
              <w:rPr>
                <w:rFonts w:ascii="Arial" w:eastAsia="Arial" w:hAnsi="Arial"/>
              </w:rPr>
            </w:pPr>
            <w:r w:rsidRPr="00E86249">
              <w:rPr>
                <w:rFonts w:ascii="Arial" w:eastAsia="Arial" w:hAnsi="Arial"/>
              </w:rPr>
              <w:t>0.60</w:t>
            </w:r>
          </w:p>
        </w:tc>
        <w:tc>
          <w:tcPr>
            <w:tcW w:w="1013" w:type="dxa"/>
          </w:tcPr>
          <w:p w14:paraId="672F7C01" w14:textId="77777777" w:rsidR="00E86249" w:rsidRPr="00E86249" w:rsidRDefault="00E86249" w:rsidP="00052E04">
            <w:pPr>
              <w:widowControl w:val="0"/>
              <w:jc w:val="center"/>
              <w:rPr>
                <w:rFonts w:ascii="Arial" w:eastAsia="Arial" w:hAnsi="Arial"/>
              </w:rPr>
            </w:pPr>
            <w:r w:rsidRPr="00E86249">
              <w:rPr>
                <w:rFonts w:ascii="Arial" w:eastAsia="Arial" w:hAnsi="Arial"/>
              </w:rPr>
              <w:t>3.38</w:t>
            </w:r>
          </w:p>
        </w:tc>
        <w:tc>
          <w:tcPr>
            <w:tcW w:w="1068" w:type="dxa"/>
          </w:tcPr>
          <w:p w14:paraId="23B527A1" w14:textId="77777777" w:rsidR="00E86249" w:rsidRPr="00E86249" w:rsidRDefault="00E86249" w:rsidP="00052E04">
            <w:pPr>
              <w:widowControl w:val="0"/>
              <w:jc w:val="center"/>
              <w:rPr>
                <w:rFonts w:ascii="Arial" w:eastAsia="Arial" w:hAnsi="Arial"/>
              </w:rPr>
            </w:pPr>
            <w:r w:rsidRPr="00E86249">
              <w:rPr>
                <w:rFonts w:ascii="Arial" w:eastAsia="Arial" w:hAnsi="Arial"/>
              </w:rPr>
              <w:t>0.000</w:t>
            </w:r>
          </w:p>
        </w:tc>
        <w:tc>
          <w:tcPr>
            <w:tcW w:w="1435" w:type="dxa"/>
          </w:tcPr>
          <w:p w14:paraId="77BE093A" w14:textId="77777777" w:rsidR="00E86249" w:rsidRPr="00E86249" w:rsidRDefault="00E86249" w:rsidP="00052E04">
            <w:pPr>
              <w:widowControl w:val="0"/>
              <w:jc w:val="both"/>
              <w:rPr>
                <w:rFonts w:ascii="Arial" w:eastAsia="Arial" w:hAnsi="Arial"/>
              </w:rPr>
            </w:pPr>
            <w:r w:rsidRPr="00E86249">
              <w:rPr>
                <w:rFonts w:ascii="Arial" w:eastAsia="Arial" w:hAnsi="Arial"/>
              </w:rPr>
              <w:t>Significant</w:t>
            </w:r>
          </w:p>
        </w:tc>
      </w:tr>
      <w:tr w:rsidR="00E86249" w:rsidRPr="00E86249" w14:paraId="1DD95514" w14:textId="77777777" w:rsidTr="00575D97">
        <w:trPr>
          <w:trHeight w:val="180"/>
        </w:trPr>
        <w:tc>
          <w:tcPr>
            <w:tcW w:w="1781" w:type="dxa"/>
          </w:tcPr>
          <w:p w14:paraId="3035C2E8" w14:textId="77777777" w:rsidR="00E86249" w:rsidRPr="00E86249" w:rsidRDefault="00E86249" w:rsidP="00575D97">
            <w:pPr>
              <w:widowControl w:val="0"/>
              <w:jc w:val="center"/>
              <w:rPr>
                <w:rFonts w:ascii="Arial" w:eastAsia="Arial" w:hAnsi="Arial"/>
              </w:rPr>
            </w:pPr>
            <w:r w:rsidRPr="00E86249">
              <w:rPr>
                <w:rFonts w:ascii="Arial" w:eastAsia="Arial" w:hAnsi="Arial"/>
              </w:rPr>
              <w:t>Teacher Position</w:t>
            </w:r>
          </w:p>
        </w:tc>
        <w:tc>
          <w:tcPr>
            <w:tcW w:w="943" w:type="dxa"/>
          </w:tcPr>
          <w:p w14:paraId="1982FA14" w14:textId="77777777" w:rsidR="00E86249" w:rsidRPr="00E86249" w:rsidRDefault="00E86249" w:rsidP="00575D97">
            <w:pPr>
              <w:widowControl w:val="0"/>
              <w:jc w:val="center"/>
              <w:rPr>
                <w:rFonts w:ascii="Arial" w:eastAsia="Arial" w:hAnsi="Arial"/>
              </w:rPr>
            </w:pPr>
            <w:r w:rsidRPr="00E86249">
              <w:rPr>
                <w:rFonts w:ascii="Arial" w:eastAsia="Arial" w:hAnsi="Arial"/>
              </w:rPr>
              <w:t>0.62</w:t>
            </w:r>
          </w:p>
        </w:tc>
        <w:tc>
          <w:tcPr>
            <w:tcW w:w="992" w:type="dxa"/>
          </w:tcPr>
          <w:p w14:paraId="50C082CB" w14:textId="77777777" w:rsidR="00E86249" w:rsidRPr="00E86249" w:rsidRDefault="00E86249" w:rsidP="00575D97">
            <w:pPr>
              <w:widowControl w:val="0"/>
              <w:jc w:val="center"/>
              <w:rPr>
                <w:rFonts w:ascii="Arial" w:eastAsia="Arial" w:hAnsi="Arial"/>
              </w:rPr>
            </w:pPr>
            <w:r w:rsidRPr="00E86249">
              <w:rPr>
                <w:rFonts w:ascii="Arial" w:eastAsia="Arial" w:hAnsi="Arial"/>
              </w:rPr>
              <w:t>0.48</w:t>
            </w:r>
          </w:p>
        </w:tc>
        <w:tc>
          <w:tcPr>
            <w:tcW w:w="1044" w:type="dxa"/>
          </w:tcPr>
          <w:p w14:paraId="04668210" w14:textId="77777777" w:rsidR="00E86249" w:rsidRPr="00E86249" w:rsidRDefault="00E86249" w:rsidP="00575D97">
            <w:pPr>
              <w:widowControl w:val="0"/>
              <w:jc w:val="center"/>
              <w:rPr>
                <w:rFonts w:ascii="Arial" w:eastAsia="Arial" w:hAnsi="Arial"/>
              </w:rPr>
            </w:pPr>
            <w:r w:rsidRPr="00E86249">
              <w:rPr>
                <w:rFonts w:ascii="Arial" w:eastAsia="Arial" w:hAnsi="Arial"/>
              </w:rPr>
              <w:t>0.58</w:t>
            </w:r>
          </w:p>
        </w:tc>
        <w:tc>
          <w:tcPr>
            <w:tcW w:w="1013" w:type="dxa"/>
          </w:tcPr>
          <w:p w14:paraId="6B984AE5" w14:textId="77777777" w:rsidR="00E86249" w:rsidRPr="00E86249" w:rsidRDefault="00E86249" w:rsidP="00575D97">
            <w:pPr>
              <w:widowControl w:val="0"/>
              <w:jc w:val="center"/>
              <w:rPr>
                <w:rFonts w:ascii="Arial" w:eastAsia="Arial" w:hAnsi="Arial"/>
              </w:rPr>
            </w:pPr>
            <w:r w:rsidRPr="00E86249">
              <w:rPr>
                <w:rFonts w:ascii="Arial" w:eastAsia="Arial" w:hAnsi="Arial"/>
              </w:rPr>
              <w:t>3.35</w:t>
            </w:r>
          </w:p>
        </w:tc>
        <w:tc>
          <w:tcPr>
            <w:tcW w:w="1068" w:type="dxa"/>
          </w:tcPr>
          <w:p w14:paraId="4C7E1E0A" w14:textId="77777777" w:rsidR="00E86249" w:rsidRPr="00E86249" w:rsidRDefault="00E86249" w:rsidP="00575D97">
            <w:pPr>
              <w:widowControl w:val="0"/>
              <w:jc w:val="center"/>
              <w:rPr>
                <w:rFonts w:ascii="Arial" w:eastAsia="Arial" w:hAnsi="Arial"/>
              </w:rPr>
            </w:pPr>
            <w:r w:rsidRPr="00E86249">
              <w:rPr>
                <w:rFonts w:ascii="Arial" w:eastAsia="Arial" w:hAnsi="Arial"/>
              </w:rPr>
              <w:t>0.020</w:t>
            </w:r>
          </w:p>
        </w:tc>
        <w:tc>
          <w:tcPr>
            <w:tcW w:w="1435" w:type="dxa"/>
          </w:tcPr>
          <w:p w14:paraId="1D534060" w14:textId="77777777" w:rsidR="00E86249" w:rsidRPr="00E86249" w:rsidRDefault="00E86249" w:rsidP="00575D97">
            <w:pPr>
              <w:widowControl w:val="0"/>
              <w:jc w:val="both"/>
              <w:rPr>
                <w:rFonts w:ascii="Arial" w:eastAsia="Arial" w:hAnsi="Arial"/>
              </w:rPr>
            </w:pPr>
            <w:r w:rsidRPr="00E86249">
              <w:rPr>
                <w:rFonts w:ascii="Arial" w:eastAsia="Arial" w:hAnsi="Arial"/>
              </w:rPr>
              <w:t>Significant</w:t>
            </w:r>
          </w:p>
        </w:tc>
      </w:tr>
      <w:tr w:rsidR="00E86249" w:rsidRPr="00E86249" w14:paraId="61B4C076" w14:textId="77777777" w:rsidTr="00C12631">
        <w:trPr>
          <w:trHeight w:val="532"/>
        </w:trPr>
        <w:tc>
          <w:tcPr>
            <w:tcW w:w="1781" w:type="dxa"/>
          </w:tcPr>
          <w:p w14:paraId="35A1AE91" w14:textId="77777777" w:rsidR="00E86249" w:rsidRPr="00E86249" w:rsidRDefault="00E86249" w:rsidP="00575D97">
            <w:pPr>
              <w:widowControl w:val="0"/>
              <w:jc w:val="center"/>
              <w:rPr>
                <w:rFonts w:ascii="Arial" w:eastAsia="Arial" w:hAnsi="Arial"/>
              </w:rPr>
            </w:pPr>
            <w:r w:rsidRPr="00E86249">
              <w:rPr>
                <w:rFonts w:ascii="Arial" w:eastAsia="Arial" w:hAnsi="Arial"/>
              </w:rPr>
              <w:t>Teacher Assignment</w:t>
            </w:r>
          </w:p>
        </w:tc>
        <w:tc>
          <w:tcPr>
            <w:tcW w:w="943" w:type="dxa"/>
          </w:tcPr>
          <w:p w14:paraId="16B2C366" w14:textId="77777777" w:rsidR="00E86249" w:rsidRPr="00E86249" w:rsidRDefault="00E86249" w:rsidP="00575D97">
            <w:pPr>
              <w:widowControl w:val="0"/>
              <w:jc w:val="center"/>
              <w:rPr>
                <w:rFonts w:ascii="Arial" w:eastAsia="Arial" w:hAnsi="Arial"/>
              </w:rPr>
            </w:pPr>
            <w:r w:rsidRPr="00E86249">
              <w:rPr>
                <w:rFonts w:ascii="Arial" w:eastAsia="Arial" w:hAnsi="Arial"/>
              </w:rPr>
              <w:t>0.60</w:t>
            </w:r>
          </w:p>
        </w:tc>
        <w:tc>
          <w:tcPr>
            <w:tcW w:w="992" w:type="dxa"/>
          </w:tcPr>
          <w:p w14:paraId="62FEE7E9" w14:textId="77777777" w:rsidR="00E86249" w:rsidRPr="00E86249" w:rsidRDefault="00E86249" w:rsidP="00575D97">
            <w:pPr>
              <w:widowControl w:val="0"/>
              <w:jc w:val="center"/>
              <w:rPr>
                <w:rFonts w:ascii="Arial" w:eastAsia="Arial" w:hAnsi="Arial"/>
              </w:rPr>
            </w:pPr>
            <w:r w:rsidRPr="00E86249">
              <w:rPr>
                <w:rFonts w:ascii="Arial" w:eastAsia="Arial" w:hAnsi="Arial"/>
              </w:rPr>
              <w:t>0.45</w:t>
            </w:r>
          </w:p>
        </w:tc>
        <w:tc>
          <w:tcPr>
            <w:tcW w:w="1044" w:type="dxa"/>
          </w:tcPr>
          <w:p w14:paraId="6813B6E6" w14:textId="77777777" w:rsidR="00E86249" w:rsidRPr="00E86249" w:rsidRDefault="00E86249" w:rsidP="00575D97">
            <w:pPr>
              <w:widowControl w:val="0"/>
              <w:jc w:val="center"/>
              <w:rPr>
                <w:rFonts w:ascii="Arial" w:eastAsia="Arial" w:hAnsi="Arial"/>
              </w:rPr>
            </w:pPr>
            <w:r w:rsidRPr="00E86249">
              <w:rPr>
                <w:rFonts w:ascii="Arial" w:eastAsia="Arial" w:hAnsi="Arial"/>
              </w:rPr>
              <w:t>0.55</w:t>
            </w:r>
          </w:p>
        </w:tc>
        <w:tc>
          <w:tcPr>
            <w:tcW w:w="1013" w:type="dxa"/>
          </w:tcPr>
          <w:p w14:paraId="575C8CEA" w14:textId="77777777" w:rsidR="00E86249" w:rsidRPr="00E86249" w:rsidRDefault="00E86249" w:rsidP="00575D97">
            <w:pPr>
              <w:widowControl w:val="0"/>
              <w:jc w:val="center"/>
              <w:rPr>
                <w:rFonts w:ascii="Arial" w:eastAsia="Arial" w:hAnsi="Arial"/>
              </w:rPr>
            </w:pPr>
            <w:r w:rsidRPr="00E86249">
              <w:rPr>
                <w:rFonts w:ascii="Arial" w:eastAsia="Arial" w:hAnsi="Arial"/>
              </w:rPr>
              <w:t>3.32</w:t>
            </w:r>
          </w:p>
        </w:tc>
        <w:tc>
          <w:tcPr>
            <w:tcW w:w="1068" w:type="dxa"/>
          </w:tcPr>
          <w:p w14:paraId="1496D469" w14:textId="77777777" w:rsidR="00E86249" w:rsidRPr="00E86249" w:rsidRDefault="00E86249" w:rsidP="00575D97">
            <w:pPr>
              <w:widowControl w:val="0"/>
              <w:jc w:val="center"/>
              <w:rPr>
                <w:rFonts w:ascii="Arial" w:eastAsia="Arial" w:hAnsi="Arial"/>
              </w:rPr>
            </w:pPr>
            <w:r w:rsidRPr="00E86249">
              <w:rPr>
                <w:rFonts w:ascii="Arial" w:eastAsia="Arial" w:hAnsi="Arial"/>
              </w:rPr>
              <w:t>0.021</w:t>
            </w:r>
          </w:p>
        </w:tc>
        <w:tc>
          <w:tcPr>
            <w:tcW w:w="1435" w:type="dxa"/>
          </w:tcPr>
          <w:p w14:paraId="795F8D18" w14:textId="77777777" w:rsidR="00E86249" w:rsidRPr="00E86249" w:rsidRDefault="00E86249" w:rsidP="00575D97">
            <w:pPr>
              <w:widowControl w:val="0"/>
              <w:jc w:val="both"/>
              <w:rPr>
                <w:rFonts w:ascii="Arial" w:eastAsia="Arial" w:hAnsi="Arial"/>
              </w:rPr>
            </w:pPr>
            <w:r w:rsidRPr="00E86249">
              <w:rPr>
                <w:rFonts w:ascii="Arial" w:eastAsia="Arial" w:hAnsi="Arial"/>
              </w:rPr>
              <w:t>Significant</w:t>
            </w:r>
          </w:p>
        </w:tc>
      </w:tr>
      <w:tr w:rsidR="00E86249" w:rsidRPr="00E86249" w14:paraId="702BACE8" w14:textId="77777777" w:rsidTr="00C12631">
        <w:trPr>
          <w:trHeight w:val="532"/>
        </w:trPr>
        <w:tc>
          <w:tcPr>
            <w:tcW w:w="1781" w:type="dxa"/>
          </w:tcPr>
          <w:p w14:paraId="6E485AB0" w14:textId="77777777" w:rsidR="00E86249" w:rsidRPr="00E86249" w:rsidRDefault="00E86249" w:rsidP="00575D97">
            <w:pPr>
              <w:widowControl w:val="0"/>
              <w:jc w:val="center"/>
              <w:rPr>
                <w:rFonts w:ascii="Arial" w:eastAsia="Arial" w:hAnsi="Arial"/>
              </w:rPr>
            </w:pPr>
            <w:r w:rsidRPr="00E86249">
              <w:rPr>
                <w:rFonts w:ascii="Arial" w:eastAsia="Arial" w:hAnsi="Arial"/>
              </w:rPr>
              <w:t>Working Condition</w:t>
            </w:r>
          </w:p>
        </w:tc>
        <w:tc>
          <w:tcPr>
            <w:tcW w:w="943" w:type="dxa"/>
          </w:tcPr>
          <w:p w14:paraId="68CBFA63" w14:textId="77777777" w:rsidR="00E86249" w:rsidRPr="00E86249" w:rsidRDefault="00E86249" w:rsidP="00575D97">
            <w:pPr>
              <w:widowControl w:val="0"/>
              <w:jc w:val="center"/>
              <w:rPr>
                <w:rFonts w:ascii="Arial" w:eastAsia="Arial" w:hAnsi="Arial"/>
              </w:rPr>
            </w:pPr>
            <w:r w:rsidRPr="00E86249">
              <w:rPr>
                <w:rFonts w:ascii="Arial" w:eastAsia="Arial" w:hAnsi="Arial"/>
              </w:rPr>
              <w:t>0.55</w:t>
            </w:r>
          </w:p>
        </w:tc>
        <w:tc>
          <w:tcPr>
            <w:tcW w:w="992" w:type="dxa"/>
          </w:tcPr>
          <w:p w14:paraId="745189E5" w14:textId="77777777" w:rsidR="00E86249" w:rsidRPr="00E86249" w:rsidRDefault="00E86249" w:rsidP="00575D97">
            <w:pPr>
              <w:widowControl w:val="0"/>
              <w:jc w:val="center"/>
              <w:rPr>
                <w:rFonts w:ascii="Arial" w:eastAsia="Arial" w:hAnsi="Arial"/>
              </w:rPr>
            </w:pPr>
            <w:r w:rsidRPr="00E86249">
              <w:rPr>
                <w:rFonts w:ascii="Arial" w:eastAsia="Arial" w:hAnsi="Arial"/>
              </w:rPr>
              <w:t>0.42</w:t>
            </w:r>
          </w:p>
        </w:tc>
        <w:tc>
          <w:tcPr>
            <w:tcW w:w="1044" w:type="dxa"/>
          </w:tcPr>
          <w:p w14:paraId="7723FF8A" w14:textId="77777777" w:rsidR="00E86249" w:rsidRPr="00E86249" w:rsidRDefault="00E86249" w:rsidP="00575D97">
            <w:pPr>
              <w:widowControl w:val="0"/>
              <w:jc w:val="center"/>
              <w:rPr>
                <w:rFonts w:ascii="Arial" w:eastAsia="Arial" w:hAnsi="Arial"/>
              </w:rPr>
            </w:pPr>
            <w:r w:rsidRPr="00E86249">
              <w:rPr>
                <w:rFonts w:ascii="Arial" w:eastAsia="Arial" w:hAnsi="Arial"/>
              </w:rPr>
              <w:t>0.50</w:t>
            </w:r>
          </w:p>
        </w:tc>
        <w:tc>
          <w:tcPr>
            <w:tcW w:w="1013" w:type="dxa"/>
          </w:tcPr>
          <w:p w14:paraId="3B0F39F5" w14:textId="77777777" w:rsidR="00E86249" w:rsidRPr="00E86249" w:rsidRDefault="00E86249" w:rsidP="00575D97">
            <w:pPr>
              <w:widowControl w:val="0"/>
              <w:jc w:val="center"/>
              <w:rPr>
                <w:rFonts w:ascii="Arial" w:eastAsia="Arial" w:hAnsi="Arial"/>
              </w:rPr>
            </w:pPr>
            <w:r w:rsidRPr="00E86249">
              <w:rPr>
                <w:rFonts w:ascii="Arial" w:eastAsia="Arial" w:hAnsi="Arial"/>
              </w:rPr>
              <w:t>3.30</w:t>
            </w:r>
          </w:p>
        </w:tc>
        <w:tc>
          <w:tcPr>
            <w:tcW w:w="1068" w:type="dxa"/>
          </w:tcPr>
          <w:p w14:paraId="522F4A56" w14:textId="77777777" w:rsidR="00E86249" w:rsidRPr="00E86249" w:rsidRDefault="00E86249" w:rsidP="00575D97">
            <w:pPr>
              <w:widowControl w:val="0"/>
              <w:jc w:val="center"/>
              <w:rPr>
                <w:rFonts w:ascii="Arial" w:eastAsia="Arial" w:hAnsi="Arial"/>
              </w:rPr>
            </w:pPr>
            <w:r w:rsidRPr="00E86249">
              <w:rPr>
                <w:rFonts w:ascii="Arial" w:eastAsia="Arial" w:hAnsi="Arial"/>
              </w:rPr>
              <w:t>0.034</w:t>
            </w:r>
          </w:p>
        </w:tc>
        <w:tc>
          <w:tcPr>
            <w:tcW w:w="1435" w:type="dxa"/>
          </w:tcPr>
          <w:p w14:paraId="7B43B961" w14:textId="77777777" w:rsidR="00E86249" w:rsidRPr="00E86249" w:rsidRDefault="00E86249" w:rsidP="00575D97">
            <w:pPr>
              <w:widowControl w:val="0"/>
              <w:jc w:val="both"/>
              <w:rPr>
                <w:rFonts w:ascii="Arial" w:eastAsia="Arial" w:hAnsi="Arial"/>
              </w:rPr>
            </w:pPr>
            <w:r w:rsidRPr="00E86249">
              <w:rPr>
                <w:rFonts w:ascii="Arial" w:eastAsia="Arial" w:hAnsi="Arial"/>
              </w:rPr>
              <w:t>Significant</w:t>
            </w:r>
          </w:p>
        </w:tc>
      </w:tr>
      <w:tr w:rsidR="00E86249" w:rsidRPr="00E86249" w14:paraId="47C041E0" w14:textId="77777777" w:rsidTr="00C12631">
        <w:trPr>
          <w:trHeight w:val="532"/>
        </w:trPr>
        <w:tc>
          <w:tcPr>
            <w:tcW w:w="1781" w:type="dxa"/>
          </w:tcPr>
          <w:p w14:paraId="5695250F" w14:textId="77777777" w:rsidR="00E86249" w:rsidRPr="00E86249" w:rsidRDefault="00E86249" w:rsidP="00575D97">
            <w:pPr>
              <w:widowControl w:val="0"/>
              <w:jc w:val="center"/>
              <w:rPr>
                <w:rFonts w:ascii="Arial" w:eastAsia="Arial" w:hAnsi="Arial"/>
              </w:rPr>
            </w:pPr>
            <w:r w:rsidRPr="00E86249">
              <w:rPr>
                <w:rFonts w:ascii="Arial" w:eastAsia="Arial" w:hAnsi="Arial"/>
              </w:rPr>
              <w:t>Supervisory Practices</w:t>
            </w:r>
          </w:p>
        </w:tc>
        <w:tc>
          <w:tcPr>
            <w:tcW w:w="943" w:type="dxa"/>
          </w:tcPr>
          <w:p w14:paraId="32BB9621" w14:textId="77777777" w:rsidR="00E86249" w:rsidRPr="00E86249" w:rsidRDefault="00E86249" w:rsidP="00575D97">
            <w:pPr>
              <w:widowControl w:val="0"/>
              <w:jc w:val="center"/>
              <w:rPr>
                <w:rFonts w:ascii="Arial" w:eastAsia="Arial" w:hAnsi="Arial"/>
              </w:rPr>
            </w:pPr>
            <w:r w:rsidRPr="00E86249">
              <w:rPr>
                <w:rFonts w:ascii="Arial" w:eastAsia="Arial" w:hAnsi="Arial"/>
              </w:rPr>
              <w:t>0.52</w:t>
            </w:r>
          </w:p>
        </w:tc>
        <w:tc>
          <w:tcPr>
            <w:tcW w:w="992" w:type="dxa"/>
          </w:tcPr>
          <w:p w14:paraId="617B361F" w14:textId="77777777" w:rsidR="00E86249" w:rsidRPr="00E86249" w:rsidRDefault="00E86249" w:rsidP="00575D97">
            <w:pPr>
              <w:widowControl w:val="0"/>
              <w:jc w:val="center"/>
              <w:rPr>
                <w:rFonts w:ascii="Arial" w:eastAsia="Arial" w:hAnsi="Arial"/>
              </w:rPr>
            </w:pPr>
            <w:r w:rsidRPr="00E86249">
              <w:rPr>
                <w:rFonts w:ascii="Arial" w:eastAsia="Arial" w:hAnsi="Arial"/>
              </w:rPr>
              <w:t>0.40</w:t>
            </w:r>
          </w:p>
        </w:tc>
        <w:tc>
          <w:tcPr>
            <w:tcW w:w="1044" w:type="dxa"/>
          </w:tcPr>
          <w:p w14:paraId="4ED81DB3" w14:textId="77777777" w:rsidR="00E86249" w:rsidRPr="00E86249" w:rsidRDefault="00E86249" w:rsidP="00575D97">
            <w:pPr>
              <w:widowControl w:val="0"/>
              <w:jc w:val="center"/>
              <w:rPr>
                <w:rFonts w:ascii="Arial" w:eastAsia="Arial" w:hAnsi="Arial"/>
              </w:rPr>
            </w:pPr>
            <w:r w:rsidRPr="00E86249">
              <w:rPr>
                <w:rFonts w:ascii="Arial" w:eastAsia="Arial" w:hAnsi="Arial"/>
              </w:rPr>
              <w:t>0.45</w:t>
            </w:r>
          </w:p>
        </w:tc>
        <w:tc>
          <w:tcPr>
            <w:tcW w:w="1013" w:type="dxa"/>
          </w:tcPr>
          <w:p w14:paraId="53F83F15" w14:textId="77777777" w:rsidR="00E86249" w:rsidRPr="00E86249" w:rsidRDefault="00E86249" w:rsidP="00575D97">
            <w:pPr>
              <w:widowControl w:val="0"/>
              <w:jc w:val="center"/>
              <w:rPr>
                <w:rFonts w:ascii="Arial" w:eastAsia="Arial" w:hAnsi="Arial"/>
              </w:rPr>
            </w:pPr>
            <w:r w:rsidRPr="00E86249">
              <w:rPr>
                <w:rFonts w:ascii="Arial" w:eastAsia="Arial" w:hAnsi="Arial"/>
              </w:rPr>
              <w:t>3.20</w:t>
            </w:r>
          </w:p>
        </w:tc>
        <w:tc>
          <w:tcPr>
            <w:tcW w:w="1068" w:type="dxa"/>
          </w:tcPr>
          <w:p w14:paraId="7598E769" w14:textId="77777777" w:rsidR="00E86249" w:rsidRPr="00E86249" w:rsidRDefault="00E86249" w:rsidP="00575D97">
            <w:pPr>
              <w:widowControl w:val="0"/>
              <w:jc w:val="center"/>
              <w:rPr>
                <w:rFonts w:ascii="Arial" w:eastAsia="Arial" w:hAnsi="Arial"/>
              </w:rPr>
            </w:pPr>
            <w:r w:rsidRPr="00E86249">
              <w:rPr>
                <w:rFonts w:ascii="Arial" w:eastAsia="Arial" w:hAnsi="Arial"/>
              </w:rPr>
              <w:t>0.042</w:t>
            </w:r>
          </w:p>
        </w:tc>
        <w:tc>
          <w:tcPr>
            <w:tcW w:w="1435" w:type="dxa"/>
          </w:tcPr>
          <w:p w14:paraId="05F29EBC" w14:textId="77777777" w:rsidR="00E86249" w:rsidRPr="00E86249" w:rsidRDefault="00E86249" w:rsidP="00575D97">
            <w:pPr>
              <w:widowControl w:val="0"/>
              <w:jc w:val="both"/>
              <w:rPr>
                <w:rFonts w:ascii="Arial" w:eastAsia="Arial" w:hAnsi="Arial"/>
              </w:rPr>
            </w:pPr>
            <w:r w:rsidRPr="00E86249">
              <w:rPr>
                <w:rFonts w:ascii="Arial" w:eastAsia="Arial" w:hAnsi="Arial"/>
              </w:rPr>
              <w:t>Significant</w:t>
            </w:r>
          </w:p>
        </w:tc>
      </w:tr>
      <w:tr w:rsidR="00E86249" w:rsidRPr="00E86249" w14:paraId="11CFE869" w14:textId="77777777" w:rsidTr="00C12631">
        <w:trPr>
          <w:trHeight w:val="532"/>
        </w:trPr>
        <w:tc>
          <w:tcPr>
            <w:tcW w:w="1781" w:type="dxa"/>
          </w:tcPr>
          <w:p w14:paraId="35AC1554" w14:textId="77777777" w:rsidR="00E86249" w:rsidRPr="00E86249" w:rsidRDefault="00E86249" w:rsidP="00575D97">
            <w:pPr>
              <w:widowControl w:val="0"/>
              <w:jc w:val="center"/>
              <w:rPr>
                <w:rFonts w:ascii="Arial" w:eastAsia="Arial" w:hAnsi="Arial"/>
              </w:rPr>
            </w:pPr>
            <w:r w:rsidRPr="00E86249">
              <w:rPr>
                <w:rFonts w:ascii="Arial" w:eastAsia="Arial" w:hAnsi="Arial"/>
              </w:rPr>
              <w:t>Incentives</w:t>
            </w:r>
          </w:p>
        </w:tc>
        <w:tc>
          <w:tcPr>
            <w:tcW w:w="943" w:type="dxa"/>
          </w:tcPr>
          <w:p w14:paraId="25BB0106" w14:textId="77777777" w:rsidR="00E86249" w:rsidRPr="00E86249" w:rsidRDefault="00E86249" w:rsidP="00575D97">
            <w:pPr>
              <w:widowControl w:val="0"/>
              <w:jc w:val="center"/>
              <w:rPr>
                <w:rFonts w:ascii="Arial" w:eastAsia="Arial" w:hAnsi="Arial"/>
              </w:rPr>
            </w:pPr>
            <w:r w:rsidRPr="00E86249">
              <w:rPr>
                <w:rFonts w:ascii="Arial" w:eastAsia="Arial" w:hAnsi="Arial"/>
              </w:rPr>
              <w:t>0.50</w:t>
            </w:r>
          </w:p>
        </w:tc>
        <w:tc>
          <w:tcPr>
            <w:tcW w:w="992" w:type="dxa"/>
          </w:tcPr>
          <w:p w14:paraId="1222FDED" w14:textId="77777777" w:rsidR="00E86249" w:rsidRPr="00E86249" w:rsidRDefault="00E86249" w:rsidP="00575D97">
            <w:pPr>
              <w:widowControl w:val="0"/>
              <w:jc w:val="center"/>
              <w:rPr>
                <w:rFonts w:ascii="Arial" w:eastAsia="Arial" w:hAnsi="Arial"/>
              </w:rPr>
            </w:pPr>
            <w:r w:rsidRPr="00E86249">
              <w:rPr>
                <w:rFonts w:ascii="Arial" w:eastAsia="Arial" w:hAnsi="Arial"/>
              </w:rPr>
              <w:t>0.38</w:t>
            </w:r>
          </w:p>
        </w:tc>
        <w:tc>
          <w:tcPr>
            <w:tcW w:w="1044" w:type="dxa"/>
          </w:tcPr>
          <w:p w14:paraId="63743028" w14:textId="77777777" w:rsidR="00E86249" w:rsidRPr="00E86249" w:rsidRDefault="00E86249" w:rsidP="00575D97">
            <w:pPr>
              <w:widowControl w:val="0"/>
              <w:jc w:val="center"/>
              <w:rPr>
                <w:rFonts w:ascii="Arial" w:eastAsia="Arial" w:hAnsi="Arial"/>
              </w:rPr>
            </w:pPr>
            <w:r w:rsidRPr="00E86249">
              <w:rPr>
                <w:rFonts w:ascii="Arial" w:eastAsia="Arial" w:hAnsi="Arial"/>
              </w:rPr>
              <w:t>0.40</w:t>
            </w:r>
          </w:p>
        </w:tc>
        <w:tc>
          <w:tcPr>
            <w:tcW w:w="1013" w:type="dxa"/>
          </w:tcPr>
          <w:p w14:paraId="7B685E2C" w14:textId="77777777" w:rsidR="00E86249" w:rsidRPr="00E86249" w:rsidRDefault="00E86249" w:rsidP="00575D97">
            <w:pPr>
              <w:widowControl w:val="0"/>
              <w:jc w:val="center"/>
              <w:rPr>
                <w:rFonts w:ascii="Arial" w:eastAsia="Arial" w:hAnsi="Arial"/>
              </w:rPr>
            </w:pPr>
            <w:r w:rsidRPr="00E86249">
              <w:rPr>
                <w:rFonts w:ascii="Arial" w:eastAsia="Arial" w:hAnsi="Arial"/>
              </w:rPr>
              <w:t>3.15</w:t>
            </w:r>
          </w:p>
        </w:tc>
        <w:tc>
          <w:tcPr>
            <w:tcW w:w="1068" w:type="dxa"/>
          </w:tcPr>
          <w:p w14:paraId="6DF1B08C" w14:textId="77777777" w:rsidR="00E86249" w:rsidRPr="00E86249" w:rsidRDefault="00E86249" w:rsidP="00575D97">
            <w:pPr>
              <w:widowControl w:val="0"/>
              <w:jc w:val="center"/>
              <w:rPr>
                <w:rFonts w:ascii="Arial" w:eastAsia="Arial" w:hAnsi="Arial"/>
              </w:rPr>
            </w:pPr>
            <w:r w:rsidRPr="00E86249">
              <w:rPr>
                <w:rFonts w:ascii="Arial" w:eastAsia="Arial" w:hAnsi="Arial"/>
              </w:rPr>
              <w:t>0.010</w:t>
            </w:r>
          </w:p>
        </w:tc>
        <w:tc>
          <w:tcPr>
            <w:tcW w:w="1435" w:type="dxa"/>
          </w:tcPr>
          <w:p w14:paraId="6C0EE0B8" w14:textId="77777777" w:rsidR="00E86249" w:rsidRPr="00E86249" w:rsidRDefault="00E86249" w:rsidP="00575D97">
            <w:pPr>
              <w:widowControl w:val="0"/>
              <w:jc w:val="both"/>
              <w:rPr>
                <w:rFonts w:ascii="Arial" w:eastAsia="Arial" w:hAnsi="Arial"/>
              </w:rPr>
            </w:pPr>
            <w:r w:rsidRPr="00E86249">
              <w:rPr>
                <w:rFonts w:ascii="Arial" w:eastAsia="Arial" w:hAnsi="Arial"/>
              </w:rPr>
              <w:t>Significant</w:t>
            </w:r>
          </w:p>
        </w:tc>
      </w:tr>
      <w:tr w:rsidR="00E86249" w:rsidRPr="00E86249" w14:paraId="5722CC5C" w14:textId="77777777" w:rsidTr="00C12631">
        <w:trPr>
          <w:trHeight w:val="532"/>
        </w:trPr>
        <w:tc>
          <w:tcPr>
            <w:tcW w:w="8280" w:type="dxa"/>
            <w:gridSpan w:val="7"/>
          </w:tcPr>
          <w:p w14:paraId="73EC9BD2" w14:textId="77777777" w:rsidR="00E86249" w:rsidRPr="00E86249" w:rsidRDefault="00E86249" w:rsidP="00052E04">
            <w:pPr>
              <w:widowControl w:val="0"/>
              <w:spacing w:line="480" w:lineRule="auto"/>
              <w:jc w:val="both"/>
              <w:rPr>
                <w:rFonts w:ascii="Arial" w:eastAsia="Arial" w:hAnsi="Arial"/>
                <w:b/>
                <w:u w:val="single"/>
              </w:rPr>
            </w:pPr>
            <w:r w:rsidRPr="00E86249">
              <w:rPr>
                <w:rFonts w:ascii="Arial" w:eastAsia="Arial" w:hAnsi="Arial"/>
                <w:b/>
                <w:u w:val="single"/>
              </w:rPr>
              <w:t>Regression Model</w:t>
            </w:r>
          </w:p>
        </w:tc>
      </w:tr>
      <w:tr w:rsidR="00E86249" w:rsidRPr="00E86249" w14:paraId="60EFEE64" w14:textId="77777777" w:rsidTr="00C12631">
        <w:trPr>
          <w:trHeight w:val="532"/>
        </w:trPr>
        <w:tc>
          <w:tcPr>
            <w:tcW w:w="8280" w:type="dxa"/>
            <w:gridSpan w:val="7"/>
          </w:tcPr>
          <w:p w14:paraId="6D06D609" w14:textId="77777777" w:rsidR="00E86249" w:rsidRPr="00E86249" w:rsidRDefault="00E86249" w:rsidP="00052E04">
            <w:pPr>
              <w:widowControl w:val="0"/>
              <w:jc w:val="both"/>
              <w:rPr>
                <w:rFonts w:ascii="Arial" w:eastAsia="Arial" w:hAnsi="Arial"/>
              </w:rPr>
            </w:pPr>
            <w:r w:rsidRPr="00E86249">
              <w:rPr>
                <w:rFonts w:ascii="Arial" w:eastAsia="Arial" w:hAnsi="Arial"/>
              </w:rPr>
              <w:t>Principal Guidance Comportment =2.90 + 0.64 (Teacher Salary) + 0.62 (Teacher Position + 0.60 (Teacher Assignment) + 0.55 (Working Condition) + 0.52 (Supervisory Practices) + 0.50 (Incentives)</w:t>
            </w:r>
          </w:p>
          <w:p w14:paraId="3A4E17B3" w14:textId="77777777" w:rsidR="00E86249" w:rsidRPr="00E86249" w:rsidRDefault="00E86249" w:rsidP="00052E04">
            <w:pPr>
              <w:widowControl w:val="0"/>
              <w:jc w:val="both"/>
              <w:rPr>
                <w:rFonts w:ascii="Arial" w:eastAsia="Arial" w:hAnsi="Arial"/>
              </w:rPr>
            </w:pPr>
          </w:p>
        </w:tc>
      </w:tr>
      <w:tr w:rsidR="00E86249" w:rsidRPr="00E86249" w14:paraId="6736FD5A" w14:textId="77777777" w:rsidTr="00C12631">
        <w:trPr>
          <w:trHeight w:val="81"/>
        </w:trPr>
        <w:tc>
          <w:tcPr>
            <w:tcW w:w="8280" w:type="dxa"/>
            <w:gridSpan w:val="7"/>
          </w:tcPr>
          <w:p w14:paraId="6F994D4A" w14:textId="77777777" w:rsidR="00E86249" w:rsidRPr="00E86249" w:rsidRDefault="00E86249" w:rsidP="00052E04">
            <w:pPr>
              <w:widowControl w:val="0"/>
              <w:jc w:val="both"/>
              <w:rPr>
                <w:rFonts w:ascii="Arial" w:eastAsia="Arial" w:hAnsi="Arial"/>
              </w:rPr>
            </w:pPr>
            <w:r w:rsidRPr="00E86249">
              <w:rPr>
                <w:rFonts w:ascii="Arial" w:eastAsia="Arial" w:hAnsi="Arial"/>
              </w:rPr>
              <w:t>R=0.64; R²=0.40; F=60.46; p-value=0.000</w:t>
            </w:r>
          </w:p>
        </w:tc>
      </w:tr>
    </w:tbl>
    <w:p w14:paraId="7D71F835" w14:textId="77777777" w:rsidR="00B364F1" w:rsidRPr="00385125"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06D2ADDC" w14:textId="0E5E36AC" w:rsidR="00385125" w:rsidRDefault="00C12631" w:rsidP="00D07910">
      <w:pPr>
        <w:pStyle w:val="ConcHead"/>
        <w:jc w:val="both"/>
        <w:rPr>
          <w:rFonts w:ascii="Arial" w:hAnsi="Arial" w:cs="Arial"/>
          <w:b w:val="0"/>
          <w:caps w:val="0"/>
          <w:sz w:val="20"/>
        </w:rPr>
      </w:pPr>
      <w:r w:rsidRPr="00C12631">
        <w:rPr>
          <w:rFonts w:ascii="Arial" w:hAnsi="Arial" w:cs="Arial"/>
          <w:b w:val="0"/>
          <w:caps w:val="0"/>
          <w:sz w:val="20"/>
        </w:rPr>
        <w:t xml:space="preserve">Presented in Table </w:t>
      </w:r>
      <w:r>
        <w:rPr>
          <w:rFonts w:ascii="Arial" w:hAnsi="Arial" w:cs="Arial"/>
          <w:b w:val="0"/>
          <w:caps w:val="0"/>
          <w:sz w:val="20"/>
        </w:rPr>
        <w:t xml:space="preserve">4 </w:t>
      </w:r>
      <w:r w:rsidRPr="00C12631">
        <w:rPr>
          <w:rFonts w:ascii="Arial" w:hAnsi="Arial" w:cs="Arial"/>
          <w:b w:val="0"/>
          <w:caps w:val="0"/>
          <w:sz w:val="20"/>
        </w:rPr>
        <w:t>is the regression analysis examining how different indicators of job gratification—teacher salary, teacher position, teaching assignment, working condition, supervisory practices, and incentives significantly influence principal guidance comportment as perceived by teachers. The regression model indicates that all six indicators positively contribute to principal guidance comportment. Among them, teacher salary (Beta of 0.64) has the strongest influence, followed by teacher position (Beta of 0.62), teaching assignment (Beta of 0.60), working condition (Beta of 0.55), supervisory practices (Beta of 0.52), and incentives (Beta of 0.50). The t-statistics for each indicator (ranging from 3.15 to 3.38) and their corresponding p-values (all below 0.05) confirm that these influences are statistically significant.</w:t>
      </w:r>
      <w:r w:rsidR="00D07910">
        <w:rPr>
          <w:rFonts w:ascii="Arial" w:hAnsi="Arial" w:cs="Arial"/>
          <w:b w:val="0"/>
          <w:caps w:val="0"/>
          <w:sz w:val="20"/>
        </w:rPr>
        <w:t xml:space="preserve"> </w:t>
      </w:r>
      <w:r w:rsidRPr="00C12631">
        <w:rPr>
          <w:rFonts w:ascii="Arial" w:hAnsi="Arial" w:cs="Arial"/>
          <w:b w:val="0"/>
          <w:caps w:val="0"/>
          <w:sz w:val="20"/>
        </w:rPr>
        <w:t>The regression equation: Principal Guidance Comportment = 2.90 + 0.64 (Teacher Salary) + 0.62 (Teacher Position) + 0.60 (Teaching Assignment) + 0.55 (Working Condition) + 0.52 (Supervisory Practices) + 0.50 (Incentives) The model explains 40% of the variance in principal guidance comportment (R² = 0.40). Furthermore, the model’s F-value of 60.46 and its p-value of 0.000 indicate that the model is statistically significant.</w:t>
      </w:r>
    </w:p>
    <w:p w14:paraId="6C7DD428" w14:textId="77777777" w:rsidR="00D07910" w:rsidRPr="00D07910" w:rsidRDefault="00D07910" w:rsidP="00D07910">
      <w:pPr>
        <w:pStyle w:val="ConcHead"/>
        <w:jc w:val="both"/>
        <w:rPr>
          <w:rFonts w:ascii="Arial" w:hAnsi="Arial" w:cs="Arial"/>
          <w:b w:val="0"/>
          <w:caps w:val="0"/>
          <w:sz w:val="20"/>
        </w:rPr>
      </w:pPr>
      <w:r w:rsidRPr="00D07910">
        <w:rPr>
          <w:rFonts w:ascii="Arial" w:hAnsi="Arial" w:cs="Arial"/>
          <w:b w:val="0"/>
          <w:caps w:val="0"/>
          <w:sz w:val="20"/>
        </w:rPr>
        <w:t xml:space="preserve">These findings suggest that teachers' job gratification plays a crucial role in shaping their perception of principal guidance comportment. When teachers experience a high level of gratification in aspects such as salary, career advancement, teaching conditions, supervisory support, and incentives, they are more likely to view their principal’s guidance positively. A fulfilling work environment enhances teachers' receptiveness to leadership, fostering mutual respect and collaboration. Conversely, when teachers experience low job gratification, they may develop a more critical perception of their principal’s guidance, which can impact overall workplace morale and professional relationships. This highlights the importance of ensuring </w:t>
      </w:r>
      <w:r w:rsidRPr="00D07910">
        <w:rPr>
          <w:rFonts w:ascii="Arial" w:hAnsi="Arial" w:cs="Arial"/>
          <w:b w:val="0"/>
          <w:caps w:val="0"/>
          <w:sz w:val="20"/>
        </w:rPr>
        <w:lastRenderedPageBreak/>
        <w:t>fair compensation, opportunities for career growth, a supportive teaching environment, and effective school leadership to enhance teachers’ gratification.</w:t>
      </w:r>
    </w:p>
    <w:p w14:paraId="05682864" w14:textId="660FA401" w:rsidR="00D07910" w:rsidRDefault="00D07910" w:rsidP="00D07910">
      <w:pPr>
        <w:pStyle w:val="ConcHead"/>
        <w:jc w:val="both"/>
        <w:rPr>
          <w:rFonts w:ascii="Arial" w:hAnsi="Arial" w:cs="Arial"/>
          <w:b w:val="0"/>
          <w:caps w:val="0"/>
          <w:sz w:val="20"/>
        </w:rPr>
      </w:pPr>
      <w:r w:rsidRPr="00D07910">
        <w:rPr>
          <w:rFonts w:ascii="Arial" w:hAnsi="Arial" w:cs="Arial"/>
          <w:b w:val="0"/>
          <w:caps w:val="0"/>
          <w:sz w:val="20"/>
        </w:rPr>
        <w:t>This</w:t>
      </w:r>
      <w:r w:rsidRPr="00F206ED">
        <w:rPr>
          <w:rFonts w:ascii="Arial" w:hAnsi="Arial" w:cs="Arial"/>
          <w:b w:val="0"/>
          <w:caps w:val="0"/>
          <w:color w:val="FF0000"/>
          <w:sz w:val="20"/>
        </w:rPr>
        <w:t xml:space="preserve"> </w:t>
      </w:r>
      <w:r w:rsidR="00F206ED" w:rsidRPr="00F206ED">
        <w:rPr>
          <w:rFonts w:ascii="Arial" w:hAnsi="Arial" w:cs="Arial"/>
          <w:b w:val="0"/>
          <w:caps w:val="0"/>
          <w:color w:val="FF0000"/>
          <w:sz w:val="20"/>
        </w:rPr>
        <w:t xml:space="preserve">study </w:t>
      </w:r>
      <w:r w:rsidRPr="00D07910">
        <w:rPr>
          <w:rFonts w:ascii="Arial" w:hAnsi="Arial" w:cs="Arial"/>
          <w:b w:val="0"/>
          <w:caps w:val="0"/>
          <w:sz w:val="20"/>
        </w:rPr>
        <w:t xml:space="preserve">finding is consistent with the research of </w:t>
      </w:r>
      <w:proofErr w:type="spellStart"/>
      <w:r w:rsidRPr="00D07910">
        <w:rPr>
          <w:rFonts w:ascii="Arial" w:hAnsi="Arial" w:cs="Arial"/>
          <w:b w:val="0"/>
          <w:caps w:val="0"/>
          <w:sz w:val="20"/>
        </w:rPr>
        <w:t>Khaola</w:t>
      </w:r>
      <w:proofErr w:type="spellEnd"/>
      <w:r w:rsidRPr="00D07910">
        <w:rPr>
          <w:rFonts w:ascii="Arial" w:hAnsi="Arial" w:cs="Arial"/>
          <w:b w:val="0"/>
          <w:caps w:val="0"/>
          <w:sz w:val="20"/>
        </w:rPr>
        <w:t xml:space="preserve"> and Oni (2020), who underscored the significant influence of job gratification on principal guidance comportment. Their study revealed that various domains of job gratification, such as salary, career advancement, and working conditions, directly shape how teachers perceive and respond to their principal’s leadership. Similarly, Wang et al.  (2024) demonstrated that teachers who experience higher levels of gratification in their professional roles are more receptive to principal guidance, fostering a more cohesive and collaborative school environment. Additionally, the work of </w:t>
      </w:r>
      <w:proofErr w:type="spellStart"/>
      <w:r w:rsidRPr="00D07910">
        <w:rPr>
          <w:rFonts w:ascii="Arial" w:hAnsi="Arial" w:cs="Arial"/>
          <w:b w:val="0"/>
          <w:caps w:val="0"/>
          <w:sz w:val="20"/>
        </w:rPr>
        <w:t>Sahito</w:t>
      </w:r>
      <w:proofErr w:type="spellEnd"/>
      <w:r w:rsidRPr="00D07910">
        <w:rPr>
          <w:rFonts w:ascii="Arial" w:hAnsi="Arial" w:cs="Arial"/>
          <w:b w:val="0"/>
          <w:caps w:val="0"/>
          <w:sz w:val="20"/>
        </w:rPr>
        <w:t xml:space="preserve"> and </w:t>
      </w:r>
      <w:proofErr w:type="spellStart"/>
      <w:r w:rsidRPr="00D07910">
        <w:rPr>
          <w:rFonts w:ascii="Arial" w:hAnsi="Arial" w:cs="Arial"/>
          <w:b w:val="0"/>
          <w:caps w:val="0"/>
          <w:sz w:val="20"/>
        </w:rPr>
        <w:t>Vaisanen</w:t>
      </w:r>
      <w:proofErr w:type="spellEnd"/>
      <w:r w:rsidRPr="00D07910">
        <w:rPr>
          <w:rFonts w:ascii="Arial" w:hAnsi="Arial" w:cs="Arial"/>
          <w:b w:val="0"/>
          <w:caps w:val="0"/>
          <w:sz w:val="20"/>
        </w:rPr>
        <w:t xml:space="preserve"> (2020) highlighted those key aspects of job gratification, including supervisory support and incentives, play a crucial role in strengthening the relationship between teachers and school leaders, ultimately contributing to a more effective and motivated teaching workforce.</w:t>
      </w:r>
    </w:p>
    <w:p w14:paraId="662A632D" w14:textId="77777777" w:rsidR="00C12631" w:rsidRDefault="00C12631" w:rsidP="00C12631">
      <w:pPr>
        <w:pStyle w:val="ConcHead"/>
        <w:spacing w:after="0"/>
        <w:jc w:val="both"/>
        <w:rPr>
          <w:rFonts w:ascii="Arial" w:hAnsi="Arial" w:cs="Arial"/>
          <w:b w:val="0"/>
          <w:caps w:val="0"/>
          <w:sz w:val="20"/>
        </w:rPr>
      </w:pPr>
    </w:p>
    <w:p w14:paraId="69CEB1FB" w14:textId="77777777" w:rsidR="00C12631" w:rsidRDefault="00C12631" w:rsidP="00C12631">
      <w:pPr>
        <w:pStyle w:val="ConcHead"/>
        <w:spacing w:after="0"/>
        <w:jc w:val="both"/>
        <w:rPr>
          <w:rFonts w:ascii="Arial" w:hAnsi="Arial" w:cs="Arial"/>
          <w:b w:val="0"/>
          <w:caps w:val="0"/>
          <w:sz w:val="20"/>
        </w:rPr>
      </w:pPr>
    </w:p>
    <w:p w14:paraId="1A6B029B" w14:textId="77777777" w:rsidR="00385125" w:rsidRDefault="00385125" w:rsidP="00385125">
      <w:pPr>
        <w:pStyle w:val="ConcHead"/>
        <w:spacing w:after="0"/>
        <w:jc w:val="both"/>
        <w:rPr>
          <w:rFonts w:ascii="Arial" w:hAnsi="Arial" w:cs="Arial"/>
          <w:b w:val="0"/>
          <w:caps w:val="0"/>
          <w:sz w:val="20"/>
        </w:rPr>
      </w:pPr>
    </w:p>
    <w:p w14:paraId="371DD412" w14:textId="2EE03B6D" w:rsidR="00717F2E" w:rsidRDefault="00D31ACD"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w:t>
      </w:r>
      <w:commentRangeStart w:id="14"/>
      <w:r w:rsidR="00B364F1">
        <w:rPr>
          <w:rFonts w:ascii="Arial" w:hAnsi="Arial" w:cs="Arial"/>
          <w:sz w:val="20"/>
        </w:rPr>
        <w:t>GS</w:t>
      </w:r>
      <w:commentRangeEnd w:id="14"/>
      <w:r w:rsidR="00F206ED">
        <w:rPr>
          <w:rStyle w:val="CommentReference"/>
          <w:rFonts w:ascii="Times New Roman" w:hAnsi="Times New Roman"/>
          <w:b w:val="0"/>
          <w:caps w:val="0"/>
          <w:lang w:val="nb-NO" w:eastAsia="nb-NO"/>
        </w:rPr>
        <w:commentReference w:id="14"/>
      </w:r>
    </w:p>
    <w:p w14:paraId="0E5D87EA" w14:textId="77777777" w:rsidR="00717F2E" w:rsidRDefault="00717F2E">
      <w:pPr>
        <w:pStyle w:val="ConcHead"/>
        <w:spacing w:after="0"/>
        <w:jc w:val="both"/>
        <w:rPr>
          <w:rFonts w:ascii="Arial" w:hAnsi="Arial" w:cs="Arial"/>
          <w:sz w:val="20"/>
        </w:rPr>
      </w:pPr>
    </w:p>
    <w:p w14:paraId="41593E58" w14:textId="77777777" w:rsidR="00D07910" w:rsidRPr="00D07910" w:rsidRDefault="00D07910" w:rsidP="00D07910">
      <w:pPr>
        <w:pStyle w:val="Body"/>
        <w:rPr>
          <w:rFonts w:ascii="Arial" w:hAnsi="Arial" w:cs="Arial"/>
        </w:rPr>
      </w:pPr>
      <w:r w:rsidRPr="00D07910">
        <w:rPr>
          <w:rFonts w:ascii="Arial" w:hAnsi="Arial" w:cs="Arial"/>
        </w:rPr>
        <w:t>This study aimed to examine the significant relationship between job gratification and principal guidance comportment among public elementary school teachers. Specifically, it sought to assess the extent of teachers’ job gratification in various domains, including salary, position, teaching assignment, working conditions, supervisory practices, and incentives. Additionally, the study aimed to determine the extent to which teachers perceive their principal’s guidance comportment in terms of human relations, trust/decision-making, instructional guidance, control domain, and conflict resolution. Furthermore, it investigated whether a significant relationship exists between job gratification and principal guidance comportment and identified which domains of job gratification most significantly influence teachers’ perception of their principal’s guidance comportment. Using a descriptive-correlational research design, a total of 134 public elementary school teachers were surveyed using standardized questionnaires, and the data were analyzed using mean, standard deviation (SD), Pearson product-moment correlation, and multiple linear regression analyses.</w:t>
      </w:r>
    </w:p>
    <w:p w14:paraId="17B9979A" w14:textId="77777777" w:rsidR="00D07910" w:rsidRPr="00D07910" w:rsidRDefault="00D07910" w:rsidP="00D07910">
      <w:pPr>
        <w:pStyle w:val="Body"/>
        <w:rPr>
          <w:rFonts w:ascii="Arial" w:hAnsi="Arial" w:cs="Arial"/>
        </w:rPr>
      </w:pPr>
      <w:r w:rsidRPr="00D07910">
        <w:rPr>
          <w:rFonts w:ascii="Arial" w:hAnsi="Arial" w:cs="Arial"/>
        </w:rPr>
        <w:t>From the data gathered, the following findings were drawn:</w:t>
      </w:r>
    </w:p>
    <w:p w14:paraId="45F9BC6C" w14:textId="77777777" w:rsidR="00D07910" w:rsidRPr="00D07910" w:rsidRDefault="00D07910" w:rsidP="00D07910">
      <w:pPr>
        <w:pStyle w:val="Body"/>
        <w:rPr>
          <w:rFonts w:ascii="Arial" w:hAnsi="Arial" w:cs="Arial"/>
        </w:rPr>
      </w:pPr>
      <w:r w:rsidRPr="00D07910">
        <w:rPr>
          <w:rFonts w:ascii="Arial" w:hAnsi="Arial" w:cs="Arial"/>
        </w:rPr>
        <w:t>Firstly, the level of job gratification among public elementary school teachers is very high, particularly in terms of salary, position, teaching assignment, working conditions, supervisory practices, and incentives.</w:t>
      </w:r>
    </w:p>
    <w:p w14:paraId="18BE4E08" w14:textId="77777777" w:rsidR="00D07910" w:rsidRPr="00D07910" w:rsidRDefault="00D07910" w:rsidP="00D07910">
      <w:pPr>
        <w:pStyle w:val="Body"/>
        <w:rPr>
          <w:rFonts w:ascii="Arial" w:hAnsi="Arial" w:cs="Arial"/>
        </w:rPr>
      </w:pPr>
      <w:r w:rsidRPr="00D07910">
        <w:rPr>
          <w:rFonts w:ascii="Arial" w:hAnsi="Arial" w:cs="Arial"/>
        </w:rPr>
        <w:t>Secondly, the extent of principal guidance comportment as perceived by teachers is very high, specifically in the areas of human relations, trust/decision-making, instructional guidance, control domain, and conflict resolution.</w:t>
      </w:r>
    </w:p>
    <w:p w14:paraId="57C457BB" w14:textId="77777777" w:rsidR="00D07910" w:rsidRPr="00D07910" w:rsidRDefault="00D07910" w:rsidP="00D07910">
      <w:pPr>
        <w:pStyle w:val="Body"/>
        <w:rPr>
          <w:rFonts w:ascii="Arial" w:hAnsi="Arial" w:cs="Arial"/>
        </w:rPr>
      </w:pPr>
      <w:r w:rsidRPr="00D07910">
        <w:rPr>
          <w:rFonts w:ascii="Arial" w:hAnsi="Arial" w:cs="Arial"/>
        </w:rPr>
        <w:t>Thirdly, a significant relationship exists between job gratification and principal guidance comportment, indicating a strong positive correlation between the two variables.</w:t>
      </w:r>
    </w:p>
    <w:p w14:paraId="743DF230" w14:textId="22667E12" w:rsidR="006A0F34" w:rsidRDefault="00D07910" w:rsidP="00D07910">
      <w:pPr>
        <w:pStyle w:val="Body"/>
        <w:rPr>
          <w:rFonts w:ascii="Arial" w:hAnsi="Arial" w:cs="Arial"/>
        </w:rPr>
      </w:pPr>
      <w:r w:rsidRPr="00D07910">
        <w:rPr>
          <w:rFonts w:ascii="Arial" w:hAnsi="Arial" w:cs="Arial"/>
        </w:rPr>
        <w:t>Finally, when examining the influence of the domains of job gratification on principal guidance comportment, salary, position, teaching assignment, working conditions, supervisory practices, and incentives significantly impact teachers' perception of their principal’s leadership and management style.</w:t>
      </w:r>
      <w:r w:rsidR="001E4FC9" w:rsidRPr="001E4FC9">
        <w:rPr>
          <w:rFonts w:ascii="Arial" w:hAnsi="Arial" w:cs="Arial"/>
        </w:rPr>
        <w:tab/>
      </w:r>
    </w:p>
    <w:p w14:paraId="1C0A2C32" w14:textId="77777777" w:rsidR="001E4FC9" w:rsidRDefault="001E4FC9" w:rsidP="00B364F1">
      <w:pPr>
        <w:pStyle w:val="Body"/>
        <w:rPr>
          <w:rFonts w:ascii="Arial" w:hAnsi="Arial" w:cs="Arial"/>
        </w:rPr>
      </w:pPr>
    </w:p>
    <w:p w14:paraId="75702920" w14:textId="77777777" w:rsidR="00575D97" w:rsidRDefault="00575D97" w:rsidP="00B364F1">
      <w:pPr>
        <w:pStyle w:val="Body"/>
        <w:rPr>
          <w:rFonts w:ascii="Arial" w:hAnsi="Arial" w:cs="Arial"/>
        </w:rPr>
      </w:pPr>
    </w:p>
    <w:p w14:paraId="3F0C8396" w14:textId="77777777" w:rsidR="00575D97" w:rsidRDefault="00575D97" w:rsidP="00B364F1">
      <w:pPr>
        <w:pStyle w:val="Body"/>
        <w:rPr>
          <w:rFonts w:ascii="Arial" w:hAnsi="Arial" w:cs="Arial"/>
        </w:rPr>
      </w:pPr>
    </w:p>
    <w:p w14:paraId="016D2A79" w14:textId="25BDC1A2" w:rsidR="00717F2E" w:rsidRDefault="00D31ACD" w:rsidP="00B364F1">
      <w:pPr>
        <w:pStyle w:val="Body"/>
        <w:rPr>
          <w:rFonts w:ascii="Arial" w:hAnsi="Arial" w:cs="Arial"/>
        </w:rPr>
      </w:pPr>
      <w:r>
        <w:rPr>
          <w:rFonts w:ascii="Arial" w:hAnsi="Arial" w:cs="Arial"/>
          <w:b/>
          <w:bCs/>
        </w:rPr>
        <w:t xml:space="preserve">5. </w:t>
      </w:r>
      <w:r w:rsidR="00B364F1">
        <w:rPr>
          <w:rFonts w:ascii="Arial" w:hAnsi="Arial" w:cs="Arial"/>
          <w:b/>
          <w:bCs/>
        </w:rPr>
        <w:t>CONCLUSI</w:t>
      </w:r>
      <w:commentRangeStart w:id="15"/>
      <w:r w:rsidR="00B364F1">
        <w:rPr>
          <w:rFonts w:ascii="Arial" w:hAnsi="Arial" w:cs="Arial"/>
          <w:b/>
          <w:bCs/>
        </w:rPr>
        <w:t>ONS</w:t>
      </w:r>
      <w:commentRangeEnd w:id="15"/>
      <w:r w:rsidR="00F206ED">
        <w:rPr>
          <w:rStyle w:val="CommentReference"/>
          <w:rFonts w:ascii="Times New Roman" w:hAnsi="Times New Roman"/>
          <w:lang w:val="nb-NO" w:eastAsia="nb-NO"/>
        </w:rPr>
        <w:commentReference w:id="15"/>
      </w:r>
    </w:p>
    <w:p w14:paraId="7DD51F73" w14:textId="77777777" w:rsidR="00D07910" w:rsidRPr="00D07910" w:rsidRDefault="00D07910" w:rsidP="00D07910">
      <w:pPr>
        <w:pStyle w:val="ReferHead"/>
        <w:jc w:val="both"/>
        <w:rPr>
          <w:rFonts w:ascii="Arial" w:hAnsi="Arial" w:cs="Arial"/>
          <w:b w:val="0"/>
          <w:caps w:val="0"/>
          <w:sz w:val="20"/>
        </w:rPr>
      </w:pPr>
      <w:r w:rsidRPr="00D07910">
        <w:rPr>
          <w:rFonts w:ascii="Arial" w:hAnsi="Arial" w:cs="Arial"/>
          <w:b w:val="0"/>
          <w:caps w:val="0"/>
          <w:sz w:val="20"/>
        </w:rPr>
        <w:t>Based on the findings of the study, the following conclusions were formulated:</w:t>
      </w:r>
    </w:p>
    <w:p w14:paraId="742486C5" w14:textId="77777777" w:rsidR="00D07910" w:rsidRPr="00D07910" w:rsidRDefault="00D07910" w:rsidP="00D07910">
      <w:pPr>
        <w:pStyle w:val="ReferHead"/>
        <w:jc w:val="both"/>
        <w:rPr>
          <w:rFonts w:ascii="Arial" w:hAnsi="Arial" w:cs="Arial"/>
          <w:b w:val="0"/>
          <w:caps w:val="0"/>
          <w:sz w:val="20"/>
        </w:rPr>
      </w:pPr>
      <w:r w:rsidRPr="00D07910">
        <w:rPr>
          <w:rFonts w:ascii="Arial" w:hAnsi="Arial" w:cs="Arial"/>
          <w:b w:val="0"/>
          <w:caps w:val="0"/>
          <w:sz w:val="20"/>
        </w:rPr>
        <w:t>Firstly, the level of job gratification among public elementary school teachers is always observed, with teachers demonstrating high satisfaction in terms of salary, position, teaching assignment, working conditions, supervisory practices, and incentives. This indicates that teachers generally feel secure and fulfilled in their professional roles, contributing to their motivation and commitment to their work. A high level of job gratification ensures that teachers remain dedicated to their responsibilities, ultimately benefiting student learning outcomes. When teachers feel valued and supported, they are more likely to exhibit enthusiasm and efficiency in their teaching practices.</w:t>
      </w:r>
    </w:p>
    <w:p w14:paraId="3853277B" w14:textId="77777777" w:rsidR="00D07910" w:rsidRPr="00D07910" w:rsidRDefault="00D07910" w:rsidP="00D07910">
      <w:pPr>
        <w:pStyle w:val="ReferHead"/>
        <w:jc w:val="both"/>
        <w:rPr>
          <w:rFonts w:ascii="Arial" w:hAnsi="Arial" w:cs="Arial"/>
          <w:b w:val="0"/>
          <w:caps w:val="0"/>
          <w:sz w:val="20"/>
        </w:rPr>
      </w:pPr>
      <w:r w:rsidRPr="00D07910">
        <w:rPr>
          <w:rFonts w:ascii="Arial" w:hAnsi="Arial" w:cs="Arial"/>
          <w:b w:val="0"/>
          <w:caps w:val="0"/>
          <w:sz w:val="20"/>
        </w:rPr>
        <w:t>Secondly, the extent of principal guidance comportment as perceived by teachers is always observed, particularly in the areas of human relations, trust/decision-making, instructional guidance, control domain, and conflict resolution. These findings suggest that teachers recognize and appreciate the leadership, support, and management style demonstrated by their school principals, which fosters a positive and professional working environment. Effective principal guidance establishes a culture of trust and collaboration within the school community. Strong leadership ensures that teachers receive the necessary mentorship and encouragement to continuously grow in their profession.</w:t>
      </w:r>
    </w:p>
    <w:p w14:paraId="691E7385" w14:textId="77777777" w:rsidR="00D07910" w:rsidRPr="00D07910" w:rsidRDefault="00D07910" w:rsidP="00D07910">
      <w:pPr>
        <w:pStyle w:val="ReferHead"/>
        <w:jc w:val="both"/>
        <w:rPr>
          <w:rFonts w:ascii="Arial" w:hAnsi="Arial" w:cs="Arial"/>
          <w:b w:val="0"/>
          <w:caps w:val="0"/>
          <w:sz w:val="20"/>
        </w:rPr>
      </w:pPr>
      <w:r w:rsidRPr="00D07910">
        <w:rPr>
          <w:rFonts w:ascii="Arial" w:hAnsi="Arial" w:cs="Arial"/>
          <w:b w:val="0"/>
          <w:caps w:val="0"/>
          <w:sz w:val="20"/>
        </w:rPr>
        <w:t>Thirdly, a significant relationship between job gratification and principal guidance comportment was always observed. This indicates that teachers who experience high levels of gratification in their profession are more likely to perceive their principal’s leadership and guidance positively. A supportive and effective principal plays a crucial role in enhancing teachers' overall work experience and job fulfillment. When school leaders address teachers' needs and concerns, it strengthens their sense of belonging and commitment to the institution. Additionally, fostering a harmonious work environment encourages open communication and teamwork among teachers and administrators.</w:t>
      </w:r>
    </w:p>
    <w:p w14:paraId="5042AD5A" w14:textId="77777777" w:rsidR="00D07910" w:rsidRPr="00D07910" w:rsidRDefault="00D07910" w:rsidP="00D07910">
      <w:pPr>
        <w:pStyle w:val="ReferHead"/>
        <w:jc w:val="both"/>
        <w:rPr>
          <w:rFonts w:ascii="Arial" w:hAnsi="Arial" w:cs="Arial"/>
          <w:b w:val="0"/>
          <w:caps w:val="0"/>
          <w:sz w:val="20"/>
        </w:rPr>
      </w:pPr>
      <w:r w:rsidRPr="00D07910">
        <w:rPr>
          <w:rFonts w:ascii="Arial" w:hAnsi="Arial" w:cs="Arial"/>
          <w:b w:val="0"/>
          <w:caps w:val="0"/>
          <w:sz w:val="20"/>
        </w:rPr>
        <w:t>Finally, the domains of job gratification significantly influence principal guidance comportment. This highlights the importance of ensuring that teachers feel gratified in their profession, as it directly impacts their perception of school leadership. When teachers receive fair compensation, career growth opportunities, manageable workloads, and strong administrative support, they are more likely to engage positively with their school leaders, fostering a more collaborative and productive educational environment. Schools that prioritize teacher gratification are more likely to experience improved retention rates and overall school performance. Ensuring continuous professional development and well-being initiatives for teachers can further enhance their job satisfaction and strengthen their relationship with school leaders.</w:t>
      </w:r>
    </w:p>
    <w:p w14:paraId="29012F16" w14:textId="77777777" w:rsidR="00D07910" w:rsidRPr="00D07910" w:rsidRDefault="00D07910" w:rsidP="00D07910">
      <w:pPr>
        <w:pStyle w:val="ReferHead"/>
        <w:jc w:val="both"/>
        <w:rPr>
          <w:rFonts w:ascii="Arial" w:hAnsi="Arial" w:cs="Arial"/>
          <w:b w:val="0"/>
          <w:caps w:val="0"/>
          <w:sz w:val="20"/>
        </w:rPr>
      </w:pPr>
      <w:r w:rsidRPr="00D07910">
        <w:rPr>
          <w:rFonts w:ascii="Arial" w:hAnsi="Arial" w:cs="Arial"/>
          <w:b w:val="0"/>
          <w:caps w:val="0"/>
          <w:sz w:val="20"/>
        </w:rPr>
        <w:t xml:space="preserve">The findings of this study align with Herzberg’s Two-Factor Theory, which suggests that job gratification among teachers is influenced by both hygiene factors, such as salary, working conditions, and supervision, and motivators, such as recognition and professional growth. This supports the study’s results, indicating that when teachers experience favorable working conditions and strong support from their principals, their level of gratification increases. Similarly, Adam’s Equity Theory reinforces that teachers’ perception of fairness in rewards </w:t>
      </w:r>
      <w:r w:rsidRPr="00D07910">
        <w:rPr>
          <w:rFonts w:ascii="Arial" w:hAnsi="Arial" w:cs="Arial"/>
          <w:b w:val="0"/>
          <w:caps w:val="0"/>
          <w:sz w:val="20"/>
        </w:rPr>
        <w:lastRenderedPageBreak/>
        <w:t>and workload impacts their overall gratification, which is consistent with the study’s findings on the importance of equitable treatment in principal guidance comportment.</w:t>
      </w:r>
    </w:p>
    <w:p w14:paraId="1276A9DF" w14:textId="2D782D38" w:rsidR="006A0F34" w:rsidRDefault="00D07910" w:rsidP="00D07910">
      <w:pPr>
        <w:pStyle w:val="ReferHead"/>
        <w:spacing w:after="0"/>
        <w:jc w:val="both"/>
        <w:rPr>
          <w:rFonts w:ascii="Arial" w:hAnsi="Arial" w:cs="Arial"/>
          <w:b w:val="0"/>
          <w:caps w:val="0"/>
          <w:sz w:val="20"/>
        </w:rPr>
      </w:pPr>
      <w:r w:rsidRPr="00D07910">
        <w:rPr>
          <w:rFonts w:ascii="Arial" w:hAnsi="Arial" w:cs="Arial"/>
          <w:b w:val="0"/>
          <w:caps w:val="0"/>
          <w:sz w:val="20"/>
        </w:rPr>
        <w:t xml:space="preserve">In terms of principal guidance comportment, Martires’ Comportment Theory emphasizes that leadership styles significantly affect teacher morale and performance. This aligns with the study’s findings that positive principal guidance, particularly in human relations, trust/decision-making, instructional guidance, and conflict resolution, enhances teachers’ gratification. McGregor’s Theory Y, which views employees as self-motivated when given the right support, further supports the study’s conclusion that principals who foster collaboration and trust contribute to a more fulfilling work environment. Additionally, Vroom’s Expectancy Theory highlights that teachers’ motivation is influenced by their expectations of rewards and recognition, reinforcing the study’s emphasis on the role of principals in creating an environment that promotes teacher growth and satisfaction. Finally, </w:t>
      </w:r>
      <w:proofErr w:type="spellStart"/>
      <w:r w:rsidRPr="00D07910">
        <w:rPr>
          <w:rFonts w:ascii="Arial" w:hAnsi="Arial" w:cs="Arial"/>
          <w:b w:val="0"/>
          <w:caps w:val="0"/>
          <w:sz w:val="20"/>
        </w:rPr>
        <w:t>Aslankhani</w:t>
      </w:r>
      <w:proofErr w:type="spellEnd"/>
      <w:r w:rsidRPr="00D07910">
        <w:rPr>
          <w:rFonts w:ascii="Arial" w:hAnsi="Arial" w:cs="Arial"/>
          <w:b w:val="0"/>
          <w:caps w:val="0"/>
          <w:sz w:val="20"/>
        </w:rPr>
        <w:t xml:space="preserve"> (2016) found that leadership style and organizational climate significantly impact employee gratification, further validating the study’s findings that effective principal guidance comportment plays a crucial role in fostering teacher gratification in public elementary schools.</w:t>
      </w:r>
    </w:p>
    <w:p w14:paraId="74364FFB" w14:textId="77777777" w:rsidR="00D07910" w:rsidRDefault="00D07910" w:rsidP="006A0F34">
      <w:pPr>
        <w:pStyle w:val="Body"/>
        <w:rPr>
          <w:rFonts w:ascii="Arial" w:hAnsi="Arial" w:cs="Arial"/>
          <w:b/>
          <w:bCs/>
        </w:rPr>
      </w:pPr>
    </w:p>
    <w:p w14:paraId="295DD41E" w14:textId="24D400FA" w:rsidR="006A0F34" w:rsidRDefault="006A0F34" w:rsidP="006A0F34">
      <w:pPr>
        <w:pStyle w:val="Body"/>
        <w:rPr>
          <w:rFonts w:ascii="Arial" w:hAnsi="Arial" w:cs="Arial"/>
        </w:rPr>
      </w:pPr>
      <w:r>
        <w:rPr>
          <w:rFonts w:ascii="Arial" w:hAnsi="Arial" w:cs="Arial"/>
          <w:b/>
          <w:bCs/>
        </w:rPr>
        <w:t>6. RECOMMENDAT</w:t>
      </w:r>
      <w:commentRangeStart w:id="16"/>
      <w:r>
        <w:rPr>
          <w:rFonts w:ascii="Arial" w:hAnsi="Arial" w:cs="Arial"/>
          <w:b/>
          <w:bCs/>
        </w:rPr>
        <w:t>IONS</w:t>
      </w:r>
      <w:commentRangeEnd w:id="16"/>
      <w:r w:rsidR="00BD261F">
        <w:rPr>
          <w:rStyle w:val="CommentReference"/>
          <w:rFonts w:ascii="Times New Roman" w:hAnsi="Times New Roman"/>
          <w:lang w:val="nb-NO" w:eastAsia="nb-NO"/>
        </w:rPr>
        <w:commentReference w:id="16"/>
      </w:r>
    </w:p>
    <w:p w14:paraId="3A42F5E5" w14:textId="56FA5E17" w:rsidR="00D07910" w:rsidRPr="00D07910" w:rsidRDefault="00D07910" w:rsidP="00D07910">
      <w:pPr>
        <w:pStyle w:val="ReferHead"/>
        <w:jc w:val="both"/>
        <w:rPr>
          <w:rFonts w:ascii="Arial" w:hAnsi="Arial" w:cs="Arial"/>
          <w:b w:val="0"/>
          <w:caps w:val="0"/>
          <w:sz w:val="20"/>
        </w:rPr>
      </w:pPr>
      <w:r w:rsidRPr="00D07910">
        <w:rPr>
          <w:rFonts w:ascii="Arial" w:hAnsi="Arial" w:cs="Arial"/>
          <w:b w:val="0"/>
          <w:caps w:val="0"/>
          <w:sz w:val="20"/>
        </w:rPr>
        <w:t xml:space="preserve">Based on the findings and conclusions of this study, the following recommendations </w:t>
      </w:r>
      <w:r>
        <w:rPr>
          <w:rFonts w:ascii="Arial" w:hAnsi="Arial" w:cs="Arial"/>
          <w:b w:val="0"/>
          <w:caps w:val="0"/>
          <w:sz w:val="20"/>
        </w:rPr>
        <w:t>were</w:t>
      </w:r>
      <w:r w:rsidRPr="00D07910">
        <w:rPr>
          <w:rFonts w:ascii="Arial" w:hAnsi="Arial" w:cs="Arial"/>
          <w:b w:val="0"/>
          <w:caps w:val="0"/>
          <w:sz w:val="20"/>
        </w:rPr>
        <w:t xml:space="preserve"> proposed:</w:t>
      </w:r>
    </w:p>
    <w:p w14:paraId="35E01447" w14:textId="77777777" w:rsidR="00D07910" w:rsidRPr="00D07910" w:rsidRDefault="00D07910" w:rsidP="00D07910">
      <w:pPr>
        <w:pStyle w:val="ReferHead"/>
        <w:jc w:val="both"/>
        <w:rPr>
          <w:rFonts w:ascii="Arial" w:hAnsi="Arial" w:cs="Arial"/>
          <w:b w:val="0"/>
          <w:caps w:val="0"/>
          <w:sz w:val="20"/>
        </w:rPr>
      </w:pPr>
      <w:r w:rsidRPr="00D07910">
        <w:rPr>
          <w:rFonts w:ascii="Arial" w:hAnsi="Arial" w:cs="Arial"/>
          <w:b w:val="0"/>
          <w:caps w:val="0"/>
          <w:sz w:val="20"/>
        </w:rPr>
        <w:t xml:space="preserve">Firstly, considering that teachers exhibit a very high level of job gratification, it is recommended that school administrators continue to enhance and sustain initiatives that contribute to teacher fulfillment. Administrators may implement policies that ensure fair compensation, opportunities for career advancement, and a supportive work environment. Providing regular professional development programs, mentorship opportunities, and recognition for teachers' hard work can further strengthen their sense of gratification. Additionally, </w:t>
      </w:r>
      <w:commentRangeStart w:id="17"/>
      <w:r w:rsidRPr="00D07910">
        <w:rPr>
          <w:rFonts w:ascii="Arial" w:hAnsi="Arial" w:cs="Arial"/>
          <w:b w:val="0"/>
          <w:caps w:val="0"/>
          <w:sz w:val="20"/>
        </w:rPr>
        <w:t>fostering open communication between teachers and school leaders may help address concerns and improve</w:t>
      </w:r>
      <w:commentRangeEnd w:id="17"/>
      <w:r w:rsidR="00BD261F">
        <w:rPr>
          <w:rStyle w:val="CommentReference"/>
          <w:rFonts w:ascii="Times New Roman" w:hAnsi="Times New Roman"/>
          <w:b w:val="0"/>
          <w:caps w:val="0"/>
          <w:lang w:val="nb-NO" w:eastAsia="nb-NO"/>
        </w:rPr>
        <w:commentReference w:id="17"/>
      </w:r>
      <w:r w:rsidRPr="00D07910">
        <w:rPr>
          <w:rFonts w:ascii="Arial" w:hAnsi="Arial" w:cs="Arial"/>
          <w:b w:val="0"/>
          <w:caps w:val="0"/>
          <w:sz w:val="20"/>
        </w:rPr>
        <w:t xml:space="preserve"> overall job satisfaction. Teachers, on their part, may actively participate in professional development programs, communicate their needs and concerns to administrators, and take initiative in improving their work environment by collaborating with colleagues and school leaders.</w:t>
      </w:r>
    </w:p>
    <w:p w14:paraId="7076C992" w14:textId="77777777" w:rsidR="00D07910" w:rsidRPr="00D07910" w:rsidRDefault="00D07910" w:rsidP="00D07910">
      <w:pPr>
        <w:pStyle w:val="ReferHead"/>
        <w:jc w:val="both"/>
        <w:rPr>
          <w:rFonts w:ascii="Arial" w:hAnsi="Arial" w:cs="Arial"/>
          <w:b w:val="0"/>
          <w:caps w:val="0"/>
          <w:sz w:val="20"/>
        </w:rPr>
      </w:pPr>
      <w:r w:rsidRPr="00D07910">
        <w:rPr>
          <w:rFonts w:ascii="Arial" w:hAnsi="Arial" w:cs="Arial"/>
          <w:b w:val="0"/>
          <w:caps w:val="0"/>
          <w:sz w:val="20"/>
        </w:rPr>
        <w:t>Secondly, since principal guidance comportment plays a significant role in shaping teachers’ very high job gratification, it is recommended that school leaders continuously improve their leadership strategies. Training programs focusing on human relations, trust-building, instructional guidance, and conflict resolution may help principals develop more effective leadership skills. Encouraging a collaborative and inclusive approach to decision-making can also enhance teachers' perception of their principals’ guidance. By promoting a culture of mutual respect and support, school administrators can ensure a more harmonious and productive working environment. Teachers may also take an active role in fostering a positive school culture by engaging in open dialogue with their principals, providing constructive feedback, and supporting leadership initiatives that contribute to a better school climate.</w:t>
      </w:r>
    </w:p>
    <w:p w14:paraId="181FE7D1" w14:textId="77777777" w:rsidR="00D07910" w:rsidRPr="00D07910" w:rsidRDefault="00D07910" w:rsidP="00D07910">
      <w:pPr>
        <w:pStyle w:val="ReferHead"/>
        <w:jc w:val="both"/>
        <w:rPr>
          <w:rFonts w:ascii="Arial" w:hAnsi="Arial" w:cs="Arial"/>
          <w:b w:val="0"/>
          <w:caps w:val="0"/>
          <w:sz w:val="20"/>
        </w:rPr>
      </w:pPr>
      <w:r w:rsidRPr="00D07910">
        <w:rPr>
          <w:rFonts w:ascii="Arial" w:hAnsi="Arial" w:cs="Arial"/>
          <w:b w:val="0"/>
          <w:caps w:val="0"/>
          <w:sz w:val="20"/>
        </w:rPr>
        <w:t xml:space="preserve">Thirdly, given the significant relationship between job gratification and principal guidance comportment, it is recommended that school administrators implement strategies that strengthen both aspects simultaneously. Organizing leadership workshops and feedback sessions where teachers and school leaders engage in open discussions can enhance their working relationships. Furthermore, implementing teacher recognition programs and incentive systems may reinforce a positive and rewarding school culture. Creating an environment where teachers feel valued and supported can lead to higher motivation and commitment to their roles. Teachers may contribute by actively participating in these leadership workshops, </w:t>
      </w:r>
      <w:r w:rsidRPr="00D07910">
        <w:rPr>
          <w:rFonts w:ascii="Arial" w:hAnsi="Arial" w:cs="Arial"/>
          <w:b w:val="0"/>
          <w:caps w:val="0"/>
          <w:sz w:val="20"/>
        </w:rPr>
        <w:lastRenderedPageBreak/>
        <w:t>recognizing and appreciating the efforts of their administrators, and taking the initiative to mentor or support their peers in fostering a cooperative work environment.</w:t>
      </w:r>
    </w:p>
    <w:p w14:paraId="296F6557" w14:textId="1B0D077B" w:rsidR="00B364F1" w:rsidRDefault="00D07910" w:rsidP="00D07910">
      <w:pPr>
        <w:pStyle w:val="ReferHead"/>
        <w:spacing w:after="0"/>
        <w:jc w:val="both"/>
        <w:rPr>
          <w:rFonts w:ascii="Arial" w:hAnsi="Arial" w:cs="Arial"/>
          <w:b w:val="0"/>
          <w:caps w:val="0"/>
          <w:sz w:val="20"/>
        </w:rPr>
      </w:pPr>
      <w:r w:rsidRPr="00D07910">
        <w:rPr>
          <w:rFonts w:ascii="Arial" w:hAnsi="Arial" w:cs="Arial"/>
          <w:b w:val="0"/>
          <w:caps w:val="0"/>
          <w:sz w:val="20"/>
        </w:rPr>
        <w:t>Finally, considering the influence of job gratification on teachers’ perception of principal guidance comportment, future initiatives should focus on maintaining a balance between teacher welfare and effective school leadership. School administrators may explore innovative approaches such as teacher-led leadership programs, where educators are given more opportunities to contribute to school decision-making. Future research may also investigate other factors influencing teacher gratification, such as workload management, school policies, and community involvement, to develop more comprehensive strategies for improving teacher well-being and overall school performance. Teachers may take proactive steps by engaging in leadership opportunities, sharing best practices with colleagues, and collaborating with administrators to shape policies that enhance both their professional growth and the overall effectiveness of the school.</w:t>
      </w:r>
    </w:p>
    <w:p w14:paraId="5EA6A761" w14:textId="77777777" w:rsidR="00B364F1" w:rsidRDefault="00B364F1" w:rsidP="00B364F1">
      <w:pPr>
        <w:pStyle w:val="ReferHead"/>
        <w:spacing w:after="0"/>
        <w:jc w:val="both"/>
        <w:rPr>
          <w:rFonts w:ascii="Arial" w:hAnsi="Arial" w:cs="Arial"/>
          <w:b w:val="0"/>
          <w:caps w:val="0"/>
          <w:sz w:val="20"/>
        </w:rPr>
      </w:pPr>
    </w:p>
    <w:p w14:paraId="7C238C0B" w14:textId="77777777" w:rsidR="006A0F34" w:rsidRDefault="006A0F3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D31ACD">
      <w:pPr>
        <w:pStyle w:val="ReferHead"/>
        <w:spacing w:after="0"/>
        <w:jc w:val="both"/>
        <w:rPr>
          <w:rFonts w:ascii="Arial" w:hAnsi="Arial" w:cs="Arial"/>
          <w:bCs/>
          <w:sz w:val="20"/>
        </w:rPr>
      </w:pPr>
      <w:commentRangeStart w:id="18"/>
      <w:r>
        <w:rPr>
          <w:rFonts w:ascii="Arial" w:hAnsi="Arial" w:cs="Arial"/>
          <w:bCs/>
          <w:sz w:val="20"/>
        </w:rPr>
        <w:t>Consent (where ever applicable)</w:t>
      </w:r>
    </w:p>
    <w:commentRangeEnd w:id="18"/>
    <w:p w14:paraId="67F05F0C" w14:textId="77777777" w:rsidR="00717F2E" w:rsidRDefault="00D055FD">
      <w:pPr>
        <w:pStyle w:val="ReferHead"/>
        <w:spacing w:after="0"/>
        <w:jc w:val="both"/>
        <w:rPr>
          <w:rFonts w:ascii="Arial" w:hAnsi="Arial" w:cs="Arial"/>
          <w:bCs/>
          <w:sz w:val="20"/>
        </w:rPr>
      </w:pPr>
      <w:r>
        <w:rPr>
          <w:rStyle w:val="CommentReference"/>
          <w:rFonts w:ascii="Times New Roman" w:hAnsi="Times New Roman"/>
          <w:b w:val="0"/>
          <w:caps w:val="0"/>
          <w:lang w:val="nb-NO" w:eastAsia="nb-NO"/>
        </w:rPr>
        <w:commentReference w:id="18"/>
      </w: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6BD2CECA" w14:textId="77777777" w:rsidR="00523AEB" w:rsidRDefault="00523AEB">
      <w:pPr>
        <w:pStyle w:val="ReferHead"/>
        <w:spacing w:after="0"/>
        <w:jc w:val="both"/>
        <w:rPr>
          <w:rFonts w:ascii="Arial" w:hAnsi="Arial" w:cs="Arial"/>
          <w:b w:val="0"/>
          <w:caps w:val="0"/>
          <w:sz w:val="20"/>
        </w:rPr>
      </w:pPr>
    </w:p>
    <w:p w14:paraId="698FAD66" w14:textId="77777777" w:rsidR="00523AEB" w:rsidRDefault="00523AEB">
      <w:pPr>
        <w:pStyle w:val="ReferHead"/>
        <w:spacing w:after="0"/>
        <w:jc w:val="both"/>
        <w:rPr>
          <w:rFonts w:ascii="Arial" w:hAnsi="Arial" w:cs="Arial"/>
          <w:b w:val="0"/>
          <w:caps w:val="0"/>
          <w:sz w:val="20"/>
        </w:rPr>
      </w:pPr>
    </w:p>
    <w:p w14:paraId="150EA3C2" w14:textId="77777777" w:rsidR="00523AEB" w:rsidRPr="00523AEB" w:rsidRDefault="00523AEB" w:rsidP="00523AEB">
      <w:pPr>
        <w:pStyle w:val="ReferHead"/>
        <w:jc w:val="both"/>
        <w:rPr>
          <w:rFonts w:ascii="Arial" w:hAnsi="Arial" w:cs="Arial"/>
          <w:b w:val="0"/>
          <w:caps w:val="0"/>
          <w:sz w:val="20"/>
        </w:rPr>
      </w:pPr>
      <w:r w:rsidRPr="00523AEB">
        <w:rPr>
          <w:rFonts w:ascii="Arial" w:hAnsi="Arial" w:cs="Arial"/>
          <w:b w:val="0"/>
          <w:caps w:val="0"/>
          <w:sz w:val="20"/>
        </w:rPr>
        <w:t>COMPETING INTERESTS DISCLAIMER:</w:t>
      </w:r>
    </w:p>
    <w:p w14:paraId="082D9233" w14:textId="6DACFA8D" w:rsidR="00523AEB" w:rsidRDefault="00523AEB" w:rsidP="00523AEB">
      <w:pPr>
        <w:pStyle w:val="ReferHead"/>
        <w:spacing w:after="0"/>
        <w:jc w:val="both"/>
        <w:rPr>
          <w:rFonts w:ascii="Arial" w:hAnsi="Arial" w:cs="Arial"/>
          <w:b w:val="0"/>
          <w:caps w:val="0"/>
          <w:sz w:val="20"/>
        </w:rPr>
      </w:pPr>
      <w:r w:rsidRPr="00523AEB">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D31ACD"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0BE02E67" w14:textId="77777777" w:rsidR="00BA4D4E" w:rsidRPr="00B4610A" w:rsidRDefault="00BA4D4E" w:rsidP="00BA4D4E">
      <w:pPr>
        <w:tabs>
          <w:tab w:val="left" w:pos="270"/>
        </w:tabs>
        <w:ind w:left="720" w:hanging="720"/>
      </w:pPr>
    </w:p>
    <w:p w14:paraId="3AF2A17F" w14:textId="77777777" w:rsidR="006D12D7" w:rsidRPr="00AD4E34" w:rsidRDefault="006D12D7" w:rsidP="006D12D7">
      <w:pPr>
        <w:ind w:left="720" w:hanging="720"/>
        <w:rPr>
          <w:rFonts w:ascii="Arial" w:hAnsi="Arial" w:cs="Arial"/>
        </w:rPr>
      </w:pPr>
    </w:p>
    <w:p w14:paraId="092A4D25" w14:textId="77777777" w:rsidR="006D12D7"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Al Khajeh, E. H. (2018). Impact of leadership styles on organizational performance. </w:t>
      </w:r>
      <w:r w:rsidRPr="00AD4E34">
        <w:rPr>
          <w:rFonts w:ascii="Arial" w:eastAsia="Calibri" w:hAnsi="Arial" w:cs="Arial"/>
          <w:i/>
          <w:iCs/>
          <w:color w:val="000000"/>
          <w:shd w:val="clear" w:color="auto" w:fill="FFFFFF"/>
          <w:lang w:val="en-PH"/>
        </w:rPr>
        <w:t>Journal of Human Resources Management Research</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2018</w:t>
      </w:r>
      <w:r w:rsidRPr="00AD4E34">
        <w:rPr>
          <w:rFonts w:ascii="Arial" w:eastAsia="Calibri" w:hAnsi="Arial" w:cs="Arial"/>
          <w:color w:val="000000"/>
          <w:shd w:val="clear" w:color="auto" w:fill="FFFFFF"/>
          <w:lang w:val="en-PH"/>
        </w:rPr>
        <w:t>, 1-10.</w:t>
      </w:r>
    </w:p>
    <w:p w14:paraId="489F2139" w14:textId="752B563A" w:rsidR="00B00250" w:rsidRPr="00AD4E34" w:rsidRDefault="00B00250" w:rsidP="006D12D7">
      <w:pPr>
        <w:ind w:left="720" w:hanging="720"/>
        <w:jc w:val="both"/>
        <w:rPr>
          <w:rFonts w:ascii="Arial" w:eastAsia="Calibri" w:hAnsi="Arial" w:cs="Arial"/>
          <w:color w:val="000000"/>
          <w:shd w:val="clear" w:color="auto" w:fill="FFFFFF"/>
          <w:lang w:val="en-PH"/>
        </w:rPr>
      </w:pPr>
      <w:r>
        <w:rPr>
          <w:rFonts w:ascii="Arial" w:hAnsi="Arial" w:cs="Arial"/>
          <w:color w:val="222222"/>
          <w:shd w:val="clear" w:color="auto" w:fill="FFFFFF"/>
        </w:rPr>
        <w:t>Alipio, M., &amp; Torres, R. (2023). Transition to limited face-to-face classes during the COVID-19 pandemic: Challenges met and lessons learned towards implementing continuous quality improvement.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(1), 15-29.</w:t>
      </w:r>
    </w:p>
    <w:p w14:paraId="36DE4D46"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Andrews-Lee, C. (2019). The revival of charisma: experimental evidence from Argentina and Venezuela. </w:t>
      </w:r>
      <w:r w:rsidRPr="00AD4E34">
        <w:rPr>
          <w:rFonts w:ascii="Arial" w:eastAsia="Calibri" w:hAnsi="Arial" w:cs="Arial"/>
          <w:i/>
          <w:iCs/>
          <w:color w:val="000000"/>
          <w:lang w:val="en-PH"/>
        </w:rPr>
        <w:t>Comparative Political Studies</w:t>
      </w:r>
      <w:r w:rsidRPr="00AD4E34">
        <w:rPr>
          <w:rFonts w:ascii="Arial" w:eastAsia="Calibri" w:hAnsi="Arial" w:cs="Arial"/>
          <w:color w:val="000000"/>
          <w:lang w:val="en-PH"/>
        </w:rPr>
        <w:t>, </w:t>
      </w:r>
      <w:r w:rsidRPr="00AD4E34">
        <w:rPr>
          <w:rFonts w:ascii="Arial" w:eastAsia="Calibri" w:hAnsi="Arial" w:cs="Arial"/>
          <w:i/>
          <w:iCs/>
          <w:color w:val="000000"/>
          <w:lang w:val="en-PH"/>
        </w:rPr>
        <w:t>52</w:t>
      </w:r>
      <w:r w:rsidRPr="00AD4E34">
        <w:rPr>
          <w:rFonts w:ascii="Arial" w:eastAsia="Calibri" w:hAnsi="Arial" w:cs="Arial"/>
          <w:color w:val="000000"/>
          <w:lang w:val="en-PH"/>
        </w:rPr>
        <w:t>(5), 687-719.</w:t>
      </w:r>
    </w:p>
    <w:p w14:paraId="09473F30"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Baguio, M. P. A. B., &amp; Baguio, J. B. (2025). Professional Reputation and Service Efficacy of Teachers in Public Elementary Schools. </w:t>
      </w:r>
      <w:r w:rsidRPr="00AD4E34">
        <w:rPr>
          <w:rFonts w:ascii="Arial" w:hAnsi="Arial" w:cs="Arial"/>
          <w:i/>
          <w:iCs/>
          <w:color w:val="222222"/>
          <w:shd w:val="clear" w:color="auto" w:fill="FFFFFF"/>
        </w:rPr>
        <w:t>Asian Journal of Education and Social Studies</w:t>
      </w:r>
      <w:r w:rsidRPr="00AD4E34">
        <w:rPr>
          <w:rFonts w:ascii="Arial" w:hAnsi="Arial" w:cs="Arial"/>
          <w:color w:val="222222"/>
          <w:shd w:val="clear" w:color="auto" w:fill="FFFFFF"/>
        </w:rPr>
        <w:t>, </w:t>
      </w:r>
      <w:r w:rsidRPr="00AD4E34">
        <w:rPr>
          <w:rFonts w:ascii="Arial" w:hAnsi="Arial" w:cs="Arial"/>
          <w:i/>
          <w:iCs/>
          <w:color w:val="222222"/>
          <w:shd w:val="clear" w:color="auto" w:fill="FFFFFF"/>
        </w:rPr>
        <w:t>51</w:t>
      </w:r>
      <w:r w:rsidRPr="00AD4E34">
        <w:rPr>
          <w:rFonts w:ascii="Arial" w:hAnsi="Arial" w:cs="Arial"/>
          <w:color w:val="222222"/>
          <w:shd w:val="clear" w:color="auto" w:fill="FFFFFF"/>
        </w:rPr>
        <w:t>(1), 165-174.</w:t>
      </w:r>
    </w:p>
    <w:p w14:paraId="0D4FD63A"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Bakker, A. B., &amp; Albrecht, S. (2018). Work engagement: current trends. </w:t>
      </w:r>
      <w:r w:rsidRPr="00AD4E34">
        <w:rPr>
          <w:rFonts w:ascii="Arial" w:eastAsia="Calibri" w:hAnsi="Arial" w:cs="Arial"/>
          <w:i/>
          <w:iCs/>
          <w:color w:val="000000"/>
          <w:lang w:val="en-PH"/>
        </w:rPr>
        <w:t>Career Development International</w:t>
      </w:r>
      <w:r w:rsidRPr="00AD4E34">
        <w:rPr>
          <w:rFonts w:ascii="Arial" w:eastAsia="Calibri" w:hAnsi="Arial" w:cs="Arial"/>
          <w:color w:val="000000"/>
          <w:lang w:val="en-PH"/>
        </w:rPr>
        <w:t>.</w:t>
      </w:r>
    </w:p>
    <w:p w14:paraId="4ADA34FA" w14:textId="77777777" w:rsidR="006D12D7" w:rsidRPr="00AD4E34" w:rsidRDefault="006D12D7" w:rsidP="006D12D7">
      <w:pPr>
        <w:ind w:left="720" w:hanging="720"/>
        <w:jc w:val="both"/>
        <w:rPr>
          <w:rFonts w:ascii="Arial" w:eastAsia="Calibri" w:hAnsi="Arial" w:cs="Arial"/>
          <w:color w:val="000000"/>
          <w:lang w:val="en-PH"/>
        </w:rPr>
      </w:pPr>
      <w:proofErr w:type="spellStart"/>
      <w:r w:rsidRPr="00AD4E34">
        <w:rPr>
          <w:rFonts w:ascii="Arial" w:eastAsia="Calibri" w:hAnsi="Arial" w:cs="Arial"/>
          <w:color w:val="000000"/>
          <w:lang w:val="en-PH"/>
        </w:rPr>
        <w:lastRenderedPageBreak/>
        <w:t>Battaglio</w:t>
      </w:r>
      <w:proofErr w:type="spellEnd"/>
      <w:r w:rsidRPr="00AD4E34">
        <w:rPr>
          <w:rFonts w:ascii="Arial" w:eastAsia="Calibri" w:hAnsi="Arial" w:cs="Arial"/>
          <w:color w:val="000000"/>
          <w:lang w:val="en-PH"/>
        </w:rPr>
        <w:t xml:space="preserve"> Jr, R. P., &amp; </w:t>
      </w:r>
      <w:proofErr w:type="spellStart"/>
      <w:r w:rsidRPr="00AD4E34">
        <w:rPr>
          <w:rFonts w:ascii="Arial" w:eastAsia="Calibri" w:hAnsi="Arial" w:cs="Arial"/>
          <w:color w:val="000000"/>
          <w:lang w:val="en-PH"/>
        </w:rPr>
        <w:t>Gelgec</w:t>
      </w:r>
      <w:proofErr w:type="spellEnd"/>
      <w:r w:rsidRPr="00AD4E34">
        <w:rPr>
          <w:rFonts w:ascii="Arial" w:eastAsia="Calibri" w:hAnsi="Arial" w:cs="Arial"/>
          <w:color w:val="000000"/>
          <w:lang w:val="en-PH"/>
        </w:rPr>
        <w:t>, S. (2017). Exploring the structure and meaning of public service motivation in the Turkish public sector: A test of the mediating effects of work characteristics. </w:t>
      </w:r>
      <w:r w:rsidRPr="00AD4E34">
        <w:rPr>
          <w:rFonts w:ascii="Arial" w:eastAsia="Calibri" w:hAnsi="Arial" w:cs="Arial"/>
          <w:i/>
          <w:iCs/>
          <w:color w:val="000000"/>
          <w:lang w:val="en-PH"/>
        </w:rPr>
        <w:t>Public management review</w:t>
      </w:r>
      <w:r w:rsidRPr="00AD4E34">
        <w:rPr>
          <w:rFonts w:ascii="Arial" w:eastAsia="Calibri" w:hAnsi="Arial" w:cs="Arial"/>
          <w:color w:val="000000"/>
          <w:lang w:val="en-PH"/>
        </w:rPr>
        <w:t>, </w:t>
      </w:r>
      <w:r w:rsidRPr="00AD4E34">
        <w:rPr>
          <w:rFonts w:ascii="Arial" w:eastAsia="Calibri" w:hAnsi="Arial" w:cs="Arial"/>
          <w:i/>
          <w:iCs/>
          <w:color w:val="000000"/>
          <w:lang w:val="en-PH"/>
        </w:rPr>
        <w:t>19</w:t>
      </w:r>
      <w:r w:rsidRPr="00AD4E34">
        <w:rPr>
          <w:rFonts w:ascii="Arial" w:eastAsia="Calibri" w:hAnsi="Arial" w:cs="Arial"/>
          <w:color w:val="000000"/>
          <w:lang w:val="en-PH"/>
        </w:rPr>
        <w:t>(8), 1066-1084.</w:t>
      </w:r>
    </w:p>
    <w:p w14:paraId="302F46B8"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 xml:space="preserve">Bélanger, J. J., </w:t>
      </w:r>
      <w:proofErr w:type="spellStart"/>
      <w:r w:rsidRPr="00AD4E34">
        <w:rPr>
          <w:rFonts w:ascii="Arial" w:eastAsia="Calibri" w:hAnsi="Arial" w:cs="Arial"/>
          <w:color w:val="000000"/>
          <w:lang w:val="en-PH"/>
        </w:rPr>
        <w:t>Schumpe</w:t>
      </w:r>
      <w:proofErr w:type="spellEnd"/>
      <w:r w:rsidRPr="00AD4E34">
        <w:rPr>
          <w:rFonts w:ascii="Arial" w:eastAsia="Calibri" w:hAnsi="Arial" w:cs="Arial"/>
          <w:color w:val="000000"/>
          <w:lang w:val="en-PH"/>
        </w:rPr>
        <w:t xml:space="preserve">, B. M., Menon, B., Ng, J., </w:t>
      </w:r>
      <w:proofErr w:type="spellStart"/>
      <w:r w:rsidRPr="00AD4E34">
        <w:rPr>
          <w:rFonts w:ascii="Arial" w:eastAsia="Calibri" w:hAnsi="Arial" w:cs="Arial"/>
          <w:color w:val="000000"/>
          <w:lang w:val="en-PH"/>
        </w:rPr>
        <w:t>Nociti</w:t>
      </w:r>
      <w:proofErr w:type="spellEnd"/>
      <w:r w:rsidRPr="00AD4E34">
        <w:rPr>
          <w:rFonts w:ascii="Arial" w:eastAsia="Calibri" w:hAnsi="Arial" w:cs="Arial"/>
          <w:color w:val="000000"/>
          <w:lang w:val="en-PH"/>
        </w:rPr>
        <w:t>, N., Zeigler-Hill, V., &amp; Shackelford, T. K. (2018). Self-sacrifice for a cause: a review and an integrative model. </w:t>
      </w:r>
      <w:r w:rsidRPr="00AD4E34">
        <w:rPr>
          <w:rFonts w:ascii="Arial" w:eastAsia="Calibri" w:hAnsi="Arial" w:cs="Arial"/>
          <w:i/>
          <w:iCs/>
          <w:color w:val="000000"/>
          <w:lang w:val="en-PH"/>
        </w:rPr>
        <w:t>V. Zeigler-Hill &amp; TK Shackelford, The sage handbook of personality and individual differences</w:t>
      </w:r>
      <w:r w:rsidRPr="00AD4E34">
        <w:rPr>
          <w:rFonts w:ascii="Arial" w:eastAsia="Calibri" w:hAnsi="Arial" w:cs="Arial"/>
          <w:color w:val="000000"/>
          <w:lang w:val="en-PH"/>
        </w:rPr>
        <w:t>, 465-485.</w:t>
      </w:r>
    </w:p>
    <w:p w14:paraId="20B8C9E7" w14:textId="77777777" w:rsidR="006D12D7" w:rsidRPr="00AD4E34" w:rsidRDefault="006D12D7" w:rsidP="006D12D7">
      <w:pPr>
        <w:ind w:left="720" w:hanging="720"/>
        <w:jc w:val="both"/>
        <w:rPr>
          <w:rFonts w:ascii="Arial" w:eastAsia="Calibri" w:hAnsi="Arial" w:cs="Arial"/>
          <w:color w:val="000000"/>
          <w:lang w:val="en-PH"/>
        </w:rPr>
      </w:pPr>
      <w:proofErr w:type="spellStart"/>
      <w:r w:rsidRPr="00AD4E34">
        <w:rPr>
          <w:rFonts w:ascii="Arial" w:eastAsia="Calibri" w:hAnsi="Arial" w:cs="Arial"/>
          <w:color w:val="000000"/>
          <w:lang w:val="en-PH"/>
        </w:rPr>
        <w:t>Belrhiti</w:t>
      </w:r>
      <w:proofErr w:type="spellEnd"/>
      <w:r w:rsidRPr="00AD4E34">
        <w:rPr>
          <w:rFonts w:ascii="Arial" w:eastAsia="Calibri" w:hAnsi="Arial" w:cs="Arial"/>
          <w:color w:val="000000"/>
          <w:lang w:val="en-PH"/>
        </w:rPr>
        <w:t>, Z., Van Damme, W., Belalia, A., &amp; Marchal, B. (2019). Does public service motivation matter in Moroccan public hospitals? A multiple embedded case study. </w:t>
      </w:r>
      <w:r w:rsidRPr="00AD4E34">
        <w:rPr>
          <w:rFonts w:ascii="Arial" w:eastAsia="Calibri" w:hAnsi="Arial" w:cs="Arial"/>
          <w:i/>
          <w:iCs/>
          <w:color w:val="000000"/>
          <w:lang w:val="en-PH"/>
        </w:rPr>
        <w:t>International journal for equity in health</w:t>
      </w:r>
      <w:r w:rsidRPr="00AD4E34">
        <w:rPr>
          <w:rFonts w:ascii="Arial" w:eastAsia="Calibri" w:hAnsi="Arial" w:cs="Arial"/>
          <w:color w:val="000000"/>
          <w:lang w:val="en-PH"/>
        </w:rPr>
        <w:t>, </w:t>
      </w:r>
      <w:r w:rsidRPr="00AD4E34">
        <w:rPr>
          <w:rFonts w:ascii="Arial" w:eastAsia="Calibri" w:hAnsi="Arial" w:cs="Arial"/>
          <w:i/>
          <w:iCs/>
          <w:color w:val="000000"/>
          <w:lang w:val="en-PH"/>
        </w:rPr>
        <w:t>18</w:t>
      </w:r>
      <w:r w:rsidRPr="00AD4E34">
        <w:rPr>
          <w:rFonts w:ascii="Arial" w:eastAsia="Calibri" w:hAnsi="Arial" w:cs="Arial"/>
          <w:color w:val="000000"/>
          <w:lang w:val="en-PH"/>
        </w:rPr>
        <w:t>(1), 1-13.</w:t>
      </w:r>
    </w:p>
    <w:p w14:paraId="6C265A36"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Bennis, W. G., &amp; Thomas, R. J. (2020). Crucibles of leadership. </w:t>
      </w:r>
      <w:r w:rsidRPr="00AD4E34">
        <w:rPr>
          <w:rFonts w:ascii="Arial" w:eastAsia="Calibri" w:hAnsi="Arial" w:cs="Arial"/>
          <w:i/>
          <w:iCs/>
          <w:color w:val="000000"/>
          <w:shd w:val="clear" w:color="auto" w:fill="FFFFFF"/>
          <w:lang w:val="en-PH"/>
        </w:rPr>
        <w:t>Harvard business review</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80</w:t>
      </w:r>
      <w:r w:rsidRPr="00AD4E34">
        <w:rPr>
          <w:rFonts w:ascii="Arial" w:eastAsia="Calibri" w:hAnsi="Arial" w:cs="Arial"/>
          <w:color w:val="000000"/>
          <w:shd w:val="clear" w:color="auto" w:fill="FFFFFF"/>
          <w:lang w:val="en-PH"/>
        </w:rPr>
        <w:t>.</w:t>
      </w:r>
    </w:p>
    <w:p w14:paraId="165FCBC5"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 xml:space="preserve">Benter, J. (2020). An Assessment of the School Justice System in </w:t>
      </w:r>
      <w:proofErr w:type="spellStart"/>
      <w:r w:rsidRPr="00AD4E34">
        <w:rPr>
          <w:rFonts w:ascii="Arial" w:eastAsia="Calibri" w:hAnsi="Arial" w:cs="Arial"/>
          <w:color w:val="000000"/>
          <w:lang w:val="en-PH"/>
        </w:rPr>
        <w:t>Hagonoy</w:t>
      </w:r>
      <w:proofErr w:type="spellEnd"/>
      <w:r w:rsidRPr="00AD4E34">
        <w:rPr>
          <w:rFonts w:ascii="Arial" w:eastAsia="Calibri" w:hAnsi="Arial" w:cs="Arial"/>
          <w:color w:val="000000"/>
          <w:lang w:val="en-PH"/>
        </w:rPr>
        <w:t>, Bulacan: Basis for Enhancing Mediation Procedure. </w:t>
      </w:r>
      <w:r w:rsidRPr="00AD4E34">
        <w:rPr>
          <w:rFonts w:ascii="Arial" w:eastAsia="Calibri" w:hAnsi="Arial" w:cs="Arial"/>
          <w:i/>
          <w:iCs/>
          <w:color w:val="000000"/>
          <w:lang w:val="en-PH"/>
        </w:rPr>
        <w:t>Bulacan: Basis for Enhancing Mediation Procedure (September 1, 2020)</w:t>
      </w:r>
      <w:r w:rsidRPr="00AD4E34">
        <w:rPr>
          <w:rFonts w:ascii="Arial" w:eastAsia="Calibri" w:hAnsi="Arial" w:cs="Arial"/>
          <w:color w:val="000000"/>
          <w:lang w:val="en-PH"/>
        </w:rPr>
        <w:t>.</w:t>
      </w:r>
    </w:p>
    <w:p w14:paraId="74190BAC"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Brass, J., &amp; Holloway, J. (2021). Re-professionalizing teaching: The new professionalism in the United States. </w:t>
      </w:r>
      <w:r w:rsidRPr="00AD4E34">
        <w:rPr>
          <w:rFonts w:ascii="Arial" w:eastAsia="Calibri" w:hAnsi="Arial" w:cs="Arial"/>
          <w:i/>
          <w:iCs/>
          <w:color w:val="000000"/>
          <w:lang w:val="en-PH"/>
        </w:rPr>
        <w:t>Critical Studies in Education</w:t>
      </w:r>
      <w:r w:rsidRPr="00AD4E34">
        <w:rPr>
          <w:rFonts w:ascii="Arial" w:eastAsia="Calibri" w:hAnsi="Arial" w:cs="Arial"/>
          <w:color w:val="000000"/>
          <w:lang w:val="en-PH"/>
        </w:rPr>
        <w:t>, </w:t>
      </w:r>
      <w:r w:rsidRPr="00AD4E34">
        <w:rPr>
          <w:rFonts w:ascii="Arial" w:eastAsia="Calibri" w:hAnsi="Arial" w:cs="Arial"/>
          <w:i/>
          <w:iCs/>
          <w:color w:val="000000"/>
          <w:lang w:val="en-PH"/>
        </w:rPr>
        <w:t>62</w:t>
      </w:r>
      <w:r w:rsidRPr="00AD4E34">
        <w:rPr>
          <w:rFonts w:ascii="Arial" w:eastAsia="Calibri" w:hAnsi="Arial" w:cs="Arial"/>
          <w:color w:val="000000"/>
          <w:lang w:val="en-PH"/>
        </w:rPr>
        <w:t>(4), 519-536.</w:t>
      </w:r>
    </w:p>
    <w:p w14:paraId="7FE1ADC8"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Brown, T., Yu, M. L., Hewitt, A., &amp; Etherington, J. (2020). Professionalism as a predictor of fieldwork performance in undergraduate occupational therapy students: An exploratory study. </w:t>
      </w:r>
      <w:r w:rsidRPr="00AD4E34">
        <w:rPr>
          <w:rFonts w:ascii="Arial" w:hAnsi="Arial" w:cs="Arial"/>
          <w:i/>
          <w:iCs/>
          <w:color w:val="222222"/>
          <w:shd w:val="clear" w:color="auto" w:fill="FFFFFF"/>
        </w:rPr>
        <w:t>Occupational Therapy in Health Care</w:t>
      </w:r>
      <w:r w:rsidRPr="00AD4E34">
        <w:rPr>
          <w:rFonts w:ascii="Arial" w:hAnsi="Arial" w:cs="Arial"/>
          <w:color w:val="222222"/>
          <w:shd w:val="clear" w:color="auto" w:fill="FFFFFF"/>
        </w:rPr>
        <w:t>, </w:t>
      </w:r>
      <w:r w:rsidRPr="00AD4E34">
        <w:rPr>
          <w:rFonts w:ascii="Arial" w:hAnsi="Arial" w:cs="Arial"/>
          <w:i/>
          <w:iCs/>
          <w:color w:val="222222"/>
          <w:shd w:val="clear" w:color="auto" w:fill="FFFFFF"/>
        </w:rPr>
        <w:t>34</w:t>
      </w:r>
      <w:r w:rsidRPr="00AD4E34">
        <w:rPr>
          <w:rFonts w:ascii="Arial" w:hAnsi="Arial" w:cs="Arial"/>
          <w:color w:val="222222"/>
          <w:shd w:val="clear" w:color="auto" w:fill="FFFFFF"/>
        </w:rPr>
        <w:t>(2), 131-154.</w:t>
      </w:r>
    </w:p>
    <w:p w14:paraId="0FD4CBDE" w14:textId="77777777" w:rsidR="006D12D7" w:rsidRPr="00AD4E34" w:rsidRDefault="006D12D7" w:rsidP="006D12D7">
      <w:pPr>
        <w:ind w:left="720" w:hanging="720"/>
        <w:jc w:val="both"/>
        <w:rPr>
          <w:rFonts w:ascii="Arial" w:eastAsia="Calibri" w:hAnsi="Arial" w:cs="Arial"/>
          <w:iCs/>
          <w:color w:val="000000"/>
        </w:rPr>
      </w:pPr>
      <w:r w:rsidRPr="00AD4E34">
        <w:rPr>
          <w:rFonts w:ascii="Arial" w:eastAsia="Calibri" w:hAnsi="Arial" w:cs="Arial"/>
          <w:iCs/>
          <w:color w:val="000000"/>
        </w:rPr>
        <w:t>Bueno, D. C., &amp;</w:t>
      </w:r>
      <w:proofErr w:type="spellStart"/>
      <w:r w:rsidRPr="00AD4E34">
        <w:rPr>
          <w:rFonts w:ascii="Arial" w:eastAsia="Calibri" w:hAnsi="Arial" w:cs="Arial"/>
          <w:iCs/>
          <w:color w:val="000000"/>
        </w:rPr>
        <w:t>Salapa</w:t>
      </w:r>
      <w:proofErr w:type="spellEnd"/>
      <w:r w:rsidRPr="00AD4E34">
        <w:rPr>
          <w:rFonts w:ascii="Arial" w:eastAsia="Calibri" w:hAnsi="Arial" w:cs="Arial"/>
          <w:iCs/>
          <w:color w:val="000000"/>
        </w:rPr>
        <w:t xml:space="preserve">, A. C. (2021). Capabilities of local community officials for devolution: A case towards Mandanas ruling-ready city. </w:t>
      </w:r>
      <w:r w:rsidRPr="00AD4E34">
        <w:rPr>
          <w:rFonts w:ascii="Arial" w:eastAsia="Calibri" w:hAnsi="Arial" w:cs="Arial"/>
          <w:i/>
          <w:iCs/>
          <w:color w:val="000000"/>
        </w:rPr>
        <w:t>Institutional Multidisciplinary Research and Development Journal</w:t>
      </w:r>
      <w:r w:rsidRPr="00AD4E34">
        <w:rPr>
          <w:rFonts w:ascii="Arial" w:eastAsia="Calibri" w:hAnsi="Arial" w:cs="Arial"/>
          <w:iCs/>
          <w:color w:val="000000"/>
        </w:rPr>
        <w:t>, 4, 1-12. ISSN 2619-7820</w:t>
      </w:r>
    </w:p>
    <w:p w14:paraId="719DC103"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Cai, Y., Wang, L., Bi, Y., &amp; Tang, R. (2022). How can the professional community influence teachers’ work engagement? The mediating role of teacher self-efficacy. </w:t>
      </w:r>
      <w:r w:rsidRPr="00AD4E34">
        <w:rPr>
          <w:rFonts w:ascii="Arial" w:hAnsi="Arial" w:cs="Arial"/>
          <w:i/>
          <w:iCs/>
          <w:color w:val="222222"/>
          <w:shd w:val="clear" w:color="auto" w:fill="FFFFFF"/>
        </w:rPr>
        <w:t>Sustainability</w:t>
      </w:r>
      <w:r w:rsidRPr="00AD4E34">
        <w:rPr>
          <w:rFonts w:ascii="Arial" w:hAnsi="Arial" w:cs="Arial"/>
          <w:color w:val="222222"/>
          <w:shd w:val="clear" w:color="auto" w:fill="FFFFFF"/>
        </w:rPr>
        <w:t>, </w:t>
      </w:r>
      <w:r w:rsidRPr="00AD4E34">
        <w:rPr>
          <w:rFonts w:ascii="Arial" w:hAnsi="Arial" w:cs="Arial"/>
          <w:i/>
          <w:iCs/>
          <w:color w:val="222222"/>
          <w:shd w:val="clear" w:color="auto" w:fill="FFFFFF"/>
        </w:rPr>
        <w:t>14</w:t>
      </w:r>
      <w:r w:rsidRPr="00AD4E34">
        <w:rPr>
          <w:rFonts w:ascii="Arial" w:hAnsi="Arial" w:cs="Arial"/>
          <w:color w:val="222222"/>
          <w:shd w:val="clear" w:color="auto" w:fill="FFFFFF"/>
        </w:rPr>
        <w:t>(16), 10029.</w:t>
      </w:r>
    </w:p>
    <w:p w14:paraId="4C02873A"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Chen, H., Richard, O. C., Boncoeur, O. D., &amp; Ford Jr, D. L. (2020). Work engagement, emotional exhaustion, and counterproductive work behavior. </w:t>
      </w:r>
      <w:r w:rsidRPr="00AD4E34">
        <w:rPr>
          <w:rFonts w:ascii="Arial" w:eastAsia="Calibri" w:hAnsi="Arial" w:cs="Arial"/>
          <w:i/>
          <w:iCs/>
          <w:color w:val="000000"/>
          <w:shd w:val="clear" w:color="auto" w:fill="FFFFFF"/>
          <w:lang w:val="en-PH"/>
        </w:rPr>
        <w:t>Journal of Business Research</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114</w:t>
      </w:r>
      <w:r w:rsidRPr="00AD4E34">
        <w:rPr>
          <w:rFonts w:ascii="Arial" w:eastAsia="Calibri" w:hAnsi="Arial" w:cs="Arial"/>
          <w:color w:val="000000"/>
          <w:shd w:val="clear" w:color="auto" w:fill="FFFFFF"/>
          <w:lang w:val="en-PH"/>
        </w:rPr>
        <w:t>, 30-41.</w:t>
      </w:r>
    </w:p>
    <w:p w14:paraId="180A8EB8"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Cherry, K. (2020). </w:t>
      </w:r>
      <w:r w:rsidRPr="00AD4E34">
        <w:rPr>
          <w:rFonts w:ascii="Arial" w:eastAsia="Calibri" w:hAnsi="Arial" w:cs="Arial"/>
          <w:i/>
          <w:iCs/>
          <w:color w:val="000000"/>
          <w:lang w:val="en-PH"/>
        </w:rPr>
        <w:t>Why Correlational Studies Are Used in Psychological Research</w:t>
      </w:r>
      <w:r w:rsidRPr="00AD4E34">
        <w:rPr>
          <w:rFonts w:ascii="Arial" w:eastAsia="Calibri" w:hAnsi="Arial" w:cs="Arial"/>
          <w:color w:val="000000"/>
          <w:lang w:val="en-PH"/>
        </w:rPr>
        <w:t xml:space="preserve">. </w:t>
      </w:r>
      <w:proofErr w:type="spellStart"/>
      <w:r w:rsidRPr="00AD4E34">
        <w:rPr>
          <w:rFonts w:ascii="Arial" w:eastAsia="Calibri" w:hAnsi="Arial" w:cs="Arial"/>
          <w:color w:val="000000"/>
          <w:lang w:val="en-PH"/>
        </w:rPr>
        <w:t>Verywell</w:t>
      </w:r>
      <w:proofErr w:type="spellEnd"/>
      <w:r w:rsidRPr="00AD4E34">
        <w:rPr>
          <w:rFonts w:ascii="Arial" w:eastAsia="Calibri" w:hAnsi="Arial" w:cs="Arial"/>
          <w:color w:val="000000"/>
          <w:lang w:val="en-PH"/>
        </w:rPr>
        <w:t xml:space="preserve"> Mind. </w:t>
      </w:r>
      <w:commentRangeStart w:id="19"/>
      <w:r>
        <w:fldChar w:fldCharType="begin"/>
      </w:r>
      <w:r>
        <w:instrText>HYPERLINK "https://www.verywellmind.com/correlational-research-2795774"</w:instrText>
      </w:r>
      <w:r>
        <w:fldChar w:fldCharType="separate"/>
      </w:r>
      <w:r w:rsidRPr="00AD4E34">
        <w:rPr>
          <w:rFonts w:ascii="Arial" w:eastAsia="Calibri" w:hAnsi="Arial" w:cs="Arial"/>
          <w:color w:val="000000"/>
          <w:lang w:val="en-PH"/>
        </w:rPr>
        <w:t>https://www.verywellmind.com/correlational-research-2795774</w:t>
      </w:r>
      <w:r>
        <w:fldChar w:fldCharType="end"/>
      </w:r>
      <w:commentRangeEnd w:id="19"/>
      <w:r w:rsidR="007129FA">
        <w:rPr>
          <w:rStyle w:val="CommentReference"/>
          <w:rFonts w:ascii="Times New Roman" w:hAnsi="Times New Roman"/>
          <w:lang w:val="nb-NO" w:eastAsia="nb-NO"/>
        </w:rPr>
        <w:commentReference w:id="19"/>
      </w:r>
    </w:p>
    <w:p w14:paraId="6811E9BB"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 xml:space="preserve">Costello, J., Homberg, F., &amp; Secchi, D. (2020). The public service motivated volunteer: Devoting time or </w:t>
      </w:r>
      <w:proofErr w:type="gramStart"/>
      <w:r w:rsidRPr="00AD4E34">
        <w:rPr>
          <w:rFonts w:ascii="Arial" w:eastAsia="Calibri" w:hAnsi="Arial" w:cs="Arial"/>
          <w:color w:val="000000"/>
          <w:lang w:val="en-PH"/>
        </w:rPr>
        <w:t>effort?.</w:t>
      </w:r>
      <w:proofErr w:type="gramEnd"/>
      <w:r w:rsidRPr="00AD4E34">
        <w:rPr>
          <w:rFonts w:ascii="Arial" w:eastAsia="Calibri" w:hAnsi="Arial" w:cs="Arial"/>
          <w:color w:val="000000"/>
          <w:lang w:val="en-PH"/>
        </w:rPr>
        <w:t> </w:t>
      </w:r>
      <w:r w:rsidRPr="00AD4E34">
        <w:rPr>
          <w:rFonts w:ascii="Arial" w:eastAsia="Calibri" w:hAnsi="Arial" w:cs="Arial"/>
          <w:i/>
          <w:iCs/>
          <w:color w:val="000000"/>
          <w:lang w:val="en-PH"/>
        </w:rPr>
        <w:t>Nonprofit and Voluntary Sector Quarterly</w:t>
      </w:r>
      <w:r w:rsidRPr="00AD4E34">
        <w:rPr>
          <w:rFonts w:ascii="Arial" w:eastAsia="Calibri" w:hAnsi="Arial" w:cs="Arial"/>
          <w:color w:val="000000"/>
          <w:lang w:val="en-PH"/>
        </w:rPr>
        <w:t>, </w:t>
      </w:r>
      <w:r w:rsidRPr="00AD4E34">
        <w:rPr>
          <w:rFonts w:ascii="Arial" w:eastAsia="Calibri" w:hAnsi="Arial" w:cs="Arial"/>
          <w:i/>
          <w:iCs/>
          <w:color w:val="000000"/>
          <w:lang w:val="en-PH"/>
        </w:rPr>
        <w:t>49</w:t>
      </w:r>
      <w:r w:rsidRPr="00AD4E34">
        <w:rPr>
          <w:rFonts w:ascii="Arial" w:eastAsia="Calibri" w:hAnsi="Arial" w:cs="Arial"/>
          <w:color w:val="000000"/>
          <w:lang w:val="en-PH"/>
        </w:rPr>
        <w:t>(5), 989-1014.</w:t>
      </w:r>
    </w:p>
    <w:p w14:paraId="12409051"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Dart, J., McCall, L., Ash, S., Blair, M., Twohig, C., &amp; Palermo, C. (2019). Toward a global definition of professionalism for nutrition and dietetics education: a systematic review of the literature. </w:t>
      </w:r>
      <w:r w:rsidRPr="00AD4E34">
        <w:rPr>
          <w:rFonts w:ascii="Arial" w:eastAsia="Calibri" w:hAnsi="Arial" w:cs="Arial"/>
          <w:i/>
          <w:iCs/>
          <w:color w:val="000000"/>
          <w:lang w:val="en-PH"/>
        </w:rPr>
        <w:t>Journal of the Academy of Nutrition and Dietetics</w:t>
      </w:r>
      <w:r w:rsidRPr="00AD4E34">
        <w:rPr>
          <w:rFonts w:ascii="Arial" w:eastAsia="Calibri" w:hAnsi="Arial" w:cs="Arial"/>
          <w:color w:val="000000"/>
          <w:lang w:val="en-PH"/>
        </w:rPr>
        <w:t>, </w:t>
      </w:r>
      <w:r w:rsidRPr="00AD4E34">
        <w:rPr>
          <w:rFonts w:ascii="Arial" w:eastAsia="Calibri" w:hAnsi="Arial" w:cs="Arial"/>
          <w:i/>
          <w:iCs/>
          <w:color w:val="000000"/>
          <w:lang w:val="en-PH"/>
        </w:rPr>
        <w:t>119</w:t>
      </w:r>
      <w:r w:rsidRPr="00AD4E34">
        <w:rPr>
          <w:rFonts w:ascii="Arial" w:eastAsia="Calibri" w:hAnsi="Arial" w:cs="Arial"/>
          <w:color w:val="000000"/>
          <w:lang w:val="en-PH"/>
        </w:rPr>
        <w:t>(6), 957-971.</w:t>
      </w:r>
    </w:p>
    <w:p w14:paraId="51ED1DAF"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 xml:space="preserve">Ding, M., &amp; Wang, C. (2023). Can public service motivation increase work </w:t>
      </w:r>
      <w:proofErr w:type="gramStart"/>
      <w:r w:rsidRPr="00AD4E34">
        <w:rPr>
          <w:rFonts w:ascii="Arial" w:hAnsi="Arial" w:cs="Arial"/>
          <w:color w:val="222222"/>
          <w:shd w:val="clear" w:color="auto" w:fill="FFFFFF"/>
        </w:rPr>
        <w:t>engagement?—</w:t>
      </w:r>
      <w:proofErr w:type="gramEnd"/>
      <w:r w:rsidRPr="00AD4E34">
        <w:rPr>
          <w:rFonts w:ascii="Arial" w:hAnsi="Arial" w:cs="Arial"/>
          <w:color w:val="222222"/>
          <w:shd w:val="clear" w:color="auto" w:fill="FFFFFF"/>
        </w:rPr>
        <w:t>A meta-analysis across cultures. </w:t>
      </w:r>
      <w:r w:rsidRPr="00AD4E34">
        <w:rPr>
          <w:rFonts w:ascii="Arial" w:hAnsi="Arial" w:cs="Arial"/>
          <w:i/>
          <w:iCs/>
          <w:color w:val="222222"/>
          <w:shd w:val="clear" w:color="auto" w:fill="FFFFFF"/>
        </w:rPr>
        <w:t>Frontiers in psychology</w:t>
      </w:r>
      <w:r w:rsidRPr="00AD4E34">
        <w:rPr>
          <w:rFonts w:ascii="Arial" w:hAnsi="Arial" w:cs="Arial"/>
          <w:color w:val="222222"/>
          <w:shd w:val="clear" w:color="auto" w:fill="FFFFFF"/>
        </w:rPr>
        <w:t>, </w:t>
      </w:r>
      <w:r w:rsidRPr="00AD4E34">
        <w:rPr>
          <w:rFonts w:ascii="Arial" w:hAnsi="Arial" w:cs="Arial"/>
          <w:i/>
          <w:iCs/>
          <w:color w:val="222222"/>
          <w:shd w:val="clear" w:color="auto" w:fill="FFFFFF"/>
        </w:rPr>
        <w:t>13</w:t>
      </w:r>
      <w:r w:rsidRPr="00AD4E34">
        <w:rPr>
          <w:rFonts w:ascii="Arial" w:hAnsi="Arial" w:cs="Arial"/>
          <w:color w:val="222222"/>
          <w:shd w:val="clear" w:color="auto" w:fill="FFFFFF"/>
        </w:rPr>
        <w:t>, 1060941.</w:t>
      </w:r>
    </w:p>
    <w:p w14:paraId="1098AD80" w14:textId="77777777" w:rsidR="006D12D7" w:rsidRPr="00AD4E34" w:rsidRDefault="006D12D7" w:rsidP="006D12D7">
      <w:pPr>
        <w:ind w:left="720" w:hanging="720"/>
        <w:jc w:val="both"/>
        <w:rPr>
          <w:rFonts w:ascii="Arial" w:eastAsia="Calibri" w:hAnsi="Arial" w:cs="Arial"/>
          <w:iCs/>
          <w:color w:val="000000"/>
          <w:shd w:val="clear" w:color="auto" w:fill="FFFFFF"/>
        </w:rPr>
      </w:pPr>
      <w:proofErr w:type="spellStart"/>
      <w:r w:rsidRPr="00AD4E34">
        <w:rPr>
          <w:rFonts w:ascii="Arial" w:eastAsia="Calibri" w:hAnsi="Arial" w:cs="Arial"/>
          <w:iCs/>
          <w:color w:val="000000"/>
          <w:shd w:val="clear" w:color="auto" w:fill="FFFFFF"/>
        </w:rPr>
        <w:t>Dofeliz</w:t>
      </w:r>
      <w:proofErr w:type="spellEnd"/>
      <w:r w:rsidRPr="00AD4E34">
        <w:rPr>
          <w:rFonts w:ascii="Arial" w:eastAsia="Calibri" w:hAnsi="Arial" w:cs="Arial"/>
          <w:iCs/>
          <w:color w:val="000000"/>
          <w:shd w:val="clear" w:color="auto" w:fill="FFFFFF"/>
        </w:rPr>
        <w:t xml:space="preserve">, J. D., &amp; Dela Peña, R. F. (2022). Level of performance of the Teacher members under the school justice system as perceived by the constituents of the selected schools in the Municipality of </w:t>
      </w:r>
      <w:proofErr w:type="spellStart"/>
      <w:r w:rsidRPr="00AD4E34">
        <w:rPr>
          <w:rFonts w:ascii="Arial" w:eastAsia="Calibri" w:hAnsi="Arial" w:cs="Arial"/>
          <w:iCs/>
          <w:color w:val="000000"/>
          <w:shd w:val="clear" w:color="auto" w:fill="FFFFFF"/>
        </w:rPr>
        <w:t>Badiangan</w:t>
      </w:r>
      <w:proofErr w:type="spellEnd"/>
      <w:r w:rsidRPr="00AD4E34">
        <w:rPr>
          <w:rFonts w:ascii="Arial" w:eastAsia="Calibri" w:hAnsi="Arial" w:cs="Arial"/>
          <w:iCs/>
          <w:color w:val="000000"/>
          <w:shd w:val="clear" w:color="auto" w:fill="FFFFFF"/>
        </w:rPr>
        <w:t>, Iloilo, Philippines. </w:t>
      </w:r>
      <w:r w:rsidRPr="00AD4E34">
        <w:rPr>
          <w:rFonts w:ascii="Arial" w:eastAsia="Calibri" w:hAnsi="Arial" w:cs="Arial"/>
          <w:i/>
          <w:iCs/>
          <w:color w:val="000000"/>
          <w:shd w:val="clear" w:color="auto" w:fill="FFFFFF"/>
        </w:rPr>
        <w:t>Multidisciplinary Research Journal</w:t>
      </w:r>
      <w:r w:rsidRPr="00AD4E34">
        <w:rPr>
          <w:rFonts w:ascii="Arial" w:eastAsia="Calibri" w:hAnsi="Arial" w:cs="Arial"/>
          <w:iCs/>
          <w:color w:val="000000"/>
          <w:shd w:val="clear" w:color="auto" w:fill="FFFFFF"/>
        </w:rPr>
        <w:t>, </w:t>
      </w:r>
      <w:r w:rsidRPr="00AD4E34">
        <w:rPr>
          <w:rFonts w:ascii="Arial" w:eastAsia="Calibri" w:hAnsi="Arial" w:cs="Arial"/>
          <w:i/>
          <w:iCs/>
          <w:color w:val="000000"/>
          <w:shd w:val="clear" w:color="auto" w:fill="FFFFFF"/>
        </w:rPr>
        <w:t>15</w:t>
      </w:r>
      <w:r w:rsidRPr="00AD4E34">
        <w:rPr>
          <w:rFonts w:ascii="Arial" w:eastAsia="Calibri" w:hAnsi="Arial" w:cs="Arial"/>
          <w:iCs/>
          <w:color w:val="000000"/>
          <w:shd w:val="clear" w:color="auto" w:fill="FFFFFF"/>
        </w:rPr>
        <w:t>(1), 154-169.</w:t>
      </w:r>
    </w:p>
    <w:p w14:paraId="4C44C2B1" w14:textId="77777777" w:rsidR="006D12D7" w:rsidRPr="00AD4E34" w:rsidRDefault="006D12D7" w:rsidP="006D12D7">
      <w:pPr>
        <w:ind w:left="720" w:hanging="720"/>
        <w:rPr>
          <w:rFonts w:ascii="Arial" w:hAnsi="Arial" w:cs="Arial"/>
        </w:rPr>
      </w:pPr>
      <w:r w:rsidRPr="00AD4E34">
        <w:rPr>
          <w:rFonts w:ascii="Arial" w:hAnsi="Arial" w:cs="Arial"/>
        </w:rPr>
        <w:t xml:space="preserve">Guinigundo, D. A. G. (2021). “A path to restorative justice: Applicability of mental health courts in the Philippines.” </w:t>
      </w:r>
      <w:r w:rsidRPr="00AD4E34">
        <w:rPr>
          <w:rFonts w:ascii="Arial" w:hAnsi="Arial" w:cs="Arial"/>
          <w:i/>
          <w:iCs/>
        </w:rPr>
        <w:t>Asian Journal of Legal Education</w:t>
      </w:r>
      <w:r w:rsidRPr="00AD4E34">
        <w:rPr>
          <w:rFonts w:ascii="Arial" w:hAnsi="Arial" w:cs="Arial"/>
        </w:rPr>
        <w:t>, 8(2), 205-219.</w:t>
      </w:r>
    </w:p>
    <w:p w14:paraId="04EDED2D"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He, J., Zhang, H., &amp; Morrison, A. M. (2019). The impacts of corporate social responsibility on organization citizenship behavior and task performance in hospitality: A sequential mediation model. </w:t>
      </w:r>
      <w:r w:rsidRPr="00AD4E34">
        <w:rPr>
          <w:rFonts w:ascii="Arial" w:eastAsia="Calibri" w:hAnsi="Arial" w:cs="Arial"/>
          <w:i/>
          <w:iCs/>
          <w:color w:val="000000"/>
          <w:lang w:val="en-PH"/>
        </w:rPr>
        <w:t>International Journal of Contemporary Hospitality Management</w:t>
      </w:r>
      <w:r w:rsidRPr="00AD4E34">
        <w:rPr>
          <w:rFonts w:ascii="Arial" w:eastAsia="Calibri" w:hAnsi="Arial" w:cs="Arial"/>
          <w:color w:val="000000"/>
          <w:lang w:val="en-PH"/>
        </w:rPr>
        <w:t>, </w:t>
      </w:r>
      <w:r w:rsidRPr="00AD4E34">
        <w:rPr>
          <w:rFonts w:ascii="Arial" w:eastAsia="Calibri" w:hAnsi="Arial" w:cs="Arial"/>
          <w:i/>
          <w:iCs/>
          <w:color w:val="000000"/>
          <w:lang w:val="en-PH"/>
        </w:rPr>
        <w:t>31</w:t>
      </w:r>
      <w:r w:rsidRPr="00AD4E34">
        <w:rPr>
          <w:rFonts w:ascii="Arial" w:eastAsia="Calibri" w:hAnsi="Arial" w:cs="Arial"/>
          <w:color w:val="000000"/>
          <w:lang w:val="en-PH"/>
        </w:rPr>
        <w:t>(6), 2582-2598.</w:t>
      </w:r>
    </w:p>
    <w:p w14:paraId="36B087E7"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 xml:space="preserve">Hjalmarsson, A. K., &amp; </w:t>
      </w:r>
      <w:proofErr w:type="spellStart"/>
      <w:r w:rsidRPr="00AD4E34">
        <w:rPr>
          <w:rFonts w:ascii="Arial" w:eastAsia="Calibri" w:hAnsi="Arial" w:cs="Arial"/>
          <w:color w:val="000000"/>
          <w:lang w:val="en-PH"/>
        </w:rPr>
        <w:t>Dåderman</w:t>
      </w:r>
      <w:proofErr w:type="spellEnd"/>
      <w:r w:rsidRPr="00AD4E34">
        <w:rPr>
          <w:rFonts w:ascii="Arial" w:eastAsia="Calibri" w:hAnsi="Arial" w:cs="Arial"/>
          <w:color w:val="000000"/>
          <w:lang w:val="en-PH"/>
        </w:rPr>
        <w:t xml:space="preserve">, A. M. (2020). Relationship between emotional intelligence, personality, and self-perceived individual work performance: A cross-sectional study on the Swedish version of </w:t>
      </w:r>
      <w:proofErr w:type="spellStart"/>
      <w:r w:rsidRPr="00AD4E34">
        <w:rPr>
          <w:rFonts w:ascii="Arial" w:eastAsia="Calibri" w:hAnsi="Arial" w:cs="Arial"/>
          <w:color w:val="000000"/>
          <w:lang w:val="en-PH"/>
        </w:rPr>
        <w:t>TEIQue</w:t>
      </w:r>
      <w:proofErr w:type="spellEnd"/>
      <w:r w:rsidRPr="00AD4E34">
        <w:rPr>
          <w:rFonts w:ascii="Arial" w:eastAsia="Calibri" w:hAnsi="Arial" w:cs="Arial"/>
          <w:color w:val="000000"/>
          <w:lang w:val="en-PH"/>
        </w:rPr>
        <w:t>-SF. </w:t>
      </w:r>
      <w:r w:rsidRPr="00AD4E34">
        <w:rPr>
          <w:rFonts w:ascii="Arial" w:eastAsia="Calibri" w:hAnsi="Arial" w:cs="Arial"/>
          <w:i/>
          <w:iCs/>
          <w:color w:val="000000"/>
          <w:lang w:val="en-PH"/>
        </w:rPr>
        <w:t>Current Psychology</w:t>
      </w:r>
      <w:r w:rsidRPr="00AD4E34">
        <w:rPr>
          <w:rFonts w:ascii="Arial" w:eastAsia="Calibri" w:hAnsi="Arial" w:cs="Arial"/>
          <w:color w:val="000000"/>
          <w:lang w:val="en-PH"/>
        </w:rPr>
        <w:t>, 1-16.</w:t>
      </w:r>
    </w:p>
    <w:p w14:paraId="2D5A775F"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Holt, S. B. (2018). For those who care: The effect of public service motivation on sector selection. </w:t>
      </w:r>
      <w:r w:rsidRPr="00AD4E34">
        <w:rPr>
          <w:rFonts w:ascii="Arial" w:eastAsia="Calibri" w:hAnsi="Arial" w:cs="Arial"/>
          <w:i/>
          <w:iCs/>
          <w:color w:val="000000"/>
          <w:lang w:val="en-PH"/>
        </w:rPr>
        <w:t>Public Administration Review</w:t>
      </w:r>
      <w:r w:rsidRPr="00AD4E34">
        <w:rPr>
          <w:rFonts w:ascii="Arial" w:eastAsia="Calibri" w:hAnsi="Arial" w:cs="Arial"/>
          <w:color w:val="000000"/>
          <w:lang w:val="en-PH"/>
        </w:rPr>
        <w:t>, </w:t>
      </w:r>
      <w:r w:rsidRPr="00AD4E34">
        <w:rPr>
          <w:rFonts w:ascii="Arial" w:eastAsia="Calibri" w:hAnsi="Arial" w:cs="Arial"/>
          <w:i/>
          <w:iCs/>
          <w:color w:val="000000"/>
          <w:lang w:val="en-PH"/>
        </w:rPr>
        <w:t>78</w:t>
      </w:r>
      <w:r w:rsidRPr="00AD4E34">
        <w:rPr>
          <w:rFonts w:ascii="Arial" w:eastAsia="Calibri" w:hAnsi="Arial" w:cs="Arial"/>
          <w:color w:val="000000"/>
          <w:lang w:val="en-PH"/>
        </w:rPr>
        <w:t>(3), 457-471.</w:t>
      </w:r>
    </w:p>
    <w:p w14:paraId="02A231CF"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lastRenderedPageBreak/>
        <w:t>Hong, S., &amp; Kim, Y. (2019). Loyalty or competence: Political use of performance information and negativity bias. </w:t>
      </w:r>
      <w:r w:rsidRPr="00AD4E34">
        <w:rPr>
          <w:rFonts w:ascii="Arial" w:eastAsia="Calibri" w:hAnsi="Arial" w:cs="Arial"/>
          <w:i/>
          <w:iCs/>
          <w:color w:val="000000"/>
          <w:lang w:val="en-PH"/>
        </w:rPr>
        <w:t>Public Administration Review</w:t>
      </w:r>
      <w:r w:rsidRPr="00AD4E34">
        <w:rPr>
          <w:rFonts w:ascii="Arial" w:eastAsia="Calibri" w:hAnsi="Arial" w:cs="Arial"/>
          <w:color w:val="000000"/>
          <w:lang w:val="en-PH"/>
        </w:rPr>
        <w:t>, </w:t>
      </w:r>
      <w:r w:rsidRPr="00AD4E34">
        <w:rPr>
          <w:rFonts w:ascii="Arial" w:eastAsia="Calibri" w:hAnsi="Arial" w:cs="Arial"/>
          <w:i/>
          <w:iCs/>
          <w:color w:val="000000"/>
          <w:lang w:val="en-PH"/>
        </w:rPr>
        <w:t>79</w:t>
      </w:r>
      <w:r w:rsidRPr="00AD4E34">
        <w:rPr>
          <w:rFonts w:ascii="Arial" w:eastAsia="Calibri" w:hAnsi="Arial" w:cs="Arial"/>
          <w:color w:val="000000"/>
          <w:lang w:val="en-PH"/>
        </w:rPr>
        <w:t>(6), 829-840.</w:t>
      </w:r>
    </w:p>
    <w:p w14:paraId="235D91D1" w14:textId="77777777" w:rsidR="006D12D7" w:rsidRPr="00AD4E34" w:rsidRDefault="006D12D7" w:rsidP="006D12D7">
      <w:pPr>
        <w:ind w:left="720" w:hanging="720"/>
        <w:jc w:val="both"/>
        <w:rPr>
          <w:rFonts w:ascii="Arial" w:eastAsia="Calibri" w:hAnsi="Arial" w:cs="Arial"/>
          <w:color w:val="000000"/>
          <w:lang w:val="en-PH"/>
        </w:rPr>
      </w:pPr>
      <w:proofErr w:type="spellStart"/>
      <w:r w:rsidRPr="00AD4E34">
        <w:rPr>
          <w:rFonts w:ascii="Arial" w:eastAsia="Calibri" w:hAnsi="Arial" w:cs="Arial"/>
          <w:color w:val="000000"/>
          <w:lang w:val="en-PH"/>
        </w:rPr>
        <w:t>Insani</w:t>
      </w:r>
      <w:proofErr w:type="spellEnd"/>
      <w:r w:rsidRPr="00AD4E34">
        <w:rPr>
          <w:rFonts w:ascii="Arial" w:eastAsia="Calibri" w:hAnsi="Arial" w:cs="Arial"/>
          <w:color w:val="000000"/>
          <w:lang w:val="en-PH"/>
        </w:rPr>
        <w:t>, N. (2020). Apparatus Professionalism and Public Service Ethics. </w:t>
      </w:r>
      <w:r w:rsidRPr="00AD4E34">
        <w:rPr>
          <w:rFonts w:ascii="Arial" w:eastAsia="Calibri" w:hAnsi="Arial" w:cs="Arial"/>
          <w:i/>
          <w:iCs/>
          <w:color w:val="000000"/>
          <w:lang w:val="en-PH"/>
        </w:rPr>
        <w:t xml:space="preserve">Journal La </w:t>
      </w:r>
      <w:proofErr w:type="spellStart"/>
      <w:r w:rsidRPr="00AD4E34">
        <w:rPr>
          <w:rFonts w:ascii="Arial" w:eastAsia="Calibri" w:hAnsi="Arial" w:cs="Arial"/>
          <w:i/>
          <w:iCs/>
          <w:color w:val="000000"/>
          <w:lang w:val="en-PH"/>
        </w:rPr>
        <w:t>Sociale</w:t>
      </w:r>
      <w:proofErr w:type="spellEnd"/>
      <w:r w:rsidRPr="00AD4E34">
        <w:rPr>
          <w:rFonts w:ascii="Arial" w:eastAsia="Calibri" w:hAnsi="Arial" w:cs="Arial"/>
          <w:color w:val="000000"/>
          <w:lang w:val="en-PH"/>
        </w:rPr>
        <w:t>, </w:t>
      </w:r>
      <w:r w:rsidRPr="00AD4E34">
        <w:rPr>
          <w:rFonts w:ascii="Arial" w:eastAsia="Calibri" w:hAnsi="Arial" w:cs="Arial"/>
          <w:i/>
          <w:iCs/>
          <w:color w:val="000000"/>
          <w:lang w:val="en-PH"/>
        </w:rPr>
        <w:t>1</w:t>
      </w:r>
      <w:r w:rsidRPr="00AD4E34">
        <w:rPr>
          <w:rFonts w:ascii="Arial" w:eastAsia="Calibri" w:hAnsi="Arial" w:cs="Arial"/>
          <w:color w:val="000000"/>
          <w:lang w:val="en-PH"/>
        </w:rPr>
        <w:t>(1), 25-28.</w:t>
      </w:r>
    </w:p>
    <w:p w14:paraId="57AFBA92" w14:textId="77777777" w:rsidR="006D12D7" w:rsidRPr="00AD4E34" w:rsidRDefault="006D12D7" w:rsidP="006D12D7">
      <w:pPr>
        <w:ind w:left="720" w:hanging="720"/>
        <w:jc w:val="both"/>
        <w:rPr>
          <w:rFonts w:ascii="Arial" w:eastAsia="Calibri" w:hAnsi="Arial" w:cs="Arial"/>
          <w:color w:val="000000"/>
          <w:shd w:val="clear" w:color="auto" w:fill="FFFFFF"/>
          <w:lang w:val="en-PH"/>
        </w:rPr>
      </w:pPr>
      <w:commentRangeStart w:id="20"/>
      <w:r w:rsidRPr="00AD4E34">
        <w:rPr>
          <w:rFonts w:ascii="Arial" w:eastAsia="Calibri" w:hAnsi="Arial" w:cs="Arial"/>
          <w:color w:val="000000"/>
          <w:shd w:val="clear" w:color="auto" w:fill="FFFFFF"/>
          <w:lang w:val="en-PH"/>
        </w:rPr>
        <w:t xml:space="preserve">Jensen, U. T., Kjeldsen, A. M., &amp; Vestergaard, C. F. (2020). How is public service motivation affected by regulatory policy </w:t>
      </w:r>
      <w:proofErr w:type="gramStart"/>
      <w:r w:rsidRPr="00AD4E34">
        <w:rPr>
          <w:rFonts w:ascii="Arial" w:eastAsia="Calibri" w:hAnsi="Arial" w:cs="Arial"/>
          <w:color w:val="000000"/>
          <w:shd w:val="clear" w:color="auto" w:fill="FFFFFF"/>
          <w:lang w:val="en-PH"/>
        </w:rPr>
        <w:t>changes?.</w:t>
      </w:r>
      <w:proofErr w:type="gramEnd"/>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International Public Management Journal</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23</w:t>
      </w:r>
      <w:r w:rsidRPr="00AD4E34">
        <w:rPr>
          <w:rFonts w:ascii="Arial" w:eastAsia="Calibri" w:hAnsi="Arial" w:cs="Arial"/>
          <w:color w:val="000000"/>
          <w:shd w:val="clear" w:color="auto" w:fill="FFFFFF"/>
          <w:lang w:val="en-PH"/>
        </w:rPr>
        <w:t>(4), 465-495.</w:t>
      </w:r>
    </w:p>
    <w:p w14:paraId="0B955400"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 xml:space="preserve">Jensen, U. T., Kjeldsen, A. M., &amp; Vestergaard, C. F. (2020). How is public service motivation affected by regulatory policy </w:t>
      </w:r>
      <w:proofErr w:type="gramStart"/>
      <w:r w:rsidRPr="00AD4E34">
        <w:rPr>
          <w:rFonts w:ascii="Arial" w:eastAsia="Calibri" w:hAnsi="Arial" w:cs="Arial"/>
          <w:color w:val="000000"/>
          <w:shd w:val="clear" w:color="auto" w:fill="FFFFFF"/>
          <w:lang w:val="en-PH"/>
        </w:rPr>
        <w:t>changes?.</w:t>
      </w:r>
      <w:proofErr w:type="gramEnd"/>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International Public Management Journal</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23</w:t>
      </w:r>
      <w:r w:rsidRPr="00AD4E34">
        <w:rPr>
          <w:rFonts w:ascii="Arial" w:eastAsia="Calibri" w:hAnsi="Arial" w:cs="Arial"/>
          <w:color w:val="000000"/>
          <w:shd w:val="clear" w:color="auto" w:fill="FFFFFF"/>
          <w:lang w:val="en-PH"/>
        </w:rPr>
        <w:t>(4), 465-495.</w:t>
      </w:r>
      <w:commentRangeEnd w:id="20"/>
      <w:r w:rsidR="00BD261F">
        <w:rPr>
          <w:rStyle w:val="CommentReference"/>
          <w:rFonts w:ascii="Times New Roman" w:hAnsi="Times New Roman"/>
          <w:lang w:val="nb-NO" w:eastAsia="nb-NO"/>
        </w:rPr>
        <w:commentReference w:id="20"/>
      </w:r>
    </w:p>
    <w:p w14:paraId="7AC4391F"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 xml:space="preserve">Kocak, S., &amp; Bozkurt Bostanci, A. (2020). Does Public Leadership Improve School Effectiveness through Strengthening Teacher </w:t>
      </w:r>
      <w:proofErr w:type="gramStart"/>
      <w:r w:rsidRPr="00AD4E34">
        <w:rPr>
          <w:rFonts w:ascii="Arial" w:hAnsi="Arial" w:cs="Arial"/>
          <w:color w:val="222222"/>
          <w:shd w:val="clear" w:color="auto" w:fill="FFFFFF"/>
        </w:rPr>
        <w:t>Professionalism?.</w:t>
      </w:r>
      <w:proofErr w:type="gramEnd"/>
      <w:r w:rsidRPr="00AD4E34">
        <w:rPr>
          <w:rFonts w:ascii="Arial" w:hAnsi="Arial" w:cs="Arial"/>
          <w:color w:val="222222"/>
          <w:shd w:val="clear" w:color="auto" w:fill="FFFFFF"/>
        </w:rPr>
        <w:t> </w:t>
      </w:r>
      <w:r w:rsidRPr="00AD4E34">
        <w:rPr>
          <w:rFonts w:ascii="Arial" w:hAnsi="Arial" w:cs="Arial"/>
          <w:i/>
          <w:iCs/>
          <w:color w:val="222222"/>
          <w:shd w:val="clear" w:color="auto" w:fill="FFFFFF"/>
        </w:rPr>
        <w:t>Eurasian Journal of Educational Research</w:t>
      </w:r>
      <w:r w:rsidRPr="00AD4E34">
        <w:rPr>
          <w:rFonts w:ascii="Arial" w:hAnsi="Arial" w:cs="Arial"/>
          <w:color w:val="222222"/>
          <w:shd w:val="clear" w:color="auto" w:fill="FFFFFF"/>
        </w:rPr>
        <w:t>, </w:t>
      </w:r>
      <w:r w:rsidRPr="00AD4E34">
        <w:rPr>
          <w:rFonts w:ascii="Arial" w:hAnsi="Arial" w:cs="Arial"/>
          <w:i/>
          <w:iCs/>
          <w:color w:val="222222"/>
          <w:shd w:val="clear" w:color="auto" w:fill="FFFFFF"/>
        </w:rPr>
        <w:t>90</w:t>
      </w:r>
      <w:r w:rsidRPr="00AD4E34">
        <w:rPr>
          <w:rFonts w:ascii="Arial" w:hAnsi="Arial" w:cs="Arial"/>
          <w:color w:val="222222"/>
          <w:shd w:val="clear" w:color="auto" w:fill="FFFFFF"/>
        </w:rPr>
        <w:t>, 19-44.</w:t>
      </w:r>
    </w:p>
    <w:p w14:paraId="54D05225"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 xml:space="preserve">Korneeva, Y., </w:t>
      </w:r>
      <w:proofErr w:type="spellStart"/>
      <w:r w:rsidRPr="00AD4E34">
        <w:rPr>
          <w:rFonts w:ascii="Arial" w:hAnsi="Arial" w:cs="Arial"/>
          <w:color w:val="222222"/>
          <w:shd w:val="clear" w:color="auto" w:fill="FFFFFF"/>
        </w:rPr>
        <w:t>Shahova</w:t>
      </w:r>
      <w:proofErr w:type="spellEnd"/>
      <w:r w:rsidRPr="00AD4E34">
        <w:rPr>
          <w:rFonts w:ascii="Arial" w:hAnsi="Arial" w:cs="Arial"/>
          <w:color w:val="222222"/>
          <w:shd w:val="clear" w:color="auto" w:fill="FFFFFF"/>
        </w:rPr>
        <w:t>, L., &amp; Skripchenko, N. (2022). Mediators’ professional competence and personal qualities in conducting conciliation processes with varying degrees of success. </w:t>
      </w:r>
      <w:r w:rsidRPr="00AD4E34">
        <w:rPr>
          <w:rFonts w:ascii="Arial" w:hAnsi="Arial" w:cs="Arial"/>
          <w:i/>
          <w:iCs/>
          <w:color w:val="222222"/>
          <w:shd w:val="clear" w:color="auto" w:fill="FFFFFF"/>
        </w:rPr>
        <w:t>SA Journal of Industrial Psychology</w:t>
      </w:r>
      <w:r w:rsidRPr="00AD4E34">
        <w:rPr>
          <w:rFonts w:ascii="Arial" w:hAnsi="Arial" w:cs="Arial"/>
          <w:color w:val="222222"/>
          <w:shd w:val="clear" w:color="auto" w:fill="FFFFFF"/>
        </w:rPr>
        <w:t>, </w:t>
      </w:r>
      <w:r w:rsidRPr="00AD4E34">
        <w:rPr>
          <w:rFonts w:ascii="Arial" w:hAnsi="Arial" w:cs="Arial"/>
          <w:i/>
          <w:iCs/>
          <w:color w:val="222222"/>
          <w:shd w:val="clear" w:color="auto" w:fill="FFFFFF"/>
        </w:rPr>
        <w:t>48</w:t>
      </w:r>
      <w:r w:rsidRPr="00AD4E34">
        <w:rPr>
          <w:rFonts w:ascii="Arial" w:hAnsi="Arial" w:cs="Arial"/>
          <w:color w:val="222222"/>
          <w:shd w:val="clear" w:color="auto" w:fill="FFFFFF"/>
        </w:rPr>
        <w:t>, 1870.</w:t>
      </w:r>
    </w:p>
    <w:p w14:paraId="56EC4742"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Plaza-</w:t>
      </w:r>
      <w:proofErr w:type="spellStart"/>
      <w:r w:rsidRPr="00AD4E34">
        <w:rPr>
          <w:rFonts w:ascii="Arial" w:hAnsi="Arial" w:cs="Arial"/>
          <w:color w:val="222222"/>
          <w:shd w:val="clear" w:color="auto" w:fill="FFFFFF"/>
        </w:rPr>
        <w:t>Saligumba</w:t>
      </w:r>
      <w:proofErr w:type="spellEnd"/>
      <w:r w:rsidRPr="00AD4E34">
        <w:rPr>
          <w:rFonts w:ascii="Arial" w:hAnsi="Arial" w:cs="Arial"/>
          <w:color w:val="222222"/>
          <w:shd w:val="clear" w:color="auto" w:fill="FFFFFF"/>
        </w:rPr>
        <w:t>, L., Ligan, V. O., &amp; Dura, A. P. (2022). Individual work performance, public leadership, and public service motivation: A causal model on professionalism among the pacification committee (</w:t>
      </w:r>
      <w:proofErr w:type="spellStart"/>
      <w:r w:rsidRPr="00AD4E34">
        <w:rPr>
          <w:rFonts w:ascii="Arial" w:hAnsi="Arial" w:cs="Arial"/>
          <w:color w:val="222222"/>
          <w:shd w:val="clear" w:color="auto" w:fill="FFFFFF"/>
        </w:rPr>
        <w:t>Lupong</w:t>
      </w:r>
      <w:proofErr w:type="spellEnd"/>
      <w:r w:rsidRPr="00AD4E34">
        <w:rPr>
          <w:rFonts w:ascii="Arial" w:hAnsi="Arial" w:cs="Arial"/>
          <w:color w:val="222222"/>
          <w:shd w:val="clear" w:color="auto" w:fill="FFFFFF"/>
        </w:rPr>
        <w:t xml:space="preserve"> </w:t>
      </w:r>
      <w:proofErr w:type="spellStart"/>
      <w:r w:rsidRPr="00AD4E34">
        <w:rPr>
          <w:rFonts w:ascii="Arial" w:hAnsi="Arial" w:cs="Arial"/>
          <w:color w:val="222222"/>
          <w:shd w:val="clear" w:color="auto" w:fill="FFFFFF"/>
        </w:rPr>
        <w:t>Tagapamayapa</w:t>
      </w:r>
      <w:proofErr w:type="spellEnd"/>
      <w:r w:rsidRPr="00AD4E34">
        <w:rPr>
          <w:rFonts w:ascii="Arial" w:hAnsi="Arial" w:cs="Arial"/>
          <w:color w:val="222222"/>
          <w:shd w:val="clear" w:color="auto" w:fill="FFFFFF"/>
        </w:rPr>
        <w:t>) in the barangays. </w:t>
      </w:r>
      <w:r w:rsidRPr="00AD4E34">
        <w:rPr>
          <w:rFonts w:ascii="Arial" w:hAnsi="Arial" w:cs="Arial"/>
          <w:i/>
          <w:iCs/>
          <w:color w:val="222222"/>
          <w:shd w:val="clear" w:color="auto" w:fill="FFFFFF"/>
        </w:rPr>
        <w:t>EPRA International Journal of Research and Development (IJRD)</w:t>
      </w:r>
      <w:r w:rsidRPr="00AD4E34">
        <w:rPr>
          <w:rFonts w:ascii="Arial" w:hAnsi="Arial" w:cs="Arial"/>
          <w:color w:val="222222"/>
          <w:shd w:val="clear" w:color="auto" w:fill="FFFFFF"/>
        </w:rPr>
        <w:t>, </w:t>
      </w:r>
      <w:r w:rsidRPr="00AD4E34">
        <w:rPr>
          <w:rFonts w:ascii="Arial" w:hAnsi="Arial" w:cs="Arial"/>
          <w:i/>
          <w:iCs/>
          <w:color w:val="222222"/>
          <w:shd w:val="clear" w:color="auto" w:fill="FFFFFF"/>
        </w:rPr>
        <w:t>7</w:t>
      </w:r>
      <w:r w:rsidRPr="00AD4E34">
        <w:rPr>
          <w:rFonts w:ascii="Arial" w:hAnsi="Arial" w:cs="Arial"/>
          <w:color w:val="222222"/>
          <w:shd w:val="clear" w:color="auto" w:fill="FFFFFF"/>
        </w:rPr>
        <w:t>(11), 38-48.</w:t>
      </w:r>
    </w:p>
    <w:p w14:paraId="41768572"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Pregoner, J. D. (2024). Research approaches in education: A comparison of quantitative, qualitative and mixed methods. </w:t>
      </w:r>
      <w:r w:rsidRPr="00AD4E34">
        <w:rPr>
          <w:rFonts w:ascii="Arial" w:hAnsi="Arial" w:cs="Arial"/>
          <w:i/>
          <w:iCs/>
          <w:color w:val="222222"/>
          <w:shd w:val="clear" w:color="auto" w:fill="FFFFFF"/>
        </w:rPr>
        <w:t>IMCC Journal of Science</w:t>
      </w:r>
      <w:r w:rsidRPr="00AD4E34">
        <w:rPr>
          <w:rFonts w:ascii="Arial" w:hAnsi="Arial" w:cs="Arial"/>
          <w:color w:val="222222"/>
          <w:shd w:val="clear" w:color="auto" w:fill="FFFFFF"/>
        </w:rPr>
        <w:t>, </w:t>
      </w:r>
      <w:r w:rsidRPr="00AD4E34">
        <w:rPr>
          <w:rFonts w:ascii="Arial" w:hAnsi="Arial" w:cs="Arial"/>
          <w:i/>
          <w:iCs/>
          <w:color w:val="222222"/>
          <w:shd w:val="clear" w:color="auto" w:fill="FFFFFF"/>
        </w:rPr>
        <w:t>4</w:t>
      </w:r>
      <w:r w:rsidRPr="00AD4E34">
        <w:rPr>
          <w:rFonts w:ascii="Arial" w:hAnsi="Arial" w:cs="Arial"/>
          <w:color w:val="222222"/>
          <w:shd w:val="clear" w:color="auto" w:fill="FFFFFF"/>
        </w:rPr>
        <w:t>(2), 31-36.</w:t>
      </w:r>
    </w:p>
    <w:p w14:paraId="7AEA316A"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Rodd, J. (2020). </w:t>
      </w:r>
      <w:r w:rsidRPr="00AD4E34">
        <w:rPr>
          <w:rFonts w:ascii="Arial" w:hAnsi="Arial" w:cs="Arial"/>
          <w:i/>
          <w:iCs/>
          <w:color w:val="222222"/>
          <w:shd w:val="clear" w:color="auto" w:fill="FFFFFF"/>
        </w:rPr>
        <w:t>Leadership in early childhood: The pathway to professionalism</w:t>
      </w:r>
      <w:r w:rsidRPr="00AD4E34">
        <w:rPr>
          <w:rFonts w:ascii="Arial" w:hAnsi="Arial" w:cs="Arial"/>
          <w:color w:val="222222"/>
          <w:shd w:val="clear" w:color="auto" w:fill="FFFFFF"/>
        </w:rPr>
        <w:t>. Routledge.</w:t>
      </w:r>
    </w:p>
    <w:p w14:paraId="0576A8E5" w14:textId="77777777" w:rsidR="006D12D7" w:rsidRPr="00AD4E34" w:rsidRDefault="006D12D7" w:rsidP="006D12D7">
      <w:pPr>
        <w:ind w:left="720" w:hanging="720"/>
        <w:rPr>
          <w:rFonts w:ascii="Arial" w:hAnsi="Arial" w:cs="Arial"/>
          <w:color w:val="222222"/>
          <w:shd w:val="clear" w:color="auto" w:fill="FFFFFF"/>
        </w:rPr>
      </w:pPr>
      <w:proofErr w:type="spellStart"/>
      <w:r w:rsidRPr="00AD4E34">
        <w:rPr>
          <w:rFonts w:ascii="Arial" w:hAnsi="Arial" w:cs="Arial"/>
          <w:color w:val="222222"/>
          <w:shd w:val="clear" w:color="auto" w:fill="FFFFFF"/>
        </w:rPr>
        <w:t>Ssetyabule</w:t>
      </w:r>
      <w:proofErr w:type="spellEnd"/>
      <w:r w:rsidRPr="00AD4E34">
        <w:rPr>
          <w:rFonts w:ascii="Arial" w:hAnsi="Arial" w:cs="Arial"/>
          <w:color w:val="222222"/>
          <w:shd w:val="clear" w:color="auto" w:fill="FFFFFF"/>
        </w:rPr>
        <w:t>, R. (2019). A critical analysis on the use of Alternative Dispute Resolution (ADR) in backlog management in Uganda.</w:t>
      </w:r>
    </w:p>
    <w:p w14:paraId="343A168F"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Stefurak, T., Morgan, R., &amp; Johnson, R. B. (2020). The relationship of public service motivation to job satisfaction and job performance of emergency medical services professionals. </w:t>
      </w:r>
      <w:r w:rsidRPr="00AD4E34">
        <w:rPr>
          <w:rFonts w:ascii="Arial" w:hAnsi="Arial" w:cs="Arial"/>
          <w:i/>
          <w:iCs/>
          <w:color w:val="222222"/>
          <w:shd w:val="clear" w:color="auto" w:fill="FFFFFF"/>
        </w:rPr>
        <w:t>Public Personnel Management</w:t>
      </w:r>
      <w:r w:rsidRPr="00AD4E34">
        <w:rPr>
          <w:rFonts w:ascii="Arial" w:hAnsi="Arial" w:cs="Arial"/>
          <w:color w:val="222222"/>
          <w:shd w:val="clear" w:color="auto" w:fill="FFFFFF"/>
        </w:rPr>
        <w:t>, </w:t>
      </w:r>
      <w:r w:rsidRPr="00AD4E34">
        <w:rPr>
          <w:rFonts w:ascii="Arial" w:hAnsi="Arial" w:cs="Arial"/>
          <w:i/>
          <w:iCs/>
          <w:color w:val="222222"/>
          <w:shd w:val="clear" w:color="auto" w:fill="FFFFFF"/>
        </w:rPr>
        <w:t>49</w:t>
      </w:r>
      <w:r w:rsidRPr="00AD4E34">
        <w:rPr>
          <w:rFonts w:ascii="Arial" w:hAnsi="Arial" w:cs="Arial"/>
          <w:color w:val="222222"/>
          <w:shd w:val="clear" w:color="auto" w:fill="FFFFFF"/>
        </w:rPr>
        <w:t>(4), 590-616.</w:t>
      </w:r>
    </w:p>
    <w:p w14:paraId="06226349" w14:textId="77777777" w:rsidR="00717F2E" w:rsidRDefault="00717F2E" w:rsidP="00DC09E0">
      <w:pPr>
        <w:tabs>
          <w:tab w:val="left" w:pos="270"/>
        </w:tabs>
        <w:ind w:left="720" w:hanging="720"/>
        <w:rPr>
          <w:rFonts w:ascii="Arial" w:hAnsi="Arial" w:cs="Arial"/>
          <w:b/>
        </w:rPr>
      </w:pPr>
    </w:p>
    <w:sectPr w:rsidR="00717F2E" w:rsidSect="008D2AED">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nneth Besigomwe 03/04/2025" w:date="2025-04-03T15:59:00Z" w:initials="KB">
    <w:p w14:paraId="28E16DFC" w14:textId="77777777" w:rsidR="006D675B" w:rsidRDefault="006D675B">
      <w:pPr>
        <w:pStyle w:val="CommentText"/>
      </w:pPr>
      <w:r>
        <w:rPr>
          <w:rStyle w:val="CommentReference"/>
        </w:rPr>
        <w:annotationRef/>
      </w:r>
      <w:r>
        <w:t>Somehow not clear</w:t>
      </w:r>
    </w:p>
    <w:p w14:paraId="697C9E99" w14:textId="77777777" w:rsidR="006D675B" w:rsidRDefault="006D675B">
      <w:pPr>
        <w:pStyle w:val="CommentText"/>
      </w:pPr>
      <w:r>
        <w:t>Suggestion:</w:t>
      </w:r>
    </w:p>
    <w:p w14:paraId="3874C4FC" w14:textId="01545E29" w:rsidR="006D675B" w:rsidRPr="006D675B" w:rsidRDefault="006D675B">
      <w:pPr>
        <w:pStyle w:val="CommentText"/>
        <w:rPr>
          <w:i/>
          <w:iCs/>
        </w:rPr>
      </w:pPr>
      <w:r w:rsidRPr="006D675B">
        <w:rPr>
          <w:b/>
          <w:bCs/>
          <w:i/>
          <w:iCs/>
          <w:lang w:val="en-US"/>
        </w:rPr>
        <w:t>The Impact of Principal Leadership on Teacher Job Satisfaction in Public Elementary Schools</w:t>
      </w:r>
    </w:p>
  </w:comment>
  <w:comment w:id="1" w:author="Kenneth Besigomwe 03/04/2025" w:date="2025-04-03T16:01:00Z" w:initials="KB">
    <w:p w14:paraId="05DD1263" w14:textId="5DF8D8F2" w:rsidR="006D675B" w:rsidRDefault="006D675B">
      <w:pPr>
        <w:pStyle w:val="CommentText"/>
      </w:pPr>
      <w:r>
        <w:rPr>
          <w:rStyle w:val="CommentReference"/>
        </w:rPr>
        <w:annotationRef/>
      </w:r>
      <w:r>
        <w:t>Summarise this part</w:t>
      </w:r>
    </w:p>
  </w:comment>
  <w:comment w:id="2" w:author="Kenneth Besigomwe 03/04/2025" w:date="2025-04-03T16:01:00Z" w:initials="KB">
    <w:p w14:paraId="2EA7B2AD" w14:textId="29BD3640" w:rsidR="006D675B" w:rsidRDefault="006D675B">
      <w:pPr>
        <w:pStyle w:val="CommentText"/>
      </w:pPr>
      <w:r>
        <w:rPr>
          <w:rStyle w:val="CommentReference"/>
        </w:rPr>
        <w:annotationRef/>
      </w:r>
      <w:r>
        <w:t xml:space="preserve">I would prefer the use of </w:t>
      </w:r>
      <w:r w:rsidRPr="006D675B">
        <w:rPr>
          <w:b/>
          <w:bCs/>
        </w:rPr>
        <w:t>satisfaction</w:t>
      </w:r>
    </w:p>
  </w:comment>
  <w:comment w:id="3" w:author="Kenneth Besigomwe 03/04/2025" w:date="2025-04-03T16:04:00Z" w:initials="KB">
    <w:p w14:paraId="256AF789" w14:textId="77777777" w:rsidR="007C182C" w:rsidRDefault="007C182C">
      <w:pPr>
        <w:pStyle w:val="CommentText"/>
      </w:pPr>
      <w:r>
        <w:rPr>
          <w:rStyle w:val="CommentReference"/>
        </w:rPr>
        <w:annotationRef/>
      </w:r>
      <w:r>
        <w:t>Good but,</w:t>
      </w:r>
    </w:p>
    <w:p w14:paraId="58A60697" w14:textId="0CE88C0F" w:rsidR="007C182C" w:rsidRDefault="007C182C">
      <w:pPr>
        <w:pStyle w:val="CommentText"/>
        <w:rPr>
          <w:lang w:val="en-US"/>
        </w:rPr>
      </w:pPr>
      <w:r>
        <w:rPr>
          <w:lang w:val="en-US"/>
        </w:rPr>
        <w:t xml:space="preserve">-Include some </w:t>
      </w:r>
      <w:r w:rsidRPr="007C182C">
        <w:rPr>
          <w:lang w:val="en-US"/>
        </w:rPr>
        <w:t xml:space="preserve">references that connect the concept of job </w:t>
      </w:r>
      <w:r>
        <w:rPr>
          <w:lang w:val="en-US"/>
        </w:rPr>
        <w:t>satisfaction</w:t>
      </w:r>
      <w:r w:rsidRPr="007C182C">
        <w:rPr>
          <w:lang w:val="en-US"/>
        </w:rPr>
        <w:t xml:space="preserve"> to specific leadership behaviors</w:t>
      </w:r>
      <w:r>
        <w:rPr>
          <w:lang w:val="en-US"/>
        </w:rPr>
        <w:t>.</w:t>
      </w:r>
    </w:p>
    <w:p w14:paraId="021C0EB9" w14:textId="210661F4" w:rsidR="007C182C" w:rsidRDefault="007C182C">
      <w:pPr>
        <w:pStyle w:val="CommentText"/>
      </w:pPr>
      <w:r>
        <w:rPr>
          <w:lang w:val="en-US"/>
        </w:rPr>
        <w:t>-</w:t>
      </w:r>
      <w:r w:rsidRPr="007C182C">
        <w:rPr>
          <w:lang w:val="en-US"/>
        </w:rPr>
        <w:t>Provide a brief background on teacher migration and its significance to the study’s focus</w:t>
      </w:r>
    </w:p>
  </w:comment>
  <w:comment w:id="4" w:author="Kenneth Besigomwe 03/04/2025" w:date="2025-04-03T16:03:00Z" w:initials="KB">
    <w:p w14:paraId="79E02A9A" w14:textId="0F8EAF69" w:rsidR="006D675B" w:rsidRDefault="006D675B">
      <w:pPr>
        <w:pStyle w:val="CommentText"/>
      </w:pPr>
      <w:r>
        <w:rPr>
          <w:rStyle w:val="CommentReference"/>
        </w:rPr>
        <w:annotationRef/>
      </w:r>
      <w:r>
        <w:t>There is repetition of some references in here.</w:t>
      </w:r>
    </w:p>
  </w:comment>
  <w:comment w:id="5" w:author="Kenneth Besigomwe 03/04/2025" w:date="2025-04-03T16:13:00Z" w:initials="KB">
    <w:p w14:paraId="2E22574C" w14:textId="300BF0F8" w:rsidR="007C182C" w:rsidRDefault="007C182C">
      <w:pPr>
        <w:pStyle w:val="CommentText"/>
      </w:pPr>
      <w:r>
        <w:rPr>
          <w:rStyle w:val="CommentReference"/>
        </w:rPr>
        <w:annotationRef/>
      </w:r>
      <w:r w:rsidRPr="007C182C">
        <w:rPr>
          <w:lang w:val="en-US"/>
        </w:rPr>
        <w:t>Clarify and simplify the description of the design.</w:t>
      </w:r>
    </w:p>
  </w:comment>
  <w:comment w:id="6" w:author="Kenneth Besigomwe 03/04/2025" w:date="2025-04-03T16:13:00Z" w:initials="KB">
    <w:p w14:paraId="1CD91DF3" w14:textId="77777777" w:rsidR="007C182C" w:rsidRDefault="007C182C">
      <w:pPr>
        <w:pStyle w:val="CommentText"/>
      </w:pPr>
      <w:r>
        <w:rPr>
          <w:rStyle w:val="CommentReference"/>
        </w:rPr>
        <w:annotationRef/>
      </w:r>
      <w:r>
        <w:t xml:space="preserve">This sample </w:t>
      </w:r>
      <w:r w:rsidR="00D055FD">
        <w:t>doesn’t reflect universal sampling.</w:t>
      </w:r>
    </w:p>
    <w:p w14:paraId="01CFF9EB" w14:textId="342C5696" w:rsidR="00D055FD" w:rsidRPr="00D055FD" w:rsidRDefault="00D055FD">
      <w:pPr>
        <w:pStyle w:val="CommentText"/>
      </w:pPr>
      <w:r>
        <w:t xml:space="preserve">More appropriate descriptions would be </w:t>
      </w:r>
      <w:r w:rsidRPr="00D055FD">
        <w:rPr>
          <w:lang w:val="en-US"/>
        </w:rPr>
        <w:t>convenience sampling or purposeful sampling</w:t>
      </w:r>
    </w:p>
  </w:comment>
  <w:comment w:id="7" w:author="Kenneth Besigomwe 03/04/2025" w:date="2025-04-03T16:17:00Z" w:initials="KB">
    <w:p w14:paraId="2A4067D3" w14:textId="33B735C3" w:rsidR="00D055FD" w:rsidRDefault="00D055FD">
      <w:pPr>
        <w:pStyle w:val="CommentText"/>
      </w:pPr>
      <w:r>
        <w:rPr>
          <w:rStyle w:val="CommentReference"/>
        </w:rPr>
        <w:annotationRef/>
      </w:r>
      <w:r>
        <w:t>Justify the use of 30 teachers</w:t>
      </w:r>
    </w:p>
  </w:comment>
  <w:comment w:id="8" w:author="Kenneth Besigomwe 03/04/2025" w:date="2025-04-03T16:20:00Z" w:initials="KB">
    <w:p w14:paraId="1A7F7866" w14:textId="7B9B065C" w:rsidR="00D055FD" w:rsidRDefault="00D055FD">
      <w:pPr>
        <w:pStyle w:val="CommentText"/>
      </w:pPr>
      <w:r>
        <w:rPr>
          <w:rStyle w:val="CommentReference"/>
        </w:rPr>
        <w:annotationRef/>
      </w:r>
      <w:r>
        <w:t>Specify. Was it multiple linear regression?</w:t>
      </w:r>
    </w:p>
  </w:comment>
  <w:comment w:id="10" w:author="Kenneth Besigomwe 03/04/2025" w:date="2025-04-03T16:36:00Z" w:initials="KB">
    <w:p w14:paraId="371D388C" w14:textId="1CEA06D2" w:rsidR="00F206ED" w:rsidRDefault="00F206ED">
      <w:pPr>
        <w:pStyle w:val="CommentText"/>
      </w:pPr>
      <w:r>
        <w:rPr>
          <w:rStyle w:val="CommentReference"/>
        </w:rPr>
        <w:annotationRef/>
      </w:r>
      <w:r>
        <w:t>I suggest that you replace ‘this finding’ with ‘the study findings’ throughout the manuscript</w:t>
      </w:r>
    </w:p>
  </w:comment>
  <w:comment w:id="11" w:author="Kenneth Besigomwe 03/04/2025" w:date="2025-04-03T16:24:00Z" w:initials="KB">
    <w:p w14:paraId="17F7F181" w14:textId="0433900F" w:rsidR="0021536C" w:rsidRDefault="0021536C">
      <w:pPr>
        <w:pStyle w:val="CommentText"/>
      </w:pPr>
      <w:r>
        <w:rPr>
          <w:rStyle w:val="CommentReference"/>
        </w:rPr>
        <w:annotationRef/>
      </w:r>
      <w:r>
        <w:t>This is not clear. Does the study by Demir differ or reinforce the current study?</w:t>
      </w:r>
    </w:p>
  </w:comment>
  <w:comment w:id="12" w:author="Kenneth Besigomwe 03/04/2025" w:date="2025-04-03T16:27:00Z" w:initials="KB">
    <w:p w14:paraId="158BCA02" w14:textId="77777777" w:rsidR="0021536C" w:rsidRDefault="0021536C">
      <w:pPr>
        <w:pStyle w:val="CommentText"/>
      </w:pPr>
      <w:r>
        <w:rPr>
          <w:rStyle w:val="CommentReference"/>
        </w:rPr>
        <w:annotationRef/>
      </w:r>
      <w:r>
        <w:t>Good section</w:t>
      </w:r>
    </w:p>
    <w:p w14:paraId="6693621B" w14:textId="77777777" w:rsidR="0021536C" w:rsidRDefault="0021536C">
      <w:pPr>
        <w:pStyle w:val="CommentText"/>
      </w:pPr>
      <w:r>
        <w:t xml:space="preserve">I suggest that the first sentence should be more concise.  You can begin as follows. </w:t>
      </w:r>
    </w:p>
    <w:p w14:paraId="492A3357" w14:textId="60C0FC13" w:rsidR="0021536C" w:rsidRDefault="0021536C">
      <w:pPr>
        <w:pStyle w:val="CommentText"/>
      </w:pPr>
      <w:r w:rsidRPr="0021536C">
        <w:rPr>
          <w:lang w:val="en-US"/>
        </w:rPr>
        <w:t>Table 2 shows the domains of principal</w:t>
      </w:r>
      <w:r>
        <w:rPr>
          <w:lang w:val="en-US"/>
        </w:rPr>
        <w:t>……</w:t>
      </w:r>
    </w:p>
  </w:comment>
  <w:comment w:id="13" w:author="Kenneth Besigomwe 03/04/2025" w:date="2025-04-03T16:30:00Z" w:initials="KB">
    <w:p w14:paraId="6F966529" w14:textId="77777777" w:rsidR="00282673" w:rsidRDefault="00282673">
      <w:pPr>
        <w:pStyle w:val="CommentText"/>
      </w:pPr>
      <w:r>
        <w:rPr>
          <w:rStyle w:val="CommentReference"/>
        </w:rPr>
        <w:annotationRef/>
      </w:r>
      <w:r>
        <w:t>Rephrase such statements to appear more scholarly</w:t>
      </w:r>
    </w:p>
    <w:p w14:paraId="34986009" w14:textId="06B45941" w:rsidR="00282673" w:rsidRDefault="00282673">
      <w:pPr>
        <w:pStyle w:val="CommentText"/>
      </w:pPr>
      <w:r>
        <w:t>Suggestion.</w:t>
      </w:r>
      <w:r w:rsidRPr="00282673">
        <w:rPr>
          <w:rFonts w:ascii="Helvetica" w:hAnsi="Helvetica"/>
          <w:lang w:val="en-US" w:eastAsia="en-US"/>
        </w:rPr>
        <w:t xml:space="preserve"> </w:t>
      </w:r>
      <w:r w:rsidRPr="00282673">
        <w:rPr>
          <w:lang w:val="en-US"/>
        </w:rPr>
        <w:t>The R² value of 0.38 indicates that principal guidance comportment explains 38% of the variance in teachers' job gratification.</w:t>
      </w:r>
    </w:p>
  </w:comment>
  <w:comment w:id="14" w:author="Kenneth Besigomwe 03/04/2025" w:date="2025-04-03T16:40:00Z" w:initials="KB">
    <w:p w14:paraId="49C58836" w14:textId="02BA2B1D" w:rsidR="00F206ED" w:rsidRDefault="00F206ED">
      <w:pPr>
        <w:pStyle w:val="CommentText"/>
      </w:pPr>
      <w:r>
        <w:rPr>
          <w:rStyle w:val="CommentReference"/>
        </w:rPr>
        <w:annotationRef/>
      </w:r>
      <w:r w:rsidRPr="00F206ED">
        <w:rPr>
          <w:lang w:val="en-US"/>
        </w:rPr>
        <w:t>Explicitly connect the findings to the hypotheses</w:t>
      </w:r>
      <w:r>
        <w:rPr>
          <w:lang w:val="en-US"/>
        </w:rPr>
        <w:t xml:space="preserve"> discussed earlier</w:t>
      </w:r>
    </w:p>
  </w:comment>
  <w:comment w:id="15" w:author="Kenneth Besigomwe 03/04/2025" w:date="2025-04-03T16:43:00Z" w:initials="KB">
    <w:p w14:paraId="515A1009" w14:textId="77777777" w:rsidR="00F206ED" w:rsidRDefault="00F206ED">
      <w:pPr>
        <w:pStyle w:val="CommentText"/>
      </w:pPr>
      <w:r>
        <w:rPr>
          <w:rStyle w:val="CommentReference"/>
        </w:rPr>
        <w:annotationRef/>
      </w:r>
      <w:r w:rsidR="00E603BE">
        <w:t>Good conclusion. However it is somewhat lengthy.</w:t>
      </w:r>
    </w:p>
    <w:p w14:paraId="15AD12B0" w14:textId="3887A941" w:rsidR="00E603BE" w:rsidRDefault="00E603BE">
      <w:pPr>
        <w:pStyle w:val="CommentText"/>
      </w:pPr>
      <w:r>
        <w:t xml:space="preserve">Try to </w:t>
      </w:r>
      <w:r w:rsidRPr="00E603BE">
        <w:rPr>
          <w:lang w:val="en-US"/>
        </w:rPr>
        <w:t>condense repetitive points</w:t>
      </w:r>
      <w:r>
        <w:rPr>
          <w:lang w:val="en-US"/>
        </w:rPr>
        <w:t xml:space="preserve">, </w:t>
      </w:r>
      <w:r w:rsidRPr="00E603BE">
        <w:rPr>
          <w:lang w:val="en-US"/>
        </w:rPr>
        <w:t>focus on key takeaways</w:t>
      </w:r>
      <w:r>
        <w:rPr>
          <w:lang w:val="en-US"/>
        </w:rPr>
        <w:t xml:space="preserve"> and </w:t>
      </w:r>
      <w:r w:rsidRPr="00E603BE">
        <w:rPr>
          <w:lang w:val="en-US"/>
        </w:rPr>
        <w:t>limit theoretical discussion</w:t>
      </w:r>
    </w:p>
  </w:comment>
  <w:comment w:id="16" w:author="Kenneth Besigomwe 03/04/2025" w:date="2025-04-03T16:47:00Z" w:initials="KB">
    <w:p w14:paraId="5CF6E38B" w14:textId="31AD0EA6" w:rsidR="00BD261F" w:rsidRDefault="00BD261F">
      <w:pPr>
        <w:pStyle w:val="CommentText"/>
      </w:pPr>
      <w:r>
        <w:rPr>
          <w:rStyle w:val="CommentReference"/>
        </w:rPr>
        <w:annotationRef/>
      </w:r>
      <w:r>
        <w:t>Condense similar points to avoid multiple repetitions.</w:t>
      </w:r>
    </w:p>
  </w:comment>
  <w:comment w:id="17" w:author="Kenneth Besigomwe 03/04/2025" w:date="2025-04-03T16:50:00Z" w:initials="KB">
    <w:p w14:paraId="2D93C7B5" w14:textId="77777777" w:rsidR="00BD261F" w:rsidRDefault="00BD261F">
      <w:pPr>
        <w:pStyle w:val="CommentText"/>
      </w:pPr>
      <w:r>
        <w:rPr>
          <w:rStyle w:val="CommentReference"/>
        </w:rPr>
        <w:annotationRef/>
      </w:r>
      <w:r>
        <w:t xml:space="preserve">This is similar to the point on open dialogue in the next paragraph. </w:t>
      </w:r>
    </w:p>
    <w:p w14:paraId="439CCC60" w14:textId="77777777" w:rsidR="00BD261F" w:rsidRDefault="00BD261F">
      <w:pPr>
        <w:pStyle w:val="CommentText"/>
      </w:pPr>
    </w:p>
    <w:p w14:paraId="5717D649" w14:textId="245A20EC" w:rsidR="00BD261F" w:rsidRDefault="00BD261F">
      <w:pPr>
        <w:pStyle w:val="CommentText"/>
      </w:pPr>
      <w:r>
        <w:t>Rephrase this section to avoid such repetitions.</w:t>
      </w:r>
    </w:p>
  </w:comment>
  <w:comment w:id="18" w:author="Kenneth Besigomwe 03/04/2025" w:date="2025-04-03T16:19:00Z" w:initials="KB">
    <w:p w14:paraId="16964512" w14:textId="48F5D880" w:rsidR="00D055FD" w:rsidRDefault="00D055FD">
      <w:pPr>
        <w:pStyle w:val="CommentText"/>
      </w:pPr>
      <w:r>
        <w:rPr>
          <w:rStyle w:val="CommentReference"/>
        </w:rPr>
        <w:annotationRef/>
      </w:r>
      <w:r>
        <w:t>I suggest you transfer this to methodology section</w:t>
      </w:r>
    </w:p>
  </w:comment>
  <w:comment w:id="19" w:author="Kenneth Besigomwe 03/04/2025" w:date="2025-04-03T16:55:00Z" w:initials="KB">
    <w:p w14:paraId="13E7E20E" w14:textId="678D6F6A" w:rsidR="007129FA" w:rsidRDefault="007129FA">
      <w:pPr>
        <w:pStyle w:val="CommentText"/>
      </w:pPr>
      <w:r>
        <w:rPr>
          <w:rStyle w:val="CommentReference"/>
        </w:rPr>
        <w:annotationRef/>
      </w:r>
      <w:r>
        <w:t xml:space="preserve">Include date of retrival </w:t>
      </w:r>
    </w:p>
  </w:comment>
  <w:comment w:id="20" w:author="Kenneth Besigomwe 03/04/2025" w:date="2025-04-03T16:53:00Z" w:initials="KB">
    <w:p w14:paraId="5D1FECD0" w14:textId="588C4241" w:rsidR="00BD261F" w:rsidRDefault="00BD261F">
      <w:pPr>
        <w:pStyle w:val="CommentText"/>
      </w:pPr>
      <w:r>
        <w:rPr>
          <w:rStyle w:val="CommentReference"/>
        </w:rPr>
        <w:annotationRef/>
      </w:r>
      <w:r>
        <w:t>These are repeated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74C4FC" w15:done="0"/>
  <w15:commentEx w15:paraId="05DD1263" w15:done="0"/>
  <w15:commentEx w15:paraId="2EA7B2AD" w15:done="0"/>
  <w15:commentEx w15:paraId="021C0EB9" w15:done="0"/>
  <w15:commentEx w15:paraId="79E02A9A" w15:done="0"/>
  <w15:commentEx w15:paraId="2E22574C" w15:done="0"/>
  <w15:commentEx w15:paraId="01CFF9EB" w15:done="0"/>
  <w15:commentEx w15:paraId="2A4067D3" w15:done="0"/>
  <w15:commentEx w15:paraId="1A7F7866" w15:done="0"/>
  <w15:commentEx w15:paraId="371D388C" w15:done="0"/>
  <w15:commentEx w15:paraId="17F7F181" w15:done="0"/>
  <w15:commentEx w15:paraId="492A3357" w15:done="0"/>
  <w15:commentEx w15:paraId="34986009" w15:done="0"/>
  <w15:commentEx w15:paraId="49C58836" w15:done="0"/>
  <w15:commentEx w15:paraId="15AD12B0" w15:done="0"/>
  <w15:commentEx w15:paraId="5CF6E38B" w15:done="0"/>
  <w15:commentEx w15:paraId="5717D649" w15:done="0"/>
  <w15:commentEx w15:paraId="16964512" w15:done="0"/>
  <w15:commentEx w15:paraId="13E7E20E" w15:done="0"/>
  <w15:commentEx w15:paraId="5D1FEC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0959C5" w16cex:dateUtc="2025-04-03T12:59:00Z"/>
  <w16cex:commentExtensible w16cex:durableId="63783D1A" w16cex:dateUtc="2025-04-03T13:01:00Z"/>
  <w16cex:commentExtensible w16cex:durableId="41AC2220" w16cex:dateUtc="2025-04-03T13:01:00Z"/>
  <w16cex:commentExtensible w16cex:durableId="7789D105" w16cex:dateUtc="2025-04-03T13:04:00Z"/>
  <w16cex:commentExtensible w16cex:durableId="0F71552C" w16cex:dateUtc="2025-04-03T13:03:00Z"/>
  <w16cex:commentExtensible w16cex:durableId="40BF0AB6" w16cex:dateUtc="2025-04-03T13:13:00Z"/>
  <w16cex:commentExtensible w16cex:durableId="03F09CDD" w16cex:dateUtc="2025-04-03T13:13:00Z"/>
  <w16cex:commentExtensible w16cex:durableId="6C25FDD7" w16cex:dateUtc="2025-04-03T13:17:00Z"/>
  <w16cex:commentExtensible w16cex:durableId="7C21F7DA" w16cex:dateUtc="2025-04-03T13:20:00Z"/>
  <w16cex:commentExtensible w16cex:durableId="097359C0" w16cex:dateUtc="2025-04-03T13:36:00Z"/>
  <w16cex:commentExtensible w16cex:durableId="0BEAABD2" w16cex:dateUtc="2025-04-03T13:24:00Z"/>
  <w16cex:commentExtensible w16cex:durableId="47C8BC20" w16cex:dateUtc="2025-04-03T13:27:00Z"/>
  <w16cex:commentExtensible w16cex:durableId="46724E7F" w16cex:dateUtc="2025-04-03T13:30:00Z"/>
  <w16cex:commentExtensible w16cex:durableId="4783FCC5" w16cex:dateUtc="2025-04-03T13:40:00Z"/>
  <w16cex:commentExtensible w16cex:durableId="73BDC45E" w16cex:dateUtc="2025-04-03T13:43:00Z"/>
  <w16cex:commentExtensible w16cex:durableId="5085C03F" w16cex:dateUtc="2025-04-03T13:47:00Z"/>
  <w16cex:commentExtensible w16cex:durableId="2008F077" w16cex:dateUtc="2025-04-03T13:50:00Z"/>
  <w16cex:commentExtensible w16cex:durableId="2D696A9B" w16cex:dateUtc="2025-04-03T13:19:00Z"/>
  <w16cex:commentExtensible w16cex:durableId="6AAB2C11" w16cex:dateUtc="2025-04-03T13:55:00Z"/>
  <w16cex:commentExtensible w16cex:durableId="220BD5F9" w16cex:dateUtc="2025-04-03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74C4FC" w16cid:durableId="6C0959C5"/>
  <w16cid:commentId w16cid:paraId="05DD1263" w16cid:durableId="63783D1A"/>
  <w16cid:commentId w16cid:paraId="2EA7B2AD" w16cid:durableId="41AC2220"/>
  <w16cid:commentId w16cid:paraId="021C0EB9" w16cid:durableId="7789D105"/>
  <w16cid:commentId w16cid:paraId="79E02A9A" w16cid:durableId="0F71552C"/>
  <w16cid:commentId w16cid:paraId="2E22574C" w16cid:durableId="40BF0AB6"/>
  <w16cid:commentId w16cid:paraId="01CFF9EB" w16cid:durableId="03F09CDD"/>
  <w16cid:commentId w16cid:paraId="2A4067D3" w16cid:durableId="6C25FDD7"/>
  <w16cid:commentId w16cid:paraId="1A7F7866" w16cid:durableId="7C21F7DA"/>
  <w16cid:commentId w16cid:paraId="371D388C" w16cid:durableId="097359C0"/>
  <w16cid:commentId w16cid:paraId="17F7F181" w16cid:durableId="0BEAABD2"/>
  <w16cid:commentId w16cid:paraId="492A3357" w16cid:durableId="47C8BC20"/>
  <w16cid:commentId w16cid:paraId="34986009" w16cid:durableId="46724E7F"/>
  <w16cid:commentId w16cid:paraId="49C58836" w16cid:durableId="4783FCC5"/>
  <w16cid:commentId w16cid:paraId="15AD12B0" w16cid:durableId="73BDC45E"/>
  <w16cid:commentId w16cid:paraId="5CF6E38B" w16cid:durableId="5085C03F"/>
  <w16cid:commentId w16cid:paraId="5717D649" w16cid:durableId="2008F077"/>
  <w16cid:commentId w16cid:paraId="16964512" w16cid:durableId="2D696A9B"/>
  <w16cid:commentId w16cid:paraId="13E7E20E" w16cid:durableId="6AAB2C11"/>
  <w16cid:commentId w16cid:paraId="5D1FECD0" w16cid:durableId="220BD5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1B369" w14:textId="77777777" w:rsidR="00956C9A" w:rsidRDefault="00956C9A">
      <w:r>
        <w:separator/>
      </w:r>
    </w:p>
  </w:endnote>
  <w:endnote w:type="continuationSeparator" w:id="0">
    <w:p w14:paraId="5DA5FE0B" w14:textId="77777777" w:rsidR="00956C9A" w:rsidRDefault="0095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98F2" w14:textId="77777777" w:rsidR="008D2AED" w:rsidRDefault="008D2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0D9A" w14:textId="77777777" w:rsidR="008D2AED" w:rsidRDefault="008D2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4AD44DCD" w:rsidR="00717F2E" w:rsidRPr="00863A89" w:rsidRDefault="00717F2E" w:rsidP="00863A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4EE23" w14:textId="77777777" w:rsidR="00956C9A" w:rsidRDefault="00956C9A">
      <w:r>
        <w:separator/>
      </w:r>
    </w:p>
  </w:footnote>
  <w:footnote w:type="continuationSeparator" w:id="0">
    <w:p w14:paraId="49E58182" w14:textId="77777777" w:rsidR="00956C9A" w:rsidRDefault="00956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4F207" w14:textId="001438B7" w:rsidR="008D2AED" w:rsidRDefault="00000000">
    <w:pPr>
      <w:pStyle w:val="Header"/>
    </w:pPr>
    <w:r>
      <w:rPr>
        <w:noProof/>
      </w:rPr>
      <w:pict w14:anchorId="31EA2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6520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BE9E6" w14:textId="2F283A53" w:rsidR="008D2AED" w:rsidRDefault="00000000">
    <w:pPr>
      <w:pStyle w:val="Header"/>
    </w:pPr>
    <w:r>
      <w:rPr>
        <w:noProof/>
      </w:rPr>
      <w:pict w14:anchorId="2EC3F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6520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342BA7D1" w:rsidR="00717F2E" w:rsidRDefault="00000000">
    <w:pPr>
      <w:ind w:left="2160"/>
      <w:jc w:val="center"/>
      <w:rPr>
        <w:rFonts w:ascii="Times New Roman" w:eastAsia="Calibri" w:hAnsi="Times New Roman"/>
        <w:i/>
        <w:sz w:val="18"/>
        <w:szCs w:val="22"/>
      </w:rPr>
    </w:pPr>
    <w:r>
      <w:rPr>
        <w:noProof/>
      </w:rPr>
      <w:pict w14:anchorId="36389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6520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D31ACD">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D31ACD">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D31ACD">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D31ACD">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D31ACD">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D31AC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75ED5" w14:textId="724633F0" w:rsidR="008D2AED" w:rsidRDefault="00000000">
    <w:pPr>
      <w:pStyle w:val="Header"/>
    </w:pPr>
    <w:r>
      <w:rPr>
        <w:noProof/>
      </w:rPr>
      <w:pict w14:anchorId="7E0DC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65200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4EB18" w14:textId="6E3F74E1" w:rsidR="008D2AED" w:rsidRDefault="00000000">
    <w:pPr>
      <w:pStyle w:val="Header"/>
    </w:pPr>
    <w:r>
      <w:rPr>
        <w:noProof/>
      </w:rPr>
      <w:pict w14:anchorId="2AA3F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65200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3558" w14:textId="607DB299" w:rsidR="008D2AED" w:rsidRDefault="00000000">
    <w:pPr>
      <w:pStyle w:val="Header"/>
    </w:pPr>
    <w:r>
      <w:rPr>
        <w:noProof/>
      </w:rPr>
      <w:pict w14:anchorId="411F1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65200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967733412">
    <w:abstractNumId w:val="2"/>
  </w:num>
  <w:num w:numId="2" w16cid:durableId="1644381738">
    <w:abstractNumId w:val="1"/>
  </w:num>
  <w:num w:numId="3" w16cid:durableId="5981756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nneth Besigomwe 03/04/2025">
    <w15:presenceInfo w15:providerId="None" w15:userId="Kenneth Besigomwe 03/04/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sqgFAKJKw+k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6590"/>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C74B1"/>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12D22"/>
    <w:rsid w:val="00113238"/>
    <w:rsid w:val="001144E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1AC2"/>
    <w:rsid w:val="001D3A51"/>
    <w:rsid w:val="001D4380"/>
    <w:rsid w:val="001E10D2"/>
    <w:rsid w:val="001E25B4"/>
    <w:rsid w:val="001E44FE"/>
    <w:rsid w:val="001E4FC9"/>
    <w:rsid w:val="001E6121"/>
    <w:rsid w:val="001E7EB7"/>
    <w:rsid w:val="001F3D72"/>
    <w:rsid w:val="001F7F3C"/>
    <w:rsid w:val="00200595"/>
    <w:rsid w:val="00200CF7"/>
    <w:rsid w:val="0020136A"/>
    <w:rsid w:val="00203AF9"/>
    <w:rsid w:val="00204835"/>
    <w:rsid w:val="002074B8"/>
    <w:rsid w:val="00210C28"/>
    <w:rsid w:val="0021536C"/>
    <w:rsid w:val="002170C0"/>
    <w:rsid w:val="00220F8C"/>
    <w:rsid w:val="002274C1"/>
    <w:rsid w:val="00231920"/>
    <w:rsid w:val="0023195C"/>
    <w:rsid w:val="0023271B"/>
    <w:rsid w:val="00240CE3"/>
    <w:rsid w:val="00241741"/>
    <w:rsid w:val="0024282C"/>
    <w:rsid w:val="00245CB7"/>
    <w:rsid w:val="002460DC"/>
    <w:rsid w:val="00246DC7"/>
    <w:rsid w:val="00250985"/>
    <w:rsid w:val="00251946"/>
    <w:rsid w:val="002556F6"/>
    <w:rsid w:val="00256882"/>
    <w:rsid w:val="002622D4"/>
    <w:rsid w:val="00267BEA"/>
    <w:rsid w:val="00271F07"/>
    <w:rsid w:val="002755D7"/>
    <w:rsid w:val="002814B3"/>
    <w:rsid w:val="00282673"/>
    <w:rsid w:val="00283105"/>
    <w:rsid w:val="00284C4C"/>
    <w:rsid w:val="00293C16"/>
    <w:rsid w:val="00293C4C"/>
    <w:rsid w:val="00296529"/>
    <w:rsid w:val="0029657B"/>
    <w:rsid w:val="00296ED2"/>
    <w:rsid w:val="002A22A5"/>
    <w:rsid w:val="002A238C"/>
    <w:rsid w:val="002A423F"/>
    <w:rsid w:val="002A58A7"/>
    <w:rsid w:val="002A64FD"/>
    <w:rsid w:val="002A71AC"/>
    <w:rsid w:val="002A75E4"/>
    <w:rsid w:val="002A77FD"/>
    <w:rsid w:val="002B27FB"/>
    <w:rsid w:val="002B30A8"/>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6861"/>
    <w:rsid w:val="003078F7"/>
    <w:rsid w:val="00313337"/>
    <w:rsid w:val="00314853"/>
    <w:rsid w:val="00315186"/>
    <w:rsid w:val="00315729"/>
    <w:rsid w:val="003157D5"/>
    <w:rsid w:val="00315947"/>
    <w:rsid w:val="003207E7"/>
    <w:rsid w:val="00320B81"/>
    <w:rsid w:val="003248E3"/>
    <w:rsid w:val="00324CBC"/>
    <w:rsid w:val="00324DE7"/>
    <w:rsid w:val="00325EA8"/>
    <w:rsid w:val="00326909"/>
    <w:rsid w:val="0033343E"/>
    <w:rsid w:val="00336270"/>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64C20"/>
    <w:rsid w:val="00371FB6"/>
    <w:rsid w:val="003763C1"/>
    <w:rsid w:val="00376A55"/>
    <w:rsid w:val="00376BBE"/>
    <w:rsid w:val="00377430"/>
    <w:rsid w:val="0038437D"/>
    <w:rsid w:val="00384B44"/>
    <w:rsid w:val="00385125"/>
    <w:rsid w:val="003872C9"/>
    <w:rsid w:val="0039224F"/>
    <w:rsid w:val="00394EAF"/>
    <w:rsid w:val="00395884"/>
    <w:rsid w:val="003A1837"/>
    <w:rsid w:val="003A43A4"/>
    <w:rsid w:val="003A4D6B"/>
    <w:rsid w:val="003A539B"/>
    <w:rsid w:val="003A67AC"/>
    <w:rsid w:val="003A67ED"/>
    <w:rsid w:val="003A6DA1"/>
    <w:rsid w:val="003A7E18"/>
    <w:rsid w:val="003B103B"/>
    <w:rsid w:val="003B1AE0"/>
    <w:rsid w:val="003B2756"/>
    <w:rsid w:val="003B2A9F"/>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9B4"/>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1C6A"/>
    <w:rsid w:val="004735A4"/>
    <w:rsid w:val="00474519"/>
    <w:rsid w:val="00474905"/>
    <w:rsid w:val="00483372"/>
    <w:rsid w:val="0048547F"/>
    <w:rsid w:val="00490B0B"/>
    <w:rsid w:val="00491EFD"/>
    <w:rsid w:val="00495915"/>
    <w:rsid w:val="004B02D3"/>
    <w:rsid w:val="004B1A50"/>
    <w:rsid w:val="004B1AFD"/>
    <w:rsid w:val="004C0CFF"/>
    <w:rsid w:val="004C0FB0"/>
    <w:rsid w:val="004C23DD"/>
    <w:rsid w:val="004C482A"/>
    <w:rsid w:val="004C6530"/>
    <w:rsid w:val="004D07E8"/>
    <w:rsid w:val="004D0C87"/>
    <w:rsid w:val="004D1290"/>
    <w:rsid w:val="004D305E"/>
    <w:rsid w:val="004D4277"/>
    <w:rsid w:val="004E1DA9"/>
    <w:rsid w:val="004E21A0"/>
    <w:rsid w:val="004E5345"/>
    <w:rsid w:val="004E5924"/>
    <w:rsid w:val="004E6386"/>
    <w:rsid w:val="004F7E11"/>
    <w:rsid w:val="00500D35"/>
    <w:rsid w:val="00502516"/>
    <w:rsid w:val="00502C0C"/>
    <w:rsid w:val="00502D46"/>
    <w:rsid w:val="00503ADC"/>
    <w:rsid w:val="00504CAB"/>
    <w:rsid w:val="00505F06"/>
    <w:rsid w:val="00506828"/>
    <w:rsid w:val="0050761B"/>
    <w:rsid w:val="00507A73"/>
    <w:rsid w:val="00520D04"/>
    <w:rsid w:val="00523AEB"/>
    <w:rsid w:val="00523F46"/>
    <w:rsid w:val="00524ED0"/>
    <w:rsid w:val="0053056E"/>
    <w:rsid w:val="0053558A"/>
    <w:rsid w:val="00535C8B"/>
    <w:rsid w:val="00535CBD"/>
    <w:rsid w:val="005404AD"/>
    <w:rsid w:val="005428F9"/>
    <w:rsid w:val="005435C6"/>
    <w:rsid w:val="00550463"/>
    <w:rsid w:val="00553354"/>
    <w:rsid w:val="0055379E"/>
    <w:rsid w:val="00553932"/>
    <w:rsid w:val="00554C2B"/>
    <w:rsid w:val="00554EEE"/>
    <w:rsid w:val="00554FDA"/>
    <w:rsid w:val="00555A79"/>
    <w:rsid w:val="00557ED8"/>
    <w:rsid w:val="005602BC"/>
    <w:rsid w:val="00567306"/>
    <w:rsid w:val="0057110B"/>
    <w:rsid w:val="00572250"/>
    <w:rsid w:val="00574C91"/>
    <w:rsid w:val="00575D97"/>
    <w:rsid w:val="00575E98"/>
    <w:rsid w:val="005811D6"/>
    <w:rsid w:val="00582069"/>
    <w:rsid w:val="00587F26"/>
    <w:rsid w:val="00590BF3"/>
    <w:rsid w:val="00591549"/>
    <w:rsid w:val="00593BB8"/>
    <w:rsid w:val="005A463E"/>
    <w:rsid w:val="005A4C3F"/>
    <w:rsid w:val="005A6625"/>
    <w:rsid w:val="005B0210"/>
    <w:rsid w:val="005B222E"/>
    <w:rsid w:val="005B3F31"/>
    <w:rsid w:val="005B5EA4"/>
    <w:rsid w:val="005C2662"/>
    <w:rsid w:val="005C2AB0"/>
    <w:rsid w:val="005C3039"/>
    <w:rsid w:val="005C540B"/>
    <w:rsid w:val="005C6F1A"/>
    <w:rsid w:val="005C6F7D"/>
    <w:rsid w:val="005C784C"/>
    <w:rsid w:val="005C7F69"/>
    <w:rsid w:val="005D17F6"/>
    <w:rsid w:val="005D2C58"/>
    <w:rsid w:val="005D4AE9"/>
    <w:rsid w:val="005D5C0A"/>
    <w:rsid w:val="005D5F0B"/>
    <w:rsid w:val="005E2A7F"/>
    <w:rsid w:val="005E5539"/>
    <w:rsid w:val="005F3517"/>
    <w:rsid w:val="005F3FD1"/>
    <w:rsid w:val="005F5CD3"/>
    <w:rsid w:val="005F7B39"/>
    <w:rsid w:val="006013F0"/>
    <w:rsid w:val="00602BF5"/>
    <w:rsid w:val="006039E7"/>
    <w:rsid w:val="00604A7A"/>
    <w:rsid w:val="0060632C"/>
    <w:rsid w:val="00606EB7"/>
    <w:rsid w:val="00611918"/>
    <w:rsid w:val="0061357D"/>
    <w:rsid w:val="00613CF9"/>
    <w:rsid w:val="006140BF"/>
    <w:rsid w:val="00615452"/>
    <w:rsid w:val="006162E2"/>
    <w:rsid w:val="00617FDD"/>
    <w:rsid w:val="006203C5"/>
    <w:rsid w:val="00621CBF"/>
    <w:rsid w:val="00622252"/>
    <w:rsid w:val="00624014"/>
    <w:rsid w:val="006273A5"/>
    <w:rsid w:val="00633614"/>
    <w:rsid w:val="00633F68"/>
    <w:rsid w:val="00634BB6"/>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62E"/>
    <w:rsid w:val="006B57D0"/>
    <w:rsid w:val="006B77F3"/>
    <w:rsid w:val="006C24B2"/>
    <w:rsid w:val="006C294F"/>
    <w:rsid w:val="006C2BA1"/>
    <w:rsid w:val="006C3422"/>
    <w:rsid w:val="006D0988"/>
    <w:rsid w:val="006D12D7"/>
    <w:rsid w:val="006D30FF"/>
    <w:rsid w:val="006D675B"/>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29FA"/>
    <w:rsid w:val="007173B9"/>
    <w:rsid w:val="00717F2E"/>
    <w:rsid w:val="00720093"/>
    <w:rsid w:val="00720256"/>
    <w:rsid w:val="00722C51"/>
    <w:rsid w:val="00724D20"/>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6E59"/>
    <w:rsid w:val="00747370"/>
    <w:rsid w:val="00751E00"/>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51F2"/>
    <w:rsid w:val="007969E9"/>
    <w:rsid w:val="007A2E32"/>
    <w:rsid w:val="007A351A"/>
    <w:rsid w:val="007B0C10"/>
    <w:rsid w:val="007B541F"/>
    <w:rsid w:val="007C182C"/>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45F6"/>
    <w:rsid w:val="007F6C64"/>
    <w:rsid w:val="007F6D8D"/>
    <w:rsid w:val="007F7B32"/>
    <w:rsid w:val="007F7FDC"/>
    <w:rsid w:val="00804067"/>
    <w:rsid w:val="00804BC2"/>
    <w:rsid w:val="0080709B"/>
    <w:rsid w:val="00810B02"/>
    <w:rsid w:val="0081431A"/>
    <w:rsid w:val="00814943"/>
    <w:rsid w:val="008157DD"/>
    <w:rsid w:val="008204D0"/>
    <w:rsid w:val="008216D2"/>
    <w:rsid w:val="008244F8"/>
    <w:rsid w:val="00826162"/>
    <w:rsid w:val="00830F00"/>
    <w:rsid w:val="00831639"/>
    <w:rsid w:val="00831C82"/>
    <w:rsid w:val="0083216F"/>
    <w:rsid w:val="00834274"/>
    <w:rsid w:val="00835ACF"/>
    <w:rsid w:val="00836887"/>
    <w:rsid w:val="00844419"/>
    <w:rsid w:val="008453DD"/>
    <w:rsid w:val="00847952"/>
    <w:rsid w:val="00851CF6"/>
    <w:rsid w:val="0085507F"/>
    <w:rsid w:val="0085546E"/>
    <w:rsid w:val="0085657A"/>
    <w:rsid w:val="00860000"/>
    <w:rsid w:val="00862163"/>
    <w:rsid w:val="00863A89"/>
    <w:rsid w:val="00863BD3"/>
    <w:rsid w:val="00866D66"/>
    <w:rsid w:val="008671C6"/>
    <w:rsid w:val="00872099"/>
    <w:rsid w:val="00872C97"/>
    <w:rsid w:val="00875803"/>
    <w:rsid w:val="00877D36"/>
    <w:rsid w:val="0088785F"/>
    <w:rsid w:val="008945A3"/>
    <w:rsid w:val="0089512D"/>
    <w:rsid w:val="00896524"/>
    <w:rsid w:val="00897FB9"/>
    <w:rsid w:val="008A09AF"/>
    <w:rsid w:val="008A7E29"/>
    <w:rsid w:val="008B459E"/>
    <w:rsid w:val="008B6AE3"/>
    <w:rsid w:val="008C2330"/>
    <w:rsid w:val="008C65DE"/>
    <w:rsid w:val="008D1265"/>
    <w:rsid w:val="008D1544"/>
    <w:rsid w:val="008D2AED"/>
    <w:rsid w:val="008D4CC6"/>
    <w:rsid w:val="008D5531"/>
    <w:rsid w:val="008E13AE"/>
    <w:rsid w:val="008E1506"/>
    <w:rsid w:val="008E1D48"/>
    <w:rsid w:val="008E710C"/>
    <w:rsid w:val="008E7BE1"/>
    <w:rsid w:val="008F0221"/>
    <w:rsid w:val="008F2E29"/>
    <w:rsid w:val="008F446C"/>
    <w:rsid w:val="008F5B17"/>
    <w:rsid w:val="008F69D6"/>
    <w:rsid w:val="00902823"/>
    <w:rsid w:val="00907A49"/>
    <w:rsid w:val="00912783"/>
    <w:rsid w:val="00914956"/>
    <w:rsid w:val="00915CA6"/>
    <w:rsid w:val="00915CD7"/>
    <w:rsid w:val="009205F6"/>
    <w:rsid w:val="00922FF1"/>
    <w:rsid w:val="0092315A"/>
    <w:rsid w:val="00924904"/>
    <w:rsid w:val="00925012"/>
    <w:rsid w:val="00926B4B"/>
    <w:rsid w:val="00927834"/>
    <w:rsid w:val="009316B6"/>
    <w:rsid w:val="00932889"/>
    <w:rsid w:val="00940320"/>
    <w:rsid w:val="009500A6"/>
    <w:rsid w:val="00951100"/>
    <w:rsid w:val="00952916"/>
    <w:rsid w:val="00956C9A"/>
    <w:rsid w:val="00957C18"/>
    <w:rsid w:val="00957C4C"/>
    <w:rsid w:val="00962B44"/>
    <w:rsid w:val="00962C41"/>
    <w:rsid w:val="009648BB"/>
    <w:rsid w:val="009659BA"/>
    <w:rsid w:val="0096663E"/>
    <w:rsid w:val="0096697A"/>
    <w:rsid w:val="00966B8A"/>
    <w:rsid w:val="00970217"/>
    <w:rsid w:val="00970BE3"/>
    <w:rsid w:val="00973443"/>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223"/>
    <w:rsid w:val="009D5D98"/>
    <w:rsid w:val="009D5F81"/>
    <w:rsid w:val="009D7EB7"/>
    <w:rsid w:val="009E048A"/>
    <w:rsid w:val="009E06BC"/>
    <w:rsid w:val="009E08E9"/>
    <w:rsid w:val="009E115B"/>
    <w:rsid w:val="009E154B"/>
    <w:rsid w:val="009E3762"/>
    <w:rsid w:val="009E3DB9"/>
    <w:rsid w:val="009E68DA"/>
    <w:rsid w:val="009E6E35"/>
    <w:rsid w:val="009E74A6"/>
    <w:rsid w:val="009F0EDA"/>
    <w:rsid w:val="009F5D06"/>
    <w:rsid w:val="009F743A"/>
    <w:rsid w:val="00A0136A"/>
    <w:rsid w:val="00A03B96"/>
    <w:rsid w:val="00A03BA8"/>
    <w:rsid w:val="00A04439"/>
    <w:rsid w:val="00A05B19"/>
    <w:rsid w:val="00A107D6"/>
    <w:rsid w:val="00A1134E"/>
    <w:rsid w:val="00A11651"/>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73CD6"/>
    <w:rsid w:val="00A74632"/>
    <w:rsid w:val="00A9100D"/>
    <w:rsid w:val="00A9348B"/>
    <w:rsid w:val="00A94063"/>
    <w:rsid w:val="00A97CA7"/>
    <w:rsid w:val="00AA021D"/>
    <w:rsid w:val="00AA046F"/>
    <w:rsid w:val="00AA1319"/>
    <w:rsid w:val="00AA39D0"/>
    <w:rsid w:val="00AA619C"/>
    <w:rsid w:val="00AA6219"/>
    <w:rsid w:val="00AA74E0"/>
    <w:rsid w:val="00AB03A5"/>
    <w:rsid w:val="00AB0ED9"/>
    <w:rsid w:val="00AB4638"/>
    <w:rsid w:val="00AB6E00"/>
    <w:rsid w:val="00AB703F"/>
    <w:rsid w:val="00AB71CE"/>
    <w:rsid w:val="00AB7BD9"/>
    <w:rsid w:val="00AC14F6"/>
    <w:rsid w:val="00AC2477"/>
    <w:rsid w:val="00AC454B"/>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0250"/>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78F0"/>
    <w:rsid w:val="00B31AFA"/>
    <w:rsid w:val="00B31D3E"/>
    <w:rsid w:val="00B32415"/>
    <w:rsid w:val="00B346C5"/>
    <w:rsid w:val="00B35A5F"/>
    <w:rsid w:val="00B364F1"/>
    <w:rsid w:val="00B37CEB"/>
    <w:rsid w:val="00B44933"/>
    <w:rsid w:val="00B52896"/>
    <w:rsid w:val="00B549CE"/>
    <w:rsid w:val="00B55B85"/>
    <w:rsid w:val="00B55D37"/>
    <w:rsid w:val="00B55FCC"/>
    <w:rsid w:val="00B60155"/>
    <w:rsid w:val="00B62947"/>
    <w:rsid w:val="00B64177"/>
    <w:rsid w:val="00B66AB4"/>
    <w:rsid w:val="00B72B39"/>
    <w:rsid w:val="00B771E5"/>
    <w:rsid w:val="00B83A45"/>
    <w:rsid w:val="00B859F0"/>
    <w:rsid w:val="00B95236"/>
    <w:rsid w:val="00B96BD9"/>
    <w:rsid w:val="00B978D8"/>
    <w:rsid w:val="00BA1322"/>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261F"/>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2631"/>
    <w:rsid w:val="00C13D7A"/>
    <w:rsid w:val="00C13DDA"/>
    <w:rsid w:val="00C15151"/>
    <w:rsid w:val="00C15F69"/>
    <w:rsid w:val="00C166EF"/>
    <w:rsid w:val="00C17EB0"/>
    <w:rsid w:val="00C20AB9"/>
    <w:rsid w:val="00C23760"/>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285"/>
    <w:rsid w:val="00C65D13"/>
    <w:rsid w:val="00C705A4"/>
    <w:rsid w:val="00C70F1B"/>
    <w:rsid w:val="00C71A47"/>
    <w:rsid w:val="00C72DF1"/>
    <w:rsid w:val="00C73A36"/>
    <w:rsid w:val="00C73E17"/>
    <w:rsid w:val="00C741DB"/>
    <w:rsid w:val="00C7464C"/>
    <w:rsid w:val="00C75625"/>
    <w:rsid w:val="00C8198B"/>
    <w:rsid w:val="00C81A14"/>
    <w:rsid w:val="00C838DC"/>
    <w:rsid w:val="00C84693"/>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0C96"/>
    <w:rsid w:val="00CC701F"/>
    <w:rsid w:val="00CC7073"/>
    <w:rsid w:val="00CD1124"/>
    <w:rsid w:val="00CD6339"/>
    <w:rsid w:val="00CD6755"/>
    <w:rsid w:val="00CD6856"/>
    <w:rsid w:val="00CD6F56"/>
    <w:rsid w:val="00CE0089"/>
    <w:rsid w:val="00CE3176"/>
    <w:rsid w:val="00CE5E13"/>
    <w:rsid w:val="00CE793C"/>
    <w:rsid w:val="00CF0FD8"/>
    <w:rsid w:val="00CF2E29"/>
    <w:rsid w:val="00D01782"/>
    <w:rsid w:val="00D0289A"/>
    <w:rsid w:val="00D03BEB"/>
    <w:rsid w:val="00D055FD"/>
    <w:rsid w:val="00D065CB"/>
    <w:rsid w:val="00D07910"/>
    <w:rsid w:val="00D13BF4"/>
    <w:rsid w:val="00D16A04"/>
    <w:rsid w:val="00D17273"/>
    <w:rsid w:val="00D173F1"/>
    <w:rsid w:val="00D21E8D"/>
    <w:rsid w:val="00D227D5"/>
    <w:rsid w:val="00D23445"/>
    <w:rsid w:val="00D23B1F"/>
    <w:rsid w:val="00D24440"/>
    <w:rsid w:val="00D308B0"/>
    <w:rsid w:val="00D311B1"/>
    <w:rsid w:val="00D31ACD"/>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17BB"/>
    <w:rsid w:val="00D72CC0"/>
    <w:rsid w:val="00D772CA"/>
    <w:rsid w:val="00D77F8D"/>
    <w:rsid w:val="00D77FBA"/>
    <w:rsid w:val="00D8295D"/>
    <w:rsid w:val="00D83D9C"/>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3BA8"/>
    <w:rsid w:val="00DD5EA2"/>
    <w:rsid w:val="00DD6431"/>
    <w:rsid w:val="00DD68C1"/>
    <w:rsid w:val="00DD733B"/>
    <w:rsid w:val="00DE15F0"/>
    <w:rsid w:val="00DE32FA"/>
    <w:rsid w:val="00DE5663"/>
    <w:rsid w:val="00DE7644"/>
    <w:rsid w:val="00DE78AA"/>
    <w:rsid w:val="00DF4C95"/>
    <w:rsid w:val="00DF5FE4"/>
    <w:rsid w:val="00DF6125"/>
    <w:rsid w:val="00E009EA"/>
    <w:rsid w:val="00E053D0"/>
    <w:rsid w:val="00E05D72"/>
    <w:rsid w:val="00E100D0"/>
    <w:rsid w:val="00E103CF"/>
    <w:rsid w:val="00E112E6"/>
    <w:rsid w:val="00E12CED"/>
    <w:rsid w:val="00E146D8"/>
    <w:rsid w:val="00E15994"/>
    <w:rsid w:val="00E17969"/>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1DC6"/>
    <w:rsid w:val="00E55050"/>
    <w:rsid w:val="00E557DA"/>
    <w:rsid w:val="00E603BE"/>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86249"/>
    <w:rsid w:val="00E96A2D"/>
    <w:rsid w:val="00E9718F"/>
    <w:rsid w:val="00EA012C"/>
    <w:rsid w:val="00EA70C1"/>
    <w:rsid w:val="00EB1D47"/>
    <w:rsid w:val="00EB2E0E"/>
    <w:rsid w:val="00EB7104"/>
    <w:rsid w:val="00EC3636"/>
    <w:rsid w:val="00ED0288"/>
    <w:rsid w:val="00ED2411"/>
    <w:rsid w:val="00ED49F7"/>
    <w:rsid w:val="00ED54F5"/>
    <w:rsid w:val="00ED755D"/>
    <w:rsid w:val="00EE3755"/>
    <w:rsid w:val="00EE52CB"/>
    <w:rsid w:val="00EE66A5"/>
    <w:rsid w:val="00EE7B27"/>
    <w:rsid w:val="00EF1EB5"/>
    <w:rsid w:val="00EF2383"/>
    <w:rsid w:val="00EF581D"/>
    <w:rsid w:val="00EF7DF2"/>
    <w:rsid w:val="00EF7FD8"/>
    <w:rsid w:val="00F04F13"/>
    <w:rsid w:val="00F05F12"/>
    <w:rsid w:val="00F05FAA"/>
    <w:rsid w:val="00F06F59"/>
    <w:rsid w:val="00F071D7"/>
    <w:rsid w:val="00F07371"/>
    <w:rsid w:val="00F11DDA"/>
    <w:rsid w:val="00F12135"/>
    <w:rsid w:val="00F159E4"/>
    <w:rsid w:val="00F174B8"/>
    <w:rsid w:val="00F17988"/>
    <w:rsid w:val="00F206ED"/>
    <w:rsid w:val="00F20BD8"/>
    <w:rsid w:val="00F2100D"/>
    <w:rsid w:val="00F238A0"/>
    <w:rsid w:val="00F23A67"/>
    <w:rsid w:val="00F266FB"/>
    <w:rsid w:val="00F303EB"/>
    <w:rsid w:val="00F357B7"/>
    <w:rsid w:val="00F36ABC"/>
    <w:rsid w:val="00F40FB0"/>
    <w:rsid w:val="00F41B72"/>
    <w:rsid w:val="00F41F1C"/>
    <w:rsid w:val="00F42FC6"/>
    <w:rsid w:val="00F469F0"/>
    <w:rsid w:val="00F51246"/>
    <w:rsid w:val="00F52DF6"/>
    <w:rsid w:val="00F53273"/>
    <w:rsid w:val="00F53CF3"/>
    <w:rsid w:val="00F576D3"/>
    <w:rsid w:val="00F57E77"/>
    <w:rsid w:val="00F57FA7"/>
    <w:rsid w:val="00F606EA"/>
    <w:rsid w:val="00F63AD9"/>
    <w:rsid w:val="00F63EA4"/>
    <w:rsid w:val="00F701FE"/>
    <w:rsid w:val="00F70217"/>
    <w:rsid w:val="00F70245"/>
    <w:rsid w:val="00F7028B"/>
    <w:rsid w:val="00F70BCD"/>
    <w:rsid w:val="00F71EB8"/>
    <w:rsid w:val="00F74F93"/>
    <w:rsid w:val="00F755E4"/>
    <w:rsid w:val="00F759B7"/>
    <w:rsid w:val="00F76FFA"/>
    <w:rsid w:val="00F77D02"/>
    <w:rsid w:val="00F80106"/>
    <w:rsid w:val="00F947E3"/>
    <w:rsid w:val="00F96071"/>
    <w:rsid w:val="00FA0D6E"/>
    <w:rsid w:val="00FA1081"/>
    <w:rsid w:val="00FA2543"/>
    <w:rsid w:val="00FB2B5E"/>
    <w:rsid w:val="00FB3A86"/>
    <w:rsid w:val="00FB469D"/>
    <w:rsid w:val="00FB7F6C"/>
    <w:rsid w:val="00FC4F69"/>
    <w:rsid w:val="00FD227E"/>
    <w:rsid w:val="00FD270D"/>
    <w:rsid w:val="00FD2B99"/>
    <w:rsid w:val="00FD36C8"/>
    <w:rsid w:val="00FD5070"/>
    <w:rsid w:val="00FE32B3"/>
    <w:rsid w:val="00FE44DE"/>
    <w:rsid w:val="00FE46CD"/>
    <w:rsid w:val="00FF1468"/>
    <w:rsid w:val="00FF23CD"/>
    <w:rsid w:val="00FF28B3"/>
    <w:rsid w:val="00FF30BA"/>
    <w:rsid w:val="00FF464C"/>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3851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8512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5C7F69"/>
    <w:rPr>
      <w:color w:val="605E5C"/>
      <w:shd w:val="clear" w:color="auto" w:fill="E1DFDD"/>
    </w:rPr>
  </w:style>
  <w:style w:type="paragraph" w:styleId="CommentSubject">
    <w:name w:val="annotation subject"/>
    <w:basedOn w:val="CommentText"/>
    <w:next w:val="CommentText"/>
    <w:link w:val="CommentSubjectChar"/>
    <w:rsid w:val="006D675B"/>
    <w:rPr>
      <w:rFonts w:ascii="Helvetica" w:hAnsi="Helvetica"/>
      <w:b/>
      <w:bCs/>
      <w:lang w:val="en-US" w:eastAsia="en-US"/>
    </w:rPr>
  </w:style>
  <w:style w:type="character" w:customStyle="1" w:styleId="CommentSubjectChar">
    <w:name w:val="Comment Subject Char"/>
    <w:basedOn w:val="CommentTextChar"/>
    <w:link w:val="CommentSubject"/>
    <w:rsid w:val="006D675B"/>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158</TotalTime>
  <Pages>14</Pages>
  <Words>5978</Words>
  <Characters>34076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Kenneth Besigomwe 03/04/2025</cp:lastModifiedBy>
  <cp:revision>126</cp:revision>
  <cp:lastPrinted>2025-04-02T03:07:00Z</cp:lastPrinted>
  <dcterms:created xsi:type="dcterms:W3CDTF">2025-04-02T03:28:00Z</dcterms:created>
  <dcterms:modified xsi:type="dcterms:W3CDTF">2025-04-03T13:56:00Z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