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3A7D3" w14:textId="77777777" w:rsidR="00754C9A" w:rsidRDefault="00754C9A" w:rsidP="00441B6F">
      <w:pPr>
        <w:pStyle w:val="Title"/>
        <w:spacing w:after="0"/>
        <w:jc w:val="both"/>
        <w:rPr>
          <w:rFonts w:ascii="Arial" w:hAnsi="Arial" w:cs="Arial"/>
        </w:rPr>
      </w:pPr>
    </w:p>
    <w:p w14:paraId="2B0852A0" w14:textId="77777777" w:rsidR="000B709F" w:rsidRDefault="000B709F" w:rsidP="00441B6F">
      <w:pPr>
        <w:pStyle w:val="Title"/>
        <w:spacing w:after="0"/>
        <w:jc w:val="both"/>
        <w:rPr>
          <w:rFonts w:ascii="Arial" w:hAnsi="Arial" w:cs="Arial"/>
        </w:rPr>
      </w:pPr>
    </w:p>
    <w:p w14:paraId="1EBA4EA7" w14:textId="1C2DF1AB" w:rsidR="00163BC4" w:rsidRPr="007D1226" w:rsidRDefault="00770746" w:rsidP="00441B6F">
      <w:pPr>
        <w:pStyle w:val="Author"/>
        <w:spacing w:line="240" w:lineRule="auto"/>
        <w:rPr>
          <w:rFonts w:ascii="Arial" w:hAnsi="Arial" w:cs="Arial"/>
          <w:bCs/>
          <w:iCs/>
          <w:kern w:val="28"/>
          <w:sz w:val="36"/>
        </w:rPr>
      </w:pPr>
      <w:r w:rsidRPr="007D1226">
        <w:rPr>
          <w:rFonts w:ascii="Arial" w:hAnsi="Arial" w:cs="Arial"/>
          <w:bCs/>
          <w:iCs/>
          <w:kern w:val="28"/>
          <w:sz w:val="36"/>
        </w:rPr>
        <w:t xml:space="preserve">Gender Preferences of Hiring Home Economics Teachers: </w:t>
      </w:r>
      <w:r w:rsidRPr="00227AD4">
        <w:rPr>
          <w:rFonts w:ascii="Arial" w:hAnsi="Arial" w:cs="Arial"/>
          <w:bCs/>
          <w:iCs/>
          <w:kern w:val="28"/>
          <w:sz w:val="36"/>
          <w:highlight w:val="yellow"/>
        </w:rPr>
        <w:t>School Heads in Focus</w:t>
      </w:r>
    </w:p>
    <w:p w14:paraId="6C682007" w14:textId="77777777" w:rsidR="00A258C3" w:rsidRPr="00227AD4" w:rsidRDefault="00A258C3" w:rsidP="00441B6F">
      <w:pPr>
        <w:pStyle w:val="Author"/>
        <w:spacing w:line="240" w:lineRule="auto"/>
        <w:jc w:val="both"/>
        <w:rPr>
          <w:rFonts w:ascii="Arial" w:hAnsi="Arial" w:cs="Arial"/>
          <w:color w:val="FF0000"/>
          <w:sz w:val="36"/>
        </w:rPr>
      </w:pPr>
    </w:p>
    <w:p w14:paraId="1B5D7C53" w14:textId="3E7949CD" w:rsidR="002C57D2" w:rsidRPr="00227AD4" w:rsidRDefault="00227AD4" w:rsidP="00441B6F">
      <w:pPr>
        <w:pStyle w:val="Affiliation"/>
        <w:spacing w:after="0" w:line="240" w:lineRule="auto"/>
        <w:jc w:val="both"/>
        <w:rPr>
          <w:rFonts w:ascii="Arial" w:hAnsi="Arial" w:cs="Arial"/>
          <w:color w:val="FF0000"/>
        </w:rPr>
      </w:pPr>
      <w:r w:rsidRPr="00227AD4">
        <w:rPr>
          <w:rFonts w:ascii="Arial" w:hAnsi="Arial" w:cs="Arial"/>
          <w:color w:val="FF0000"/>
        </w:rPr>
        <w:t>A CASE STUDY OF SCHOOL HEADS</w:t>
      </w:r>
      <w:r>
        <w:rPr>
          <w:rFonts w:ascii="Arial" w:hAnsi="Arial" w:cs="Arial"/>
          <w:color w:val="FF0000"/>
        </w:rPr>
        <w:t>- A suggesti</w:t>
      </w:r>
      <w:r w:rsidR="008E3FDD">
        <w:rPr>
          <w:rFonts w:ascii="Arial" w:hAnsi="Arial" w:cs="Arial"/>
          <w:color w:val="FF0000"/>
        </w:rPr>
        <w:t>on.</w:t>
      </w:r>
    </w:p>
    <w:p w14:paraId="6C77340C" w14:textId="6773B686" w:rsidR="00B01FCD" w:rsidRPr="007D1226" w:rsidRDefault="00A66E16" w:rsidP="00441B6F">
      <w:pPr>
        <w:pStyle w:val="Copyright"/>
        <w:spacing w:after="0" w:line="240" w:lineRule="auto"/>
        <w:jc w:val="both"/>
        <w:rPr>
          <w:rFonts w:ascii="Arial" w:hAnsi="Arial" w:cs="Arial"/>
        </w:rPr>
        <w:sectPr w:rsidR="00B01FCD" w:rsidRPr="007D1226" w:rsidSect="00231B8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7D1226">
        <w:rPr>
          <w:rFonts w:ascii="Arial" w:hAnsi="Arial" w:cs="Arial"/>
          <w:noProof/>
        </w:rPr>
        <mc:AlternateContent>
          <mc:Choice Requires="wps">
            <w:drawing>
              <wp:inline distT="0" distB="0" distL="0" distR="0" wp14:anchorId="215BE2E0" wp14:editId="3810615B">
                <wp:extent cx="5303520" cy="635"/>
                <wp:effectExtent l="9525" t="12700" r="11430" b="15875"/>
                <wp:docPr id="14529911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14F952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7D1226">
        <w:rPr>
          <w:rFonts w:ascii="Arial" w:hAnsi="Arial" w:cs="Arial"/>
        </w:rPr>
        <w:t>.</w:t>
      </w:r>
    </w:p>
    <w:p w14:paraId="34149D88" w14:textId="32F367BC" w:rsidR="00B01FCD" w:rsidRPr="007D1226" w:rsidRDefault="00B01FCD" w:rsidP="00441B6F">
      <w:pPr>
        <w:pStyle w:val="AbstHead"/>
        <w:spacing w:after="0"/>
        <w:jc w:val="both"/>
        <w:rPr>
          <w:rFonts w:ascii="Arial" w:hAnsi="Arial" w:cs="Arial"/>
        </w:rPr>
      </w:pPr>
      <w:r w:rsidRPr="007D1226">
        <w:rPr>
          <w:rFonts w:ascii="Arial" w:hAnsi="Arial" w:cs="Arial"/>
        </w:rPr>
        <w:t>ABSTRACT</w:t>
      </w:r>
      <w:r w:rsidR="0066510A" w:rsidRPr="007D1226">
        <w:rPr>
          <w:rFonts w:ascii="Arial" w:hAnsi="Arial" w:cs="Arial"/>
        </w:rPr>
        <w:t xml:space="preserve"> </w:t>
      </w:r>
    </w:p>
    <w:p w14:paraId="15EC36E9" w14:textId="77777777" w:rsidR="00790ADA" w:rsidRPr="007D122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7D1226" w14:paraId="3B0C875D" w14:textId="77777777" w:rsidTr="001E44FE">
        <w:tc>
          <w:tcPr>
            <w:tcW w:w="9576" w:type="dxa"/>
            <w:shd w:val="clear" w:color="auto" w:fill="F2F2F2"/>
          </w:tcPr>
          <w:p w14:paraId="519ACF38" w14:textId="05696498" w:rsidR="00505F06" w:rsidRPr="007D1226" w:rsidRDefault="00E07096" w:rsidP="00E07096">
            <w:pPr>
              <w:pStyle w:val="NoSpacing"/>
              <w:spacing w:line="276" w:lineRule="auto"/>
              <w:jc w:val="both"/>
              <w:rPr>
                <w:rFonts w:ascii="Arial" w:hAnsi="Arial" w:cs="Arial"/>
                <w:iCs/>
              </w:rPr>
            </w:pPr>
            <w:bookmarkStart w:id="0" w:name="_Hlk190268896"/>
            <w:bookmarkStart w:id="1" w:name="_Hlk190269002"/>
            <w:r w:rsidRPr="007D1226">
              <w:rPr>
                <w:rFonts w:ascii="Arial" w:hAnsi="Arial" w:cs="Arial"/>
                <w:iCs/>
                <w:lang w:val="pt-BR"/>
              </w:rPr>
              <w:t xml:space="preserve">This study explored the Gender Preferences of Hiring Home Economics Teachers: School Head in Focus. There were seven (7) school heads in secondary shool in Davao del Sur participated in the study. This study used a phenomenological approach to extract the ideas form the participants. In-depth-interview (IDI) was employed is this study. Using the thematic analysis, the following themes emerged as pertaines to the work expreriences of school heads with different gender: </w:t>
            </w:r>
            <w:r w:rsidR="0087767F" w:rsidRPr="007D1226">
              <w:rPr>
                <w:rFonts w:ascii="Arial" w:hAnsi="Arial" w:cs="Arial"/>
                <w:iCs/>
                <w:lang w:val="pt-BR"/>
              </w:rPr>
              <w:t>handling difficulty</w:t>
            </w:r>
            <w:r w:rsidRPr="007D1226">
              <w:rPr>
                <w:rFonts w:ascii="Arial" w:hAnsi="Arial" w:cs="Arial"/>
                <w:iCs/>
                <w:lang w:val="pt-BR"/>
              </w:rPr>
              <w:t xml:space="preserve"> in the workplace, respecting cultural divesrity,</w:t>
            </w:r>
            <w:r w:rsidR="00F355E4" w:rsidRPr="007D1226">
              <w:rPr>
                <w:rFonts w:ascii="Arial" w:hAnsi="Arial" w:cs="Arial"/>
                <w:iCs/>
                <w:lang w:val="pt-BR"/>
              </w:rPr>
              <w:t xml:space="preserve"> and</w:t>
            </w:r>
            <w:r w:rsidRPr="007D1226">
              <w:rPr>
                <w:rFonts w:ascii="Arial" w:hAnsi="Arial" w:cs="Arial"/>
                <w:iCs/>
                <w:lang w:val="pt-BR"/>
              </w:rPr>
              <w:t xml:space="preserve"> profecient home economics teacher. The gender preferences of school heads in hiring home economics teachers were: valuing diversity in teaching and female dominated. The insights can be drawn from the findings of the sutdy that will contribute to the academic setting were: promoting gender and development in the workplace and harmonious relationship to academic settings. </w:t>
            </w:r>
            <w:bookmarkEnd w:id="0"/>
            <w:r w:rsidRPr="007D1226">
              <w:rPr>
                <w:rFonts w:ascii="Arial" w:hAnsi="Arial" w:cs="Arial"/>
                <w:iCs/>
              </w:rPr>
              <w:t>Department of Education (</w:t>
            </w:r>
            <w:proofErr w:type="spellStart"/>
            <w:r w:rsidRPr="007D1226">
              <w:rPr>
                <w:rFonts w:ascii="Arial" w:hAnsi="Arial" w:cs="Arial"/>
                <w:iCs/>
              </w:rPr>
              <w:t>DEPEd</w:t>
            </w:r>
            <w:proofErr w:type="spellEnd"/>
            <w:r w:rsidRPr="007D1226">
              <w:rPr>
                <w:rFonts w:ascii="Arial" w:hAnsi="Arial" w:cs="Arial"/>
                <w:iCs/>
              </w:rPr>
              <w:t xml:space="preserve">) key officials may conduct school campaign on the importance of gender equality by integrating in the school curriculum as an elective subject.  School heads may suggest implementing seminars, training and workshops about gender equality of all the teaching and non-teaching staff in the organization. </w:t>
            </w:r>
            <w:bookmarkEnd w:id="1"/>
          </w:p>
        </w:tc>
      </w:tr>
    </w:tbl>
    <w:p w14:paraId="6AB1CEED" w14:textId="77777777" w:rsidR="00636EB2" w:rsidRPr="007D1226" w:rsidRDefault="00636EB2" w:rsidP="00441B6F">
      <w:pPr>
        <w:pStyle w:val="Body"/>
        <w:spacing w:after="0"/>
        <w:rPr>
          <w:rFonts w:ascii="Arial" w:hAnsi="Arial" w:cs="Arial"/>
          <w:i/>
        </w:rPr>
      </w:pPr>
    </w:p>
    <w:p w14:paraId="425C59A0" w14:textId="68CA9910" w:rsidR="00A24E7E" w:rsidRPr="007D1226" w:rsidRDefault="00A24E7E" w:rsidP="00441B6F">
      <w:pPr>
        <w:pStyle w:val="Body"/>
        <w:spacing w:after="0"/>
        <w:rPr>
          <w:rFonts w:ascii="Arial" w:hAnsi="Arial" w:cs="Arial"/>
          <w:i/>
        </w:rPr>
      </w:pPr>
      <w:r w:rsidRPr="007D1226">
        <w:rPr>
          <w:rFonts w:ascii="Arial" w:hAnsi="Arial" w:cs="Arial"/>
          <w:i/>
        </w:rPr>
        <w:t xml:space="preserve">Keywords: </w:t>
      </w:r>
      <w:r w:rsidR="00E07096" w:rsidRPr="007D1226">
        <w:rPr>
          <w:rFonts w:ascii="Arial" w:hAnsi="Arial" w:cs="Arial"/>
          <w:i/>
        </w:rPr>
        <w:t>Gender Preferences; Gender Equality; School Heads; Home Economics</w:t>
      </w:r>
    </w:p>
    <w:p w14:paraId="00E9C023" w14:textId="77777777" w:rsidR="0024282C" w:rsidRPr="007D1226" w:rsidRDefault="0024282C" w:rsidP="00441B6F">
      <w:pPr>
        <w:pStyle w:val="Body"/>
        <w:spacing w:after="0"/>
        <w:rPr>
          <w:rFonts w:ascii="Arial" w:hAnsi="Arial" w:cs="Arial"/>
          <w:i/>
          <w:sz w:val="18"/>
        </w:rPr>
      </w:pPr>
    </w:p>
    <w:p w14:paraId="227CA861" w14:textId="77777777" w:rsidR="00505F06" w:rsidRPr="007D1226" w:rsidRDefault="00505F06" w:rsidP="00441B6F">
      <w:pPr>
        <w:pStyle w:val="Body"/>
        <w:spacing w:after="0"/>
        <w:rPr>
          <w:rFonts w:ascii="Arial" w:hAnsi="Arial" w:cs="Arial"/>
          <w:i/>
        </w:rPr>
      </w:pPr>
    </w:p>
    <w:p w14:paraId="2354446B" w14:textId="09168CF7" w:rsidR="007F7B32" w:rsidRPr="007D1226" w:rsidRDefault="00902823" w:rsidP="00441B6F">
      <w:pPr>
        <w:pStyle w:val="AbstHead"/>
        <w:spacing w:after="0"/>
        <w:jc w:val="both"/>
        <w:rPr>
          <w:rFonts w:ascii="Arial" w:hAnsi="Arial" w:cs="Arial"/>
        </w:rPr>
      </w:pPr>
      <w:r w:rsidRPr="007D1226">
        <w:rPr>
          <w:rFonts w:ascii="Arial" w:hAnsi="Arial" w:cs="Arial"/>
        </w:rPr>
        <w:t xml:space="preserve">1. </w:t>
      </w:r>
      <w:r w:rsidR="00B01FCD" w:rsidRPr="007D1226">
        <w:rPr>
          <w:rFonts w:ascii="Arial" w:hAnsi="Arial" w:cs="Arial"/>
        </w:rPr>
        <w:t>INTRODUCTION</w:t>
      </w:r>
      <w:r w:rsidR="007F7B32" w:rsidRPr="007D1226">
        <w:rPr>
          <w:rFonts w:ascii="Arial" w:hAnsi="Arial" w:cs="Arial"/>
        </w:rPr>
        <w:t xml:space="preserve"> </w:t>
      </w:r>
    </w:p>
    <w:p w14:paraId="72D17E2B" w14:textId="77777777" w:rsidR="00790ADA" w:rsidRPr="007D1226" w:rsidRDefault="00790ADA" w:rsidP="00441B6F">
      <w:pPr>
        <w:pStyle w:val="AbstHead"/>
        <w:spacing w:after="0"/>
        <w:jc w:val="both"/>
        <w:rPr>
          <w:rFonts w:ascii="Arial" w:hAnsi="Arial" w:cs="Arial"/>
        </w:rPr>
      </w:pPr>
    </w:p>
    <w:p w14:paraId="17DB9591" w14:textId="66E2907C" w:rsidR="00E07096" w:rsidRPr="007D1226" w:rsidRDefault="00E07096" w:rsidP="00E07096">
      <w:pPr>
        <w:pStyle w:val="NoSpacing"/>
        <w:spacing w:line="276" w:lineRule="auto"/>
        <w:jc w:val="both"/>
        <w:rPr>
          <w:rFonts w:ascii="Arial" w:hAnsi="Arial" w:cs="Arial"/>
          <w:sz w:val="20"/>
          <w:szCs w:val="20"/>
          <w:shd w:val="clear" w:color="auto" w:fill="FFFFFF"/>
        </w:rPr>
      </w:pPr>
      <w:r w:rsidRPr="007D1226">
        <w:rPr>
          <w:rFonts w:ascii="Arial" w:hAnsi="Arial" w:cs="Arial"/>
          <w:sz w:val="20"/>
          <w:szCs w:val="20"/>
          <w:shd w:val="clear" w:color="auto" w:fill="FFFFFF"/>
        </w:rPr>
        <w:t>Gender equity is a social issue that affects children because they are learning and growing in an educational environment. To achieve this, schools should embrace principles of equality for everyone especially in teaching and learning process. For example In Japan, the subject became mandatory for all students in 1994, aiming to encourage men's participation in domestic life </w:t>
      </w:r>
      <w:r w:rsidRPr="007D1226">
        <w:rPr>
          <w:rFonts w:ascii="Arial" w:hAnsi="Arial" w:cs="Arial"/>
          <w:sz w:val="20"/>
          <w:szCs w:val="20"/>
          <w:shd w:val="clear" w:color="auto" w:fill="FFFFFF"/>
        </w:rPr>
        <w:fldChar w:fldCharType="begin"/>
      </w:r>
      <w:r w:rsidRPr="007D1226">
        <w:rPr>
          <w:rFonts w:ascii="Arial" w:hAnsi="Arial" w:cs="Arial"/>
          <w:sz w:val="20"/>
          <w:szCs w:val="20"/>
          <w:shd w:val="clear" w:color="auto" w:fill="FFFFFF"/>
        </w:rPr>
        <w:instrText xml:space="preserve"> ADDIN ZOTERO_ITEM CSL_CITATION {"citationID":"R5OaBiV8","properties":{"formattedCitation":"(Branlat &amp; Sano, 2021)","plainCitation":"(Branlat &amp; Sano, 2021)","noteIndex":0},"citationItems":[{"id":20,"uris":["http://zotero.org/users/local/ZyqfFL1k/items/W275PZBN"],"itemData":{"id":20,"type":"chapter","container-title":"Comparative Perspectives on Gender Equality in Japan and Norway","edition":"1","event-place":"London","ISBN":"978-1-003-18522-2","language":"en","license":"http://creativecommons.org/licenses/by-nc-nd/4.0","note":"DOI: 10.4324/9781003185222-5","page":"70-86","publisher":"Routledge","publisher-place":"London","source":"DOI.org (Crossref)","title":"Creating more equal partnerships: Home Economics education and gender equality in Japan and Norway","title-short":"Creating more equal partnerships","URL":"https://www.taylorfrancis.com/books/9781003185222/chapters/10.4324/9781003185222-5","container-author":[{"family":"Ishii-Kuntz","given":"Masako"},{"family":"Kristensen","given":"Guro Korsnes"},{"family":"Ringrose","given":"Priscilla"}],"author":[{"family":"Branlat","given":"Jennifer"},{"family":"Sano","given":"Junko"}],"accessed":{"date-parts":[["2024",10,20]]},"issued":{"date-parts":[["2021",11,28]]}}}],"schema":"https://github.com/citation-style-language/schema/raw/master/csl-citation.json"} </w:instrText>
      </w:r>
      <w:r w:rsidRPr="007D1226">
        <w:rPr>
          <w:rFonts w:ascii="Arial" w:hAnsi="Arial" w:cs="Arial"/>
          <w:sz w:val="20"/>
          <w:szCs w:val="20"/>
          <w:shd w:val="clear" w:color="auto" w:fill="FFFFFF"/>
        </w:rPr>
        <w:fldChar w:fldCharType="separate"/>
      </w:r>
      <w:r w:rsidRPr="007D1226">
        <w:rPr>
          <w:rFonts w:ascii="Arial" w:hAnsi="Arial" w:cs="Arial"/>
          <w:sz w:val="20"/>
          <w:szCs w:val="20"/>
        </w:rPr>
        <w:t>(Branlat &amp; Sano, 2021)</w:t>
      </w:r>
      <w:r w:rsidRPr="007D1226">
        <w:rPr>
          <w:rFonts w:ascii="Arial" w:hAnsi="Arial" w:cs="Arial"/>
          <w:sz w:val="20"/>
          <w:szCs w:val="20"/>
          <w:shd w:val="clear" w:color="auto" w:fill="FFFFFF"/>
        </w:rPr>
        <w:fldChar w:fldCharType="end"/>
      </w:r>
      <w:r w:rsidRPr="007D1226">
        <w:rPr>
          <w:rFonts w:ascii="Arial" w:hAnsi="Arial" w:cs="Arial"/>
          <w:sz w:val="20"/>
          <w:szCs w:val="20"/>
          <w:shd w:val="clear" w:color="auto" w:fill="FFFFFF"/>
        </w:rPr>
        <w:t xml:space="preserve">. With the guidance of teachers, the classroom environment will create a fair learning environment that can help all students explore various career options and prepare for evolving roles at home and in the workplace. As </w:t>
      </w:r>
      <w:r w:rsidRPr="007D1226">
        <w:rPr>
          <w:rFonts w:ascii="Arial" w:hAnsi="Arial" w:cs="Arial"/>
          <w:sz w:val="20"/>
          <w:szCs w:val="20"/>
          <w:shd w:val="clear" w:color="auto" w:fill="FFFFFF"/>
        </w:rPr>
        <w:fldChar w:fldCharType="begin"/>
      </w:r>
      <w:r w:rsidRPr="007D1226">
        <w:rPr>
          <w:rFonts w:ascii="Arial" w:hAnsi="Arial" w:cs="Arial"/>
          <w:sz w:val="20"/>
          <w:szCs w:val="20"/>
          <w:shd w:val="clear" w:color="auto" w:fill="FFFFFF"/>
        </w:rPr>
        <w:instrText xml:space="preserve"> ADDIN ZOTERO_ITEM CSL_CITATION {"citationID":"69c8veer","properties":{"formattedCitation":"(Martin, 2022)","plainCitation":"(Martin, 2022)","dontUpdate":true,"noteIndex":0},"citationItems":[{"id":24,"uris":["http://zotero.org/users/local/ZyqfFL1k/items/S7J2RW5L"],"itemData":{"id":24,"type":"article-journal","abstract":"Gender equity in the classroom is important for teachers to think about in order to ensure they are creating safe environments that allow their students to truly feel and explore their gender. It also encourages teachers to treat all students in a fair manner, regardless of gender. This is the fourth, and final, article in a series that explores children's experiences of gender in early childhood.","container-title":"Early Years Educator","DOI":"10.12968/eyed.2022.23.17.34","ISSN":"1465-931X, 2052-4617","issue":"17","journalAbbreviation":"EYE","language":"en","page":"34-35","source":"DOI.org (Crossref)","title":"Gender equity in the classroom","volume":"23","author":[{"family":"Martin","given":"Maryanne"}],"issued":{"date-parts":[["2022",12,2]]}}}],"schema":"https://github.com/citation-style-language/schema/raw/master/csl-citation.json"} </w:instrText>
      </w:r>
      <w:r w:rsidRPr="007D1226">
        <w:rPr>
          <w:rFonts w:ascii="Arial" w:hAnsi="Arial" w:cs="Arial"/>
          <w:sz w:val="20"/>
          <w:szCs w:val="20"/>
          <w:shd w:val="clear" w:color="auto" w:fill="FFFFFF"/>
        </w:rPr>
        <w:fldChar w:fldCharType="separate"/>
      </w:r>
      <w:r w:rsidRPr="007D1226">
        <w:rPr>
          <w:rFonts w:ascii="Arial" w:hAnsi="Arial" w:cs="Arial"/>
          <w:sz w:val="20"/>
          <w:szCs w:val="20"/>
        </w:rPr>
        <w:t>Martin (2022) suggested that</w:t>
      </w:r>
      <w:r w:rsidRPr="007D1226">
        <w:rPr>
          <w:rFonts w:ascii="Arial" w:hAnsi="Arial" w:cs="Arial"/>
          <w:sz w:val="20"/>
          <w:szCs w:val="20"/>
          <w:shd w:val="clear" w:color="auto" w:fill="FFFFFF"/>
        </w:rPr>
        <w:fldChar w:fldCharType="end"/>
      </w:r>
      <w:r w:rsidRPr="007D1226">
        <w:rPr>
          <w:rFonts w:ascii="Arial" w:hAnsi="Arial" w:cs="Arial"/>
          <w:sz w:val="20"/>
          <w:szCs w:val="20"/>
          <w:shd w:val="clear" w:color="auto" w:fill="FFFFFF"/>
        </w:rPr>
        <w:t xml:space="preserve"> teachers should foster safe spaces that allow students to explore their gender identities and treat all students equitably.</w:t>
      </w:r>
    </w:p>
    <w:p w14:paraId="13D5E094" w14:textId="77777777" w:rsidR="00E07096" w:rsidRPr="007D1226" w:rsidRDefault="00E07096" w:rsidP="00E07096">
      <w:pPr>
        <w:pStyle w:val="NoSpacing"/>
        <w:spacing w:line="276" w:lineRule="auto"/>
        <w:jc w:val="both"/>
        <w:rPr>
          <w:rFonts w:ascii="Arial" w:hAnsi="Arial" w:cs="Arial"/>
          <w:sz w:val="20"/>
          <w:szCs w:val="20"/>
        </w:rPr>
      </w:pPr>
    </w:p>
    <w:p w14:paraId="5E058808" w14:textId="77777777" w:rsidR="00E07096" w:rsidRPr="007D1226" w:rsidRDefault="00E07096" w:rsidP="00E07096">
      <w:pPr>
        <w:pStyle w:val="NoSpacing"/>
        <w:spacing w:line="276" w:lineRule="auto"/>
        <w:jc w:val="both"/>
        <w:rPr>
          <w:rFonts w:ascii="Arial" w:hAnsi="Arial" w:cs="Arial"/>
          <w:sz w:val="20"/>
          <w:szCs w:val="20"/>
          <w:shd w:val="clear" w:color="auto" w:fill="FFFFFF"/>
        </w:rPr>
      </w:pPr>
      <w:r w:rsidRPr="007D1226">
        <w:rPr>
          <w:rFonts w:ascii="Arial" w:hAnsi="Arial" w:cs="Arial"/>
          <w:sz w:val="20"/>
          <w:szCs w:val="20"/>
          <w:shd w:val="clear" w:color="auto" w:fill="FFFFFF"/>
        </w:rPr>
        <w:lastRenderedPageBreak/>
        <w:t xml:space="preserve">Nowadays, some employees indicate gender preferences as one of the requirements in a particular workplace. </w:t>
      </w:r>
      <w:r w:rsidRPr="007D1226">
        <w:rPr>
          <w:rFonts w:ascii="Arial" w:hAnsi="Arial" w:cs="Arial"/>
          <w:sz w:val="20"/>
          <w:szCs w:val="20"/>
        </w:rPr>
        <w:t xml:space="preserve">Research on gender preferences in hiring home economics teachers reveals complex attitudes and biases. </w:t>
      </w:r>
      <w:r w:rsidRPr="007D1226">
        <w:rPr>
          <w:rFonts w:ascii="Arial" w:hAnsi="Arial" w:cs="Arial"/>
          <w:sz w:val="20"/>
          <w:szCs w:val="20"/>
          <w:shd w:val="clear" w:color="auto" w:fill="FFFFFF"/>
        </w:rPr>
        <w:fldChar w:fldCharType="begin"/>
      </w:r>
      <w:r w:rsidRPr="007D1226">
        <w:rPr>
          <w:rFonts w:ascii="Arial" w:hAnsi="Arial" w:cs="Arial"/>
          <w:sz w:val="20"/>
          <w:szCs w:val="20"/>
          <w:shd w:val="clear" w:color="auto" w:fill="FFFFFF"/>
        </w:rPr>
        <w:instrText xml:space="preserve"> ADDIN ZOTERO_ITEM CSL_CITATION {"citationID":"3vLgXNom","properties":{"formattedCitation":"(Card et al., 2021)","plainCitation":"(Card et al., 2021)","dontUpdate":true,"noteIndex":0},"citationItems":[{"id":35,"uris":["http://zotero.org/users/local/ZyqfFL1k/items/BZAEG32V"],"itemData":{"id":35,"type":"report","event-place":"Cambridge, MA","language":"en","note":"DOI: 10.3386/w29350","number":"w29350","page":"w29350","publisher":"National Bureau of Economic Research","publisher-place":"Cambridge, MA","source":"DOI.org (Crossref)","title":"Gender Preferences in Job Vacancies and Workplace Gender Diversity","URL":"http://www.nber.org/papers/w29350.pdf","author":[{"family":"Card","given":"David"},{"family":"Colella","given":"Fabrizio"},{"family":"Lalive","given":"Rafael"}],"accessed":{"date-parts":[["2024",10,20]]},"issued":{"date-parts":[["2021",10]]}}}],"schema":"https://github.com/citation-style-language/schema/raw/master/csl-citation.json"} </w:instrText>
      </w:r>
      <w:r w:rsidRPr="007D1226">
        <w:rPr>
          <w:rFonts w:ascii="Arial" w:hAnsi="Arial" w:cs="Arial"/>
          <w:sz w:val="20"/>
          <w:szCs w:val="20"/>
          <w:shd w:val="clear" w:color="auto" w:fill="FFFFFF"/>
        </w:rPr>
        <w:fldChar w:fldCharType="separate"/>
      </w:r>
      <w:r w:rsidRPr="007D1226">
        <w:rPr>
          <w:rFonts w:ascii="Arial" w:hAnsi="Arial" w:cs="Arial"/>
          <w:sz w:val="20"/>
          <w:szCs w:val="20"/>
        </w:rPr>
        <w:t>Card et al., (2021)</w:t>
      </w:r>
      <w:r w:rsidRPr="007D1226">
        <w:rPr>
          <w:rFonts w:ascii="Arial" w:hAnsi="Arial" w:cs="Arial"/>
          <w:sz w:val="20"/>
          <w:szCs w:val="20"/>
          <w:shd w:val="clear" w:color="auto" w:fill="FFFFFF"/>
        </w:rPr>
        <w:fldChar w:fldCharType="end"/>
      </w:r>
      <w:r w:rsidRPr="007D1226">
        <w:rPr>
          <w:rFonts w:ascii="Arial" w:hAnsi="Arial" w:cs="Arial"/>
          <w:sz w:val="20"/>
          <w:szCs w:val="20"/>
          <w:shd w:val="clear" w:color="auto" w:fill="FFFFFF"/>
        </w:rPr>
        <w:t xml:space="preserve"> proposed the study in Austria found that eliminating explicit gender preferences in job ads increased the hiring of women for traditionally male-targeted jobs and vice versa. Gender stereotypes associated with job criteria influence hiring decisions, with more stereotypically masculine traits reducing female hires and vice versa. Same-gender preferences among decision-makers also play a role, with female decision-makers more likely to hire women </w:t>
      </w:r>
      <w:r w:rsidRPr="00F657A5">
        <w:rPr>
          <w:rFonts w:ascii="Arial" w:hAnsi="Arial" w:cs="Arial"/>
          <w:sz w:val="20"/>
          <w:szCs w:val="20"/>
          <w:highlight w:val="yellow"/>
          <w:shd w:val="clear" w:color="auto" w:fill="FFFFFF"/>
        </w:rPr>
        <w:fldChar w:fldCharType="begin"/>
      </w:r>
      <w:r w:rsidRPr="00F657A5">
        <w:rPr>
          <w:rFonts w:ascii="Arial" w:hAnsi="Arial" w:cs="Arial"/>
          <w:sz w:val="20"/>
          <w:szCs w:val="20"/>
          <w:highlight w:val="yellow"/>
          <w:shd w:val="clear" w:color="auto" w:fill="FFFFFF"/>
        </w:rPr>
        <w:instrText xml:space="preserve"> ADDIN ZOTERO_ITEM CSL_CITATION {"citationID":"FarvRJCG","properties":{"formattedCitation":"(Gorman, 2005)","plainCitation":"(Gorman, 2005)","noteIndex":0},"citationItems":[{"id":37,"uris":["http://zotero.org/users/local/ZyqfFL1k/items/5KFELJJN"],"itemData":{"id":37,"type":"article-journal","abstract":"Laboratory studies have shown that stereotypes and in-group favoritism influence people's perceptions and evaluations of others, but empirical research has not yet linked these processes to gender disparities in real workplace outcomes. This study proposes that the gender stereotypicality of selection criteria and decision makers' same-gender preferences operate to intensify gender inequality in hiring. These arguments are tested with data on large U.S. law firms in the mid-1990s. The findings show that when selection criteria include a greater number of stereotypically masculine characteristics, women constitute a smaller proportion of new hires, and that, conversely, when criteria include more stereotypically feminine traits, women are better represented among new hires. Female decision makers also fill more vacancies with women than do male decision makers, but among entry-level hires, this effect diminishes as women's share of high-ranking positions increases toward gender balance.","container-title":"American Sociological Review","DOI":"10.1177/000312240507000408","ISSN":"0003-1224, 1939-8271","issue":"4","journalAbbreviation":"Am Sociol Rev","language":"en","license":"https://journals.sagepub.com/page/policies/text-and-data-mining-license","page":"702-728","source":"DOI.org (Crossref)","title":"Gender Stereotypes, Same-Gender Preferences, and Organizational Variation in the Hiring of Women: Evidence from Law Firms","title-short":"Gender Stereotypes, Same-Gender Preferences, and Organizational Variation in the Hiring of Women","volume":"70","author":[{"family":"Gorman","given":"Elizabeth H."}],"issued":{"date-parts":[["2005",8]]}}}],"schema":"https://github.com/citation-style-language/schema/raw/master/csl-citation.json"} </w:instrText>
      </w:r>
      <w:r w:rsidRPr="00F657A5">
        <w:rPr>
          <w:rFonts w:ascii="Arial" w:hAnsi="Arial" w:cs="Arial"/>
          <w:sz w:val="20"/>
          <w:szCs w:val="20"/>
          <w:highlight w:val="yellow"/>
          <w:shd w:val="clear" w:color="auto" w:fill="FFFFFF"/>
        </w:rPr>
        <w:fldChar w:fldCharType="separate"/>
      </w:r>
      <w:r w:rsidRPr="00F657A5">
        <w:rPr>
          <w:rFonts w:ascii="Arial" w:hAnsi="Arial" w:cs="Arial"/>
          <w:sz w:val="20"/>
          <w:szCs w:val="20"/>
          <w:highlight w:val="yellow"/>
        </w:rPr>
        <w:t>(Gorman, 2005)</w:t>
      </w:r>
      <w:r w:rsidRPr="00F657A5">
        <w:rPr>
          <w:rFonts w:ascii="Arial" w:hAnsi="Arial" w:cs="Arial"/>
          <w:sz w:val="20"/>
          <w:szCs w:val="20"/>
          <w:highlight w:val="yellow"/>
          <w:shd w:val="clear" w:color="auto" w:fill="FFFFFF"/>
        </w:rPr>
        <w:fldChar w:fldCharType="end"/>
      </w:r>
      <w:r w:rsidRPr="007D1226">
        <w:rPr>
          <w:rFonts w:ascii="Arial" w:hAnsi="Arial" w:cs="Arial"/>
          <w:sz w:val="20"/>
          <w:szCs w:val="20"/>
          <w:shd w:val="clear" w:color="auto" w:fill="FFFFFF"/>
        </w:rPr>
        <w:t xml:space="preserve">. </w:t>
      </w:r>
    </w:p>
    <w:p w14:paraId="1B46B409" w14:textId="77777777" w:rsidR="00E07096" w:rsidRPr="007D1226" w:rsidRDefault="00E07096" w:rsidP="00E07096">
      <w:pPr>
        <w:pStyle w:val="NoSpacing"/>
        <w:spacing w:line="276" w:lineRule="auto"/>
        <w:jc w:val="both"/>
        <w:rPr>
          <w:rFonts w:ascii="Arial" w:hAnsi="Arial" w:cs="Arial"/>
          <w:sz w:val="20"/>
          <w:szCs w:val="20"/>
          <w:shd w:val="clear" w:color="auto" w:fill="FFFFFF"/>
        </w:rPr>
      </w:pPr>
    </w:p>
    <w:p w14:paraId="15408921" w14:textId="77777777" w:rsidR="00E07096" w:rsidRPr="007D1226" w:rsidRDefault="00E07096" w:rsidP="00E07096">
      <w:pPr>
        <w:pStyle w:val="NoSpacing"/>
        <w:spacing w:line="276" w:lineRule="auto"/>
        <w:jc w:val="both"/>
        <w:rPr>
          <w:rFonts w:ascii="Arial" w:hAnsi="Arial" w:cs="Arial"/>
          <w:sz w:val="20"/>
          <w:szCs w:val="20"/>
        </w:rPr>
      </w:pPr>
      <w:r w:rsidRPr="007D1226">
        <w:rPr>
          <w:rFonts w:ascii="Arial" w:hAnsi="Arial" w:cs="Arial"/>
          <w:sz w:val="20"/>
          <w:szCs w:val="20"/>
          <w:shd w:val="clear" w:color="auto" w:fill="FFFFFF"/>
        </w:rPr>
        <w:t>In addition, the factors in the hiring process in the workplace are the pedagogical content knowledge (PDK), gender preferences and gender stereotypes</w:t>
      </w:r>
      <w:r w:rsidRPr="007D1226">
        <w:rPr>
          <w:rFonts w:ascii="Arial" w:hAnsi="Arial" w:cs="Arial"/>
          <w:sz w:val="20"/>
          <w:szCs w:val="20"/>
        </w:rPr>
        <w:t xml:space="preserve">. </w:t>
      </w:r>
      <w:r w:rsidRPr="00F657A5">
        <w:rPr>
          <w:rFonts w:ascii="Arial" w:hAnsi="Arial" w:cs="Arial"/>
          <w:sz w:val="20"/>
          <w:szCs w:val="20"/>
          <w:highlight w:val="yellow"/>
        </w:rPr>
        <w:t>Yu, (2011)</w:t>
      </w:r>
      <w:r w:rsidRPr="007D1226">
        <w:rPr>
          <w:rFonts w:ascii="Arial" w:hAnsi="Arial" w:cs="Arial"/>
          <w:sz w:val="20"/>
          <w:szCs w:val="20"/>
        </w:rPr>
        <w:t xml:space="preserve"> stated that Pedagogical Content Knowledge (PCK) is crucial in teacher selection tests, with a need for balanced assessment of all PCK components. </w:t>
      </w:r>
      <w:r w:rsidRPr="007D1226">
        <w:rPr>
          <w:rFonts w:ascii="Arial" w:hAnsi="Arial" w:cs="Arial"/>
          <w:sz w:val="20"/>
          <w:szCs w:val="20"/>
        </w:rPr>
        <w:fldChar w:fldCharType="begin"/>
      </w:r>
      <w:r w:rsidRPr="007D1226">
        <w:rPr>
          <w:rFonts w:ascii="Arial" w:hAnsi="Arial" w:cs="Arial"/>
          <w:sz w:val="20"/>
          <w:szCs w:val="20"/>
        </w:rPr>
        <w:instrText xml:space="preserve"> ADDIN ZOTERO_ITEM CSL_CITATION {"citationID":"g1diMCuT","properties":{"formattedCitation":"(Bongco &amp; Abenes, 2019)","plainCitation":"(Bongco &amp; Abenes, 2019)","dontUpdate":true,"noteIndex":0},"citationItems":[{"id":30,"uris":["http://zotero.org/users/local/ZyqfFL1k/items/FRJKW8CD"],"itemData":{"id":30,"type":"article-journal","abstract":"Feminisation in the teaching profession is a global issue. It has been said this problem implies gender inequality in relation to their male counterpart for it results in the lack of male models in the basic education and, thus promote social exclusion. This social reality is also the case in the Philippines. Data in 2008–2009 from the Philippine Commission on Women reveals that about 89.58% of the teachers in public elementary and 77.06% in the public secondary schools are female (\n              pcw\n              , 2014). In this regard, this paper argues that feminisation of education in the Philippines, all the more result to uncompromising situations of female teachers for as women, they need to work in shifts as part of their changing roles both in school and at home. Further, this paper presents an analysis of the narratives of ten female teachers in basic education which reveals that in spite of the feminisation of teaching from a purely statistical perspective, they still remain disadvantaged in the career that had always been believed to be their domain, especially in the area of career promotion. Limiting factors to the promotion of women still point to their social conditions as women, where the multiplicity of social expectations and duties in their diverse spheres clash to the detriment of their careers.","container-title":"Beijing International Review of Education","DOI":"10.1163/25902539-00102012","ISSN":"2590-2547, 2590-2539","issue":"2-3","journalAbbreviation":"Beijing Int. Rev. Educ.","page":"443-459","source":"DOI.org (Crossref)","title":"Clash of Spheres - The Paradox of Being a Female Teacher in the Philippines","volume":"1","author":[{"family":"Bongco","given":"Roxanne T."},{"family":"Abenes","given":"Rodrigo D."}],"issued":{"date-parts":[["2019",6,29]]}}}],"schema":"https://github.com/citation-style-language/schema/raw/master/csl-citation.json"} </w:instrText>
      </w:r>
      <w:r w:rsidRPr="007D1226">
        <w:rPr>
          <w:rFonts w:ascii="Arial" w:hAnsi="Arial" w:cs="Arial"/>
          <w:sz w:val="20"/>
          <w:szCs w:val="20"/>
        </w:rPr>
        <w:fldChar w:fldCharType="separate"/>
      </w:r>
      <w:r w:rsidRPr="007D1226">
        <w:rPr>
          <w:rFonts w:ascii="Arial" w:hAnsi="Arial" w:cs="Arial"/>
          <w:sz w:val="20"/>
          <w:szCs w:val="20"/>
        </w:rPr>
        <w:t>Bongco &amp; Abenes (2019)</w:t>
      </w:r>
      <w:r w:rsidRPr="007D1226">
        <w:rPr>
          <w:rFonts w:ascii="Arial" w:hAnsi="Arial" w:cs="Arial"/>
          <w:sz w:val="20"/>
          <w:szCs w:val="20"/>
        </w:rPr>
        <w:fldChar w:fldCharType="end"/>
      </w:r>
      <w:r w:rsidRPr="007D1226">
        <w:rPr>
          <w:rFonts w:ascii="Arial" w:hAnsi="Arial" w:cs="Arial"/>
          <w:sz w:val="20"/>
          <w:szCs w:val="20"/>
        </w:rPr>
        <w:t xml:space="preserve"> also agreed that the teaching profession in the Philippines is highly feminized, with women comprising most teachers in both elementary and secondary schools. As </w:t>
      </w:r>
      <w:r w:rsidRPr="007D1226">
        <w:rPr>
          <w:rFonts w:ascii="Arial" w:hAnsi="Arial" w:cs="Arial"/>
          <w:sz w:val="20"/>
          <w:szCs w:val="20"/>
        </w:rPr>
        <w:fldChar w:fldCharType="begin"/>
      </w:r>
      <w:r w:rsidRPr="007D1226">
        <w:rPr>
          <w:rFonts w:ascii="Arial" w:hAnsi="Arial" w:cs="Arial"/>
          <w:sz w:val="20"/>
          <w:szCs w:val="20"/>
        </w:rPr>
        <w:instrText xml:space="preserve"> ADDIN ZOTERO_ITEM CSL_CITATION {"citationID":"WbTbG8zD","properties":{"formattedCitation":"(Winslow, 2010)","plainCitation":"(Winslow, 2010)","dontUpdate":true,"noteIndex":0},"citationItems":[{"id":32,"uris":["http://zotero.org/users/local/ZyqfFL1k/items/EXLNA82S"],"itemData":{"id":32,"type":"article-journal","abstract":"This article focuses on faculty members’ allocation of time to teaching and research, conceptualizing these—and the mismatch between preferred and actual time allocations—as examples of gender inequality in academic employment. Utilizing data from the 1999 National Study of Postsecondary Faculty, I find that (1) women faculty members prefer to spend a greater percentage of their time on teaching, while men prefer to spend more time on research, although these preferences are themselves constrained; (2) women faculty members spend a greater percentage of their workweek on teaching and a smaller percentage on research than men, gaps that cannot be explained by preferences or educational and institutional attributes; and (3) women faculty members have larger time allocation mismatches than men—that is, their actual time allocations to both teaching and research diverge more from their preferred time allocations than those of men. These findings shed light on how gender inequality is both produced and maintained in this aspect of academic employment and have implications for job satisfaction, productivity, and the recruitment and retention of current and future faculty members, especially women.","container-title":"Gender &amp; Society","DOI":"10.1177/0891243210386728","ISSN":"0891-2432, 1552-3977","issue":"6","journalAbbreviation":"Gender &amp; Society","language":"en","license":"https://journals.sagepub.com/page/policies/text-and-data-mining-license","page":"769-793","source":"DOI.org (Crossref)","title":"Gender Inequality and Time Allocations Among Academic Faculty","volume":"24","author":[{"family":"Winslow","given":"Sarah"}],"issued":{"date-parts":[["2010",12]]}}}],"schema":"https://github.com/citation-style-language/schema/raw/master/csl-citation.json"} </w:instrText>
      </w:r>
      <w:r w:rsidRPr="007D1226">
        <w:rPr>
          <w:rFonts w:ascii="Arial" w:hAnsi="Arial" w:cs="Arial"/>
          <w:sz w:val="20"/>
          <w:szCs w:val="20"/>
        </w:rPr>
        <w:fldChar w:fldCharType="separate"/>
      </w:r>
      <w:r w:rsidRPr="007D1226">
        <w:rPr>
          <w:rFonts w:ascii="Arial" w:hAnsi="Arial" w:cs="Arial"/>
          <w:sz w:val="20"/>
          <w:szCs w:val="20"/>
        </w:rPr>
        <w:t>Winslow (20</w:t>
      </w:r>
      <w:r w:rsidRPr="00F657A5">
        <w:rPr>
          <w:rFonts w:ascii="Arial" w:hAnsi="Arial" w:cs="Arial"/>
          <w:sz w:val="20"/>
          <w:szCs w:val="20"/>
          <w:highlight w:val="yellow"/>
        </w:rPr>
        <w:t>10)</w:t>
      </w:r>
      <w:r w:rsidRPr="007D1226">
        <w:rPr>
          <w:rFonts w:ascii="Arial" w:hAnsi="Arial" w:cs="Arial"/>
          <w:sz w:val="20"/>
          <w:szCs w:val="20"/>
        </w:rPr>
        <w:fldChar w:fldCharType="end"/>
      </w:r>
      <w:r w:rsidRPr="007D1226">
        <w:rPr>
          <w:rFonts w:ascii="Arial" w:hAnsi="Arial" w:cs="Arial"/>
          <w:sz w:val="20"/>
          <w:szCs w:val="20"/>
        </w:rPr>
        <w:t xml:space="preserve"> clarified that women faculty members prefer and spend more time teaching, while men prefer research. As </w:t>
      </w:r>
      <w:r w:rsidRPr="007D1226">
        <w:rPr>
          <w:rFonts w:ascii="Arial" w:hAnsi="Arial" w:cs="Arial"/>
          <w:sz w:val="20"/>
          <w:szCs w:val="20"/>
        </w:rPr>
        <w:fldChar w:fldCharType="begin"/>
      </w:r>
      <w:r w:rsidRPr="007D1226">
        <w:rPr>
          <w:rFonts w:ascii="Arial" w:hAnsi="Arial" w:cs="Arial"/>
          <w:sz w:val="20"/>
          <w:szCs w:val="20"/>
        </w:rPr>
        <w:instrText xml:space="preserve"> ADDIN ZOTERO_ITEM CSL_CITATION {"citationID":"GLOqo75a","properties":{"formattedCitation":"(Ajayi &amp; Buessing, 2015a)","plainCitation":"(Ajayi &amp; Buessing, 2015a)","dontUpdate":true,"noteIndex":0},"citationItems":[{"id":15,"uris":["http://zotero.org/users/local/ZyqfFL1k/items/T8P9U3YH"],"itemData":{"id":15,"type":"article-journal","container-title":"The Journal of Development Studies","DOI":"10.1080/00220388.2014.989992","ISSN":"0022-0388, 1743-9140","issue":"5","journalAbbreviation":"The Journal of Development Studies","language":"en","page":"503-522","source":"DOI.org (Crossref)","title":"Gender Parity and Schooling Choices","volume":"51","author":[{"family":"Ajayi","given":"Kehinde F."},{"family":"Buessing","given":"Marric"}],"issued":{"date-parts":[["2015",5,4]]}}}],"schema":"https://github.com/citation-style-language/schema/raw/master/csl-citation.json"} </w:instrText>
      </w:r>
      <w:r w:rsidRPr="007D1226">
        <w:rPr>
          <w:rFonts w:ascii="Arial" w:hAnsi="Arial" w:cs="Arial"/>
          <w:sz w:val="20"/>
          <w:szCs w:val="20"/>
        </w:rPr>
        <w:fldChar w:fldCharType="separate"/>
      </w:r>
      <w:r w:rsidRPr="007D1226">
        <w:rPr>
          <w:rFonts w:ascii="Arial" w:hAnsi="Arial" w:cs="Arial"/>
          <w:sz w:val="20"/>
          <w:szCs w:val="20"/>
        </w:rPr>
        <w:t>Ajayi &amp; Buessing (2015)</w:t>
      </w:r>
      <w:r w:rsidRPr="007D1226">
        <w:rPr>
          <w:rFonts w:ascii="Arial" w:hAnsi="Arial" w:cs="Arial"/>
          <w:sz w:val="20"/>
          <w:szCs w:val="20"/>
        </w:rPr>
        <w:fldChar w:fldCharType="end"/>
      </w:r>
      <w:r w:rsidRPr="007D1226">
        <w:rPr>
          <w:rFonts w:ascii="Arial" w:hAnsi="Arial" w:cs="Arial"/>
          <w:sz w:val="20"/>
          <w:szCs w:val="20"/>
        </w:rPr>
        <w:t xml:space="preserve"> also agreed that gender stereotypes significantly influence attitudes towards Home Economics, with female more likely to choose it as a field of study.</w:t>
      </w:r>
    </w:p>
    <w:p w14:paraId="3D74882B" w14:textId="77777777" w:rsidR="00E07096" w:rsidRPr="007D1226" w:rsidRDefault="00E07096" w:rsidP="00E07096">
      <w:pPr>
        <w:pStyle w:val="NoSpacing"/>
        <w:spacing w:line="276" w:lineRule="auto"/>
        <w:jc w:val="both"/>
        <w:rPr>
          <w:rFonts w:ascii="Arial" w:hAnsi="Arial" w:cs="Arial"/>
          <w:sz w:val="20"/>
          <w:szCs w:val="20"/>
        </w:rPr>
      </w:pPr>
    </w:p>
    <w:p w14:paraId="67D971E1" w14:textId="77777777" w:rsidR="00E07096" w:rsidRPr="007D1226" w:rsidRDefault="00E07096" w:rsidP="00E07096">
      <w:pPr>
        <w:pStyle w:val="NoSpacing"/>
        <w:spacing w:line="276" w:lineRule="auto"/>
        <w:jc w:val="both"/>
        <w:rPr>
          <w:rFonts w:ascii="Arial" w:hAnsi="Arial" w:cs="Arial"/>
          <w:sz w:val="20"/>
          <w:szCs w:val="20"/>
        </w:rPr>
      </w:pPr>
      <w:r w:rsidRPr="007D1226">
        <w:rPr>
          <w:rFonts w:ascii="Arial" w:hAnsi="Arial" w:cs="Arial"/>
          <w:sz w:val="20"/>
          <w:szCs w:val="20"/>
        </w:rPr>
        <w:t xml:space="preserve">On the other hand, a study of male students in home economics found that gender inequality leads to unequal treatment, impacting classroom interactions and sustaining gender divisions in the subject  </w:t>
      </w:r>
      <w:r w:rsidRPr="007D1226">
        <w:rPr>
          <w:rFonts w:ascii="Arial" w:hAnsi="Arial" w:cs="Arial"/>
          <w:sz w:val="20"/>
          <w:szCs w:val="20"/>
        </w:rPr>
        <w:fldChar w:fldCharType="begin"/>
      </w:r>
      <w:r w:rsidRPr="007D1226">
        <w:rPr>
          <w:rFonts w:ascii="Arial" w:hAnsi="Arial" w:cs="Arial"/>
          <w:sz w:val="20"/>
          <w:szCs w:val="20"/>
        </w:rPr>
        <w:instrText xml:space="preserve"> ADDIN ZOTERO_ITEM CSL_CITATION {"citationID":"bRJuJSEE","properties":{"formattedCitation":"(Pregoner et al., 2020)","plainCitation":"(Pregoner et al., 2020)","noteIndex":0},"citationItems":[{"id":27,"uris":["http://zotero.org/users/local/ZyqfFL1k/items/S7TLZ3RS"],"itemData":{"id":27,"type":"article","abstract":"This study examined whether male students dominated classroom interaction in home economics lessons and whether other classroom processes sustained gender divisions in this subject in schools. The sample included 4 males home economics students in the two classes. Data were collected during five minute observation sessions in each class and semi-structured interviews with all the students. Results were examine using thematic content analysis. This method of data analysis as a process of analyzing data by systematize in into categories based on themes, concepts or similar features. The researchers have come to know that Gender Bias or Gender inequality refers to unfair rights between male and female based on different gender roles which leads to unequal treatment in life.","DOI":"10.35542/osf.io/gn2aq","license":"https://creativecommons.org/licenses/by-nc-nd/4.0/legalcode","publisher":"EdArXiv","source":"DOI.org (Crossref)","title":"Gender Bias in Technical Vocational Livelihood Program: A Qualitative Study on the Experience of Male Students in Home Economics Strand","title-short":"Gender Bias in Technical Vocational Livelihood Program","URL":"https://osf.io/gn2aq","author":[{"family":"Pregoner","given":"Joseph Dave Mendoza"},{"family":"Cansico","given":"Lexel"},{"family":"Escandor","given":"Francis"},{"family":"Encabo","given":"Edward"}],"accessed":{"date-parts":[["2024",10,20]]},"issued":{"date-parts":[["2020",4,26]]}}}],"schema":"https://github.com/citation-style-language/schema/raw/master/csl-citation.json"} </w:instrText>
      </w:r>
      <w:r w:rsidRPr="007D1226">
        <w:rPr>
          <w:rFonts w:ascii="Arial" w:hAnsi="Arial" w:cs="Arial"/>
          <w:sz w:val="20"/>
          <w:szCs w:val="20"/>
        </w:rPr>
        <w:fldChar w:fldCharType="separate"/>
      </w:r>
      <w:r w:rsidRPr="007D1226">
        <w:rPr>
          <w:rFonts w:ascii="Arial" w:hAnsi="Arial" w:cs="Arial"/>
          <w:sz w:val="20"/>
          <w:szCs w:val="20"/>
        </w:rPr>
        <w:t>(Pregoner et al., 2020)</w:t>
      </w:r>
      <w:r w:rsidRPr="007D1226">
        <w:rPr>
          <w:rFonts w:ascii="Arial" w:hAnsi="Arial" w:cs="Arial"/>
          <w:sz w:val="20"/>
          <w:szCs w:val="20"/>
        </w:rPr>
        <w:fldChar w:fldCharType="end"/>
      </w:r>
      <w:r w:rsidRPr="007D1226">
        <w:rPr>
          <w:rFonts w:ascii="Arial" w:hAnsi="Arial" w:cs="Arial"/>
          <w:sz w:val="20"/>
          <w:szCs w:val="20"/>
        </w:rPr>
        <w:t xml:space="preserve">.  Millions of men and women are denied access to land a job, training, and administrative and leadership qualities because of their gender identity or preferences. Thus, school heads show ambivalence towards minority gender teachers, with more positive perceptions for women in non-traditional roles than men. Gender influences administrative and instructional leadership styles of school heads, as proposed in Tan's Gender Role Orientation Theory of Institutional Management </w:t>
      </w:r>
      <w:r w:rsidRPr="007D1226">
        <w:rPr>
          <w:rFonts w:ascii="Arial" w:hAnsi="Arial" w:cs="Arial"/>
          <w:sz w:val="20"/>
          <w:szCs w:val="20"/>
        </w:rPr>
        <w:fldChar w:fldCharType="begin"/>
      </w:r>
      <w:r w:rsidRPr="007D1226">
        <w:rPr>
          <w:rFonts w:ascii="Arial" w:hAnsi="Arial" w:cs="Arial"/>
          <w:sz w:val="20"/>
          <w:szCs w:val="20"/>
        </w:rPr>
        <w:instrText xml:space="preserve"> ADDIN ZOTERO_ITEM CSL_CITATION {"citationID":"7IPVltBm","properties":{"formattedCitation":"(Tan et al., 2020)","plainCitation":"(Tan et al., 2020)","noteIndex":0},"citationItems":[{"id":13,"uris":["http://zotero.org/users/local/ZyqfFL1k/items/QC9DA94H"],"itemData":{"id":13,"type":"article-journal","abstract":"The study focused on the administrative and supervisory functions of male and female school heads in public schools of Cebu City Division. The key informants were school heads and teachers from sixteen districts in Cebu City Division. The school head informants were chosen according to the number of administrative and instructional experience. The school heads had at least five years leadership experience. The teacher informants were chosen at random by the researcher. The main instrument of the study was the researcher and the key informants. The study utilized interview guides covering different areas of administrative management and instructional leadership function. In administrative management the informants were interviewed about the distinct practices of male and female school heads involving human research management, physical facilities management, fiscal management, data management, linkage management, communication and conflict management. In instructional leadership function, the key informants talked about the distinct practices of male and female school heads in instructional supervision, curriculum leadership and staff development. Based on the findings of the study, the following propositions were drawn: one, administrative function could be gauged by physical facilities, teacher behavior and student development; two, instructional leadership is contributed by learning performance outcome and teacher competence; third, gender bears the administrative function and instructional leadership. From the different propositions mentioned, this theory was generated, Tan’s Gender Role Orientation Theory of Institutional Management. After the conduct of the study and the theory generated, it is revealed that administrative and instructional leadership styles of male and female school heads can be influenced by gender orientation.","container-title":"Journal of World Englishes and Educational Practices","DOI":"10.32996/jweep.2020.2.6.1","ISSN":"2707-7586","issue":"6","journalAbbreviation":"JWEEP","license":"https://creativecommons.org/licenses/by-nc/4.0","page":"01-12","source":"DOI.org (Crossref)","title":"Gender Role and Supervisory Styles of Public-School Heads","volume":"2","author":[{"family":"Tan","given":"Rosalinda A."},{"family":"Argate","given":"Rex"},{"family":"Barcoso","given":"Harline L."}],"issued":{"date-parts":[["2020",12,30]]}}}],"schema":"https://github.com/citation-style-language/schema/raw/master/csl-citation.json"} </w:instrText>
      </w:r>
      <w:r w:rsidRPr="007D1226">
        <w:rPr>
          <w:rFonts w:ascii="Arial" w:hAnsi="Arial" w:cs="Arial"/>
          <w:sz w:val="20"/>
          <w:szCs w:val="20"/>
        </w:rPr>
        <w:fldChar w:fldCharType="separate"/>
      </w:r>
      <w:r w:rsidRPr="007D1226">
        <w:rPr>
          <w:rFonts w:ascii="Arial" w:hAnsi="Arial" w:cs="Arial"/>
          <w:sz w:val="20"/>
          <w:szCs w:val="20"/>
        </w:rPr>
        <w:t>(Tan et al., 2020)</w:t>
      </w:r>
      <w:r w:rsidRPr="007D1226">
        <w:rPr>
          <w:rFonts w:ascii="Arial" w:hAnsi="Arial" w:cs="Arial"/>
          <w:sz w:val="20"/>
          <w:szCs w:val="20"/>
        </w:rPr>
        <w:fldChar w:fldCharType="end"/>
      </w:r>
      <w:r w:rsidRPr="007D1226">
        <w:rPr>
          <w:rFonts w:ascii="Arial" w:hAnsi="Arial" w:cs="Arial"/>
          <w:sz w:val="20"/>
          <w:szCs w:val="20"/>
        </w:rPr>
        <w:t xml:space="preserve">. </w:t>
      </w:r>
    </w:p>
    <w:p w14:paraId="2E969F58" w14:textId="77777777" w:rsidR="00E07096" w:rsidRPr="007D1226" w:rsidRDefault="00E07096" w:rsidP="00E07096">
      <w:pPr>
        <w:pStyle w:val="NoSpacing"/>
        <w:spacing w:line="276" w:lineRule="auto"/>
        <w:jc w:val="both"/>
        <w:rPr>
          <w:rFonts w:ascii="Arial" w:hAnsi="Arial" w:cs="Arial"/>
          <w:sz w:val="20"/>
          <w:szCs w:val="20"/>
        </w:rPr>
      </w:pPr>
    </w:p>
    <w:p w14:paraId="1BF2BC1A" w14:textId="7108025C" w:rsidR="00E07096" w:rsidRPr="007D1226" w:rsidRDefault="00E07096" w:rsidP="00E07096">
      <w:pPr>
        <w:pStyle w:val="NoSpacing"/>
        <w:spacing w:line="276" w:lineRule="auto"/>
        <w:jc w:val="both"/>
        <w:rPr>
          <w:rFonts w:ascii="Arial" w:hAnsi="Arial" w:cs="Arial"/>
          <w:sz w:val="20"/>
          <w:szCs w:val="20"/>
        </w:rPr>
      </w:pPr>
      <w:r w:rsidRPr="007D1226">
        <w:rPr>
          <w:rFonts w:ascii="Arial" w:hAnsi="Arial" w:cs="Arial"/>
          <w:sz w:val="20"/>
          <w:szCs w:val="20"/>
        </w:rPr>
        <w:t xml:space="preserve">Most people believe that the home economics course is intended for women because they believe that this subject is focused on household chores, cooking, sewing, rearing the child, decorating, and home management. </w:t>
      </w:r>
      <w:r w:rsidRPr="007D1226">
        <w:rPr>
          <w:rFonts w:ascii="Arial" w:hAnsi="Arial" w:cs="Arial"/>
          <w:color w:val="000000" w:themeColor="text1"/>
          <w:sz w:val="20"/>
          <w:szCs w:val="20"/>
          <w:shd w:val="clear" w:color="auto" w:fill="F8F8F7"/>
        </w:rPr>
        <w:t>As</w:t>
      </w:r>
      <w:r w:rsidRPr="007D1226">
        <w:rPr>
          <w:rFonts w:ascii="Arial" w:hAnsi="Arial" w:cs="Arial"/>
          <w:color w:val="15383D"/>
          <w:sz w:val="20"/>
          <w:szCs w:val="20"/>
          <w:shd w:val="clear" w:color="auto" w:fill="F8F8F7"/>
        </w:rPr>
        <w:t xml:space="preserve"> </w:t>
      </w:r>
      <w:r w:rsidRPr="007D1226">
        <w:rPr>
          <w:rFonts w:ascii="Arial" w:hAnsi="Arial" w:cs="Arial"/>
          <w:color w:val="15383D"/>
          <w:sz w:val="20"/>
          <w:szCs w:val="20"/>
          <w:shd w:val="clear" w:color="auto" w:fill="F8F8F7"/>
        </w:rPr>
        <w:fldChar w:fldCharType="begin"/>
      </w:r>
      <w:r w:rsidRPr="007D1226">
        <w:rPr>
          <w:rFonts w:ascii="Arial" w:hAnsi="Arial" w:cs="Arial"/>
          <w:color w:val="15383D"/>
          <w:sz w:val="20"/>
          <w:szCs w:val="20"/>
          <w:shd w:val="clear" w:color="auto" w:fill="F8F8F7"/>
        </w:rPr>
        <w:instrText xml:space="preserve"> ADDIN ZOTERO_ITEM CSL_CITATION {"citationID":"za7W9rGo","properties":{"formattedCitation":"(Kim et al., 2019a)","plainCitation":"(Kim et al., 2019a)","dontUpdate":true,"noteIndex":0},"citationItems":[{"id":33,"uris":["http://zotero.org/users/local/ZyqfFL1k/items/Q662E5HD"],"itemData":{"id":33,"type":"article-journal","container-title":"Family and Environment Research","DOI":"10.6115/fer.2019.034","ISSN":"2288-3541, 2288-355X","issue":"4","journalAbbreviation":"Fam. Environ. Res","language":"en","page":"459-472","source":"DOI.org (Crossref)","title":"A Study of the Gender-Biased Attitudes of Korean Middle School Students toward Home Economics as a Subject: Implementing the Implicit Association Test","title-short":"A Study of the Gender-Biased Attitudes of Korean Middle School Students toward Home Economics as a Subject","volume":"57","author":[{"family":"Kim","given":"Eun Jeung"},{"family":"Lee","given":"Yoon-Jung"},{"family":"Kim","given":"Jisun"}],"issued":{"date-parts":[["2019",11,22]]}}}],"schema":"https://github.com/citation-style-language/schema/raw/master/csl-citation.json"} </w:instrText>
      </w:r>
      <w:r w:rsidRPr="007D1226">
        <w:rPr>
          <w:rFonts w:ascii="Arial" w:hAnsi="Arial" w:cs="Arial"/>
          <w:color w:val="15383D"/>
          <w:sz w:val="20"/>
          <w:szCs w:val="20"/>
          <w:shd w:val="clear" w:color="auto" w:fill="F8F8F7"/>
        </w:rPr>
        <w:fldChar w:fldCharType="separate"/>
      </w:r>
      <w:r w:rsidRPr="007D1226">
        <w:rPr>
          <w:rFonts w:ascii="Arial" w:hAnsi="Arial" w:cs="Arial"/>
          <w:sz w:val="20"/>
          <w:szCs w:val="20"/>
        </w:rPr>
        <w:t>Kim et al., (2019a)</w:t>
      </w:r>
      <w:r w:rsidRPr="007D1226">
        <w:rPr>
          <w:rFonts w:ascii="Arial" w:hAnsi="Arial" w:cs="Arial"/>
          <w:color w:val="15383D"/>
          <w:sz w:val="20"/>
          <w:szCs w:val="20"/>
          <w:shd w:val="clear" w:color="auto" w:fill="F8F8F7"/>
        </w:rPr>
        <w:fldChar w:fldCharType="end"/>
      </w:r>
      <w:r w:rsidRPr="007D1226">
        <w:rPr>
          <w:rFonts w:ascii="Arial" w:hAnsi="Arial" w:cs="Arial"/>
          <w:color w:val="15383D"/>
          <w:sz w:val="20"/>
          <w:szCs w:val="20"/>
          <w:shd w:val="clear" w:color="auto" w:fill="F8F8F7"/>
        </w:rPr>
        <w:t xml:space="preserve"> </w:t>
      </w:r>
      <w:r w:rsidRPr="007D1226">
        <w:rPr>
          <w:rFonts w:ascii="Arial" w:hAnsi="Arial" w:cs="Arial"/>
          <w:color w:val="000000" w:themeColor="text1"/>
          <w:sz w:val="20"/>
          <w:szCs w:val="20"/>
          <w:shd w:val="clear" w:color="auto" w:fill="F8F8F7"/>
        </w:rPr>
        <w:t>said</w:t>
      </w:r>
      <w:r w:rsidRPr="007D1226">
        <w:rPr>
          <w:rFonts w:ascii="Arial" w:hAnsi="Arial" w:cs="Arial"/>
          <w:sz w:val="20"/>
          <w:szCs w:val="20"/>
        </w:rPr>
        <w:t xml:space="preserve"> that implicit gender biases are prevalent among students, who often perceive home economics as feminine, despite expressing favorable explicit attitudes towards the subject. However, home economics is for boys also because it has areas such as agriculture, industrial arts and computers. Males tend to prefer ICT devices like smartphones and tablets, while females favor online services such as WhatsApp and text messaging </w:t>
      </w:r>
      <w:r w:rsidRPr="007D1226">
        <w:rPr>
          <w:rFonts w:ascii="Arial" w:hAnsi="Arial" w:cs="Arial"/>
          <w:sz w:val="20"/>
          <w:szCs w:val="20"/>
        </w:rPr>
        <w:fldChar w:fldCharType="begin"/>
      </w:r>
      <w:r w:rsidRPr="007D1226">
        <w:rPr>
          <w:rFonts w:ascii="Arial" w:hAnsi="Arial" w:cs="Arial"/>
          <w:sz w:val="20"/>
          <w:szCs w:val="20"/>
        </w:rPr>
        <w:instrText xml:space="preserve"> ADDIN ZOTERO_ITEM CSL_CITATION {"citationID":"F9sAvQl4","properties":{"formattedCitation":"(Williams et al., 2019)","plainCitation":"(Williams et al., 2019)","noteIndex":0},"citationItems":[{"id":17,"uris":["http://zotero.org/users/local/ZyqfFL1k/items/3WVCHR6Y"],"itemData":{"id":17,"type":"book","collection-title":"Advances in Human and Social Aspects of Technology","ISBN":"978-1-5225-7068-4","note":"DOI: 10.4018/978-1-5225-7068-4","publisher":"IGI Global","source":"DOI.org (Crossref)","title":"Gender Gaps and the Social Inclusion Movement in ICT:","title-short":"Gender Gaps and the Social Inclusion Movement in ICT","URL":"http://services.igi-global.com/resolvedoi/resolve.aspx?doi=10.4018/978-1-5225-7068-4","editor":[{"family":"Williams","given":"Idongesit"},{"family":"Millward","given":"Olga"},{"family":"Layton","given":"Roslyn"}],"collection-editor":[{"family":"Dwivedi","given":"Ashish"}],"accessed":{"date-parts":[["2024",10,20]]},"issued":{"date-parts":[["2019"]]}}}],"schema":"https://github.com/citation-style-language/schema/raw/master/csl-citation.json"} </w:instrText>
      </w:r>
      <w:r w:rsidRPr="007D1226">
        <w:rPr>
          <w:rFonts w:ascii="Arial" w:hAnsi="Arial" w:cs="Arial"/>
          <w:sz w:val="20"/>
          <w:szCs w:val="20"/>
        </w:rPr>
        <w:fldChar w:fldCharType="separate"/>
      </w:r>
      <w:r w:rsidRPr="007D1226">
        <w:rPr>
          <w:rFonts w:ascii="Arial" w:hAnsi="Arial" w:cs="Arial"/>
          <w:sz w:val="20"/>
          <w:szCs w:val="20"/>
        </w:rPr>
        <w:t>(Williams et al., 2019)</w:t>
      </w:r>
      <w:r w:rsidRPr="007D1226">
        <w:rPr>
          <w:rFonts w:ascii="Arial" w:hAnsi="Arial" w:cs="Arial"/>
          <w:sz w:val="20"/>
          <w:szCs w:val="20"/>
        </w:rPr>
        <w:fldChar w:fldCharType="end"/>
      </w:r>
      <w:r w:rsidRPr="007D1226">
        <w:rPr>
          <w:rFonts w:ascii="Arial" w:hAnsi="Arial" w:cs="Arial"/>
          <w:sz w:val="20"/>
          <w:szCs w:val="20"/>
        </w:rPr>
        <w:t xml:space="preserve">. Students' gender equity awareness also impacts attitudes towards home economics, with those holding traditional gender role views scoring lowest on perceived usefulness but highest on career importance </w:t>
      </w:r>
      <w:r w:rsidRPr="007D1226">
        <w:rPr>
          <w:rFonts w:ascii="Arial" w:hAnsi="Arial" w:cs="Arial"/>
          <w:sz w:val="20"/>
          <w:szCs w:val="20"/>
        </w:rPr>
        <w:fldChar w:fldCharType="begin"/>
      </w:r>
      <w:r w:rsidRPr="007D1226">
        <w:rPr>
          <w:rFonts w:ascii="Arial" w:hAnsi="Arial" w:cs="Arial"/>
          <w:sz w:val="20"/>
          <w:szCs w:val="20"/>
        </w:rPr>
        <w:instrText xml:space="preserve"> ADDIN ZOTERO_ITEM CSL_CITATION {"citationID":"mlZ1OsYg","properties":{"formattedCitation":"(Kim et al., 2019b)","plainCitation":"(Kim et al., 2019b)","noteIndex":0},"citationItems":[{"id":4,"uris":["http://zotero.org/users/local/ZyqfFL1k/items/FZJSL63R"],"itemData":{"id":4,"type":"article-journal","container-title":"Family and Environment Research","DOI":"10.6115/fer.2019.034","ISSN":"2288-3541, 2288-355X","issue":"4","journalAbbreviation":"Fam. Environ. Res","language":"en","page":"459-472","source":"DOI.org (Crossref)","title":"A Study of the Gender-Biased Attitudes of Korean Middle School Students toward Home Economics as a Subject: Implementing the Implicit Association Test","title-short":"A Study of the Gender-Biased Attitudes of Korean Middle School Students toward Home Economics as a Subject","volume":"57","author":[{"family":"Kim","given":"Eun Jeung"},{"family":"Lee","given":"Yoon-Jung"},{"family":"Kim","given":"Jisun"}],"issued":{"date-parts":[["2019",11,22]]}}}],"schema":"https://github.com/citation-style-language/schema/raw/master/csl-citation.json"} </w:instrText>
      </w:r>
      <w:r w:rsidRPr="007D1226">
        <w:rPr>
          <w:rFonts w:ascii="Arial" w:hAnsi="Arial" w:cs="Arial"/>
          <w:sz w:val="20"/>
          <w:szCs w:val="20"/>
        </w:rPr>
        <w:fldChar w:fldCharType="separate"/>
      </w:r>
      <w:r w:rsidRPr="007D1226">
        <w:rPr>
          <w:rFonts w:ascii="Arial" w:hAnsi="Arial" w:cs="Arial"/>
          <w:sz w:val="20"/>
          <w:szCs w:val="20"/>
        </w:rPr>
        <w:t>(Kim et al., 2019b)</w:t>
      </w:r>
      <w:r w:rsidRPr="007D1226">
        <w:rPr>
          <w:rFonts w:ascii="Arial" w:hAnsi="Arial" w:cs="Arial"/>
          <w:sz w:val="20"/>
          <w:szCs w:val="20"/>
        </w:rPr>
        <w:fldChar w:fldCharType="end"/>
      </w:r>
      <w:r w:rsidRPr="007D1226">
        <w:rPr>
          <w:rFonts w:ascii="Arial" w:hAnsi="Arial" w:cs="Arial"/>
          <w:sz w:val="20"/>
          <w:szCs w:val="20"/>
        </w:rPr>
        <w:t xml:space="preserve">. Best practices for promoting gender equality in Philippine schools include training personnel to combat discrimination, integrating gender issues into curricula, and providing equal opportunities for all students </w:t>
      </w:r>
      <w:r w:rsidRPr="007D1226">
        <w:rPr>
          <w:rFonts w:ascii="Arial" w:hAnsi="Arial" w:cs="Arial"/>
          <w:sz w:val="20"/>
          <w:szCs w:val="20"/>
        </w:rPr>
        <w:fldChar w:fldCharType="begin"/>
      </w:r>
      <w:r w:rsidRPr="007D1226">
        <w:rPr>
          <w:rFonts w:ascii="Arial" w:hAnsi="Arial" w:cs="Arial"/>
          <w:sz w:val="20"/>
          <w:szCs w:val="20"/>
        </w:rPr>
        <w:instrText xml:space="preserve"> ADDIN ZOTERO_ITEM CSL_CITATION {"citationID":"cvH0iGod","properties":{"formattedCitation":"(Emfimo et al., 2024)","plainCitation":"(Emfimo et al., 2024)","noteIndex":0},"citationItems":[{"id":19,"uris":["http://zotero.org/users/local/ZyqfFL1k/items/2QVFB36A"],"itemData":{"id":19,"type":"paper-conference","DOI":"10.22492/issn.2435-5240.2024.25","event-title":"The Southeast Asian Conference on Education 2024","page":"313-325","source":"DOI.org (Crossref)","title":"Best Practices in Promoting Gender Equality in the Philippine Education","URL":"https://papers.iafor.org/submission77061","author":[{"family":"Emfimo","given":"Miguelito B."},{"family":"Silor","given":"Faith Stephanny C."},{"family":"Silor","given":"Adelfa C."}],"accessed":{"date-parts":[["2024",10,20]]},"issued":{"date-parts":[["2024",4,8]]}}}],"schema":"https://github.com/citation-style-language/schema/raw/master/csl-citation.json"} </w:instrText>
      </w:r>
      <w:r w:rsidRPr="007D1226">
        <w:rPr>
          <w:rFonts w:ascii="Arial" w:hAnsi="Arial" w:cs="Arial"/>
          <w:sz w:val="20"/>
          <w:szCs w:val="20"/>
        </w:rPr>
        <w:fldChar w:fldCharType="separate"/>
      </w:r>
      <w:r w:rsidRPr="007D1226">
        <w:rPr>
          <w:rFonts w:ascii="Arial" w:hAnsi="Arial" w:cs="Arial"/>
          <w:sz w:val="20"/>
          <w:szCs w:val="20"/>
        </w:rPr>
        <w:t>(Emfimo et al., 2024)</w:t>
      </w:r>
      <w:r w:rsidRPr="007D1226">
        <w:rPr>
          <w:rFonts w:ascii="Arial" w:hAnsi="Arial" w:cs="Arial"/>
          <w:sz w:val="20"/>
          <w:szCs w:val="20"/>
        </w:rPr>
        <w:fldChar w:fldCharType="end"/>
      </w:r>
      <w:r w:rsidRPr="007D1226">
        <w:rPr>
          <w:rFonts w:ascii="Arial" w:hAnsi="Arial" w:cs="Arial"/>
          <w:sz w:val="20"/>
          <w:szCs w:val="20"/>
        </w:rPr>
        <w:t xml:space="preserve">. </w:t>
      </w:r>
    </w:p>
    <w:p w14:paraId="12F5E0AC" w14:textId="77777777" w:rsidR="00E07096" w:rsidRPr="007D1226" w:rsidRDefault="00E07096" w:rsidP="00E07096">
      <w:pPr>
        <w:pStyle w:val="NoSpacing"/>
        <w:spacing w:line="276" w:lineRule="auto"/>
        <w:jc w:val="both"/>
        <w:rPr>
          <w:rFonts w:ascii="Arial" w:hAnsi="Arial" w:cs="Arial"/>
          <w:sz w:val="20"/>
          <w:szCs w:val="20"/>
        </w:rPr>
      </w:pPr>
    </w:p>
    <w:p w14:paraId="4A26F27C" w14:textId="4ED66BE4" w:rsidR="00E07096" w:rsidRPr="007D1226" w:rsidRDefault="00E07096" w:rsidP="00E07096">
      <w:pPr>
        <w:pStyle w:val="NoSpacing"/>
        <w:spacing w:line="276" w:lineRule="auto"/>
        <w:jc w:val="both"/>
        <w:rPr>
          <w:rFonts w:ascii="Arial" w:hAnsi="Arial" w:cs="Arial"/>
          <w:sz w:val="20"/>
          <w:szCs w:val="20"/>
        </w:rPr>
      </w:pPr>
      <w:r w:rsidRPr="007D1226">
        <w:rPr>
          <w:rFonts w:ascii="Arial" w:hAnsi="Arial" w:cs="Arial"/>
          <w:sz w:val="20"/>
          <w:szCs w:val="20"/>
        </w:rPr>
        <w:t xml:space="preserve">Furthermore, some of the previous study focuses on Filipino Hospitality industry Gender Disparities: Hiring Practices, Salary Levels, and Promotional Opportunities </w:t>
      </w:r>
      <w:r w:rsidRPr="007D1226">
        <w:rPr>
          <w:rFonts w:ascii="Arial" w:hAnsi="Arial" w:cs="Arial"/>
          <w:sz w:val="20"/>
          <w:szCs w:val="20"/>
        </w:rPr>
        <w:fldChar w:fldCharType="begin"/>
      </w:r>
      <w:r w:rsidRPr="007D1226">
        <w:rPr>
          <w:rFonts w:ascii="Arial" w:hAnsi="Arial" w:cs="Arial"/>
          <w:sz w:val="20"/>
          <w:szCs w:val="20"/>
        </w:rPr>
        <w:instrText xml:space="preserve"> ADDIN ZOTERO_ITEM CSL_CITATION {"citationID":"UqQkKHWl","properties":{"formattedCitation":"(Darroca et al., 2024)","plainCitation":"(Darroca et al., 2024)","noteIndex":0},"citationItems":[{"id":227,"uris":["http://zotero.org/users/local/ZyqfFL1k/items/TINUBTZU"],"itemData":{"id":227,"type":"article-journal","abstract":"This research employs a qualitative approach, utilizing the snowball sampling technique to conduct in-depth interviews with women from various roles within the Filipino hospitality sector. The study employs narrative analysis to elucidate discriminatory practices in hiring, remuneration, and professional advancement opportunities. Findings reveal a pattern of gender disparities, with biased recruitment practices directing women into lower-paid service roles while men ascend to leadership positions. A significant pay gap persists, attributed to occupational segregation and undervaluation of female-dominated professions. The study identifies unconscious biases, lack of mentorship, and a corporate culture favoring stereotypically \"male\" leadership attributes as barriers to career progression. Recommendations include advocating for anti-discrimination legislation, transparent hiring protocols, and addressing pay differentials through audits and awareness initiatives. Employers are urged to implement unbiased recruitment and mentorship programs, while educational institutions and civil society organizations play roles in empowering women and advocating for policy reform. The study underscores the need for collective commitment to gender equality to transform the Filipino hospitality industry into a model of inclusivity and collaboration.","container-title":"International Conference on Gender Research","DOI":"10.34190/icgr.7.1.2255","ISSN":"2516-2810, 2516-2802","issue":"1","journalAbbreviation":"icgr","license":"https://creativecommons.org/licenses/by-nc-nd/4.0","page":"97-106","source":"DOI.org (Crossref)","title":"Filipino Hospitality Industry Gender Disparities: Hiring Practices, Salary Levels, and Promotional Opportunities","title-short":"Filipino Hospitality Industry Gender Disparities","volume":"7","author":[{"family":"Darroca","given":"Jeanneth"},{"family":"Formarejo","given":"Tadema"},{"family":"Alfonso","given":"Leizl"},{"family":"Corbo","given":"Mary Cosette"}],"issued":{"date-parts":[["2024",4,18]]}}}],"schema":"https://github.com/citation-style-language/schema/raw/master/csl-citation.json"} </w:instrText>
      </w:r>
      <w:r w:rsidRPr="007D1226">
        <w:rPr>
          <w:rFonts w:ascii="Arial" w:hAnsi="Arial" w:cs="Arial"/>
          <w:sz w:val="20"/>
          <w:szCs w:val="20"/>
        </w:rPr>
        <w:fldChar w:fldCharType="separate"/>
      </w:r>
      <w:r w:rsidRPr="007D1226">
        <w:rPr>
          <w:rFonts w:ascii="Arial" w:hAnsi="Arial" w:cs="Arial"/>
          <w:sz w:val="20"/>
          <w:szCs w:val="20"/>
        </w:rPr>
        <w:t>(Darroca et al., 2024)</w:t>
      </w:r>
      <w:r w:rsidRPr="007D1226">
        <w:rPr>
          <w:rFonts w:ascii="Arial" w:hAnsi="Arial" w:cs="Arial"/>
          <w:sz w:val="20"/>
          <w:szCs w:val="20"/>
        </w:rPr>
        <w:fldChar w:fldCharType="end"/>
      </w:r>
      <w:r w:rsidRPr="007D1226">
        <w:rPr>
          <w:rFonts w:ascii="Arial" w:hAnsi="Arial" w:cs="Arial"/>
          <w:sz w:val="20"/>
          <w:szCs w:val="20"/>
        </w:rPr>
        <w:t xml:space="preserve">. This research employs a qualitative approach, utilizing the snowball sampling technique to conduct in-depth interviews with women from various roles within the Filipino </w:t>
      </w:r>
      <w:r w:rsidRPr="007D1226">
        <w:rPr>
          <w:rFonts w:ascii="Arial" w:hAnsi="Arial" w:cs="Arial"/>
          <w:sz w:val="20"/>
          <w:szCs w:val="20"/>
        </w:rPr>
        <w:lastRenderedPageBreak/>
        <w:t xml:space="preserve">hospitality sector. The research gap identified in this study will focus on the gender preferences of school heads in the hiring practices of home economics teachers. Unlike the hospitality industry, where gender disparities in career progression are well-documented, the hiring practices and professional experiences of home economics teachers have not been fully explored. </w:t>
      </w:r>
    </w:p>
    <w:p w14:paraId="043C46A4" w14:textId="77777777" w:rsidR="00E07096" w:rsidRPr="007D1226" w:rsidRDefault="00E07096" w:rsidP="00E07096">
      <w:pPr>
        <w:pStyle w:val="NoSpacing"/>
        <w:spacing w:line="276" w:lineRule="auto"/>
        <w:jc w:val="both"/>
        <w:rPr>
          <w:rFonts w:ascii="Arial" w:hAnsi="Arial" w:cs="Arial"/>
          <w:sz w:val="20"/>
          <w:szCs w:val="20"/>
        </w:rPr>
      </w:pPr>
    </w:p>
    <w:p w14:paraId="53314BFF" w14:textId="0DF0136E" w:rsidR="00E07096" w:rsidRPr="007D1226" w:rsidRDefault="00E07096" w:rsidP="00E07096">
      <w:pPr>
        <w:pStyle w:val="NoSpacing"/>
        <w:spacing w:line="276" w:lineRule="auto"/>
        <w:jc w:val="both"/>
        <w:rPr>
          <w:rFonts w:ascii="Arial" w:hAnsi="Arial" w:cs="Arial"/>
          <w:sz w:val="20"/>
          <w:szCs w:val="20"/>
        </w:rPr>
      </w:pPr>
      <w:r w:rsidRPr="007D1226">
        <w:rPr>
          <w:rFonts w:ascii="Arial" w:hAnsi="Arial" w:cs="Arial"/>
          <w:sz w:val="20"/>
          <w:szCs w:val="20"/>
        </w:rPr>
        <w:t>The researchers argue that school heads have a different perspective in terms of gender preferences since they are the ones who know what specific areas in home economics are being offered at the school. With increased attention to gender equity in other educational fields, this is an area where the researcher needs further insight as how leaders make decisions about hiring home economics teachers based on their gender. The purpose of this study is to reveal the work experiences of school heads with different genders, gender preferences of school heads in hiring home economics teachers and the insights can be drawn the findings of the study that will contribute to the academic setting. It is important to address this, as it can highlight potential gender biases in leadership and hiring practices within the education sector, which can contribute to a better understanding of how gender influences decision-making processes.</w:t>
      </w:r>
    </w:p>
    <w:p w14:paraId="1D79ACC7" w14:textId="77777777" w:rsidR="00790ADA" w:rsidRPr="007D1226" w:rsidRDefault="00790ADA" w:rsidP="00441B6F">
      <w:pPr>
        <w:pStyle w:val="Body"/>
        <w:spacing w:after="0"/>
        <w:rPr>
          <w:rFonts w:ascii="Arial" w:hAnsi="Arial" w:cs="Arial"/>
        </w:rPr>
      </w:pPr>
    </w:p>
    <w:p w14:paraId="5FE603F1" w14:textId="05AEA8E5" w:rsidR="007F7B32" w:rsidRPr="007D1226" w:rsidRDefault="00902823" w:rsidP="00441B6F">
      <w:pPr>
        <w:pStyle w:val="AbstHead"/>
        <w:spacing w:after="0"/>
        <w:jc w:val="both"/>
        <w:rPr>
          <w:rFonts w:ascii="Arial" w:hAnsi="Arial" w:cs="Arial"/>
        </w:rPr>
      </w:pPr>
      <w:r w:rsidRPr="007D1226">
        <w:rPr>
          <w:rFonts w:ascii="Arial" w:hAnsi="Arial" w:cs="Arial"/>
        </w:rPr>
        <w:t>2. material and method</w:t>
      </w:r>
      <w:r w:rsidR="00000F8F" w:rsidRPr="007D1226">
        <w:rPr>
          <w:rFonts w:ascii="Arial" w:hAnsi="Arial" w:cs="Arial"/>
        </w:rPr>
        <w:t xml:space="preserve">s </w:t>
      </w:r>
    </w:p>
    <w:p w14:paraId="1632107E" w14:textId="77777777" w:rsidR="00790ADA" w:rsidRPr="007D1226" w:rsidRDefault="00790ADA" w:rsidP="00441B6F">
      <w:pPr>
        <w:pStyle w:val="AbstHead"/>
        <w:spacing w:after="0"/>
        <w:jc w:val="both"/>
        <w:rPr>
          <w:rFonts w:ascii="Arial" w:hAnsi="Arial" w:cs="Arial"/>
        </w:rPr>
      </w:pPr>
    </w:p>
    <w:p w14:paraId="3D948789" w14:textId="04675A8D" w:rsidR="0087767F" w:rsidRPr="007D1226" w:rsidRDefault="0087767F" w:rsidP="0087767F">
      <w:pPr>
        <w:pStyle w:val="NoSpacing"/>
        <w:spacing w:line="276" w:lineRule="auto"/>
        <w:jc w:val="both"/>
        <w:rPr>
          <w:rFonts w:ascii="Arial" w:hAnsi="Arial" w:cs="Arial"/>
          <w:sz w:val="20"/>
          <w:szCs w:val="20"/>
        </w:rPr>
      </w:pPr>
      <w:r w:rsidRPr="007D1226">
        <w:rPr>
          <w:rFonts w:ascii="Arial" w:hAnsi="Arial" w:cs="Arial"/>
          <w:sz w:val="20"/>
          <w:szCs w:val="20"/>
        </w:rPr>
        <w:t xml:space="preserve">The study utilized a Qualitative research design specifically Phenomenological approach focus on understanding the lived experiences of school heads and their perceptions regarding gender preferences in hiring home economics. The purposive sampling was used to select the seven (7) school heads as a participant from different secondary schools in </w:t>
      </w:r>
      <w:proofErr w:type="spellStart"/>
      <w:r w:rsidRPr="007D1226">
        <w:rPr>
          <w:rFonts w:ascii="Arial" w:hAnsi="Arial" w:cs="Arial"/>
          <w:sz w:val="20"/>
          <w:szCs w:val="20"/>
        </w:rPr>
        <w:t>Digos</w:t>
      </w:r>
      <w:proofErr w:type="spellEnd"/>
      <w:r w:rsidRPr="007D1226">
        <w:rPr>
          <w:rFonts w:ascii="Arial" w:hAnsi="Arial" w:cs="Arial"/>
          <w:sz w:val="20"/>
          <w:szCs w:val="20"/>
        </w:rPr>
        <w:t xml:space="preserve"> City, Davao del Sur, Philippines. The inclusion criteria of the participants must have five (5) years in service as school heads, manage home economics teachers in junior high school and senior high school, and have five or more leadership or management seminars and trainings to support in selecting what gender preferences in hiring home economics teachers as part of their respective schools. In-depth interviews (IDI) were used to collect the data on the participants based on their personal experiences and perspective. </w:t>
      </w:r>
    </w:p>
    <w:p w14:paraId="129C0485" w14:textId="77777777" w:rsidR="0087767F" w:rsidRPr="007D1226" w:rsidRDefault="0087767F" w:rsidP="0087767F">
      <w:pPr>
        <w:pStyle w:val="NoSpacing"/>
        <w:spacing w:line="276" w:lineRule="auto"/>
        <w:jc w:val="both"/>
        <w:rPr>
          <w:rFonts w:ascii="Arial" w:hAnsi="Arial" w:cs="Arial"/>
          <w:sz w:val="20"/>
          <w:szCs w:val="20"/>
        </w:rPr>
      </w:pPr>
    </w:p>
    <w:p w14:paraId="0620742E" w14:textId="1B471FCF" w:rsidR="0087767F" w:rsidRPr="007D1226" w:rsidRDefault="0087767F" w:rsidP="0087767F">
      <w:pPr>
        <w:pStyle w:val="NoSpacing"/>
        <w:spacing w:line="276" w:lineRule="auto"/>
        <w:jc w:val="both"/>
        <w:rPr>
          <w:rFonts w:ascii="Arial" w:hAnsi="Arial" w:cs="Arial"/>
          <w:sz w:val="20"/>
          <w:szCs w:val="20"/>
        </w:rPr>
      </w:pPr>
      <w:r w:rsidRPr="007D1226">
        <w:rPr>
          <w:rFonts w:ascii="Arial" w:hAnsi="Arial" w:cs="Arial"/>
          <w:sz w:val="20"/>
          <w:szCs w:val="20"/>
        </w:rPr>
        <w:t xml:space="preserve">Moreover, a semi-structured interview was used to explore the gender preferences of school heads in hiring home economics teachers. The instrument consists of open-ended questions that allow the participants to express their opinions, experiences and views. The transcript was analyzed in English using thematic analysis. Key terms were first identified for manual coding, and themes were developed during the data analysis process. </w:t>
      </w:r>
      <w:r w:rsidRPr="007D1226">
        <w:rPr>
          <w:rFonts w:ascii="Arial" w:eastAsia="Arial" w:hAnsi="Arial" w:cs="Arial"/>
          <w:color w:val="000000"/>
          <w:sz w:val="20"/>
          <w:szCs w:val="20"/>
        </w:rPr>
        <w:t>The research study followed ethical guidelines to verify a pleasant practice in research, the ethical codes are given importance in which they were observed and applied towards the informants and in the context that concerns the agreement of both participants and the researchers. Confidentiality was also ensured in the study. All the gathered data was kept with absolute confidentiality to respect the identity of our key informants and to ensure the informants feel safe. The use of pseudonyms is advised to protect the anonymity of the participants.</w:t>
      </w:r>
    </w:p>
    <w:p w14:paraId="7B4E57F7" w14:textId="77777777" w:rsidR="00790ADA" w:rsidRPr="007D1226" w:rsidRDefault="00790ADA" w:rsidP="00441B6F">
      <w:pPr>
        <w:pStyle w:val="Body"/>
        <w:spacing w:after="0"/>
        <w:rPr>
          <w:rFonts w:ascii="Arial" w:hAnsi="Arial" w:cs="Arial"/>
        </w:rPr>
      </w:pPr>
    </w:p>
    <w:p w14:paraId="07919652" w14:textId="77777777" w:rsidR="00902823" w:rsidRPr="007D1226" w:rsidRDefault="00000F8F" w:rsidP="00441B6F">
      <w:pPr>
        <w:pStyle w:val="Head1"/>
        <w:spacing w:after="0"/>
        <w:jc w:val="both"/>
        <w:rPr>
          <w:rFonts w:ascii="Arial" w:hAnsi="Arial" w:cs="Arial"/>
        </w:rPr>
      </w:pPr>
      <w:r w:rsidRPr="007D1226">
        <w:rPr>
          <w:rFonts w:ascii="Arial" w:hAnsi="Arial" w:cs="Arial"/>
        </w:rPr>
        <w:t>3</w:t>
      </w:r>
      <w:r w:rsidR="00902823" w:rsidRPr="007D1226">
        <w:rPr>
          <w:rFonts w:ascii="Arial" w:hAnsi="Arial" w:cs="Arial"/>
        </w:rPr>
        <w:t xml:space="preserve">. </w:t>
      </w:r>
      <w:r w:rsidRPr="007D1226">
        <w:rPr>
          <w:rFonts w:ascii="Arial" w:hAnsi="Arial" w:cs="Arial"/>
        </w:rPr>
        <w:t>results and discussion</w:t>
      </w:r>
    </w:p>
    <w:p w14:paraId="7740775E" w14:textId="77777777" w:rsidR="00790ADA" w:rsidRPr="007D1226" w:rsidRDefault="00790ADA" w:rsidP="00441B6F">
      <w:pPr>
        <w:pStyle w:val="Head1"/>
        <w:spacing w:after="0"/>
        <w:jc w:val="both"/>
        <w:rPr>
          <w:rFonts w:ascii="Arial" w:hAnsi="Arial" w:cs="Arial"/>
        </w:rPr>
      </w:pPr>
    </w:p>
    <w:p w14:paraId="7D53C6BC" w14:textId="5C5209C1" w:rsidR="00F355E4" w:rsidRPr="007D1226" w:rsidRDefault="0087767F" w:rsidP="0087767F">
      <w:pPr>
        <w:autoSpaceDE w:val="0"/>
        <w:autoSpaceDN w:val="0"/>
        <w:adjustRightInd w:val="0"/>
        <w:jc w:val="both"/>
        <w:rPr>
          <w:rFonts w:ascii="Arial" w:hAnsi="Arial" w:cs="Arial"/>
          <w:bCs/>
          <w:color w:val="000000"/>
        </w:rPr>
      </w:pPr>
      <w:r w:rsidRPr="007D1226">
        <w:rPr>
          <w:rFonts w:ascii="Arial" w:hAnsi="Arial" w:cs="Arial"/>
          <w:b/>
          <w:bCs/>
        </w:rPr>
        <w:t>3.1 Work Experiences of school heads with Different Genders</w:t>
      </w:r>
      <w:r w:rsidRPr="007D1226">
        <w:rPr>
          <w:rFonts w:ascii="Arial" w:hAnsi="Arial" w:cs="Arial"/>
          <w:bCs/>
          <w:color w:val="000000"/>
        </w:rPr>
        <w:t xml:space="preserve"> </w:t>
      </w:r>
    </w:p>
    <w:p w14:paraId="7B0FDBB1" w14:textId="4E62906B" w:rsidR="0087767F" w:rsidRPr="007D1226" w:rsidRDefault="00F355E4" w:rsidP="0087767F">
      <w:pPr>
        <w:autoSpaceDE w:val="0"/>
        <w:autoSpaceDN w:val="0"/>
        <w:adjustRightInd w:val="0"/>
        <w:jc w:val="both"/>
        <w:rPr>
          <w:rFonts w:ascii="Arial" w:hAnsi="Arial" w:cs="Arial"/>
          <w:bCs/>
          <w:color w:val="000000"/>
        </w:rPr>
      </w:pPr>
      <w:r w:rsidRPr="007D1226">
        <w:rPr>
          <w:rFonts w:ascii="Arial" w:hAnsi="Arial" w:cs="Arial"/>
          <w:bCs/>
          <w:color w:val="000000"/>
        </w:rPr>
        <w:lastRenderedPageBreak/>
        <w:t>Three major themes</w:t>
      </w:r>
      <w:r w:rsidR="0087767F" w:rsidRPr="007D1226">
        <w:rPr>
          <w:rFonts w:ascii="Arial" w:hAnsi="Arial" w:cs="Arial"/>
          <w:bCs/>
          <w:color w:val="000000"/>
        </w:rPr>
        <w:t xml:space="preserve"> summarize the work experiences of school heads with different genders: difficulty handling in the workplace, respect diversity, </w:t>
      </w:r>
      <w:r w:rsidRPr="007D1226">
        <w:rPr>
          <w:rFonts w:ascii="Arial" w:hAnsi="Arial" w:cs="Arial"/>
          <w:bCs/>
          <w:color w:val="000000"/>
        </w:rPr>
        <w:t xml:space="preserve">and </w:t>
      </w:r>
      <w:r w:rsidR="0087767F" w:rsidRPr="007D1226">
        <w:rPr>
          <w:rFonts w:ascii="Arial" w:hAnsi="Arial" w:cs="Arial"/>
          <w:bCs/>
          <w:color w:val="000000"/>
        </w:rPr>
        <w:t>proficient home economics teachers</w:t>
      </w:r>
      <w:r w:rsidRPr="007D1226">
        <w:rPr>
          <w:rFonts w:ascii="Arial" w:hAnsi="Arial" w:cs="Arial"/>
          <w:bCs/>
          <w:color w:val="000000"/>
        </w:rPr>
        <w:t>.</w:t>
      </w:r>
      <w:r w:rsidR="0087767F" w:rsidRPr="007D1226">
        <w:rPr>
          <w:rFonts w:ascii="Arial" w:hAnsi="Arial" w:cs="Arial"/>
          <w:bCs/>
          <w:color w:val="000000"/>
        </w:rPr>
        <w:t xml:space="preserve"> </w:t>
      </w:r>
    </w:p>
    <w:p w14:paraId="75C53696" w14:textId="77777777" w:rsidR="0087767F" w:rsidRPr="007D1226" w:rsidRDefault="0087767F" w:rsidP="0087767F">
      <w:pPr>
        <w:autoSpaceDE w:val="0"/>
        <w:autoSpaceDN w:val="0"/>
        <w:adjustRightInd w:val="0"/>
        <w:jc w:val="both"/>
        <w:rPr>
          <w:rFonts w:ascii="Arial" w:hAnsi="Arial" w:cs="Arial"/>
          <w:bCs/>
          <w:color w:val="000000"/>
        </w:rPr>
      </w:pPr>
    </w:p>
    <w:p w14:paraId="0F60ABEE" w14:textId="2942404C" w:rsidR="0087767F" w:rsidRPr="007D1226" w:rsidRDefault="0087767F" w:rsidP="00F355E4">
      <w:pPr>
        <w:pStyle w:val="NoSpacing"/>
        <w:numPr>
          <w:ilvl w:val="2"/>
          <w:numId w:val="34"/>
        </w:numPr>
        <w:spacing w:line="276" w:lineRule="auto"/>
        <w:ind w:left="709"/>
        <w:jc w:val="both"/>
        <w:rPr>
          <w:rFonts w:ascii="Arial" w:hAnsi="Arial" w:cs="Arial"/>
          <w:b/>
          <w:bCs/>
          <w:sz w:val="20"/>
          <w:szCs w:val="20"/>
        </w:rPr>
      </w:pPr>
      <w:r w:rsidRPr="007D1226">
        <w:rPr>
          <w:rFonts w:ascii="Arial" w:hAnsi="Arial" w:cs="Arial"/>
          <w:b/>
          <w:bCs/>
          <w:sz w:val="20"/>
          <w:szCs w:val="20"/>
        </w:rPr>
        <w:t>Handling Difficulty in the Workplace</w:t>
      </w:r>
    </w:p>
    <w:p w14:paraId="0F148C87" w14:textId="3BF34E15" w:rsidR="0087767F" w:rsidRPr="007D1226" w:rsidRDefault="0087767F" w:rsidP="0087767F">
      <w:pPr>
        <w:pStyle w:val="NoSpacing"/>
        <w:spacing w:line="276" w:lineRule="auto"/>
        <w:jc w:val="both"/>
        <w:rPr>
          <w:rFonts w:ascii="Arial" w:hAnsi="Arial" w:cs="Arial"/>
          <w:sz w:val="20"/>
          <w:szCs w:val="20"/>
        </w:rPr>
      </w:pPr>
      <w:r w:rsidRPr="007D1226">
        <w:rPr>
          <w:rFonts w:ascii="Arial" w:hAnsi="Arial" w:cs="Arial"/>
          <w:sz w:val="20"/>
          <w:szCs w:val="20"/>
        </w:rPr>
        <w:t>School heads face significant challenges, especially when dealing with teachers who act as if they’re in charge. Some teachers disrespect their department heads, believing they are more competent or better suited for leadership. This creates a difficult situation for department heads in managing discipline, addressing diverse backgrounds, and handling unprofessional behavior. Other participants share their experiences, as they said that:</w:t>
      </w:r>
    </w:p>
    <w:p w14:paraId="225FD430" w14:textId="77777777" w:rsidR="0087767F" w:rsidRPr="007D1226" w:rsidRDefault="0087767F" w:rsidP="0087767F">
      <w:pPr>
        <w:pStyle w:val="NoSpacing"/>
        <w:spacing w:line="276" w:lineRule="auto"/>
        <w:ind w:firstLine="426"/>
        <w:jc w:val="both"/>
        <w:rPr>
          <w:rFonts w:ascii="Arial" w:hAnsi="Arial" w:cs="Arial"/>
          <w:sz w:val="20"/>
          <w:szCs w:val="20"/>
        </w:rPr>
      </w:pPr>
    </w:p>
    <w:p w14:paraId="515BF14E" w14:textId="77777777" w:rsidR="0087767F" w:rsidRPr="007D1226" w:rsidRDefault="0087767F" w:rsidP="0087767F">
      <w:pPr>
        <w:ind w:left="709"/>
        <w:jc w:val="both"/>
        <w:rPr>
          <w:rFonts w:ascii="Arial" w:hAnsi="Arial" w:cs="Arial"/>
          <w:i/>
          <w:iCs/>
        </w:rPr>
      </w:pPr>
      <w:r w:rsidRPr="007D1226">
        <w:rPr>
          <w:rFonts w:ascii="Arial" w:hAnsi="Arial" w:cs="Arial"/>
        </w:rPr>
        <w:t>“</w:t>
      </w:r>
      <w:r w:rsidRPr="007D1226">
        <w:rPr>
          <w:rFonts w:ascii="Arial" w:hAnsi="Arial" w:cs="Arial"/>
          <w:i/>
          <w:iCs/>
        </w:rPr>
        <w:t>It’s a quite challenging for me to handle different gender in the workplace with different attitudes and behaviors. “(P4)</w:t>
      </w:r>
    </w:p>
    <w:p w14:paraId="4F451C32" w14:textId="7D3DB4F8" w:rsidR="0087767F" w:rsidRPr="007D1226" w:rsidRDefault="0087767F" w:rsidP="0087767F">
      <w:pPr>
        <w:ind w:left="709"/>
        <w:jc w:val="both"/>
        <w:rPr>
          <w:rFonts w:ascii="Arial" w:hAnsi="Arial" w:cs="Arial"/>
          <w:i/>
          <w:iCs/>
        </w:rPr>
      </w:pPr>
      <w:r w:rsidRPr="007D1226">
        <w:rPr>
          <w:rFonts w:ascii="Arial" w:hAnsi="Arial" w:cs="Arial"/>
        </w:rPr>
        <w:t>“</w:t>
      </w:r>
      <w:r w:rsidRPr="007D1226">
        <w:rPr>
          <w:rFonts w:ascii="Arial" w:hAnsi="Arial" w:cs="Arial"/>
          <w:i/>
          <w:iCs/>
        </w:rPr>
        <w:t>As a school heads, my work experience with different gender is very challenging and enjoy of dealing different attitudes and behavior.” (P5)</w:t>
      </w:r>
    </w:p>
    <w:p w14:paraId="2957825B" w14:textId="77777777" w:rsidR="0087767F" w:rsidRPr="007D1226" w:rsidRDefault="0087767F" w:rsidP="0087767F">
      <w:pPr>
        <w:ind w:left="709"/>
        <w:jc w:val="both"/>
        <w:rPr>
          <w:rFonts w:ascii="Arial" w:hAnsi="Arial" w:cs="Arial"/>
          <w:i/>
          <w:iCs/>
        </w:rPr>
      </w:pPr>
      <w:r w:rsidRPr="007D1226">
        <w:rPr>
          <w:rFonts w:ascii="Arial" w:hAnsi="Arial" w:cs="Arial"/>
          <w:i/>
          <w:iCs/>
        </w:rPr>
        <w:t>“My work experience as a school head it is quite difficult to handle with 55 teachers in our department with different attitudes. Some of them are so bossy and some of them are feeling just like a boss.” (P6)</w:t>
      </w:r>
    </w:p>
    <w:p w14:paraId="1D30AEE2" w14:textId="7B6A3BAD" w:rsidR="0087767F" w:rsidRPr="007D1226" w:rsidRDefault="0087767F" w:rsidP="0087767F">
      <w:pPr>
        <w:ind w:left="709"/>
        <w:jc w:val="both"/>
        <w:rPr>
          <w:rFonts w:ascii="Arial" w:hAnsi="Arial" w:cs="Arial"/>
          <w:i/>
          <w:iCs/>
        </w:rPr>
      </w:pPr>
      <w:r w:rsidRPr="007D1226">
        <w:rPr>
          <w:rFonts w:ascii="Arial" w:hAnsi="Arial" w:cs="Arial"/>
          <w:i/>
          <w:iCs/>
        </w:rPr>
        <w:t xml:space="preserve">“School head is very stressful since some of my teachers are very hard-headed in terms of submission of the paper works.” (P1) </w:t>
      </w:r>
    </w:p>
    <w:p w14:paraId="0AC34700" w14:textId="77777777" w:rsidR="0087767F" w:rsidRPr="007D1226" w:rsidRDefault="0087767F" w:rsidP="0087767F">
      <w:pPr>
        <w:ind w:left="709"/>
        <w:jc w:val="both"/>
        <w:rPr>
          <w:rFonts w:ascii="Arial" w:hAnsi="Arial" w:cs="Arial"/>
          <w:i/>
          <w:iCs/>
        </w:rPr>
      </w:pPr>
    </w:p>
    <w:p w14:paraId="6FB1D510" w14:textId="77777777" w:rsidR="0087767F" w:rsidRPr="007D1226" w:rsidRDefault="0087767F" w:rsidP="0087767F">
      <w:pPr>
        <w:pStyle w:val="NoSpacing"/>
        <w:spacing w:line="276" w:lineRule="auto"/>
        <w:jc w:val="both"/>
        <w:rPr>
          <w:rFonts w:ascii="Arial" w:hAnsi="Arial" w:cs="Arial"/>
          <w:sz w:val="20"/>
          <w:szCs w:val="20"/>
        </w:rPr>
      </w:pPr>
      <w:r w:rsidRPr="007D1226">
        <w:rPr>
          <w:rFonts w:ascii="Arial" w:hAnsi="Arial" w:cs="Arial"/>
          <w:sz w:val="20"/>
          <w:szCs w:val="20"/>
        </w:rPr>
        <w:t xml:space="preserve">The responses highlight the challenges of managing a diverse workforce with varying attitudes and behaviors in handling different genders in the workplace. School heads face challenges such as work ethics and values can hinder collaboration and innovation </w:t>
      </w:r>
      <w:r w:rsidRPr="007D1226">
        <w:rPr>
          <w:rFonts w:ascii="Arial" w:hAnsi="Arial" w:cs="Arial"/>
          <w:sz w:val="20"/>
          <w:szCs w:val="20"/>
        </w:rPr>
        <w:fldChar w:fldCharType="begin"/>
      </w:r>
      <w:r w:rsidRPr="007D1226">
        <w:rPr>
          <w:rFonts w:ascii="Arial" w:hAnsi="Arial" w:cs="Arial"/>
          <w:sz w:val="20"/>
          <w:szCs w:val="20"/>
        </w:rPr>
        <w:instrText xml:space="preserve"> ADDIN ZOTERO_ITEM CSL_CITATION {"citationID":"sP2hIfaQ","properties":{"formattedCitation":"(Lazaro et al., 2024)","plainCitation":"(Lazaro et al., 2024)","noteIndex":0},"citationItems":[{"id":234,"uris":["http://zotero.org/users/local/ZyqfFL1k/items/44LSC2X2"],"itemData":{"id":234,"type":"article-journal","abstract":"This transcendental phenomenological study explored the lived experiences of school heads in managing intergenerational diversity among proficient teachers in public elementary schools in Noveleta, Cavite. Through in-depth interviews, participant observations, and document analysis, the study revealed how generational differences impacted school management practices. Seven key themes emerged: Intergenerational Dynamics and Work Culture, Leadership and Adaptive Management Strategies, Technological Evolution and Pedagogical Adaptation, Communication, Collaboration, and Team Cohesion, Coping with Change and Navigating Resistance, Personal Well-being and Professional Growth, and Cultural and Societal Influences.\r\nThe findings highlighted that school heads faced distinct challenges when managing generational gaps in work ethics, discipline, and professional values. Older generations of teachers, such as Baby Boomers and Generation X, exhibited stronger work ethics and commitment, often working through breaks to ensure student learning. In contrast, younger generations, particularly Generation Y and Z, were perceived to prioritize work-life balance and demonstrated less initiative. These differences posed significant challenges in fostering collaboration and innovation within schools. School heads employed adaptive strategies, such as empathetic leadership, fostering open communication, and promoting flexible solutions to bridge these generational divides.\r\nMoreover, the study emphasized the need for school management to address stereotypes and biases associated with different generations, creating inclusive environments that promoted cohesion and mutual respect. The implications extended to educational policies and professional development programs aimed at fostering intergenerational understanding and improving staff relations.","container-title":"International Journal of Multidisciplinary: Applied Business and Education Research","DOI":"10.11594/ijmaber.05.09.31","ISSN":"2774-5368","issue":"9","journalAbbreviation":"IJMABER","license":"https://creativecommons.org/licenses/by/4.0","page":"3711-3811","source":"DOI.org (Crossref)","title":"Unveiling The Lived Experiences of School Heads in Managing Intergenerational Diversity among Proficient Teachers","volume":"5","author":[{"family":"Lazaro","given":"Bryan Louis G."},{"family":"De Castro","given":"Luningning B."},{"family":"Henson","given":"Luzale D."},{"family":"Cainglet","given":"Ronnie G."},{"family":"Del Rosario","given":"Ligaya Z."},{"family":"Buhain","given":"Vivian I."},{"family":"Tiratira","given":"Niclie L."}],"issued":{"date-parts":[["2024",9,25]]}}}],"schema":"https://github.com/citation-style-language/schema/raw/master/csl-citation.json"} </w:instrText>
      </w:r>
      <w:r w:rsidRPr="007D1226">
        <w:rPr>
          <w:rFonts w:ascii="Arial" w:hAnsi="Arial" w:cs="Arial"/>
          <w:sz w:val="20"/>
          <w:szCs w:val="20"/>
        </w:rPr>
        <w:fldChar w:fldCharType="separate"/>
      </w:r>
      <w:r w:rsidRPr="007D1226">
        <w:rPr>
          <w:rFonts w:ascii="Arial" w:hAnsi="Arial" w:cs="Arial"/>
          <w:sz w:val="20"/>
          <w:szCs w:val="20"/>
        </w:rPr>
        <w:t>(Lazaro et al., 2024)</w:t>
      </w:r>
      <w:r w:rsidRPr="007D1226">
        <w:rPr>
          <w:rFonts w:ascii="Arial" w:hAnsi="Arial" w:cs="Arial"/>
          <w:sz w:val="20"/>
          <w:szCs w:val="20"/>
        </w:rPr>
        <w:fldChar w:fldCharType="end"/>
      </w:r>
      <w:r w:rsidRPr="007D1226">
        <w:rPr>
          <w:rFonts w:ascii="Arial" w:hAnsi="Arial" w:cs="Arial"/>
          <w:sz w:val="20"/>
          <w:szCs w:val="20"/>
        </w:rPr>
        <w:t xml:space="preserve">. School heads acknowledge the difficulties in balancing with some teachers displaying strong personalities or resistance to administrative tasks. Despite the challenges, they also recognize the enjoyment and growth that comes with navigating such diversity, emphasizing the importance of effective management in fostering a productive and harmonious work environment. School heads' fostering a positive work environment and organizational success </w:t>
      </w:r>
      <w:r w:rsidRPr="007D1226">
        <w:rPr>
          <w:rFonts w:ascii="Arial" w:hAnsi="Arial" w:cs="Arial"/>
          <w:sz w:val="20"/>
          <w:szCs w:val="20"/>
        </w:rPr>
        <w:fldChar w:fldCharType="begin"/>
      </w:r>
      <w:r w:rsidRPr="007D1226">
        <w:rPr>
          <w:rFonts w:ascii="Arial" w:hAnsi="Arial" w:cs="Arial"/>
          <w:sz w:val="20"/>
          <w:szCs w:val="20"/>
        </w:rPr>
        <w:instrText xml:space="preserve"> ADDIN ZOTERO_ITEM CSL_CITATION {"citationID":"ZAcQPtNY","properties":{"formattedCitation":"(Panunciar et al., 2024)","plainCitation":"(Panunciar et al., 2024)","noteIndex":0},"citationItems":[{"id":229,"uris":["http://zotero.org/users/local/ZyqfFL1k/items/5BDJNSTP"],"itemData":{"id":229,"type":"article-journal","abstract":"This study examined the transformational leadership and work engagement of 169 public school heads. It also sought an in-depth explanation of their transformational leadership and work engagement experiences. The sample was stratified, and the multifactor leadership questionnaire and Utrecht work engagement scale were used. Semi-structured interviews collected the qualitative data. In selecting 10 participants, maximum variation was employed. Generally, the school heads’ transformational leadership was great, and administrative experience correlated with it. Meanwhile, they had a very great work engagement. Their transformational leadership was associated with their work engagement. The qualitative phase generated four themes: values at the heart of a transformational leader; experience at the heart of shaping transformational leadership knowledge and skills; passion at the heart of a transformational leader; and organizational change and accomplishments mirror the influence of school heads’ transformational leadership to work engagement. As a result, they transformed their organizations and achieved success. Their leadership style stimulated motivation, consideration, idealized influence, and intellectual stimulation among teachers. They have found fulfillment through work. Therefore, transformational leadership and work engagement are vital to a successful organization.","container-title":"Technium Social Sciences Journal","DOI":"10.47577/tssj.v62i1.11727","ISSN":"2668-7798","journalAbbreviation":"TSSJ","license":"https://creativecommons.org/licenses/by/4.0","page":"34-57","source":"DOI.org (Crossref)","title":"Transformational Leadership Practices and Work Engagement among School Heads: An Explanatory-Sequential Mixed Method Inquiry","title-short":"Transformational Leadership Practices and Work Engagement among School Heads","volume":"62","author":[{"family":"Panunciar","given":"Cesar Ryan"},{"family":"Madrigal","given":"Dennis"},{"family":"Bual","given":"Joel"}],"issued":{"date-parts":[["2024",10,8]]}}}],"schema":"https://github.com/citation-style-language/schema/raw/master/csl-citation.json"} </w:instrText>
      </w:r>
      <w:r w:rsidRPr="007D1226">
        <w:rPr>
          <w:rFonts w:ascii="Arial" w:hAnsi="Arial" w:cs="Arial"/>
          <w:sz w:val="20"/>
          <w:szCs w:val="20"/>
        </w:rPr>
        <w:fldChar w:fldCharType="separate"/>
      </w:r>
      <w:r w:rsidRPr="007D1226">
        <w:rPr>
          <w:rFonts w:ascii="Arial" w:hAnsi="Arial" w:cs="Arial"/>
          <w:sz w:val="20"/>
          <w:szCs w:val="20"/>
        </w:rPr>
        <w:t>(Panunciar et al., 2024)</w:t>
      </w:r>
      <w:r w:rsidRPr="007D1226">
        <w:rPr>
          <w:rFonts w:ascii="Arial" w:hAnsi="Arial" w:cs="Arial"/>
          <w:sz w:val="20"/>
          <w:szCs w:val="20"/>
        </w:rPr>
        <w:fldChar w:fldCharType="end"/>
      </w:r>
      <w:r w:rsidRPr="007D1226">
        <w:rPr>
          <w:rFonts w:ascii="Arial" w:hAnsi="Arial" w:cs="Arial"/>
          <w:sz w:val="20"/>
          <w:szCs w:val="20"/>
        </w:rPr>
        <w:t xml:space="preserve"> and engage in self-improvement and leadership development to enhance their ability to create supportive school environments </w:t>
      </w:r>
      <w:r w:rsidRPr="007D1226">
        <w:rPr>
          <w:rFonts w:ascii="Arial" w:hAnsi="Arial" w:cs="Arial"/>
          <w:sz w:val="20"/>
          <w:szCs w:val="20"/>
        </w:rPr>
        <w:fldChar w:fldCharType="begin"/>
      </w:r>
      <w:r w:rsidRPr="007D1226">
        <w:rPr>
          <w:rFonts w:ascii="Arial" w:hAnsi="Arial" w:cs="Arial"/>
          <w:sz w:val="20"/>
          <w:szCs w:val="20"/>
        </w:rPr>
        <w:instrText xml:space="preserve"> ADDIN ZOTERO_ITEM CSL_CITATION {"citationID":"5CMSdl8o","properties":{"formattedCitation":"(Obien Calatin, 2024)","plainCitation":"(Obien Calatin, 2024)","noteIndex":0},"citationItems":[{"id":233,"uris":["http://zotero.org/users/local/ZyqfFL1k/items/LWWARHNJ"],"itemData":{"id":233,"type":"article-journal","container-title":"International Journal of Research Publications","DOI":"10.47119/IJRP1001501620246662","ISSN":"27083578","issue":"1","journalAbbreviation":"IJRP","source":"DOI.org (Crossref)","title":"School Heads’ Psychosocial Behavior and Resiliency towards Positive School Culture","URL":"https://www.ijrp.org/paper-detail/6572","volume":"50","author":[{"family":"Obien Calatin","given":"Frene"}],"accessed":{"date-parts":[["2025",2,12]]},"issued":{"date-parts":[["2024",5,16]]}}}],"schema":"https://github.com/citation-style-language/schema/raw/master/csl-citation.json"} </w:instrText>
      </w:r>
      <w:r w:rsidRPr="007D1226">
        <w:rPr>
          <w:rFonts w:ascii="Arial" w:hAnsi="Arial" w:cs="Arial"/>
          <w:sz w:val="20"/>
          <w:szCs w:val="20"/>
        </w:rPr>
        <w:fldChar w:fldCharType="separate"/>
      </w:r>
      <w:r w:rsidRPr="007D1226">
        <w:rPr>
          <w:rFonts w:ascii="Arial" w:hAnsi="Arial" w:cs="Arial"/>
          <w:sz w:val="20"/>
          <w:szCs w:val="20"/>
        </w:rPr>
        <w:t>(Obien Calatin, 2024)</w:t>
      </w:r>
      <w:r w:rsidRPr="007D1226">
        <w:rPr>
          <w:rFonts w:ascii="Arial" w:hAnsi="Arial" w:cs="Arial"/>
          <w:sz w:val="20"/>
          <w:szCs w:val="20"/>
        </w:rPr>
        <w:fldChar w:fldCharType="end"/>
      </w:r>
      <w:r w:rsidRPr="007D1226">
        <w:rPr>
          <w:rFonts w:ascii="Arial" w:hAnsi="Arial" w:cs="Arial"/>
          <w:sz w:val="20"/>
          <w:szCs w:val="20"/>
        </w:rPr>
        <w:t xml:space="preserve">. </w:t>
      </w:r>
    </w:p>
    <w:p w14:paraId="29EB7F78" w14:textId="77777777" w:rsidR="0087767F" w:rsidRPr="007D1226" w:rsidRDefault="0087767F" w:rsidP="0087767F">
      <w:pPr>
        <w:pStyle w:val="NoSpacing"/>
        <w:spacing w:line="276" w:lineRule="auto"/>
        <w:jc w:val="both"/>
        <w:rPr>
          <w:rFonts w:ascii="Arial" w:hAnsi="Arial" w:cs="Arial"/>
          <w:sz w:val="20"/>
          <w:szCs w:val="20"/>
        </w:rPr>
      </w:pPr>
    </w:p>
    <w:p w14:paraId="72E1EF46" w14:textId="00431E3A" w:rsidR="0087767F" w:rsidRPr="007D1226" w:rsidRDefault="0087767F" w:rsidP="00F355E4">
      <w:pPr>
        <w:pStyle w:val="NoSpacing"/>
        <w:numPr>
          <w:ilvl w:val="2"/>
          <w:numId w:val="34"/>
        </w:numPr>
        <w:spacing w:line="276" w:lineRule="auto"/>
        <w:ind w:left="709"/>
        <w:jc w:val="both"/>
        <w:rPr>
          <w:rFonts w:ascii="Arial" w:hAnsi="Arial" w:cs="Arial"/>
          <w:b/>
          <w:bCs/>
          <w:sz w:val="20"/>
          <w:szCs w:val="20"/>
        </w:rPr>
      </w:pPr>
      <w:r w:rsidRPr="007D1226">
        <w:rPr>
          <w:rFonts w:ascii="Arial" w:hAnsi="Arial" w:cs="Arial"/>
          <w:b/>
          <w:bCs/>
          <w:sz w:val="20"/>
          <w:szCs w:val="20"/>
        </w:rPr>
        <w:t>Respecting Cultural Diversity</w:t>
      </w:r>
    </w:p>
    <w:p w14:paraId="1DB0F88C" w14:textId="77777777" w:rsidR="0087767F" w:rsidRPr="007D1226" w:rsidRDefault="0087767F" w:rsidP="0087767F">
      <w:pPr>
        <w:jc w:val="both"/>
        <w:rPr>
          <w:rFonts w:ascii="Arial" w:hAnsi="Arial" w:cs="Arial"/>
        </w:rPr>
      </w:pPr>
      <w:r w:rsidRPr="007D1226">
        <w:rPr>
          <w:rFonts w:ascii="Arial" w:hAnsi="Arial" w:cs="Arial"/>
        </w:rPr>
        <w:t>Our diverse culture, shaped by various colonization’s, brings together individuals with different beliefs, traditions, and behaviors, all of which should be respected. Respect fosters a healthy environment, encourages collaboration, and boosts productivity. When employees feel valued, it leads to organizational success. Respecting individual differences creates a positive work culture that motivates employees to contribute to the organization's growth.</w:t>
      </w:r>
    </w:p>
    <w:p w14:paraId="48816B6C" w14:textId="77777777" w:rsidR="0087767F" w:rsidRPr="007D1226" w:rsidRDefault="0087767F" w:rsidP="0087767F">
      <w:pPr>
        <w:jc w:val="both"/>
        <w:rPr>
          <w:rFonts w:ascii="Arial" w:hAnsi="Arial" w:cs="Arial"/>
        </w:rPr>
      </w:pPr>
    </w:p>
    <w:p w14:paraId="293BE5BB" w14:textId="576F4FFE" w:rsidR="0087767F" w:rsidRPr="007D1226" w:rsidRDefault="0087767F" w:rsidP="0087767F">
      <w:pPr>
        <w:ind w:left="709"/>
        <w:jc w:val="both"/>
        <w:rPr>
          <w:rFonts w:ascii="Arial" w:hAnsi="Arial" w:cs="Arial"/>
          <w:i/>
          <w:iCs/>
        </w:rPr>
      </w:pPr>
      <w:r w:rsidRPr="007D1226">
        <w:rPr>
          <w:rFonts w:ascii="Arial" w:hAnsi="Arial" w:cs="Arial"/>
        </w:rPr>
        <w:t>“</w:t>
      </w:r>
      <w:r w:rsidRPr="007D1226">
        <w:rPr>
          <w:rFonts w:ascii="Arial" w:hAnsi="Arial" w:cs="Arial"/>
          <w:i/>
          <w:iCs/>
        </w:rPr>
        <w:t>Culture is diverse. I am upholding culture sensitivity and equality. “(P4)</w:t>
      </w:r>
    </w:p>
    <w:p w14:paraId="79E90CB9" w14:textId="539E550A" w:rsidR="0087767F" w:rsidRPr="007D1226" w:rsidRDefault="0087767F" w:rsidP="0087767F">
      <w:pPr>
        <w:ind w:left="709"/>
        <w:jc w:val="both"/>
        <w:rPr>
          <w:rFonts w:ascii="Arial" w:hAnsi="Arial" w:cs="Arial"/>
          <w:i/>
          <w:iCs/>
        </w:rPr>
      </w:pPr>
      <w:r w:rsidRPr="007D1226">
        <w:rPr>
          <w:rFonts w:ascii="Arial" w:hAnsi="Arial" w:cs="Arial"/>
          <w:i/>
          <w:iCs/>
        </w:rPr>
        <w:t xml:space="preserve">“Go with them, work with them and gain more respect regardless of what gender, beliefs and culture.” (P3) </w:t>
      </w:r>
    </w:p>
    <w:p w14:paraId="7C9A1495" w14:textId="77777777" w:rsidR="0087767F" w:rsidRPr="007D1226" w:rsidRDefault="0087767F" w:rsidP="0087767F">
      <w:pPr>
        <w:ind w:left="709"/>
        <w:jc w:val="both"/>
        <w:rPr>
          <w:rFonts w:ascii="Arial" w:hAnsi="Arial" w:cs="Arial"/>
          <w:i/>
          <w:iCs/>
        </w:rPr>
      </w:pPr>
      <w:r w:rsidRPr="007D1226">
        <w:rPr>
          <w:rFonts w:ascii="Arial" w:hAnsi="Arial" w:cs="Arial"/>
          <w:i/>
          <w:iCs/>
        </w:rPr>
        <w:t>“The very important thing is to respect the differences in terms of culture, gender and language. We should know how to show respect someone.” (P4)</w:t>
      </w:r>
    </w:p>
    <w:p w14:paraId="71EC0E24" w14:textId="77777777" w:rsidR="0087767F" w:rsidRPr="007D1226" w:rsidRDefault="0087767F" w:rsidP="0087767F">
      <w:pPr>
        <w:pStyle w:val="NoSpacing"/>
        <w:spacing w:line="276" w:lineRule="auto"/>
        <w:jc w:val="both"/>
        <w:rPr>
          <w:rFonts w:ascii="Arial" w:hAnsi="Arial" w:cs="Arial"/>
          <w:sz w:val="20"/>
          <w:szCs w:val="20"/>
        </w:rPr>
      </w:pPr>
    </w:p>
    <w:p w14:paraId="3E14903D" w14:textId="3371CA06" w:rsidR="0087767F" w:rsidRPr="007D1226" w:rsidRDefault="0087767F" w:rsidP="0087767F">
      <w:pPr>
        <w:pStyle w:val="NoSpacing"/>
        <w:spacing w:line="276" w:lineRule="auto"/>
        <w:jc w:val="both"/>
        <w:rPr>
          <w:rFonts w:ascii="Arial" w:hAnsi="Arial" w:cs="Arial"/>
          <w:sz w:val="20"/>
          <w:szCs w:val="20"/>
        </w:rPr>
      </w:pPr>
      <w:r w:rsidRPr="007D1226">
        <w:rPr>
          <w:rFonts w:ascii="Arial" w:hAnsi="Arial" w:cs="Arial"/>
          <w:sz w:val="20"/>
          <w:szCs w:val="20"/>
        </w:rPr>
        <w:t>Cultural Diversity is essential for fostering positive interactions and communication by respecting and understanding different cultural backgrounds. When individuals are culturally aware, they are better equipped to engage with others in diverse environments, especially in the workplace. Implementing culturally responsive leadership practices is essential for effectively including all students and promoting harmony within the school system and community </w:t>
      </w:r>
      <w:r w:rsidRPr="007D1226">
        <w:rPr>
          <w:rFonts w:ascii="Arial" w:hAnsi="Arial" w:cs="Arial"/>
          <w:sz w:val="20"/>
          <w:szCs w:val="20"/>
        </w:rPr>
        <w:fldChar w:fldCharType="begin"/>
      </w:r>
      <w:r w:rsidRPr="007D1226">
        <w:rPr>
          <w:rFonts w:ascii="Arial" w:hAnsi="Arial" w:cs="Arial"/>
          <w:sz w:val="20"/>
          <w:szCs w:val="20"/>
        </w:rPr>
        <w:instrText xml:space="preserve"> ADDIN ZOTERO_ITEM CSL_CITATION {"citationID":"fjdDvQ3i","properties":{"formattedCitation":"(Savvopoulos et al., 2024)","plainCitation":"(Savvopoulos et al., 2024)","noteIndex":0},"citationItems":[{"id":239,"uris":["http://zotero.org/users/local/ZyqfFL1k/items/JQMPDMRR"],"itemData":{"id":239,"type":"article-journal","container-title":"Journal of Educational Administration and History","DOI":"10.1080/00220620.2022.2122419","ISSN":"0022-0620, 1478-7431","issue":"2","journalAbbreviation":"Journal of Educational Administration and History","language":"en","page":"107-131","source":"DOI.org (Crossref)","title":"The role of the school head in inclusion and culturally responsive leadership","volume":"56","author":[{"family":"Savvopoulos","given":"Doxakis"},{"family":"Saiti","given":"Anna"},{"family":"Arar","given":"Khalid"}],"issued":{"date-parts":[["2024",4,2]]}}}],"schema":"https://github.com/citation-style-language/schema/raw/master/csl-citation.json"} </w:instrText>
      </w:r>
      <w:r w:rsidRPr="007D1226">
        <w:rPr>
          <w:rFonts w:ascii="Arial" w:hAnsi="Arial" w:cs="Arial"/>
          <w:sz w:val="20"/>
          <w:szCs w:val="20"/>
        </w:rPr>
        <w:fldChar w:fldCharType="separate"/>
      </w:r>
      <w:r w:rsidRPr="007D1226">
        <w:rPr>
          <w:rFonts w:ascii="Arial" w:hAnsi="Arial" w:cs="Arial"/>
          <w:sz w:val="20"/>
          <w:szCs w:val="20"/>
        </w:rPr>
        <w:t>(Savvopoulos et al., 2024)</w:t>
      </w:r>
      <w:r w:rsidRPr="007D1226">
        <w:rPr>
          <w:rFonts w:ascii="Arial" w:hAnsi="Arial" w:cs="Arial"/>
          <w:sz w:val="20"/>
          <w:szCs w:val="20"/>
        </w:rPr>
        <w:fldChar w:fldCharType="end"/>
      </w:r>
      <w:r w:rsidRPr="007D1226">
        <w:rPr>
          <w:rFonts w:ascii="Arial" w:hAnsi="Arial" w:cs="Arial"/>
          <w:sz w:val="20"/>
          <w:szCs w:val="20"/>
        </w:rPr>
        <w:t xml:space="preserve">. Cultural diversity in the workplace has become more </w:t>
      </w:r>
      <w:r w:rsidRPr="007D1226">
        <w:rPr>
          <w:rFonts w:ascii="Arial" w:hAnsi="Arial" w:cs="Arial"/>
          <w:sz w:val="20"/>
          <w:szCs w:val="20"/>
        </w:rPr>
        <w:lastRenderedPageBreak/>
        <w:t xml:space="preserve">prevalent, necessitating adaptability and openness to different ways of thinking </w:t>
      </w:r>
      <w:r w:rsidRPr="007D1226">
        <w:rPr>
          <w:rFonts w:ascii="Arial" w:hAnsi="Arial" w:cs="Arial"/>
          <w:sz w:val="20"/>
          <w:szCs w:val="20"/>
        </w:rPr>
        <w:fldChar w:fldCharType="begin"/>
      </w:r>
      <w:r w:rsidRPr="007D1226">
        <w:rPr>
          <w:rFonts w:ascii="Arial" w:hAnsi="Arial" w:cs="Arial"/>
          <w:sz w:val="20"/>
          <w:szCs w:val="20"/>
        </w:rPr>
        <w:instrText xml:space="preserve"> ADDIN ZOTERO_ITEM CSL_CITATION {"citationID":"UhLCJ3Ka","properties":{"formattedCitation":"(G. C. Martin, 2014)","plainCitation":"(G. C. Martin, 2014)","noteIndex":0},"citationItems":[{"id":235,"uris":["http://zotero.org/users/local/ZyqfFL1k/items/DMYMT9A2"],"itemData":{"id":235,"type":"article-journal","abstract":"Cultural diversity in the workplace has grown as a trend over the passage of time with the increase of globalization in the world. One positive effect is that employees belonging to different cultures usually have different ways of thinking and can thus analyze a matter at hand from a variety of perspectives. This is hard to achieve when employees belonging to the same culture are asked to analyze the same matter.","container-title":"Journal of Diversity Management (JDM)","DOI":"10.19030/jdm.v9i2.8974","ISSN":"2157-9512, 1558-0121","issue":"2","journalAbbreviation":"JDM","page":"89-92","source":"DOI.org (Crossref)","title":"The Effects Of Cultural Diversity In The Workplace","volume":"9","author":[{"family":"Martin","given":"Gillian Coote"}],"issued":{"date-parts":[["2014",11,21]]}}}],"schema":"https://github.com/citation-style-language/schema/raw/master/csl-citation.json"} </w:instrText>
      </w:r>
      <w:r w:rsidRPr="007D1226">
        <w:rPr>
          <w:rFonts w:ascii="Arial" w:hAnsi="Arial" w:cs="Arial"/>
          <w:sz w:val="20"/>
          <w:szCs w:val="20"/>
        </w:rPr>
        <w:fldChar w:fldCharType="separate"/>
      </w:r>
      <w:r w:rsidRPr="007D1226">
        <w:rPr>
          <w:rFonts w:ascii="Arial" w:hAnsi="Arial" w:cs="Arial"/>
          <w:sz w:val="20"/>
          <w:szCs w:val="20"/>
        </w:rPr>
        <w:t>(G. C. Martin, 2014)</w:t>
      </w:r>
      <w:r w:rsidRPr="007D1226">
        <w:rPr>
          <w:rFonts w:ascii="Arial" w:hAnsi="Arial" w:cs="Arial"/>
          <w:sz w:val="20"/>
          <w:szCs w:val="20"/>
        </w:rPr>
        <w:fldChar w:fldCharType="end"/>
      </w:r>
      <w:r w:rsidRPr="007D1226">
        <w:rPr>
          <w:rFonts w:ascii="Arial" w:hAnsi="Arial" w:cs="Arial"/>
          <w:sz w:val="20"/>
          <w:szCs w:val="20"/>
        </w:rPr>
        <w:t xml:space="preserve">.  School heads must prioritize cultural awareness and demonstrate openness and sensitivity, creating inclusive workplaces where cultural identities are valued. Effective leaders demonstrate moral leadership characterized by high sensitivity to cultural diversity </w:t>
      </w:r>
      <w:r w:rsidRPr="007D1226">
        <w:rPr>
          <w:rFonts w:ascii="Arial" w:hAnsi="Arial" w:cs="Arial"/>
          <w:sz w:val="20"/>
          <w:szCs w:val="20"/>
        </w:rPr>
        <w:fldChar w:fldCharType="begin"/>
      </w:r>
      <w:r w:rsidRPr="007D1226">
        <w:rPr>
          <w:rFonts w:ascii="Arial" w:hAnsi="Arial" w:cs="Arial"/>
          <w:sz w:val="20"/>
          <w:szCs w:val="20"/>
        </w:rPr>
        <w:instrText xml:space="preserve"> ADDIN ZOTERO_ITEM CSL_CITATION {"citationID":"GzsW4U6l","properties":{"formattedCitation":"(Raihani, 2022)","plainCitation":"(Raihani, 2022)","noteIndex":0},"citationItems":[{"id":237,"uris":["http://zotero.org/users/local/ZyqfFL1k/items/CIQWSDTZ"],"itemData":{"id":237,"type":"article-journal","abstract":"This article aims to explore school leadership practices in the context of the multicultural society of Indonesia. Effective school leaders in a diverse context demonstrate a type of moral leadership characterized by high awareness and sensitivity to cultural diversity and act accordingly to enable everyone in school to pursue his or her goals. This study used a qualitative case study approach by selecting three different schools and interviewing the principals, teachers, and students. The findings suggest that while in rhetoric school leaders convey a commitment to recognize and respect diversity, they exercise covertly some discriminative policies towards powerless groups. In these schools, both cultural and religious identities were used to maintain domination in school. Consequently, the schools have hardly become a venue for social justice and multicultural citizenship. By doing so, this article contributes to a better understanding of the nuance of school leadership in multicultural societies like Indonesia.","container-title":"Journal of Asian Social Science Research","DOI":"10.15575/jassr.v4i1.61","ISSN":"2721-9593, 2721-9399","issue":"1","journalAbbreviation":"JASSR","page":"23-42","source":"DOI.org (Crossref)","title":"School Leadership Practices and Identity Politics in a Multicultural Society: The Case of Indonesia","title-short":"School Leadership Practices and Identity Politics in a Multicultural Society","volume":"4","author":[{"family":"Raihani","given":"Raihani"}],"issued":{"date-parts":[["2022",8,12]]}}}],"schema":"https://github.com/citation-style-language/schema/raw/master/csl-citation.json"} </w:instrText>
      </w:r>
      <w:r w:rsidRPr="007D1226">
        <w:rPr>
          <w:rFonts w:ascii="Arial" w:hAnsi="Arial" w:cs="Arial"/>
          <w:sz w:val="20"/>
          <w:szCs w:val="20"/>
        </w:rPr>
        <w:fldChar w:fldCharType="separate"/>
      </w:r>
      <w:r w:rsidRPr="007D1226">
        <w:rPr>
          <w:rFonts w:ascii="Arial" w:hAnsi="Arial" w:cs="Arial"/>
          <w:sz w:val="20"/>
          <w:szCs w:val="20"/>
        </w:rPr>
        <w:t>(Raihani, 2022)</w:t>
      </w:r>
      <w:r w:rsidRPr="007D1226">
        <w:rPr>
          <w:rFonts w:ascii="Arial" w:hAnsi="Arial" w:cs="Arial"/>
          <w:sz w:val="20"/>
          <w:szCs w:val="20"/>
        </w:rPr>
        <w:fldChar w:fldCharType="end"/>
      </w:r>
      <w:r w:rsidRPr="007D1226">
        <w:rPr>
          <w:rFonts w:ascii="Arial" w:hAnsi="Arial" w:cs="Arial"/>
          <w:sz w:val="20"/>
          <w:szCs w:val="20"/>
        </w:rPr>
        <w:t xml:space="preserve">. </w:t>
      </w:r>
    </w:p>
    <w:p w14:paraId="49A4C8B1" w14:textId="77777777" w:rsidR="0087767F" w:rsidRPr="007D1226" w:rsidRDefault="0087767F" w:rsidP="0087767F">
      <w:pPr>
        <w:pStyle w:val="NoSpacing"/>
        <w:spacing w:line="276" w:lineRule="auto"/>
        <w:jc w:val="both"/>
        <w:rPr>
          <w:rFonts w:ascii="Arial" w:hAnsi="Arial" w:cs="Arial"/>
          <w:sz w:val="20"/>
          <w:szCs w:val="20"/>
        </w:rPr>
      </w:pPr>
    </w:p>
    <w:p w14:paraId="2E44CEF4" w14:textId="78844D32" w:rsidR="0087767F" w:rsidRPr="007D1226" w:rsidRDefault="0087767F" w:rsidP="00F355E4">
      <w:pPr>
        <w:pStyle w:val="NoSpacing"/>
        <w:numPr>
          <w:ilvl w:val="2"/>
          <w:numId w:val="34"/>
        </w:numPr>
        <w:spacing w:line="276" w:lineRule="auto"/>
        <w:ind w:left="709"/>
        <w:jc w:val="both"/>
        <w:rPr>
          <w:rFonts w:ascii="Arial" w:hAnsi="Arial" w:cs="Arial"/>
          <w:b/>
          <w:bCs/>
          <w:sz w:val="20"/>
          <w:szCs w:val="20"/>
        </w:rPr>
      </w:pPr>
      <w:r w:rsidRPr="007D1226">
        <w:rPr>
          <w:rFonts w:ascii="Arial" w:hAnsi="Arial" w:cs="Arial"/>
          <w:b/>
          <w:bCs/>
          <w:sz w:val="20"/>
          <w:szCs w:val="20"/>
        </w:rPr>
        <w:t>Prof</w:t>
      </w:r>
      <w:r w:rsidR="00F355E4" w:rsidRPr="007D1226">
        <w:rPr>
          <w:rFonts w:ascii="Arial" w:hAnsi="Arial" w:cs="Arial"/>
          <w:b/>
          <w:bCs/>
          <w:sz w:val="20"/>
          <w:szCs w:val="20"/>
        </w:rPr>
        <w:t>icient</w:t>
      </w:r>
      <w:r w:rsidRPr="007D1226">
        <w:rPr>
          <w:rFonts w:ascii="Arial" w:hAnsi="Arial" w:cs="Arial"/>
          <w:b/>
          <w:bCs/>
          <w:sz w:val="20"/>
          <w:szCs w:val="20"/>
        </w:rPr>
        <w:t xml:space="preserve"> Home Economics Teacher</w:t>
      </w:r>
    </w:p>
    <w:p w14:paraId="13301C4B" w14:textId="77777777" w:rsidR="0087767F" w:rsidRPr="007D1226" w:rsidRDefault="0087767F" w:rsidP="00F355E4">
      <w:pPr>
        <w:pStyle w:val="NoSpacing"/>
        <w:spacing w:line="276" w:lineRule="auto"/>
        <w:jc w:val="both"/>
        <w:rPr>
          <w:rFonts w:ascii="Arial" w:eastAsia="Calibri" w:hAnsi="Arial" w:cs="Arial"/>
          <w:iCs/>
          <w:color w:val="000000"/>
          <w:sz w:val="20"/>
          <w:szCs w:val="20"/>
          <w:u w:color="000000"/>
        </w:rPr>
      </w:pPr>
      <w:r w:rsidRPr="007D1226">
        <w:rPr>
          <w:rFonts w:ascii="Arial" w:eastAsia="Calibri" w:hAnsi="Arial" w:cs="Arial"/>
          <w:iCs/>
          <w:color w:val="000000"/>
          <w:sz w:val="20"/>
          <w:szCs w:val="20"/>
          <w:u w:color="000000"/>
        </w:rPr>
        <w:t>Proficient Home Economics teachers play a key role in the 21st century, equipping students with both academic knowledge and practical skills. As part of Technology and Livelihood Education (TLE), they help shift the subject from being seen as basic to a valuable, career-oriented field, preparing students for future professions with expertise and hands-on learning.</w:t>
      </w:r>
    </w:p>
    <w:p w14:paraId="37BA3141" w14:textId="77777777" w:rsidR="0087767F" w:rsidRPr="007D1226" w:rsidRDefault="0087767F" w:rsidP="0087767F">
      <w:pPr>
        <w:pStyle w:val="NoSpacing"/>
        <w:spacing w:line="276" w:lineRule="auto"/>
        <w:ind w:firstLine="720"/>
        <w:rPr>
          <w:rFonts w:ascii="Arial" w:eastAsia="Calibri" w:hAnsi="Arial" w:cs="Arial"/>
          <w:iCs/>
          <w:color w:val="000000"/>
          <w:sz w:val="20"/>
          <w:szCs w:val="20"/>
          <w:u w:color="000000"/>
        </w:rPr>
      </w:pPr>
    </w:p>
    <w:p w14:paraId="108E052C" w14:textId="753CA8E3" w:rsidR="0087767F" w:rsidRPr="007D1226" w:rsidRDefault="0087767F" w:rsidP="00F355E4">
      <w:pPr>
        <w:pStyle w:val="NoSpacing"/>
        <w:ind w:left="709" w:right="-1"/>
        <w:rPr>
          <w:rFonts w:ascii="Arial" w:eastAsia="Calibri" w:hAnsi="Arial" w:cs="Arial"/>
          <w:i/>
          <w:sz w:val="20"/>
          <w:szCs w:val="20"/>
          <w:u w:color="000000"/>
        </w:rPr>
      </w:pPr>
      <w:r w:rsidRPr="007D1226">
        <w:rPr>
          <w:rFonts w:ascii="Arial" w:eastAsia="Calibri" w:hAnsi="Arial" w:cs="Arial"/>
          <w:i/>
          <w:sz w:val="20"/>
          <w:szCs w:val="20"/>
          <w:u w:color="000000"/>
        </w:rPr>
        <w:t>“I have been handling in our school for how many years, and they perform well as a TLE teacher who are teaching different specialization in Home Economics.” (P5)</w:t>
      </w:r>
    </w:p>
    <w:p w14:paraId="33692AD9" w14:textId="77777777" w:rsidR="0087767F" w:rsidRPr="007D1226" w:rsidRDefault="0087767F" w:rsidP="0087767F">
      <w:pPr>
        <w:pStyle w:val="NoSpacing"/>
        <w:ind w:left="709" w:right="-1"/>
        <w:jc w:val="both"/>
        <w:rPr>
          <w:rFonts w:ascii="Arial" w:eastAsia="Calibri" w:hAnsi="Arial" w:cs="Arial"/>
          <w:i/>
          <w:sz w:val="20"/>
          <w:szCs w:val="20"/>
          <w:u w:color="000000"/>
        </w:rPr>
      </w:pPr>
      <w:r w:rsidRPr="007D1226">
        <w:rPr>
          <w:rFonts w:ascii="Arial" w:eastAsia="Calibri" w:hAnsi="Arial" w:cs="Arial"/>
          <w:i/>
          <w:sz w:val="20"/>
          <w:szCs w:val="20"/>
          <w:u w:color="000000"/>
        </w:rPr>
        <w:t>“I have observed the strong performance of TLE teachers specializing in Home Economics” (P1)</w:t>
      </w:r>
    </w:p>
    <w:p w14:paraId="0C386E88" w14:textId="2DA00EBF" w:rsidR="0087767F" w:rsidRPr="007D1226" w:rsidRDefault="0087767F" w:rsidP="00F355E4">
      <w:pPr>
        <w:pStyle w:val="NoSpacing"/>
        <w:ind w:left="709" w:right="-1"/>
        <w:jc w:val="both"/>
        <w:rPr>
          <w:rFonts w:ascii="Arial" w:eastAsia="Calibri" w:hAnsi="Arial" w:cs="Arial"/>
          <w:i/>
          <w:sz w:val="20"/>
          <w:szCs w:val="20"/>
          <w:u w:color="000000"/>
        </w:rPr>
      </w:pPr>
      <w:r w:rsidRPr="007D1226">
        <w:rPr>
          <w:rFonts w:ascii="Arial" w:eastAsia="Calibri" w:hAnsi="Arial" w:cs="Arial"/>
          <w:i/>
          <w:sz w:val="20"/>
          <w:szCs w:val="20"/>
          <w:u w:color="000000"/>
        </w:rPr>
        <w:t>“Women excel in key areas such as cooking, budgeting and possess essential traits like honesty and work ethics.” (P2)</w:t>
      </w:r>
    </w:p>
    <w:p w14:paraId="35F98BE2" w14:textId="3A6E037B" w:rsidR="0087767F" w:rsidRPr="007D1226" w:rsidRDefault="0087767F" w:rsidP="00F355E4">
      <w:pPr>
        <w:pStyle w:val="NoSpacing"/>
        <w:ind w:left="709" w:right="-1"/>
        <w:jc w:val="both"/>
        <w:rPr>
          <w:rFonts w:ascii="Arial" w:eastAsia="Calibri" w:hAnsi="Arial" w:cs="Arial"/>
          <w:i/>
          <w:sz w:val="20"/>
          <w:szCs w:val="20"/>
          <w:u w:color="000000"/>
        </w:rPr>
      </w:pPr>
      <w:r w:rsidRPr="007D1226">
        <w:rPr>
          <w:rFonts w:ascii="Arial" w:eastAsia="Calibri" w:hAnsi="Arial" w:cs="Arial"/>
          <w:i/>
          <w:sz w:val="20"/>
          <w:szCs w:val="20"/>
          <w:u w:color="000000"/>
        </w:rPr>
        <w:t>“Both male and female teachers bring valuable skills to the table. Female teachers often demonstrate empathy to the students while male teachers excel in hand-on technical areas.” (P6)</w:t>
      </w:r>
    </w:p>
    <w:p w14:paraId="3917AD4C" w14:textId="2EF6AC82" w:rsidR="0087767F" w:rsidRPr="007D1226" w:rsidRDefault="0087767F" w:rsidP="00F355E4">
      <w:pPr>
        <w:pStyle w:val="NoSpacing"/>
        <w:ind w:left="709" w:right="-1"/>
        <w:jc w:val="both"/>
        <w:rPr>
          <w:rFonts w:ascii="Arial" w:eastAsia="Calibri" w:hAnsi="Arial" w:cs="Arial"/>
          <w:i/>
          <w:sz w:val="20"/>
          <w:szCs w:val="20"/>
          <w:u w:color="000000"/>
        </w:rPr>
      </w:pPr>
      <w:r w:rsidRPr="007D1226">
        <w:rPr>
          <w:rFonts w:ascii="Arial" w:eastAsia="Calibri" w:hAnsi="Arial" w:cs="Arial"/>
          <w:i/>
          <w:sz w:val="20"/>
          <w:szCs w:val="20"/>
          <w:u w:color="000000"/>
        </w:rPr>
        <w:t xml:space="preserve">“Having worked closely with both male and female Home Economics Teachers. </w:t>
      </w:r>
      <w:r w:rsidR="00F355E4" w:rsidRPr="007D1226">
        <w:rPr>
          <w:rFonts w:ascii="Arial" w:eastAsia="Calibri" w:hAnsi="Arial" w:cs="Arial"/>
          <w:i/>
          <w:sz w:val="20"/>
          <w:szCs w:val="20"/>
          <w:u w:color="000000"/>
        </w:rPr>
        <w:t>I</w:t>
      </w:r>
      <w:r w:rsidRPr="007D1226">
        <w:rPr>
          <w:rFonts w:ascii="Arial" w:eastAsia="Calibri" w:hAnsi="Arial" w:cs="Arial"/>
          <w:i/>
          <w:sz w:val="20"/>
          <w:szCs w:val="20"/>
          <w:u w:color="000000"/>
        </w:rPr>
        <w:t xml:space="preserve">‘ve seen that they are proficient in their </w:t>
      </w:r>
      <w:r w:rsidR="00F355E4" w:rsidRPr="007D1226">
        <w:rPr>
          <w:rFonts w:ascii="Arial" w:eastAsia="Calibri" w:hAnsi="Arial" w:cs="Arial"/>
          <w:i/>
          <w:sz w:val="20"/>
          <w:szCs w:val="20"/>
          <w:u w:color="000000"/>
        </w:rPr>
        <w:t>teaching,</w:t>
      </w:r>
      <w:r w:rsidRPr="007D1226">
        <w:rPr>
          <w:rFonts w:ascii="Arial" w:eastAsia="Calibri" w:hAnsi="Arial" w:cs="Arial"/>
          <w:i/>
          <w:sz w:val="20"/>
          <w:szCs w:val="20"/>
          <w:u w:color="000000"/>
        </w:rPr>
        <w:t xml:space="preserve"> and they have ability to relate their teaching in the experiences of the diverse students.” (P7)</w:t>
      </w:r>
    </w:p>
    <w:p w14:paraId="5C600836" w14:textId="77777777" w:rsidR="0087767F" w:rsidRPr="007D1226" w:rsidRDefault="0087767F" w:rsidP="0087767F">
      <w:pPr>
        <w:pStyle w:val="NoSpacing"/>
        <w:ind w:left="709" w:right="-1"/>
        <w:jc w:val="both"/>
        <w:rPr>
          <w:rFonts w:ascii="Arial" w:eastAsia="Calibri" w:hAnsi="Arial" w:cs="Arial"/>
          <w:i/>
          <w:sz w:val="20"/>
          <w:szCs w:val="20"/>
          <w:u w:color="000000"/>
        </w:rPr>
      </w:pPr>
      <w:r w:rsidRPr="007D1226">
        <w:rPr>
          <w:rFonts w:ascii="Arial" w:eastAsia="Calibri" w:hAnsi="Arial" w:cs="Arial"/>
          <w:i/>
          <w:sz w:val="20"/>
          <w:szCs w:val="20"/>
          <w:u w:color="000000"/>
        </w:rPr>
        <w:t>“When I conduct an observation with my teachers, I was amazed that they have the ability to integrate their own hands-on experiences into their lessons, they were also relating their lessons to the experiences of their students.” (P2)</w:t>
      </w:r>
    </w:p>
    <w:p w14:paraId="6B27E405" w14:textId="77777777" w:rsidR="0087767F" w:rsidRPr="007D1226" w:rsidRDefault="0087767F" w:rsidP="0087767F">
      <w:pPr>
        <w:pStyle w:val="NoSpacing"/>
        <w:spacing w:line="276" w:lineRule="auto"/>
        <w:ind w:right="-1" w:firstLine="720"/>
        <w:rPr>
          <w:rFonts w:ascii="Arial" w:eastAsia="Calibri" w:hAnsi="Arial" w:cs="Arial"/>
          <w:iCs/>
          <w:color w:val="000000"/>
          <w:sz w:val="20"/>
          <w:szCs w:val="20"/>
          <w:u w:color="000000"/>
        </w:rPr>
      </w:pPr>
    </w:p>
    <w:p w14:paraId="74637CF0" w14:textId="77777777" w:rsidR="0087767F" w:rsidRPr="007D1226" w:rsidRDefault="0087767F" w:rsidP="00F355E4">
      <w:pPr>
        <w:pStyle w:val="NoSpacing"/>
        <w:spacing w:line="276" w:lineRule="auto"/>
        <w:jc w:val="both"/>
        <w:rPr>
          <w:rFonts w:ascii="Arial" w:hAnsi="Arial" w:cs="Arial"/>
          <w:sz w:val="20"/>
          <w:szCs w:val="20"/>
        </w:rPr>
      </w:pPr>
      <w:r w:rsidRPr="007D1226">
        <w:rPr>
          <w:rFonts w:ascii="Arial" w:hAnsi="Arial" w:cs="Arial"/>
          <w:sz w:val="20"/>
          <w:szCs w:val="20"/>
        </w:rPr>
        <w:t xml:space="preserve">Proficient Home Economics teachers, supported by school heads who value the subject's growing importance, play a crucial role in shaping students' skills for the 21st century. Home Economics teachers recognize the importance of developing competencies such as critical thinking, problem-solving, creativity, communication, and collaboration in their student </w:t>
      </w:r>
      <w:r w:rsidRPr="007D1226">
        <w:rPr>
          <w:rFonts w:ascii="Arial" w:hAnsi="Arial" w:cs="Arial"/>
          <w:sz w:val="20"/>
          <w:szCs w:val="20"/>
        </w:rPr>
        <w:fldChar w:fldCharType="begin"/>
      </w:r>
      <w:r w:rsidRPr="007D1226">
        <w:rPr>
          <w:rFonts w:ascii="Arial" w:hAnsi="Arial" w:cs="Arial"/>
          <w:sz w:val="20"/>
          <w:szCs w:val="20"/>
        </w:rPr>
        <w:instrText xml:space="preserve"> ADDIN ZOTERO_ITEM CSL_CITATION {"citationID":"Uqlpr7Mc","properties":{"formattedCitation":"(R. Escobar, 2023)","plainCitation":"(R. Escobar, 2023)","noteIndex":0},"citationItems":[{"id":240,"uris":["http://zotero.org/users/local/ZyqfFL1k/items/G5DBAC7N"],"itemData":{"id":240,"type":"article-journal","container-title":"International Journal of Research Publications","DOI":"10.47119/IJRP1001231420234694","ISSN":"27083578","issue":"1","journalAbbreviation":"IJRP","source":"DOI.org (Crossref)","title":"Teacher’s Competencies in Teaching Home Economics to the Acquisition of Student’s 21st Century Skills","URL":"https://ijrp.org/paper-detail/4644","volume":"123","author":[{"family":"R. Escobar","given":"Mabeth"}],"accessed":{"date-parts":[["2025",2,12]]},"issued":{"date-parts":[["2023",4,1]]}}}],"schema":"https://github.com/citation-style-language/schema/raw/master/csl-citation.json"} </w:instrText>
      </w:r>
      <w:r w:rsidRPr="007D1226">
        <w:rPr>
          <w:rFonts w:ascii="Arial" w:hAnsi="Arial" w:cs="Arial"/>
          <w:sz w:val="20"/>
          <w:szCs w:val="20"/>
        </w:rPr>
        <w:fldChar w:fldCharType="separate"/>
      </w:r>
      <w:r w:rsidRPr="007D1226">
        <w:rPr>
          <w:rFonts w:ascii="Arial" w:hAnsi="Arial" w:cs="Arial"/>
          <w:sz w:val="20"/>
          <w:szCs w:val="20"/>
        </w:rPr>
        <w:t>(R. Escobar, 2023)</w:t>
      </w:r>
      <w:r w:rsidRPr="007D1226">
        <w:rPr>
          <w:rFonts w:ascii="Arial" w:hAnsi="Arial" w:cs="Arial"/>
          <w:sz w:val="20"/>
          <w:szCs w:val="20"/>
        </w:rPr>
        <w:fldChar w:fldCharType="end"/>
      </w:r>
      <w:r w:rsidRPr="007D1226">
        <w:rPr>
          <w:rFonts w:ascii="Arial" w:hAnsi="Arial" w:cs="Arial"/>
          <w:sz w:val="20"/>
          <w:szCs w:val="20"/>
        </w:rPr>
        <w:t xml:space="preserve">. As part of Technology and Livelihood Education (TLE), Home Economics is essential for both academic learning and practical career skills and it is now seen as a key career-oriented field. Home Economics equips learners with marketable skills for self-reliance and employment </w:t>
      </w:r>
      <w:r w:rsidRPr="007D1226">
        <w:rPr>
          <w:rFonts w:ascii="Arial" w:hAnsi="Arial" w:cs="Arial"/>
          <w:sz w:val="20"/>
          <w:szCs w:val="20"/>
        </w:rPr>
        <w:fldChar w:fldCharType="begin"/>
      </w:r>
      <w:r w:rsidRPr="007D1226">
        <w:rPr>
          <w:rFonts w:ascii="Arial" w:hAnsi="Arial" w:cs="Arial"/>
          <w:sz w:val="20"/>
          <w:szCs w:val="20"/>
        </w:rPr>
        <w:instrText xml:space="preserve"> ADDIN ZOTERO_ITEM CSL_CITATION {"citationID":"bNpO4aeT","properties":{"formattedCitation":"(Bamalli, 2013)","plainCitation":"(Bamalli, 2013)","noteIndex":0},"citationItems":[{"id":242,"uris":["http://zotero.org/users/local/ZyqfFL1k/items/LMCIZSQ9"],"itemData":{"id":242,"type":"article-journal","abstract":"Vocational Home Economics is a skill oriented field of study which equipped the learners with saleable skills that make them self reliance/self employed. To equip the learners, the teacher must also be equipped with competent strategies for effective teaching and learning. The paper looks at Home Economics Education as a Vocation and discussed some effective strategies every teacher should use for teaching. The paper recommends that learners should adapt to change and develop initiative and self direction, while the Home Economics teachers should reposition their teaching strategies for effective teaching and learning in the 21\n              st\n              century.","container-title":"International Letters of Social and Humanistic Sciences","DOI":"10.18052/www.scipress.com/ILSHS.19.50","ISSN":"2300-2697","journalAbbreviation":"ILSHS","license":"https://creativecommons.org/licenses/by/4.0","page":"50-55","source":"DOI.org (Crossref)","title":"Competencies and Strategies for the Teaching of 21&lt;sup&gt;ST&lt;/sup&gt; Century Learners in Vocational Home Economics Education","volume":"19","author":[{"family":"Bamalli","given":"Halima Sidi"}],"issued":{"date-parts":[["2013",12]]}}}],"schema":"https://github.com/citation-style-language/schema/raw/master/csl-citation.json"} </w:instrText>
      </w:r>
      <w:r w:rsidRPr="007D1226">
        <w:rPr>
          <w:rFonts w:ascii="Arial" w:hAnsi="Arial" w:cs="Arial"/>
          <w:sz w:val="20"/>
          <w:szCs w:val="20"/>
        </w:rPr>
        <w:fldChar w:fldCharType="separate"/>
      </w:r>
      <w:r w:rsidRPr="007D1226">
        <w:rPr>
          <w:rFonts w:ascii="Arial" w:hAnsi="Arial" w:cs="Arial"/>
          <w:sz w:val="20"/>
          <w:szCs w:val="20"/>
        </w:rPr>
        <w:t>(Bamalli, 20</w:t>
      </w:r>
      <w:r w:rsidRPr="00F657A5">
        <w:rPr>
          <w:rFonts w:ascii="Arial" w:hAnsi="Arial" w:cs="Arial"/>
          <w:sz w:val="20"/>
          <w:szCs w:val="20"/>
          <w:highlight w:val="yellow"/>
        </w:rPr>
        <w:t>13)</w:t>
      </w:r>
      <w:r w:rsidRPr="007D1226">
        <w:rPr>
          <w:rFonts w:ascii="Arial" w:hAnsi="Arial" w:cs="Arial"/>
          <w:sz w:val="20"/>
          <w:szCs w:val="20"/>
        </w:rPr>
        <w:fldChar w:fldCharType="end"/>
      </w:r>
      <w:r w:rsidRPr="007D1226">
        <w:rPr>
          <w:rFonts w:ascii="Arial" w:hAnsi="Arial" w:cs="Arial"/>
          <w:sz w:val="20"/>
          <w:szCs w:val="20"/>
        </w:rPr>
        <w:t xml:space="preserve">.  School heads who prioritize this subject ensure that teachers with the necessary expertise equip students for success in diverse professions. It provides competencies in financial management, culinary expertise, leadership, entrepreneurship, and adaptability </w:t>
      </w:r>
      <w:r w:rsidRPr="007D1226">
        <w:rPr>
          <w:rFonts w:ascii="Arial" w:hAnsi="Arial" w:cs="Arial"/>
          <w:sz w:val="20"/>
          <w:szCs w:val="20"/>
        </w:rPr>
        <w:fldChar w:fldCharType="begin"/>
      </w:r>
      <w:r w:rsidRPr="007D1226">
        <w:rPr>
          <w:rFonts w:ascii="Arial" w:hAnsi="Arial" w:cs="Arial"/>
          <w:sz w:val="20"/>
          <w:szCs w:val="20"/>
        </w:rPr>
        <w:instrText xml:space="preserve"> ADDIN ZOTERO_ITEM CSL_CITATION {"citationID":"DB9A9Nlr","properties":{"formattedCitation":"(Romero et al., 2024)","plainCitation":"(Romero et al., 2024)","noteIndex":0},"citationItems":[{"id":243,"uris":["http://zotero.org/users/local/ZyqfFL1k/items/HXID376X"],"itemData":{"id":243,"type":"article-journal","abstract":"Assessing the competencies and skills of Home Economics students is essential to understand their proficiency levels in key areas like Financial Management, Culinary Expertise, and Leadership Qualities in this literature review. However, the presence of diverse opinions emphasizes the importance of tailored curriculum approaches to strengthen these competencies effectively. Students' self-assessment of skills in hospitality management provides insights into their confidence levels, showcasing strengths in Entrepreneurial Mindset and Adaptability/Flexibility, yet revealing weaknesses in Family/Consumer Sciences Knowledge and Home Management/Housekeeping. These insights inform targeted support and training programs, enhancing the career readiness of Home Economics graduates. Furthermore, robust connections between students' interests and skills across Home Economics sub-fields suggest opportunities for integrated program design aligned with students' strengths. Addressing socio-economic factors and aligning educational offerings with students' aspirations are essential for fostering an inclusive learning environment conducive to career readiness. Implications include tailored curriculum approaches enhancing overall education quality, equipping graduates with skills for workforce success, and driving positive change within Home Economics education.","container-title":"Cognizance Journal of Multidisciplinary Studies","DOI":"10.47760/cognizance.2024.v04i03.017","ISSN":"09767797","issue":"3","journalAbbreviation":"CJMS","page":"195-205","source":"DOI.org (Crossref)","title":"ASSESSING CAREER READINESS AMONG TECHNICAL VOCATIONAL HOME ECONOMICS GRADUATES: A LITERATURE REVIEW","title-short":"ASSESSING CAREER READINESS AMONG TECHNICAL VOCATIONAL HOME ECONOMICS GRADUATES","volume":"4","author":[{"family":"Romero","given":"Jenelyn D."},{"family":"Sanche","given":"Lennie C."},{"family":"Akiapat","given":"Glema D."}],"issued":{"date-parts":[["2024",3,30]]}}}],"schema":"https://github.com/citation-style-language/schema/raw/master/csl-citation.json"} </w:instrText>
      </w:r>
      <w:r w:rsidRPr="007D1226">
        <w:rPr>
          <w:rFonts w:ascii="Arial" w:hAnsi="Arial" w:cs="Arial"/>
          <w:sz w:val="20"/>
          <w:szCs w:val="20"/>
        </w:rPr>
        <w:fldChar w:fldCharType="separate"/>
      </w:r>
      <w:r w:rsidRPr="007D1226">
        <w:rPr>
          <w:rFonts w:ascii="Arial" w:hAnsi="Arial" w:cs="Arial"/>
          <w:sz w:val="20"/>
          <w:szCs w:val="20"/>
        </w:rPr>
        <w:t>(Romero et al., 2024)</w:t>
      </w:r>
      <w:r w:rsidRPr="007D1226">
        <w:rPr>
          <w:rFonts w:ascii="Arial" w:hAnsi="Arial" w:cs="Arial"/>
          <w:sz w:val="20"/>
          <w:szCs w:val="20"/>
        </w:rPr>
        <w:fldChar w:fldCharType="end"/>
      </w:r>
      <w:r w:rsidRPr="007D1226">
        <w:rPr>
          <w:rFonts w:ascii="Arial" w:hAnsi="Arial" w:cs="Arial"/>
          <w:sz w:val="20"/>
          <w:szCs w:val="20"/>
        </w:rPr>
        <w:t>.</w:t>
      </w:r>
    </w:p>
    <w:p w14:paraId="54C86DFB" w14:textId="77777777" w:rsidR="00F355E4" w:rsidRPr="007D1226" w:rsidRDefault="00F355E4" w:rsidP="00F355E4">
      <w:pPr>
        <w:pStyle w:val="NoSpacing"/>
        <w:spacing w:line="276" w:lineRule="auto"/>
        <w:ind w:left="426"/>
        <w:jc w:val="both"/>
        <w:rPr>
          <w:rFonts w:ascii="Arial" w:hAnsi="Arial" w:cs="Arial"/>
          <w:sz w:val="20"/>
          <w:szCs w:val="20"/>
        </w:rPr>
      </w:pPr>
    </w:p>
    <w:p w14:paraId="4A546C6E" w14:textId="70E74146" w:rsidR="0087767F" w:rsidRPr="007D1226" w:rsidRDefault="00F355E4" w:rsidP="0087767F">
      <w:pPr>
        <w:autoSpaceDE w:val="0"/>
        <w:autoSpaceDN w:val="0"/>
        <w:adjustRightInd w:val="0"/>
        <w:jc w:val="both"/>
        <w:rPr>
          <w:rFonts w:ascii="Arial" w:hAnsi="Arial" w:cs="Arial"/>
          <w:b/>
          <w:bCs/>
        </w:rPr>
      </w:pPr>
      <w:r w:rsidRPr="007D1226">
        <w:rPr>
          <w:rFonts w:ascii="Arial" w:hAnsi="Arial" w:cs="Arial"/>
          <w:b/>
          <w:bCs/>
        </w:rPr>
        <w:t xml:space="preserve">3.2 </w:t>
      </w:r>
      <w:r w:rsidR="0087767F" w:rsidRPr="007D1226">
        <w:rPr>
          <w:rFonts w:ascii="Arial" w:hAnsi="Arial" w:cs="Arial"/>
          <w:b/>
          <w:bCs/>
        </w:rPr>
        <w:t>Gender Preferences of School Head in hiring Home Economics Teachers</w:t>
      </w:r>
    </w:p>
    <w:p w14:paraId="23D085F7" w14:textId="77777777" w:rsidR="0087767F" w:rsidRPr="007D1226" w:rsidRDefault="0087767F" w:rsidP="00F355E4">
      <w:pPr>
        <w:autoSpaceDE w:val="0"/>
        <w:autoSpaceDN w:val="0"/>
        <w:adjustRightInd w:val="0"/>
        <w:jc w:val="both"/>
        <w:rPr>
          <w:rFonts w:ascii="Arial" w:hAnsi="Arial" w:cs="Arial"/>
          <w:bCs/>
          <w:color w:val="000000"/>
        </w:rPr>
      </w:pPr>
      <w:r w:rsidRPr="007D1226">
        <w:rPr>
          <w:rFonts w:ascii="Arial" w:hAnsi="Arial" w:cs="Arial"/>
          <w:bCs/>
          <w:color w:val="000000"/>
        </w:rPr>
        <w:t xml:space="preserve">Two major themes where summarize the gender preferences of school head in hiring home economics teachers: Valuing Diversity in Teaching and Female Dominated. </w:t>
      </w:r>
    </w:p>
    <w:p w14:paraId="67679D29" w14:textId="77777777" w:rsidR="00F355E4" w:rsidRPr="007D1226" w:rsidRDefault="00F355E4" w:rsidP="00F355E4">
      <w:pPr>
        <w:autoSpaceDE w:val="0"/>
        <w:autoSpaceDN w:val="0"/>
        <w:adjustRightInd w:val="0"/>
        <w:jc w:val="both"/>
        <w:rPr>
          <w:rFonts w:ascii="Arial" w:hAnsi="Arial" w:cs="Arial"/>
          <w:bCs/>
          <w:color w:val="000000"/>
        </w:rPr>
      </w:pPr>
    </w:p>
    <w:p w14:paraId="11B00B95" w14:textId="676FF6CF" w:rsidR="0087767F" w:rsidRPr="007D1226" w:rsidRDefault="0087767F" w:rsidP="00F355E4">
      <w:pPr>
        <w:pStyle w:val="ListParagraph"/>
        <w:numPr>
          <w:ilvl w:val="2"/>
          <w:numId w:val="35"/>
        </w:numPr>
        <w:ind w:left="709"/>
        <w:jc w:val="both"/>
        <w:rPr>
          <w:rFonts w:ascii="Arial" w:hAnsi="Arial"/>
          <w:b/>
          <w:bCs/>
          <w:sz w:val="20"/>
          <w:szCs w:val="20"/>
        </w:rPr>
      </w:pPr>
      <w:r w:rsidRPr="007D1226">
        <w:rPr>
          <w:rFonts w:ascii="Arial" w:hAnsi="Arial"/>
          <w:b/>
          <w:bCs/>
          <w:sz w:val="20"/>
          <w:szCs w:val="20"/>
        </w:rPr>
        <w:t>Valuing Diversity in Teaching</w:t>
      </w:r>
    </w:p>
    <w:p w14:paraId="63D7DCAB" w14:textId="77777777" w:rsidR="00F355E4" w:rsidRPr="007D1226" w:rsidRDefault="00F355E4" w:rsidP="00F355E4">
      <w:pPr>
        <w:pStyle w:val="ListParagraph"/>
        <w:ind w:left="709"/>
        <w:jc w:val="both"/>
        <w:rPr>
          <w:rFonts w:ascii="Arial" w:hAnsi="Arial"/>
          <w:b/>
          <w:bCs/>
          <w:sz w:val="20"/>
          <w:szCs w:val="20"/>
        </w:rPr>
      </w:pPr>
    </w:p>
    <w:p w14:paraId="29B9051C" w14:textId="77777777" w:rsidR="0087767F" w:rsidRPr="007D1226" w:rsidRDefault="0087767F" w:rsidP="00F355E4">
      <w:pPr>
        <w:pStyle w:val="ListParagraph"/>
        <w:ind w:left="0"/>
        <w:jc w:val="both"/>
        <w:rPr>
          <w:rFonts w:ascii="Arial" w:hAnsi="Arial"/>
          <w:sz w:val="20"/>
          <w:szCs w:val="20"/>
        </w:rPr>
      </w:pPr>
      <w:r w:rsidRPr="007D1226">
        <w:rPr>
          <w:rFonts w:ascii="Arial" w:hAnsi="Arial"/>
          <w:sz w:val="20"/>
          <w:szCs w:val="20"/>
        </w:rPr>
        <w:t xml:space="preserve">Valuing diversity in teaching emphasizes the importance of recognizing and appreciating different backgrounds, perspectives, and teaching styles. In the context of Home Economics, it highlights how both male and female teachers bring unique strengths to the classroom. By </w:t>
      </w:r>
      <w:r w:rsidRPr="007D1226">
        <w:rPr>
          <w:rFonts w:ascii="Arial" w:hAnsi="Arial"/>
          <w:sz w:val="20"/>
          <w:szCs w:val="20"/>
        </w:rPr>
        <w:lastRenderedPageBreak/>
        <w:t>fostering an inclusive environment that values diverse teaching approaches, schools can provide a more enriching and well-rounded learning experience for students.</w:t>
      </w:r>
    </w:p>
    <w:p w14:paraId="3A05BC91" w14:textId="77777777" w:rsidR="0087767F" w:rsidRPr="007D1226" w:rsidRDefault="0087767F" w:rsidP="0087767F">
      <w:pPr>
        <w:pStyle w:val="ListParagraph"/>
        <w:ind w:left="0" w:firstLine="709"/>
        <w:jc w:val="both"/>
        <w:rPr>
          <w:rFonts w:ascii="Arial" w:hAnsi="Arial"/>
          <w:sz w:val="20"/>
          <w:szCs w:val="20"/>
        </w:rPr>
      </w:pPr>
    </w:p>
    <w:p w14:paraId="27BE3093" w14:textId="638B5C4F" w:rsidR="0087767F" w:rsidRPr="007D1226" w:rsidRDefault="0087767F" w:rsidP="00F355E4">
      <w:pPr>
        <w:pStyle w:val="ListParagraph"/>
        <w:jc w:val="both"/>
        <w:rPr>
          <w:rFonts w:ascii="Arial" w:hAnsi="Arial"/>
          <w:i/>
          <w:iCs/>
          <w:sz w:val="20"/>
          <w:szCs w:val="20"/>
        </w:rPr>
      </w:pPr>
      <w:r w:rsidRPr="007D1226">
        <w:rPr>
          <w:rFonts w:ascii="Arial" w:hAnsi="Arial"/>
          <w:i/>
          <w:iCs/>
          <w:sz w:val="20"/>
          <w:szCs w:val="20"/>
        </w:rPr>
        <w:t xml:space="preserve">“It’s true that more women apply for Home Economics positions, as a department </w:t>
      </w:r>
      <w:r w:rsidR="00F355E4" w:rsidRPr="007D1226">
        <w:rPr>
          <w:rFonts w:ascii="Arial" w:hAnsi="Arial"/>
          <w:i/>
          <w:iCs/>
          <w:sz w:val="20"/>
          <w:szCs w:val="20"/>
        </w:rPr>
        <w:t>heads,</w:t>
      </w:r>
      <w:r w:rsidRPr="007D1226">
        <w:rPr>
          <w:rFonts w:ascii="Arial" w:hAnsi="Arial"/>
          <w:i/>
          <w:iCs/>
          <w:sz w:val="20"/>
          <w:szCs w:val="20"/>
        </w:rPr>
        <w:t xml:space="preserve"> I make sure that all candidates were based on their teaching credentials and professionalism. Gender doesn’t influence my decision making”. (P2)</w:t>
      </w:r>
    </w:p>
    <w:p w14:paraId="0EDDAC60" w14:textId="1348A915" w:rsidR="0087767F" w:rsidRPr="007D1226" w:rsidRDefault="0087767F" w:rsidP="00F355E4">
      <w:pPr>
        <w:pStyle w:val="ListParagraph"/>
        <w:jc w:val="both"/>
        <w:rPr>
          <w:rFonts w:ascii="Arial" w:hAnsi="Arial"/>
          <w:i/>
          <w:iCs/>
          <w:sz w:val="20"/>
          <w:szCs w:val="20"/>
        </w:rPr>
      </w:pPr>
      <w:r w:rsidRPr="007D1226">
        <w:rPr>
          <w:rFonts w:ascii="Arial" w:hAnsi="Arial"/>
          <w:i/>
          <w:iCs/>
          <w:sz w:val="20"/>
          <w:szCs w:val="20"/>
        </w:rPr>
        <w:t>“I prefer to look candidates based on their teaching abilities and expertise rather than gender. My goal is to ensure that the teacher has the skills needed to inspire and teach students effectively” (P3)</w:t>
      </w:r>
    </w:p>
    <w:p w14:paraId="226E0AA9" w14:textId="1821ADDE" w:rsidR="0087767F" w:rsidRPr="007D1226" w:rsidRDefault="0087767F" w:rsidP="00F355E4">
      <w:pPr>
        <w:pStyle w:val="ListParagraph"/>
        <w:jc w:val="both"/>
        <w:rPr>
          <w:rFonts w:ascii="Arial" w:hAnsi="Arial"/>
          <w:i/>
          <w:iCs/>
          <w:sz w:val="20"/>
          <w:szCs w:val="20"/>
        </w:rPr>
      </w:pPr>
      <w:r w:rsidRPr="007D1226">
        <w:rPr>
          <w:rFonts w:ascii="Arial" w:hAnsi="Arial"/>
          <w:i/>
          <w:iCs/>
          <w:sz w:val="20"/>
          <w:szCs w:val="20"/>
        </w:rPr>
        <w:t>“As a school head, my focus is the candidates’ qualifications and their ability to engage with diverse students. Although more women apply for these positions, there are also qualified male candidates who bring unique teaching methods in the four walls of the classroom.” (P7)</w:t>
      </w:r>
    </w:p>
    <w:p w14:paraId="5C1F9CDA" w14:textId="197E674D" w:rsidR="0087767F" w:rsidRPr="007D1226" w:rsidRDefault="00F355E4" w:rsidP="00F355E4">
      <w:pPr>
        <w:pStyle w:val="ListParagraph"/>
        <w:jc w:val="both"/>
        <w:rPr>
          <w:rFonts w:ascii="Arial" w:hAnsi="Arial"/>
          <w:i/>
          <w:iCs/>
          <w:sz w:val="20"/>
          <w:szCs w:val="20"/>
        </w:rPr>
      </w:pPr>
      <w:r w:rsidRPr="007D1226">
        <w:rPr>
          <w:rFonts w:ascii="Arial" w:hAnsi="Arial"/>
          <w:i/>
          <w:iCs/>
          <w:sz w:val="20"/>
          <w:szCs w:val="20"/>
        </w:rPr>
        <w:t>“I</w:t>
      </w:r>
      <w:r w:rsidR="0087767F" w:rsidRPr="007D1226">
        <w:rPr>
          <w:rFonts w:ascii="Arial" w:hAnsi="Arial"/>
          <w:i/>
          <w:iCs/>
          <w:sz w:val="20"/>
          <w:szCs w:val="20"/>
        </w:rPr>
        <w:t xml:space="preserve"> don’t </w:t>
      </w:r>
      <w:r w:rsidRPr="007D1226">
        <w:rPr>
          <w:rFonts w:ascii="Arial" w:hAnsi="Arial"/>
          <w:i/>
          <w:iCs/>
          <w:sz w:val="20"/>
          <w:szCs w:val="20"/>
        </w:rPr>
        <w:t>have gender</w:t>
      </w:r>
      <w:r w:rsidR="0087767F" w:rsidRPr="007D1226">
        <w:rPr>
          <w:rFonts w:ascii="Arial" w:hAnsi="Arial"/>
          <w:i/>
          <w:iCs/>
          <w:sz w:val="20"/>
          <w:szCs w:val="20"/>
        </w:rPr>
        <w:t xml:space="preserve"> preferences, what matters most is the teacher’s ability to teach effectively. (P4)</w:t>
      </w:r>
    </w:p>
    <w:p w14:paraId="4AC8FE26" w14:textId="14615791" w:rsidR="0087767F" w:rsidRPr="007D1226" w:rsidRDefault="0087767F" w:rsidP="00F355E4">
      <w:pPr>
        <w:pStyle w:val="ListParagraph"/>
        <w:jc w:val="both"/>
        <w:rPr>
          <w:rFonts w:ascii="Arial" w:hAnsi="Arial"/>
          <w:i/>
          <w:iCs/>
          <w:sz w:val="20"/>
          <w:szCs w:val="20"/>
        </w:rPr>
      </w:pPr>
      <w:r w:rsidRPr="007D1226">
        <w:rPr>
          <w:rFonts w:ascii="Arial" w:hAnsi="Arial"/>
          <w:i/>
          <w:iCs/>
          <w:sz w:val="20"/>
          <w:szCs w:val="20"/>
        </w:rPr>
        <w:t>“I don’t see gender is an issue. I believe that diverse experiences, backgrounds and perspectives are most important to enriching the teaching of the subjects”. (P6)</w:t>
      </w:r>
    </w:p>
    <w:p w14:paraId="4FAE2F0B" w14:textId="5A743643" w:rsidR="0087767F" w:rsidRPr="007D1226" w:rsidRDefault="0087767F" w:rsidP="00F355E4">
      <w:pPr>
        <w:pStyle w:val="ListParagraph"/>
        <w:jc w:val="both"/>
        <w:rPr>
          <w:rFonts w:ascii="Arial" w:hAnsi="Arial"/>
          <w:i/>
          <w:iCs/>
          <w:sz w:val="20"/>
          <w:szCs w:val="20"/>
        </w:rPr>
      </w:pPr>
      <w:r w:rsidRPr="007D1226">
        <w:rPr>
          <w:rFonts w:ascii="Arial" w:hAnsi="Arial"/>
          <w:i/>
          <w:iCs/>
          <w:sz w:val="20"/>
          <w:szCs w:val="20"/>
        </w:rPr>
        <w:t>“Gender in not an issue. In the past, I have hired both male and female teachers who bring unique perspective to the subject matter Now, they are passionate and committed to their role as a teacher. I don’t regret it.” (P1)</w:t>
      </w:r>
    </w:p>
    <w:p w14:paraId="684F9455" w14:textId="77777777" w:rsidR="0087767F" w:rsidRPr="007D1226" w:rsidRDefault="0087767F" w:rsidP="0087767F">
      <w:pPr>
        <w:pStyle w:val="ListParagraph"/>
        <w:jc w:val="both"/>
        <w:rPr>
          <w:rFonts w:ascii="Arial" w:hAnsi="Arial"/>
          <w:i/>
          <w:iCs/>
          <w:sz w:val="20"/>
          <w:szCs w:val="20"/>
        </w:rPr>
      </w:pPr>
      <w:r w:rsidRPr="007D1226">
        <w:rPr>
          <w:rFonts w:ascii="Arial" w:hAnsi="Arial"/>
          <w:i/>
          <w:iCs/>
          <w:sz w:val="20"/>
          <w:szCs w:val="20"/>
        </w:rPr>
        <w:t>“Work ethics matters me most.” (P7)</w:t>
      </w:r>
    </w:p>
    <w:p w14:paraId="4FFA6AD4" w14:textId="77777777" w:rsidR="0087767F" w:rsidRPr="007D1226" w:rsidRDefault="0087767F" w:rsidP="00F355E4">
      <w:pPr>
        <w:jc w:val="both"/>
        <w:rPr>
          <w:rFonts w:ascii="Arial" w:hAnsi="Arial" w:cs="Arial"/>
        </w:rPr>
      </w:pPr>
      <w:r w:rsidRPr="007D1226">
        <w:rPr>
          <w:rFonts w:ascii="Arial" w:hAnsi="Arial" w:cs="Arial"/>
        </w:rPr>
        <w:t xml:space="preserve">The responses from school heads emphasize that teaching ability and qualifications are the primary factors in hiring Home Economics teachers, rather than gender. Research indicates that teaching ability and qualifications are important factors in faculty hiring across disciplines and institutions </w:t>
      </w:r>
      <w:r w:rsidRPr="007D1226">
        <w:rPr>
          <w:rFonts w:ascii="Arial" w:hAnsi="Arial" w:cs="Arial"/>
        </w:rPr>
        <w:fldChar w:fldCharType="begin"/>
      </w:r>
      <w:r w:rsidRPr="007D1226">
        <w:rPr>
          <w:rFonts w:ascii="Arial" w:hAnsi="Arial" w:cs="Arial"/>
        </w:rPr>
        <w:instrText xml:space="preserve"> ADDIN ZOTERO_ITEM CSL_CITATION {"citationID":"YQuXkHFt","properties":{"formattedCitation":"(Meizlish &amp; Kaplan, 2008)","plainCitation":"(Meizlish &amp; Kaplan, 2008)","noteIndex":0},"citationItems":[{"id":249,"uris":["http://zotero.org/users/local/ZyqfFL1k/items/ZYEIRI8S"],"itemData":{"id":249,"type":"article-journal","container-title":"The Journal of Higher Education","DOI":"10.1080/00221546.2008.11772114","ISSN":"0022-1546, 1538-4640","issue":"5","journalAbbreviation":"The Journal of Higher Education","language":"en","page":"489-512","source":"DOI.org (Crossref)","title":"Valuing and Evaluating Teaching in Academic Hiring: A Multidisciplinary, Cross-Institutional Study","title-short":"Valuing and Evaluating Teaching in Academic Hiring","volume":"79","author":[{"family":"Meizlish","given":"Deborah"},{"family":"Kaplan","given":"Matthew"}],"issued":{"date-parts":[["2008",9]]}}}],"schema":"https://github.com/citation-style-language/schema/raw/master/csl-citation.json"} </w:instrText>
      </w:r>
      <w:r w:rsidRPr="007D1226">
        <w:rPr>
          <w:rFonts w:ascii="Arial" w:hAnsi="Arial" w:cs="Arial"/>
        </w:rPr>
        <w:fldChar w:fldCharType="separate"/>
      </w:r>
      <w:r w:rsidRPr="007D1226">
        <w:rPr>
          <w:rFonts w:ascii="Arial" w:hAnsi="Arial" w:cs="Arial"/>
        </w:rPr>
        <w:t xml:space="preserve">(Meizlish &amp; Kaplan, </w:t>
      </w:r>
      <w:r w:rsidRPr="00F657A5">
        <w:rPr>
          <w:rFonts w:ascii="Arial" w:hAnsi="Arial" w:cs="Arial"/>
          <w:highlight w:val="yellow"/>
        </w:rPr>
        <w:t>2008)</w:t>
      </w:r>
      <w:r w:rsidRPr="007D1226">
        <w:rPr>
          <w:rFonts w:ascii="Arial" w:hAnsi="Arial" w:cs="Arial"/>
        </w:rPr>
        <w:fldChar w:fldCharType="end"/>
      </w:r>
      <w:r w:rsidRPr="00F657A5">
        <w:rPr>
          <w:rFonts w:ascii="Arial" w:hAnsi="Arial" w:cs="Arial"/>
          <w:highlight w:val="yellow"/>
        </w:rPr>
        <w:t>.</w:t>
      </w:r>
      <w:r w:rsidRPr="007D1226">
        <w:rPr>
          <w:rFonts w:ascii="Arial" w:hAnsi="Arial" w:cs="Arial"/>
        </w:rPr>
        <w:t xml:space="preserve"> While more women may apply for these positions, school leaders focus on the diverse experiences and skills each candidate brings to the classroom.  School heads focus on personal and professional qualities when hiring, including content knowledge and the ability to connect with students </w:t>
      </w:r>
      <w:r w:rsidRPr="007D1226">
        <w:rPr>
          <w:rFonts w:ascii="Arial" w:hAnsi="Arial" w:cs="Arial"/>
        </w:rPr>
        <w:fldChar w:fldCharType="begin"/>
      </w:r>
      <w:r w:rsidRPr="007D1226">
        <w:rPr>
          <w:rFonts w:ascii="Arial" w:hAnsi="Arial" w:cs="Arial"/>
        </w:rPr>
        <w:instrText xml:space="preserve"> ADDIN ZOTERO_ITEM CSL_CITATION {"citationID":"6ZhmWBcJ","properties":{"formattedCitation":"(Harris et al., 2010)","plainCitation":"(Harris et al., 2010)","noteIndex":0},"citationItems":[{"id":250,"uris":["http://zotero.org/users/local/ZyqfFL1k/items/QP5B9SMW"],"itemData":{"id":250,"type":"article-journal","abstract":"The vast majority of research and policy related to teacher quality focuses on the supply of teachers and ignores teacher demand. In particular, the important role of school principals in hiring teachers is rarely considered. Using interviews of school principals in a midsized Florida school district, we provide an exploratory mixed methods analysis of the teacher characteristics principals prefer. Our findings contradict the conventional wisdom that principals undervalue content knowledge and intelligence. Principals in our study ranked content knowledge third among a list of twelve characteristics. Intelligence does appear less important at first glance, but this is apparently because principals believe all applicants who meet certification requirements meet a minimum threshold on intelligence and because some intelligent teachers have difficulty connecting with students. More generally, we find that principals prefer an “individual mix” of personal and professional qualities. They also create an “organizational mix,” hiring teachers who differ from those already in the school in terms of race, gender, experience, and skills, and an “organizational match,” in which teachers have similar work habits and a high propensity to remain with the school over time. Because of tenure rules, many principals also prefer less experienced (untenured) teachers, even though research suggests that they are less effective.","container-title":"Education Finance and Policy","DOI":"10.1162/edfp.2010.5.2.5205","ISSN":"1557-3060, 1557-3079","issue":"2","journalAbbreviation":"Education Finance and Policy","language":"en","page":"228-246","source":"DOI.org (Crossref)","title":"Mix and Match: What Principals Really Look for When Hiring Teachers","title-short":"Mix and Match","volume":"5","author":[{"family":"Harris","given":"Douglas N."},{"family":"Rutledge","given":"Stacey A."},{"family":"Ingle","given":"William K."},{"family":"Thompson","given":"Cynthia C."}],"issued":{"date-parts":[["2010",4]]}}}],"schema":"https://github.com/citation-style-language/schema/raw/master/csl-citation.json"} </w:instrText>
      </w:r>
      <w:r w:rsidRPr="007D1226">
        <w:rPr>
          <w:rFonts w:ascii="Arial" w:hAnsi="Arial" w:cs="Arial"/>
        </w:rPr>
        <w:fldChar w:fldCharType="separate"/>
      </w:r>
      <w:r w:rsidRPr="007D1226">
        <w:rPr>
          <w:rFonts w:ascii="Arial" w:hAnsi="Arial" w:cs="Arial"/>
        </w:rPr>
        <w:t xml:space="preserve">(Harris et al., </w:t>
      </w:r>
      <w:r w:rsidRPr="00F657A5">
        <w:rPr>
          <w:rFonts w:ascii="Arial" w:hAnsi="Arial" w:cs="Arial"/>
          <w:highlight w:val="yellow"/>
        </w:rPr>
        <w:t>2010</w:t>
      </w:r>
      <w:r w:rsidRPr="007D1226">
        <w:rPr>
          <w:rFonts w:ascii="Arial" w:hAnsi="Arial" w:cs="Arial"/>
        </w:rPr>
        <w:t>)</w:t>
      </w:r>
      <w:r w:rsidRPr="007D1226">
        <w:rPr>
          <w:rFonts w:ascii="Arial" w:hAnsi="Arial" w:cs="Arial"/>
        </w:rPr>
        <w:fldChar w:fldCharType="end"/>
      </w:r>
      <w:r w:rsidRPr="007D1226">
        <w:rPr>
          <w:rFonts w:ascii="Arial" w:hAnsi="Arial" w:cs="Arial"/>
        </w:rPr>
        <w:t>. This approach ensures that teachers, regardless of gender, are hired for their ability to inspire, engage, and effectively teach students, ultimately enriching the learning environment.</w:t>
      </w:r>
    </w:p>
    <w:p w14:paraId="54E11AB6" w14:textId="77777777" w:rsidR="0087767F" w:rsidRPr="007D1226" w:rsidRDefault="0087767F" w:rsidP="0087767F">
      <w:pPr>
        <w:ind w:firstLine="720"/>
        <w:jc w:val="both"/>
        <w:rPr>
          <w:rFonts w:ascii="Arial" w:hAnsi="Arial" w:cs="Arial"/>
        </w:rPr>
      </w:pPr>
    </w:p>
    <w:p w14:paraId="5ACA8DD5" w14:textId="13D16F9A" w:rsidR="0087767F" w:rsidRPr="007D1226" w:rsidRDefault="0087767F" w:rsidP="00F355E4">
      <w:pPr>
        <w:pStyle w:val="ListParagraph"/>
        <w:numPr>
          <w:ilvl w:val="2"/>
          <w:numId w:val="35"/>
        </w:numPr>
        <w:ind w:left="709"/>
        <w:jc w:val="both"/>
        <w:rPr>
          <w:rFonts w:ascii="Arial" w:hAnsi="Arial"/>
          <w:b/>
          <w:bCs/>
          <w:sz w:val="20"/>
          <w:szCs w:val="20"/>
        </w:rPr>
      </w:pPr>
      <w:r w:rsidRPr="007D1226">
        <w:rPr>
          <w:rFonts w:ascii="Arial" w:hAnsi="Arial"/>
          <w:b/>
          <w:bCs/>
          <w:sz w:val="20"/>
          <w:szCs w:val="20"/>
        </w:rPr>
        <w:t>Female Dominated</w:t>
      </w:r>
    </w:p>
    <w:p w14:paraId="45E44EE4" w14:textId="1D4B798C" w:rsidR="00F355E4" w:rsidRPr="007D1226" w:rsidRDefault="00F355E4" w:rsidP="00F355E4">
      <w:pPr>
        <w:pStyle w:val="ListParagraph"/>
        <w:ind w:left="851"/>
        <w:jc w:val="both"/>
        <w:rPr>
          <w:rFonts w:ascii="Arial" w:hAnsi="Arial"/>
          <w:b/>
          <w:bCs/>
          <w:sz w:val="20"/>
          <w:szCs w:val="20"/>
        </w:rPr>
      </w:pPr>
    </w:p>
    <w:p w14:paraId="27B01CCA" w14:textId="77777777" w:rsidR="0087767F" w:rsidRPr="007D1226" w:rsidRDefault="0087767F" w:rsidP="0087767F">
      <w:pPr>
        <w:pStyle w:val="ListParagraph"/>
        <w:ind w:left="0" w:firstLine="709"/>
        <w:jc w:val="both"/>
        <w:rPr>
          <w:rFonts w:ascii="Arial" w:hAnsi="Arial"/>
          <w:sz w:val="20"/>
          <w:szCs w:val="20"/>
        </w:rPr>
      </w:pPr>
      <w:r w:rsidRPr="007D1226">
        <w:rPr>
          <w:rFonts w:ascii="Arial" w:hAnsi="Arial"/>
          <w:sz w:val="20"/>
          <w:szCs w:val="20"/>
        </w:rPr>
        <w:t>History shows that women were once ill-treated, but today they play a vital role in society, especially in the workplace. Women are goal-oriented, hardworking, and excel in tasks like meal preparation and office paperwork. All individuals, regardless of gender, deserve equal opportunities. Women’s skills and knowledge should be respected, not only for their beauty but also for their professional abilities.</w:t>
      </w:r>
    </w:p>
    <w:p w14:paraId="2A4D4741" w14:textId="77777777" w:rsidR="0087767F" w:rsidRPr="007D1226" w:rsidRDefault="0087767F" w:rsidP="0087767F">
      <w:pPr>
        <w:pStyle w:val="ListParagraph"/>
        <w:ind w:left="0" w:firstLine="709"/>
        <w:jc w:val="both"/>
        <w:rPr>
          <w:rFonts w:ascii="Arial" w:hAnsi="Arial"/>
          <w:sz w:val="20"/>
          <w:szCs w:val="20"/>
        </w:rPr>
      </w:pPr>
    </w:p>
    <w:p w14:paraId="71B3423B" w14:textId="77777777" w:rsidR="0087767F" w:rsidRPr="007D1226" w:rsidRDefault="0087767F" w:rsidP="0087767F">
      <w:pPr>
        <w:pStyle w:val="ListParagraph"/>
        <w:jc w:val="both"/>
        <w:rPr>
          <w:rFonts w:ascii="Arial" w:hAnsi="Arial"/>
          <w:i/>
          <w:iCs/>
          <w:sz w:val="20"/>
          <w:szCs w:val="20"/>
        </w:rPr>
      </w:pPr>
      <w:r w:rsidRPr="007D1226">
        <w:rPr>
          <w:rFonts w:ascii="Arial" w:hAnsi="Arial"/>
          <w:i/>
          <w:iCs/>
          <w:sz w:val="20"/>
          <w:szCs w:val="20"/>
        </w:rPr>
        <w:t>“I prefer female teacher because based on my personal experiences, female teacher is more meticulous, more teachable and organized.” (P1)</w:t>
      </w:r>
    </w:p>
    <w:p w14:paraId="0500C56D" w14:textId="77777777" w:rsidR="0087767F" w:rsidRPr="007D1226" w:rsidRDefault="0087767F" w:rsidP="0087767F">
      <w:pPr>
        <w:pStyle w:val="ListParagraph"/>
        <w:jc w:val="both"/>
        <w:rPr>
          <w:rFonts w:ascii="Arial" w:hAnsi="Arial"/>
          <w:i/>
          <w:iCs/>
          <w:sz w:val="20"/>
          <w:szCs w:val="20"/>
        </w:rPr>
      </w:pPr>
    </w:p>
    <w:p w14:paraId="3F0610AD" w14:textId="24E9801D" w:rsidR="0087767F" w:rsidRPr="007D1226" w:rsidRDefault="0087767F" w:rsidP="00F355E4">
      <w:pPr>
        <w:pStyle w:val="ListParagraph"/>
        <w:jc w:val="both"/>
        <w:rPr>
          <w:rFonts w:ascii="Arial" w:hAnsi="Arial"/>
          <w:i/>
          <w:iCs/>
          <w:sz w:val="20"/>
          <w:szCs w:val="20"/>
        </w:rPr>
      </w:pPr>
      <w:r w:rsidRPr="007D1226">
        <w:rPr>
          <w:rFonts w:ascii="Arial" w:hAnsi="Arial"/>
          <w:i/>
          <w:iCs/>
          <w:sz w:val="20"/>
          <w:szCs w:val="20"/>
        </w:rPr>
        <w:t>“When it comes to the rules oriented, cooking skills, females are more dominated.” (P5)</w:t>
      </w:r>
    </w:p>
    <w:p w14:paraId="1FCEE8A1" w14:textId="418DFBAA" w:rsidR="0087767F" w:rsidRPr="007D1226" w:rsidRDefault="0087767F" w:rsidP="00F355E4">
      <w:pPr>
        <w:pStyle w:val="ListParagraph"/>
        <w:jc w:val="both"/>
        <w:rPr>
          <w:rFonts w:ascii="Arial" w:hAnsi="Arial"/>
          <w:i/>
          <w:iCs/>
          <w:sz w:val="20"/>
          <w:szCs w:val="20"/>
        </w:rPr>
      </w:pPr>
      <w:r w:rsidRPr="007D1226">
        <w:rPr>
          <w:rFonts w:ascii="Arial" w:hAnsi="Arial"/>
          <w:i/>
          <w:iCs/>
          <w:sz w:val="20"/>
          <w:szCs w:val="20"/>
        </w:rPr>
        <w:t>“Female teachers are keen to instructions than male teachers”. (P4)</w:t>
      </w:r>
    </w:p>
    <w:p w14:paraId="42B497FD" w14:textId="4CB2BF53" w:rsidR="0087767F" w:rsidRPr="007D1226" w:rsidRDefault="0087767F" w:rsidP="00F355E4">
      <w:pPr>
        <w:pStyle w:val="ListParagraph"/>
        <w:jc w:val="both"/>
        <w:rPr>
          <w:rFonts w:ascii="Arial" w:hAnsi="Arial"/>
          <w:i/>
          <w:iCs/>
          <w:sz w:val="20"/>
          <w:szCs w:val="20"/>
        </w:rPr>
      </w:pPr>
      <w:r w:rsidRPr="007D1226">
        <w:rPr>
          <w:rFonts w:ascii="Arial" w:hAnsi="Arial"/>
          <w:i/>
          <w:iCs/>
          <w:sz w:val="20"/>
          <w:szCs w:val="20"/>
        </w:rPr>
        <w:t>“Home Economics field has always attracted more female teachers; female teachers often bring nurturing qualities.” (P2)</w:t>
      </w:r>
    </w:p>
    <w:p w14:paraId="5FF4D2E3" w14:textId="7D282A84" w:rsidR="0087767F" w:rsidRPr="007D1226" w:rsidRDefault="0087767F" w:rsidP="00F355E4">
      <w:pPr>
        <w:pStyle w:val="ListParagraph"/>
        <w:jc w:val="both"/>
        <w:rPr>
          <w:rFonts w:ascii="Arial" w:hAnsi="Arial"/>
          <w:i/>
          <w:iCs/>
          <w:sz w:val="20"/>
          <w:szCs w:val="20"/>
        </w:rPr>
      </w:pPr>
      <w:r w:rsidRPr="007D1226">
        <w:rPr>
          <w:rFonts w:ascii="Arial" w:hAnsi="Arial"/>
          <w:i/>
          <w:iCs/>
          <w:sz w:val="20"/>
          <w:szCs w:val="20"/>
        </w:rPr>
        <w:lastRenderedPageBreak/>
        <w:t>“Female teachers tend to bring strong organizational skills to the table which is beneficial for managing administrative duties.” (P7)</w:t>
      </w:r>
    </w:p>
    <w:p w14:paraId="4E4B47C6" w14:textId="77777777" w:rsidR="0087767F" w:rsidRPr="007D1226" w:rsidRDefault="0087767F" w:rsidP="0087767F">
      <w:pPr>
        <w:pStyle w:val="ListParagraph"/>
        <w:jc w:val="both"/>
        <w:rPr>
          <w:rFonts w:ascii="Arial" w:hAnsi="Arial"/>
          <w:i/>
          <w:iCs/>
          <w:sz w:val="20"/>
          <w:szCs w:val="20"/>
        </w:rPr>
      </w:pPr>
      <w:r w:rsidRPr="007D1226">
        <w:rPr>
          <w:rFonts w:ascii="Arial" w:hAnsi="Arial"/>
          <w:i/>
          <w:iCs/>
          <w:sz w:val="20"/>
          <w:szCs w:val="20"/>
        </w:rPr>
        <w:t>“Gender doesn’t influence my hiring decisions, but I do see that female teachers nurture the roles both classroom and administrative task such as organizing school events.” (P3)</w:t>
      </w:r>
    </w:p>
    <w:p w14:paraId="390D53B1" w14:textId="77777777" w:rsidR="0087767F" w:rsidRPr="007D1226" w:rsidRDefault="0087767F" w:rsidP="00F355E4">
      <w:pPr>
        <w:jc w:val="both"/>
        <w:rPr>
          <w:rFonts w:ascii="Arial" w:hAnsi="Arial" w:cs="Arial"/>
        </w:rPr>
      </w:pPr>
      <w:r w:rsidRPr="007D1226">
        <w:rPr>
          <w:rFonts w:ascii="Arial" w:hAnsi="Arial" w:cs="Arial"/>
        </w:rPr>
        <w:t xml:space="preserve">These responses common perception of female teachers in the Home Economics field, emphasizing their strengths such as attention to detail, strong organizational skills, and an aptitude for following instructions. Many participants note that female teachers often bring nurturing qualities to both classroom teaching and administrative responsibilities. Female administrators were perceived as more interested in the profession, meticulous, and dedicated </w:t>
      </w:r>
      <w:r w:rsidRPr="007D1226">
        <w:rPr>
          <w:rFonts w:ascii="Arial" w:hAnsi="Arial" w:cs="Arial"/>
        </w:rPr>
        <w:fldChar w:fldCharType="begin"/>
      </w:r>
      <w:r w:rsidRPr="007D1226">
        <w:rPr>
          <w:rFonts w:ascii="Arial" w:hAnsi="Arial" w:cs="Arial"/>
        </w:rPr>
        <w:instrText xml:space="preserve"> ADDIN ZOTERO_ITEM CSL_CITATION {"citationID":"DMmmrbwh","properties":{"formattedCitation":"(\\uc0\\u214{}zcan et al., 2022)","plainCitation":"(Özcan et al., 2022)","noteIndex":0},"citationItems":[{"id":254,"uris":["http://zotero.org/users/local/ZyqfFL1k/items/EQ77CJPU"],"itemData":{"id":254,"type":"article-journal","abstract":"This research aims to determine the factors that affect teachers’ trust in male and female leaders. The study employed a qualitative research design. The data were collected with interview technique. In this regard, 20 teachers were interviewed. The participants were determined with purposeful sampling method. The data were analyzed with inductive analysis method. Results revealed that the participant teachers trust different behaviors or characteristics of their male or female leaders. In general, teachers trust in their female leaders’ more because of their objective, idealistic, dedicated behaviors, and also their motherly, sensitive and compassionate personality. On the other hand, teachers trust in their male leaders as they are fair, trustworthy, frank, competence, more rational and strong communicators. While male leaders are believed to take initiative and implement the laws and regulations more strictly, female administrators are more interested in the administration profession, behave meticulously and work devotedly. It is recommended that school administrators should create a climate of objectivity and trust in school.","container-title":"International Journal of Educational Leadership and Management","DOI":"10.17583/ijelm.9811","ISSN":"2014-9018","journalAbbreviation":"IJELM","license":"http://creativecommons.org/licenses/by/4.0","source":"DOI.org (Crossref)","title":"Factors Affecting Trust in Female and Male School Leaders","URL":"https://www.hipatiapress.com/hpjournals/index.php/ijelm/article/view/9811","author":[{"family":"Özcan","given":"Kenan"},{"family":"Balyer","given":"Aydin"},{"family":"Fırat","given":"Fikret"}],"accessed":{"date-parts":[["2025",2,12]]},"issued":{"date-parts":[["2022",7,29]]}}}],"schema":"https://github.com/citation-style-language/schema/raw/master/csl-citation.json"} </w:instrText>
      </w:r>
      <w:r w:rsidRPr="007D1226">
        <w:rPr>
          <w:rFonts w:ascii="Arial" w:hAnsi="Arial" w:cs="Arial"/>
        </w:rPr>
        <w:fldChar w:fldCharType="separate"/>
      </w:r>
      <w:r w:rsidRPr="007D1226">
        <w:rPr>
          <w:rFonts w:ascii="Arial" w:hAnsi="Arial" w:cs="Arial"/>
        </w:rPr>
        <w:t>(Özcan et al., 2022)</w:t>
      </w:r>
      <w:r w:rsidRPr="007D1226">
        <w:rPr>
          <w:rFonts w:ascii="Arial" w:hAnsi="Arial" w:cs="Arial"/>
        </w:rPr>
        <w:fldChar w:fldCharType="end"/>
      </w:r>
      <w:r w:rsidRPr="007D1226">
        <w:rPr>
          <w:rFonts w:ascii="Arial" w:hAnsi="Arial" w:cs="Arial"/>
        </w:rPr>
        <w:t>. However, despite these observations, the importance of focusing on qualifications and abilities rather than gender is also highlighted, reinforcing that hiring decisions should prioritize skills and experience over gender preferences. Employers prioritize various skills and experiences when making hiring decisions. Work experience is consistently ranked as one of the most important factors </w:t>
      </w:r>
      <w:r w:rsidRPr="007D1226">
        <w:rPr>
          <w:rFonts w:ascii="Arial" w:hAnsi="Arial" w:cs="Arial"/>
        </w:rPr>
        <w:fldChar w:fldCharType="begin"/>
      </w:r>
      <w:r w:rsidRPr="007D1226">
        <w:rPr>
          <w:rFonts w:ascii="Arial" w:hAnsi="Arial" w:cs="Arial"/>
        </w:rPr>
        <w:instrText xml:space="preserve"> ADDIN ZOTERO_ITEM CSL_CITATION {"citationID":"5rHjUDts","properties":{"formattedCitation":"(Won et al., 2013)","plainCitation":"(Won et al., 2013)","noteIndex":0},"citationItems":[{"id":251,"uris":["http://zotero.org/users/local/ZyqfFL1k/items/FDPYKT6P"],"itemData":{"id":251,"type":"article-journal","container-title":"Managing Leisure","DOI":"10.1080/13606719.2012.742222","ISSN":"1360-6719, 1466-450X","issue":"1","journalAbbreviation":"Managing Leisure","language":"en","page":"71-91","source":"DOI.org (Crossref)","title":"Careers in collegiate athletic administration: hiring criteria and skills needed for success","title-short":"Careers in collegiate athletic administration","volume":"18","author":[{"family":"Won","given":"Doyeon"},{"family":"Bravo","given":"Gonzalo"},{"family":"Lee","given":"Cindy"}],"issued":{"date-parts":[["2013",1]]}}}],"schema":"https://github.com/citation-style-language/schema/raw/master/csl-citation.json"} </w:instrText>
      </w:r>
      <w:r w:rsidRPr="007D1226">
        <w:rPr>
          <w:rFonts w:ascii="Arial" w:hAnsi="Arial" w:cs="Arial"/>
        </w:rPr>
        <w:fldChar w:fldCharType="separate"/>
      </w:r>
      <w:r w:rsidRPr="007D1226">
        <w:rPr>
          <w:rFonts w:ascii="Arial" w:hAnsi="Arial" w:cs="Arial"/>
        </w:rPr>
        <w:t>(Won et al., 20</w:t>
      </w:r>
      <w:r w:rsidRPr="00F657A5">
        <w:rPr>
          <w:rFonts w:ascii="Arial" w:hAnsi="Arial" w:cs="Arial"/>
          <w:highlight w:val="yellow"/>
        </w:rPr>
        <w:t>13</w:t>
      </w:r>
      <w:r w:rsidRPr="007D1226">
        <w:rPr>
          <w:rFonts w:ascii="Arial" w:hAnsi="Arial" w:cs="Arial"/>
        </w:rPr>
        <w:t>)</w:t>
      </w:r>
      <w:r w:rsidRPr="007D1226">
        <w:rPr>
          <w:rFonts w:ascii="Arial" w:hAnsi="Arial" w:cs="Arial"/>
        </w:rPr>
        <w:fldChar w:fldCharType="end"/>
      </w:r>
      <w:r w:rsidRPr="007D1226">
        <w:rPr>
          <w:rFonts w:ascii="Arial" w:hAnsi="Arial" w:cs="Arial"/>
        </w:rPr>
        <w:t xml:space="preserve">. Teacher education graduates must possess communication, ICT proficiency, problem-solving, critical thinking, collaboration, research, and leadership </w:t>
      </w:r>
      <w:r w:rsidRPr="007D1226">
        <w:rPr>
          <w:rFonts w:ascii="Arial" w:hAnsi="Arial" w:cs="Arial"/>
        </w:rPr>
        <w:fldChar w:fldCharType="begin"/>
      </w:r>
      <w:r w:rsidRPr="007D1226">
        <w:rPr>
          <w:rFonts w:ascii="Arial" w:hAnsi="Arial" w:cs="Arial"/>
        </w:rPr>
        <w:instrText xml:space="preserve"> ADDIN ZOTERO_ITEM CSL_CITATION {"citationID":"ZKIBNKbx","properties":{"formattedCitation":"(Caingcoy, 2021)","plainCitation":"(Caingcoy, 2021)","noteIndex":0},"citationItems":[{"id":256,"uris":["http://zotero.org/users/local/ZyqfFL1k/items/9BMGKE4G"],"itemData":{"id":256,"type":"article-journal","abstract":"The demand in the workplace is rapidly changing brought about by the educational reforms and the emergence of disruptive technology. The changes increase the importance of employability skills and literacy that would ensure career success and degree program relevance. On this premise, a study was carried out using a scoping review to examine the existing literature that published information related to employability skills of Teacher Education graduates in the Philippines. The review covered fifteen published articles that qualified in inclusion and exclusion criteria. Results revealed the top employable skills which include communication; information and communication technology; problem-solving and critical thinking; collaboration, cooperation, and teamwork; research; and leadership. This study offers these skills as a framework in the curriculum enhancement of teacher education programs. It was recommended to Teacher Education Institutions to revisit their curriculum and find out if these competencies were given considerable emphasis in instruction. The partially employable skills of graduates from teacher education programs imply the furtherance of the inquiry to confirm if these skills are employable or not. Future tracer studies may take the lens of the framework in evaluating the responsiveness of the curriculum.","container-title":"International Journal of Education and Literacy Studies","DOI":"10.7575/aiac.ijels.v.9n.4p.182","ISSN":"2202-9478","issue":"4","journalAbbreviation":"IJELS","license":"http://creativecommons.org/licenses/by/4.0","page":"182","source":"DOI.org (Crossref)","title":"Scoping Review on Employability Skills of Teacher Education Graduates in the Philippines: A Framework for Curriculum Enhancement","title-short":"Scoping Review on Employability Skills of Teacher Education Graduates in the Philippines","volume":"9","author":[{"family":"Caingcoy","given":"Manuel E."}],"issued":{"date-parts":[["2021",11,5]]}}}],"schema":"https://github.com/citation-style-language/schema/raw/master/csl-citation.json"} </w:instrText>
      </w:r>
      <w:r w:rsidRPr="007D1226">
        <w:rPr>
          <w:rFonts w:ascii="Arial" w:hAnsi="Arial" w:cs="Arial"/>
        </w:rPr>
        <w:fldChar w:fldCharType="separate"/>
      </w:r>
      <w:r w:rsidRPr="007D1226">
        <w:rPr>
          <w:rFonts w:ascii="Arial" w:hAnsi="Arial" w:cs="Arial"/>
        </w:rPr>
        <w:t>(Caingcoy, 2021)</w:t>
      </w:r>
      <w:r w:rsidRPr="007D1226">
        <w:rPr>
          <w:rFonts w:ascii="Arial" w:hAnsi="Arial" w:cs="Arial"/>
        </w:rPr>
        <w:fldChar w:fldCharType="end"/>
      </w:r>
      <w:r w:rsidRPr="007D1226">
        <w:rPr>
          <w:rFonts w:ascii="Arial" w:hAnsi="Arial" w:cs="Arial"/>
        </w:rPr>
        <w:t xml:space="preserve">. Employers seek qualities aligned with institutional learning outcomes, including knowledge, skills, and values </w:t>
      </w:r>
      <w:r w:rsidRPr="007D1226">
        <w:rPr>
          <w:rFonts w:ascii="Arial" w:hAnsi="Arial" w:cs="Arial"/>
        </w:rPr>
        <w:fldChar w:fldCharType="begin"/>
      </w:r>
      <w:r w:rsidRPr="007D1226">
        <w:rPr>
          <w:rFonts w:ascii="Arial" w:hAnsi="Arial" w:cs="Arial"/>
        </w:rPr>
        <w:instrText xml:space="preserve"> ADDIN ZOTERO_ITEM CSL_CITATION {"citationID":"0MeWWlSo","properties":{"formattedCitation":"(Santillan et al., 2020)","plainCitation":"(Santillan et al., 2020)","noteIndex":0},"citationItems":[{"id":258,"uris":["http://zotero.org/users/local/ZyqfFL1k/items/DBG2QEZL"],"itemData":{"id":258,"type":"article-journal","container-title":"Universal Journal of Educational Research","DOI":"10.13189/ujer.2020.080439","ISSN":"2332-3205, 2332-3213","issue":"4","journalAbbreviation":"ujer","language":"en","page":"1461-1465","source":"DOI.org (Crossref)","title":"Desired Teacher Education Graduate Attributes vis-a-vis Hiring-Related Requirements of Employers","volume":"8","author":[{"family":"Santillan","given":"Jennifer P."},{"family":"Martin","given":"Jonar T."},{"family":"Balinas","given":"Elvira S."}],"issued":{"date-parts":[["2020",4]]}}}],"schema":"https://github.com/citation-style-language/schema/raw/master/csl-citation.json"} </w:instrText>
      </w:r>
      <w:r w:rsidRPr="007D1226">
        <w:rPr>
          <w:rFonts w:ascii="Arial" w:hAnsi="Arial" w:cs="Arial"/>
        </w:rPr>
        <w:fldChar w:fldCharType="separate"/>
      </w:r>
      <w:r w:rsidRPr="007D1226">
        <w:rPr>
          <w:rFonts w:ascii="Arial" w:hAnsi="Arial" w:cs="Arial"/>
        </w:rPr>
        <w:t>(Santillan et al., 2020)</w:t>
      </w:r>
      <w:r w:rsidRPr="007D1226">
        <w:rPr>
          <w:rFonts w:ascii="Arial" w:hAnsi="Arial" w:cs="Arial"/>
        </w:rPr>
        <w:fldChar w:fldCharType="end"/>
      </w:r>
      <w:r w:rsidRPr="007D1226">
        <w:rPr>
          <w:rFonts w:ascii="Arial" w:hAnsi="Arial" w:cs="Arial"/>
        </w:rPr>
        <w:t xml:space="preserve">. </w:t>
      </w:r>
    </w:p>
    <w:p w14:paraId="056AE41A" w14:textId="77777777" w:rsidR="00F355E4" w:rsidRPr="007D1226" w:rsidRDefault="00F355E4" w:rsidP="00F355E4">
      <w:pPr>
        <w:jc w:val="both"/>
        <w:rPr>
          <w:rFonts w:ascii="Arial" w:hAnsi="Arial" w:cs="Arial"/>
        </w:rPr>
      </w:pPr>
    </w:p>
    <w:p w14:paraId="4F508232" w14:textId="17316D40" w:rsidR="0087767F" w:rsidRPr="007D1226" w:rsidRDefault="0087767F" w:rsidP="00F355E4">
      <w:pPr>
        <w:pStyle w:val="ListParagraph"/>
        <w:numPr>
          <w:ilvl w:val="1"/>
          <w:numId w:val="35"/>
        </w:numPr>
        <w:autoSpaceDE w:val="0"/>
        <w:autoSpaceDN w:val="0"/>
        <w:adjustRightInd w:val="0"/>
        <w:ind w:left="426"/>
        <w:jc w:val="both"/>
        <w:rPr>
          <w:rFonts w:ascii="Arial" w:hAnsi="Arial"/>
          <w:b/>
          <w:bCs/>
          <w:sz w:val="20"/>
          <w:szCs w:val="20"/>
        </w:rPr>
      </w:pPr>
      <w:bookmarkStart w:id="2" w:name="_Hlk190268827"/>
      <w:r w:rsidRPr="007D1226">
        <w:rPr>
          <w:rFonts w:ascii="Arial" w:hAnsi="Arial"/>
          <w:b/>
          <w:bCs/>
          <w:sz w:val="20"/>
          <w:szCs w:val="20"/>
        </w:rPr>
        <w:t>Insights can be drawn from the findings of the study that will contribute to the academic setting.</w:t>
      </w:r>
    </w:p>
    <w:p w14:paraId="7390D5E7" w14:textId="77777777" w:rsidR="00F355E4" w:rsidRPr="007D1226" w:rsidRDefault="00F355E4" w:rsidP="00F355E4">
      <w:pPr>
        <w:pStyle w:val="ListParagraph"/>
        <w:autoSpaceDE w:val="0"/>
        <w:autoSpaceDN w:val="0"/>
        <w:adjustRightInd w:val="0"/>
        <w:ind w:left="657"/>
        <w:jc w:val="both"/>
        <w:rPr>
          <w:rFonts w:ascii="Arial" w:hAnsi="Arial"/>
          <w:b/>
          <w:bCs/>
        </w:rPr>
      </w:pPr>
    </w:p>
    <w:bookmarkEnd w:id="2"/>
    <w:p w14:paraId="5E9F8A49" w14:textId="42047A40" w:rsidR="0087767F" w:rsidRPr="007D1226" w:rsidRDefault="0087767F" w:rsidP="00F355E4">
      <w:pPr>
        <w:pStyle w:val="ListParagraph"/>
        <w:numPr>
          <w:ilvl w:val="2"/>
          <w:numId w:val="35"/>
        </w:numPr>
        <w:ind w:left="709"/>
        <w:jc w:val="both"/>
        <w:rPr>
          <w:rFonts w:ascii="Arial" w:hAnsi="Arial"/>
          <w:b/>
          <w:bCs/>
          <w:sz w:val="20"/>
          <w:szCs w:val="20"/>
        </w:rPr>
      </w:pPr>
      <w:r w:rsidRPr="007D1226">
        <w:rPr>
          <w:rFonts w:ascii="Arial" w:hAnsi="Arial"/>
          <w:b/>
          <w:bCs/>
          <w:sz w:val="20"/>
          <w:szCs w:val="20"/>
        </w:rPr>
        <w:t>Promoting Gender and Development (GAD) in the workplace</w:t>
      </w:r>
    </w:p>
    <w:p w14:paraId="2988EF5B" w14:textId="77777777" w:rsidR="0087767F" w:rsidRPr="007D1226" w:rsidRDefault="0087767F" w:rsidP="00F355E4">
      <w:pPr>
        <w:pStyle w:val="ListParagraph"/>
        <w:ind w:left="0"/>
        <w:jc w:val="both"/>
        <w:rPr>
          <w:rFonts w:ascii="Arial" w:eastAsia="Calibri" w:hAnsi="Arial"/>
          <w:iCs/>
          <w:sz w:val="20"/>
          <w:szCs w:val="20"/>
          <w:u w:color="000000"/>
        </w:rPr>
      </w:pPr>
      <w:r w:rsidRPr="007D1226">
        <w:rPr>
          <w:rFonts w:ascii="Arial" w:eastAsia="Calibri" w:hAnsi="Arial"/>
          <w:iCs/>
          <w:sz w:val="20"/>
          <w:szCs w:val="20"/>
          <w:u w:color="000000"/>
        </w:rPr>
        <w:t>Gender and development are interdisciplinary study of the social relationships between men and women in the emerging in the society. Many schools in the Philippines specifically in the public schools have adapted and promoted gender and development. In fact, Department of Education (DepEd) issued the enclosed Gender-Responsive Basic Education Policy in line with its Gender and Development (GAD) under the DepEd Order 32, Series 2017.</w:t>
      </w:r>
    </w:p>
    <w:p w14:paraId="055351ED" w14:textId="77777777" w:rsidR="0087767F" w:rsidRPr="007D1226" w:rsidRDefault="0087767F" w:rsidP="0087767F">
      <w:pPr>
        <w:ind w:left="709"/>
        <w:jc w:val="both"/>
        <w:rPr>
          <w:rFonts w:ascii="Arial" w:hAnsi="Arial" w:cs="Arial"/>
          <w:i/>
          <w:iCs/>
        </w:rPr>
      </w:pPr>
      <w:r w:rsidRPr="007D1226">
        <w:rPr>
          <w:rFonts w:ascii="Arial" w:hAnsi="Arial" w:cs="Arial"/>
          <w:i/>
          <w:iCs/>
        </w:rPr>
        <w:t>“LGTBQ will be given an equal opportunity in the workplace.” (P1)</w:t>
      </w:r>
    </w:p>
    <w:p w14:paraId="687A98BC" w14:textId="77777777" w:rsidR="0087767F" w:rsidRPr="007D1226" w:rsidRDefault="0087767F" w:rsidP="0087767F">
      <w:pPr>
        <w:ind w:left="709"/>
        <w:jc w:val="both"/>
        <w:rPr>
          <w:rFonts w:ascii="Arial" w:hAnsi="Arial" w:cs="Arial"/>
          <w:i/>
          <w:iCs/>
        </w:rPr>
      </w:pPr>
      <w:r w:rsidRPr="007D1226">
        <w:rPr>
          <w:rFonts w:ascii="Arial" w:hAnsi="Arial" w:cs="Arial"/>
          <w:i/>
          <w:iCs/>
        </w:rPr>
        <w:tab/>
        <w:t>“Observe gender equality opportunity in the workplace either in assigning the tasks or in giving opportunities for promotion.” (P2)</w:t>
      </w:r>
    </w:p>
    <w:p w14:paraId="42424182" w14:textId="77777777" w:rsidR="0087767F" w:rsidRPr="007D1226" w:rsidRDefault="0087767F" w:rsidP="0087767F">
      <w:pPr>
        <w:ind w:left="709"/>
        <w:jc w:val="both"/>
        <w:rPr>
          <w:rFonts w:ascii="Arial" w:hAnsi="Arial" w:cs="Arial"/>
          <w:i/>
          <w:iCs/>
        </w:rPr>
      </w:pPr>
      <w:r w:rsidRPr="007D1226">
        <w:rPr>
          <w:rFonts w:ascii="Arial" w:hAnsi="Arial" w:cs="Arial"/>
          <w:i/>
          <w:iCs/>
        </w:rPr>
        <w:tab/>
        <w:t>“Both male and female teacher are great teacher and impact in academic growth.” (P3)</w:t>
      </w:r>
    </w:p>
    <w:p w14:paraId="02D7F092" w14:textId="77777777" w:rsidR="0087767F" w:rsidRPr="007D1226" w:rsidRDefault="0087767F" w:rsidP="0087767F">
      <w:pPr>
        <w:ind w:left="709"/>
        <w:jc w:val="both"/>
        <w:rPr>
          <w:rFonts w:ascii="Arial" w:hAnsi="Arial" w:cs="Arial"/>
          <w:i/>
          <w:iCs/>
        </w:rPr>
      </w:pPr>
      <w:r w:rsidRPr="007D1226">
        <w:rPr>
          <w:rFonts w:ascii="Arial" w:hAnsi="Arial" w:cs="Arial"/>
          <w:i/>
          <w:iCs/>
        </w:rPr>
        <w:tab/>
        <w:t>“In my role as a school head, I strike to create an environment where gender equality is promoted in every aspect of the workplace which includes ensuring equal opportunities for both male and female in professional development, leadership roles, and classroom responsibilities.” (P7)</w:t>
      </w:r>
    </w:p>
    <w:p w14:paraId="3134CA6F" w14:textId="77777777" w:rsidR="0087767F" w:rsidRPr="007D1226" w:rsidRDefault="0087767F" w:rsidP="0087767F">
      <w:pPr>
        <w:ind w:left="709"/>
        <w:jc w:val="both"/>
        <w:rPr>
          <w:rFonts w:ascii="Arial" w:hAnsi="Arial" w:cs="Arial"/>
          <w:i/>
          <w:iCs/>
        </w:rPr>
      </w:pPr>
      <w:r w:rsidRPr="007D1226">
        <w:rPr>
          <w:rFonts w:ascii="Arial" w:hAnsi="Arial" w:cs="Arial"/>
          <w:i/>
          <w:iCs/>
        </w:rPr>
        <w:tab/>
        <w:t>“Promoting gender and development (GAD) in the workplace is important for a fair and balanced environment.” (P4)</w:t>
      </w:r>
    </w:p>
    <w:p w14:paraId="5146E369" w14:textId="77777777" w:rsidR="0087767F" w:rsidRPr="007D1226" w:rsidRDefault="0087767F" w:rsidP="0087767F">
      <w:pPr>
        <w:ind w:left="709"/>
        <w:jc w:val="both"/>
        <w:rPr>
          <w:rFonts w:ascii="Arial" w:hAnsi="Arial" w:cs="Arial"/>
          <w:i/>
          <w:iCs/>
        </w:rPr>
      </w:pPr>
      <w:r w:rsidRPr="007D1226">
        <w:rPr>
          <w:rFonts w:ascii="Arial" w:hAnsi="Arial" w:cs="Arial"/>
          <w:i/>
          <w:iCs/>
        </w:rPr>
        <w:t>“I actively support Gender and Development initiative by proving resources and training on gender sensitivity. I encourage diversity in the hiring process and create a more inclusive atmosphere where teachers recognize of their contributions and skills.” (P5)</w:t>
      </w:r>
    </w:p>
    <w:p w14:paraId="278F10E2" w14:textId="326072A7" w:rsidR="0087767F" w:rsidRPr="007D1226" w:rsidRDefault="0087767F" w:rsidP="00F355E4">
      <w:pPr>
        <w:pStyle w:val="NoSpacing"/>
        <w:spacing w:line="276" w:lineRule="auto"/>
        <w:jc w:val="both"/>
        <w:rPr>
          <w:rFonts w:ascii="Arial" w:hAnsi="Arial" w:cs="Arial"/>
          <w:sz w:val="20"/>
          <w:szCs w:val="20"/>
        </w:rPr>
      </w:pPr>
      <w:r w:rsidRPr="007D1226">
        <w:rPr>
          <w:rFonts w:ascii="Arial" w:hAnsi="Arial" w:cs="Arial"/>
          <w:sz w:val="20"/>
          <w:szCs w:val="20"/>
        </w:rPr>
        <w:t xml:space="preserve">The school heads emphasize the importance of gender equality and inclusivity in the workplace, ensuring equal opportunities for all, including the LGBTQ+ community.  They recognize the value of both male and female teachers and promote a fair environment through gender sensitivity training, inclusive hiring practices, and support for professional development. Organizations focus on cultivating inclusive work environments, enhancing skills for a diverse professional landscape, and emphasizing leadership's role in shaping inclusive </w:t>
      </w:r>
      <w:r w:rsidRPr="007D1226">
        <w:rPr>
          <w:rFonts w:ascii="Arial" w:hAnsi="Arial" w:cs="Arial"/>
          <w:sz w:val="20"/>
          <w:szCs w:val="20"/>
        </w:rPr>
        <w:lastRenderedPageBreak/>
        <w:t xml:space="preserve">spaces </w:t>
      </w:r>
      <w:r w:rsidRPr="007D1226">
        <w:rPr>
          <w:rFonts w:ascii="Arial" w:hAnsi="Arial" w:cs="Arial"/>
          <w:sz w:val="20"/>
          <w:szCs w:val="20"/>
        </w:rPr>
        <w:fldChar w:fldCharType="begin"/>
      </w:r>
      <w:r w:rsidRPr="007D1226">
        <w:rPr>
          <w:rFonts w:ascii="Arial" w:hAnsi="Arial" w:cs="Arial"/>
          <w:sz w:val="20"/>
          <w:szCs w:val="20"/>
        </w:rPr>
        <w:instrText xml:space="preserve"> ADDIN ZOTERO_ITEM CSL_CITATION {"citationID":"Uqv6m4QU","properties":{"formattedCitation":"(Monisha &amp; Annapriya, 2023)","plainCitation":"(Monisha &amp; Annapriya, 2023)","noteIndex":0},"citationItems":[{"id":261,"uris":["http://zotero.org/users/local/ZyqfFL1k/items/UP8CQRMD"],"itemData":{"id":261,"type":"article-journal","abstract":"This paper, titled “Fostering Diversity: Navigating Professional Development for Inclusive Societal Integration,” explores strategies to cultivate inclusive work environments and enhance skills for a diverse professional landscape. It delves into the promotion of equity, collaborative approaches to diversity, and the crucial role of leadership in shaping inclusive spaces. Navigating challenges, the paper provides a roadmap for inclusive societal integration, emphasizing innovation as a catalyst for professional advancement. It addresses the implementation of inclusive practices, from awareness to action, and proposes metrics for measuring success in fostering diversity. This comprehensive exploration aims to contribute to the on-going dialogue on creating more inclusive and equitable professional spaces.","container-title":"Shanlax International Journal of Arts, Science and Humanities","DOI":"10.34293/sijash.v11iS1i2-Nov.7324","ISSN":"2582-0397, 2321-788X","issue":"S1i2-Nov","journalAbbreviation":"ash","license":"http://creativecommons.org/licenses/by-sa/4.0","page":"87-92","source":"DOI.org (Crossref)","title":"Fostering Diversity: Navigating Professional Development for Inclusive Societal Integration","title-short":"Fostering Diversity","volume":"11","author":[{"family":"Monisha","given":"R."},{"family":"Annapriya","given":"J."}],"issued":{"date-parts":[["2023",11,20]]}}}],"schema":"https://github.com/citation-style-language/schema/raw/master/csl-citation.json"} </w:instrText>
      </w:r>
      <w:r w:rsidRPr="007D1226">
        <w:rPr>
          <w:rFonts w:ascii="Arial" w:hAnsi="Arial" w:cs="Arial"/>
          <w:sz w:val="20"/>
          <w:szCs w:val="20"/>
        </w:rPr>
        <w:fldChar w:fldCharType="separate"/>
      </w:r>
      <w:r w:rsidRPr="007D1226">
        <w:rPr>
          <w:rFonts w:ascii="Arial" w:hAnsi="Arial" w:cs="Arial"/>
          <w:sz w:val="20"/>
          <w:szCs w:val="20"/>
        </w:rPr>
        <w:t>(Monisha &amp; Annapriya, 2023)</w:t>
      </w:r>
      <w:r w:rsidRPr="007D1226">
        <w:rPr>
          <w:rFonts w:ascii="Arial" w:hAnsi="Arial" w:cs="Arial"/>
          <w:sz w:val="20"/>
          <w:szCs w:val="20"/>
        </w:rPr>
        <w:fldChar w:fldCharType="end"/>
      </w:r>
      <w:r w:rsidRPr="007D1226">
        <w:rPr>
          <w:rFonts w:ascii="Arial" w:hAnsi="Arial" w:cs="Arial"/>
          <w:sz w:val="20"/>
          <w:szCs w:val="20"/>
        </w:rPr>
        <w:t xml:space="preserve">. School heads can create an inclusive work culture by ensuring fair hiring processes, addressing discrimination, promoting diversity training, and providing equal career growth opportunities </w:t>
      </w:r>
      <w:r w:rsidRPr="007D1226">
        <w:rPr>
          <w:rFonts w:ascii="Arial" w:hAnsi="Arial" w:cs="Arial"/>
          <w:sz w:val="20"/>
          <w:szCs w:val="20"/>
        </w:rPr>
        <w:fldChar w:fldCharType="begin"/>
      </w:r>
      <w:r w:rsidRPr="007D1226">
        <w:rPr>
          <w:rFonts w:ascii="Arial" w:hAnsi="Arial" w:cs="Arial"/>
          <w:sz w:val="20"/>
          <w:szCs w:val="20"/>
        </w:rPr>
        <w:instrText xml:space="preserve"> ADDIN ZOTERO_ITEM CSL_CITATION {"citationID":"1b7twRX4","properties":{"formattedCitation":"(Garrick et al., 2024)","plainCitation":"(Garrick et al., 2024)","noteIndex":0},"citationItems":[{"id":259,"uris":["http://zotero.org/users/local/ZyqfFL1k/items/8VP6CKIC"],"itemData":{"id":259,"type":"article-journal","container-title":"International Journal of Academic Research in Business and Social Sciences","DOI":"10.6007/IJARBSS/v14-i2/20799","ISSN":"2222-6990","issue":"2","journalAbbreviation":"IJARBSS","language":"en","page":"Pages 128-152","source":"DOI.org (Crossref)","title":"Breaking Barriers: Strategies for Fostering Inclusivity in The Workplace","title-short":"Breaking Barriers","volume":"14","author":[{"family":"Garrick","given":"Arlene"},{"family":"Johnson","given":"W. David"},{"family":"Arendt","given":"Susan W."}],"issued":{"date-parts":[["2024",2,2]]}}}],"schema":"https://github.com/citation-style-language/schema/raw/master/csl-citation.json"} </w:instrText>
      </w:r>
      <w:r w:rsidRPr="007D1226">
        <w:rPr>
          <w:rFonts w:ascii="Arial" w:hAnsi="Arial" w:cs="Arial"/>
          <w:sz w:val="20"/>
          <w:szCs w:val="20"/>
        </w:rPr>
        <w:fldChar w:fldCharType="separate"/>
      </w:r>
      <w:r w:rsidRPr="007D1226">
        <w:rPr>
          <w:rFonts w:ascii="Arial" w:hAnsi="Arial" w:cs="Arial"/>
          <w:sz w:val="20"/>
          <w:szCs w:val="20"/>
        </w:rPr>
        <w:t>(Garrick et al., 2024)</w:t>
      </w:r>
      <w:r w:rsidRPr="007D1226">
        <w:rPr>
          <w:rFonts w:ascii="Arial" w:hAnsi="Arial" w:cs="Arial"/>
          <w:sz w:val="20"/>
          <w:szCs w:val="20"/>
        </w:rPr>
        <w:fldChar w:fldCharType="end"/>
      </w:r>
      <w:r w:rsidRPr="007D1226">
        <w:rPr>
          <w:rFonts w:ascii="Arial" w:hAnsi="Arial" w:cs="Arial"/>
          <w:sz w:val="20"/>
          <w:szCs w:val="20"/>
        </w:rPr>
        <w:t xml:space="preserve">. The commitment to Gender and Development (GAD) </w:t>
      </w:r>
      <w:r w:rsidR="00F355E4" w:rsidRPr="007D1226">
        <w:rPr>
          <w:rFonts w:ascii="Arial" w:hAnsi="Arial" w:cs="Arial"/>
          <w:sz w:val="20"/>
          <w:szCs w:val="20"/>
        </w:rPr>
        <w:t>initiative</w:t>
      </w:r>
      <w:r w:rsidRPr="007D1226">
        <w:rPr>
          <w:rFonts w:ascii="Arial" w:hAnsi="Arial" w:cs="Arial"/>
          <w:sz w:val="20"/>
          <w:szCs w:val="20"/>
        </w:rPr>
        <w:t xml:space="preserve"> aims to foster a balanced and empowering workplace for all staff. Effective implementation of GAD policies is crucial for achieving gender equality and women's empowerment in educational and healthcare settings. </w:t>
      </w:r>
    </w:p>
    <w:p w14:paraId="19D7DBBD" w14:textId="77777777" w:rsidR="00F355E4" w:rsidRPr="007D1226" w:rsidRDefault="00F355E4" w:rsidP="00F355E4">
      <w:pPr>
        <w:pStyle w:val="NoSpacing"/>
        <w:spacing w:line="276" w:lineRule="auto"/>
        <w:jc w:val="both"/>
        <w:rPr>
          <w:rFonts w:ascii="Arial" w:hAnsi="Arial" w:cs="Arial"/>
          <w:b/>
          <w:bCs/>
          <w:sz w:val="20"/>
          <w:szCs w:val="20"/>
        </w:rPr>
      </w:pPr>
    </w:p>
    <w:p w14:paraId="36876A7F" w14:textId="28211286" w:rsidR="0087767F" w:rsidRPr="007D1226" w:rsidRDefault="0087767F" w:rsidP="00F355E4">
      <w:pPr>
        <w:pStyle w:val="NoSpacing"/>
        <w:numPr>
          <w:ilvl w:val="2"/>
          <w:numId w:val="35"/>
        </w:numPr>
        <w:spacing w:line="276" w:lineRule="auto"/>
        <w:ind w:left="709"/>
        <w:jc w:val="both"/>
        <w:rPr>
          <w:rFonts w:ascii="Arial" w:hAnsi="Arial" w:cs="Arial"/>
          <w:b/>
          <w:bCs/>
          <w:sz w:val="20"/>
          <w:szCs w:val="20"/>
        </w:rPr>
      </w:pPr>
      <w:r w:rsidRPr="007D1226">
        <w:rPr>
          <w:rFonts w:ascii="Arial" w:hAnsi="Arial" w:cs="Arial"/>
          <w:b/>
          <w:bCs/>
          <w:sz w:val="20"/>
          <w:szCs w:val="20"/>
        </w:rPr>
        <w:t>Harmonious Relationships to Academic Settings</w:t>
      </w:r>
    </w:p>
    <w:p w14:paraId="040D4D0D" w14:textId="77777777" w:rsidR="0087767F" w:rsidRPr="007D1226" w:rsidRDefault="0087767F" w:rsidP="00F355E4">
      <w:pPr>
        <w:pStyle w:val="NoSpacing"/>
        <w:spacing w:line="276" w:lineRule="auto"/>
        <w:jc w:val="both"/>
        <w:rPr>
          <w:rFonts w:ascii="Arial" w:hAnsi="Arial" w:cs="Arial"/>
          <w:sz w:val="20"/>
          <w:szCs w:val="20"/>
        </w:rPr>
      </w:pPr>
      <w:r w:rsidRPr="007D1226">
        <w:rPr>
          <w:rFonts w:ascii="Arial" w:hAnsi="Arial" w:cs="Arial"/>
          <w:sz w:val="20"/>
          <w:szCs w:val="20"/>
        </w:rPr>
        <w:t>A strong workplace relationship is key to success, especially in an academic setting. It fosters camaraderie, reduces toxicity, and creates a sense of belonging. A harmonious environment encourages support, motivation, and teamwork, allowing individuals to perform better and face fewer challenges.</w:t>
      </w:r>
    </w:p>
    <w:p w14:paraId="0D51A712" w14:textId="77777777" w:rsidR="0087767F" w:rsidRPr="007D1226" w:rsidRDefault="0087767F" w:rsidP="0087767F">
      <w:pPr>
        <w:pStyle w:val="ListParagraph"/>
        <w:ind w:left="0" w:firstLine="709"/>
        <w:jc w:val="both"/>
        <w:rPr>
          <w:rFonts w:ascii="Arial" w:hAnsi="Arial"/>
          <w:sz w:val="20"/>
          <w:szCs w:val="20"/>
        </w:rPr>
      </w:pPr>
    </w:p>
    <w:p w14:paraId="0E61A171" w14:textId="691E58AD" w:rsidR="0087767F" w:rsidRPr="007D1226" w:rsidRDefault="0087767F" w:rsidP="00F355E4">
      <w:pPr>
        <w:pStyle w:val="ListParagraph"/>
        <w:jc w:val="both"/>
        <w:rPr>
          <w:rFonts w:ascii="Arial" w:hAnsi="Arial"/>
          <w:i/>
          <w:color w:val="000000" w:themeColor="text1"/>
          <w:sz w:val="20"/>
          <w:szCs w:val="20"/>
        </w:rPr>
      </w:pPr>
      <w:proofErr w:type="gramStart"/>
      <w:r w:rsidRPr="007D1226">
        <w:rPr>
          <w:rFonts w:ascii="Arial" w:hAnsi="Arial"/>
          <w:sz w:val="20"/>
          <w:szCs w:val="20"/>
        </w:rPr>
        <w:t xml:space="preserve">“ </w:t>
      </w:r>
      <w:r w:rsidRPr="007D1226">
        <w:rPr>
          <w:rFonts w:ascii="Arial" w:hAnsi="Arial"/>
          <w:i/>
          <w:color w:val="000000" w:themeColor="text1"/>
          <w:sz w:val="20"/>
          <w:szCs w:val="20"/>
        </w:rPr>
        <w:t>I</w:t>
      </w:r>
      <w:proofErr w:type="gramEnd"/>
      <w:r w:rsidRPr="007D1226">
        <w:rPr>
          <w:rFonts w:ascii="Arial" w:hAnsi="Arial"/>
          <w:i/>
          <w:color w:val="000000" w:themeColor="text1"/>
          <w:sz w:val="20"/>
          <w:szCs w:val="20"/>
        </w:rPr>
        <w:t xml:space="preserve"> think it can create a harmonious relationship within each other since we are all open in terms of gender sensitivity in the workplace.” (P5)</w:t>
      </w:r>
    </w:p>
    <w:p w14:paraId="56DD2214" w14:textId="783C10CD" w:rsidR="0087767F" w:rsidRPr="007D1226" w:rsidRDefault="0087767F" w:rsidP="00F355E4">
      <w:pPr>
        <w:pStyle w:val="ListParagraph"/>
        <w:jc w:val="both"/>
        <w:rPr>
          <w:rFonts w:ascii="Arial" w:hAnsi="Arial"/>
          <w:i/>
          <w:sz w:val="20"/>
          <w:szCs w:val="20"/>
        </w:rPr>
      </w:pPr>
      <w:proofErr w:type="gramStart"/>
      <w:r w:rsidRPr="007D1226">
        <w:rPr>
          <w:rFonts w:ascii="Arial" w:hAnsi="Arial"/>
          <w:i/>
          <w:color w:val="000000" w:themeColor="text1"/>
          <w:sz w:val="20"/>
          <w:szCs w:val="20"/>
        </w:rPr>
        <w:t xml:space="preserve">“ </w:t>
      </w:r>
      <w:r w:rsidRPr="007D1226">
        <w:rPr>
          <w:rFonts w:ascii="Arial" w:hAnsi="Arial"/>
          <w:i/>
          <w:sz w:val="20"/>
          <w:szCs w:val="20"/>
        </w:rPr>
        <w:t>Promote</w:t>
      </w:r>
      <w:proofErr w:type="gramEnd"/>
      <w:r w:rsidRPr="007D1226">
        <w:rPr>
          <w:rFonts w:ascii="Arial" w:hAnsi="Arial"/>
          <w:i/>
          <w:sz w:val="20"/>
          <w:szCs w:val="20"/>
        </w:rPr>
        <w:t xml:space="preserve"> positive environment to by respecting different cultures and beliefs regardless of what gender.” (P7)</w:t>
      </w:r>
    </w:p>
    <w:p w14:paraId="1F26D472" w14:textId="2C72E6B0" w:rsidR="0087767F" w:rsidRPr="007D1226" w:rsidRDefault="0087767F" w:rsidP="00F355E4">
      <w:pPr>
        <w:pStyle w:val="ListParagraph"/>
        <w:jc w:val="both"/>
        <w:rPr>
          <w:rFonts w:ascii="Arial" w:hAnsi="Arial"/>
          <w:i/>
          <w:sz w:val="20"/>
          <w:szCs w:val="20"/>
        </w:rPr>
      </w:pPr>
      <w:r w:rsidRPr="007D1226">
        <w:rPr>
          <w:rFonts w:ascii="Arial" w:hAnsi="Arial"/>
          <w:i/>
          <w:color w:val="000000" w:themeColor="text1"/>
          <w:sz w:val="20"/>
          <w:szCs w:val="20"/>
        </w:rPr>
        <w:t>“</w:t>
      </w:r>
      <w:r w:rsidRPr="007D1226">
        <w:rPr>
          <w:rFonts w:ascii="Arial" w:hAnsi="Arial"/>
          <w:i/>
          <w:sz w:val="20"/>
          <w:szCs w:val="20"/>
        </w:rPr>
        <w:t>All employees are important and have different roles of the organization. Everyone is important regardless of their gender preferences.” (P1)</w:t>
      </w:r>
    </w:p>
    <w:p w14:paraId="2FB0E6AB" w14:textId="77777777" w:rsidR="0087767F" w:rsidRPr="007D1226" w:rsidRDefault="0087767F" w:rsidP="0087767F">
      <w:pPr>
        <w:pStyle w:val="ListParagraph"/>
        <w:jc w:val="both"/>
        <w:rPr>
          <w:rFonts w:ascii="Arial" w:hAnsi="Arial"/>
          <w:i/>
          <w:color w:val="000000" w:themeColor="text1"/>
          <w:sz w:val="20"/>
          <w:szCs w:val="20"/>
        </w:rPr>
      </w:pPr>
      <w:r w:rsidRPr="007D1226">
        <w:rPr>
          <w:rFonts w:ascii="Arial" w:hAnsi="Arial"/>
          <w:sz w:val="20"/>
          <w:szCs w:val="20"/>
        </w:rPr>
        <w:t>“</w:t>
      </w:r>
      <w:r w:rsidRPr="007D1226">
        <w:rPr>
          <w:rFonts w:ascii="Arial" w:hAnsi="Arial"/>
          <w:i/>
          <w:color w:val="000000" w:themeColor="text1"/>
          <w:sz w:val="20"/>
          <w:szCs w:val="20"/>
        </w:rPr>
        <w:t>Skills and talents of a teacher will boost if there is no discrimination towards his or her/his gender in the workplace.” (P2)</w:t>
      </w:r>
    </w:p>
    <w:p w14:paraId="308DEC03" w14:textId="77777777" w:rsidR="0087767F" w:rsidRPr="007D1226" w:rsidRDefault="0087767F" w:rsidP="0087767F">
      <w:pPr>
        <w:pStyle w:val="ListParagraph"/>
        <w:jc w:val="both"/>
        <w:rPr>
          <w:rFonts w:ascii="Arial" w:hAnsi="Arial"/>
          <w:sz w:val="20"/>
          <w:szCs w:val="20"/>
        </w:rPr>
      </w:pPr>
    </w:p>
    <w:p w14:paraId="018FDBC8" w14:textId="3C003275" w:rsidR="00790ADA" w:rsidRPr="007D1226" w:rsidRDefault="0087767F" w:rsidP="00F355E4">
      <w:pPr>
        <w:pStyle w:val="ListParagraph"/>
        <w:ind w:left="0"/>
        <w:jc w:val="both"/>
        <w:rPr>
          <w:rFonts w:ascii="Arial" w:hAnsi="Arial"/>
          <w:iCs/>
          <w:sz w:val="20"/>
          <w:szCs w:val="20"/>
        </w:rPr>
      </w:pPr>
      <w:r w:rsidRPr="007D1226">
        <w:rPr>
          <w:rFonts w:ascii="Arial" w:hAnsi="Arial"/>
          <w:iCs/>
          <w:sz w:val="20"/>
          <w:szCs w:val="20"/>
        </w:rPr>
        <w:t xml:space="preserve">An institution or organization can only thrive when everyone fosters strong professional relationships. Effective human relations, including open communication, empathy, and constructive conflict management, foster positive work environments and employee engagement </w:t>
      </w:r>
      <w:r w:rsidRPr="007D1226">
        <w:rPr>
          <w:rFonts w:ascii="Arial" w:hAnsi="Arial"/>
          <w:iCs/>
          <w:sz w:val="20"/>
          <w:szCs w:val="20"/>
        </w:rPr>
        <w:fldChar w:fldCharType="begin"/>
      </w:r>
      <w:r w:rsidRPr="007D1226">
        <w:rPr>
          <w:rFonts w:ascii="Arial" w:hAnsi="Arial"/>
          <w:iCs/>
          <w:sz w:val="20"/>
          <w:szCs w:val="20"/>
        </w:rPr>
        <w:instrText xml:space="preserve"> ADDIN ZOTERO_ITEM CSL_CITATION {"citationID":"uGBjkEY4","properties":{"formattedCitation":"(Olivia Putri Andini et al., 2024)","plainCitation":"(Olivia Putri Andini et al., 2024)","noteIndex":0},"citationItems":[{"id":263,"uris":["http://zotero.org/users/local/ZyqfFL1k/items/G89LXEBE"],"itemData":{"id":263,"type":"article-journal","abstract":"This study highlights the importance of implementing human relations principles in creating a harmonious and productive work environment. Open communication, empathy, and constructive conflict management were found to be key factors in building positive work relationships between employees and managers. Employees who feel valued and listened to tend to be more engaged in their work, increasing motivation and morale, which ultimately impacts the performance of the team and the organization as a whole. In addition, effective conflict management can strengthen interpersonal relationships and create a work atmosphere that is more conducive to collaboration and innovation. This study also shows that poorly managed conflict can damage work relationships and reduce productivity. In such situations, a tense work environment can lower employee morale, increase turnover rates, and hinder the achievement of organizational goals. Therefore, organizations need to actively develop strategies that support clear and effective communication, as well as pay attention to employee emotional well-being. Building an inclusive work culture and providing constructive conflict resolution mechanisms are essential to maintaining the stability and sustainability of productivity in the long term.","container-title":"Konsensus : Jurnal Ilmu Pertahanan, Hukum dan Ilmu Komunikasi","DOI":"10.62383/konsensus.v1i6.476","ISSN":"3048-1325, 3048-4405","issue":"6","journalAbbreviation":"konsensus","license":"https://creativecommons.org/licenses/by-sa/4.0","page":"140-148","source":"DOI.org (Crossref)","title":"Peran Human Relation dalam Menciptakan Lingkungan Kerja yang Harmonis dan Produktif","volume":"1","author":[{"literal":"Olivia Putri Andini"},{"literal":"Sefia Darmayanti"},{"literal":"Indah Fitria Sari"},{"literal":"April Laksana"}],"issued":{"date-parts":[["2024",12,4]]}}}],"schema":"https://github.com/citation-style-language/schema/raw/master/csl-citation.json"} </w:instrText>
      </w:r>
      <w:r w:rsidRPr="007D1226">
        <w:rPr>
          <w:rFonts w:ascii="Arial" w:hAnsi="Arial"/>
          <w:iCs/>
          <w:sz w:val="20"/>
          <w:szCs w:val="20"/>
        </w:rPr>
        <w:fldChar w:fldCharType="separate"/>
      </w:r>
      <w:r w:rsidRPr="007D1226">
        <w:rPr>
          <w:rFonts w:ascii="Arial" w:hAnsi="Arial"/>
          <w:sz w:val="20"/>
          <w:szCs w:val="20"/>
        </w:rPr>
        <w:t>(Olivia Putri Andini et al., 2024)</w:t>
      </w:r>
      <w:r w:rsidRPr="007D1226">
        <w:rPr>
          <w:rFonts w:ascii="Arial" w:hAnsi="Arial"/>
          <w:iCs/>
          <w:sz w:val="20"/>
          <w:szCs w:val="20"/>
        </w:rPr>
        <w:fldChar w:fldCharType="end"/>
      </w:r>
      <w:r w:rsidRPr="007D1226">
        <w:rPr>
          <w:rFonts w:ascii="Arial" w:hAnsi="Arial"/>
          <w:iCs/>
          <w:sz w:val="20"/>
          <w:szCs w:val="20"/>
        </w:rPr>
        <w:t xml:space="preserve">. Positive relationships create a sense of freedom, allowing individuals to feel comfortable and confident in sharing their ideas, opinions, and perspectives. Valuing relationships in the workplace enhances collaboration and teamwork, acting as a catalyst for increased productivity </w:t>
      </w:r>
      <w:r w:rsidRPr="007D1226">
        <w:rPr>
          <w:rFonts w:ascii="Arial" w:hAnsi="Arial"/>
          <w:iCs/>
          <w:sz w:val="20"/>
          <w:szCs w:val="20"/>
        </w:rPr>
        <w:fldChar w:fldCharType="begin"/>
      </w:r>
      <w:r w:rsidRPr="007D1226">
        <w:rPr>
          <w:rFonts w:ascii="Arial" w:hAnsi="Arial"/>
          <w:iCs/>
          <w:sz w:val="20"/>
          <w:szCs w:val="20"/>
        </w:rPr>
        <w:instrText xml:space="preserve"> ADDIN ZOTERO_ITEM CSL_CITATION {"citationID":"Zx5INgXL","properties":{"formattedCitation":"(Pyiki et al., 2014)","plainCitation":"(Pyiki et al., 2014)","noteIndex":0},"citationItems":[{"id":264,"uris":["http://zotero.org/users/local/ZyqfFL1k/items/HH6DMFWQ"],"itemData":{"id":264,"type":"article-journal","abstract":"This Paper titled An Evaluation of Relationship in a Work Place believed that relationship in a work place is a powerful Instrument that will enhance harmony amongst staff, increase productivity and profit margin of every organization. The paper examined the concept of work relationship, values and Ethics that can keep relationship going, the necessity for interpersonal skills, human relation as well as the value of relationship in a work place. The paper concluded that collaboration and team work amongst workers would act as a catalyst for increasing productivity. It recommends amongst others that managers should esteem relationship very high in every organization because relationship is rooted in values.","container-title":"Journal of Professional Secretaries and Office Administrators","DOI":"10.69984/jopsoa.v22i1.66","ISSN":"3043-5595, 1118-0234","issue":"1","journalAbbreviation":"JOPSOA","page":"155-165","source":"DOI.org (Crossref)","title":"An evaluation of the value of relationship in a workplace","volume":"22","author":[{"family":"Pyiki","given":"Hauwa Bawa"},{"family":"Nnaji","given":"Florence Oluchi"},{"family":"Sambo","given":"Maryam"},{"family":"Mohammed","given":"Ali"}],"issued":{"date-parts":[["2014",12,31]]}}}],"schema":"https://github.com/citation-style-language/schema/raw/master/csl-citation.json"} </w:instrText>
      </w:r>
      <w:r w:rsidRPr="007D1226">
        <w:rPr>
          <w:rFonts w:ascii="Arial" w:hAnsi="Arial"/>
          <w:iCs/>
          <w:sz w:val="20"/>
          <w:szCs w:val="20"/>
        </w:rPr>
        <w:fldChar w:fldCharType="separate"/>
      </w:r>
      <w:r w:rsidRPr="007D1226">
        <w:rPr>
          <w:rFonts w:ascii="Arial" w:hAnsi="Arial"/>
          <w:sz w:val="20"/>
          <w:szCs w:val="20"/>
        </w:rPr>
        <w:t xml:space="preserve">(Pyiki et al., </w:t>
      </w:r>
      <w:r w:rsidRPr="00F657A5">
        <w:rPr>
          <w:rFonts w:ascii="Arial" w:hAnsi="Arial"/>
          <w:sz w:val="20"/>
          <w:szCs w:val="20"/>
          <w:highlight w:val="yellow"/>
        </w:rPr>
        <w:t>2014)</w:t>
      </w:r>
      <w:r w:rsidRPr="007D1226">
        <w:rPr>
          <w:rFonts w:ascii="Arial" w:hAnsi="Arial"/>
          <w:iCs/>
          <w:sz w:val="20"/>
          <w:szCs w:val="20"/>
        </w:rPr>
        <w:fldChar w:fldCharType="end"/>
      </w:r>
      <w:r w:rsidRPr="007D1226">
        <w:rPr>
          <w:rFonts w:ascii="Arial" w:hAnsi="Arial"/>
          <w:iCs/>
          <w:sz w:val="20"/>
          <w:szCs w:val="20"/>
        </w:rPr>
        <w:t>. This openness ultimately drives the collective effort needed to achieve the organization's vision, mission, and goals.</w:t>
      </w:r>
    </w:p>
    <w:p w14:paraId="06EF37B0" w14:textId="77777777" w:rsidR="00B01FCD" w:rsidRPr="007D1226" w:rsidRDefault="00000F8F" w:rsidP="00441B6F">
      <w:pPr>
        <w:pStyle w:val="ConcHead"/>
        <w:spacing w:after="0"/>
        <w:jc w:val="both"/>
        <w:rPr>
          <w:rFonts w:ascii="Arial" w:hAnsi="Arial" w:cs="Arial"/>
        </w:rPr>
      </w:pPr>
      <w:r w:rsidRPr="007D1226">
        <w:rPr>
          <w:rFonts w:ascii="Arial" w:hAnsi="Arial" w:cs="Arial"/>
        </w:rPr>
        <w:t xml:space="preserve">4. </w:t>
      </w:r>
      <w:r w:rsidR="00B01FCD" w:rsidRPr="007D1226">
        <w:rPr>
          <w:rFonts w:ascii="Arial" w:hAnsi="Arial" w:cs="Arial"/>
        </w:rPr>
        <w:t>Conclusion</w:t>
      </w:r>
    </w:p>
    <w:p w14:paraId="22381EFA" w14:textId="77777777" w:rsidR="00790ADA" w:rsidRPr="007D1226" w:rsidRDefault="00790ADA" w:rsidP="00441B6F">
      <w:pPr>
        <w:pStyle w:val="ConcHead"/>
        <w:spacing w:after="0"/>
        <w:jc w:val="both"/>
        <w:rPr>
          <w:rFonts w:ascii="Arial" w:hAnsi="Arial" w:cs="Arial"/>
        </w:rPr>
      </w:pPr>
    </w:p>
    <w:p w14:paraId="4625083C" w14:textId="0E4EACE4" w:rsidR="00F355E4" w:rsidRPr="007D1226" w:rsidRDefault="00F355E4" w:rsidP="00F355E4">
      <w:pPr>
        <w:pStyle w:val="NoSpacing"/>
        <w:spacing w:line="276" w:lineRule="auto"/>
        <w:jc w:val="both"/>
        <w:rPr>
          <w:rFonts w:ascii="Arial" w:hAnsi="Arial" w:cs="Arial"/>
          <w:sz w:val="20"/>
          <w:szCs w:val="20"/>
        </w:rPr>
      </w:pPr>
      <w:r w:rsidRPr="007D1226">
        <w:rPr>
          <w:rFonts w:ascii="Arial" w:hAnsi="Arial" w:cs="Arial"/>
          <w:sz w:val="20"/>
          <w:szCs w:val="20"/>
        </w:rPr>
        <w:t>Based on the summary of the fundings, several themes emerged from the participant’s responses during the interview. The work experiences of Technology and Livelihood Education department heads with different genders showed the following themes which are difficulty handling in the workplace, respecting cultural diversity, and proficient home economics teachers. In the gender preferences of Technology and Livelihood Department Head in hiring home economics teachers identified two themes which are valuing diversity in teaching and female dominated. On the insights drawn from the storyline of the participants, there were two themes that were identified which are promoting gender and development (GAD) in the workplace and harmonious relationship to academic settings.</w:t>
      </w:r>
    </w:p>
    <w:p w14:paraId="3CC788D8" w14:textId="77777777" w:rsidR="00F355E4" w:rsidRPr="007D1226" w:rsidRDefault="00F355E4" w:rsidP="00F355E4">
      <w:pPr>
        <w:pStyle w:val="NoSpacing"/>
        <w:spacing w:line="276" w:lineRule="auto"/>
        <w:jc w:val="both"/>
        <w:rPr>
          <w:rFonts w:ascii="Arial" w:hAnsi="Arial" w:cs="Arial"/>
          <w:sz w:val="20"/>
          <w:szCs w:val="20"/>
        </w:rPr>
      </w:pPr>
    </w:p>
    <w:p w14:paraId="15B9CAA7" w14:textId="5B2E3E3B" w:rsidR="00F355E4" w:rsidRPr="007D1226" w:rsidRDefault="00F355E4" w:rsidP="00F355E4">
      <w:pPr>
        <w:pStyle w:val="NoSpacing"/>
        <w:spacing w:line="276" w:lineRule="auto"/>
        <w:jc w:val="both"/>
        <w:rPr>
          <w:rFonts w:ascii="Arial" w:hAnsi="Arial" w:cs="Arial"/>
          <w:sz w:val="20"/>
          <w:szCs w:val="20"/>
        </w:rPr>
      </w:pPr>
      <w:r w:rsidRPr="007D1226">
        <w:rPr>
          <w:rFonts w:ascii="Arial" w:hAnsi="Arial" w:cs="Arial"/>
          <w:sz w:val="20"/>
          <w:szCs w:val="20"/>
        </w:rPr>
        <w:t xml:space="preserve">The study only focuses on the seven school heads in public secondary schools in Davao del Sur. Due to the limited scope of this study, future researchers may embark on the same research focusing on both </w:t>
      </w:r>
      <w:bookmarkStart w:id="3" w:name="_GoBack"/>
      <w:bookmarkEnd w:id="3"/>
      <w:r w:rsidRPr="007D1226">
        <w:rPr>
          <w:rFonts w:ascii="Arial" w:hAnsi="Arial" w:cs="Arial"/>
          <w:sz w:val="20"/>
          <w:szCs w:val="20"/>
        </w:rPr>
        <w:t>all public primary and secondary schools in all the province of Davao Region. Department of Education (</w:t>
      </w:r>
      <w:proofErr w:type="spellStart"/>
      <w:r w:rsidRPr="007D1226">
        <w:rPr>
          <w:rFonts w:ascii="Arial" w:hAnsi="Arial" w:cs="Arial"/>
          <w:sz w:val="20"/>
          <w:szCs w:val="20"/>
        </w:rPr>
        <w:t>DEPEd</w:t>
      </w:r>
      <w:proofErr w:type="spellEnd"/>
      <w:r w:rsidRPr="007D1226">
        <w:rPr>
          <w:rFonts w:ascii="Arial" w:hAnsi="Arial" w:cs="Arial"/>
          <w:sz w:val="20"/>
          <w:szCs w:val="20"/>
        </w:rPr>
        <w:t xml:space="preserve">) key officials may conduct school campaign </w:t>
      </w:r>
      <w:r w:rsidRPr="007D1226">
        <w:rPr>
          <w:rFonts w:ascii="Arial" w:hAnsi="Arial" w:cs="Arial"/>
          <w:sz w:val="20"/>
          <w:szCs w:val="20"/>
        </w:rPr>
        <w:lastRenderedPageBreak/>
        <w:t xml:space="preserve">on the importance of gender equality by integrating in the school curriculum as an elective subject.  School heads may suggest implementing seminars, training and workshops about gender equality of all the teaching and non-teaching staff in the organization. </w:t>
      </w:r>
    </w:p>
    <w:p w14:paraId="1E14C616" w14:textId="77777777" w:rsidR="00790ADA" w:rsidRPr="007D1226" w:rsidRDefault="00790ADA" w:rsidP="00441B6F">
      <w:pPr>
        <w:pStyle w:val="Body"/>
        <w:spacing w:after="0"/>
        <w:rPr>
          <w:rFonts w:ascii="Arial" w:hAnsi="Arial" w:cs="Arial"/>
        </w:rPr>
      </w:pPr>
    </w:p>
    <w:p w14:paraId="4C61C1C9" w14:textId="77777777" w:rsidR="00C373D5" w:rsidRPr="007D1226" w:rsidRDefault="00C373D5" w:rsidP="00441B6F">
      <w:pPr>
        <w:pStyle w:val="ReferHead"/>
        <w:spacing w:after="0"/>
        <w:jc w:val="both"/>
        <w:rPr>
          <w:rFonts w:ascii="Arial" w:hAnsi="Arial" w:cs="Arial"/>
          <w:b w:val="0"/>
          <w:caps w:val="0"/>
          <w:sz w:val="20"/>
        </w:rPr>
      </w:pPr>
    </w:p>
    <w:p w14:paraId="56B86EC1" w14:textId="77777777" w:rsidR="00860000" w:rsidRPr="007D1226" w:rsidRDefault="00860000" w:rsidP="00441B6F">
      <w:pPr>
        <w:pStyle w:val="ReferHead"/>
        <w:spacing w:after="0"/>
        <w:jc w:val="both"/>
        <w:rPr>
          <w:rFonts w:ascii="Arial" w:hAnsi="Arial" w:cs="Arial"/>
        </w:rPr>
      </w:pPr>
    </w:p>
    <w:p w14:paraId="7C7DBFB2" w14:textId="77777777" w:rsidR="00B01FCD" w:rsidRPr="007D1226" w:rsidRDefault="00B01FCD" w:rsidP="00441B6F">
      <w:pPr>
        <w:pStyle w:val="ReferHead"/>
        <w:spacing w:after="0"/>
        <w:jc w:val="both"/>
        <w:rPr>
          <w:rFonts w:ascii="Arial" w:hAnsi="Arial" w:cs="Arial"/>
        </w:rPr>
      </w:pPr>
      <w:r w:rsidRPr="007D1226">
        <w:rPr>
          <w:rFonts w:ascii="Arial" w:hAnsi="Arial" w:cs="Arial"/>
        </w:rPr>
        <w:t>References</w:t>
      </w:r>
    </w:p>
    <w:p w14:paraId="7F300AD8" w14:textId="77777777" w:rsidR="00790ADA" w:rsidRPr="007D1226" w:rsidRDefault="00790ADA" w:rsidP="00441B6F">
      <w:pPr>
        <w:pStyle w:val="ReferHead"/>
        <w:spacing w:after="0"/>
        <w:jc w:val="both"/>
        <w:rPr>
          <w:rFonts w:ascii="Arial" w:hAnsi="Arial" w:cs="Arial"/>
        </w:rPr>
      </w:pPr>
    </w:p>
    <w:p w14:paraId="018DCA95" w14:textId="77777777" w:rsidR="00790ADA" w:rsidRPr="007D1226" w:rsidRDefault="00790ADA" w:rsidP="00441B6F">
      <w:pPr>
        <w:pStyle w:val="Body"/>
        <w:spacing w:after="0"/>
        <w:rPr>
          <w:rFonts w:ascii="Arial" w:hAnsi="Arial" w:cs="Arial"/>
        </w:rPr>
      </w:pPr>
    </w:p>
    <w:p w14:paraId="3F3DA23D"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Ajayi, K. F., &amp; Buessing, M. (2015). Gender Parity and Schooling Choices. </w:t>
      </w:r>
      <w:r w:rsidRPr="007D1226">
        <w:rPr>
          <w:rFonts w:ascii="Arial" w:hAnsi="Arial" w:cs="Arial"/>
          <w:i/>
          <w:iCs/>
          <w:sz w:val="20"/>
          <w:szCs w:val="20"/>
        </w:rPr>
        <w:t>The Journal of Development Studies</w:t>
      </w:r>
      <w:r w:rsidRPr="007D1226">
        <w:rPr>
          <w:rFonts w:ascii="Arial" w:hAnsi="Arial" w:cs="Arial"/>
          <w:sz w:val="20"/>
          <w:szCs w:val="20"/>
        </w:rPr>
        <w:t xml:space="preserve">, </w:t>
      </w:r>
      <w:r w:rsidRPr="007D1226">
        <w:rPr>
          <w:rFonts w:ascii="Arial" w:hAnsi="Arial" w:cs="Arial"/>
          <w:i/>
          <w:iCs/>
          <w:sz w:val="20"/>
          <w:szCs w:val="20"/>
        </w:rPr>
        <w:t>51</w:t>
      </w:r>
      <w:r w:rsidRPr="007D1226">
        <w:rPr>
          <w:rFonts w:ascii="Arial" w:hAnsi="Arial" w:cs="Arial"/>
          <w:sz w:val="20"/>
          <w:szCs w:val="20"/>
        </w:rPr>
        <w:t>(5), 503–522. https://doi.org/10.1080/00220388.2014.989992</w:t>
      </w:r>
    </w:p>
    <w:p w14:paraId="7EE093D1" w14:textId="32247B9B" w:rsidR="004D4277" w:rsidRPr="007D1226" w:rsidRDefault="00C373D5" w:rsidP="00C75D0C">
      <w:pPr>
        <w:pStyle w:val="Bibliography"/>
        <w:ind w:left="709" w:hanging="709"/>
        <w:jc w:val="both"/>
        <w:rPr>
          <w:rFonts w:ascii="Arial" w:hAnsi="Arial" w:cs="Arial"/>
          <w:sz w:val="20"/>
          <w:szCs w:val="20"/>
        </w:rPr>
      </w:pPr>
      <w:proofErr w:type="spellStart"/>
      <w:r w:rsidRPr="007D1226">
        <w:rPr>
          <w:rFonts w:ascii="Arial" w:hAnsi="Arial" w:cs="Arial"/>
          <w:sz w:val="20"/>
          <w:szCs w:val="20"/>
        </w:rPr>
        <w:t>Bamalli</w:t>
      </w:r>
      <w:proofErr w:type="spellEnd"/>
      <w:r w:rsidRPr="007D1226">
        <w:rPr>
          <w:rFonts w:ascii="Arial" w:hAnsi="Arial" w:cs="Arial"/>
          <w:sz w:val="20"/>
          <w:szCs w:val="20"/>
        </w:rPr>
        <w:t>, H. S. (2013). Competencies and Strategies for the Teaching of 21</w:t>
      </w:r>
      <w:r w:rsidRPr="007D1226">
        <w:rPr>
          <w:rFonts w:ascii="Arial" w:hAnsi="Arial" w:cs="Arial"/>
          <w:sz w:val="20"/>
          <w:szCs w:val="20"/>
          <w:vertAlign w:val="superscript"/>
        </w:rPr>
        <w:t>ST</w:t>
      </w:r>
      <w:r w:rsidRPr="007D1226">
        <w:rPr>
          <w:rFonts w:ascii="Arial" w:hAnsi="Arial" w:cs="Arial"/>
          <w:sz w:val="20"/>
          <w:szCs w:val="20"/>
        </w:rPr>
        <w:t xml:space="preserve"> Century Learners in Vocational Home Economics Education. </w:t>
      </w:r>
      <w:r w:rsidRPr="007D1226">
        <w:rPr>
          <w:rFonts w:ascii="Arial" w:hAnsi="Arial" w:cs="Arial"/>
          <w:i/>
          <w:iCs/>
          <w:sz w:val="20"/>
          <w:szCs w:val="20"/>
        </w:rPr>
        <w:t>International Letters of Social and Humanistic Sciences</w:t>
      </w:r>
      <w:r w:rsidRPr="007D1226">
        <w:rPr>
          <w:rFonts w:ascii="Arial" w:hAnsi="Arial" w:cs="Arial"/>
          <w:sz w:val="20"/>
          <w:szCs w:val="20"/>
        </w:rPr>
        <w:t xml:space="preserve">, </w:t>
      </w:r>
      <w:r w:rsidRPr="007D1226">
        <w:rPr>
          <w:rFonts w:ascii="Arial" w:hAnsi="Arial" w:cs="Arial"/>
          <w:i/>
          <w:iCs/>
          <w:sz w:val="20"/>
          <w:szCs w:val="20"/>
        </w:rPr>
        <w:t>19</w:t>
      </w:r>
      <w:r w:rsidRPr="007D1226">
        <w:rPr>
          <w:rFonts w:ascii="Arial" w:hAnsi="Arial" w:cs="Arial"/>
          <w:sz w:val="20"/>
          <w:szCs w:val="20"/>
        </w:rPr>
        <w:t>, 50–55. https://doi.org/10.18052/www.scipress.com/ILSHS.19.50</w:t>
      </w:r>
    </w:p>
    <w:bookmarkStart w:id="4" w:name="_Hlk194414046"/>
    <w:p w14:paraId="58C6BCA4"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fldChar w:fldCharType="begin"/>
      </w:r>
      <w:r w:rsidRPr="007D1226">
        <w:rPr>
          <w:rFonts w:ascii="Arial" w:hAnsi="Arial" w:cs="Arial"/>
          <w:sz w:val="20"/>
          <w:szCs w:val="20"/>
        </w:rPr>
        <w:instrText xml:space="preserve"> ADDIN ZOTERO_BIBL {"uncited":[],"omitted":[],"custom":[]} CSL_BIBLIOGRAPHY </w:instrText>
      </w:r>
      <w:r w:rsidRPr="007D1226">
        <w:rPr>
          <w:rFonts w:ascii="Arial" w:hAnsi="Arial" w:cs="Arial"/>
          <w:sz w:val="20"/>
          <w:szCs w:val="20"/>
        </w:rPr>
        <w:fldChar w:fldCharType="separate"/>
      </w:r>
      <w:bookmarkStart w:id="5" w:name="_Hlk194414106"/>
      <w:r w:rsidRPr="007D1226">
        <w:rPr>
          <w:rFonts w:ascii="Arial" w:hAnsi="Arial" w:cs="Arial"/>
          <w:sz w:val="20"/>
          <w:szCs w:val="20"/>
        </w:rPr>
        <w:t xml:space="preserve">Ajayi, K. F., &amp; Buessing, M. (2015). Gender Parity and Schooling Choices. </w:t>
      </w:r>
      <w:r w:rsidRPr="007D1226">
        <w:rPr>
          <w:rFonts w:ascii="Arial" w:hAnsi="Arial" w:cs="Arial"/>
          <w:i/>
          <w:iCs/>
          <w:sz w:val="20"/>
          <w:szCs w:val="20"/>
        </w:rPr>
        <w:t>The Journal of Development Studies</w:t>
      </w:r>
      <w:r w:rsidRPr="007D1226">
        <w:rPr>
          <w:rFonts w:ascii="Arial" w:hAnsi="Arial" w:cs="Arial"/>
          <w:sz w:val="20"/>
          <w:szCs w:val="20"/>
        </w:rPr>
        <w:t xml:space="preserve">, </w:t>
      </w:r>
      <w:r w:rsidRPr="007D1226">
        <w:rPr>
          <w:rFonts w:ascii="Arial" w:hAnsi="Arial" w:cs="Arial"/>
          <w:i/>
          <w:iCs/>
          <w:sz w:val="20"/>
          <w:szCs w:val="20"/>
        </w:rPr>
        <w:t>51</w:t>
      </w:r>
      <w:r w:rsidRPr="007D1226">
        <w:rPr>
          <w:rFonts w:ascii="Arial" w:hAnsi="Arial" w:cs="Arial"/>
          <w:sz w:val="20"/>
          <w:szCs w:val="20"/>
        </w:rPr>
        <w:t>(5), 503–522. https://doi.org/10.1080/00220388.2014.989992</w:t>
      </w:r>
    </w:p>
    <w:p w14:paraId="5B3FC0E9"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Bamalli, H. S. (2013). Competencies and Strategies for the Teaching of 21</w:t>
      </w:r>
      <w:r w:rsidRPr="007D1226">
        <w:rPr>
          <w:rFonts w:ascii="Arial" w:hAnsi="Arial" w:cs="Arial"/>
          <w:sz w:val="20"/>
          <w:szCs w:val="20"/>
          <w:vertAlign w:val="superscript"/>
        </w:rPr>
        <w:t>ST</w:t>
      </w:r>
      <w:r w:rsidRPr="007D1226">
        <w:rPr>
          <w:rFonts w:ascii="Arial" w:hAnsi="Arial" w:cs="Arial"/>
          <w:sz w:val="20"/>
          <w:szCs w:val="20"/>
        </w:rPr>
        <w:t xml:space="preserve"> Century Learners in Vocational Home Economics Education. </w:t>
      </w:r>
      <w:r w:rsidRPr="007D1226">
        <w:rPr>
          <w:rFonts w:ascii="Arial" w:hAnsi="Arial" w:cs="Arial"/>
          <w:i/>
          <w:iCs/>
          <w:sz w:val="20"/>
          <w:szCs w:val="20"/>
        </w:rPr>
        <w:t>International Letters of Social and Humanistic Sciences</w:t>
      </w:r>
      <w:r w:rsidRPr="007D1226">
        <w:rPr>
          <w:rFonts w:ascii="Arial" w:hAnsi="Arial" w:cs="Arial"/>
          <w:sz w:val="20"/>
          <w:szCs w:val="20"/>
        </w:rPr>
        <w:t xml:space="preserve">, </w:t>
      </w:r>
      <w:r w:rsidRPr="007D1226">
        <w:rPr>
          <w:rFonts w:ascii="Arial" w:hAnsi="Arial" w:cs="Arial"/>
          <w:i/>
          <w:iCs/>
          <w:sz w:val="20"/>
          <w:szCs w:val="20"/>
        </w:rPr>
        <w:t>19</w:t>
      </w:r>
      <w:r w:rsidRPr="007D1226">
        <w:rPr>
          <w:rFonts w:ascii="Arial" w:hAnsi="Arial" w:cs="Arial"/>
          <w:sz w:val="20"/>
          <w:szCs w:val="20"/>
        </w:rPr>
        <w:t>, 50–55. https://doi.org/10.18052/www.scipress.com/ILSHS.19.50</w:t>
      </w:r>
    </w:p>
    <w:bookmarkEnd w:id="5"/>
    <w:p w14:paraId="37D8829C"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lang w:val="it-IT"/>
        </w:rPr>
        <w:t xml:space="preserve">Bongco, R. T., &amp; Abenes, R. D. (2019). </w:t>
      </w:r>
      <w:r w:rsidRPr="007D1226">
        <w:rPr>
          <w:rFonts w:ascii="Arial" w:hAnsi="Arial" w:cs="Arial"/>
          <w:sz w:val="20"/>
          <w:szCs w:val="20"/>
        </w:rPr>
        <w:t xml:space="preserve">Clash of Spheres—The Paradox of Being a Female Teacher in the Philippines. </w:t>
      </w:r>
      <w:r w:rsidRPr="007D1226">
        <w:rPr>
          <w:rFonts w:ascii="Arial" w:hAnsi="Arial" w:cs="Arial"/>
          <w:i/>
          <w:iCs/>
          <w:sz w:val="20"/>
          <w:szCs w:val="20"/>
        </w:rPr>
        <w:t>Beijing International Review of Education</w:t>
      </w:r>
      <w:r w:rsidRPr="007D1226">
        <w:rPr>
          <w:rFonts w:ascii="Arial" w:hAnsi="Arial" w:cs="Arial"/>
          <w:sz w:val="20"/>
          <w:szCs w:val="20"/>
        </w:rPr>
        <w:t xml:space="preserve">, </w:t>
      </w:r>
      <w:r w:rsidRPr="007D1226">
        <w:rPr>
          <w:rFonts w:ascii="Arial" w:hAnsi="Arial" w:cs="Arial"/>
          <w:i/>
          <w:iCs/>
          <w:sz w:val="20"/>
          <w:szCs w:val="20"/>
        </w:rPr>
        <w:t>1</w:t>
      </w:r>
      <w:r w:rsidRPr="007D1226">
        <w:rPr>
          <w:rFonts w:ascii="Arial" w:hAnsi="Arial" w:cs="Arial"/>
          <w:sz w:val="20"/>
          <w:szCs w:val="20"/>
        </w:rPr>
        <w:t>(2–3), 443–459. https://doi.org/10.1163/25902539-00102012</w:t>
      </w:r>
    </w:p>
    <w:p w14:paraId="08177DF5"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Branlat, J., &amp; Sano, J. (2021). Creating more equal partnerships: Home Economics education and gender equality in Japan and Norway. In M. Ishii-Kuntz, G. K. Kristensen, &amp; P. Ringrose, </w:t>
      </w:r>
      <w:r w:rsidRPr="007D1226">
        <w:rPr>
          <w:rFonts w:ascii="Arial" w:hAnsi="Arial" w:cs="Arial"/>
          <w:i/>
          <w:iCs/>
          <w:sz w:val="20"/>
          <w:szCs w:val="20"/>
        </w:rPr>
        <w:t>Comparative Perspectives on Gender Equality in Japan and Norway</w:t>
      </w:r>
      <w:r w:rsidRPr="007D1226">
        <w:rPr>
          <w:rFonts w:ascii="Arial" w:hAnsi="Arial" w:cs="Arial"/>
          <w:sz w:val="20"/>
          <w:szCs w:val="20"/>
        </w:rPr>
        <w:t xml:space="preserve"> (1st ed., pp. 70–86). Routledge. https://doi.org/10.4324/9781003185222-5</w:t>
      </w:r>
    </w:p>
    <w:p w14:paraId="0847C6F8"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Caingcoy, M. E. (2021). Scoping Review on Employability Skills of Teacher Education Graduates in the Philippines: A Framework for Curriculum Enhancement. </w:t>
      </w:r>
      <w:r w:rsidRPr="007D1226">
        <w:rPr>
          <w:rFonts w:ascii="Arial" w:hAnsi="Arial" w:cs="Arial"/>
          <w:i/>
          <w:iCs/>
          <w:sz w:val="20"/>
          <w:szCs w:val="20"/>
        </w:rPr>
        <w:t>International Journal of Education and Literacy Studies</w:t>
      </w:r>
      <w:r w:rsidRPr="007D1226">
        <w:rPr>
          <w:rFonts w:ascii="Arial" w:hAnsi="Arial" w:cs="Arial"/>
          <w:sz w:val="20"/>
          <w:szCs w:val="20"/>
        </w:rPr>
        <w:t xml:space="preserve">, </w:t>
      </w:r>
      <w:r w:rsidRPr="007D1226">
        <w:rPr>
          <w:rFonts w:ascii="Arial" w:hAnsi="Arial" w:cs="Arial"/>
          <w:i/>
          <w:iCs/>
          <w:sz w:val="20"/>
          <w:szCs w:val="20"/>
        </w:rPr>
        <w:t>9</w:t>
      </w:r>
      <w:r w:rsidRPr="007D1226">
        <w:rPr>
          <w:rFonts w:ascii="Arial" w:hAnsi="Arial" w:cs="Arial"/>
          <w:sz w:val="20"/>
          <w:szCs w:val="20"/>
        </w:rPr>
        <w:t>(4), 182. https://doi.org/10.7575/aiac.ijels.v.9n.4p.182</w:t>
      </w:r>
    </w:p>
    <w:p w14:paraId="44A8DCF4"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lang w:val="it-IT"/>
        </w:rPr>
        <w:t xml:space="preserve">Card, D., Colella, F., &amp; Lalive, R. (2021). </w:t>
      </w:r>
      <w:r w:rsidRPr="007D1226">
        <w:rPr>
          <w:rFonts w:ascii="Arial" w:hAnsi="Arial" w:cs="Arial"/>
          <w:i/>
          <w:iCs/>
          <w:sz w:val="20"/>
          <w:szCs w:val="20"/>
        </w:rPr>
        <w:t>Gender Preferences in Job Vacancies and Workplace Gender Diversity</w:t>
      </w:r>
      <w:r w:rsidRPr="007D1226">
        <w:rPr>
          <w:rFonts w:ascii="Arial" w:hAnsi="Arial" w:cs="Arial"/>
          <w:sz w:val="20"/>
          <w:szCs w:val="20"/>
        </w:rPr>
        <w:t xml:space="preserve"> (No. w29350; p. w29350). National Bureau of Economic Research. https://doi.org/10.3386/w29350</w:t>
      </w:r>
    </w:p>
    <w:p w14:paraId="1D3153B6"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Darroca, J., Formarejo, T., Alfonso, L., &amp; Corbo, M. C. (2024). Filipino Hospitality Industry Gender Disparities: Hiring Practices, Salary Levels, and Promotional Opportunities. </w:t>
      </w:r>
      <w:r w:rsidRPr="007D1226">
        <w:rPr>
          <w:rFonts w:ascii="Arial" w:hAnsi="Arial" w:cs="Arial"/>
          <w:i/>
          <w:iCs/>
          <w:sz w:val="20"/>
          <w:szCs w:val="20"/>
        </w:rPr>
        <w:t>International Conference on Gender Research</w:t>
      </w:r>
      <w:r w:rsidRPr="007D1226">
        <w:rPr>
          <w:rFonts w:ascii="Arial" w:hAnsi="Arial" w:cs="Arial"/>
          <w:sz w:val="20"/>
          <w:szCs w:val="20"/>
        </w:rPr>
        <w:t xml:space="preserve">, </w:t>
      </w:r>
      <w:r w:rsidRPr="007D1226">
        <w:rPr>
          <w:rFonts w:ascii="Arial" w:hAnsi="Arial" w:cs="Arial"/>
          <w:i/>
          <w:iCs/>
          <w:sz w:val="20"/>
          <w:szCs w:val="20"/>
        </w:rPr>
        <w:t>7</w:t>
      </w:r>
      <w:r w:rsidRPr="007D1226">
        <w:rPr>
          <w:rFonts w:ascii="Arial" w:hAnsi="Arial" w:cs="Arial"/>
          <w:sz w:val="20"/>
          <w:szCs w:val="20"/>
        </w:rPr>
        <w:t>(1), 97–106. https://doi.org/10.34190/icgr.7.1.2255</w:t>
      </w:r>
    </w:p>
    <w:p w14:paraId="08652325"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lastRenderedPageBreak/>
        <w:t xml:space="preserve">Emfimo, M. B., Silor, F. S. C., &amp; Silor, A. C. (2024). </w:t>
      </w:r>
      <w:r w:rsidRPr="007D1226">
        <w:rPr>
          <w:rFonts w:ascii="Arial" w:hAnsi="Arial" w:cs="Arial"/>
          <w:i/>
          <w:iCs/>
          <w:sz w:val="20"/>
          <w:szCs w:val="20"/>
        </w:rPr>
        <w:t>Best Practices in Promoting Gender Equality in the Philippine Education</w:t>
      </w:r>
      <w:r w:rsidRPr="007D1226">
        <w:rPr>
          <w:rFonts w:ascii="Arial" w:hAnsi="Arial" w:cs="Arial"/>
          <w:sz w:val="20"/>
          <w:szCs w:val="20"/>
        </w:rPr>
        <w:t>. 313–325. https://doi.org/10.22492/issn.2435-5240.2024.25</w:t>
      </w:r>
    </w:p>
    <w:p w14:paraId="2B01F47F"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Garrick, A., Johnson, W. D., &amp; Arendt, S. W. (2024). Breaking Barriers: Strategies for Fostering Inclusivity in The Workplace. </w:t>
      </w:r>
      <w:r w:rsidRPr="007D1226">
        <w:rPr>
          <w:rFonts w:ascii="Arial" w:hAnsi="Arial" w:cs="Arial"/>
          <w:i/>
          <w:iCs/>
          <w:sz w:val="20"/>
          <w:szCs w:val="20"/>
        </w:rPr>
        <w:t>International Journal of Academic Research in Business and Social Sciences</w:t>
      </w:r>
      <w:r w:rsidRPr="007D1226">
        <w:rPr>
          <w:rFonts w:ascii="Arial" w:hAnsi="Arial" w:cs="Arial"/>
          <w:sz w:val="20"/>
          <w:szCs w:val="20"/>
        </w:rPr>
        <w:t xml:space="preserve">, </w:t>
      </w:r>
      <w:r w:rsidRPr="007D1226">
        <w:rPr>
          <w:rFonts w:ascii="Arial" w:hAnsi="Arial" w:cs="Arial"/>
          <w:i/>
          <w:iCs/>
          <w:sz w:val="20"/>
          <w:szCs w:val="20"/>
        </w:rPr>
        <w:t>14</w:t>
      </w:r>
      <w:r w:rsidRPr="007D1226">
        <w:rPr>
          <w:rFonts w:ascii="Arial" w:hAnsi="Arial" w:cs="Arial"/>
          <w:sz w:val="20"/>
          <w:szCs w:val="20"/>
        </w:rPr>
        <w:t>(2), Pages 128-152. https://doi.org/10.6007/IJARBSS/v14-i2/20799</w:t>
      </w:r>
    </w:p>
    <w:p w14:paraId="050D6C81"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Gorman, E. H. (2005). Gender Stereotypes, Same-Gender Preferences, and Organizational Variation in the Hiring of Women: Evidence from Law Firms. </w:t>
      </w:r>
      <w:r w:rsidRPr="007D1226">
        <w:rPr>
          <w:rFonts w:ascii="Arial" w:hAnsi="Arial" w:cs="Arial"/>
          <w:i/>
          <w:iCs/>
          <w:sz w:val="20"/>
          <w:szCs w:val="20"/>
        </w:rPr>
        <w:t>American Sociological Review</w:t>
      </w:r>
      <w:r w:rsidRPr="007D1226">
        <w:rPr>
          <w:rFonts w:ascii="Arial" w:hAnsi="Arial" w:cs="Arial"/>
          <w:sz w:val="20"/>
          <w:szCs w:val="20"/>
        </w:rPr>
        <w:t xml:space="preserve">, </w:t>
      </w:r>
      <w:r w:rsidRPr="007D1226">
        <w:rPr>
          <w:rFonts w:ascii="Arial" w:hAnsi="Arial" w:cs="Arial"/>
          <w:i/>
          <w:iCs/>
          <w:sz w:val="20"/>
          <w:szCs w:val="20"/>
        </w:rPr>
        <w:t>70</w:t>
      </w:r>
      <w:r w:rsidRPr="007D1226">
        <w:rPr>
          <w:rFonts w:ascii="Arial" w:hAnsi="Arial" w:cs="Arial"/>
          <w:sz w:val="20"/>
          <w:szCs w:val="20"/>
        </w:rPr>
        <w:t>(4), 702–728. https://doi.org/10.1177/000312240507000408</w:t>
      </w:r>
    </w:p>
    <w:p w14:paraId="6F084576"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Harris, D. N., Rutledge, S. A., Ingle, W. K., &amp; Thompson, C. C. (2010). Mix and Match: What Principals Really Look for When Hiring Teachers. </w:t>
      </w:r>
      <w:r w:rsidRPr="007D1226">
        <w:rPr>
          <w:rFonts w:ascii="Arial" w:hAnsi="Arial" w:cs="Arial"/>
          <w:i/>
          <w:iCs/>
          <w:sz w:val="20"/>
          <w:szCs w:val="20"/>
        </w:rPr>
        <w:t>Education Finance and Policy</w:t>
      </w:r>
      <w:r w:rsidRPr="007D1226">
        <w:rPr>
          <w:rFonts w:ascii="Arial" w:hAnsi="Arial" w:cs="Arial"/>
          <w:sz w:val="20"/>
          <w:szCs w:val="20"/>
        </w:rPr>
        <w:t xml:space="preserve">, </w:t>
      </w:r>
      <w:r w:rsidRPr="007D1226">
        <w:rPr>
          <w:rFonts w:ascii="Arial" w:hAnsi="Arial" w:cs="Arial"/>
          <w:i/>
          <w:iCs/>
          <w:sz w:val="20"/>
          <w:szCs w:val="20"/>
        </w:rPr>
        <w:t>5</w:t>
      </w:r>
      <w:r w:rsidRPr="007D1226">
        <w:rPr>
          <w:rFonts w:ascii="Arial" w:hAnsi="Arial" w:cs="Arial"/>
          <w:sz w:val="20"/>
          <w:szCs w:val="20"/>
        </w:rPr>
        <w:t>(2), 228–246. https://doi.org/10.1162/edfp.2010.5.2.5205</w:t>
      </w:r>
    </w:p>
    <w:p w14:paraId="2B5DAD57"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Kim, E. J., Lee, Y.-J., &amp; Kim, J. (2019a). A Study of the Gender-Biased Attitudes of Korean Middle School Students toward Home Economics as a Subject: Implementing the Implicit Association Test. </w:t>
      </w:r>
      <w:r w:rsidRPr="007D1226">
        <w:rPr>
          <w:rFonts w:ascii="Arial" w:hAnsi="Arial" w:cs="Arial"/>
          <w:i/>
          <w:iCs/>
          <w:sz w:val="20"/>
          <w:szCs w:val="20"/>
        </w:rPr>
        <w:t>Family and Environment Research</w:t>
      </w:r>
      <w:r w:rsidRPr="007D1226">
        <w:rPr>
          <w:rFonts w:ascii="Arial" w:hAnsi="Arial" w:cs="Arial"/>
          <w:sz w:val="20"/>
          <w:szCs w:val="20"/>
        </w:rPr>
        <w:t xml:space="preserve">, </w:t>
      </w:r>
      <w:r w:rsidRPr="007D1226">
        <w:rPr>
          <w:rFonts w:ascii="Arial" w:hAnsi="Arial" w:cs="Arial"/>
          <w:i/>
          <w:iCs/>
          <w:sz w:val="20"/>
          <w:szCs w:val="20"/>
        </w:rPr>
        <w:t>57</w:t>
      </w:r>
      <w:r w:rsidRPr="007D1226">
        <w:rPr>
          <w:rFonts w:ascii="Arial" w:hAnsi="Arial" w:cs="Arial"/>
          <w:sz w:val="20"/>
          <w:szCs w:val="20"/>
        </w:rPr>
        <w:t>(4), 459–472. https://doi.org/10.6115/fer.2019.034</w:t>
      </w:r>
    </w:p>
    <w:p w14:paraId="43CFA49E"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Kim, E. J., Lee, Y.-J., &amp; Kim, J. (2019b). A Study of the Gender-Biased Attitudes of Korean Middle School Students toward Home Economics as a Subject: Implementing the Implicit Association Test. </w:t>
      </w:r>
      <w:r w:rsidRPr="007D1226">
        <w:rPr>
          <w:rFonts w:ascii="Arial" w:hAnsi="Arial" w:cs="Arial"/>
          <w:i/>
          <w:iCs/>
          <w:sz w:val="20"/>
          <w:szCs w:val="20"/>
        </w:rPr>
        <w:t>Family and Environment Research</w:t>
      </w:r>
      <w:r w:rsidRPr="007D1226">
        <w:rPr>
          <w:rFonts w:ascii="Arial" w:hAnsi="Arial" w:cs="Arial"/>
          <w:sz w:val="20"/>
          <w:szCs w:val="20"/>
        </w:rPr>
        <w:t xml:space="preserve">, </w:t>
      </w:r>
      <w:r w:rsidRPr="007D1226">
        <w:rPr>
          <w:rFonts w:ascii="Arial" w:hAnsi="Arial" w:cs="Arial"/>
          <w:i/>
          <w:iCs/>
          <w:sz w:val="20"/>
          <w:szCs w:val="20"/>
        </w:rPr>
        <w:t>57</w:t>
      </w:r>
      <w:r w:rsidRPr="007D1226">
        <w:rPr>
          <w:rFonts w:ascii="Arial" w:hAnsi="Arial" w:cs="Arial"/>
          <w:sz w:val="20"/>
          <w:szCs w:val="20"/>
        </w:rPr>
        <w:t>(4), 459–472. https://doi.org/10.6115/fer.2019.034</w:t>
      </w:r>
    </w:p>
    <w:p w14:paraId="0FEB1C37"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Lazaro, B. L. G., De Castro, L. B., Henson, L. D., Cainglet, R. G., Del Rosario, L. Z., Buhain, V. I., &amp; Tiratira, N. L. (2024). Unveiling The Lived Experiences of School Heads in Managing Intergenerational Diversity among Proficient Teachers. </w:t>
      </w:r>
      <w:r w:rsidRPr="007D1226">
        <w:rPr>
          <w:rFonts w:ascii="Arial" w:hAnsi="Arial" w:cs="Arial"/>
          <w:i/>
          <w:iCs/>
          <w:sz w:val="20"/>
          <w:szCs w:val="20"/>
        </w:rPr>
        <w:t>International Journal of Multidisciplinary: Applied Business and Education Research</w:t>
      </w:r>
      <w:r w:rsidRPr="007D1226">
        <w:rPr>
          <w:rFonts w:ascii="Arial" w:hAnsi="Arial" w:cs="Arial"/>
          <w:sz w:val="20"/>
          <w:szCs w:val="20"/>
        </w:rPr>
        <w:t xml:space="preserve">, </w:t>
      </w:r>
      <w:r w:rsidRPr="007D1226">
        <w:rPr>
          <w:rFonts w:ascii="Arial" w:hAnsi="Arial" w:cs="Arial"/>
          <w:i/>
          <w:iCs/>
          <w:sz w:val="20"/>
          <w:szCs w:val="20"/>
        </w:rPr>
        <w:t>5</w:t>
      </w:r>
      <w:r w:rsidRPr="007D1226">
        <w:rPr>
          <w:rFonts w:ascii="Arial" w:hAnsi="Arial" w:cs="Arial"/>
          <w:sz w:val="20"/>
          <w:szCs w:val="20"/>
        </w:rPr>
        <w:t>(9), 3711–3811. https://doi.org/10.11594/ijmaber.05.09.31</w:t>
      </w:r>
    </w:p>
    <w:p w14:paraId="49A62327"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Martin, G. C. (2014). The Effects Of Cultural Diversity In The Workplace. </w:t>
      </w:r>
      <w:r w:rsidRPr="007D1226">
        <w:rPr>
          <w:rFonts w:ascii="Arial" w:hAnsi="Arial" w:cs="Arial"/>
          <w:i/>
          <w:iCs/>
          <w:sz w:val="20"/>
          <w:szCs w:val="20"/>
        </w:rPr>
        <w:t>Journal of Diversity Management (JDM)</w:t>
      </w:r>
      <w:r w:rsidRPr="007D1226">
        <w:rPr>
          <w:rFonts w:ascii="Arial" w:hAnsi="Arial" w:cs="Arial"/>
          <w:sz w:val="20"/>
          <w:szCs w:val="20"/>
        </w:rPr>
        <w:t xml:space="preserve">, </w:t>
      </w:r>
      <w:r w:rsidRPr="007D1226">
        <w:rPr>
          <w:rFonts w:ascii="Arial" w:hAnsi="Arial" w:cs="Arial"/>
          <w:i/>
          <w:iCs/>
          <w:sz w:val="20"/>
          <w:szCs w:val="20"/>
        </w:rPr>
        <w:t>9</w:t>
      </w:r>
      <w:r w:rsidRPr="007D1226">
        <w:rPr>
          <w:rFonts w:ascii="Arial" w:hAnsi="Arial" w:cs="Arial"/>
          <w:sz w:val="20"/>
          <w:szCs w:val="20"/>
        </w:rPr>
        <w:t>(2), 89–92. https://doi.org/10.19030/jdm.v9i2.8974</w:t>
      </w:r>
    </w:p>
    <w:p w14:paraId="059F595A"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Martin, M. (2022). Gender equity in the classroom. </w:t>
      </w:r>
      <w:r w:rsidRPr="007D1226">
        <w:rPr>
          <w:rFonts w:ascii="Arial" w:hAnsi="Arial" w:cs="Arial"/>
          <w:i/>
          <w:iCs/>
          <w:sz w:val="20"/>
          <w:szCs w:val="20"/>
        </w:rPr>
        <w:t>Early Years Educator</w:t>
      </w:r>
      <w:r w:rsidRPr="007D1226">
        <w:rPr>
          <w:rFonts w:ascii="Arial" w:hAnsi="Arial" w:cs="Arial"/>
          <w:sz w:val="20"/>
          <w:szCs w:val="20"/>
        </w:rPr>
        <w:t xml:space="preserve">, </w:t>
      </w:r>
      <w:r w:rsidRPr="007D1226">
        <w:rPr>
          <w:rFonts w:ascii="Arial" w:hAnsi="Arial" w:cs="Arial"/>
          <w:i/>
          <w:iCs/>
          <w:sz w:val="20"/>
          <w:szCs w:val="20"/>
        </w:rPr>
        <w:t>23</w:t>
      </w:r>
      <w:r w:rsidRPr="007D1226">
        <w:rPr>
          <w:rFonts w:ascii="Arial" w:hAnsi="Arial" w:cs="Arial"/>
          <w:sz w:val="20"/>
          <w:szCs w:val="20"/>
        </w:rPr>
        <w:t>(17), 34–35. https://doi.org/10.12968/eyed.2022.23.17.34</w:t>
      </w:r>
    </w:p>
    <w:p w14:paraId="4D337E6D"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Meizlish, D., &amp; Kaplan, M. (2008). Valuing and Evaluating Teaching in Academic Hiring: A Multidisciplinary, Cross-Institutional Study. </w:t>
      </w:r>
      <w:r w:rsidRPr="007D1226">
        <w:rPr>
          <w:rFonts w:ascii="Arial" w:hAnsi="Arial" w:cs="Arial"/>
          <w:i/>
          <w:iCs/>
          <w:sz w:val="20"/>
          <w:szCs w:val="20"/>
        </w:rPr>
        <w:t>The Journal of Higher Education</w:t>
      </w:r>
      <w:r w:rsidRPr="007D1226">
        <w:rPr>
          <w:rFonts w:ascii="Arial" w:hAnsi="Arial" w:cs="Arial"/>
          <w:sz w:val="20"/>
          <w:szCs w:val="20"/>
        </w:rPr>
        <w:t xml:space="preserve">, </w:t>
      </w:r>
      <w:r w:rsidRPr="007D1226">
        <w:rPr>
          <w:rFonts w:ascii="Arial" w:hAnsi="Arial" w:cs="Arial"/>
          <w:i/>
          <w:iCs/>
          <w:sz w:val="20"/>
          <w:szCs w:val="20"/>
        </w:rPr>
        <w:t>79</w:t>
      </w:r>
      <w:r w:rsidRPr="007D1226">
        <w:rPr>
          <w:rFonts w:ascii="Arial" w:hAnsi="Arial" w:cs="Arial"/>
          <w:sz w:val="20"/>
          <w:szCs w:val="20"/>
        </w:rPr>
        <w:t>(5), 489–512. https://doi.org/10.1080/00221546.2008.11772114</w:t>
      </w:r>
    </w:p>
    <w:p w14:paraId="4B86064C"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Monisha, R., &amp; Annapriya, J. (2023). Fostering Diversity: Navigating Professional Development for Inclusive Societal Integration. </w:t>
      </w:r>
      <w:r w:rsidRPr="007D1226">
        <w:rPr>
          <w:rFonts w:ascii="Arial" w:hAnsi="Arial" w:cs="Arial"/>
          <w:i/>
          <w:iCs/>
          <w:sz w:val="20"/>
          <w:szCs w:val="20"/>
        </w:rPr>
        <w:t>Shanlax International Journal of Arts, Science and Humanities</w:t>
      </w:r>
      <w:r w:rsidRPr="007D1226">
        <w:rPr>
          <w:rFonts w:ascii="Arial" w:hAnsi="Arial" w:cs="Arial"/>
          <w:sz w:val="20"/>
          <w:szCs w:val="20"/>
        </w:rPr>
        <w:t xml:space="preserve">, </w:t>
      </w:r>
      <w:r w:rsidRPr="007D1226">
        <w:rPr>
          <w:rFonts w:ascii="Arial" w:hAnsi="Arial" w:cs="Arial"/>
          <w:i/>
          <w:iCs/>
          <w:sz w:val="20"/>
          <w:szCs w:val="20"/>
        </w:rPr>
        <w:t>11</w:t>
      </w:r>
      <w:r w:rsidRPr="007D1226">
        <w:rPr>
          <w:rFonts w:ascii="Arial" w:hAnsi="Arial" w:cs="Arial"/>
          <w:sz w:val="20"/>
          <w:szCs w:val="20"/>
        </w:rPr>
        <w:t>(S1i2-Nov), 87–92. https://doi.org/10.34293/sijash.v11iS1i2-Nov.7324</w:t>
      </w:r>
    </w:p>
    <w:p w14:paraId="6FAC5E42"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lastRenderedPageBreak/>
        <w:t xml:space="preserve">Obien Calatin, F. (2024). School Heads’ Psychosocial Behavior and Resiliency towards Positive School Culture. </w:t>
      </w:r>
      <w:r w:rsidRPr="007D1226">
        <w:rPr>
          <w:rFonts w:ascii="Arial" w:hAnsi="Arial" w:cs="Arial"/>
          <w:i/>
          <w:iCs/>
          <w:sz w:val="20"/>
          <w:szCs w:val="20"/>
        </w:rPr>
        <w:t>International Journal of Research Publications</w:t>
      </w:r>
      <w:r w:rsidRPr="007D1226">
        <w:rPr>
          <w:rFonts w:ascii="Arial" w:hAnsi="Arial" w:cs="Arial"/>
          <w:sz w:val="20"/>
          <w:szCs w:val="20"/>
        </w:rPr>
        <w:t xml:space="preserve">, </w:t>
      </w:r>
      <w:r w:rsidRPr="007D1226">
        <w:rPr>
          <w:rFonts w:ascii="Arial" w:hAnsi="Arial" w:cs="Arial"/>
          <w:i/>
          <w:iCs/>
          <w:sz w:val="20"/>
          <w:szCs w:val="20"/>
        </w:rPr>
        <w:t>50</w:t>
      </w:r>
      <w:r w:rsidRPr="007D1226">
        <w:rPr>
          <w:rFonts w:ascii="Arial" w:hAnsi="Arial" w:cs="Arial"/>
          <w:sz w:val="20"/>
          <w:szCs w:val="20"/>
        </w:rPr>
        <w:t>(1). https://doi.org/10.47119/IJRP1001501620246662</w:t>
      </w:r>
    </w:p>
    <w:p w14:paraId="42A90336"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Olivia Putri Andini, Sefia Darmayanti, Indah Fitria Sari, &amp; April Laksana. (2024). Peran Human Relation dalam Menciptakan Lingkungan Kerja yang Harmonis dan Produktif. </w:t>
      </w:r>
      <w:r w:rsidRPr="007D1226">
        <w:rPr>
          <w:rFonts w:ascii="Arial" w:hAnsi="Arial" w:cs="Arial"/>
          <w:i/>
          <w:iCs/>
          <w:sz w:val="20"/>
          <w:szCs w:val="20"/>
        </w:rPr>
        <w:t>Konsensus : Jurnal Ilmu Pertahanan, Hukum Dan Ilmu Komunikasi</w:t>
      </w:r>
      <w:r w:rsidRPr="007D1226">
        <w:rPr>
          <w:rFonts w:ascii="Arial" w:hAnsi="Arial" w:cs="Arial"/>
          <w:sz w:val="20"/>
          <w:szCs w:val="20"/>
        </w:rPr>
        <w:t xml:space="preserve">, </w:t>
      </w:r>
      <w:r w:rsidRPr="007D1226">
        <w:rPr>
          <w:rFonts w:ascii="Arial" w:hAnsi="Arial" w:cs="Arial"/>
          <w:i/>
          <w:iCs/>
          <w:sz w:val="20"/>
          <w:szCs w:val="20"/>
        </w:rPr>
        <w:t>1</w:t>
      </w:r>
      <w:r w:rsidRPr="007D1226">
        <w:rPr>
          <w:rFonts w:ascii="Arial" w:hAnsi="Arial" w:cs="Arial"/>
          <w:sz w:val="20"/>
          <w:szCs w:val="20"/>
        </w:rPr>
        <w:t>(6), 140–148. https://doi.org/10.62383/konsensus.v1i6.476</w:t>
      </w:r>
    </w:p>
    <w:p w14:paraId="68ED048F"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Özcan, K., Balyer, A., &amp; Fırat, F. (2022). Factors Affecting Trust in Female and Male School Leaders. </w:t>
      </w:r>
      <w:r w:rsidRPr="007D1226">
        <w:rPr>
          <w:rFonts w:ascii="Arial" w:hAnsi="Arial" w:cs="Arial"/>
          <w:i/>
          <w:iCs/>
          <w:sz w:val="20"/>
          <w:szCs w:val="20"/>
        </w:rPr>
        <w:t>International Journal of Educational Leadership and Management</w:t>
      </w:r>
      <w:r w:rsidRPr="007D1226">
        <w:rPr>
          <w:rFonts w:ascii="Arial" w:hAnsi="Arial" w:cs="Arial"/>
          <w:sz w:val="20"/>
          <w:szCs w:val="20"/>
        </w:rPr>
        <w:t>. https://doi.org/10.17583/ijelm.9811</w:t>
      </w:r>
    </w:p>
    <w:p w14:paraId="67D4C8E6"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lang w:val="it-IT"/>
        </w:rPr>
        <w:t xml:space="preserve">Panunciar, C. R., Madrigal, D., &amp; Bual, J. (2024). </w:t>
      </w:r>
      <w:r w:rsidRPr="007D1226">
        <w:rPr>
          <w:rFonts w:ascii="Arial" w:hAnsi="Arial" w:cs="Arial"/>
          <w:sz w:val="20"/>
          <w:szCs w:val="20"/>
        </w:rPr>
        <w:t xml:space="preserve">Transformational Leadership Practices and Work Engagement among School Heads: An Explanatory-Sequential Mixed Method Inquiry. </w:t>
      </w:r>
      <w:r w:rsidRPr="007D1226">
        <w:rPr>
          <w:rFonts w:ascii="Arial" w:hAnsi="Arial" w:cs="Arial"/>
          <w:i/>
          <w:iCs/>
          <w:sz w:val="20"/>
          <w:szCs w:val="20"/>
        </w:rPr>
        <w:t>Technium Social Sciences Journal</w:t>
      </w:r>
      <w:r w:rsidRPr="007D1226">
        <w:rPr>
          <w:rFonts w:ascii="Arial" w:hAnsi="Arial" w:cs="Arial"/>
          <w:sz w:val="20"/>
          <w:szCs w:val="20"/>
        </w:rPr>
        <w:t xml:space="preserve">, </w:t>
      </w:r>
      <w:r w:rsidRPr="007D1226">
        <w:rPr>
          <w:rFonts w:ascii="Arial" w:hAnsi="Arial" w:cs="Arial"/>
          <w:i/>
          <w:iCs/>
          <w:sz w:val="20"/>
          <w:szCs w:val="20"/>
        </w:rPr>
        <w:t>62</w:t>
      </w:r>
      <w:r w:rsidRPr="007D1226">
        <w:rPr>
          <w:rFonts w:ascii="Arial" w:hAnsi="Arial" w:cs="Arial"/>
          <w:sz w:val="20"/>
          <w:szCs w:val="20"/>
        </w:rPr>
        <w:t>, 34–57. https://doi.org/10.47577/tssj.v62i1.11727</w:t>
      </w:r>
    </w:p>
    <w:p w14:paraId="692C0F6C"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lang w:val="it-IT"/>
        </w:rPr>
        <w:t xml:space="preserve">Pregoner, J. D. M., Cansico, L., Escandor, F., &amp; Encabo, E. (2020). </w:t>
      </w:r>
      <w:r w:rsidRPr="007D1226">
        <w:rPr>
          <w:rFonts w:ascii="Arial" w:hAnsi="Arial" w:cs="Arial"/>
          <w:i/>
          <w:iCs/>
          <w:sz w:val="20"/>
          <w:szCs w:val="20"/>
        </w:rPr>
        <w:t>Gender Bias in Technical Vocational Livelihood Program: A Qualitative Study on the Experience of Male Students in Home Economics Strand</w:t>
      </w:r>
      <w:r w:rsidRPr="007D1226">
        <w:rPr>
          <w:rFonts w:ascii="Arial" w:hAnsi="Arial" w:cs="Arial"/>
          <w:sz w:val="20"/>
          <w:szCs w:val="20"/>
        </w:rPr>
        <w:t>. EdArXiv. https://doi.org/10.35542/osf.io/gn2aq</w:t>
      </w:r>
    </w:p>
    <w:p w14:paraId="5A588357"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Program: Master of Arts In Education major: Educational Management Academic Year: 2023-2024, &amp; Coronel, R. R. (2024). Academic Supervision and Managerial Skills of School Heads for Teachers’ Quality and Work Effectiveness. </w:t>
      </w:r>
      <w:r w:rsidRPr="007D1226">
        <w:rPr>
          <w:rFonts w:ascii="Arial" w:hAnsi="Arial" w:cs="Arial"/>
          <w:i/>
          <w:iCs/>
          <w:sz w:val="20"/>
          <w:szCs w:val="20"/>
        </w:rPr>
        <w:t>International Journal of Social Science Humanity &amp; Management Research</w:t>
      </w:r>
      <w:r w:rsidRPr="007D1226">
        <w:rPr>
          <w:rFonts w:ascii="Arial" w:hAnsi="Arial" w:cs="Arial"/>
          <w:sz w:val="20"/>
          <w:szCs w:val="20"/>
        </w:rPr>
        <w:t xml:space="preserve">, </w:t>
      </w:r>
      <w:r w:rsidRPr="007D1226">
        <w:rPr>
          <w:rFonts w:ascii="Arial" w:hAnsi="Arial" w:cs="Arial"/>
          <w:i/>
          <w:iCs/>
          <w:sz w:val="20"/>
          <w:szCs w:val="20"/>
        </w:rPr>
        <w:t>3</w:t>
      </w:r>
      <w:r w:rsidRPr="007D1226">
        <w:rPr>
          <w:rFonts w:ascii="Arial" w:hAnsi="Arial" w:cs="Arial"/>
          <w:sz w:val="20"/>
          <w:szCs w:val="20"/>
        </w:rPr>
        <w:t>(07). https://doi.org/10.58806/ijsshmr.2024.v3i7n05</w:t>
      </w:r>
    </w:p>
    <w:p w14:paraId="10B38A08"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Pyiki, H. B., Nnaji, F. O., Sambo, M., &amp; Mohammed, A. (2014). An evaluation of the value of relationship in a workplace. </w:t>
      </w:r>
      <w:r w:rsidRPr="007D1226">
        <w:rPr>
          <w:rFonts w:ascii="Arial" w:hAnsi="Arial" w:cs="Arial"/>
          <w:i/>
          <w:iCs/>
          <w:sz w:val="20"/>
          <w:szCs w:val="20"/>
        </w:rPr>
        <w:t>Journal of Professional Secretaries and Office Administrators</w:t>
      </w:r>
      <w:r w:rsidRPr="007D1226">
        <w:rPr>
          <w:rFonts w:ascii="Arial" w:hAnsi="Arial" w:cs="Arial"/>
          <w:sz w:val="20"/>
          <w:szCs w:val="20"/>
        </w:rPr>
        <w:t xml:space="preserve">, </w:t>
      </w:r>
      <w:r w:rsidRPr="007D1226">
        <w:rPr>
          <w:rFonts w:ascii="Arial" w:hAnsi="Arial" w:cs="Arial"/>
          <w:i/>
          <w:iCs/>
          <w:sz w:val="20"/>
          <w:szCs w:val="20"/>
        </w:rPr>
        <w:t>22</w:t>
      </w:r>
      <w:r w:rsidRPr="007D1226">
        <w:rPr>
          <w:rFonts w:ascii="Arial" w:hAnsi="Arial" w:cs="Arial"/>
          <w:sz w:val="20"/>
          <w:szCs w:val="20"/>
        </w:rPr>
        <w:t>(1), 155–165. https://doi.org/10.69984/jopsoa.v22i1.66</w:t>
      </w:r>
    </w:p>
    <w:p w14:paraId="52C31E2F"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R. Escobar, M. (2023). Teacher’s Competencies in Teaching Home Economics to the Acquisition of Student’s 21st Century Skills. </w:t>
      </w:r>
      <w:r w:rsidRPr="007D1226">
        <w:rPr>
          <w:rFonts w:ascii="Arial" w:hAnsi="Arial" w:cs="Arial"/>
          <w:i/>
          <w:iCs/>
          <w:sz w:val="20"/>
          <w:szCs w:val="20"/>
        </w:rPr>
        <w:t>International Journal of Research Publications</w:t>
      </w:r>
      <w:r w:rsidRPr="007D1226">
        <w:rPr>
          <w:rFonts w:ascii="Arial" w:hAnsi="Arial" w:cs="Arial"/>
          <w:sz w:val="20"/>
          <w:szCs w:val="20"/>
        </w:rPr>
        <w:t xml:space="preserve">, </w:t>
      </w:r>
      <w:r w:rsidRPr="007D1226">
        <w:rPr>
          <w:rFonts w:ascii="Arial" w:hAnsi="Arial" w:cs="Arial"/>
          <w:i/>
          <w:iCs/>
          <w:sz w:val="20"/>
          <w:szCs w:val="20"/>
        </w:rPr>
        <w:t>123</w:t>
      </w:r>
      <w:r w:rsidRPr="007D1226">
        <w:rPr>
          <w:rFonts w:ascii="Arial" w:hAnsi="Arial" w:cs="Arial"/>
          <w:sz w:val="20"/>
          <w:szCs w:val="20"/>
        </w:rPr>
        <w:t>(1). https://doi.org/10.47119/IJRP1001231420234694</w:t>
      </w:r>
    </w:p>
    <w:p w14:paraId="2269E3A4"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Raihani, R. (2022). School Leadership Practices and Identity Politics in a Multicultural Society: The Case of Indonesia. </w:t>
      </w:r>
      <w:r w:rsidRPr="007D1226">
        <w:rPr>
          <w:rFonts w:ascii="Arial" w:hAnsi="Arial" w:cs="Arial"/>
          <w:i/>
          <w:iCs/>
          <w:sz w:val="20"/>
          <w:szCs w:val="20"/>
        </w:rPr>
        <w:t>Journal of Asian Social Science Research</w:t>
      </w:r>
      <w:r w:rsidRPr="007D1226">
        <w:rPr>
          <w:rFonts w:ascii="Arial" w:hAnsi="Arial" w:cs="Arial"/>
          <w:sz w:val="20"/>
          <w:szCs w:val="20"/>
        </w:rPr>
        <w:t xml:space="preserve">, </w:t>
      </w:r>
      <w:r w:rsidRPr="007D1226">
        <w:rPr>
          <w:rFonts w:ascii="Arial" w:hAnsi="Arial" w:cs="Arial"/>
          <w:i/>
          <w:iCs/>
          <w:sz w:val="20"/>
          <w:szCs w:val="20"/>
        </w:rPr>
        <w:t>4</w:t>
      </w:r>
      <w:r w:rsidRPr="007D1226">
        <w:rPr>
          <w:rFonts w:ascii="Arial" w:hAnsi="Arial" w:cs="Arial"/>
          <w:sz w:val="20"/>
          <w:szCs w:val="20"/>
        </w:rPr>
        <w:t>(1), 23–42. https://doi.org/10.15575/jassr.v4i1.61</w:t>
      </w:r>
    </w:p>
    <w:p w14:paraId="534EDA00"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lang w:val="it-IT"/>
        </w:rPr>
        <w:t xml:space="preserve">Romero, J. D., Sanche, L. C., &amp; Akiapat, G. D. (2024). </w:t>
      </w:r>
      <w:r w:rsidRPr="007D1226">
        <w:rPr>
          <w:rFonts w:ascii="Arial" w:hAnsi="Arial" w:cs="Arial"/>
          <w:sz w:val="20"/>
          <w:szCs w:val="20"/>
        </w:rPr>
        <w:t xml:space="preserve">ASSESSING CAREER READINESS AMONG TECHNICAL VOCATIONAL HOME ECONOMICS GRADUATES: A LITERATURE REVIEW. </w:t>
      </w:r>
      <w:r w:rsidRPr="007D1226">
        <w:rPr>
          <w:rFonts w:ascii="Arial" w:hAnsi="Arial" w:cs="Arial"/>
          <w:i/>
          <w:iCs/>
          <w:sz w:val="20"/>
          <w:szCs w:val="20"/>
        </w:rPr>
        <w:t>Cognizance Journal of Multidisciplinary Studies</w:t>
      </w:r>
      <w:r w:rsidRPr="007D1226">
        <w:rPr>
          <w:rFonts w:ascii="Arial" w:hAnsi="Arial" w:cs="Arial"/>
          <w:sz w:val="20"/>
          <w:szCs w:val="20"/>
        </w:rPr>
        <w:t xml:space="preserve">, </w:t>
      </w:r>
      <w:r w:rsidRPr="007D1226">
        <w:rPr>
          <w:rFonts w:ascii="Arial" w:hAnsi="Arial" w:cs="Arial"/>
          <w:i/>
          <w:iCs/>
          <w:sz w:val="20"/>
          <w:szCs w:val="20"/>
        </w:rPr>
        <w:t>4</w:t>
      </w:r>
      <w:r w:rsidRPr="007D1226">
        <w:rPr>
          <w:rFonts w:ascii="Arial" w:hAnsi="Arial" w:cs="Arial"/>
          <w:sz w:val="20"/>
          <w:szCs w:val="20"/>
        </w:rPr>
        <w:t>(3), 195–205. https://doi.org/10.47760/cognizance.2024.v04i03.017</w:t>
      </w:r>
    </w:p>
    <w:p w14:paraId="130E2086"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lang w:val="it-IT"/>
        </w:rPr>
        <w:t xml:space="preserve">Santillan, J. P., Martin, J. T., &amp; Balinas, E. S. (2020). </w:t>
      </w:r>
      <w:r w:rsidRPr="007D1226">
        <w:rPr>
          <w:rFonts w:ascii="Arial" w:hAnsi="Arial" w:cs="Arial"/>
          <w:sz w:val="20"/>
          <w:szCs w:val="20"/>
        </w:rPr>
        <w:t xml:space="preserve">Desired Teacher Education Graduate Attributes vis-a-vis Hiring-Related Requirements of Employers. </w:t>
      </w:r>
      <w:r w:rsidRPr="007D1226">
        <w:rPr>
          <w:rFonts w:ascii="Arial" w:hAnsi="Arial" w:cs="Arial"/>
          <w:i/>
          <w:iCs/>
          <w:sz w:val="20"/>
          <w:szCs w:val="20"/>
        </w:rPr>
        <w:t>Universal Journal of Educational Research</w:t>
      </w:r>
      <w:r w:rsidRPr="007D1226">
        <w:rPr>
          <w:rFonts w:ascii="Arial" w:hAnsi="Arial" w:cs="Arial"/>
          <w:sz w:val="20"/>
          <w:szCs w:val="20"/>
        </w:rPr>
        <w:t xml:space="preserve">, </w:t>
      </w:r>
      <w:r w:rsidRPr="007D1226">
        <w:rPr>
          <w:rFonts w:ascii="Arial" w:hAnsi="Arial" w:cs="Arial"/>
          <w:i/>
          <w:iCs/>
          <w:sz w:val="20"/>
          <w:szCs w:val="20"/>
        </w:rPr>
        <w:t>8</w:t>
      </w:r>
      <w:r w:rsidRPr="007D1226">
        <w:rPr>
          <w:rFonts w:ascii="Arial" w:hAnsi="Arial" w:cs="Arial"/>
          <w:sz w:val="20"/>
          <w:szCs w:val="20"/>
        </w:rPr>
        <w:t>(4), 1461–1465. https://doi.org/10.13189/ujer.2020.080439</w:t>
      </w:r>
    </w:p>
    <w:p w14:paraId="20026516"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lang w:val="en-PH"/>
        </w:rPr>
        <w:lastRenderedPageBreak/>
        <w:t xml:space="preserve">Savvopoulos, D., Saiti, A., &amp; Arar, K. (2024). </w:t>
      </w:r>
      <w:r w:rsidRPr="007D1226">
        <w:rPr>
          <w:rFonts w:ascii="Arial" w:hAnsi="Arial" w:cs="Arial"/>
          <w:sz w:val="20"/>
          <w:szCs w:val="20"/>
        </w:rPr>
        <w:t xml:space="preserve">The role of the school head in inclusion and culturally responsive leadership. </w:t>
      </w:r>
      <w:r w:rsidRPr="007D1226">
        <w:rPr>
          <w:rFonts w:ascii="Arial" w:hAnsi="Arial" w:cs="Arial"/>
          <w:i/>
          <w:iCs/>
          <w:sz w:val="20"/>
          <w:szCs w:val="20"/>
        </w:rPr>
        <w:t>Journal of Educational Administration and History</w:t>
      </w:r>
      <w:r w:rsidRPr="007D1226">
        <w:rPr>
          <w:rFonts w:ascii="Arial" w:hAnsi="Arial" w:cs="Arial"/>
          <w:sz w:val="20"/>
          <w:szCs w:val="20"/>
        </w:rPr>
        <w:t xml:space="preserve">, </w:t>
      </w:r>
      <w:r w:rsidRPr="007D1226">
        <w:rPr>
          <w:rFonts w:ascii="Arial" w:hAnsi="Arial" w:cs="Arial"/>
          <w:i/>
          <w:iCs/>
          <w:sz w:val="20"/>
          <w:szCs w:val="20"/>
        </w:rPr>
        <w:t>56</w:t>
      </w:r>
      <w:r w:rsidRPr="007D1226">
        <w:rPr>
          <w:rFonts w:ascii="Arial" w:hAnsi="Arial" w:cs="Arial"/>
          <w:sz w:val="20"/>
          <w:szCs w:val="20"/>
        </w:rPr>
        <w:t>(2), 107–131. https://doi.org/10.1080/00220620.2022.2122419</w:t>
      </w:r>
    </w:p>
    <w:p w14:paraId="16ECBD82"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T</w:t>
      </w:r>
      <w:r w:rsidRPr="007D1226">
        <w:rPr>
          <w:rFonts w:ascii="Arial" w:hAnsi="Arial" w:cs="Arial"/>
          <w:sz w:val="20"/>
          <w:szCs w:val="20"/>
          <w:lang w:val="en-PH"/>
        </w:rPr>
        <w:t xml:space="preserve">an, R. A., Argate, R., &amp; Barcoso, H. L. (2020). </w:t>
      </w:r>
      <w:r w:rsidRPr="007D1226">
        <w:rPr>
          <w:rFonts w:ascii="Arial" w:hAnsi="Arial" w:cs="Arial"/>
          <w:sz w:val="20"/>
          <w:szCs w:val="20"/>
        </w:rPr>
        <w:t xml:space="preserve">Gender Role and Supervisory Styles of Public-School Heads. </w:t>
      </w:r>
      <w:r w:rsidRPr="007D1226">
        <w:rPr>
          <w:rFonts w:ascii="Arial" w:hAnsi="Arial" w:cs="Arial"/>
          <w:i/>
          <w:iCs/>
          <w:sz w:val="20"/>
          <w:szCs w:val="20"/>
        </w:rPr>
        <w:t>Journal of World Englishes and Educational Practices</w:t>
      </w:r>
      <w:r w:rsidRPr="007D1226">
        <w:rPr>
          <w:rFonts w:ascii="Arial" w:hAnsi="Arial" w:cs="Arial"/>
          <w:sz w:val="20"/>
          <w:szCs w:val="20"/>
        </w:rPr>
        <w:t xml:space="preserve">, </w:t>
      </w:r>
      <w:r w:rsidRPr="007D1226">
        <w:rPr>
          <w:rFonts w:ascii="Arial" w:hAnsi="Arial" w:cs="Arial"/>
          <w:i/>
          <w:iCs/>
          <w:sz w:val="20"/>
          <w:szCs w:val="20"/>
        </w:rPr>
        <w:t>2</w:t>
      </w:r>
      <w:r w:rsidRPr="007D1226">
        <w:rPr>
          <w:rFonts w:ascii="Arial" w:hAnsi="Arial" w:cs="Arial"/>
          <w:sz w:val="20"/>
          <w:szCs w:val="20"/>
        </w:rPr>
        <w:t>(6), 01–12. https://doi.org/10.32996/jweep.2020.2.6.1</w:t>
      </w:r>
    </w:p>
    <w:p w14:paraId="132EE6C4"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Topchyan, R., &amp; Woehler, C. (2021). Do Teacher Status, Gender, and Years of Teaching Experience Impact Job Satisfaction and Work Engagement? </w:t>
      </w:r>
      <w:r w:rsidRPr="007D1226">
        <w:rPr>
          <w:rFonts w:ascii="Arial" w:hAnsi="Arial" w:cs="Arial"/>
          <w:i/>
          <w:iCs/>
          <w:sz w:val="20"/>
          <w:szCs w:val="20"/>
        </w:rPr>
        <w:t>Education and Urban Society</w:t>
      </w:r>
      <w:r w:rsidRPr="007D1226">
        <w:rPr>
          <w:rFonts w:ascii="Arial" w:hAnsi="Arial" w:cs="Arial"/>
          <w:sz w:val="20"/>
          <w:szCs w:val="20"/>
        </w:rPr>
        <w:t xml:space="preserve">, </w:t>
      </w:r>
      <w:r w:rsidRPr="007D1226">
        <w:rPr>
          <w:rFonts w:ascii="Arial" w:hAnsi="Arial" w:cs="Arial"/>
          <w:i/>
          <w:iCs/>
          <w:sz w:val="20"/>
          <w:szCs w:val="20"/>
        </w:rPr>
        <w:t>53</w:t>
      </w:r>
      <w:r w:rsidRPr="007D1226">
        <w:rPr>
          <w:rFonts w:ascii="Arial" w:hAnsi="Arial" w:cs="Arial"/>
          <w:sz w:val="20"/>
          <w:szCs w:val="20"/>
        </w:rPr>
        <w:t>(2), 119–145. https://doi.org/10.1177/0013124520926161</w:t>
      </w:r>
    </w:p>
    <w:p w14:paraId="0957AC12"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Tsubono, K., Oba, K., Fudetani, Y., Ikeda, C., &amp; Sakamoto, J. (2024). Multidimensional analysis of schoolteachers’ occupational stress by the New Brief Job Stress Questionnaire: Focusing on gender differences. </w:t>
      </w:r>
      <w:r w:rsidRPr="007D1226">
        <w:rPr>
          <w:rFonts w:ascii="Arial" w:hAnsi="Arial" w:cs="Arial"/>
          <w:i/>
          <w:iCs/>
          <w:sz w:val="20"/>
          <w:szCs w:val="20"/>
        </w:rPr>
        <w:t>Industrial Health</w:t>
      </w:r>
      <w:r w:rsidRPr="007D1226">
        <w:rPr>
          <w:rFonts w:ascii="Arial" w:hAnsi="Arial" w:cs="Arial"/>
          <w:sz w:val="20"/>
          <w:szCs w:val="20"/>
        </w:rPr>
        <w:t xml:space="preserve">, </w:t>
      </w:r>
      <w:r w:rsidRPr="007D1226">
        <w:rPr>
          <w:rFonts w:ascii="Arial" w:hAnsi="Arial" w:cs="Arial"/>
          <w:i/>
          <w:iCs/>
          <w:sz w:val="20"/>
          <w:szCs w:val="20"/>
        </w:rPr>
        <w:t>62</w:t>
      </w:r>
      <w:r w:rsidRPr="007D1226">
        <w:rPr>
          <w:rFonts w:ascii="Arial" w:hAnsi="Arial" w:cs="Arial"/>
          <w:sz w:val="20"/>
          <w:szCs w:val="20"/>
        </w:rPr>
        <w:t>(1), 39–55. https://doi.org/10.2486/indhealth.2023-0018</w:t>
      </w:r>
    </w:p>
    <w:p w14:paraId="0370F13B"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Williams, I., Millward, O., &amp; Layton, R. (Eds.). (2019). </w:t>
      </w:r>
      <w:r w:rsidRPr="007D1226">
        <w:rPr>
          <w:rFonts w:ascii="Arial" w:hAnsi="Arial" w:cs="Arial"/>
          <w:i/>
          <w:iCs/>
          <w:sz w:val="20"/>
          <w:szCs w:val="20"/>
        </w:rPr>
        <w:t>Gender Gaps and the Social Inclusion Movement in ICT:</w:t>
      </w:r>
      <w:r w:rsidRPr="007D1226">
        <w:rPr>
          <w:rFonts w:ascii="Arial" w:hAnsi="Arial" w:cs="Arial"/>
          <w:sz w:val="20"/>
          <w:szCs w:val="20"/>
        </w:rPr>
        <w:t xml:space="preserve"> IGI Global. https://doi.org/10.4018/978-1-5225-7068-4</w:t>
      </w:r>
    </w:p>
    <w:p w14:paraId="1EE30AE0"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Winslow, S. (2010). Gender Inequality and Time Allocations Among Academic Faculty. </w:t>
      </w:r>
      <w:r w:rsidRPr="007D1226">
        <w:rPr>
          <w:rFonts w:ascii="Arial" w:hAnsi="Arial" w:cs="Arial"/>
          <w:i/>
          <w:iCs/>
          <w:sz w:val="20"/>
          <w:szCs w:val="20"/>
        </w:rPr>
        <w:t>Gender &amp; Society</w:t>
      </w:r>
      <w:r w:rsidRPr="007D1226">
        <w:rPr>
          <w:rFonts w:ascii="Arial" w:hAnsi="Arial" w:cs="Arial"/>
          <w:sz w:val="20"/>
          <w:szCs w:val="20"/>
        </w:rPr>
        <w:t xml:space="preserve">, </w:t>
      </w:r>
      <w:r w:rsidRPr="007D1226">
        <w:rPr>
          <w:rFonts w:ascii="Arial" w:hAnsi="Arial" w:cs="Arial"/>
          <w:i/>
          <w:iCs/>
          <w:sz w:val="20"/>
          <w:szCs w:val="20"/>
        </w:rPr>
        <w:t>24</w:t>
      </w:r>
      <w:r w:rsidRPr="007D1226">
        <w:rPr>
          <w:rFonts w:ascii="Arial" w:hAnsi="Arial" w:cs="Arial"/>
          <w:sz w:val="20"/>
          <w:szCs w:val="20"/>
        </w:rPr>
        <w:t>(6), 769–793. https://doi.org/10.1177/0891243210386728</w:t>
      </w:r>
    </w:p>
    <w:p w14:paraId="0724EDD3"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Won, D., Bravo, G., &amp; Lee, C. (2013). Careers in collegiate athletic administration: Hiring criteria and skills needed for success. </w:t>
      </w:r>
      <w:r w:rsidRPr="007D1226">
        <w:rPr>
          <w:rFonts w:ascii="Arial" w:hAnsi="Arial" w:cs="Arial"/>
          <w:i/>
          <w:iCs/>
          <w:sz w:val="20"/>
          <w:szCs w:val="20"/>
        </w:rPr>
        <w:t>Managing Leisure</w:t>
      </w:r>
      <w:r w:rsidRPr="007D1226">
        <w:rPr>
          <w:rFonts w:ascii="Arial" w:hAnsi="Arial" w:cs="Arial"/>
          <w:sz w:val="20"/>
          <w:szCs w:val="20"/>
        </w:rPr>
        <w:t xml:space="preserve">, </w:t>
      </w:r>
      <w:r w:rsidRPr="007D1226">
        <w:rPr>
          <w:rFonts w:ascii="Arial" w:hAnsi="Arial" w:cs="Arial"/>
          <w:i/>
          <w:iCs/>
          <w:sz w:val="20"/>
          <w:szCs w:val="20"/>
        </w:rPr>
        <w:t>18</w:t>
      </w:r>
      <w:r w:rsidRPr="007D1226">
        <w:rPr>
          <w:rFonts w:ascii="Arial" w:hAnsi="Arial" w:cs="Arial"/>
          <w:sz w:val="20"/>
          <w:szCs w:val="20"/>
        </w:rPr>
        <w:t>(1), 71–91. https://doi.org/10.1080/13606719.2012.742222</w:t>
      </w:r>
    </w:p>
    <w:p w14:paraId="2EC45ED7" w14:textId="77777777" w:rsidR="00C373D5" w:rsidRPr="00E47F82" w:rsidRDefault="00C373D5" w:rsidP="00C373D5">
      <w:pPr>
        <w:pStyle w:val="reference0"/>
        <w:spacing w:after="120" w:line="240" w:lineRule="auto"/>
        <w:ind w:left="0" w:firstLine="0"/>
        <w:rPr>
          <w:rFonts w:ascii="Arial" w:hAnsi="Arial" w:cs="Arial"/>
          <w:bCs/>
          <w:sz w:val="20"/>
        </w:rPr>
      </w:pPr>
      <w:r w:rsidRPr="007D1226">
        <w:rPr>
          <w:rFonts w:ascii="Arial" w:hAnsi="Arial" w:cs="Arial"/>
          <w:sz w:val="20"/>
        </w:rPr>
        <w:fldChar w:fldCharType="end"/>
      </w:r>
    </w:p>
    <w:bookmarkEnd w:id="4"/>
    <w:p w14:paraId="37A1755F" w14:textId="55CC9BF2" w:rsidR="00C373D5" w:rsidRPr="00FB3A86" w:rsidRDefault="00C373D5" w:rsidP="00441B6F">
      <w:pPr>
        <w:pStyle w:val="Appendix"/>
        <w:spacing w:after="0"/>
        <w:jc w:val="both"/>
        <w:rPr>
          <w:rFonts w:ascii="Arial" w:hAnsi="Arial" w:cs="Arial"/>
          <w:b w:val="0"/>
        </w:rPr>
        <w:sectPr w:rsidR="00C373D5" w:rsidRPr="00FB3A86" w:rsidSect="00231B88">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48207CAD" w14:textId="77777777" w:rsidR="00B01FCD" w:rsidRPr="00FB3A86" w:rsidRDefault="00B01FCD" w:rsidP="00441B6F">
      <w:pPr>
        <w:pStyle w:val="Appendix"/>
        <w:spacing w:after="0"/>
        <w:jc w:val="both"/>
        <w:rPr>
          <w:rFonts w:ascii="Arial" w:hAnsi="Arial" w:cs="Arial"/>
          <w:b w:val="0"/>
        </w:rPr>
      </w:pPr>
    </w:p>
    <w:p w14:paraId="2C3277A7" w14:textId="77777777" w:rsidR="00AC530E" w:rsidRPr="00FB3A86" w:rsidRDefault="00AC530E">
      <w:pPr>
        <w:pStyle w:val="Appendix"/>
        <w:spacing w:after="0"/>
        <w:jc w:val="both"/>
        <w:rPr>
          <w:rFonts w:ascii="Arial" w:hAnsi="Arial" w:cs="Arial"/>
          <w:b w:val="0"/>
        </w:rPr>
      </w:pPr>
    </w:p>
    <w:sectPr w:rsidR="00AC530E" w:rsidRPr="00FB3A86" w:rsidSect="00231B8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CCAEA" w14:textId="77777777" w:rsidR="004A1680" w:rsidRDefault="004A1680" w:rsidP="00C37E61">
      <w:r>
        <w:separator/>
      </w:r>
    </w:p>
  </w:endnote>
  <w:endnote w:type="continuationSeparator" w:id="0">
    <w:p w14:paraId="6ED516D3" w14:textId="77777777" w:rsidR="004A1680" w:rsidRDefault="004A168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89625" w14:textId="77777777" w:rsidR="00231B88" w:rsidRDefault="00231B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32277" w14:textId="77777777" w:rsidR="00231B88" w:rsidRDefault="00231B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18B3E" w14:textId="77777777" w:rsidR="009E048A" w:rsidRDefault="009E048A">
    <w:pPr>
      <w:pStyle w:val="Footer"/>
      <w:rPr>
        <w:rFonts w:ascii="Arial" w:hAnsi="Arial" w:cs="Arial"/>
        <w:sz w:val="16"/>
      </w:rPr>
    </w:pPr>
  </w:p>
  <w:p w14:paraId="4877974C"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EF42D48" w14:textId="77777777" w:rsidR="009E048A" w:rsidRDefault="009E048A">
    <w:pPr>
      <w:pStyle w:val="Footer"/>
      <w:rPr>
        <w:rFonts w:ascii="Arial" w:hAnsi="Arial" w:cs="Arial"/>
        <w:sz w:val="16"/>
      </w:rPr>
    </w:pPr>
  </w:p>
  <w:p w14:paraId="6879E17F"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3A638" w14:textId="77777777" w:rsidR="00C37E61" w:rsidRPr="00C37E61" w:rsidRDefault="00C37E61"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C434C" w14:textId="77777777" w:rsidR="004A1680" w:rsidRDefault="004A1680" w:rsidP="00C37E61">
      <w:r>
        <w:separator/>
      </w:r>
    </w:p>
  </w:footnote>
  <w:footnote w:type="continuationSeparator" w:id="0">
    <w:p w14:paraId="28397227" w14:textId="77777777" w:rsidR="004A1680" w:rsidRDefault="004A1680"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DDDF7" w14:textId="27EFECA5" w:rsidR="00231B88" w:rsidRDefault="004A1680">
    <w:pPr>
      <w:pStyle w:val="Header"/>
    </w:pPr>
    <w:r>
      <w:rPr>
        <w:noProof/>
      </w:rPr>
      <w:pict w14:anchorId="1FC6C7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1087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D4EF0" w14:textId="3E73B96B" w:rsidR="00231B88" w:rsidRDefault="004A1680">
    <w:pPr>
      <w:pStyle w:val="Header"/>
    </w:pPr>
    <w:r>
      <w:rPr>
        <w:noProof/>
      </w:rPr>
      <w:pict w14:anchorId="77EF9D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1087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1412F" w14:textId="04B74E5D" w:rsidR="00296529" w:rsidRPr="00296529" w:rsidRDefault="004A1680" w:rsidP="00296529">
    <w:pPr>
      <w:ind w:left="2160"/>
      <w:jc w:val="center"/>
      <w:rPr>
        <w:rFonts w:ascii="Times New Roman" w:eastAsia="Calibri" w:hAnsi="Times New Roman"/>
        <w:i/>
        <w:sz w:val="18"/>
        <w:szCs w:val="22"/>
      </w:rPr>
    </w:pPr>
    <w:r>
      <w:rPr>
        <w:noProof/>
      </w:rPr>
      <w:pict w14:anchorId="7FCA08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1087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22E77B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BB3D14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C700E9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1EDB96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7EECE3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F6991A8" w14:textId="77777777" w:rsidR="00296529" w:rsidRDefault="00754C9A">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494AF" w14:textId="76935E0C" w:rsidR="00231B88" w:rsidRDefault="004A1680">
    <w:pPr>
      <w:pStyle w:val="Header"/>
    </w:pPr>
    <w:r>
      <w:rPr>
        <w:noProof/>
      </w:rPr>
      <w:pict w14:anchorId="0C56BC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10870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CA60C" w14:textId="111061F8" w:rsidR="00231B88" w:rsidRDefault="004A1680">
    <w:pPr>
      <w:pStyle w:val="Header"/>
    </w:pPr>
    <w:r>
      <w:rPr>
        <w:noProof/>
      </w:rPr>
      <w:pict w14:anchorId="0A26E4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10870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D6C95" w14:textId="0C5B2F06" w:rsidR="00231B88" w:rsidRDefault="004A1680">
    <w:pPr>
      <w:pStyle w:val="Header"/>
    </w:pPr>
    <w:r>
      <w:rPr>
        <w:noProof/>
      </w:rPr>
      <w:pict w14:anchorId="31F483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10870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B1C55A0"/>
    <w:multiLevelType w:val="multilevel"/>
    <w:tmpl w:val="2910A94A"/>
    <w:lvl w:ilvl="0">
      <w:start w:val="3"/>
      <w:numFmt w:val="decimal"/>
      <w:lvlText w:val="%1"/>
      <w:lvlJc w:val="left"/>
      <w:pPr>
        <w:ind w:left="444" w:hanging="444"/>
      </w:pPr>
      <w:rPr>
        <w:rFonts w:hint="default"/>
      </w:rPr>
    </w:lvl>
    <w:lvl w:ilvl="1">
      <w:start w:val="1"/>
      <w:numFmt w:val="decimal"/>
      <w:lvlText w:val="%1.%2"/>
      <w:lvlJc w:val="left"/>
      <w:pPr>
        <w:ind w:left="657" w:hanging="444"/>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BB3E75"/>
    <w:multiLevelType w:val="multilevel"/>
    <w:tmpl w:val="822A0F90"/>
    <w:lvl w:ilvl="0">
      <w:start w:val="3"/>
      <w:numFmt w:val="decimal"/>
      <w:lvlText w:val="%1"/>
      <w:lvlJc w:val="left"/>
      <w:pPr>
        <w:ind w:left="444" w:hanging="444"/>
      </w:pPr>
      <w:rPr>
        <w:rFonts w:hint="default"/>
      </w:rPr>
    </w:lvl>
    <w:lvl w:ilvl="1">
      <w:start w:val="2"/>
      <w:numFmt w:val="decimal"/>
      <w:lvlText w:val="%1.%2"/>
      <w:lvlJc w:val="left"/>
      <w:pPr>
        <w:ind w:left="657" w:hanging="444"/>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AC95FC9"/>
    <w:multiLevelType w:val="hybridMultilevel"/>
    <w:tmpl w:val="475C120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1042ADE"/>
    <w:multiLevelType w:val="hybridMultilevel"/>
    <w:tmpl w:val="172C79F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EAC7B1D"/>
    <w:multiLevelType w:val="hybridMultilevel"/>
    <w:tmpl w:val="9F02912C"/>
    <w:lvl w:ilvl="0" w:tplc="3409000F">
      <w:start w:val="1"/>
      <w:numFmt w:val="decimal"/>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4"/>
  </w:num>
  <w:num w:numId="9">
    <w:abstractNumId w:val="30"/>
  </w:num>
  <w:num w:numId="10">
    <w:abstractNumId w:val="2"/>
  </w:num>
  <w:num w:numId="11">
    <w:abstractNumId w:val="22"/>
  </w:num>
  <w:num w:numId="12">
    <w:abstractNumId w:val="3"/>
  </w:num>
  <w:num w:numId="13">
    <w:abstractNumId w:val="20"/>
  </w:num>
  <w:num w:numId="14">
    <w:abstractNumId w:val="9"/>
  </w:num>
  <w:num w:numId="15">
    <w:abstractNumId w:val="26"/>
  </w:num>
  <w:num w:numId="16">
    <w:abstractNumId w:val="5"/>
  </w:num>
  <w:num w:numId="17">
    <w:abstractNumId w:val="27"/>
  </w:num>
  <w:num w:numId="18">
    <w:abstractNumId w:val="16"/>
  </w:num>
  <w:num w:numId="19">
    <w:abstractNumId w:val="33"/>
  </w:num>
  <w:num w:numId="20">
    <w:abstractNumId w:val="13"/>
  </w:num>
  <w:num w:numId="21">
    <w:abstractNumId w:val="10"/>
  </w:num>
  <w:num w:numId="22">
    <w:abstractNumId w:val="15"/>
  </w:num>
  <w:num w:numId="23">
    <w:abstractNumId w:val="24"/>
  </w:num>
  <w:num w:numId="24">
    <w:abstractNumId w:val="31"/>
  </w:num>
  <w:num w:numId="25">
    <w:abstractNumId w:val="4"/>
  </w:num>
  <w:num w:numId="26">
    <w:abstractNumId w:val="19"/>
  </w:num>
  <w:num w:numId="27">
    <w:abstractNumId w:val="25"/>
  </w:num>
  <w:num w:numId="28">
    <w:abstractNumId w:val="32"/>
  </w:num>
  <w:num w:numId="29">
    <w:abstractNumId w:val="29"/>
  </w:num>
  <w:num w:numId="30">
    <w:abstractNumId w:val="11"/>
  </w:num>
  <w:num w:numId="31">
    <w:abstractNumId w:val="23"/>
  </w:num>
  <w:num w:numId="32">
    <w:abstractNumId w:val="17"/>
  </w:num>
  <w:num w:numId="33">
    <w:abstractNumId w:val="21"/>
  </w:num>
  <w:num w:numId="34">
    <w:abstractNumId w:val="6"/>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03239"/>
    <w:rsid w:val="00030174"/>
    <w:rsid w:val="0004579C"/>
    <w:rsid w:val="00073711"/>
    <w:rsid w:val="000A47FA"/>
    <w:rsid w:val="000A65D3"/>
    <w:rsid w:val="000B1E33"/>
    <w:rsid w:val="000B709F"/>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27AD4"/>
    <w:rsid w:val="00231920"/>
    <w:rsid w:val="0023195C"/>
    <w:rsid w:val="00231B88"/>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4471F"/>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A1680"/>
    <w:rsid w:val="004D305E"/>
    <w:rsid w:val="004D3937"/>
    <w:rsid w:val="004D4277"/>
    <w:rsid w:val="00502516"/>
    <w:rsid w:val="00505F06"/>
    <w:rsid w:val="00506828"/>
    <w:rsid w:val="0053056E"/>
    <w:rsid w:val="005516A6"/>
    <w:rsid w:val="00554FDA"/>
    <w:rsid w:val="00587FBA"/>
    <w:rsid w:val="005C784C"/>
    <w:rsid w:val="005D17F6"/>
    <w:rsid w:val="005D2D5C"/>
    <w:rsid w:val="005E5539"/>
    <w:rsid w:val="005F4E8C"/>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6F5C7E"/>
    <w:rsid w:val="0070082C"/>
    <w:rsid w:val="007369E6"/>
    <w:rsid w:val="00746E59"/>
    <w:rsid w:val="00754C9A"/>
    <w:rsid w:val="0075599A"/>
    <w:rsid w:val="00761D52"/>
    <w:rsid w:val="00770746"/>
    <w:rsid w:val="0077749E"/>
    <w:rsid w:val="00790ADA"/>
    <w:rsid w:val="007D1226"/>
    <w:rsid w:val="007D2288"/>
    <w:rsid w:val="007E088F"/>
    <w:rsid w:val="007F7B32"/>
    <w:rsid w:val="00804BC2"/>
    <w:rsid w:val="0081431A"/>
    <w:rsid w:val="0083216F"/>
    <w:rsid w:val="00860000"/>
    <w:rsid w:val="00863BD3"/>
    <w:rsid w:val="008641ED"/>
    <w:rsid w:val="00866D66"/>
    <w:rsid w:val="008671C6"/>
    <w:rsid w:val="00875803"/>
    <w:rsid w:val="0087767F"/>
    <w:rsid w:val="008A4A5E"/>
    <w:rsid w:val="008B459E"/>
    <w:rsid w:val="008E13AE"/>
    <w:rsid w:val="008E1506"/>
    <w:rsid w:val="008E3FDD"/>
    <w:rsid w:val="008E710C"/>
    <w:rsid w:val="008F69D6"/>
    <w:rsid w:val="00902823"/>
    <w:rsid w:val="00915CA6"/>
    <w:rsid w:val="00927834"/>
    <w:rsid w:val="009500A6"/>
    <w:rsid w:val="00957C18"/>
    <w:rsid w:val="009659BA"/>
    <w:rsid w:val="00983040"/>
    <w:rsid w:val="009A095B"/>
    <w:rsid w:val="009A6993"/>
    <w:rsid w:val="009B3FB9"/>
    <w:rsid w:val="009C2465"/>
    <w:rsid w:val="009D35A0"/>
    <w:rsid w:val="009D57C8"/>
    <w:rsid w:val="009D7EB7"/>
    <w:rsid w:val="009E048A"/>
    <w:rsid w:val="009E08E9"/>
    <w:rsid w:val="009E3DB9"/>
    <w:rsid w:val="009E6E35"/>
    <w:rsid w:val="009F0EDA"/>
    <w:rsid w:val="009F20A1"/>
    <w:rsid w:val="00A03B96"/>
    <w:rsid w:val="00A05B19"/>
    <w:rsid w:val="00A1134E"/>
    <w:rsid w:val="00A24E7E"/>
    <w:rsid w:val="00A258C3"/>
    <w:rsid w:val="00A347C0"/>
    <w:rsid w:val="00A51431"/>
    <w:rsid w:val="00A539AD"/>
    <w:rsid w:val="00A66E16"/>
    <w:rsid w:val="00A84E24"/>
    <w:rsid w:val="00A94063"/>
    <w:rsid w:val="00AA6219"/>
    <w:rsid w:val="00AA74E0"/>
    <w:rsid w:val="00AB703F"/>
    <w:rsid w:val="00AC530E"/>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3D5"/>
    <w:rsid w:val="00C37E61"/>
    <w:rsid w:val="00C70F1B"/>
    <w:rsid w:val="00C71A47"/>
    <w:rsid w:val="00C7464C"/>
    <w:rsid w:val="00C75D0C"/>
    <w:rsid w:val="00C85588"/>
    <w:rsid w:val="00CD6755"/>
    <w:rsid w:val="00CD6856"/>
    <w:rsid w:val="00CE0089"/>
    <w:rsid w:val="00CE793C"/>
    <w:rsid w:val="00CF193C"/>
    <w:rsid w:val="00D173F1"/>
    <w:rsid w:val="00D30952"/>
    <w:rsid w:val="00D74CB0"/>
    <w:rsid w:val="00D8295D"/>
    <w:rsid w:val="00DC2A65"/>
    <w:rsid w:val="00DC68A3"/>
    <w:rsid w:val="00DE15F0"/>
    <w:rsid w:val="00DE5663"/>
    <w:rsid w:val="00DE78AA"/>
    <w:rsid w:val="00E053D0"/>
    <w:rsid w:val="00E061F3"/>
    <w:rsid w:val="00E07096"/>
    <w:rsid w:val="00E15994"/>
    <w:rsid w:val="00E3114E"/>
    <w:rsid w:val="00E31A70"/>
    <w:rsid w:val="00E35B02"/>
    <w:rsid w:val="00E66496"/>
    <w:rsid w:val="00E66B35"/>
    <w:rsid w:val="00E66E10"/>
    <w:rsid w:val="00E769F6"/>
    <w:rsid w:val="00E8407C"/>
    <w:rsid w:val="00E84F3C"/>
    <w:rsid w:val="00EA012C"/>
    <w:rsid w:val="00EC65D6"/>
    <w:rsid w:val="00EC6A55"/>
    <w:rsid w:val="00ED0288"/>
    <w:rsid w:val="00EE52CB"/>
    <w:rsid w:val="00EF581D"/>
    <w:rsid w:val="00EF63BD"/>
    <w:rsid w:val="00EF7FD8"/>
    <w:rsid w:val="00F06F59"/>
    <w:rsid w:val="00F17988"/>
    <w:rsid w:val="00F355E4"/>
    <w:rsid w:val="00F469F0"/>
    <w:rsid w:val="00F53273"/>
    <w:rsid w:val="00F63AFE"/>
    <w:rsid w:val="00F657A5"/>
    <w:rsid w:val="00F755E4"/>
    <w:rsid w:val="00F77D02"/>
    <w:rsid w:val="00FA6BF6"/>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F07747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227AD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NoSpacing">
    <w:name w:val="No Spacing"/>
    <w:uiPriority w:val="1"/>
    <w:qFormat/>
    <w:rsid w:val="00E07096"/>
    <w:rPr>
      <w:rFonts w:asciiTheme="minorHAnsi" w:eastAsiaTheme="minorEastAsia" w:hAnsiTheme="minorHAnsi"/>
      <w:sz w:val="22"/>
      <w:szCs w:val="22"/>
    </w:rPr>
  </w:style>
  <w:style w:type="paragraph" w:styleId="ListParagraph">
    <w:name w:val="List Paragraph"/>
    <w:aliases w:val="Body of text,List Paragraph1,Body of text1,kepala 1,Body of textCxSp,Paragraf ISI,Colorful List - Accent 11,Heading 10,kepala 11,Body of text2,kepala 12,Body of text3,kepala 13,Body of text4,kepala 14,Body of text11,kepala 111,kepala 121"/>
    <w:basedOn w:val="Normal"/>
    <w:link w:val="ListParagraphChar"/>
    <w:uiPriority w:val="34"/>
    <w:qFormat/>
    <w:rsid w:val="0087767F"/>
    <w:pPr>
      <w:spacing w:after="200" w:line="276" w:lineRule="auto"/>
      <w:ind w:left="720"/>
      <w:contextualSpacing/>
    </w:pPr>
    <w:rPr>
      <w:rFonts w:ascii="Calibri" w:eastAsiaTheme="minorEastAsia" w:hAnsi="Calibri" w:cs="Arial"/>
      <w:sz w:val="22"/>
      <w:szCs w:val="22"/>
    </w:rPr>
  </w:style>
  <w:style w:type="character" w:customStyle="1" w:styleId="ListParagraphChar">
    <w:name w:val="List Paragraph Char"/>
    <w:aliases w:val="Body of text Char,List Paragraph1 Char,Body of text1 Char,kepala 1 Char,Body of textCxSp Char,Paragraf ISI Char,Colorful List - Accent 11 Char,Heading 10 Char,kepala 11 Char,Body of text2 Char,kepala 12 Char,Body of text3 Char"/>
    <w:link w:val="ListParagraph"/>
    <w:uiPriority w:val="34"/>
    <w:qFormat/>
    <w:locked/>
    <w:rsid w:val="0087767F"/>
    <w:rPr>
      <w:rFonts w:ascii="Calibri" w:eastAsiaTheme="minorEastAsia" w:hAnsi="Calibri" w:cs="Arial"/>
      <w:sz w:val="22"/>
      <w:szCs w:val="22"/>
    </w:rPr>
  </w:style>
  <w:style w:type="paragraph" w:styleId="Bibliography">
    <w:name w:val="Bibliography"/>
    <w:basedOn w:val="Normal"/>
    <w:next w:val="Normal"/>
    <w:uiPriority w:val="37"/>
    <w:unhideWhenUsed/>
    <w:rsid w:val="00C373D5"/>
    <w:pPr>
      <w:spacing w:after="200" w:line="276" w:lineRule="auto"/>
    </w:pPr>
    <w:rPr>
      <w:rFonts w:asciiTheme="minorHAnsi" w:eastAsiaTheme="minorEastAsia" w:hAnsiTheme="minorHAnsi" w:cstheme="minorBidi"/>
      <w:sz w:val="22"/>
      <w:szCs w:val="22"/>
    </w:rPr>
  </w:style>
  <w:style w:type="paragraph" w:customStyle="1" w:styleId="reference0">
    <w:name w:val="reference"/>
    <w:basedOn w:val="Normal"/>
    <w:rsid w:val="00C373D5"/>
    <w:pPr>
      <w:keepLines/>
      <w:spacing w:line="220" w:lineRule="atLeast"/>
      <w:ind w:left="560" w:hanging="560"/>
      <w:jc w:val="both"/>
    </w:pPr>
    <w:rPr>
      <w:rFonts w:ascii="Times New Roman" w:hAnsi="Times New Roman"/>
      <w:sz w:val="24"/>
      <w:lang w:val="en-AU" w:eastAsia="tr-TR"/>
    </w:rPr>
  </w:style>
  <w:style w:type="character" w:customStyle="1" w:styleId="Heading2Char">
    <w:name w:val="Heading 2 Char"/>
    <w:basedOn w:val="DefaultParagraphFont"/>
    <w:link w:val="Heading2"/>
    <w:semiHidden/>
    <w:rsid w:val="00227AD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CB22E-CD70-477D-889E-979C6B416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99</TotalTime>
  <Pages>12</Pages>
  <Words>13363</Words>
  <Characters>76174</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89359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USER</cp:lastModifiedBy>
  <cp:revision>6</cp:revision>
  <cp:lastPrinted>1999-07-06T11:00:00Z</cp:lastPrinted>
  <dcterms:created xsi:type="dcterms:W3CDTF">2025-04-03T14:52:00Z</dcterms:created>
  <dcterms:modified xsi:type="dcterms:W3CDTF">2025-04-04T12:06:00Z</dcterms:modified>
</cp:coreProperties>
</file>