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74067">
      <w:pPr>
        <w:jc w:val="center"/>
        <w:rPr>
          <w:rFonts w:asciiTheme="majorBidi" w:hAnsiTheme="majorBidi" w:cstheme="majorBidi"/>
          <w:b/>
          <w:bCs/>
        </w:rPr>
      </w:pPr>
      <w:commentRangeStart w:id="0"/>
      <w:r>
        <w:rPr>
          <w:rFonts w:asciiTheme="majorBidi" w:hAnsiTheme="majorBidi" w:cstheme="majorBidi"/>
          <w:b/>
          <w:bCs/>
        </w:rPr>
        <w:t>Analysing the Relationship Between Financial Reporting Quality and Cost of Capital in Iraqi Banks</w:t>
      </w:r>
      <w:commentRangeEnd w:id="0"/>
      <w:r>
        <w:commentReference w:id="0"/>
      </w:r>
    </w:p>
    <w:p w14:paraId="1518CBCB">
      <w:pPr>
        <w:jc w:val="center"/>
        <w:rPr>
          <w:rFonts w:asciiTheme="majorBidi" w:hAnsiTheme="majorBidi" w:cstheme="majorBidi"/>
          <w:b/>
          <w:bCs/>
        </w:rPr>
      </w:pPr>
    </w:p>
    <w:p w14:paraId="3FFF6956">
      <w:pPr>
        <w:spacing w:after="0"/>
        <w:jc w:val="center"/>
        <w:rPr>
          <w:rFonts w:asciiTheme="majorBidi" w:hAnsiTheme="majorBidi" w:cstheme="majorBidi"/>
          <w:b/>
          <w:bCs/>
        </w:rPr>
      </w:pPr>
    </w:p>
    <w:p w14:paraId="0CD092C9">
      <w:pPr>
        <w:spacing w:after="0"/>
        <w:jc w:val="center"/>
        <w:rPr>
          <w:rFonts w:asciiTheme="majorBidi" w:hAnsiTheme="majorBidi" w:cstheme="majorBidi"/>
          <w:b/>
          <w:bCs/>
        </w:rPr>
      </w:pPr>
      <w:r>
        <w:rPr>
          <w:rFonts w:asciiTheme="majorBidi" w:hAnsiTheme="majorBidi" w:cstheme="majorBidi"/>
          <w:b/>
          <w:bCs/>
        </w:rPr>
        <w:t>Abstract</w:t>
      </w:r>
    </w:p>
    <w:p w14:paraId="4FB32026">
      <w:pPr>
        <w:pStyle w:val="18"/>
        <w:jc w:val="both"/>
      </w:pPr>
      <w:commentRangeStart w:id="1"/>
      <w:r>
        <w:t>This</w:t>
      </w:r>
      <w:commentRangeEnd w:id="1"/>
      <w:r>
        <w:commentReference w:id="1"/>
      </w:r>
      <w:r>
        <w:t xml:space="preserve"> study examined the impact of financial reporting quality on the cost of capital among listed Iraqi banks, recognizing the cost of capital as a vital determinant of financial stability, investment decisions, and economic growth. The research focused on how faithful representation, timeliness, and value relevance influence financing costs. The investigation adopted </w:t>
      </w:r>
      <w:r>
        <w:rPr>
          <w:i/>
          <w:iCs/>
        </w:rPr>
        <w:t>ex-post facto</w:t>
      </w:r>
      <w:r>
        <w:t xml:space="preserve"> research methodology as the utilized data </w:t>
      </w:r>
      <w:commentRangeStart w:id="2"/>
      <w:r>
        <w:t xml:space="preserve">was </w:t>
      </w:r>
      <w:commentRangeEnd w:id="2"/>
      <w:r>
        <w:commentReference w:id="2"/>
      </w:r>
      <w:r>
        <w:t>pre-existing and not intended for alteration. The study encompassed a population of 43 listed banks in Iraq. The sample size was 43 banks, determined through census sampling techniques. The research spanned from 2015 to 2024. Panel regression analysis was conducted and the FGLS regression model was used to examine the relationship between the variables studied.</w:t>
      </w:r>
      <w:commentRangeStart w:id="3"/>
      <w:r>
        <w:t xml:space="preserve"> The findings revealed that both faithful representation and timeliness have a positive and statistically significant effect on the cost of capital, suggesting that greater financial transparency may expose underlying risks, leading investors to demand higher returns. However, value relevance had a negative but statistically insignificant effect, indicating that although decision-useful information could lower capital costs, this relationship lacks strong evidence in the Iraqi context</w:t>
      </w:r>
      <w:commentRangeEnd w:id="3"/>
      <w:r>
        <w:commentReference w:id="3"/>
      </w:r>
      <w:r>
        <w:t>. The results showed how different dimensions of financial reporting quality affect investor perceptions and capital costs in a developing financial market. This study concludes that faithful representation and timeliness significantly increase the cost of capital, potentially due to enhanced risk awareness among investors in a volatile environment. In line with the findings of this study, it was recommended that regulators and financial institutions should invest in programs that improve investor understanding of financial statements to foster better use of disclosed information in pricing decisions.</w:t>
      </w:r>
    </w:p>
    <w:p w14:paraId="011B8391">
      <w:pPr>
        <w:pStyle w:val="18"/>
        <w:jc w:val="both"/>
      </w:pPr>
      <w:r>
        <w:rPr>
          <w:b/>
          <w:bCs/>
        </w:rPr>
        <w:t xml:space="preserve">Keywords: </w:t>
      </w:r>
      <w:commentRangeStart w:id="4"/>
      <w:r>
        <w:t>Cost of capital, financial reporting quality, faithful representation, timeliness, value relevance</w:t>
      </w:r>
      <w:commentRangeEnd w:id="4"/>
      <w:r>
        <w:commentReference w:id="4"/>
      </w:r>
    </w:p>
    <w:p w14:paraId="346670C3">
      <w:pPr>
        <w:pStyle w:val="18"/>
        <w:jc w:val="both"/>
        <w:rPr>
          <w:lang w:val="fr-FR"/>
        </w:rPr>
      </w:pPr>
      <w:r>
        <w:rPr>
          <w:b/>
          <w:bCs/>
          <w:lang w:val="fr-FR"/>
        </w:rPr>
        <w:t xml:space="preserve">JEL Classification Codes: </w:t>
      </w:r>
      <w:r>
        <w:rPr>
          <w:lang w:val="fr-FR"/>
        </w:rPr>
        <w:t>D24, M40, M41</w:t>
      </w:r>
    </w:p>
    <w:p w14:paraId="54815059">
      <w:pPr>
        <w:jc w:val="center"/>
        <w:rPr>
          <w:rFonts w:asciiTheme="majorBidi" w:hAnsiTheme="majorBidi" w:cstheme="majorBidi"/>
          <w:b/>
          <w:bCs/>
          <w:lang w:val="fr-FR"/>
        </w:rPr>
      </w:pPr>
    </w:p>
    <w:p w14:paraId="6EABCFF3">
      <w:pPr>
        <w:spacing w:after="0" w:line="360" w:lineRule="auto"/>
        <w:outlineLvl w:val="0"/>
        <w:rPr>
          <w:rFonts w:eastAsia="Times New Roman" w:asciiTheme="majorBidi" w:hAnsiTheme="majorBidi" w:cstheme="majorBidi"/>
          <w:b/>
          <w:bCs/>
          <w:kern w:val="36"/>
          <w14:ligatures w14:val="none"/>
        </w:rPr>
      </w:pPr>
      <w:r>
        <w:rPr>
          <w:rFonts w:eastAsia="Times New Roman" w:asciiTheme="majorBidi" w:hAnsiTheme="majorBidi" w:cstheme="majorBidi"/>
          <w:b/>
          <w:bCs/>
          <w:kern w:val="36"/>
          <w14:ligatures w14:val="none"/>
        </w:rPr>
        <w:t>1.         Introduction</w:t>
      </w:r>
    </w:p>
    <w:p w14:paraId="0E7501A8">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 xml:space="preserve">The cost of capital represents the minimum return required by investors to compensate for the risks associated with an investment (Agoraki et al., 2024; Modigliani &amp; Miller, 1958). In banking, capital structure decisions and financial reporting integrity are crucial as banks rely heavily on external financing. </w:t>
      </w:r>
      <w:r>
        <w:rPr>
          <w:rFonts w:asciiTheme="majorBidi" w:hAnsiTheme="majorBidi" w:cstheme="majorBidi"/>
        </w:rPr>
        <w:t xml:space="preserve">The cost of capital is a critical factor influencing financial stability, investment decisions, and general economic growth, particularly in banking institutions (Qi et al., 2025). </w:t>
      </w:r>
      <w:commentRangeStart w:id="5"/>
      <w:r>
        <w:rPr>
          <w:rFonts w:asciiTheme="majorBidi" w:hAnsiTheme="majorBidi" w:cstheme="majorBidi"/>
        </w:rPr>
        <w:t>In Iraq,</w:t>
      </w:r>
      <w:commentRangeEnd w:id="5"/>
      <w:r>
        <w:commentReference w:id="5"/>
      </w:r>
      <w:r>
        <w:rPr>
          <w:rFonts w:asciiTheme="majorBidi" w:hAnsiTheme="majorBidi" w:cstheme="majorBidi"/>
        </w:rPr>
        <w:t xml:space="preserve"> the banking sector faces significant challenges related to high financing costs, limited access to external funding, and weak financial infrastructure. According to the World Bank (2023), the average cost of equity in emerging markets, including Iraq, remains high at approximately 15-18% compared to 8-10% in developed economies. Similarly, the cost of debt in Iraqi banks is elevated due to high-risk premiums, inadequate credit ratings, and macroeconomic instability (Al-Fadly &amp; Hassan, 2023). These challenges make it difficult for banks to secure low-cost funding, leading to increased lending rates and reduced financial intermediation efficiency. </w:t>
      </w:r>
    </w:p>
    <w:p w14:paraId="6B6D5FE9">
      <w:pPr>
        <w:spacing w:after="100" w:afterAutospacing="1" w:line="360" w:lineRule="auto"/>
        <w:ind w:firstLine="720"/>
        <w:jc w:val="both"/>
        <w:rPr>
          <w:rFonts w:asciiTheme="majorBidi" w:hAnsiTheme="majorBidi" w:cstheme="majorBidi"/>
        </w:rPr>
      </w:pPr>
      <w:r>
        <w:rPr>
          <w:rFonts w:asciiTheme="majorBidi" w:hAnsiTheme="majorBidi" w:cstheme="majorBidi"/>
        </w:rPr>
        <w:t>One of the primary issues contributing to the high cost of capital in Iraq is the poor financial reporting quality and weak enforcement of International Financial Reporting Standards (IFRS). While IFRS adoption is progressing, studies indicate that Iraqi banks still exhibit low levels of financial transparency, increasing information asymmetry and investor risk perception (Ahmed et al., 2022). The Iraq Securities Commission (ISC) reported in 2023 that over 60% of listed financial institutions failed to meet timely financial disclosure requirements, leading to a 5–7% increase in their cost of equity. Moreover, inadequate corporate governance, earnings management practices, and inconsistent financial disclosures further exacerbate the problem, discouraging foreign direct investment (FDI) and limiting access to global capital markets (Bhuiyan &amp; Hu, 2025; Hassan &amp; Jassim, 2023).</w:t>
      </w:r>
    </w:p>
    <w:p w14:paraId="6646020A">
      <w:pPr>
        <w:spacing w:after="100" w:afterAutospacing="1" w:line="360" w:lineRule="auto"/>
        <w:ind w:firstLine="720"/>
        <w:jc w:val="both"/>
        <w:rPr>
          <w:rFonts w:eastAsia="Times New Roman" w:asciiTheme="majorBidi" w:hAnsiTheme="majorBidi" w:cstheme="majorBidi"/>
          <w:kern w:val="0"/>
          <w14:ligatures w14:val="none"/>
        </w:rPr>
      </w:pPr>
      <w:r>
        <w:rPr>
          <w:rFonts w:asciiTheme="majorBidi" w:hAnsiTheme="majorBidi" w:cstheme="majorBidi"/>
        </w:rPr>
        <w:t>Furthermore, geopolitical instability and currency fluctuations significantly affect the cost of capital in Iraqi banks. The Iraqi dinar depreciated by over 10% in 2023 due to political uncertainty and oil price volatility, leading to increased borrowing costs for businesses and financial institutions (IMF, 2024). Higher perceived country risk raises required returns for both debt and equity financing, placing additional strain on banking operations. Without significant improvements in financial reporting quality, governance mechanisms, and regulatory oversight, the cost of capital in Iraqi banks will remain a major barrier to financial sector development and economic growth. This study seeks to address these concerns by examining the relationship between FRQ and the cost of capital, providing empirical insights into how enhanced transparency and compliance can mitigate financial risks and lower financing costs in Iraq’s banking industry.</w:t>
      </w:r>
    </w:p>
    <w:p w14:paraId="27D374C5">
      <w:pPr>
        <w:pStyle w:val="18"/>
        <w:spacing w:line="360" w:lineRule="auto"/>
        <w:ind w:firstLine="720"/>
        <w:jc w:val="both"/>
        <w:rPr>
          <w:rFonts w:asciiTheme="majorBidi" w:hAnsiTheme="majorBidi" w:cstheme="majorBidi"/>
        </w:rPr>
      </w:pPr>
      <w:r>
        <w:rPr>
          <w:rFonts w:asciiTheme="majorBidi" w:hAnsiTheme="majorBidi" w:cstheme="majorBidi"/>
        </w:rPr>
        <w:t xml:space="preserve">Financial reporting quality (FRQ) plays a crucial role in determining the cost of capital for financial institutions, as it directly affects investor confidence, risk perception, and capital allocation efficiency (Adewara et al., 2024; Falana et al., 2025). High-quality financial reporting reduces information asymmetry between firms and investors, leading to lower equity risk premiums and reduced borrowing costs (Awotomilusi et al., 2024; Ball et al., 2023; Chen et al., 2023). In contrast, poor financial disclosure practices contribute to market uncertainty and increase the cost of both equity and debt financing (Francis et al., 2022). </w:t>
      </w:r>
      <w:commentRangeStart w:id="6"/>
      <w:r>
        <w:rPr>
          <w:rFonts w:asciiTheme="majorBidi" w:hAnsiTheme="majorBidi" w:cstheme="majorBidi"/>
        </w:rPr>
        <w:t>According to Ahmed and Wasiu (2022), banks with higher financial reporting quality experience a 7–10% reduction in their cost of equity due to enhanced transparency and investor trust. Similarly, a study by Hassan and Jassim (2023) found that Iraqi banks with weak financial disclosure practices face higher interest rates on debt financing, ranging from 2–5% above industry averages, as lenders demand higher compensation for perceived risks.</w:t>
      </w:r>
      <w:commentRangeEnd w:id="6"/>
      <w:r>
        <w:commentReference w:id="6"/>
      </w:r>
      <w:r>
        <w:rPr>
          <w:rFonts w:asciiTheme="majorBidi" w:hAnsiTheme="majorBidi" w:cstheme="majorBidi"/>
        </w:rPr>
        <w:t xml:space="preserve"> These findings suggest that financial reporting quality serves as a key determinant of the cost of capital, as it influences creditworthiness, investor sentiment, and access to financial markets.</w:t>
      </w:r>
    </w:p>
    <w:p w14:paraId="5D1976DD">
      <w:pPr>
        <w:pStyle w:val="18"/>
        <w:spacing w:line="360" w:lineRule="auto"/>
        <w:ind w:firstLine="720"/>
        <w:jc w:val="both"/>
        <w:rPr>
          <w:rFonts w:asciiTheme="majorBidi" w:hAnsiTheme="majorBidi" w:cstheme="majorBidi"/>
        </w:rPr>
      </w:pPr>
      <w:r>
        <w:rPr>
          <w:rFonts w:asciiTheme="majorBidi" w:hAnsiTheme="majorBidi" w:cstheme="majorBidi"/>
        </w:rPr>
        <w:t>Moreover, regulatory compliance with International Financial Reporting Standards (IFRS) has been linked to improved financial reporting quality and lower capital costs in emerging markets, including Iraq. Al-Fadly and Hassan (2023) reported that Iraqi banks that fully adopted IFRS observed a 12% decline in their weighted average cost of capital (WACC) due to greater financial statement comparability and credibility. High financial reporting quality ensures that financial statements accurately reflect a bank’s financial health, reducing risk premiums required by investors and creditors (Awotomilusi et al., 2023; Dagunduro et al., 2025; World Bank, 2023). In contrast, financial misstatements and earnings management practices increase perceived investment risks, leading to capital constraints and reduced market efficiency (Dagunduro et al., 2025; IMF, 2024). Given the increasing globalization of financial markets, the ability of Iraqi banks to enhance financial reporting quality through strict regulatory enforcement and governance improvements will be essential in lowering their cost of capital and improving long-term financial sustainability.</w:t>
      </w:r>
    </w:p>
    <w:p w14:paraId="1ACDB3F1">
      <w:pPr>
        <w:spacing w:after="100" w:afterAutospacing="1" w:line="360" w:lineRule="auto"/>
        <w:ind w:firstLine="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Empirical research suggests that higher financial reporting quality reduces the cost of capital by lowering information risk and enhancing investor confidence (Biddle et al., 2019; Barth et al., 2021). In contrast, low financial reporting quality leads to higher required returns by creditors and shareholders due to increased uncertainty regarding future cash flows (Chen et al., 2020). Despite the extensive research on financial reporting quality and cost of capital in developed economies (e.g., Kim et al., 2022; Dechow et al., 2021), limited studies have focused on emerging markets such as Iraq, where financial systems are undergoing structural reforms. The Iraqi banking sector is transitioning toward greater financial transparency under International Financial Reporting Standards (IFRS) adoption, yet challenges remain regarding regulatory enforcement, corporate governance, and financial disclosures (Al-Fadly &amp; Hassan, 2023). Given the importance of banks as financial intermediaries, understanding how financial reporting quality influences their cost of capital is essential for policymakers, investors, and corporate managers.</w:t>
      </w:r>
    </w:p>
    <w:p w14:paraId="4250AE7C">
      <w:pPr>
        <w:spacing w:after="100" w:afterAutospacing="1" w:line="360" w:lineRule="auto"/>
        <w:ind w:firstLine="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Considering this, this study aimed to analyse the effect of financial reporting quality on the cost of capital of Iraqi banks. By employing empirical techniques such as accrual-based measures and cost of equity estimation models, the study </w:t>
      </w:r>
      <w:commentRangeStart w:id="7"/>
      <w:r>
        <w:rPr>
          <w:rFonts w:eastAsia="Times New Roman" w:asciiTheme="majorBidi" w:hAnsiTheme="majorBidi" w:cstheme="majorBidi"/>
          <w:kern w:val="0"/>
          <w14:ligatures w14:val="none"/>
        </w:rPr>
        <w:t>seeks</w:t>
      </w:r>
      <w:commentRangeEnd w:id="7"/>
      <w:r>
        <w:commentReference w:id="7"/>
      </w:r>
      <w:r>
        <w:rPr>
          <w:rFonts w:eastAsia="Times New Roman" w:asciiTheme="majorBidi" w:hAnsiTheme="majorBidi" w:cstheme="majorBidi"/>
          <w:kern w:val="0"/>
          <w14:ligatures w14:val="none"/>
        </w:rPr>
        <w:t xml:space="preserve"> to provide insights into whether enhanced financial transparency can reduce financing costs in Iraq’s banking sector. Findings from this research will contribute to the broader literature on financial reporting, corporate governance, and banking sector efficiency in emerging economies. Understanding the relationship between financial reporting quality and the cost of capital is vital for improving capital market efficiency and reducing investment risk in Iraq. This study will provide empirical evidence on how improved financial disclosures can enhance investor confidence and lower financing costs for banks operating in high-risk environments.</w:t>
      </w:r>
    </w:p>
    <w:p w14:paraId="69F44637">
      <w:pPr>
        <w:spacing w:after="0" w:line="360" w:lineRule="auto"/>
        <w:outlineLvl w:val="2"/>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2.         Literature Review and Hypothesis Development</w:t>
      </w:r>
    </w:p>
    <w:p w14:paraId="12C77A68">
      <w:pPr>
        <w:spacing w:after="0" w:line="360" w:lineRule="auto"/>
        <w:ind w:firstLine="720"/>
        <w:jc w:val="both"/>
        <w:outlineLvl w:val="2"/>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This section provides details on the concepts, underpinning theory and related literature relevant to this study for better understanding and clarity.</w:t>
      </w:r>
    </w:p>
    <w:p w14:paraId="6DFF14EC">
      <w:pPr>
        <w:spacing w:after="0" w:line="360" w:lineRule="auto"/>
        <w:jc w:val="both"/>
        <w:outlineLvl w:val="2"/>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2.1       Conceptual Review</w:t>
      </w:r>
    </w:p>
    <w:p w14:paraId="7BCFEED0">
      <w:pPr>
        <w:spacing w:after="0" w:line="360" w:lineRule="auto"/>
        <w:ind w:firstLine="720"/>
        <w:jc w:val="both"/>
        <w:outlineLvl w:val="2"/>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This section provides for the definition of concepts used in this study.</w:t>
      </w:r>
    </w:p>
    <w:p w14:paraId="1022CF8D">
      <w:pPr>
        <w:spacing w:after="0" w:line="360" w:lineRule="auto"/>
        <w:jc w:val="both"/>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2.1.1    Cost of Capital</w:t>
      </w:r>
    </w:p>
    <w:p w14:paraId="5E38E33E">
      <w:pPr>
        <w:spacing w:after="100" w:afterAutospacing="1" w:line="360" w:lineRule="auto"/>
        <w:ind w:firstLine="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The cost of capital is a pivotal concept in corporate finance, representing the minimum return a company must make on its investments to satisfy its investors and maintain its market value. Jagannathan et al. (2017) describe it as the rate used to discount future cash flows, ensuring that only projects expected to yield returns exceeding this rate are undertaken to enhance firm value. ​ Vernimmen et al. (2017) defined the cost of capital as the minimum rate of return required to appease both shareholders and debtholders, effectively reflecting the company's total financing cost. ​Ionici et al. (2011) introduced the cost of capital as the rate used for discounting cash flows in net present value calculations, emphasizing its role in capital budgeting decisions. ​ These perspectives collectively underscore the cost of capital as a critical benchmark in financial decision-making, guiding firms to undertake investments that are anticipated to generate sufficient returns to justify their associated financial risks</w:t>
      </w:r>
      <w:r>
        <w:commentReference w:id="8"/>
      </w:r>
      <w:r>
        <w:rPr>
          <w:rFonts w:eastAsia="Times New Roman" w:asciiTheme="majorBidi" w:hAnsiTheme="majorBidi" w:cstheme="majorBidi"/>
          <w:kern w:val="0"/>
          <w14:ligatures w14:val="none"/>
        </w:rPr>
        <w:t>.</w:t>
      </w:r>
    </w:p>
    <w:p w14:paraId="6ACE24BA">
      <w:pPr>
        <w:spacing w:after="0" w:line="360" w:lineRule="auto"/>
        <w:jc w:val="both"/>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2.1.2    Financial Reporting Quality</w:t>
      </w:r>
    </w:p>
    <w:p w14:paraId="3D4CD23F">
      <w:pPr>
        <w:spacing w:after="100" w:afterAutospacing="1" w:line="360" w:lineRule="auto"/>
        <w:ind w:firstLine="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High-quality financial reporting delivers information that is both relevant to users' decision-making needs and faithfully represents the economic phenomena it purports to depict. This includes attributes such as completeness, neutrality, and freedom from error, ensuring the reliability of financial statements (Akinadewo et al., 2023; Renkas et al., 2015).​ Gaynor et al. (2016) emphasize that financial reporting quality is characterized by the transparency and accuracy of financial statements, enabling stakeholders to gain a clear and precise understanding of a company's financial performance and position. Transparent reporting reduces information asymmetry and builds investor confidence.​ Ekwueme and Aniefor (2019) define financial reporting quality as the degree to which financial statements adhere to established accounting standards and regulatory requirements, ensuring that the information presented is both credible and legally compliant.​ According to Jim-Suleiman and Ibiamke (2021), financial reporting quality can be assessed based on the sustainability and reliability of reported earnings. High-quality earnings reflect genuine economic performance and are free from manipulation or aggressive accounting practices, providing a true representation of a company's profitability. Falana et al. (2025) also highlighted that quality financial reporting presents information in a manner that is easily understandable and useful to users, facilitating informed decision-making by various stakeholders.</w:t>
      </w:r>
    </w:p>
    <w:p w14:paraId="2209C8B1">
      <w:pPr>
        <w:spacing w:after="0" w:line="360" w:lineRule="auto"/>
        <w:jc w:val="both"/>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2.1.2.1 Faithful Representation</w:t>
      </w:r>
    </w:p>
    <w:p w14:paraId="419D4FA9">
      <w:pPr>
        <w:spacing w:after="100" w:afterAutospacing="1" w:line="360" w:lineRule="auto"/>
        <w:ind w:firstLine="720"/>
        <w:jc w:val="both"/>
        <w:rPr>
          <w:rFonts w:asciiTheme="majorBidi" w:hAnsiTheme="majorBidi" w:cstheme="majorBidi"/>
        </w:rPr>
      </w:pPr>
      <w:r>
        <w:rPr>
          <w:rFonts w:asciiTheme="majorBidi" w:hAnsiTheme="majorBidi" w:cstheme="majorBidi"/>
        </w:rPr>
        <w:t>Faithful representation refers to the extent to which financial statements accurately reflect the economic substance of transactions rather than merely their legal form. It ensures that financial information is complete, neutral, and free from material errors (Falana et al., 2025; Mora &amp; Walker, 2015). Faithful representation is the quality of financial information that ensures the depiction of real-world economic phenomena in a manner that is reliable and unbiased. It enhances the usefulness of financial reports for investors and other stakeholders by ensuring that the figures reported align with the entity’s actual financial condition (Dechow et al., 2010). Faithful representation in financial reporting means that reported figures truthfully reflect an entity’s financial position and performance. This characteristic requires that accounting information is verifiable and unbiased, allowing users to make informed decisions based on trustworthy data (Christensen et al., 2013)</w:t>
      </w:r>
      <w:r>
        <w:commentReference w:id="9"/>
      </w:r>
      <w:r>
        <w:rPr>
          <w:rFonts w:asciiTheme="majorBidi" w:hAnsiTheme="majorBidi" w:cstheme="majorBidi"/>
        </w:rPr>
        <w:t>.</w:t>
      </w:r>
    </w:p>
    <w:p w14:paraId="69F0CA52">
      <w:pPr>
        <w:spacing w:after="0" w:line="360" w:lineRule="auto"/>
        <w:jc w:val="both"/>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2.1.2.2 Timeliness</w:t>
      </w:r>
    </w:p>
    <w:p w14:paraId="6B5540E7">
      <w:pPr>
        <w:spacing w:after="100" w:afterAutospacing="1" w:line="360" w:lineRule="auto"/>
        <w:ind w:firstLine="720"/>
        <w:jc w:val="both"/>
        <w:rPr>
          <w:rFonts w:asciiTheme="majorBidi" w:hAnsiTheme="majorBidi" w:cstheme="majorBidi"/>
        </w:rPr>
      </w:pPr>
      <w:r>
        <w:rPr>
          <w:rFonts w:asciiTheme="majorBidi" w:hAnsiTheme="majorBidi" w:cstheme="majorBidi"/>
        </w:rPr>
        <w:t>Timeliness refers to the promptness with which financial reports are made available to users, ensuring their relevance for decision-making. Financial information loses its usefulness if there is a significant delay in its disclosure, as timely reporting enhances transparency and investor confidence (Jim-Suleiman &amp; Ibiamke, 2021). Timeliness in financial reporting quality is the ability of firms to disclose financial statements within the legally required or recommended time frame, allowing stakeholders to make informed decisions. Delayed financial reporting may lead to market inefficiencies and reduced trust in financial statements (Habib et al., 2023). Timeliness is a fundamental attribute of financial reporting quality that ensures financial information is disseminated quickly enough to impact economic decisions. The relevance of financial information is highly dependent on its timeliness, as outdated data may no longer be useful for investors and other stakeholders (Mohammadiyan, 2024).</w:t>
      </w:r>
    </w:p>
    <w:p w14:paraId="4AE390FE">
      <w:pPr>
        <w:spacing w:after="0" w:line="360" w:lineRule="auto"/>
        <w:jc w:val="both"/>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2.1.2.3 Value Relevance</w:t>
      </w:r>
    </w:p>
    <w:p w14:paraId="6C53A964">
      <w:pPr>
        <w:spacing w:after="100" w:afterAutospacing="1" w:line="360" w:lineRule="auto"/>
        <w:ind w:firstLine="720"/>
        <w:jc w:val="both"/>
        <w:rPr>
          <w:rFonts w:asciiTheme="majorBidi" w:hAnsiTheme="majorBidi" w:cstheme="majorBidi"/>
        </w:rPr>
      </w:pPr>
      <w:r>
        <w:rPr>
          <w:rFonts w:asciiTheme="majorBidi" w:hAnsiTheme="majorBidi" w:cstheme="majorBidi"/>
        </w:rPr>
        <w:t>Value relevance refers to the extent to which financial statement information reflects a firm's market value and assists investors in their decision-making processes. Haupt et al. (2024) define value relevance as the ability of accounting information to capture and summarize firm value, indicating its usefulness to investors.​ Dunham and Grandstaff (2022) describe value relevance as the degree to which accounting information reflects stock prices, serving as an indicator of the information's usefulness in equity valuation.​ Agbodjo et al. (2021) explain value relevance as assessing the relationship between accounting information and capital market values, providing insights into the impact of financial disclosures on investor perceptions and stock prices.​ These definitions collectively show the importance of value relevance in evaluating how effectively accounting information reflects a firm's economic value and aids stakeholders in making informed investment decisions</w:t>
      </w:r>
      <w:r>
        <w:commentReference w:id="10"/>
      </w:r>
      <w:r>
        <w:rPr>
          <w:rFonts w:asciiTheme="majorBidi" w:hAnsiTheme="majorBidi" w:cstheme="majorBidi"/>
        </w:rPr>
        <w:t>.</w:t>
      </w:r>
    </w:p>
    <w:p w14:paraId="784B113D">
      <w:pPr>
        <w:spacing w:after="0" w:line="360" w:lineRule="auto"/>
        <w:jc w:val="both"/>
        <w:rPr>
          <w:rFonts w:asciiTheme="majorBidi" w:hAnsiTheme="majorBidi" w:cstheme="majorBidi"/>
          <w:b/>
          <w:bCs/>
        </w:rPr>
      </w:pPr>
      <w:r>
        <w:rPr>
          <w:rFonts w:asciiTheme="majorBidi" w:hAnsiTheme="majorBidi" w:cstheme="majorBidi"/>
          <w:b/>
          <w:bCs/>
        </w:rPr>
        <w:t>2.2       Theoretical Framework</w:t>
      </w:r>
    </w:p>
    <w:p w14:paraId="53182ED2">
      <w:pPr>
        <w:spacing w:after="100" w:afterAutospacing="1" w:line="360" w:lineRule="auto"/>
        <w:ind w:firstLine="720"/>
        <w:jc w:val="both"/>
        <w:rPr>
          <w:rFonts w:asciiTheme="majorBidi" w:hAnsiTheme="majorBidi" w:cstheme="majorBidi"/>
        </w:rPr>
      </w:pPr>
      <w:r>
        <w:rPr>
          <w:rFonts w:asciiTheme="majorBidi" w:hAnsiTheme="majorBidi" w:cstheme="majorBidi"/>
        </w:rPr>
        <w:t xml:space="preserve">This study is rooted in capital market efficiency theory, </w:t>
      </w:r>
      <w:r>
        <w:rPr>
          <w:rFonts w:eastAsia="Times New Roman" w:asciiTheme="majorBidi" w:hAnsiTheme="majorBidi" w:cstheme="majorBidi"/>
          <w:kern w:val="0"/>
          <w14:ligatures w14:val="none"/>
        </w:rPr>
        <w:t>Eugene Fama is widely recognized as the propounder of the capital market efficiency theory, introducing the concept in his seminal 1970 paper "Efficient Capital Markets: A Review of Theory and Empirical Work" (Fama, 1970). His efficient market hypothesis (EMH) posits that securities prices fully reflect all available information, making it impossible for investors to consistently outperform the market through stock selection or market timing. The theory assumes that investors are rational and maximize their utility, information is freely available to all market participants simultaneously, there are no transaction costs or taxes, investors can borrow and lend at the risk-free rate, and all investors have homogeneous expectations regarding returns (Malkiel, 2003).</w:t>
      </w:r>
    </w:p>
    <w:p w14:paraId="12EE57CC">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Recent studies examining the relationship between cost of capital and financial reporting quality through the lens of capital market efficiency include Li et al. (2021), who documented that higher financial reporting quality leads to lower information asymmetry, thereby reducing estimation risk and cost of capital for firms across multiple international markets. Similarly, Kim and Zhang (2022) found that accounting conservatism, as a component of financial reporting quality, significantly mitigates crash risk and lowers the cost of equity capital by reducing information asymmetry between managers and outside investors. Additionally, Arabzadeh and Aghapour (2023) demonstrated that integrated reporting practices, which enhance transparency and reporting quality, are associated with reduced cost of debt capital particularly in emerging markets where information environments are typically less robust.</w:t>
      </w:r>
    </w:p>
    <w:p w14:paraId="25ADCCD0">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The capital market efficiency theory is highly relevant to analyzing the relationship between financial reporting quality and cost of capital in Iraqi banks. In emerging markets like Iraq, where information asymmetry tends to be pronounced, improvements in financial reporting quality can significantly reduce estimation risk for investors. The theory suggests that Iraqi banks with higher financial reporting quality would experience lower costs of capital as investors would demand lower risk premiums due to reduced uncertainty. Furthermore, as Iraqi capital markets continue to develop and integrate globally, adherence to international financial reporting standards could decrease information processing costs for foreign investors, potentially attracting more capital at favorable rates (Al-Janabi et al., 2019).</w:t>
      </w:r>
    </w:p>
    <w:p w14:paraId="6B9C24F2">
      <w:pPr>
        <w:spacing w:after="100" w:afterAutospacing="1" w:line="360" w:lineRule="auto"/>
        <w:ind w:firstLine="720"/>
        <w:jc w:val="both"/>
        <w:rPr>
          <w:rFonts w:asciiTheme="majorBidi" w:hAnsiTheme="majorBidi" w:cstheme="majorBidi"/>
        </w:rPr>
      </w:pPr>
      <w:commentRangeStart w:id="11"/>
      <w:r>
        <w:rPr>
          <w:rFonts w:eastAsia="Times New Roman" w:asciiTheme="majorBidi" w:hAnsiTheme="majorBidi" w:cstheme="majorBidi"/>
          <w:kern w:val="0"/>
          <w14:ligatures w14:val="none"/>
        </w:rPr>
        <w:t>Apply</w:t>
      </w:r>
      <w:commentRangeEnd w:id="11"/>
      <w:r>
        <w:commentReference w:id="11"/>
      </w:r>
      <w:r>
        <w:rPr>
          <w:rFonts w:eastAsia="Times New Roman" w:asciiTheme="majorBidi" w:hAnsiTheme="majorBidi" w:cstheme="majorBidi"/>
          <w:kern w:val="0"/>
          <w14:ligatures w14:val="none"/>
        </w:rPr>
        <w:t>ing this theory to the Iraqi banking sector specifically, one would expect that banks with more transparent financial disclosures, fewer accounting irregularities, and higher earnings quality would benefit from lower capital costs. The theory predicts that as regulatory frameworks in Iraq strengthen and enforce higher reporting standards, the overall banking sector should experience a reduction in systematic information risk, leading to more efficient capital allocation and lower financing costs industry wide. This relationship becomes particularly crucial during periods of economic uncertainty or market stress, when information quality differentials among banks may significantly impact their ability to access capital markets (Hassan and Skinner, 2016).</w:t>
      </w:r>
    </w:p>
    <w:p w14:paraId="397BAD24">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Critics of the capital market efficiency theory include Robert Shiller, who argues that markets exhibit excess volatility inconsistent with the rational expectations model underlying EMH (Shiller, 2003). His behavioral finance perspective suggests that psychological and emotional factors drive investor decisions, leading to market inefficiencies that contradict the theory's fundamental assumptions. Joseph Stiglitz challenges the theory from an information economics perspective, arguing that information asymmetries are pervasive and persistent in real markets, creating enduring inefficiencies that the EMH fails to account for (Stiglitz, 2000). Additionally, Andrew Lo's Adaptive Markets Hypothesis proposes an alternative framework that reconciles behavioral biases with evolutionary principles, suggesting that market efficiency is not an all-or-nothing condition but varies over time and across markets as participants adapt to changing environments (Lo, 2004).</w:t>
      </w:r>
      <w:r>
        <w:rPr>
          <w:rFonts w:asciiTheme="majorBidi" w:hAnsiTheme="majorBidi" w:cstheme="majorBidi"/>
        </w:rPr>
        <w:t xml:space="preserve"> </w:t>
      </w:r>
      <w:r>
        <w:rPr>
          <w:rFonts w:eastAsia="Times New Roman" w:asciiTheme="majorBidi" w:hAnsiTheme="majorBidi" w:cstheme="majorBidi"/>
          <w:kern w:val="0"/>
          <w14:ligatures w14:val="none"/>
        </w:rPr>
        <w:t>References to this theory in the context of financial reporting quality and cost of capital are particularly valuable as they provide a theoretical foundation for understanding how improvements in disclosure practices might benefit Iraqi banks in their capital raising efforts. The theory suggests that as Iraq's financial system continues to mature, banks that prioritize reporting quality will likely gain competitive advantages through reduced capital costs, though the effectiveness of these improvements may be moderated by the institutional and regulatory environment specific to the Iraqi market (Dechow et al., 2010; Easley and O'Hara, 2004).</w:t>
      </w:r>
    </w:p>
    <w:p w14:paraId="1AA712B7">
      <w:pPr>
        <w:spacing w:after="0" w:line="360" w:lineRule="auto"/>
        <w:jc w:val="both"/>
        <w:rPr>
          <w:rFonts w:asciiTheme="majorBidi" w:hAnsiTheme="majorBidi" w:cstheme="majorBidi"/>
          <w:b/>
          <w:bCs/>
        </w:rPr>
      </w:pPr>
      <w:r>
        <w:rPr>
          <w:rFonts w:asciiTheme="majorBidi" w:hAnsiTheme="majorBidi" w:cstheme="majorBidi"/>
          <w:b/>
          <w:bCs/>
        </w:rPr>
        <w:t>2.3       Empirical Review</w:t>
      </w:r>
    </w:p>
    <w:p w14:paraId="1E653593">
      <w:pPr>
        <w:spacing w:after="100" w:afterAutospacing="1" w:line="360" w:lineRule="auto"/>
        <w:ind w:firstLine="720"/>
        <w:jc w:val="both"/>
        <w:rPr>
          <w:rFonts w:asciiTheme="majorBidi" w:hAnsiTheme="majorBidi" w:cstheme="majorBidi"/>
        </w:rPr>
      </w:pPr>
      <w:r>
        <w:rPr>
          <w:rFonts w:asciiTheme="majorBidi" w:hAnsiTheme="majorBidi" w:cstheme="majorBidi"/>
        </w:rPr>
        <w:t xml:space="preserve">The existing literature provides significant insights into the relationship between financial reporting quality, governance mechanisms, and the cost of capital across different contexts. Bonetti et al. (2023) examined the role of environmental disclosure in mitigating capital costs, highlighting that firms disclosing carbon emissions experienced a lower increase in the cost of capital post-Fukushima disaster. Their findings suggest that transparency in non-financial reporting influences investor perception and financing conditions. However, their study focused on </w:t>
      </w:r>
      <w:commentRangeStart w:id="12"/>
      <w:r>
        <w:rPr>
          <w:rFonts w:asciiTheme="majorBidi" w:hAnsiTheme="majorBidi" w:cstheme="majorBidi"/>
        </w:rPr>
        <w:t>environmental disclosure rather than the broader spectrum of financial reporting quality</w:t>
      </w:r>
      <w:commentRangeEnd w:id="12"/>
      <w:r>
        <w:commentReference w:id="12"/>
      </w:r>
      <w:r>
        <w:rPr>
          <w:rFonts w:asciiTheme="majorBidi" w:hAnsiTheme="majorBidi" w:cstheme="majorBidi"/>
        </w:rPr>
        <w:t>.</w:t>
      </w:r>
    </w:p>
    <w:p w14:paraId="5F1661D3">
      <w:pPr>
        <w:spacing w:after="100" w:afterAutospacing="1" w:line="360" w:lineRule="auto"/>
        <w:ind w:firstLine="720"/>
        <w:jc w:val="both"/>
        <w:rPr>
          <w:rFonts w:asciiTheme="majorBidi" w:hAnsiTheme="majorBidi" w:cstheme="majorBidi"/>
        </w:rPr>
      </w:pPr>
      <w:r>
        <w:rPr>
          <w:rFonts w:asciiTheme="majorBidi" w:hAnsiTheme="majorBidi" w:cstheme="majorBidi"/>
        </w:rPr>
        <w:t xml:space="preserve">Synn and Williams (2024) analyzed how financial reporting quality affects capital structure optimization, showing that improved reporting mitigates adverse selection concerns, thereby reducing financing frictions and deviations from optimal leverage. Their study primarily addressed the implications of financial reporting for capital structure rather than directly assessing its impact on cost of capital. Similarly, Hasmi et al. (2024) explored </w:t>
      </w:r>
      <w:commentRangeStart w:id="13"/>
      <w:r>
        <w:rPr>
          <w:rFonts w:asciiTheme="majorBidi" w:hAnsiTheme="majorBidi" w:cstheme="majorBidi"/>
        </w:rPr>
        <w:t>corporate governance and ownership concentration in relation to equity costs, demonstrating that stronger governance practices reduce financing costs while high ownership concentration increases i</w:t>
      </w:r>
      <w:commentRangeEnd w:id="13"/>
      <w:r>
        <w:commentReference w:id="13"/>
      </w:r>
      <w:r>
        <w:rPr>
          <w:rFonts w:asciiTheme="majorBidi" w:hAnsiTheme="majorBidi" w:cstheme="majorBidi"/>
        </w:rPr>
        <w:t>t. However, their research was limited to non-financial firms in Pakistan, necessitating further exploration in financial institutions within different economic contexts.</w:t>
      </w:r>
    </w:p>
    <w:p w14:paraId="2A5B9375">
      <w:pPr>
        <w:spacing w:after="100" w:afterAutospacing="1" w:line="360" w:lineRule="auto"/>
        <w:ind w:firstLine="720"/>
        <w:jc w:val="both"/>
        <w:rPr>
          <w:rFonts w:asciiTheme="majorBidi" w:hAnsiTheme="majorBidi" w:cstheme="majorBidi"/>
        </w:rPr>
      </w:pPr>
      <w:r>
        <w:rPr>
          <w:rFonts w:asciiTheme="majorBidi" w:hAnsiTheme="majorBidi" w:cstheme="majorBidi"/>
          <w:lang w:val="fr-FR"/>
        </w:rPr>
        <w:t xml:space="preserve">Meneses Cerón et al. (2024) and Agoraki et al. </w:t>
      </w:r>
      <w:r>
        <w:rPr>
          <w:rFonts w:asciiTheme="majorBidi" w:hAnsiTheme="majorBidi" w:cstheme="majorBidi"/>
        </w:rPr>
        <w:t xml:space="preserve">(2024) extended the literature by incorporating </w:t>
      </w:r>
      <w:commentRangeStart w:id="14"/>
      <w:r>
        <w:rPr>
          <w:rFonts w:asciiTheme="majorBidi" w:hAnsiTheme="majorBidi" w:cstheme="majorBidi"/>
        </w:rPr>
        <w:t>climate risk and firm-level exposure to climate change in cost of capital assessments</w:t>
      </w:r>
      <w:commentRangeEnd w:id="14"/>
      <w:r>
        <w:commentReference w:id="14"/>
      </w:r>
      <w:r>
        <w:rPr>
          <w:rFonts w:asciiTheme="majorBidi" w:hAnsiTheme="majorBidi" w:cstheme="majorBidi"/>
        </w:rPr>
        <w:t xml:space="preserve">. Their studies underscored that firms with poor environmental credentials encounter increased capital costs and reduced investment opportunities. While these studies emphasize sustainability and financial risk, they do not specifically address financial reporting quality as a determinant of cost of capital. </w:t>
      </w:r>
      <w:r>
        <w:rPr>
          <w:rFonts w:eastAsia="Times New Roman" w:asciiTheme="majorBidi" w:hAnsiTheme="majorBidi" w:cstheme="majorBidi"/>
          <w:kern w:val="0"/>
          <w14:ligatures w14:val="none"/>
        </w:rPr>
        <w:t xml:space="preserve">Ernst and Woithe (2024) examined the effect of </w:t>
      </w:r>
      <w:commentRangeStart w:id="15"/>
      <w:r>
        <w:rPr>
          <w:rFonts w:eastAsia="Times New Roman" w:asciiTheme="majorBidi" w:hAnsiTheme="majorBidi" w:cstheme="majorBidi"/>
          <w:kern w:val="0"/>
          <w14:ligatures w14:val="none"/>
        </w:rPr>
        <w:t>ESG performance on the cost of capital</w:t>
      </w:r>
      <w:commentRangeEnd w:id="15"/>
      <w:r>
        <w:commentReference w:id="15"/>
      </w:r>
      <w:r>
        <w:rPr>
          <w:rFonts w:eastAsia="Times New Roman" w:asciiTheme="majorBidi" w:hAnsiTheme="majorBidi" w:cstheme="majorBidi"/>
          <w:kern w:val="0"/>
          <w14:ligatures w14:val="none"/>
        </w:rPr>
        <w:t>, revealing that firms with higher ESG scores benefited from reduced costs of equity and debt but saw no direct improvement in their weighted average cost of capital (WACC). The study emphasized the role of sustainability in influencing financing costs, suggesting that firms with strong ESG ratings could access cheaper capital due to lower risk perceptions among investors. However, it also noted that firms with poor ESG scores had a lower WACC due to a higher reliance on debt financing despite their higher associated costs.</w:t>
      </w:r>
    </w:p>
    <w:p w14:paraId="60AE43CF">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 xml:space="preserve">Qi et al. (2025) focused on </w:t>
      </w:r>
      <w:commentRangeStart w:id="16"/>
      <w:r>
        <w:rPr>
          <w:rFonts w:eastAsia="Times New Roman" w:asciiTheme="majorBidi" w:hAnsiTheme="majorBidi" w:cstheme="majorBidi"/>
          <w:kern w:val="0"/>
          <w14:ligatures w14:val="none"/>
        </w:rPr>
        <w:t>CEO social capital and its impact on the implied cost of capital in Chinese family-listed firms</w:t>
      </w:r>
      <w:commentRangeEnd w:id="16"/>
      <w:r>
        <w:commentReference w:id="16"/>
      </w:r>
      <w:r>
        <w:rPr>
          <w:rFonts w:eastAsia="Times New Roman" w:asciiTheme="majorBidi" w:hAnsiTheme="majorBidi" w:cstheme="majorBidi"/>
          <w:kern w:val="0"/>
          <w14:ligatures w14:val="none"/>
        </w:rPr>
        <w:t>. Their findings indicated that CEOs with strong social networks reduced capital costs by mitigating corporate risk and enhancing information transparency. However, the study found that the effectiveness of CEO social capital varied depending on firm characteristics, such as family ownership structure and market competitiveness. The study extended the literature by demonstrating that social capital could serve as a risk-reduction mechanism, particularly in environments with economic uncertainty and weak investor protection.</w:t>
      </w:r>
    </w:p>
    <w:p w14:paraId="1679F823">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 xml:space="preserve">Bhuiyan and Hu (2025) analyzed </w:t>
      </w:r>
      <w:commentRangeStart w:id="17"/>
      <w:r>
        <w:rPr>
          <w:rFonts w:eastAsia="Times New Roman" w:asciiTheme="majorBidi" w:hAnsiTheme="majorBidi" w:cstheme="majorBidi"/>
          <w:kern w:val="0"/>
          <w14:ligatures w14:val="none"/>
        </w:rPr>
        <w:t xml:space="preserve">how corporate donations influence the cost of equity </w:t>
      </w:r>
      <w:commentRangeEnd w:id="17"/>
      <w:r>
        <w:commentReference w:id="17"/>
      </w:r>
      <w:r>
        <w:rPr>
          <w:rFonts w:eastAsia="Times New Roman" w:asciiTheme="majorBidi" w:hAnsiTheme="majorBidi" w:cstheme="majorBidi"/>
          <w:kern w:val="0"/>
          <w14:ligatures w14:val="none"/>
        </w:rPr>
        <w:t>capital, arguing that philanthropic activities enhance corporate reputation and lower firm-specific risk. Using a large dataset covering 44 countries, they found that corporate donations significantly reduced the cost of equity, suggesting that socially responsible behaviors positively impact investor confidence. Their findings remained robust across various sensitivity tests, reinforcing the argument that corporate engagement in social responsibility can serve as a strategic tool for reducing financing costs.</w:t>
      </w:r>
    </w:p>
    <w:p w14:paraId="1059CE17">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 xml:space="preserve">While these studies offer insights into financial reporting quality, ESG factors, and governance mechanisms in determining capital costs, they focus primarily on developed and emerging economies such as China and internationally listed firms. There is a distinct gap in literature addressing the financial reporting quality-cost of capital relationship within Iraq's banking sector, which operates under different regulatory, economic, and institutional conditions. Iraqi banks face unique challenges, including financial instability, weak governance frameworks, and limited transparency in financial reporting. Unlike studies on ESG performance (Ernst &amp; Woithe, 2024) or CEO social capital (Qi et al., 2025), research on the Iraqi financial system must account for regulatory inefficiencies, investor distrust, and high-risk perceptions in determining capital costs. Moreover, previous studies have predominantly examined environmental disclosures (Bonetti et al., 2023; Meneses Cerón et al., 2024), governance structures (Hasmi et al., 2024), and capital structure deviations (Synn &amp; Williams, 2024) separately. However, the interdependence of these factors in a developing banking sector like Iraq’s remains unexplored. </w:t>
      </w:r>
    </w:p>
    <w:p w14:paraId="074205BF">
      <w:pPr>
        <w:spacing w:after="100" w:afterAutospacing="1" w:line="360" w:lineRule="auto"/>
        <w:ind w:firstLine="720"/>
        <w:jc w:val="both"/>
        <w:rPr>
          <w:rFonts w:asciiTheme="majorBidi" w:hAnsiTheme="majorBidi" w:cstheme="majorBidi"/>
        </w:rPr>
      </w:pPr>
      <w:r>
        <w:rPr>
          <w:rFonts w:eastAsia="Times New Roman" w:asciiTheme="majorBidi" w:hAnsiTheme="majorBidi" w:cstheme="majorBidi"/>
          <w:kern w:val="0"/>
          <w14:ligatures w14:val="none"/>
        </w:rPr>
        <w:t xml:space="preserve">Additionally, previous studies have </w:t>
      </w:r>
      <w:commentRangeStart w:id="18"/>
      <w:r>
        <w:rPr>
          <w:rFonts w:eastAsia="Times New Roman" w:asciiTheme="majorBidi" w:hAnsiTheme="majorBidi" w:cstheme="majorBidi"/>
          <w:kern w:val="0"/>
          <w14:ligatures w14:val="none"/>
        </w:rPr>
        <w:t>focused on social and governance factors (Bhuiyan &amp; Hu, 2025) but have not directly examined how financial reporting quality impacts the cost of capital in a volatile banking environment.</w:t>
      </w:r>
      <w:commentRangeEnd w:id="18"/>
      <w:r>
        <w:commentReference w:id="18"/>
      </w:r>
      <w:r>
        <w:rPr>
          <w:rFonts w:eastAsia="Times New Roman" w:asciiTheme="majorBidi" w:hAnsiTheme="majorBidi" w:cstheme="majorBidi"/>
          <w:kern w:val="0"/>
          <w14:ligatures w14:val="none"/>
        </w:rPr>
        <w:t xml:space="preserve"> Future research should explore how improving financial reporting standards, regulatory oversight, and disclosure practices can influence the cost of equity and debt financing in Iraqi banks. This would provide policymakers and financial institutions with data-driven insights to enhance financial stability and capital accessibility.</w:t>
      </w:r>
    </w:p>
    <w:p w14:paraId="7FF6622F">
      <w:pPr>
        <w:spacing w:after="0" w:line="360" w:lineRule="auto"/>
        <w:jc w:val="both"/>
        <w:rPr>
          <w:rFonts w:asciiTheme="majorBidi" w:hAnsiTheme="majorBidi" w:cstheme="majorBidi"/>
          <w:b/>
          <w:bCs/>
        </w:rPr>
      </w:pPr>
      <w:r>
        <w:rPr>
          <w:rFonts w:asciiTheme="majorBidi" w:hAnsiTheme="majorBidi" w:cstheme="majorBidi"/>
          <w:b/>
          <w:bCs/>
        </w:rPr>
        <w:t>2.4       Conceptual Framework</w:t>
      </w:r>
    </w:p>
    <w:p w14:paraId="2E52360F">
      <w:pPr>
        <w:spacing w:line="360" w:lineRule="auto"/>
        <w:ind w:firstLine="720"/>
        <w:jc w:val="both"/>
        <w:rPr>
          <w:rFonts w:asciiTheme="majorBidi" w:hAnsiTheme="majorBidi" w:cstheme="majorBidi"/>
        </w:rPr>
      </w:pPr>
      <w:r>
        <w:rPr>
          <w:rFonts w:asciiTheme="majorBidi" w:hAnsiTheme="majorBidi" w:cstheme="majorBidi"/>
        </w:rPr>
        <w:t>Figure 1 illustrates the relationship between financial reporting quality, cost of capital, and the theoretical foundation underpinning this relationship. The independent variable, financial reporting quality, is represented by key attributes such as faithful representation, timeliness, and value relevance, which ensure that financial statements accurately reflect a company's financial position and performance. The dependent variable, cost of capital, is influenced by the quality of financial reporting, as transparent and reliable financial disclosures reduce information asymmetry and investor uncertainty, leading to lower financing costs. This relationship is theoretically supported by the capital market efficiency theory, which posits that well-functioning markets incorporate all available information into asset prices. High-quality financial reporting enhances market efficiency by providing investors with relevant and reliable information, thereby influencing firms' cost of equity and debt.</w:t>
      </w:r>
    </w:p>
    <w:p w14:paraId="2A97C72B">
      <w:pPr>
        <w:spacing w:line="360" w:lineRule="auto"/>
        <w:ind w:firstLine="720"/>
        <w:jc w:val="both"/>
        <w:rPr>
          <w:rFonts w:asciiTheme="majorBidi" w:hAnsiTheme="majorBidi" w:cstheme="majorBidi"/>
        </w:rPr>
      </w:pPr>
    </w:p>
    <w:p w14:paraId="4B1F322C">
      <w:pPr>
        <w:spacing w:line="360" w:lineRule="auto"/>
        <w:jc w:val="both"/>
        <w:rPr>
          <w:rFonts w:asciiTheme="majorBidi" w:hAnsiTheme="majorBidi" w:cstheme="majorBidi"/>
          <w:b/>
          <w:bCs/>
        </w:rPr>
      </w:pPr>
      <w:r>
        <w:rPr>
          <w:rFonts w:asciiTheme="majorBidi" w:hAnsiTheme="majorBidi" w:cstheme="majorBidi"/>
          <w:b/>
          <w:bCs/>
        </w:rPr>
        <w:t>Figure 1: Conceptual Framework</w:t>
      </w:r>
    </w:p>
    <w:p w14:paraId="2819C06B">
      <w:pPr>
        <w:spacing w:after="100" w:afterAutospacing="1" w:line="360" w:lineRule="auto"/>
        <w:ind w:firstLine="720"/>
        <w:jc w:val="both"/>
        <w:rPr>
          <w:rFonts w:asciiTheme="majorBidi" w:hAnsiTheme="majorBidi" w:cstheme="majorBidi"/>
        </w:rPr>
      </w:pPr>
      <w:r>
        <w:rPr>
          <w:rFonts w:asciiTheme="majorBidi" w:hAnsiTheme="majorBidi" w:cstheme="majorBidi"/>
        </w:rPr>
        <w:drawing>
          <wp:inline distT="0" distB="0" distL="0" distR="0">
            <wp:extent cx="5390515" cy="2307590"/>
            <wp:effectExtent l="0" t="0" r="635" b="0"/>
            <wp:docPr id="44541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3496"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13555" cy="2317988"/>
                    </a:xfrm>
                    <a:prstGeom prst="rect">
                      <a:avLst/>
                    </a:prstGeom>
                  </pic:spPr>
                </pic:pic>
              </a:graphicData>
            </a:graphic>
          </wp:inline>
        </w:drawing>
      </w:r>
    </w:p>
    <w:p w14:paraId="205D4EE3">
      <w:pPr>
        <w:pStyle w:val="18"/>
        <w:spacing w:before="0" w:beforeAutospacing="0" w:line="360" w:lineRule="auto"/>
        <w:jc w:val="both"/>
        <w:rPr>
          <w:rFonts w:asciiTheme="majorBidi" w:hAnsiTheme="majorBidi" w:cstheme="majorBidi"/>
          <w:b/>
          <w:bCs/>
        </w:rPr>
      </w:pPr>
      <w:r>
        <w:rPr>
          <w:rFonts w:asciiTheme="majorBidi" w:hAnsiTheme="majorBidi" w:cstheme="majorBidi"/>
          <w:b/>
          <w:bCs/>
        </w:rPr>
        <w:t>Source: Authors’ Design (2025)</w:t>
      </w:r>
    </w:p>
    <w:p w14:paraId="1E53B741">
      <w:pPr>
        <w:spacing w:after="0" w:line="360" w:lineRule="auto"/>
        <w:jc w:val="both"/>
        <w:rPr>
          <w:rFonts w:ascii="Times New Roman" w:hAnsi="Times New Roman" w:cs="Times New Roman"/>
          <w:b/>
          <w:bCs/>
        </w:rPr>
      </w:pPr>
      <w:r>
        <w:rPr>
          <w:rFonts w:ascii="Times New Roman" w:hAnsi="Times New Roman" w:cs="Times New Roman"/>
          <w:b/>
          <w:bCs/>
        </w:rPr>
        <w:t>3.         Data and Methods</w:t>
      </w:r>
    </w:p>
    <w:p w14:paraId="79A8048B">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kern w:val="0"/>
        </w:rPr>
        <w:t xml:space="preserve">The investigation adopted </w:t>
      </w:r>
      <w:r>
        <w:rPr>
          <w:rFonts w:ascii="Times New Roman" w:hAnsi="Times New Roman" w:cs="Times New Roman"/>
          <w:i/>
          <w:iCs/>
          <w:kern w:val="0"/>
        </w:rPr>
        <w:t>ex-post facto</w:t>
      </w:r>
      <w:r>
        <w:rPr>
          <w:rFonts w:ascii="Times New Roman" w:hAnsi="Times New Roman" w:cs="Times New Roman"/>
          <w:kern w:val="0"/>
        </w:rPr>
        <w:t xml:space="preserve"> research methodology as the utilized data was pre-existing and not intended for alteration. The study encompassed a </w:t>
      </w:r>
      <w:r>
        <w:rPr>
          <w:rFonts w:ascii="Times New Roman" w:hAnsi="Times New Roman" w:cs="Times New Roman"/>
        </w:rPr>
        <w:t xml:space="preserve">population of 43 listed banks in Iraq. The sample size was 43 banks, determined through census sampling techniques. </w:t>
      </w:r>
      <w:r>
        <w:rPr>
          <w:rFonts w:ascii="Times New Roman" w:hAnsi="Times New Roman" w:eastAsia="Times New Roman" w:cs="Times New Roman"/>
          <w:kern w:val="0"/>
          <w14:ligatures w14:val="none"/>
        </w:rPr>
        <w:t xml:space="preserve">The inclusion of all 43 listed banks in Iraq as the study population and sample was achieved through a </w:t>
      </w:r>
      <w:r>
        <w:rPr>
          <w:rFonts w:ascii="Times New Roman" w:hAnsi="Times New Roman" w:cs="Times New Roman"/>
        </w:rPr>
        <w:t>census sampling techniques</w:t>
      </w:r>
      <w:r>
        <w:rPr>
          <w:rFonts w:ascii="Times New Roman" w:hAnsi="Times New Roman" w:eastAsia="Times New Roman" w:cs="Times New Roman"/>
          <w:kern w:val="0"/>
          <w14:ligatures w14:val="none"/>
        </w:rPr>
        <w:t>, which is appropriate when the population size is relatively small and manageable. This approach enhances the accuracy and generalizability of the findings within the Iraqi banking sector, as it eliminates sampling bias and ensures that all relevant institutions are represented (Creswell &amp; Creswell, 2018).</w:t>
      </w:r>
      <w:r>
        <w:rPr>
          <w:rFonts w:ascii="Times New Roman" w:hAnsi="Times New Roman" w:cs="Times New Roman"/>
        </w:rPr>
        <w:t xml:space="preserve"> The research spanned from 2015 to 2024. </w:t>
      </w:r>
      <w:r>
        <w:rPr>
          <w:rFonts w:ascii="Times New Roman" w:hAnsi="Times New Roman" w:eastAsia="Times New Roman" w:cs="Times New Roman"/>
          <w:kern w:val="0"/>
          <w14:ligatures w14:val="none"/>
        </w:rPr>
        <w:t xml:space="preserve">The study period from </w:t>
      </w:r>
      <w:r>
        <w:rPr>
          <w:rFonts w:ascii="Times New Roman" w:hAnsi="Times New Roman" w:cs="Times New Roman"/>
        </w:rPr>
        <w:t>2015 to 2024</w:t>
      </w:r>
      <w:r>
        <w:rPr>
          <w:rFonts w:ascii="Times New Roman" w:hAnsi="Times New Roman" w:eastAsia="Times New Roman" w:cs="Times New Roman"/>
          <w:kern w:val="0"/>
          <w14:ligatures w14:val="none"/>
        </w:rPr>
        <w:t xml:space="preserve"> allows for a comprehensive analysis across a full economic cycle, capturing both pre- and post-crisis financial periods, changes in regulatory frameworks, and evolving market dynamics in Iraq. This temporal coverage supports a robust examination of trends and long-term effects of financial reporting quality on the cost of capital.</w:t>
      </w:r>
      <w:r>
        <w:rPr>
          <w:rFonts w:ascii="Times New Roman" w:hAnsi="Times New Roman" w:cs="Times New Roman"/>
        </w:rPr>
        <w:t xml:space="preserve"> Panel regression analysis was conducted to examine the relationship between the variables studied. </w:t>
      </w:r>
      <w:r>
        <w:rPr>
          <w:rFonts w:ascii="Times New Roman" w:hAnsi="Times New Roman" w:eastAsia="Times New Roman" w:cs="Times New Roman"/>
          <w:kern w:val="0"/>
          <w14:ligatures w14:val="none"/>
        </w:rPr>
        <w:t xml:space="preserve">The use of </w:t>
      </w:r>
      <w:r>
        <w:rPr>
          <w:rFonts w:ascii="Times New Roman" w:hAnsi="Times New Roman" w:cs="Times New Roman"/>
        </w:rPr>
        <w:t>Panel regression analysis</w:t>
      </w:r>
      <w:r>
        <w:rPr>
          <w:rFonts w:ascii="Times New Roman" w:hAnsi="Times New Roman" w:eastAsia="Times New Roman" w:cs="Times New Roman"/>
          <w:kern w:val="0"/>
          <w14:ligatures w14:val="none"/>
        </w:rPr>
        <w:t xml:space="preserve"> was due to the longitudinal structure of the dataset, which combines cross-sectional and time-series data. Panel data techniques improve efficiency, control unobserved heterogeneity, and enhance the robustness of parameter estimates (Baltagi, 2021).</w:t>
      </w:r>
    </w:p>
    <w:p w14:paraId="7E14246B">
      <w:pPr>
        <w:autoSpaceDE w:val="0"/>
        <w:autoSpaceDN w:val="0"/>
        <w:adjustRightInd w:val="0"/>
        <w:spacing w:after="0" w:line="360" w:lineRule="auto"/>
        <w:ind w:firstLine="720"/>
        <w:jc w:val="both"/>
        <w:rPr>
          <w:rFonts w:ascii="Times New Roman" w:hAnsi="Times New Roman" w:cs="Times New Roman"/>
        </w:rPr>
      </w:pPr>
    </w:p>
    <w:p w14:paraId="6F7C6CE2">
      <w:pPr>
        <w:autoSpaceDE w:val="0"/>
        <w:autoSpaceDN w:val="0"/>
        <w:adjustRightInd w:val="0"/>
        <w:spacing w:after="0" w:line="360" w:lineRule="auto"/>
        <w:jc w:val="both"/>
        <w:rPr>
          <w:rFonts w:ascii="Times New Roman" w:hAnsi="Times New Roman" w:cs="Times New Roman"/>
          <w:b/>
          <w:bCs/>
          <w:color w:val="000000"/>
          <w:kern w:val="0"/>
        </w:rPr>
      </w:pPr>
      <w:r>
        <w:rPr>
          <w:rFonts w:ascii="Times New Roman" w:hAnsi="Times New Roman" w:cs="Times New Roman"/>
          <w:b/>
          <w:bCs/>
          <w:color w:val="000000"/>
          <w:kern w:val="0"/>
        </w:rPr>
        <w:t>3.1       Model Specification</w:t>
      </w:r>
    </w:p>
    <w:p w14:paraId="136A1DC1">
      <w:pPr>
        <w:autoSpaceDE w:val="0"/>
        <w:autoSpaceDN w:val="0"/>
        <w:adjustRightInd w:val="0"/>
        <w:spacing w:after="0" w:line="360" w:lineRule="auto"/>
        <w:ind w:firstLine="720"/>
        <w:jc w:val="both"/>
        <w:rPr>
          <w:rFonts w:ascii="Times New Roman" w:hAnsi="Times New Roman" w:cs="Times New Roman"/>
          <w:color w:val="000000"/>
          <w:kern w:val="0"/>
        </w:rPr>
      </w:pPr>
      <w:r>
        <w:rPr>
          <w:rFonts w:ascii="Times New Roman" w:hAnsi="Times New Roman" w:cs="Times New Roman"/>
          <w:color w:val="000000"/>
          <w:kern w:val="0"/>
        </w:rPr>
        <w:t>The econometric model for this study was adapted from the study conducted by Petreski et al. (2025), which investigated the reputation effect of repeated green-bond issuance and its impact on the cost of capital of listed Swedish real estate companies. The model was outlined as follows:</w:t>
      </w:r>
    </w:p>
    <w:p w14:paraId="77284939">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CoC</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w:t>
      </w:r>
      <w:r>
        <w:rPr>
          <w:rFonts w:ascii="Times New Roman" w:hAnsi="Times New Roman" w:eastAsia="Times New Roman" w:cs="Times New Roman"/>
          <w:kern w:val="0"/>
          <w:vertAlign w:val="subscript"/>
          <w14:ligatures w14:val="none"/>
        </w:rPr>
        <w:t>0</w:t>
      </w:r>
      <w:r>
        <w:rPr>
          <w:rFonts w:ascii="Times New Roman" w:hAnsi="Times New Roman" w:eastAsia="Times New Roman" w:cs="Times New Roman"/>
          <w:kern w:val="0"/>
          <w14:ligatures w14:val="none"/>
        </w:rPr>
        <w:t xml:space="preserve"> + β</w:t>
      </w:r>
      <w:r>
        <w:rPr>
          <w:rFonts w:ascii="Times New Roman" w:hAnsi="Times New Roman" w:eastAsia="Times New Roman" w:cs="Times New Roman"/>
          <w:kern w:val="0"/>
          <w:vertAlign w:val="subscript"/>
          <w14:ligatures w14:val="none"/>
        </w:rPr>
        <w:t>1</w:t>
      </w:r>
      <w:r>
        <w:rPr>
          <w:rFonts w:ascii="Times New Roman" w:hAnsi="Times New Roman" w:eastAsia="Times New Roman" w:cs="Times New Roman"/>
          <w:kern w:val="0"/>
          <w14:ligatures w14:val="none"/>
        </w:rPr>
        <w:t>GBI</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β2NGBI</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β3BAS</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β4TA</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β5ROA</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β6DS</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β7CR</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μ</w:t>
      </w:r>
      <w:r>
        <w:rPr>
          <w:rFonts w:ascii="Times New Roman" w:hAnsi="Times New Roman" w:eastAsia="Times New Roman" w:cs="Times New Roman"/>
          <w:kern w:val="0"/>
          <w:vertAlign w:val="subscript"/>
          <w14:ligatures w14:val="none"/>
        </w:rPr>
        <w:t>i</w:t>
      </w:r>
      <w:r>
        <w:rPr>
          <w:rFonts w:ascii="Times New Roman" w:hAnsi="Times New Roman" w:eastAsia="Times New Roman" w:cs="Times New Roman"/>
          <w:kern w:val="0"/>
          <w14:ligatures w14:val="none"/>
        </w:rPr>
        <w:t xml:space="preserve"> + ε</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w:t>
      </w:r>
    </w:p>
    <w:p w14:paraId="5F8DF635">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where:</w:t>
      </w:r>
    </w:p>
    <w:p w14:paraId="642B3BA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CoC</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cost of capital for firm ii in period tt</w:t>
      </w:r>
    </w:p>
    <w:p w14:paraId="699D2F51">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GBI</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green bond issuance</w:t>
      </w:r>
    </w:p>
    <w:p w14:paraId="4E2D1D9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NGBI</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non-green bond issuance</w:t>
      </w:r>
    </w:p>
    <w:p w14:paraId="33D57B5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BAS</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bid-ask spread</w:t>
      </w:r>
    </w:p>
    <w:p w14:paraId="1FEA26CE">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TA</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total assets (firm size proxy)</w:t>
      </w:r>
    </w:p>
    <w:p w14:paraId="74DF7105">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ROA</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return on assets</w:t>
      </w:r>
    </w:p>
    <w:p w14:paraId="3AFFB1E5">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DS</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debt share (leverage ratio)</w:t>
      </w:r>
    </w:p>
    <w:p w14:paraId="7E587960">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CR</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current ratio (liquidity measure)</w:t>
      </w:r>
    </w:p>
    <w:p w14:paraId="23355A41">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β</w:t>
      </w:r>
      <w:r>
        <w:rPr>
          <w:rFonts w:ascii="Times New Roman" w:hAnsi="Times New Roman" w:eastAsia="Times New Roman" w:cs="Times New Roman"/>
          <w:kern w:val="0"/>
          <w:vertAlign w:val="subscript"/>
          <w14:ligatures w14:val="none"/>
        </w:rPr>
        <w:t>0</w:t>
      </w:r>
      <w:r>
        <w:rPr>
          <w:rFonts w:ascii="Times New Roman" w:hAnsi="Times New Roman" w:eastAsia="Times New Roman" w:cs="Times New Roman"/>
          <w:kern w:val="0"/>
          <w14:ligatures w14:val="none"/>
        </w:rPr>
        <w:t xml:space="preserve"> = intercept</w:t>
      </w:r>
    </w:p>
    <w:p w14:paraId="50D42530">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β</w:t>
      </w:r>
      <w:r>
        <w:rPr>
          <w:rFonts w:ascii="Times New Roman" w:hAnsi="Times New Roman" w:eastAsia="Times New Roman" w:cs="Times New Roman"/>
          <w:kern w:val="0"/>
          <w:vertAlign w:val="subscript"/>
          <w14:ligatures w14:val="none"/>
        </w:rPr>
        <w:t>1</w:t>
      </w:r>
      <w:r>
        <w:rPr>
          <w:rFonts w:ascii="Times New Roman" w:hAnsi="Times New Roman" w:eastAsia="Times New Roman" w:cs="Times New Roman"/>
          <w:kern w:val="0"/>
          <w14:ligatures w14:val="none"/>
        </w:rPr>
        <w:t>, β</w:t>
      </w:r>
      <w:r>
        <w:rPr>
          <w:rFonts w:ascii="Times New Roman" w:hAnsi="Times New Roman" w:eastAsia="Times New Roman" w:cs="Times New Roman"/>
          <w:kern w:val="0"/>
          <w:vertAlign w:val="subscript"/>
          <w14:ligatures w14:val="none"/>
        </w:rPr>
        <w:t>2</w:t>
      </w:r>
      <w:r>
        <w:rPr>
          <w:rFonts w:ascii="Times New Roman" w:hAnsi="Times New Roman" w:eastAsia="Times New Roman" w:cs="Times New Roman"/>
          <w:kern w:val="0"/>
          <w14:ligatures w14:val="none"/>
        </w:rPr>
        <w:t>, ..., β</w:t>
      </w:r>
      <w:r>
        <w:rPr>
          <w:rFonts w:ascii="Times New Roman" w:hAnsi="Times New Roman" w:eastAsia="Times New Roman" w:cs="Times New Roman"/>
          <w:kern w:val="0"/>
          <w:vertAlign w:val="subscript"/>
          <w14:ligatures w14:val="none"/>
        </w:rPr>
        <w:t>7</w:t>
      </w:r>
      <w:r>
        <w:rPr>
          <w:rFonts w:ascii="Times New Roman" w:hAnsi="Times New Roman" w:eastAsia="Times New Roman" w:cs="Times New Roman"/>
          <w:kern w:val="0"/>
          <w14:ligatures w14:val="none"/>
        </w:rPr>
        <w:t xml:space="preserve"> = coefficients of explanatory variables</w:t>
      </w:r>
    </w:p>
    <w:p w14:paraId="2A2A5E65">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μ</w:t>
      </w:r>
      <w:r>
        <w:rPr>
          <w:rFonts w:ascii="Times New Roman" w:hAnsi="Times New Roman" w:eastAsia="Times New Roman" w:cs="Times New Roman"/>
          <w:kern w:val="0"/>
          <w:vertAlign w:val="subscript"/>
          <w14:ligatures w14:val="none"/>
        </w:rPr>
        <w:t>i</w:t>
      </w:r>
      <w:r>
        <w:rPr>
          <w:rFonts w:ascii="Times New Roman" w:hAnsi="Times New Roman" w:eastAsia="Times New Roman" w:cs="Times New Roman"/>
          <w:kern w:val="0"/>
          <w14:ligatures w14:val="none"/>
        </w:rPr>
        <w:t xml:space="preserve"> = unobserved firm-specific effect (fixed or random effect)</w:t>
      </w:r>
    </w:p>
    <w:p w14:paraId="1B28A9E0">
      <w:pPr>
        <w:spacing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ε</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error term</w:t>
      </w:r>
    </w:p>
    <w:p w14:paraId="502EBAD0">
      <w:pPr>
        <w:spacing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However, the model was modified by replacing the explanatory variables with faithful representation, timeliness, and value relevance. The modified model was specified as follows:</w:t>
      </w:r>
    </w:p>
    <w:p w14:paraId="669FB6B9">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CoC = </w:t>
      </w:r>
      <w:r>
        <w:rPr>
          <w:rFonts w:ascii="Times New Roman" w:hAnsi="Times New Roman" w:eastAsia="Times New Roman" w:cs="Times New Roman"/>
          <w:i/>
          <w:iCs/>
          <w:kern w:val="0"/>
          <w14:ligatures w14:val="none"/>
        </w:rPr>
        <w:t>f</w:t>
      </w:r>
      <w:r>
        <w:rPr>
          <w:rFonts w:ascii="Times New Roman" w:hAnsi="Times New Roman" w:eastAsia="Times New Roman" w:cs="Times New Roman"/>
          <w:kern w:val="0"/>
          <w14:ligatures w14:val="none"/>
        </w:rPr>
        <w:t xml:space="preserve"> (FR, TM, VR)</w:t>
      </w:r>
    </w:p>
    <w:p w14:paraId="5F6A4248">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CoC</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w:t>
      </w:r>
      <w:r>
        <w:rPr>
          <w:rFonts w:ascii="Times New Roman" w:hAnsi="Times New Roman" w:eastAsia="Times New Roman" w:cs="Times New Roman"/>
          <w:kern w:val="0"/>
          <w:vertAlign w:val="subscript"/>
          <w14:ligatures w14:val="none"/>
        </w:rPr>
        <w:t>0</w:t>
      </w:r>
      <w:r>
        <w:rPr>
          <w:rFonts w:ascii="Times New Roman" w:hAnsi="Times New Roman" w:eastAsia="Times New Roman" w:cs="Times New Roman"/>
          <w:kern w:val="0"/>
          <w14:ligatures w14:val="none"/>
        </w:rPr>
        <w:t xml:space="preserve"> + β</w:t>
      </w:r>
      <w:r>
        <w:rPr>
          <w:rFonts w:ascii="Times New Roman" w:hAnsi="Times New Roman" w:eastAsia="Times New Roman" w:cs="Times New Roman"/>
          <w:kern w:val="0"/>
          <w:vertAlign w:val="subscript"/>
          <w14:ligatures w14:val="none"/>
        </w:rPr>
        <w:t>1</w:t>
      </w:r>
      <w:r>
        <w:rPr>
          <w:rFonts w:ascii="Times New Roman" w:hAnsi="Times New Roman" w:eastAsia="Times New Roman" w:cs="Times New Roman"/>
          <w:kern w:val="0"/>
          <w14:ligatures w14:val="none"/>
        </w:rPr>
        <w:t>FR</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w:t>
      </w:r>
      <w:r>
        <w:rPr>
          <w:rFonts w:ascii="Times New Roman" w:hAnsi="Times New Roman" w:eastAsia="Times New Roman" w:cs="Times New Roman"/>
          <w:kern w:val="0"/>
          <w:vertAlign w:val="subscript"/>
          <w14:ligatures w14:val="none"/>
        </w:rPr>
        <w:t>2</w:t>
      </w:r>
      <w:r>
        <w:rPr>
          <w:rFonts w:ascii="Times New Roman" w:hAnsi="Times New Roman" w:eastAsia="Times New Roman" w:cs="Times New Roman"/>
          <w:kern w:val="0"/>
          <w14:ligatures w14:val="none"/>
        </w:rPr>
        <w:t>TM</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β</w:t>
      </w:r>
      <w:r>
        <w:rPr>
          <w:rFonts w:ascii="Times New Roman" w:hAnsi="Times New Roman" w:eastAsia="Times New Roman" w:cs="Times New Roman"/>
          <w:kern w:val="0"/>
          <w:vertAlign w:val="subscript"/>
          <w14:ligatures w14:val="none"/>
        </w:rPr>
        <w:t>3</w:t>
      </w:r>
      <w:r>
        <w:rPr>
          <w:rFonts w:ascii="Times New Roman" w:hAnsi="Times New Roman" w:eastAsia="Times New Roman" w:cs="Times New Roman"/>
          <w:kern w:val="0"/>
          <w14:ligatures w14:val="none"/>
        </w:rPr>
        <w:t>VR</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μ</w:t>
      </w:r>
      <w:r>
        <w:rPr>
          <w:rFonts w:ascii="Times New Roman" w:hAnsi="Times New Roman" w:eastAsia="Times New Roman" w:cs="Times New Roman"/>
          <w:kern w:val="0"/>
          <w:vertAlign w:val="subscript"/>
          <w14:ligatures w14:val="none"/>
        </w:rPr>
        <w:t>i</w:t>
      </w:r>
      <w:r>
        <w:rPr>
          <w:rFonts w:ascii="Times New Roman" w:hAnsi="Times New Roman" w:eastAsia="Times New Roman" w:cs="Times New Roman"/>
          <w:kern w:val="0"/>
          <w14:ligatures w14:val="none"/>
        </w:rPr>
        <w:t xml:space="preserve"> + ε</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w:t>
      </w:r>
    </w:p>
    <w:p w14:paraId="0A7DAD5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where:</w:t>
      </w:r>
    </w:p>
    <w:p w14:paraId="127056C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CoC</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cost of capital for firm ii in period tt</w:t>
      </w:r>
    </w:p>
    <w:p w14:paraId="7ABEA8A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FR</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faithful representation of financial reports</w:t>
      </w:r>
    </w:p>
    <w:p w14:paraId="7F59C325">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TM</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timeliness of financial reporting</w:t>
      </w:r>
    </w:p>
    <w:p w14:paraId="31A05B9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VR</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value relevance of financial reports</w:t>
      </w:r>
    </w:p>
    <w:p w14:paraId="6FE6F1D8">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β</w:t>
      </w:r>
      <w:r>
        <w:rPr>
          <w:rFonts w:ascii="Times New Roman" w:hAnsi="Times New Roman" w:eastAsia="Times New Roman" w:cs="Times New Roman"/>
          <w:kern w:val="0"/>
          <w:vertAlign w:val="subscript"/>
          <w14:ligatures w14:val="none"/>
        </w:rPr>
        <w:t>0</w:t>
      </w:r>
      <w:r>
        <w:rPr>
          <w:rFonts w:ascii="Times New Roman" w:hAnsi="Times New Roman" w:eastAsia="Times New Roman" w:cs="Times New Roman"/>
          <w:kern w:val="0"/>
          <w14:ligatures w14:val="none"/>
        </w:rPr>
        <w:t xml:space="preserve"> = intercept</w:t>
      </w:r>
    </w:p>
    <w:p w14:paraId="09D8CF94">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β</w:t>
      </w:r>
      <w:r>
        <w:rPr>
          <w:rFonts w:ascii="Times New Roman" w:hAnsi="Times New Roman" w:eastAsia="Times New Roman" w:cs="Times New Roman"/>
          <w:kern w:val="0"/>
          <w:vertAlign w:val="subscript"/>
          <w14:ligatures w14:val="none"/>
        </w:rPr>
        <w:t>1</w:t>
      </w:r>
      <w:r>
        <w:rPr>
          <w:rFonts w:ascii="Times New Roman" w:hAnsi="Times New Roman" w:eastAsia="Times New Roman" w:cs="Times New Roman"/>
          <w:kern w:val="0"/>
          <w14:ligatures w14:val="none"/>
        </w:rPr>
        <w:t>, β</w:t>
      </w:r>
      <w:r>
        <w:rPr>
          <w:rFonts w:ascii="Times New Roman" w:hAnsi="Times New Roman" w:eastAsia="Times New Roman" w:cs="Times New Roman"/>
          <w:kern w:val="0"/>
          <w:vertAlign w:val="subscript"/>
          <w14:ligatures w14:val="none"/>
        </w:rPr>
        <w:t>2</w:t>
      </w:r>
      <w:r>
        <w:rPr>
          <w:rFonts w:ascii="Times New Roman" w:hAnsi="Times New Roman" w:eastAsia="Times New Roman" w:cs="Times New Roman"/>
          <w:kern w:val="0"/>
          <w14:ligatures w14:val="none"/>
        </w:rPr>
        <w:t>, β</w:t>
      </w:r>
      <w:r>
        <w:rPr>
          <w:rFonts w:ascii="Times New Roman" w:hAnsi="Times New Roman" w:eastAsia="Times New Roman" w:cs="Times New Roman"/>
          <w:kern w:val="0"/>
          <w:vertAlign w:val="subscript"/>
          <w14:ligatures w14:val="none"/>
        </w:rPr>
        <w:t>3</w:t>
      </w:r>
      <w:r>
        <w:rPr>
          <w:rFonts w:ascii="Times New Roman" w:hAnsi="Times New Roman" w:eastAsia="Times New Roman" w:cs="Times New Roman"/>
          <w:kern w:val="0"/>
          <w14:ligatures w14:val="none"/>
        </w:rPr>
        <w:t xml:space="preserve"> = coefficients of explanatory variables</w:t>
      </w:r>
    </w:p>
    <w:p w14:paraId="5DA007A7">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μ</w:t>
      </w:r>
      <w:r>
        <w:rPr>
          <w:rFonts w:ascii="Times New Roman" w:hAnsi="Times New Roman" w:eastAsia="Times New Roman" w:cs="Times New Roman"/>
          <w:kern w:val="0"/>
          <w:vertAlign w:val="subscript"/>
          <w14:ligatures w14:val="none"/>
        </w:rPr>
        <w:t>i</w:t>
      </w:r>
      <w:r>
        <w:rPr>
          <w:rFonts w:ascii="Times New Roman" w:hAnsi="Times New Roman" w:eastAsia="Times New Roman" w:cs="Times New Roman"/>
          <w:kern w:val="0"/>
          <w14:ligatures w14:val="none"/>
        </w:rPr>
        <w:t xml:space="preserve"> = unobserved firm-specific effect (fixed or random effect)</w:t>
      </w:r>
    </w:p>
    <w:p w14:paraId="5F5275EC">
      <w:pPr>
        <w:spacing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ε</w:t>
      </w:r>
      <w:r>
        <w:rPr>
          <w:rFonts w:ascii="Times New Roman" w:hAnsi="Times New Roman" w:eastAsia="Times New Roman" w:cs="Times New Roman"/>
          <w:kern w:val="0"/>
          <w:vertAlign w:val="subscript"/>
          <w14:ligatures w14:val="none"/>
        </w:rPr>
        <w:t>it</w:t>
      </w:r>
      <w:r>
        <w:rPr>
          <w:rFonts w:ascii="Times New Roman" w:hAnsi="Times New Roman" w:eastAsia="Times New Roman" w:cs="Times New Roman"/>
          <w:kern w:val="0"/>
          <w14:ligatures w14:val="none"/>
        </w:rPr>
        <w:t xml:space="preserve"> = error term</w:t>
      </w:r>
    </w:p>
    <w:p w14:paraId="481C3F37">
      <w:pPr>
        <w:pStyle w:val="5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a-priori</w:t>
      </w:r>
      <w:r>
        <w:rPr>
          <w:rFonts w:ascii="Times New Roman" w:hAnsi="Times New Roman" w:cs="Times New Roman"/>
          <w:sz w:val="24"/>
          <w:szCs w:val="24"/>
        </w:rPr>
        <w:t xml:space="preserve"> expectation is that β</w:t>
      </w:r>
      <w:r>
        <w:rPr>
          <w:rFonts w:ascii="Times New Roman" w:hAnsi="Times New Roman" w:cs="Times New Roman"/>
          <w:sz w:val="24"/>
          <w:szCs w:val="24"/>
          <w:vertAlign w:val="subscript"/>
        </w:rPr>
        <w:t>1</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 xml:space="preserve"> &gt; 0, which implies that a positive relationship is anticipated between the explanatory variables and the explained variable.</w:t>
      </w:r>
    </w:p>
    <w:p w14:paraId="7EB20275">
      <w:pPr>
        <w:spacing w:after="0" w:line="360"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3.2       Measurements and Descriptions of Variables</w:t>
      </w:r>
    </w:p>
    <w:p w14:paraId="4E871995">
      <w:pPr>
        <w:spacing w:after="100" w:afterAutospacing="1" w:line="360" w:lineRule="auto"/>
        <w:ind w:firstLine="720"/>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Table 1 shows the description, operationalization, and measurement of variables.</w:t>
      </w:r>
    </w:p>
    <w:p w14:paraId="3F1D2121">
      <w:pPr>
        <w:spacing w:after="0" w:line="240" w:lineRule="auto"/>
        <w:jc w:val="both"/>
        <w:rPr>
          <w:rFonts w:ascii="Times New Roman" w:hAnsi="Times New Roman" w:cs="Times New Roman"/>
          <w:b/>
          <w:bCs/>
        </w:rPr>
      </w:pPr>
      <w:r>
        <w:rPr>
          <w:rFonts w:ascii="Times New Roman" w:hAnsi="Times New Roman" w:cs="Times New Roman"/>
          <w:b/>
          <w:bCs/>
        </w:rPr>
        <w:t>Table 1: Operationalization and Measurement of Independent Variables</w:t>
      </w:r>
    </w:p>
    <w:tbl>
      <w:tblPr>
        <w:tblStyle w:val="21"/>
        <w:tblW w:w="4995"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0"/>
        <w:gridCol w:w="3317"/>
        <w:gridCol w:w="2858"/>
        <w:gridCol w:w="1461"/>
      </w:tblGrid>
      <w:tr w14:paraId="392BAC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pct"/>
            <w:tcBorders>
              <w:top w:val="single" w:color="auto" w:sz="4" w:space="0"/>
              <w:bottom w:val="single" w:color="auto" w:sz="4" w:space="0"/>
            </w:tcBorders>
          </w:tcPr>
          <w:p w14:paraId="5B8CC84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734" w:type="pct"/>
            <w:tcBorders>
              <w:top w:val="single" w:color="auto" w:sz="4" w:space="0"/>
              <w:bottom w:val="single" w:color="auto" w:sz="4" w:space="0"/>
            </w:tcBorders>
          </w:tcPr>
          <w:p w14:paraId="42ED1F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1494" w:type="pct"/>
            <w:tcBorders>
              <w:top w:val="single" w:color="auto" w:sz="4" w:space="0"/>
              <w:bottom w:val="single" w:color="auto" w:sz="4" w:space="0"/>
            </w:tcBorders>
          </w:tcPr>
          <w:p w14:paraId="1DE1DA1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Measurement</w:t>
            </w:r>
          </w:p>
        </w:tc>
        <w:tc>
          <w:tcPr>
            <w:tcW w:w="763" w:type="pct"/>
            <w:tcBorders>
              <w:top w:val="single" w:color="auto" w:sz="4" w:space="0"/>
              <w:bottom w:val="single" w:color="auto" w:sz="4" w:space="0"/>
            </w:tcBorders>
          </w:tcPr>
          <w:p w14:paraId="7C78965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Source</w:t>
            </w:r>
          </w:p>
        </w:tc>
      </w:tr>
      <w:tr w14:paraId="72875C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pct"/>
            <w:tcBorders>
              <w:top w:val="nil"/>
              <w:bottom w:val="nil"/>
            </w:tcBorders>
          </w:tcPr>
          <w:p w14:paraId="5B79BCEC">
            <w:pPr>
              <w:spacing w:after="0" w:line="240" w:lineRule="auto"/>
              <w:jc w:val="both"/>
              <w:rPr>
                <w:rFonts w:asciiTheme="majorBidi" w:hAnsiTheme="majorBidi" w:cstheme="majorBidi"/>
                <w:sz w:val="24"/>
                <w:szCs w:val="24"/>
              </w:rPr>
            </w:pPr>
            <w:r>
              <w:rPr>
                <w:rFonts w:asciiTheme="majorBidi" w:hAnsiTheme="majorBidi" w:cstheme="majorBidi"/>
                <w:sz w:val="24"/>
                <w:szCs w:val="24"/>
              </w:rPr>
              <w:t>Cost of Capital (CoC)</w:t>
            </w:r>
          </w:p>
        </w:tc>
        <w:tc>
          <w:tcPr>
            <w:tcW w:w="1734" w:type="pct"/>
            <w:tcBorders>
              <w:top w:val="nil"/>
              <w:bottom w:val="nil"/>
            </w:tcBorders>
          </w:tcPr>
          <w:p w14:paraId="6851A3DE">
            <w:pPr>
              <w:spacing w:after="0" w:line="240" w:lineRule="auto"/>
              <w:jc w:val="both"/>
              <w:rPr>
                <w:rFonts w:asciiTheme="majorBidi" w:hAnsiTheme="majorBidi" w:cstheme="majorBidi"/>
                <w:bCs/>
                <w:sz w:val="24"/>
                <w:szCs w:val="24"/>
              </w:rPr>
            </w:pPr>
            <w:r>
              <w:rPr>
                <w:rFonts w:asciiTheme="majorBidi" w:hAnsiTheme="majorBidi" w:cstheme="majorBidi"/>
                <w:sz w:val="24"/>
                <w:szCs w:val="24"/>
              </w:rPr>
              <w:t>The cost of capital represents the required return a company must earn from its investments to maintain its market value and satisfy its investors. It serves as a benchmark for evaluating investment decisions, ensuring that returns exceed financing costs. Companies typically report their cost of capital in the annual report.</w:t>
            </w:r>
          </w:p>
        </w:tc>
        <w:tc>
          <w:tcPr>
            <w:tcW w:w="1494" w:type="pct"/>
            <w:tcBorders>
              <w:top w:val="nil"/>
              <w:bottom w:val="nil"/>
            </w:tcBorders>
          </w:tcPr>
          <w:p w14:paraId="1E31A92C">
            <w:pPr>
              <w:spacing w:before="100" w:beforeAutospacing="1" w:after="100" w:afterAutospacing="1" w:line="240" w:lineRule="auto"/>
              <w:jc w:val="both"/>
              <w:rPr>
                <w:rFonts w:eastAsia="Times New Roman" w:asciiTheme="majorBidi" w:hAnsiTheme="majorBidi" w:cstheme="majorBidi"/>
                <w:kern w:val="0"/>
                <w:sz w:val="24"/>
                <w:szCs w:val="24"/>
                <w14:ligatures w14:val="none"/>
              </w:rPr>
            </w:pPr>
            <w:r>
              <w:rPr>
                <w:rStyle w:val="53"/>
                <w:rFonts w:asciiTheme="majorBidi" w:hAnsiTheme="majorBidi" w:cstheme="majorBidi"/>
                <w:sz w:val="24"/>
                <w:szCs w:val="24"/>
              </w:rPr>
              <w:t xml:space="preserve">This is calculated as </w:t>
            </w:r>
            <w:r>
              <w:rPr>
                <w:rFonts w:asciiTheme="majorBidi" w:hAnsiTheme="majorBidi" w:cstheme="majorBidi"/>
                <w:sz w:val="24"/>
                <w:szCs w:val="24"/>
              </w:rPr>
              <w:t>the ratio of Earnings Per Share (EPS) divided by Share Price </w:t>
            </w:r>
          </w:p>
        </w:tc>
        <w:tc>
          <w:tcPr>
            <w:tcW w:w="763" w:type="pct"/>
            <w:tcBorders>
              <w:top w:val="nil"/>
              <w:bottom w:val="nil"/>
            </w:tcBorders>
          </w:tcPr>
          <w:p w14:paraId="437B76BF">
            <w:pPr>
              <w:spacing w:after="0" w:line="240" w:lineRule="auto"/>
              <w:jc w:val="both"/>
              <w:rPr>
                <w:rFonts w:asciiTheme="majorBidi" w:hAnsiTheme="majorBidi" w:cstheme="majorBidi"/>
                <w:bCs/>
                <w:sz w:val="24"/>
                <w:szCs w:val="24"/>
                <w:lang w:val="fr-FR"/>
              </w:rPr>
            </w:pPr>
            <w:r>
              <w:rPr>
                <w:rFonts w:eastAsia="Times New Roman" w:asciiTheme="majorBidi" w:hAnsiTheme="majorBidi" w:cstheme="majorBidi"/>
                <w:sz w:val="22"/>
                <w:szCs w:val="22"/>
              </w:rPr>
              <w:t>Damodaran, A. (2012). </w:t>
            </w:r>
          </w:p>
        </w:tc>
      </w:tr>
      <w:tr w14:paraId="727667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pct"/>
            <w:tcBorders>
              <w:top w:val="nil"/>
            </w:tcBorders>
          </w:tcPr>
          <w:p w14:paraId="4E0493EA">
            <w:pPr>
              <w:spacing w:before="240" w:after="0" w:line="240" w:lineRule="auto"/>
              <w:jc w:val="both"/>
              <w:rPr>
                <w:rFonts w:asciiTheme="majorBidi" w:hAnsiTheme="majorBidi" w:cstheme="majorBidi"/>
                <w:sz w:val="24"/>
                <w:szCs w:val="24"/>
              </w:rPr>
            </w:pPr>
            <w:r>
              <w:rPr>
                <w:rFonts w:asciiTheme="majorBidi" w:hAnsiTheme="majorBidi" w:cstheme="majorBidi"/>
                <w:sz w:val="24"/>
                <w:szCs w:val="24"/>
              </w:rPr>
              <w:t>Faithful Representation (FR)</w:t>
            </w:r>
          </w:p>
        </w:tc>
        <w:tc>
          <w:tcPr>
            <w:tcW w:w="1734" w:type="pct"/>
            <w:tcBorders>
              <w:top w:val="nil"/>
            </w:tcBorders>
          </w:tcPr>
          <w:p w14:paraId="20AB4B41">
            <w:pPr>
              <w:spacing w:before="240" w:after="0" w:line="240" w:lineRule="auto"/>
              <w:jc w:val="both"/>
              <w:rPr>
                <w:rFonts w:asciiTheme="majorBidi" w:hAnsiTheme="majorBidi" w:cstheme="majorBidi"/>
                <w:bCs/>
                <w:sz w:val="24"/>
                <w:szCs w:val="24"/>
              </w:rPr>
            </w:pPr>
            <w:r>
              <w:rPr>
                <w:rFonts w:asciiTheme="majorBidi" w:hAnsiTheme="majorBidi" w:cstheme="majorBidi"/>
                <w:sz w:val="24"/>
                <w:szCs w:val="24"/>
              </w:rPr>
              <w:t xml:space="preserve">Faithful representation is often assessed using financial statement elements such as total assets, total liabilities, and net income. A common proxy for measuring faithful representation in empirical studies is the </w:t>
            </w:r>
            <w:r>
              <w:rPr>
                <w:rStyle w:val="19"/>
                <w:rFonts w:asciiTheme="majorBidi" w:hAnsiTheme="majorBidi" w:cstheme="majorBidi"/>
                <w:b w:val="0"/>
                <w:bCs w:val="0"/>
                <w:sz w:val="24"/>
                <w:szCs w:val="24"/>
              </w:rPr>
              <w:t>earnings management index</w:t>
            </w:r>
            <w:r>
              <w:rPr>
                <w:rFonts w:asciiTheme="majorBidi" w:hAnsiTheme="majorBidi" w:cstheme="majorBidi"/>
                <w:sz w:val="24"/>
                <w:szCs w:val="24"/>
              </w:rPr>
              <w:t>, which captures deviations from expected accruals.</w:t>
            </w:r>
          </w:p>
        </w:tc>
        <w:tc>
          <w:tcPr>
            <w:tcW w:w="1494" w:type="pct"/>
            <w:tcBorders>
              <w:top w:val="nil"/>
            </w:tcBorders>
          </w:tcPr>
          <w:p w14:paraId="5D779EDF">
            <w:pPr>
              <w:spacing w:before="240" w:after="100" w:afterAutospacing="1"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Faithful Representation is calculated by subtracting operating cash flow from net income and then dividing the result by total assets. This measure indicates the extent to which reported earnings reflect actual cash flows, helping to assess the reliability and accuracy of financial statements.</w:t>
            </w:r>
          </w:p>
        </w:tc>
        <w:tc>
          <w:tcPr>
            <w:tcW w:w="763" w:type="pct"/>
            <w:tcBorders>
              <w:top w:val="nil"/>
            </w:tcBorders>
          </w:tcPr>
          <w:p w14:paraId="5116CAFF">
            <w:pPr>
              <w:spacing w:before="240" w:after="0" w:line="240" w:lineRule="auto"/>
              <w:jc w:val="both"/>
              <w:rPr>
                <w:rFonts w:asciiTheme="majorBidi" w:hAnsiTheme="majorBidi" w:cstheme="majorBidi"/>
                <w:bCs/>
                <w:sz w:val="24"/>
                <w:szCs w:val="24"/>
                <w:lang w:val="fr-FR"/>
              </w:rPr>
            </w:pPr>
            <w:r>
              <w:rPr>
                <w:rFonts w:asciiTheme="majorBidi" w:hAnsiTheme="majorBidi" w:cstheme="majorBidi"/>
                <w:sz w:val="24"/>
                <w:szCs w:val="24"/>
                <w:lang w:val="fr-FR"/>
              </w:rPr>
              <w:t>Dechow et al., (2010); Falana et al., (2025).</w:t>
            </w:r>
          </w:p>
        </w:tc>
      </w:tr>
      <w:tr w14:paraId="62B7AD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pct"/>
            <w:tcBorders>
              <w:top w:val="nil"/>
            </w:tcBorders>
          </w:tcPr>
          <w:p w14:paraId="6BA2EC0F">
            <w:pPr>
              <w:spacing w:before="240" w:after="0" w:line="240" w:lineRule="auto"/>
              <w:jc w:val="both"/>
              <w:rPr>
                <w:rFonts w:asciiTheme="majorBidi" w:hAnsiTheme="majorBidi" w:cstheme="majorBidi"/>
                <w:sz w:val="24"/>
                <w:szCs w:val="24"/>
              </w:rPr>
            </w:pPr>
            <w:r>
              <w:rPr>
                <w:rFonts w:asciiTheme="majorBidi" w:hAnsiTheme="majorBidi" w:cstheme="majorBidi"/>
                <w:sz w:val="24"/>
                <w:szCs w:val="24"/>
              </w:rPr>
              <w:t>Timeliness (TM)</w:t>
            </w:r>
          </w:p>
        </w:tc>
        <w:tc>
          <w:tcPr>
            <w:tcW w:w="1734" w:type="pct"/>
            <w:tcBorders>
              <w:top w:val="nil"/>
            </w:tcBorders>
          </w:tcPr>
          <w:p w14:paraId="6446E3BF">
            <w:pPr>
              <w:spacing w:before="240" w:after="0" w:line="240" w:lineRule="auto"/>
              <w:jc w:val="both"/>
              <w:rPr>
                <w:rFonts w:asciiTheme="majorBidi" w:hAnsiTheme="majorBidi" w:cstheme="majorBidi"/>
                <w:bCs/>
                <w:sz w:val="24"/>
                <w:szCs w:val="24"/>
              </w:rPr>
            </w:pPr>
            <w:r>
              <w:rPr>
                <w:rFonts w:asciiTheme="majorBidi" w:hAnsiTheme="majorBidi" w:cstheme="majorBidi"/>
                <w:sz w:val="24"/>
                <w:szCs w:val="24"/>
              </w:rPr>
              <w:t>Timeliness in financial reporting refers to the promptness with which companies disclose their financial statements to stakeholders. It is a key aspect of financial reporting quality, ensuring that investors, regulators, and other users receive relevant information promptly for decision-making. A delay in reporting can reduce the usefulness of financial statements and increase uncertainty in the market.</w:t>
            </w:r>
          </w:p>
        </w:tc>
        <w:tc>
          <w:tcPr>
            <w:tcW w:w="1494" w:type="pct"/>
            <w:tcBorders>
              <w:top w:val="nil"/>
            </w:tcBorders>
          </w:tcPr>
          <w:p w14:paraId="0E9C1099">
            <w:pPr>
              <w:spacing w:before="240" w:after="0" w:line="240" w:lineRule="auto"/>
              <w:jc w:val="both"/>
              <w:rPr>
                <w:rFonts w:asciiTheme="majorBidi" w:hAnsiTheme="majorBidi" w:cstheme="majorBidi"/>
                <w:bCs/>
                <w:sz w:val="24"/>
                <w:szCs w:val="24"/>
              </w:rPr>
            </w:pPr>
            <w:r>
              <w:rPr>
                <w:rFonts w:asciiTheme="majorBidi" w:hAnsiTheme="majorBidi" w:cstheme="majorBidi"/>
                <w:sz w:val="24"/>
                <w:szCs w:val="24"/>
              </w:rPr>
              <w:t>This is measured using the financial reporting lag, which is the number of days between the end of a company's financial year and the date the audited financial statements are released.</w:t>
            </w:r>
          </w:p>
        </w:tc>
        <w:tc>
          <w:tcPr>
            <w:tcW w:w="763" w:type="pct"/>
            <w:tcBorders>
              <w:top w:val="nil"/>
            </w:tcBorders>
          </w:tcPr>
          <w:p w14:paraId="14357AE0">
            <w:pPr>
              <w:spacing w:before="240" w:after="0" w:line="240" w:lineRule="auto"/>
              <w:jc w:val="both"/>
              <w:rPr>
                <w:rFonts w:asciiTheme="majorBidi" w:hAnsiTheme="majorBidi" w:cstheme="majorBidi"/>
                <w:sz w:val="24"/>
                <w:szCs w:val="24"/>
              </w:rPr>
            </w:pPr>
            <w:r>
              <w:rPr>
                <w:rFonts w:asciiTheme="majorBidi" w:hAnsiTheme="majorBidi" w:cstheme="majorBidi"/>
                <w:sz w:val="24"/>
                <w:szCs w:val="24"/>
              </w:rPr>
              <w:t>Habib et al. (2023); Jim-Suleiman and Ibiamke (2021).</w:t>
            </w:r>
          </w:p>
        </w:tc>
      </w:tr>
      <w:tr w14:paraId="2D0BEE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pct"/>
          </w:tcPr>
          <w:p w14:paraId="43691722">
            <w:pPr>
              <w:spacing w:before="240" w:after="0" w:line="240" w:lineRule="auto"/>
              <w:jc w:val="both"/>
              <w:rPr>
                <w:rFonts w:asciiTheme="majorBidi" w:hAnsiTheme="majorBidi" w:cstheme="majorBidi"/>
                <w:sz w:val="24"/>
                <w:szCs w:val="24"/>
              </w:rPr>
            </w:pPr>
            <w:r>
              <w:rPr>
                <w:rFonts w:asciiTheme="majorBidi" w:hAnsiTheme="majorBidi" w:cstheme="majorBidi"/>
                <w:sz w:val="24"/>
                <w:szCs w:val="24"/>
              </w:rPr>
              <w:t>Value Relevance (VR)</w:t>
            </w:r>
          </w:p>
        </w:tc>
        <w:tc>
          <w:tcPr>
            <w:tcW w:w="1734" w:type="pct"/>
          </w:tcPr>
          <w:p w14:paraId="3313BA8D">
            <w:pPr>
              <w:spacing w:before="240" w:after="0" w:line="240" w:lineRule="auto"/>
              <w:jc w:val="both"/>
              <w:rPr>
                <w:rFonts w:asciiTheme="majorBidi" w:hAnsiTheme="majorBidi" w:cstheme="majorBidi"/>
                <w:sz w:val="24"/>
                <w:szCs w:val="24"/>
              </w:rPr>
            </w:pPr>
            <w:r>
              <w:rPr>
                <w:rFonts w:asciiTheme="majorBidi" w:hAnsiTheme="majorBidi" w:cstheme="majorBidi"/>
                <w:sz w:val="24"/>
                <w:szCs w:val="24"/>
              </w:rPr>
              <w:t>Value relevance refers to the extent to which financial information disclosed in a firm's annual report influences stock prices or market value. It measures the usefulness of financial reporting in investors' decision-making</w:t>
            </w:r>
          </w:p>
          <w:p w14:paraId="31A948FF">
            <w:pPr>
              <w:spacing w:before="240" w:after="0" w:line="240" w:lineRule="auto"/>
              <w:jc w:val="both"/>
              <w:rPr>
                <w:rFonts w:asciiTheme="majorBidi" w:hAnsiTheme="majorBidi" w:cstheme="majorBidi"/>
                <w:bCs/>
                <w:sz w:val="24"/>
                <w:szCs w:val="24"/>
              </w:rPr>
            </w:pPr>
            <w:r>
              <w:rPr>
                <w:rFonts w:asciiTheme="majorBidi" w:hAnsiTheme="majorBidi" w:cstheme="majorBidi"/>
                <w:sz w:val="24"/>
                <w:szCs w:val="24"/>
              </w:rPr>
              <w:t>.</w:t>
            </w:r>
          </w:p>
        </w:tc>
        <w:tc>
          <w:tcPr>
            <w:tcW w:w="1494" w:type="pct"/>
          </w:tcPr>
          <w:p w14:paraId="3EE72B78">
            <w:pPr>
              <w:spacing w:after="100" w:afterAutospacing="1"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This ratio measures how much of the reported net income is backed by actual cash flows (a key indicator of earnings quality and relevance)</w:t>
            </w:r>
          </w:p>
        </w:tc>
        <w:tc>
          <w:tcPr>
            <w:tcW w:w="763" w:type="pct"/>
          </w:tcPr>
          <w:p w14:paraId="457B7A34">
            <w:pPr>
              <w:spacing w:before="240" w:after="0" w:line="240" w:lineRule="auto"/>
              <w:jc w:val="both"/>
              <w:rPr>
                <w:rFonts w:asciiTheme="majorBidi" w:hAnsiTheme="majorBidi" w:cstheme="majorBidi"/>
                <w:bCs/>
                <w:sz w:val="24"/>
                <w:szCs w:val="24"/>
              </w:rPr>
            </w:pPr>
            <w:r>
              <w:rPr>
                <w:rFonts w:eastAsia="Times New Roman" w:asciiTheme="majorBidi" w:hAnsiTheme="majorBidi" w:cstheme="majorBidi"/>
                <w:sz w:val="22"/>
                <w:szCs w:val="22"/>
              </w:rPr>
              <w:t>Kim and Kross (2005)</w:t>
            </w:r>
          </w:p>
        </w:tc>
      </w:tr>
    </w:tbl>
    <w:p w14:paraId="3DB7C49C">
      <w:pPr>
        <w:spacing w:after="0" w:line="360" w:lineRule="auto"/>
        <w:jc w:val="both"/>
        <w:rPr>
          <w:rFonts w:asciiTheme="majorBidi" w:hAnsiTheme="majorBidi" w:cstheme="majorBidi"/>
          <w:b/>
          <w:bCs/>
        </w:rPr>
      </w:pPr>
      <w:r>
        <w:rPr>
          <w:rFonts w:asciiTheme="majorBidi" w:hAnsiTheme="majorBidi" w:cstheme="majorBidi"/>
          <w:b/>
          <w:bCs/>
        </w:rPr>
        <w:t>Authors’ Compilation (2025)</w:t>
      </w:r>
    </w:p>
    <w:p w14:paraId="5F2FD8C8">
      <w:pPr>
        <w:spacing w:after="0" w:line="360" w:lineRule="auto"/>
        <w:rPr>
          <w:rFonts w:eastAsia="Times New Roman" w:asciiTheme="majorBidi" w:hAnsiTheme="majorBidi" w:cstheme="majorBidi"/>
          <w:b/>
          <w:bCs/>
          <w:kern w:val="0"/>
          <w14:ligatures w14:val="none"/>
        </w:rPr>
      </w:pPr>
    </w:p>
    <w:p w14:paraId="032B2A0B">
      <w:pPr>
        <w:spacing w:after="0" w:line="360" w:lineRule="auto"/>
        <w:rPr>
          <w:rFonts w:asciiTheme="majorBidi" w:hAnsiTheme="majorBidi" w:cstheme="majorBidi"/>
          <w:b/>
        </w:rPr>
      </w:pPr>
      <w:r>
        <w:rPr>
          <w:rFonts w:eastAsia="Times New Roman" w:asciiTheme="majorBidi" w:hAnsiTheme="majorBidi" w:cstheme="majorBidi"/>
          <w:b/>
          <w:bCs/>
          <w:kern w:val="0"/>
          <w14:ligatures w14:val="none"/>
        </w:rPr>
        <w:t xml:space="preserve">4.       </w:t>
      </w:r>
      <w:r>
        <w:rPr>
          <w:rFonts w:asciiTheme="majorBidi" w:hAnsiTheme="majorBidi" w:cstheme="majorBidi"/>
          <w:b/>
        </w:rPr>
        <w:t>Data Analysis and Discussion of Findings</w:t>
      </w:r>
    </w:p>
    <w:p w14:paraId="1CAE25DF">
      <w:pPr>
        <w:pStyle w:val="18"/>
        <w:spacing w:before="0" w:beforeAutospacing="0" w:line="360" w:lineRule="auto"/>
        <w:jc w:val="both"/>
        <w:rPr>
          <w:rFonts w:asciiTheme="majorBidi" w:hAnsiTheme="majorBidi" w:cstheme="majorBidi"/>
        </w:rPr>
      </w:pPr>
      <w:r>
        <w:rPr>
          <w:rFonts w:asciiTheme="majorBidi" w:hAnsiTheme="majorBidi" w:cstheme="majorBidi"/>
        </w:rPr>
        <w:t xml:space="preserve">          This section discusses the analysis's findings and consequences. This section explains the variables employed, data analysis, and study results. These statistics summarise how the variable is distributed.</w:t>
      </w:r>
    </w:p>
    <w:p w14:paraId="2D4B5132">
      <w:pPr>
        <w:autoSpaceDE w:val="0"/>
        <w:autoSpaceDN w:val="0"/>
        <w:adjustRightInd w:val="0"/>
        <w:spacing w:after="0" w:line="360" w:lineRule="auto"/>
        <w:jc w:val="both"/>
        <w:rPr>
          <w:rFonts w:eastAsia="Calibri" w:asciiTheme="majorBidi" w:hAnsiTheme="majorBidi" w:cstheme="majorBidi"/>
          <w:b/>
        </w:rPr>
      </w:pPr>
      <w:bookmarkStart w:id="0" w:name="_Hlk177910951"/>
      <w:r>
        <w:rPr>
          <w:rFonts w:eastAsia="Calibri" w:asciiTheme="majorBidi" w:hAnsiTheme="majorBidi" w:cstheme="majorBidi"/>
          <w:b/>
        </w:rPr>
        <w:t>4.1     Descriptive Statistics</w:t>
      </w:r>
      <w:bookmarkEnd w:id="0"/>
    </w:p>
    <w:p w14:paraId="036ECC8B">
      <w:pPr>
        <w:pStyle w:val="18"/>
        <w:spacing w:before="0" w:beforeAutospacing="0" w:line="360" w:lineRule="auto"/>
        <w:jc w:val="both"/>
        <w:rPr>
          <w:rFonts w:asciiTheme="majorBidi" w:hAnsiTheme="majorBidi" w:cstheme="majorBidi"/>
        </w:rPr>
      </w:pPr>
      <w:r>
        <w:rPr>
          <w:rFonts w:asciiTheme="majorBidi" w:hAnsiTheme="majorBidi" w:cstheme="majorBidi"/>
        </w:rPr>
        <w:t xml:space="preserve">          Table 2 contains statistics for each variable, as well as details on their distribution and features across datasets. The total number of observations was 140. The average cost of capital was 0.0387 (3.87%). While the median (50%) was 0.0121, this implies that half of the values in the dataset were below 1.21%. The standard deviation was 0.0875. This implies that there was a moderate spread. The skewness was 5.5816. While being strongly positive, this indicates that a few firms have very high capital costs. The Kurtosis of 41.9254 indicates a very leptokurtic distribution, suggesting outliers or extreme values. Overall, most firms have a relatively low cost of capital.</w:t>
      </w:r>
      <w:r>
        <w:rPr>
          <w:rFonts w:asciiTheme="majorBidi" w:hAnsiTheme="majorBidi" w:cstheme="majorBidi"/>
          <w:b/>
          <w:bCs/>
        </w:rPr>
        <w:t xml:space="preserve"> </w:t>
      </w:r>
      <w:r>
        <w:rPr>
          <w:rFonts w:asciiTheme="majorBidi" w:hAnsiTheme="majorBidi" w:cstheme="majorBidi"/>
        </w:rPr>
        <w:t xml:space="preserve">In the same vein, the average size of faithful representation was 0.0001. This implies that accruals are near zero, suggesting minimal systematic bias in earnings on average. There is a high variability in FR across firms, indicating that some firms aggressively manage earnings. At a skewness of -7.3042, the distribution is left-skewed. This implies that most firms cluster near zero, but extreme negative outliers exist. The kurtosis of 78.3642 denotes a leptokurtic distribution with extreme FR values. </w:t>
      </w:r>
    </w:p>
    <w:p w14:paraId="22F6615C">
      <w:pPr>
        <w:spacing w:before="100" w:beforeAutospacing="1" w:after="100" w:afterAutospacing="1" w:line="360" w:lineRule="auto"/>
        <w:jc w:val="both"/>
        <w:outlineLvl w:val="1"/>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        Similarly, relevance had an average size of -21.6112. This means that earnings depend on accruals/non-cash items while more profits without cash support. The substantial diversity in VR between firms suggests that some organisations aggressively manage earnings. With a skewness of -6.9567, the distribution is left-skewed. This means that most enterprises cluster around zero, but there are extreme negative outliers. The kurtosis of 66.7119 represents a leptokurtic distribution with extreme VR values. Again, the average size of timeliness was 0.5895. This indicates that on average, firms take approximately 59% of the 6 months (106 days) to report. Half of the firms reported within 45% of the window with a median of 0.4505. There is a high variability with a standard deviation of 0.6224. Some firms reported much faster or slower than others. The distribution has a skewness of 1.0737 and is right-skewed. This implies that a few firms took significantly longer to report. The kurtosis of 4.3861 indicates a leptokurtic distribution with some extreme delays exist.</w:t>
      </w:r>
    </w:p>
    <w:tbl>
      <w:tblPr>
        <w:tblStyle w:val="12"/>
        <w:tblW w:w="5000" w:type="pct"/>
        <w:tblInd w:w="0" w:type="dxa"/>
        <w:tblLayout w:type="autofit"/>
        <w:tblCellMar>
          <w:top w:w="0" w:type="dxa"/>
          <w:left w:w="108" w:type="dxa"/>
          <w:bottom w:w="0" w:type="dxa"/>
          <w:right w:w="108" w:type="dxa"/>
        </w:tblCellMar>
      </w:tblPr>
      <w:tblGrid>
        <w:gridCol w:w="1281"/>
        <w:gridCol w:w="1247"/>
        <w:gridCol w:w="1371"/>
        <w:gridCol w:w="1168"/>
        <w:gridCol w:w="1814"/>
        <w:gridCol w:w="1429"/>
        <w:gridCol w:w="1266"/>
      </w:tblGrid>
      <w:tr w14:paraId="4B173D18">
        <w:tblPrEx>
          <w:tblCellMar>
            <w:top w:w="0" w:type="dxa"/>
            <w:left w:w="108" w:type="dxa"/>
            <w:bottom w:w="0" w:type="dxa"/>
            <w:right w:w="108" w:type="dxa"/>
          </w:tblCellMar>
        </w:tblPrEx>
        <w:trPr>
          <w:trHeight w:val="312" w:hRule="atLeast"/>
        </w:trPr>
        <w:tc>
          <w:tcPr>
            <w:tcW w:w="2646" w:type="pct"/>
            <w:gridSpan w:val="4"/>
            <w:tcBorders>
              <w:top w:val="nil"/>
              <w:left w:val="nil"/>
              <w:bottom w:val="nil"/>
              <w:right w:val="nil"/>
            </w:tcBorders>
            <w:shd w:val="clear" w:color="auto" w:fill="auto"/>
            <w:noWrap/>
            <w:vAlign w:val="bottom"/>
          </w:tcPr>
          <w:p w14:paraId="51D38AA4">
            <w:pPr>
              <w:spacing w:after="0" w:line="240" w:lineRule="auto"/>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Table 2: Descriptive Statistics</w:t>
            </w:r>
          </w:p>
        </w:tc>
        <w:tc>
          <w:tcPr>
            <w:tcW w:w="947" w:type="pct"/>
            <w:tcBorders>
              <w:top w:val="nil"/>
              <w:left w:val="nil"/>
              <w:bottom w:val="nil"/>
              <w:right w:val="nil"/>
            </w:tcBorders>
            <w:shd w:val="clear" w:color="auto" w:fill="auto"/>
            <w:noWrap/>
            <w:vAlign w:val="bottom"/>
          </w:tcPr>
          <w:p w14:paraId="3B7A9FD4">
            <w:pPr>
              <w:spacing w:after="0" w:line="240" w:lineRule="auto"/>
              <w:rPr>
                <w:rFonts w:ascii="Times New Roman" w:hAnsi="Times New Roman" w:eastAsia="Times New Roman" w:cs="Times New Roman"/>
                <w:color w:val="000000"/>
                <w:kern w:val="0"/>
                <w14:ligatures w14:val="none"/>
              </w:rPr>
            </w:pPr>
          </w:p>
        </w:tc>
        <w:tc>
          <w:tcPr>
            <w:tcW w:w="746" w:type="pct"/>
            <w:tcBorders>
              <w:top w:val="nil"/>
              <w:left w:val="nil"/>
              <w:bottom w:val="nil"/>
              <w:right w:val="nil"/>
            </w:tcBorders>
            <w:shd w:val="clear" w:color="auto" w:fill="auto"/>
            <w:noWrap/>
            <w:vAlign w:val="bottom"/>
          </w:tcPr>
          <w:p w14:paraId="6A525138">
            <w:pPr>
              <w:spacing w:after="0" w:line="240" w:lineRule="auto"/>
              <w:rPr>
                <w:rFonts w:ascii="Times New Roman" w:hAnsi="Times New Roman" w:eastAsia="Times New Roman" w:cs="Times New Roman"/>
                <w:kern w:val="0"/>
                <w:sz w:val="20"/>
                <w:szCs w:val="20"/>
                <w14:ligatures w14:val="none"/>
              </w:rPr>
            </w:pPr>
          </w:p>
        </w:tc>
        <w:tc>
          <w:tcPr>
            <w:tcW w:w="661" w:type="pct"/>
            <w:tcBorders>
              <w:top w:val="nil"/>
              <w:left w:val="nil"/>
              <w:bottom w:val="nil"/>
              <w:right w:val="nil"/>
            </w:tcBorders>
            <w:shd w:val="clear" w:color="auto" w:fill="auto"/>
            <w:noWrap/>
            <w:vAlign w:val="bottom"/>
          </w:tcPr>
          <w:p w14:paraId="7302BCF0">
            <w:pPr>
              <w:spacing w:after="0" w:line="240" w:lineRule="auto"/>
              <w:rPr>
                <w:rFonts w:ascii="Times New Roman" w:hAnsi="Times New Roman" w:eastAsia="Times New Roman" w:cs="Times New Roman"/>
                <w:kern w:val="0"/>
                <w:sz w:val="20"/>
                <w:szCs w:val="20"/>
                <w14:ligatures w14:val="none"/>
              </w:rPr>
            </w:pPr>
          </w:p>
        </w:tc>
      </w:tr>
      <w:tr w14:paraId="1EE68BF7">
        <w:tblPrEx>
          <w:tblCellMar>
            <w:top w:w="0" w:type="dxa"/>
            <w:left w:w="108" w:type="dxa"/>
            <w:bottom w:w="0" w:type="dxa"/>
            <w:right w:w="108" w:type="dxa"/>
          </w:tblCellMar>
        </w:tblPrEx>
        <w:trPr>
          <w:trHeight w:val="312" w:hRule="atLeast"/>
        </w:trPr>
        <w:tc>
          <w:tcPr>
            <w:tcW w:w="669" w:type="pct"/>
            <w:tcBorders>
              <w:top w:val="single" w:color="auto" w:sz="4" w:space="0"/>
              <w:left w:val="nil"/>
              <w:bottom w:val="single" w:color="auto" w:sz="4" w:space="0"/>
              <w:right w:val="nil"/>
            </w:tcBorders>
            <w:shd w:val="clear" w:color="auto" w:fill="auto"/>
            <w:noWrap/>
            <w:vAlign w:val="bottom"/>
          </w:tcPr>
          <w:p w14:paraId="558FAFF0">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Variable</w:t>
            </w:r>
          </w:p>
        </w:tc>
        <w:tc>
          <w:tcPr>
            <w:tcW w:w="651" w:type="pct"/>
            <w:tcBorders>
              <w:top w:val="single" w:color="auto" w:sz="4" w:space="0"/>
              <w:left w:val="nil"/>
              <w:bottom w:val="single" w:color="auto" w:sz="4" w:space="0"/>
              <w:right w:val="nil"/>
            </w:tcBorders>
            <w:shd w:val="clear" w:color="auto" w:fill="auto"/>
            <w:noWrap/>
            <w:vAlign w:val="bottom"/>
          </w:tcPr>
          <w:p w14:paraId="045D6B73">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Mean</w:t>
            </w:r>
          </w:p>
        </w:tc>
        <w:tc>
          <w:tcPr>
            <w:tcW w:w="716" w:type="pct"/>
            <w:tcBorders>
              <w:top w:val="single" w:color="auto" w:sz="4" w:space="0"/>
              <w:left w:val="nil"/>
              <w:bottom w:val="single" w:color="auto" w:sz="4" w:space="0"/>
              <w:right w:val="nil"/>
            </w:tcBorders>
            <w:shd w:val="clear" w:color="auto" w:fill="auto"/>
            <w:noWrap/>
            <w:vAlign w:val="bottom"/>
          </w:tcPr>
          <w:p w14:paraId="0EEFC56A">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Std. Dev.</w:t>
            </w:r>
          </w:p>
        </w:tc>
        <w:tc>
          <w:tcPr>
            <w:tcW w:w="610" w:type="pct"/>
            <w:tcBorders>
              <w:top w:val="single" w:color="auto" w:sz="4" w:space="0"/>
              <w:left w:val="nil"/>
              <w:bottom w:val="single" w:color="auto" w:sz="4" w:space="0"/>
              <w:right w:val="nil"/>
            </w:tcBorders>
            <w:shd w:val="clear" w:color="auto" w:fill="auto"/>
            <w:noWrap/>
            <w:vAlign w:val="bottom"/>
          </w:tcPr>
          <w:p w14:paraId="1F75348C">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Median</w:t>
            </w:r>
          </w:p>
        </w:tc>
        <w:tc>
          <w:tcPr>
            <w:tcW w:w="947" w:type="pct"/>
            <w:tcBorders>
              <w:top w:val="single" w:color="auto" w:sz="4" w:space="0"/>
              <w:left w:val="nil"/>
              <w:bottom w:val="single" w:color="auto" w:sz="4" w:space="0"/>
              <w:right w:val="nil"/>
            </w:tcBorders>
            <w:shd w:val="clear" w:color="auto" w:fill="auto"/>
            <w:noWrap/>
            <w:vAlign w:val="bottom"/>
          </w:tcPr>
          <w:p w14:paraId="6E6DABC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Variance</w:t>
            </w:r>
          </w:p>
        </w:tc>
        <w:tc>
          <w:tcPr>
            <w:tcW w:w="746" w:type="pct"/>
            <w:tcBorders>
              <w:top w:val="single" w:color="auto" w:sz="4" w:space="0"/>
              <w:left w:val="nil"/>
              <w:bottom w:val="single" w:color="auto" w:sz="4" w:space="0"/>
              <w:right w:val="nil"/>
            </w:tcBorders>
            <w:shd w:val="clear" w:color="auto" w:fill="auto"/>
            <w:noWrap/>
            <w:vAlign w:val="bottom"/>
          </w:tcPr>
          <w:p w14:paraId="006512F3">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Skewness</w:t>
            </w:r>
          </w:p>
        </w:tc>
        <w:tc>
          <w:tcPr>
            <w:tcW w:w="661" w:type="pct"/>
            <w:tcBorders>
              <w:top w:val="single" w:color="auto" w:sz="4" w:space="0"/>
              <w:left w:val="nil"/>
              <w:bottom w:val="single" w:color="auto" w:sz="4" w:space="0"/>
              <w:right w:val="nil"/>
            </w:tcBorders>
            <w:shd w:val="clear" w:color="auto" w:fill="auto"/>
            <w:noWrap/>
            <w:vAlign w:val="bottom"/>
          </w:tcPr>
          <w:p w14:paraId="4094935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Kurtosis</w:t>
            </w:r>
          </w:p>
        </w:tc>
      </w:tr>
      <w:tr w14:paraId="2B9245D7">
        <w:tblPrEx>
          <w:tblCellMar>
            <w:top w:w="0" w:type="dxa"/>
            <w:left w:w="108" w:type="dxa"/>
            <w:bottom w:w="0" w:type="dxa"/>
            <w:right w:w="108" w:type="dxa"/>
          </w:tblCellMar>
        </w:tblPrEx>
        <w:trPr>
          <w:trHeight w:val="312" w:hRule="atLeast"/>
        </w:trPr>
        <w:tc>
          <w:tcPr>
            <w:tcW w:w="669" w:type="pct"/>
            <w:tcBorders>
              <w:top w:val="nil"/>
              <w:left w:val="nil"/>
              <w:bottom w:val="nil"/>
              <w:right w:val="nil"/>
            </w:tcBorders>
            <w:shd w:val="clear" w:color="auto" w:fill="auto"/>
            <w:noWrap/>
            <w:vAlign w:val="bottom"/>
          </w:tcPr>
          <w:p w14:paraId="0D944C8A">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Coc</w:t>
            </w:r>
          </w:p>
        </w:tc>
        <w:tc>
          <w:tcPr>
            <w:tcW w:w="651" w:type="pct"/>
            <w:tcBorders>
              <w:top w:val="nil"/>
              <w:left w:val="nil"/>
              <w:bottom w:val="nil"/>
              <w:right w:val="nil"/>
            </w:tcBorders>
            <w:shd w:val="clear" w:color="auto" w:fill="auto"/>
            <w:noWrap/>
            <w:vAlign w:val="bottom"/>
          </w:tcPr>
          <w:p w14:paraId="0D48FA64">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0.0387</w:t>
            </w:r>
          </w:p>
        </w:tc>
        <w:tc>
          <w:tcPr>
            <w:tcW w:w="716" w:type="pct"/>
            <w:tcBorders>
              <w:top w:val="nil"/>
              <w:left w:val="nil"/>
              <w:bottom w:val="nil"/>
              <w:right w:val="nil"/>
            </w:tcBorders>
            <w:shd w:val="clear" w:color="auto" w:fill="auto"/>
            <w:noWrap/>
            <w:vAlign w:val="bottom"/>
          </w:tcPr>
          <w:p w14:paraId="43BA80E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0.0875</w:t>
            </w:r>
          </w:p>
        </w:tc>
        <w:tc>
          <w:tcPr>
            <w:tcW w:w="610" w:type="pct"/>
            <w:tcBorders>
              <w:top w:val="nil"/>
              <w:left w:val="nil"/>
              <w:bottom w:val="nil"/>
              <w:right w:val="nil"/>
            </w:tcBorders>
            <w:shd w:val="clear" w:color="auto" w:fill="auto"/>
            <w:noWrap/>
            <w:vAlign w:val="bottom"/>
          </w:tcPr>
          <w:p w14:paraId="64F00F0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0.0121</w:t>
            </w:r>
          </w:p>
        </w:tc>
        <w:tc>
          <w:tcPr>
            <w:tcW w:w="947" w:type="pct"/>
            <w:tcBorders>
              <w:top w:val="nil"/>
              <w:left w:val="nil"/>
              <w:bottom w:val="nil"/>
              <w:right w:val="nil"/>
            </w:tcBorders>
            <w:shd w:val="clear" w:color="auto" w:fill="auto"/>
            <w:noWrap/>
            <w:vAlign w:val="bottom"/>
          </w:tcPr>
          <w:p w14:paraId="687E96ED">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0.0077</w:t>
            </w:r>
          </w:p>
        </w:tc>
        <w:tc>
          <w:tcPr>
            <w:tcW w:w="746" w:type="pct"/>
            <w:tcBorders>
              <w:top w:val="nil"/>
              <w:left w:val="nil"/>
              <w:bottom w:val="nil"/>
              <w:right w:val="nil"/>
            </w:tcBorders>
            <w:shd w:val="clear" w:color="auto" w:fill="auto"/>
            <w:noWrap/>
            <w:vAlign w:val="bottom"/>
          </w:tcPr>
          <w:p w14:paraId="5B70F230">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5.5816</w:t>
            </w:r>
          </w:p>
        </w:tc>
        <w:tc>
          <w:tcPr>
            <w:tcW w:w="661" w:type="pct"/>
            <w:tcBorders>
              <w:top w:val="nil"/>
              <w:left w:val="nil"/>
              <w:bottom w:val="nil"/>
              <w:right w:val="nil"/>
            </w:tcBorders>
            <w:shd w:val="clear" w:color="auto" w:fill="auto"/>
            <w:noWrap/>
            <w:vAlign w:val="bottom"/>
          </w:tcPr>
          <w:p w14:paraId="17081174">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41.9254</w:t>
            </w:r>
          </w:p>
        </w:tc>
      </w:tr>
      <w:tr w14:paraId="1FC4932D">
        <w:tblPrEx>
          <w:tblCellMar>
            <w:top w:w="0" w:type="dxa"/>
            <w:left w:w="108" w:type="dxa"/>
            <w:bottom w:w="0" w:type="dxa"/>
            <w:right w:w="108" w:type="dxa"/>
          </w:tblCellMar>
        </w:tblPrEx>
        <w:trPr>
          <w:trHeight w:val="312" w:hRule="atLeast"/>
        </w:trPr>
        <w:tc>
          <w:tcPr>
            <w:tcW w:w="669" w:type="pct"/>
            <w:tcBorders>
              <w:top w:val="nil"/>
              <w:left w:val="nil"/>
              <w:bottom w:val="nil"/>
              <w:right w:val="nil"/>
            </w:tcBorders>
            <w:shd w:val="clear" w:color="auto" w:fill="auto"/>
            <w:noWrap/>
            <w:vAlign w:val="bottom"/>
          </w:tcPr>
          <w:p w14:paraId="258E1383">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FR</w:t>
            </w:r>
          </w:p>
        </w:tc>
        <w:tc>
          <w:tcPr>
            <w:tcW w:w="651" w:type="pct"/>
            <w:tcBorders>
              <w:top w:val="nil"/>
              <w:left w:val="nil"/>
              <w:bottom w:val="nil"/>
              <w:right w:val="nil"/>
            </w:tcBorders>
            <w:shd w:val="clear" w:color="auto" w:fill="auto"/>
            <w:noWrap/>
            <w:vAlign w:val="bottom"/>
          </w:tcPr>
          <w:p w14:paraId="568F4A3A">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0.0001</w:t>
            </w:r>
          </w:p>
        </w:tc>
        <w:tc>
          <w:tcPr>
            <w:tcW w:w="716" w:type="pct"/>
            <w:tcBorders>
              <w:top w:val="nil"/>
              <w:left w:val="nil"/>
              <w:bottom w:val="nil"/>
              <w:right w:val="nil"/>
            </w:tcBorders>
            <w:shd w:val="clear" w:color="auto" w:fill="auto"/>
            <w:noWrap/>
            <w:vAlign w:val="bottom"/>
          </w:tcPr>
          <w:p w14:paraId="521F716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0.0766</w:t>
            </w:r>
          </w:p>
        </w:tc>
        <w:tc>
          <w:tcPr>
            <w:tcW w:w="610" w:type="pct"/>
            <w:tcBorders>
              <w:top w:val="nil"/>
              <w:left w:val="nil"/>
              <w:bottom w:val="nil"/>
              <w:right w:val="nil"/>
            </w:tcBorders>
            <w:shd w:val="clear" w:color="auto" w:fill="auto"/>
            <w:noWrap/>
            <w:vAlign w:val="bottom"/>
          </w:tcPr>
          <w:p w14:paraId="1B4E708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0.0007</w:t>
            </w:r>
          </w:p>
        </w:tc>
        <w:tc>
          <w:tcPr>
            <w:tcW w:w="947" w:type="pct"/>
            <w:tcBorders>
              <w:top w:val="nil"/>
              <w:left w:val="nil"/>
              <w:bottom w:val="nil"/>
              <w:right w:val="nil"/>
            </w:tcBorders>
            <w:shd w:val="clear" w:color="auto" w:fill="auto"/>
            <w:noWrap/>
            <w:vAlign w:val="bottom"/>
          </w:tcPr>
          <w:p w14:paraId="2B40E642">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0.0059</w:t>
            </w:r>
          </w:p>
        </w:tc>
        <w:tc>
          <w:tcPr>
            <w:tcW w:w="746" w:type="pct"/>
            <w:tcBorders>
              <w:top w:val="nil"/>
              <w:left w:val="nil"/>
              <w:bottom w:val="nil"/>
              <w:right w:val="nil"/>
            </w:tcBorders>
            <w:shd w:val="clear" w:color="auto" w:fill="auto"/>
            <w:noWrap/>
            <w:vAlign w:val="bottom"/>
          </w:tcPr>
          <w:p w14:paraId="73CE3050">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-7.3042</w:t>
            </w:r>
          </w:p>
        </w:tc>
        <w:tc>
          <w:tcPr>
            <w:tcW w:w="661" w:type="pct"/>
            <w:tcBorders>
              <w:top w:val="nil"/>
              <w:left w:val="nil"/>
              <w:bottom w:val="nil"/>
              <w:right w:val="nil"/>
            </w:tcBorders>
            <w:shd w:val="clear" w:color="auto" w:fill="auto"/>
            <w:noWrap/>
            <w:vAlign w:val="bottom"/>
          </w:tcPr>
          <w:p w14:paraId="4820720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78.3642</w:t>
            </w:r>
          </w:p>
        </w:tc>
      </w:tr>
      <w:tr w14:paraId="7F101319">
        <w:tblPrEx>
          <w:tblCellMar>
            <w:top w:w="0" w:type="dxa"/>
            <w:left w:w="108" w:type="dxa"/>
            <w:bottom w:w="0" w:type="dxa"/>
            <w:right w:w="108" w:type="dxa"/>
          </w:tblCellMar>
        </w:tblPrEx>
        <w:trPr>
          <w:trHeight w:val="312" w:hRule="atLeast"/>
        </w:trPr>
        <w:tc>
          <w:tcPr>
            <w:tcW w:w="669" w:type="pct"/>
            <w:tcBorders>
              <w:top w:val="nil"/>
              <w:left w:val="nil"/>
              <w:bottom w:val="nil"/>
              <w:right w:val="nil"/>
            </w:tcBorders>
            <w:shd w:val="clear" w:color="auto" w:fill="auto"/>
            <w:noWrap/>
            <w:vAlign w:val="bottom"/>
          </w:tcPr>
          <w:p w14:paraId="534EE423">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VR</w:t>
            </w:r>
          </w:p>
        </w:tc>
        <w:tc>
          <w:tcPr>
            <w:tcW w:w="651" w:type="pct"/>
            <w:tcBorders>
              <w:top w:val="nil"/>
              <w:left w:val="nil"/>
              <w:bottom w:val="nil"/>
              <w:right w:val="nil"/>
            </w:tcBorders>
            <w:shd w:val="clear" w:color="auto" w:fill="auto"/>
            <w:noWrap/>
            <w:vAlign w:val="bottom"/>
          </w:tcPr>
          <w:p w14:paraId="1492F4CD">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-21.6112</w:t>
            </w:r>
          </w:p>
        </w:tc>
        <w:tc>
          <w:tcPr>
            <w:tcW w:w="716" w:type="pct"/>
            <w:tcBorders>
              <w:top w:val="nil"/>
              <w:left w:val="nil"/>
              <w:bottom w:val="nil"/>
              <w:right w:val="nil"/>
            </w:tcBorders>
            <w:shd w:val="clear" w:color="auto" w:fill="auto"/>
            <w:noWrap/>
            <w:vAlign w:val="bottom"/>
          </w:tcPr>
          <w:p w14:paraId="64C6070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365.8547</w:t>
            </w:r>
          </w:p>
        </w:tc>
        <w:tc>
          <w:tcPr>
            <w:tcW w:w="610" w:type="pct"/>
            <w:tcBorders>
              <w:top w:val="nil"/>
              <w:left w:val="nil"/>
              <w:bottom w:val="nil"/>
              <w:right w:val="nil"/>
            </w:tcBorders>
            <w:shd w:val="clear" w:color="auto" w:fill="auto"/>
            <w:noWrap/>
            <w:vAlign w:val="bottom"/>
          </w:tcPr>
          <w:p w14:paraId="1C089E5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1.0266</w:t>
            </w:r>
          </w:p>
        </w:tc>
        <w:tc>
          <w:tcPr>
            <w:tcW w:w="947" w:type="pct"/>
            <w:tcBorders>
              <w:top w:val="nil"/>
              <w:left w:val="nil"/>
              <w:bottom w:val="nil"/>
              <w:right w:val="nil"/>
            </w:tcBorders>
            <w:shd w:val="clear" w:color="auto" w:fill="auto"/>
            <w:noWrap/>
            <w:vAlign w:val="bottom"/>
          </w:tcPr>
          <w:p w14:paraId="11AF40AE">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133849.6</w:t>
            </w:r>
          </w:p>
        </w:tc>
        <w:tc>
          <w:tcPr>
            <w:tcW w:w="746" w:type="pct"/>
            <w:tcBorders>
              <w:top w:val="nil"/>
              <w:left w:val="nil"/>
              <w:bottom w:val="nil"/>
              <w:right w:val="nil"/>
            </w:tcBorders>
            <w:shd w:val="clear" w:color="auto" w:fill="auto"/>
            <w:noWrap/>
            <w:vAlign w:val="bottom"/>
          </w:tcPr>
          <w:p w14:paraId="0B511B3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-6.9567</w:t>
            </w:r>
          </w:p>
        </w:tc>
        <w:tc>
          <w:tcPr>
            <w:tcW w:w="661" w:type="pct"/>
            <w:tcBorders>
              <w:top w:val="nil"/>
              <w:left w:val="nil"/>
              <w:bottom w:val="nil"/>
              <w:right w:val="nil"/>
            </w:tcBorders>
            <w:shd w:val="clear" w:color="auto" w:fill="auto"/>
            <w:noWrap/>
            <w:vAlign w:val="bottom"/>
          </w:tcPr>
          <w:p w14:paraId="418DFC2D">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66.7119</w:t>
            </w:r>
          </w:p>
        </w:tc>
      </w:tr>
      <w:tr w14:paraId="1DD6DD05">
        <w:tblPrEx>
          <w:tblCellMar>
            <w:top w:w="0" w:type="dxa"/>
            <w:left w:w="108" w:type="dxa"/>
            <w:bottom w:w="0" w:type="dxa"/>
            <w:right w:w="108" w:type="dxa"/>
          </w:tblCellMar>
        </w:tblPrEx>
        <w:trPr>
          <w:trHeight w:val="312" w:hRule="atLeast"/>
        </w:trPr>
        <w:tc>
          <w:tcPr>
            <w:tcW w:w="669" w:type="pct"/>
            <w:tcBorders>
              <w:top w:val="nil"/>
              <w:left w:val="nil"/>
              <w:bottom w:val="single" w:color="auto" w:sz="4" w:space="0"/>
              <w:right w:val="nil"/>
            </w:tcBorders>
            <w:shd w:val="clear" w:color="auto" w:fill="auto"/>
            <w:noWrap/>
            <w:vAlign w:val="bottom"/>
          </w:tcPr>
          <w:p w14:paraId="26B9B499">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TM</w:t>
            </w:r>
          </w:p>
        </w:tc>
        <w:tc>
          <w:tcPr>
            <w:tcW w:w="651" w:type="pct"/>
            <w:tcBorders>
              <w:top w:val="nil"/>
              <w:left w:val="nil"/>
              <w:bottom w:val="single" w:color="auto" w:sz="4" w:space="0"/>
              <w:right w:val="nil"/>
            </w:tcBorders>
            <w:shd w:val="clear" w:color="auto" w:fill="auto"/>
            <w:noWrap/>
            <w:vAlign w:val="bottom"/>
          </w:tcPr>
          <w:p w14:paraId="3D5217A4">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0.5895</w:t>
            </w:r>
          </w:p>
        </w:tc>
        <w:tc>
          <w:tcPr>
            <w:tcW w:w="716" w:type="pct"/>
            <w:tcBorders>
              <w:top w:val="nil"/>
              <w:left w:val="nil"/>
              <w:bottom w:val="single" w:color="auto" w:sz="4" w:space="0"/>
              <w:right w:val="nil"/>
            </w:tcBorders>
            <w:shd w:val="clear" w:color="auto" w:fill="auto"/>
            <w:noWrap/>
            <w:vAlign w:val="bottom"/>
          </w:tcPr>
          <w:p w14:paraId="1161C20D">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0.6224</w:t>
            </w:r>
          </w:p>
        </w:tc>
        <w:tc>
          <w:tcPr>
            <w:tcW w:w="610" w:type="pct"/>
            <w:tcBorders>
              <w:top w:val="nil"/>
              <w:left w:val="nil"/>
              <w:bottom w:val="single" w:color="auto" w:sz="4" w:space="0"/>
              <w:right w:val="nil"/>
            </w:tcBorders>
            <w:shd w:val="clear" w:color="auto" w:fill="auto"/>
            <w:noWrap/>
            <w:vAlign w:val="bottom"/>
          </w:tcPr>
          <w:p w14:paraId="6E5E2D8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0.4505</w:t>
            </w:r>
          </w:p>
        </w:tc>
        <w:tc>
          <w:tcPr>
            <w:tcW w:w="947" w:type="pct"/>
            <w:tcBorders>
              <w:top w:val="nil"/>
              <w:left w:val="nil"/>
              <w:bottom w:val="single" w:color="auto" w:sz="4" w:space="0"/>
              <w:right w:val="nil"/>
            </w:tcBorders>
            <w:shd w:val="clear" w:color="auto" w:fill="auto"/>
            <w:noWrap/>
            <w:vAlign w:val="bottom"/>
          </w:tcPr>
          <w:p w14:paraId="2E05BF2E">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0.3873</w:t>
            </w:r>
          </w:p>
        </w:tc>
        <w:tc>
          <w:tcPr>
            <w:tcW w:w="746" w:type="pct"/>
            <w:tcBorders>
              <w:top w:val="nil"/>
              <w:left w:val="nil"/>
              <w:bottom w:val="single" w:color="auto" w:sz="4" w:space="0"/>
              <w:right w:val="nil"/>
            </w:tcBorders>
            <w:shd w:val="clear" w:color="auto" w:fill="auto"/>
            <w:noWrap/>
            <w:vAlign w:val="bottom"/>
          </w:tcPr>
          <w:p w14:paraId="2D841C7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1.0737</w:t>
            </w:r>
          </w:p>
        </w:tc>
        <w:tc>
          <w:tcPr>
            <w:tcW w:w="661" w:type="pct"/>
            <w:tcBorders>
              <w:top w:val="nil"/>
              <w:left w:val="nil"/>
              <w:bottom w:val="single" w:color="auto" w:sz="4" w:space="0"/>
              <w:right w:val="nil"/>
            </w:tcBorders>
            <w:shd w:val="clear" w:color="auto" w:fill="auto"/>
            <w:noWrap/>
            <w:vAlign w:val="bottom"/>
          </w:tcPr>
          <w:p w14:paraId="404478B0">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4.3861</w:t>
            </w:r>
          </w:p>
        </w:tc>
      </w:tr>
    </w:tbl>
    <w:p w14:paraId="7B835CEF">
      <w:pPr>
        <w:spacing w:after="0" w:line="360" w:lineRule="auto"/>
        <w:jc w:val="both"/>
        <w:rPr>
          <w:rFonts w:asciiTheme="majorBidi" w:hAnsiTheme="majorBidi" w:cstheme="majorBidi"/>
          <w:b/>
          <w:bCs/>
        </w:rPr>
      </w:pPr>
      <w:r>
        <w:rPr>
          <w:rFonts w:asciiTheme="majorBidi" w:hAnsiTheme="majorBidi" w:cstheme="majorBidi"/>
          <w:b/>
          <w:bCs/>
        </w:rPr>
        <w:t>Authors’ Computation (2025)</w:t>
      </w:r>
    </w:p>
    <w:p w14:paraId="646DCDE4">
      <w:pPr>
        <w:spacing w:after="0" w:line="360" w:lineRule="auto"/>
        <w:jc w:val="both"/>
        <w:rPr>
          <w:rFonts w:eastAsia="Times New Roman" w:asciiTheme="majorBidi" w:hAnsiTheme="majorBidi" w:cstheme="majorBidi"/>
          <w:b/>
        </w:rPr>
      </w:pPr>
    </w:p>
    <w:p w14:paraId="322A4AF6">
      <w:pPr>
        <w:spacing w:after="0" w:line="360" w:lineRule="auto"/>
        <w:jc w:val="both"/>
        <w:rPr>
          <w:rFonts w:eastAsia="Times New Roman" w:asciiTheme="majorBidi" w:hAnsiTheme="majorBidi" w:cstheme="majorBidi"/>
          <w:b/>
        </w:rPr>
      </w:pPr>
      <w:r>
        <w:rPr>
          <w:rFonts w:eastAsia="Times New Roman" w:asciiTheme="majorBidi" w:hAnsiTheme="majorBidi" w:cstheme="majorBidi"/>
          <w:b/>
        </w:rPr>
        <w:t xml:space="preserve">4.2 Test of Variables </w:t>
      </w:r>
    </w:p>
    <w:p w14:paraId="5BC2226A">
      <w:pPr>
        <w:spacing w:before="100" w:beforeAutospacing="1" w:after="100" w:afterAutospacing="1" w:line="360" w:lineRule="auto"/>
        <w:jc w:val="both"/>
        <w:outlineLvl w:val="1"/>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        Table 3 displays the results of pre- and post-estimation testing to guarantee that the study's findings are reliable and valid. Pre-estimation methods like the unit root test, correlation analysis, and multicollinearity, as well as post-estimation tests like the Hausman and heteroscedasticity tests, were used.</w:t>
      </w:r>
    </w:p>
    <w:p w14:paraId="543A34E8">
      <w:pPr>
        <w:spacing w:line="360" w:lineRule="auto"/>
        <w:jc w:val="both"/>
        <w:rPr>
          <w:rFonts w:asciiTheme="majorBidi" w:hAnsiTheme="majorBidi" w:cstheme="majorBidi"/>
          <w:b/>
          <w:bCs/>
        </w:rPr>
      </w:pPr>
      <w:bookmarkStart w:id="1" w:name="_Hlk177913456"/>
      <w:r>
        <w:rPr>
          <w:rFonts w:asciiTheme="majorBidi" w:hAnsiTheme="majorBidi" w:cstheme="majorBidi"/>
          <w:b/>
          <w:bCs/>
        </w:rPr>
        <w:t>4.2.1 Pre-estimation Test</w:t>
      </w:r>
    </w:p>
    <w:bookmarkEnd w:id="1"/>
    <w:p w14:paraId="1232B01A">
      <w:pPr>
        <w:spacing w:before="100" w:beforeAutospacing="1" w:after="100" w:afterAutospacing="1" w:line="360" w:lineRule="auto"/>
        <w:jc w:val="both"/>
        <w:outlineLvl w:val="1"/>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       The following tests were performed to check that the selected model's assumptions were met and that the data used for analysis was adequate. However, unit root was not conducted because the panel was not balanced. If unit root testing was not possible due to the unbalanced panel, according to </w:t>
      </w:r>
      <w:r>
        <w:rPr>
          <w:rFonts w:asciiTheme="majorBidi" w:hAnsiTheme="majorBidi" w:cstheme="majorBidi"/>
        </w:rPr>
        <w:t xml:space="preserve">Elaoud and Jarboui (2017), </w:t>
      </w:r>
      <w:r>
        <w:rPr>
          <w:rFonts w:eastAsia="Times New Roman" w:asciiTheme="majorBidi" w:hAnsiTheme="majorBidi" w:cstheme="majorBidi"/>
          <w:kern w:val="0"/>
          <w14:ligatures w14:val="none"/>
        </w:rPr>
        <w:t>the first differencing (or higher-order differencing) to convert the data into stationary form becomes sufficient. Therefore, differencing was done.</w:t>
      </w:r>
    </w:p>
    <w:p w14:paraId="10365F46">
      <w:pPr>
        <w:spacing w:after="0" w:line="360" w:lineRule="auto"/>
        <w:rPr>
          <w:rFonts w:eastAsia="Times New Roman" w:asciiTheme="majorBidi" w:hAnsiTheme="majorBidi" w:cstheme="majorBidi"/>
          <w:b/>
        </w:rPr>
      </w:pPr>
      <w:bookmarkStart w:id="2" w:name="_Hlk177913497"/>
      <w:r>
        <w:rPr>
          <w:rFonts w:eastAsia="Calibri" w:asciiTheme="majorBidi" w:hAnsiTheme="majorBidi" w:cstheme="majorBidi"/>
          <w:b/>
        </w:rPr>
        <w:t xml:space="preserve">4.2.1.1    </w:t>
      </w:r>
      <w:bookmarkEnd w:id="2"/>
      <w:r>
        <w:rPr>
          <w:rFonts w:eastAsia="Times New Roman" w:asciiTheme="majorBidi" w:hAnsiTheme="majorBidi" w:cstheme="majorBidi"/>
          <w:b/>
        </w:rPr>
        <w:t>Correlation Analysis</w:t>
      </w:r>
    </w:p>
    <w:p w14:paraId="0946D089">
      <w:pPr>
        <w:spacing w:after="0" w:line="360" w:lineRule="auto"/>
        <w:jc w:val="both"/>
        <w:rPr>
          <w:rFonts w:eastAsia="Times New Roman" w:asciiTheme="majorBidi" w:hAnsiTheme="majorBidi" w:cstheme="majorBidi"/>
          <w:bCs/>
        </w:rPr>
      </w:pPr>
      <w:r>
        <w:rPr>
          <w:rFonts w:eastAsia="Times New Roman" w:asciiTheme="majorBidi" w:hAnsiTheme="majorBidi" w:cstheme="majorBidi"/>
          <w:bCs/>
        </w:rPr>
        <w:t xml:space="preserve">          Table 3 shows the correlation matrix with p-values for the correlation coefficients between the variables Coc, FR, VR, and TM. These numbers represent the intensity and direction of the association between pairs of variables. Between Coc and FR, the correlation was 0.0750. While this was very low, this suggests a weak positive relationship between these two variables. This relationship </w:t>
      </w:r>
      <w:commentRangeStart w:id="19"/>
      <w:r>
        <w:rPr>
          <w:rFonts w:eastAsia="Times New Roman" w:asciiTheme="majorBidi" w:hAnsiTheme="majorBidi" w:cstheme="majorBidi"/>
          <w:bCs/>
        </w:rPr>
        <w:t>is likely not significant</w:t>
      </w:r>
      <w:commentRangeEnd w:id="19"/>
      <w:r>
        <w:commentReference w:id="19"/>
      </w:r>
      <w:r>
        <w:rPr>
          <w:rFonts w:eastAsia="Times New Roman" w:asciiTheme="majorBidi" w:hAnsiTheme="majorBidi" w:cstheme="majorBidi"/>
          <w:bCs/>
        </w:rPr>
        <w:t>. Also, the correlation between Coc and VR was 0.0309. This was extremely weak, indicating a near-zero relationship between the cost of capital and relevance.</w:t>
      </w:r>
    </w:p>
    <w:p w14:paraId="407BE0AE">
      <w:pPr>
        <w:spacing w:after="0" w:line="360" w:lineRule="auto"/>
        <w:jc w:val="both"/>
        <w:rPr>
          <w:rFonts w:eastAsia="Times New Roman" w:asciiTheme="majorBidi" w:hAnsiTheme="majorBidi" w:cstheme="majorBidi"/>
          <w:bCs/>
        </w:rPr>
      </w:pPr>
      <w:r>
        <w:rPr>
          <w:rFonts w:eastAsia="Times New Roman" w:asciiTheme="majorBidi" w:hAnsiTheme="majorBidi" w:cstheme="majorBidi"/>
          <w:bCs/>
        </w:rPr>
        <w:t xml:space="preserve">         Similarly, the correlation between Coc and TM was 0.3022. This indicates a moderate positive relationship between the cost of capital and timeliness. Conversely, the correlation between FR and VR was 0.1317. While this is weak, it indicates a slightly positive relationship between these two variables. Again, between FR and TM, the correlation was 0.1172. This suggests a slight positive relationship between faithful representation and timeliness. VR and TM have a correlation of 0.1486, which is also weak and suggests a slightly positive relationship. </w:t>
      </w:r>
    </w:p>
    <w:tbl>
      <w:tblPr>
        <w:tblStyle w:val="12"/>
        <w:tblW w:w="5000" w:type="pct"/>
        <w:tblInd w:w="0" w:type="dxa"/>
        <w:tblLayout w:type="autofit"/>
        <w:tblCellMar>
          <w:top w:w="0" w:type="dxa"/>
          <w:left w:w="108" w:type="dxa"/>
          <w:bottom w:w="0" w:type="dxa"/>
          <w:right w:w="108" w:type="dxa"/>
        </w:tblCellMar>
      </w:tblPr>
      <w:tblGrid>
        <w:gridCol w:w="2088"/>
        <w:gridCol w:w="1975"/>
        <w:gridCol w:w="1683"/>
        <w:gridCol w:w="1915"/>
        <w:gridCol w:w="1915"/>
      </w:tblGrid>
      <w:tr w14:paraId="612A1BAA">
        <w:tblPrEx>
          <w:tblCellMar>
            <w:top w:w="0" w:type="dxa"/>
            <w:left w:w="108" w:type="dxa"/>
            <w:bottom w:w="0" w:type="dxa"/>
            <w:right w:w="108" w:type="dxa"/>
          </w:tblCellMar>
        </w:tblPrEx>
        <w:trPr>
          <w:trHeight w:val="288" w:hRule="atLeast"/>
        </w:trPr>
        <w:tc>
          <w:tcPr>
            <w:tcW w:w="3000" w:type="pct"/>
            <w:gridSpan w:val="3"/>
            <w:tcBorders>
              <w:top w:val="nil"/>
              <w:left w:val="nil"/>
              <w:bottom w:val="nil"/>
              <w:right w:val="nil"/>
            </w:tcBorders>
            <w:shd w:val="clear" w:color="auto" w:fill="auto"/>
            <w:noWrap/>
            <w:vAlign w:val="bottom"/>
          </w:tcPr>
          <w:p w14:paraId="004B740C">
            <w:pPr>
              <w:spacing w:after="0" w:line="240" w:lineRule="auto"/>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Table 3: Correlation Matrix</w:t>
            </w:r>
          </w:p>
        </w:tc>
        <w:tc>
          <w:tcPr>
            <w:tcW w:w="1000" w:type="pct"/>
            <w:tcBorders>
              <w:top w:val="nil"/>
              <w:left w:val="nil"/>
              <w:bottom w:val="nil"/>
              <w:right w:val="nil"/>
            </w:tcBorders>
            <w:shd w:val="clear" w:color="auto" w:fill="auto"/>
            <w:noWrap/>
            <w:vAlign w:val="bottom"/>
          </w:tcPr>
          <w:p w14:paraId="69AFAF39">
            <w:pPr>
              <w:spacing w:after="0" w:line="240" w:lineRule="auto"/>
              <w:rPr>
                <w:rFonts w:ascii="Times New Roman" w:hAnsi="Times New Roman" w:eastAsia="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tcPr>
          <w:p w14:paraId="13E206C3">
            <w:pPr>
              <w:spacing w:after="0" w:line="240" w:lineRule="auto"/>
              <w:rPr>
                <w:rFonts w:ascii="Times New Roman" w:hAnsi="Times New Roman" w:eastAsia="Times New Roman" w:cs="Times New Roman"/>
                <w:kern w:val="0"/>
                <w14:ligatures w14:val="none"/>
              </w:rPr>
            </w:pPr>
          </w:p>
        </w:tc>
      </w:tr>
      <w:tr w14:paraId="3DDBECF0">
        <w:tblPrEx>
          <w:tblCellMar>
            <w:top w:w="0" w:type="dxa"/>
            <w:left w:w="108" w:type="dxa"/>
            <w:bottom w:w="0" w:type="dxa"/>
            <w:right w:w="108" w:type="dxa"/>
          </w:tblCellMar>
        </w:tblPrEx>
        <w:trPr>
          <w:trHeight w:val="288" w:hRule="atLeast"/>
        </w:trPr>
        <w:tc>
          <w:tcPr>
            <w:tcW w:w="1090" w:type="pct"/>
            <w:tcBorders>
              <w:top w:val="single" w:color="auto" w:sz="4" w:space="0"/>
              <w:left w:val="nil"/>
              <w:bottom w:val="single" w:color="auto" w:sz="4" w:space="0"/>
              <w:right w:val="nil"/>
            </w:tcBorders>
            <w:shd w:val="clear" w:color="auto" w:fill="auto"/>
            <w:noWrap/>
            <w:vAlign w:val="bottom"/>
          </w:tcPr>
          <w:p w14:paraId="277424C6">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Variable</w:t>
            </w:r>
          </w:p>
        </w:tc>
        <w:tc>
          <w:tcPr>
            <w:tcW w:w="1031" w:type="pct"/>
            <w:tcBorders>
              <w:top w:val="single" w:color="auto" w:sz="4" w:space="0"/>
              <w:left w:val="nil"/>
              <w:bottom w:val="single" w:color="auto" w:sz="4" w:space="0"/>
              <w:right w:val="nil"/>
            </w:tcBorders>
            <w:shd w:val="clear" w:color="auto" w:fill="auto"/>
            <w:noWrap/>
            <w:vAlign w:val="bottom"/>
          </w:tcPr>
          <w:p w14:paraId="2DB37581">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Coc</w:t>
            </w:r>
          </w:p>
        </w:tc>
        <w:tc>
          <w:tcPr>
            <w:tcW w:w="879" w:type="pct"/>
            <w:tcBorders>
              <w:top w:val="single" w:color="auto" w:sz="4" w:space="0"/>
              <w:left w:val="nil"/>
              <w:bottom w:val="single" w:color="auto" w:sz="4" w:space="0"/>
              <w:right w:val="nil"/>
            </w:tcBorders>
            <w:shd w:val="clear" w:color="auto" w:fill="auto"/>
            <w:noWrap/>
            <w:vAlign w:val="bottom"/>
          </w:tcPr>
          <w:p w14:paraId="58AFAAD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FR</w:t>
            </w:r>
          </w:p>
        </w:tc>
        <w:tc>
          <w:tcPr>
            <w:tcW w:w="1000" w:type="pct"/>
            <w:tcBorders>
              <w:top w:val="single" w:color="auto" w:sz="4" w:space="0"/>
              <w:left w:val="nil"/>
              <w:bottom w:val="single" w:color="auto" w:sz="4" w:space="0"/>
              <w:right w:val="nil"/>
            </w:tcBorders>
            <w:shd w:val="clear" w:color="auto" w:fill="auto"/>
            <w:noWrap/>
            <w:vAlign w:val="bottom"/>
          </w:tcPr>
          <w:p w14:paraId="6639867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VR</w:t>
            </w:r>
          </w:p>
        </w:tc>
        <w:tc>
          <w:tcPr>
            <w:tcW w:w="1000" w:type="pct"/>
            <w:tcBorders>
              <w:top w:val="single" w:color="auto" w:sz="4" w:space="0"/>
              <w:left w:val="nil"/>
              <w:bottom w:val="single" w:color="auto" w:sz="4" w:space="0"/>
              <w:right w:val="nil"/>
            </w:tcBorders>
            <w:shd w:val="clear" w:color="auto" w:fill="auto"/>
            <w:noWrap/>
            <w:vAlign w:val="bottom"/>
          </w:tcPr>
          <w:p w14:paraId="47E8824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TM</w:t>
            </w:r>
          </w:p>
        </w:tc>
      </w:tr>
      <w:tr w14:paraId="192714D1">
        <w:tblPrEx>
          <w:tblCellMar>
            <w:top w:w="0" w:type="dxa"/>
            <w:left w:w="108" w:type="dxa"/>
            <w:bottom w:w="0" w:type="dxa"/>
            <w:right w:w="108" w:type="dxa"/>
          </w:tblCellMar>
        </w:tblPrEx>
        <w:trPr>
          <w:trHeight w:val="288" w:hRule="atLeast"/>
        </w:trPr>
        <w:tc>
          <w:tcPr>
            <w:tcW w:w="1090" w:type="pct"/>
            <w:tcBorders>
              <w:top w:val="nil"/>
              <w:left w:val="nil"/>
              <w:bottom w:val="nil"/>
              <w:right w:val="nil"/>
            </w:tcBorders>
            <w:shd w:val="clear" w:color="auto" w:fill="auto"/>
            <w:noWrap/>
            <w:vAlign w:val="bottom"/>
          </w:tcPr>
          <w:p w14:paraId="391D7DAB">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Coc</w:t>
            </w:r>
          </w:p>
        </w:tc>
        <w:tc>
          <w:tcPr>
            <w:tcW w:w="1031" w:type="pct"/>
            <w:tcBorders>
              <w:top w:val="nil"/>
              <w:left w:val="nil"/>
              <w:bottom w:val="nil"/>
              <w:right w:val="nil"/>
            </w:tcBorders>
            <w:shd w:val="clear" w:color="auto" w:fill="auto"/>
            <w:noWrap/>
            <w:vAlign w:val="bottom"/>
          </w:tcPr>
          <w:p w14:paraId="3B6AD1BA">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1.0000</w:t>
            </w:r>
          </w:p>
        </w:tc>
        <w:tc>
          <w:tcPr>
            <w:tcW w:w="879" w:type="pct"/>
            <w:tcBorders>
              <w:top w:val="nil"/>
              <w:left w:val="nil"/>
              <w:bottom w:val="nil"/>
              <w:right w:val="nil"/>
            </w:tcBorders>
            <w:shd w:val="clear" w:color="auto" w:fill="auto"/>
            <w:noWrap/>
            <w:vAlign w:val="bottom"/>
          </w:tcPr>
          <w:p w14:paraId="0BFCA6CA">
            <w:pPr>
              <w:spacing w:after="0" w:line="240" w:lineRule="auto"/>
              <w:jc w:val="right"/>
              <w:rPr>
                <w:rFonts w:ascii="Times New Roman" w:hAnsi="Times New Roman" w:eastAsia="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tcPr>
          <w:p w14:paraId="76973B2B">
            <w:pPr>
              <w:spacing w:after="0" w:line="240" w:lineRule="auto"/>
              <w:rPr>
                <w:rFonts w:ascii="Times New Roman" w:hAnsi="Times New Roman" w:eastAsia="Times New Roman" w:cs="Times New Roman"/>
                <w:kern w:val="0"/>
                <w14:ligatures w14:val="none"/>
              </w:rPr>
            </w:pPr>
          </w:p>
        </w:tc>
        <w:tc>
          <w:tcPr>
            <w:tcW w:w="1000" w:type="pct"/>
            <w:tcBorders>
              <w:top w:val="nil"/>
              <w:left w:val="nil"/>
              <w:bottom w:val="nil"/>
              <w:right w:val="nil"/>
            </w:tcBorders>
            <w:shd w:val="clear" w:color="auto" w:fill="auto"/>
            <w:noWrap/>
            <w:vAlign w:val="bottom"/>
          </w:tcPr>
          <w:p w14:paraId="22C5CBC5">
            <w:pPr>
              <w:spacing w:after="0" w:line="240" w:lineRule="auto"/>
              <w:rPr>
                <w:rFonts w:ascii="Times New Roman" w:hAnsi="Times New Roman" w:eastAsia="Times New Roman" w:cs="Times New Roman"/>
                <w:kern w:val="0"/>
                <w14:ligatures w14:val="none"/>
              </w:rPr>
            </w:pPr>
          </w:p>
        </w:tc>
      </w:tr>
      <w:tr w14:paraId="0B016CA3">
        <w:tblPrEx>
          <w:tblCellMar>
            <w:top w:w="0" w:type="dxa"/>
            <w:left w:w="108" w:type="dxa"/>
            <w:bottom w:w="0" w:type="dxa"/>
            <w:right w:w="108" w:type="dxa"/>
          </w:tblCellMar>
        </w:tblPrEx>
        <w:trPr>
          <w:trHeight w:val="288" w:hRule="atLeast"/>
        </w:trPr>
        <w:tc>
          <w:tcPr>
            <w:tcW w:w="1090" w:type="pct"/>
            <w:tcBorders>
              <w:top w:val="nil"/>
              <w:left w:val="nil"/>
              <w:bottom w:val="nil"/>
              <w:right w:val="nil"/>
            </w:tcBorders>
            <w:shd w:val="clear" w:color="auto" w:fill="auto"/>
            <w:noWrap/>
            <w:vAlign w:val="bottom"/>
          </w:tcPr>
          <w:p w14:paraId="0B565E03">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FR</w:t>
            </w:r>
          </w:p>
        </w:tc>
        <w:tc>
          <w:tcPr>
            <w:tcW w:w="1031" w:type="pct"/>
            <w:tcBorders>
              <w:top w:val="nil"/>
              <w:left w:val="nil"/>
              <w:bottom w:val="nil"/>
              <w:right w:val="nil"/>
            </w:tcBorders>
            <w:shd w:val="clear" w:color="auto" w:fill="auto"/>
            <w:noWrap/>
            <w:vAlign w:val="bottom"/>
          </w:tcPr>
          <w:p w14:paraId="0B61428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0.0750</w:t>
            </w:r>
          </w:p>
        </w:tc>
        <w:tc>
          <w:tcPr>
            <w:tcW w:w="879" w:type="pct"/>
            <w:tcBorders>
              <w:top w:val="nil"/>
              <w:left w:val="nil"/>
              <w:bottom w:val="nil"/>
              <w:right w:val="nil"/>
            </w:tcBorders>
            <w:shd w:val="clear" w:color="auto" w:fill="auto"/>
            <w:noWrap/>
            <w:vAlign w:val="bottom"/>
          </w:tcPr>
          <w:p w14:paraId="2D41F9AE">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1.0000</w:t>
            </w:r>
          </w:p>
        </w:tc>
        <w:tc>
          <w:tcPr>
            <w:tcW w:w="1000" w:type="pct"/>
            <w:tcBorders>
              <w:top w:val="nil"/>
              <w:left w:val="nil"/>
              <w:bottom w:val="nil"/>
              <w:right w:val="nil"/>
            </w:tcBorders>
            <w:shd w:val="clear" w:color="auto" w:fill="auto"/>
            <w:noWrap/>
            <w:vAlign w:val="bottom"/>
          </w:tcPr>
          <w:p w14:paraId="57144A5F">
            <w:pPr>
              <w:spacing w:after="0" w:line="240" w:lineRule="auto"/>
              <w:jc w:val="right"/>
              <w:rPr>
                <w:rFonts w:ascii="Times New Roman" w:hAnsi="Times New Roman" w:eastAsia="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tcPr>
          <w:p w14:paraId="40760743">
            <w:pPr>
              <w:spacing w:after="0" w:line="240" w:lineRule="auto"/>
              <w:rPr>
                <w:rFonts w:ascii="Times New Roman" w:hAnsi="Times New Roman" w:eastAsia="Times New Roman" w:cs="Times New Roman"/>
                <w:kern w:val="0"/>
                <w14:ligatures w14:val="none"/>
              </w:rPr>
            </w:pPr>
          </w:p>
        </w:tc>
      </w:tr>
      <w:tr w14:paraId="7B70BE7C">
        <w:tblPrEx>
          <w:tblCellMar>
            <w:top w:w="0" w:type="dxa"/>
            <w:left w:w="108" w:type="dxa"/>
            <w:bottom w:w="0" w:type="dxa"/>
            <w:right w:w="108" w:type="dxa"/>
          </w:tblCellMar>
        </w:tblPrEx>
        <w:trPr>
          <w:trHeight w:val="288" w:hRule="atLeast"/>
        </w:trPr>
        <w:tc>
          <w:tcPr>
            <w:tcW w:w="1090" w:type="pct"/>
            <w:tcBorders>
              <w:top w:val="nil"/>
              <w:left w:val="nil"/>
              <w:bottom w:val="nil"/>
              <w:right w:val="nil"/>
            </w:tcBorders>
            <w:shd w:val="clear" w:color="auto" w:fill="auto"/>
            <w:noWrap/>
            <w:vAlign w:val="bottom"/>
          </w:tcPr>
          <w:p w14:paraId="50B14DC7">
            <w:pPr>
              <w:spacing w:after="0" w:line="240" w:lineRule="auto"/>
              <w:rPr>
                <w:rFonts w:ascii="Times New Roman" w:hAnsi="Times New Roman" w:eastAsia="Times New Roman" w:cs="Times New Roman"/>
                <w:kern w:val="0"/>
                <w14:ligatures w14:val="none"/>
              </w:rPr>
            </w:pPr>
          </w:p>
        </w:tc>
        <w:tc>
          <w:tcPr>
            <w:tcW w:w="1031" w:type="pct"/>
            <w:tcBorders>
              <w:top w:val="nil"/>
              <w:left w:val="nil"/>
              <w:bottom w:val="nil"/>
              <w:right w:val="nil"/>
            </w:tcBorders>
            <w:shd w:val="clear" w:color="auto" w:fill="auto"/>
            <w:noWrap/>
            <w:vAlign w:val="bottom"/>
          </w:tcPr>
          <w:p w14:paraId="3D01BDB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0.3784</w:t>
            </w:r>
          </w:p>
        </w:tc>
        <w:tc>
          <w:tcPr>
            <w:tcW w:w="879" w:type="pct"/>
            <w:tcBorders>
              <w:top w:val="nil"/>
              <w:left w:val="nil"/>
              <w:bottom w:val="nil"/>
              <w:right w:val="nil"/>
            </w:tcBorders>
            <w:shd w:val="clear" w:color="auto" w:fill="auto"/>
            <w:noWrap/>
            <w:vAlign w:val="bottom"/>
          </w:tcPr>
          <w:p w14:paraId="06D7B09C">
            <w:pPr>
              <w:spacing w:after="0" w:line="240" w:lineRule="auto"/>
              <w:jc w:val="right"/>
              <w:rPr>
                <w:rFonts w:ascii="Times New Roman" w:hAnsi="Times New Roman" w:eastAsia="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tcPr>
          <w:p w14:paraId="1B9EFAB6">
            <w:pPr>
              <w:spacing w:after="0" w:line="240" w:lineRule="auto"/>
              <w:rPr>
                <w:rFonts w:ascii="Times New Roman" w:hAnsi="Times New Roman" w:eastAsia="Times New Roman" w:cs="Times New Roman"/>
                <w:kern w:val="0"/>
                <w14:ligatures w14:val="none"/>
              </w:rPr>
            </w:pPr>
          </w:p>
        </w:tc>
        <w:tc>
          <w:tcPr>
            <w:tcW w:w="1000" w:type="pct"/>
            <w:tcBorders>
              <w:top w:val="nil"/>
              <w:left w:val="nil"/>
              <w:bottom w:val="nil"/>
              <w:right w:val="nil"/>
            </w:tcBorders>
            <w:shd w:val="clear" w:color="auto" w:fill="auto"/>
            <w:noWrap/>
            <w:vAlign w:val="bottom"/>
          </w:tcPr>
          <w:p w14:paraId="3D04C7C6">
            <w:pPr>
              <w:spacing w:after="0" w:line="240" w:lineRule="auto"/>
              <w:rPr>
                <w:rFonts w:ascii="Times New Roman" w:hAnsi="Times New Roman" w:eastAsia="Times New Roman" w:cs="Times New Roman"/>
                <w:kern w:val="0"/>
                <w14:ligatures w14:val="none"/>
              </w:rPr>
            </w:pPr>
          </w:p>
        </w:tc>
      </w:tr>
      <w:tr w14:paraId="134B048A">
        <w:tblPrEx>
          <w:tblCellMar>
            <w:top w:w="0" w:type="dxa"/>
            <w:left w:w="108" w:type="dxa"/>
            <w:bottom w:w="0" w:type="dxa"/>
            <w:right w:w="108" w:type="dxa"/>
          </w:tblCellMar>
        </w:tblPrEx>
        <w:trPr>
          <w:trHeight w:val="288" w:hRule="atLeast"/>
        </w:trPr>
        <w:tc>
          <w:tcPr>
            <w:tcW w:w="1090" w:type="pct"/>
            <w:tcBorders>
              <w:top w:val="nil"/>
              <w:left w:val="nil"/>
              <w:bottom w:val="nil"/>
              <w:right w:val="nil"/>
            </w:tcBorders>
            <w:shd w:val="clear" w:color="auto" w:fill="auto"/>
            <w:noWrap/>
            <w:vAlign w:val="bottom"/>
          </w:tcPr>
          <w:p w14:paraId="2F4886CC">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VR</w:t>
            </w:r>
          </w:p>
        </w:tc>
        <w:tc>
          <w:tcPr>
            <w:tcW w:w="1031" w:type="pct"/>
            <w:tcBorders>
              <w:top w:val="nil"/>
              <w:left w:val="nil"/>
              <w:bottom w:val="nil"/>
              <w:right w:val="nil"/>
            </w:tcBorders>
            <w:shd w:val="clear" w:color="auto" w:fill="auto"/>
            <w:noWrap/>
            <w:vAlign w:val="bottom"/>
          </w:tcPr>
          <w:p w14:paraId="0C67FB62">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0.0309</w:t>
            </w:r>
          </w:p>
        </w:tc>
        <w:tc>
          <w:tcPr>
            <w:tcW w:w="879" w:type="pct"/>
            <w:tcBorders>
              <w:top w:val="nil"/>
              <w:left w:val="nil"/>
              <w:bottom w:val="nil"/>
              <w:right w:val="nil"/>
            </w:tcBorders>
            <w:shd w:val="clear" w:color="auto" w:fill="auto"/>
            <w:noWrap/>
            <w:vAlign w:val="bottom"/>
          </w:tcPr>
          <w:p w14:paraId="0C2385B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0.1317</w:t>
            </w:r>
          </w:p>
        </w:tc>
        <w:tc>
          <w:tcPr>
            <w:tcW w:w="1000" w:type="pct"/>
            <w:tcBorders>
              <w:top w:val="nil"/>
              <w:left w:val="nil"/>
              <w:bottom w:val="nil"/>
              <w:right w:val="nil"/>
            </w:tcBorders>
            <w:shd w:val="clear" w:color="auto" w:fill="auto"/>
            <w:noWrap/>
            <w:vAlign w:val="bottom"/>
          </w:tcPr>
          <w:p w14:paraId="49CD904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1.0000</w:t>
            </w:r>
          </w:p>
        </w:tc>
        <w:tc>
          <w:tcPr>
            <w:tcW w:w="1000" w:type="pct"/>
            <w:tcBorders>
              <w:top w:val="nil"/>
              <w:left w:val="nil"/>
              <w:bottom w:val="nil"/>
              <w:right w:val="nil"/>
            </w:tcBorders>
            <w:shd w:val="clear" w:color="auto" w:fill="auto"/>
            <w:noWrap/>
            <w:vAlign w:val="bottom"/>
          </w:tcPr>
          <w:p w14:paraId="6E24C29D">
            <w:pPr>
              <w:spacing w:after="0" w:line="240" w:lineRule="auto"/>
              <w:jc w:val="right"/>
              <w:rPr>
                <w:rFonts w:ascii="Times New Roman" w:hAnsi="Times New Roman" w:eastAsia="Times New Roman" w:cs="Times New Roman"/>
                <w:color w:val="000000"/>
                <w:kern w:val="0"/>
                <w14:ligatures w14:val="none"/>
              </w:rPr>
            </w:pPr>
          </w:p>
        </w:tc>
      </w:tr>
      <w:tr w14:paraId="1E166ACC">
        <w:tblPrEx>
          <w:tblCellMar>
            <w:top w:w="0" w:type="dxa"/>
            <w:left w:w="108" w:type="dxa"/>
            <w:bottom w:w="0" w:type="dxa"/>
            <w:right w:w="108" w:type="dxa"/>
          </w:tblCellMar>
        </w:tblPrEx>
        <w:trPr>
          <w:trHeight w:val="288" w:hRule="atLeast"/>
        </w:trPr>
        <w:tc>
          <w:tcPr>
            <w:tcW w:w="1090" w:type="pct"/>
            <w:tcBorders>
              <w:top w:val="nil"/>
              <w:left w:val="nil"/>
              <w:bottom w:val="nil"/>
              <w:right w:val="nil"/>
            </w:tcBorders>
            <w:shd w:val="clear" w:color="auto" w:fill="auto"/>
            <w:noWrap/>
            <w:vAlign w:val="bottom"/>
          </w:tcPr>
          <w:p w14:paraId="3FF9CD38">
            <w:pPr>
              <w:spacing w:after="0" w:line="240" w:lineRule="auto"/>
              <w:rPr>
                <w:rFonts w:ascii="Times New Roman" w:hAnsi="Times New Roman" w:eastAsia="Times New Roman" w:cs="Times New Roman"/>
                <w:kern w:val="0"/>
                <w14:ligatures w14:val="none"/>
              </w:rPr>
            </w:pPr>
          </w:p>
        </w:tc>
        <w:tc>
          <w:tcPr>
            <w:tcW w:w="1031" w:type="pct"/>
            <w:tcBorders>
              <w:top w:val="nil"/>
              <w:left w:val="nil"/>
              <w:bottom w:val="nil"/>
              <w:right w:val="nil"/>
            </w:tcBorders>
            <w:shd w:val="clear" w:color="auto" w:fill="auto"/>
            <w:noWrap/>
            <w:vAlign w:val="bottom"/>
          </w:tcPr>
          <w:p w14:paraId="6D42A1D3">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0.7169</w:t>
            </w:r>
          </w:p>
        </w:tc>
        <w:tc>
          <w:tcPr>
            <w:tcW w:w="879" w:type="pct"/>
            <w:tcBorders>
              <w:top w:val="nil"/>
              <w:left w:val="nil"/>
              <w:bottom w:val="nil"/>
              <w:right w:val="nil"/>
            </w:tcBorders>
            <w:shd w:val="clear" w:color="auto" w:fill="auto"/>
            <w:noWrap/>
            <w:vAlign w:val="bottom"/>
          </w:tcPr>
          <w:p w14:paraId="30471C9B">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0.1209</w:t>
            </w:r>
          </w:p>
        </w:tc>
        <w:tc>
          <w:tcPr>
            <w:tcW w:w="1000" w:type="pct"/>
            <w:tcBorders>
              <w:top w:val="nil"/>
              <w:left w:val="nil"/>
              <w:bottom w:val="nil"/>
              <w:right w:val="nil"/>
            </w:tcBorders>
            <w:shd w:val="clear" w:color="auto" w:fill="auto"/>
            <w:noWrap/>
            <w:vAlign w:val="bottom"/>
          </w:tcPr>
          <w:p w14:paraId="33213103">
            <w:pPr>
              <w:spacing w:after="0" w:line="240" w:lineRule="auto"/>
              <w:jc w:val="right"/>
              <w:rPr>
                <w:rFonts w:ascii="Times New Roman" w:hAnsi="Times New Roman" w:eastAsia="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tcPr>
          <w:p w14:paraId="1B621D9A">
            <w:pPr>
              <w:spacing w:after="0" w:line="240" w:lineRule="auto"/>
              <w:rPr>
                <w:rFonts w:ascii="Times New Roman" w:hAnsi="Times New Roman" w:eastAsia="Times New Roman" w:cs="Times New Roman"/>
                <w:kern w:val="0"/>
                <w14:ligatures w14:val="none"/>
              </w:rPr>
            </w:pPr>
          </w:p>
        </w:tc>
      </w:tr>
      <w:tr w14:paraId="51FCD929">
        <w:tblPrEx>
          <w:tblCellMar>
            <w:top w:w="0" w:type="dxa"/>
            <w:left w:w="108" w:type="dxa"/>
            <w:bottom w:w="0" w:type="dxa"/>
            <w:right w:w="108" w:type="dxa"/>
          </w:tblCellMar>
        </w:tblPrEx>
        <w:trPr>
          <w:trHeight w:val="288" w:hRule="atLeast"/>
        </w:trPr>
        <w:tc>
          <w:tcPr>
            <w:tcW w:w="1090" w:type="pct"/>
            <w:tcBorders>
              <w:top w:val="nil"/>
              <w:left w:val="nil"/>
              <w:bottom w:val="nil"/>
              <w:right w:val="nil"/>
            </w:tcBorders>
            <w:shd w:val="clear" w:color="auto" w:fill="auto"/>
            <w:noWrap/>
            <w:vAlign w:val="bottom"/>
          </w:tcPr>
          <w:p w14:paraId="5D0BE362">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TM</w:t>
            </w:r>
          </w:p>
        </w:tc>
        <w:tc>
          <w:tcPr>
            <w:tcW w:w="1031" w:type="pct"/>
            <w:tcBorders>
              <w:top w:val="nil"/>
              <w:left w:val="nil"/>
              <w:bottom w:val="nil"/>
              <w:right w:val="nil"/>
            </w:tcBorders>
            <w:shd w:val="clear" w:color="auto" w:fill="auto"/>
            <w:noWrap/>
            <w:vAlign w:val="bottom"/>
          </w:tcPr>
          <w:p w14:paraId="2C1F0730">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0.3022* </w:t>
            </w:r>
          </w:p>
        </w:tc>
        <w:tc>
          <w:tcPr>
            <w:tcW w:w="879" w:type="pct"/>
            <w:tcBorders>
              <w:top w:val="nil"/>
              <w:left w:val="nil"/>
              <w:bottom w:val="nil"/>
              <w:right w:val="nil"/>
            </w:tcBorders>
            <w:shd w:val="clear" w:color="auto" w:fill="auto"/>
            <w:noWrap/>
            <w:vAlign w:val="bottom"/>
          </w:tcPr>
          <w:p w14:paraId="3D63751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0.1172</w:t>
            </w:r>
          </w:p>
        </w:tc>
        <w:tc>
          <w:tcPr>
            <w:tcW w:w="1000" w:type="pct"/>
            <w:tcBorders>
              <w:top w:val="nil"/>
              <w:left w:val="nil"/>
              <w:bottom w:val="nil"/>
              <w:right w:val="nil"/>
            </w:tcBorders>
            <w:shd w:val="clear" w:color="auto" w:fill="auto"/>
            <w:noWrap/>
            <w:vAlign w:val="bottom"/>
          </w:tcPr>
          <w:p w14:paraId="2B8F8CC2">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0.1486</w:t>
            </w:r>
          </w:p>
        </w:tc>
        <w:tc>
          <w:tcPr>
            <w:tcW w:w="1000" w:type="pct"/>
            <w:tcBorders>
              <w:top w:val="nil"/>
              <w:left w:val="nil"/>
              <w:bottom w:val="nil"/>
              <w:right w:val="nil"/>
            </w:tcBorders>
            <w:shd w:val="clear" w:color="auto" w:fill="auto"/>
            <w:noWrap/>
            <w:vAlign w:val="bottom"/>
          </w:tcPr>
          <w:p w14:paraId="3D17B80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1.0000</w:t>
            </w:r>
          </w:p>
        </w:tc>
      </w:tr>
      <w:tr w14:paraId="383756F1">
        <w:tblPrEx>
          <w:tblCellMar>
            <w:top w:w="0" w:type="dxa"/>
            <w:left w:w="108" w:type="dxa"/>
            <w:bottom w:w="0" w:type="dxa"/>
            <w:right w:w="108" w:type="dxa"/>
          </w:tblCellMar>
        </w:tblPrEx>
        <w:trPr>
          <w:trHeight w:val="288" w:hRule="atLeast"/>
        </w:trPr>
        <w:tc>
          <w:tcPr>
            <w:tcW w:w="1090" w:type="pct"/>
            <w:tcBorders>
              <w:top w:val="nil"/>
              <w:left w:val="nil"/>
              <w:bottom w:val="single" w:color="auto" w:sz="4" w:space="0"/>
              <w:right w:val="nil"/>
            </w:tcBorders>
            <w:shd w:val="clear" w:color="auto" w:fill="auto"/>
            <w:noWrap/>
            <w:vAlign w:val="bottom"/>
          </w:tcPr>
          <w:p w14:paraId="6C23DF32">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c>
          <w:tcPr>
            <w:tcW w:w="1031" w:type="pct"/>
            <w:tcBorders>
              <w:top w:val="nil"/>
              <w:left w:val="nil"/>
              <w:bottom w:val="single" w:color="auto" w:sz="4" w:space="0"/>
              <w:right w:val="nil"/>
            </w:tcBorders>
            <w:shd w:val="clear" w:color="auto" w:fill="auto"/>
            <w:noWrap/>
            <w:vAlign w:val="bottom"/>
          </w:tcPr>
          <w:p w14:paraId="3736712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0.0003</w:t>
            </w:r>
          </w:p>
        </w:tc>
        <w:tc>
          <w:tcPr>
            <w:tcW w:w="879" w:type="pct"/>
            <w:tcBorders>
              <w:top w:val="nil"/>
              <w:left w:val="nil"/>
              <w:bottom w:val="single" w:color="auto" w:sz="4" w:space="0"/>
              <w:right w:val="nil"/>
            </w:tcBorders>
            <w:shd w:val="clear" w:color="auto" w:fill="auto"/>
            <w:noWrap/>
            <w:vAlign w:val="bottom"/>
          </w:tcPr>
          <w:p w14:paraId="3EA0E0D4">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0.1677</w:t>
            </w:r>
          </w:p>
        </w:tc>
        <w:tc>
          <w:tcPr>
            <w:tcW w:w="1000" w:type="pct"/>
            <w:tcBorders>
              <w:top w:val="nil"/>
              <w:left w:val="nil"/>
              <w:bottom w:val="single" w:color="auto" w:sz="4" w:space="0"/>
              <w:right w:val="nil"/>
            </w:tcBorders>
            <w:shd w:val="clear" w:color="auto" w:fill="auto"/>
            <w:noWrap/>
            <w:vAlign w:val="bottom"/>
          </w:tcPr>
          <w:p w14:paraId="3CDE0D2B">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0.0797</w:t>
            </w:r>
          </w:p>
        </w:tc>
        <w:tc>
          <w:tcPr>
            <w:tcW w:w="1000" w:type="pct"/>
            <w:tcBorders>
              <w:top w:val="nil"/>
              <w:left w:val="nil"/>
              <w:bottom w:val="single" w:color="auto" w:sz="4" w:space="0"/>
              <w:right w:val="nil"/>
            </w:tcBorders>
            <w:shd w:val="clear" w:color="auto" w:fill="auto"/>
            <w:noWrap/>
            <w:vAlign w:val="bottom"/>
          </w:tcPr>
          <w:p w14:paraId="2DABF088">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r>
    </w:tbl>
    <w:p w14:paraId="5D8EF731">
      <w:pPr>
        <w:spacing w:after="0" w:line="360" w:lineRule="auto"/>
        <w:jc w:val="both"/>
        <w:rPr>
          <w:rFonts w:asciiTheme="majorBidi" w:hAnsiTheme="majorBidi" w:cstheme="majorBidi"/>
          <w:b/>
          <w:bCs/>
        </w:rPr>
      </w:pPr>
      <w:r>
        <w:rPr>
          <w:rFonts w:asciiTheme="majorBidi" w:hAnsiTheme="majorBidi" w:cstheme="majorBidi"/>
          <w:b/>
          <w:bCs/>
        </w:rPr>
        <w:t>Authors’ Computation (2025)</w:t>
      </w:r>
    </w:p>
    <w:p w14:paraId="2B03C317">
      <w:pPr>
        <w:spacing w:after="0" w:line="360" w:lineRule="auto"/>
        <w:jc w:val="both"/>
        <w:rPr>
          <w:rFonts w:eastAsia="Times New Roman" w:asciiTheme="majorBidi" w:hAnsiTheme="majorBidi" w:cstheme="majorBidi"/>
          <w:bCs/>
        </w:rPr>
      </w:pPr>
    </w:p>
    <w:p w14:paraId="32277E3E">
      <w:pPr>
        <w:spacing w:line="360" w:lineRule="auto"/>
        <w:jc w:val="both"/>
        <w:rPr>
          <w:rFonts w:asciiTheme="majorBidi" w:hAnsiTheme="majorBidi" w:cstheme="majorBidi"/>
          <w:b/>
          <w:bCs/>
        </w:rPr>
      </w:pPr>
      <w:bookmarkStart w:id="3" w:name="_Hlk177914821"/>
      <w:r>
        <w:rPr>
          <w:rFonts w:asciiTheme="majorBidi" w:hAnsiTheme="majorBidi" w:cstheme="majorBidi"/>
          <w:b/>
          <w:bCs/>
        </w:rPr>
        <w:t>4.2.1.2 Multicollinearity</w:t>
      </w:r>
    </w:p>
    <w:bookmarkEnd w:id="3"/>
    <w:p w14:paraId="73E667DD">
      <w:pPr>
        <w:spacing w:after="0" w:line="360" w:lineRule="auto"/>
        <w:jc w:val="both"/>
        <w:rPr>
          <w:rFonts w:eastAsia="Times New Roman" w:asciiTheme="majorBidi" w:hAnsiTheme="majorBidi" w:cstheme="majorBidi"/>
          <w:bCs/>
        </w:rPr>
      </w:pPr>
      <w:r>
        <w:rPr>
          <w:rFonts w:eastAsia="Times New Roman" w:asciiTheme="majorBidi" w:hAnsiTheme="majorBidi" w:cstheme="majorBidi"/>
          <w:bCs/>
        </w:rPr>
        <w:t xml:space="preserve">           The model's estimates and standard errors are influenced by a perfect linear correlation among independent variables. This was assessed using variance inflation factor (VIF) analysis. In this respect, TM and FR have VIFs of 1.03, respectively, while VR has 1.04. This indicates very low multicollinearity. A mean VIF of 1.03 is far below the conservative threshold of 5 (or even 2), suggesting there is no need to drop variables or modify the model.</w:t>
      </w:r>
    </w:p>
    <w:p w14:paraId="0CC9A735">
      <w:pPr>
        <w:spacing w:after="0" w:line="360" w:lineRule="auto"/>
        <w:jc w:val="both"/>
        <w:rPr>
          <w:rFonts w:eastAsia="Times New Roman" w:asciiTheme="majorBidi" w:hAnsiTheme="majorBidi" w:cstheme="majorBidi"/>
          <w:bCs/>
        </w:rPr>
      </w:pPr>
    </w:p>
    <w:tbl>
      <w:tblPr>
        <w:tblStyle w:val="12"/>
        <w:tblW w:w="5000" w:type="pct"/>
        <w:tblInd w:w="0" w:type="dxa"/>
        <w:tblLayout w:type="autofit"/>
        <w:tblCellMar>
          <w:top w:w="0" w:type="dxa"/>
          <w:left w:w="108" w:type="dxa"/>
          <w:bottom w:w="0" w:type="dxa"/>
          <w:right w:w="108" w:type="dxa"/>
        </w:tblCellMar>
      </w:tblPr>
      <w:tblGrid>
        <w:gridCol w:w="3991"/>
        <w:gridCol w:w="1957"/>
        <w:gridCol w:w="3628"/>
      </w:tblGrid>
      <w:tr w14:paraId="0D2AEAE4">
        <w:tblPrEx>
          <w:tblCellMar>
            <w:top w:w="0" w:type="dxa"/>
            <w:left w:w="108" w:type="dxa"/>
            <w:bottom w:w="0" w:type="dxa"/>
            <w:right w:w="108" w:type="dxa"/>
          </w:tblCellMar>
        </w:tblPrEx>
        <w:trPr>
          <w:trHeight w:val="288" w:hRule="atLeast"/>
        </w:trPr>
        <w:tc>
          <w:tcPr>
            <w:tcW w:w="5000" w:type="pct"/>
            <w:gridSpan w:val="3"/>
            <w:tcBorders>
              <w:top w:val="nil"/>
              <w:left w:val="nil"/>
              <w:bottom w:val="nil"/>
              <w:right w:val="nil"/>
            </w:tcBorders>
            <w:shd w:val="clear" w:color="auto" w:fill="auto"/>
            <w:noWrap/>
            <w:vAlign w:val="bottom"/>
          </w:tcPr>
          <w:p w14:paraId="7FBCE85B">
            <w:pPr>
              <w:spacing w:after="0" w:line="240" w:lineRule="auto"/>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Table 4: Variance Inflation Factor</w:t>
            </w:r>
          </w:p>
        </w:tc>
      </w:tr>
      <w:tr w14:paraId="5C5AC0F5">
        <w:tblPrEx>
          <w:tblCellMar>
            <w:top w:w="0" w:type="dxa"/>
            <w:left w:w="108" w:type="dxa"/>
            <w:bottom w:w="0" w:type="dxa"/>
            <w:right w:w="108" w:type="dxa"/>
          </w:tblCellMar>
        </w:tblPrEx>
        <w:trPr>
          <w:trHeight w:val="288" w:hRule="atLeast"/>
        </w:trPr>
        <w:tc>
          <w:tcPr>
            <w:tcW w:w="2084" w:type="pct"/>
            <w:tcBorders>
              <w:top w:val="single" w:color="auto" w:sz="4" w:space="0"/>
              <w:left w:val="nil"/>
              <w:bottom w:val="single" w:color="auto" w:sz="4" w:space="0"/>
              <w:right w:val="nil"/>
            </w:tcBorders>
            <w:shd w:val="clear" w:color="auto" w:fill="auto"/>
            <w:noWrap/>
            <w:vAlign w:val="bottom"/>
          </w:tcPr>
          <w:p w14:paraId="4281DBCF">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Variable</w:t>
            </w:r>
          </w:p>
        </w:tc>
        <w:tc>
          <w:tcPr>
            <w:tcW w:w="1022" w:type="pct"/>
            <w:tcBorders>
              <w:top w:val="single" w:color="auto" w:sz="4" w:space="0"/>
              <w:left w:val="nil"/>
              <w:bottom w:val="single" w:color="auto" w:sz="4" w:space="0"/>
              <w:right w:val="nil"/>
            </w:tcBorders>
            <w:shd w:val="clear" w:color="auto" w:fill="auto"/>
            <w:noWrap/>
            <w:vAlign w:val="bottom"/>
          </w:tcPr>
          <w:p w14:paraId="0ADA69C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VIF</w:t>
            </w:r>
          </w:p>
        </w:tc>
        <w:tc>
          <w:tcPr>
            <w:tcW w:w="1894" w:type="pct"/>
            <w:tcBorders>
              <w:top w:val="single" w:color="auto" w:sz="4" w:space="0"/>
              <w:left w:val="nil"/>
              <w:bottom w:val="single" w:color="auto" w:sz="4" w:space="0"/>
              <w:right w:val="nil"/>
            </w:tcBorders>
            <w:shd w:val="clear" w:color="auto" w:fill="auto"/>
            <w:noWrap/>
            <w:vAlign w:val="bottom"/>
          </w:tcPr>
          <w:p w14:paraId="78186EAC">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1/VIF  </w:t>
            </w:r>
          </w:p>
        </w:tc>
      </w:tr>
      <w:tr w14:paraId="70231E6A">
        <w:tblPrEx>
          <w:tblCellMar>
            <w:top w:w="0" w:type="dxa"/>
            <w:left w:w="108" w:type="dxa"/>
            <w:bottom w:w="0" w:type="dxa"/>
            <w:right w:w="108" w:type="dxa"/>
          </w:tblCellMar>
        </w:tblPrEx>
        <w:trPr>
          <w:trHeight w:val="288" w:hRule="atLeast"/>
        </w:trPr>
        <w:tc>
          <w:tcPr>
            <w:tcW w:w="2084" w:type="pct"/>
            <w:tcBorders>
              <w:top w:val="nil"/>
              <w:left w:val="nil"/>
              <w:bottom w:val="nil"/>
              <w:right w:val="nil"/>
            </w:tcBorders>
            <w:shd w:val="clear" w:color="auto" w:fill="auto"/>
            <w:noWrap/>
            <w:vAlign w:val="bottom"/>
          </w:tcPr>
          <w:p w14:paraId="20A9563D">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VR</w:t>
            </w:r>
          </w:p>
        </w:tc>
        <w:tc>
          <w:tcPr>
            <w:tcW w:w="1022" w:type="pct"/>
            <w:tcBorders>
              <w:top w:val="nil"/>
              <w:left w:val="nil"/>
              <w:bottom w:val="nil"/>
              <w:right w:val="nil"/>
            </w:tcBorders>
            <w:shd w:val="clear" w:color="auto" w:fill="auto"/>
            <w:noWrap/>
            <w:vAlign w:val="bottom"/>
          </w:tcPr>
          <w:p w14:paraId="1B5E36D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1.04</w:t>
            </w:r>
          </w:p>
        </w:tc>
        <w:tc>
          <w:tcPr>
            <w:tcW w:w="1894" w:type="pct"/>
            <w:tcBorders>
              <w:top w:val="nil"/>
              <w:left w:val="nil"/>
              <w:bottom w:val="nil"/>
              <w:right w:val="nil"/>
            </w:tcBorders>
            <w:shd w:val="clear" w:color="auto" w:fill="auto"/>
            <w:noWrap/>
            <w:vAlign w:val="bottom"/>
          </w:tcPr>
          <w:p w14:paraId="086A4699">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0.964674</w:t>
            </w:r>
          </w:p>
        </w:tc>
      </w:tr>
      <w:tr w14:paraId="5675837A">
        <w:tblPrEx>
          <w:tblCellMar>
            <w:top w:w="0" w:type="dxa"/>
            <w:left w:w="108" w:type="dxa"/>
            <w:bottom w:w="0" w:type="dxa"/>
            <w:right w:w="108" w:type="dxa"/>
          </w:tblCellMar>
        </w:tblPrEx>
        <w:trPr>
          <w:trHeight w:val="288" w:hRule="atLeast"/>
        </w:trPr>
        <w:tc>
          <w:tcPr>
            <w:tcW w:w="2084" w:type="pct"/>
            <w:tcBorders>
              <w:top w:val="nil"/>
              <w:left w:val="nil"/>
              <w:bottom w:val="nil"/>
              <w:right w:val="nil"/>
            </w:tcBorders>
            <w:shd w:val="clear" w:color="auto" w:fill="auto"/>
            <w:noWrap/>
            <w:vAlign w:val="bottom"/>
          </w:tcPr>
          <w:p w14:paraId="0E52C99D">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TM</w:t>
            </w:r>
          </w:p>
        </w:tc>
        <w:tc>
          <w:tcPr>
            <w:tcW w:w="1022" w:type="pct"/>
            <w:tcBorders>
              <w:top w:val="nil"/>
              <w:left w:val="nil"/>
              <w:bottom w:val="nil"/>
              <w:right w:val="nil"/>
            </w:tcBorders>
            <w:shd w:val="clear" w:color="auto" w:fill="auto"/>
            <w:noWrap/>
            <w:vAlign w:val="bottom"/>
          </w:tcPr>
          <w:p w14:paraId="190D3E51">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1.03</w:t>
            </w:r>
          </w:p>
        </w:tc>
        <w:tc>
          <w:tcPr>
            <w:tcW w:w="1894" w:type="pct"/>
            <w:tcBorders>
              <w:top w:val="nil"/>
              <w:left w:val="nil"/>
              <w:bottom w:val="nil"/>
              <w:right w:val="nil"/>
            </w:tcBorders>
            <w:shd w:val="clear" w:color="auto" w:fill="auto"/>
            <w:noWrap/>
            <w:vAlign w:val="bottom"/>
          </w:tcPr>
          <w:p w14:paraId="2C1C585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0.968206</w:t>
            </w:r>
          </w:p>
        </w:tc>
      </w:tr>
      <w:tr w14:paraId="137E8984">
        <w:tblPrEx>
          <w:tblCellMar>
            <w:top w:w="0" w:type="dxa"/>
            <w:left w:w="108" w:type="dxa"/>
            <w:bottom w:w="0" w:type="dxa"/>
            <w:right w:w="108" w:type="dxa"/>
          </w:tblCellMar>
        </w:tblPrEx>
        <w:trPr>
          <w:trHeight w:val="288" w:hRule="atLeast"/>
        </w:trPr>
        <w:tc>
          <w:tcPr>
            <w:tcW w:w="2084" w:type="pct"/>
            <w:tcBorders>
              <w:top w:val="nil"/>
              <w:left w:val="nil"/>
              <w:bottom w:val="nil"/>
              <w:right w:val="nil"/>
            </w:tcBorders>
            <w:shd w:val="clear" w:color="auto" w:fill="auto"/>
            <w:noWrap/>
            <w:vAlign w:val="bottom"/>
          </w:tcPr>
          <w:p w14:paraId="7541CDE9">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FR</w:t>
            </w:r>
          </w:p>
        </w:tc>
        <w:tc>
          <w:tcPr>
            <w:tcW w:w="1022" w:type="pct"/>
            <w:tcBorders>
              <w:top w:val="nil"/>
              <w:left w:val="nil"/>
              <w:bottom w:val="nil"/>
              <w:right w:val="nil"/>
            </w:tcBorders>
            <w:shd w:val="clear" w:color="auto" w:fill="auto"/>
            <w:noWrap/>
            <w:vAlign w:val="bottom"/>
          </w:tcPr>
          <w:p w14:paraId="788567BD">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1.03</w:t>
            </w:r>
          </w:p>
        </w:tc>
        <w:tc>
          <w:tcPr>
            <w:tcW w:w="1894" w:type="pct"/>
            <w:tcBorders>
              <w:top w:val="nil"/>
              <w:left w:val="nil"/>
              <w:bottom w:val="nil"/>
              <w:right w:val="nil"/>
            </w:tcBorders>
            <w:shd w:val="clear" w:color="auto" w:fill="auto"/>
            <w:noWrap/>
            <w:vAlign w:val="bottom"/>
          </w:tcPr>
          <w:p w14:paraId="30E9C6DB">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0.972898</w:t>
            </w:r>
          </w:p>
        </w:tc>
      </w:tr>
      <w:tr w14:paraId="6CF81A9D">
        <w:tblPrEx>
          <w:tblCellMar>
            <w:top w:w="0" w:type="dxa"/>
            <w:left w:w="108" w:type="dxa"/>
            <w:bottom w:w="0" w:type="dxa"/>
            <w:right w:w="108" w:type="dxa"/>
          </w:tblCellMar>
        </w:tblPrEx>
        <w:trPr>
          <w:trHeight w:val="288" w:hRule="atLeast"/>
        </w:trPr>
        <w:tc>
          <w:tcPr>
            <w:tcW w:w="2084" w:type="pct"/>
            <w:tcBorders>
              <w:top w:val="nil"/>
              <w:left w:val="nil"/>
              <w:bottom w:val="single" w:color="auto" w:sz="4" w:space="0"/>
              <w:right w:val="nil"/>
            </w:tcBorders>
            <w:shd w:val="clear" w:color="auto" w:fill="auto"/>
            <w:noWrap/>
            <w:vAlign w:val="bottom"/>
          </w:tcPr>
          <w:p w14:paraId="786E4B24">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Mean VIF</w:t>
            </w:r>
          </w:p>
        </w:tc>
        <w:tc>
          <w:tcPr>
            <w:tcW w:w="1022" w:type="pct"/>
            <w:tcBorders>
              <w:top w:val="nil"/>
              <w:left w:val="nil"/>
              <w:bottom w:val="single" w:color="auto" w:sz="4" w:space="0"/>
              <w:right w:val="nil"/>
            </w:tcBorders>
            <w:shd w:val="clear" w:color="auto" w:fill="auto"/>
            <w:noWrap/>
            <w:vAlign w:val="bottom"/>
          </w:tcPr>
          <w:p w14:paraId="3A459B24">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1.03</w:t>
            </w:r>
          </w:p>
        </w:tc>
        <w:tc>
          <w:tcPr>
            <w:tcW w:w="1894" w:type="pct"/>
            <w:tcBorders>
              <w:top w:val="nil"/>
              <w:left w:val="nil"/>
              <w:bottom w:val="single" w:color="auto" w:sz="4" w:space="0"/>
              <w:right w:val="nil"/>
            </w:tcBorders>
            <w:shd w:val="clear" w:color="auto" w:fill="auto"/>
            <w:noWrap/>
            <w:vAlign w:val="bottom"/>
          </w:tcPr>
          <w:p w14:paraId="1B5D7FAF">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r>
    </w:tbl>
    <w:p w14:paraId="50AE0C42">
      <w:pPr>
        <w:spacing w:after="0" w:line="360" w:lineRule="auto"/>
        <w:jc w:val="both"/>
        <w:rPr>
          <w:rFonts w:asciiTheme="majorBidi" w:hAnsiTheme="majorBidi" w:cstheme="majorBidi"/>
          <w:b/>
          <w:bCs/>
        </w:rPr>
      </w:pPr>
      <w:r>
        <w:rPr>
          <w:rFonts w:asciiTheme="majorBidi" w:hAnsiTheme="majorBidi" w:cstheme="majorBidi"/>
          <w:b/>
          <w:bCs/>
        </w:rPr>
        <w:t>Authors’ Computation (2025)</w:t>
      </w:r>
    </w:p>
    <w:p w14:paraId="113AE913">
      <w:pPr>
        <w:spacing w:after="0" w:line="360" w:lineRule="auto"/>
        <w:jc w:val="both"/>
        <w:rPr>
          <w:rFonts w:eastAsia="Times New Roman" w:asciiTheme="majorBidi" w:hAnsiTheme="majorBidi" w:cstheme="majorBidi"/>
          <w:bCs/>
        </w:rPr>
      </w:pPr>
    </w:p>
    <w:p w14:paraId="0CC8DBF0">
      <w:pPr>
        <w:spacing w:after="0" w:line="360" w:lineRule="auto"/>
        <w:jc w:val="both"/>
        <w:rPr>
          <w:rFonts w:eastAsia="Calibri" w:asciiTheme="majorBidi" w:hAnsiTheme="majorBidi" w:cstheme="majorBidi"/>
          <w:b/>
        </w:rPr>
      </w:pPr>
      <w:r>
        <w:rPr>
          <w:rFonts w:eastAsia="Calibri" w:asciiTheme="majorBidi" w:hAnsiTheme="majorBidi" w:cstheme="majorBidi"/>
          <w:b/>
        </w:rPr>
        <w:t>4.2.2</w:t>
      </w:r>
      <w:r>
        <w:rPr>
          <w:rFonts w:eastAsia="Calibri" w:asciiTheme="majorBidi" w:hAnsiTheme="majorBidi" w:cstheme="majorBidi"/>
        </w:rPr>
        <w:t xml:space="preserve">      </w:t>
      </w:r>
      <w:r>
        <w:rPr>
          <w:rFonts w:eastAsia="Calibri" w:asciiTheme="majorBidi" w:hAnsiTheme="majorBidi" w:cstheme="majorBidi"/>
          <w:b/>
        </w:rPr>
        <w:t>Post-Estimation Tests</w:t>
      </w:r>
    </w:p>
    <w:p w14:paraId="1E828AA4">
      <w:pPr>
        <w:spacing w:line="360" w:lineRule="auto"/>
        <w:jc w:val="both"/>
        <w:rPr>
          <w:rFonts w:eastAsia="Times New Roman" w:asciiTheme="majorBidi" w:hAnsiTheme="majorBidi" w:cstheme="majorBidi"/>
          <w:bCs/>
        </w:rPr>
      </w:pPr>
      <w:r>
        <w:rPr>
          <w:rFonts w:eastAsia="Times New Roman" w:asciiTheme="majorBidi" w:hAnsiTheme="majorBidi" w:cstheme="majorBidi"/>
          <w:bCs/>
        </w:rPr>
        <w:t xml:space="preserve">              The Breusch-Pagan/Cook-Weisberg test was used to homoscedasticity. A higher chi-square test statistic and a significant p-value (p-value &lt; 0.05) indicate heteroskedasticity, otherwise homoskedasticity. The test results revealed a chi-square of 149.99 with a p-value of 0.0000. The null hypothesis of constant variance was thus rejected, revealing substantial evidence of heteroskedasticity in the residuals of the study's model. Again, the Shapiro-Wilk test was employed to determine whether the values followed a normal distribution. The null hypothesis claims that the data follows a normal distribution, whereas the alternative hypothesis states that it does not. If the p-value is above 0.05, the null hypothesis is accepted; otherwise, it is rejected. The data in this situation is not regularly distributed, as the p-value is 0.0000. Consequently, all variables were transformed. Furthermore, the </w:t>
      </w:r>
      <w:r>
        <w:rPr>
          <w:rFonts w:eastAsia="Times New Roman" w:asciiTheme="majorBidi" w:hAnsiTheme="majorBidi" w:cstheme="majorBidi"/>
        </w:rPr>
        <w:t>Wooldridge test for autocorrelation in panel data was carried out</w:t>
      </w:r>
      <w:r>
        <w:rPr>
          <w:rFonts w:eastAsia="Times New Roman" w:asciiTheme="majorBidi" w:hAnsiTheme="majorBidi" w:cstheme="majorBidi"/>
          <w:bCs/>
        </w:rPr>
        <w:t xml:space="preserve">. While the null hypothesis states that there is no first-order autocorrelation in the panel data, the alternative hypothesis states that there is first-order autocorrelation. With a p-value of 0.0577, which is slightly above 0.05, the study indicates that there is autocorrelation. </w:t>
      </w:r>
    </w:p>
    <w:p w14:paraId="604838E5">
      <w:pPr>
        <w:spacing w:line="360" w:lineRule="auto"/>
        <w:jc w:val="both"/>
        <w:rPr>
          <w:rFonts w:eastAsia="Times New Roman" w:asciiTheme="majorBidi" w:hAnsiTheme="majorBidi" w:cstheme="majorBidi"/>
          <w:bCs/>
        </w:rPr>
      </w:pPr>
      <w:r>
        <w:rPr>
          <w:rFonts w:eastAsia="Times New Roman" w:asciiTheme="majorBidi" w:hAnsiTheme="majorBidi" w:cstheme="majorBidi"/>
          <w:bCs/>
        </w:rPr>
        <w:t xml:space="preserve">          The F-test, on the other hand, determines whether the firm-specific or group-specific effects in a fixed effects model are zero or not. The null hypothesis claims that all individual effects are zero, whereas the alternative hypothesis states that at least some individual effects are not zero. If the p-value is less than 0.05, reject the null hypothesis; else, accept it. The F-test results showed an f-statistic of 1.99 and a p-value of 0.0000, implying that the fixed model is effective. The Breusch and Pagan Lagrange multiplier test was used to compare the accuracy of the random effect model and pooled OLS estimates. The test statistic is 32.46, whereas the p-value is 0.0000. This indicates that the OLS model is more appropriate. The Hausman test was used to determine the optimum model of fixed and random effects. Given that the test result had a probability of 0.9657 and a chi-square of 0.27, the random model was the best fit. Because of the presence of heteroskedasticity and autocorrelation, a robust regression analysis was used. </w:t>
      </w:r>
    </w:p>
    <w:tbl>
      <w:tblPr>
        <w:tblStyle w:val="12"/>
        <w:tblW w:w="5000" w:type="pct"/>
        <w:tblInd w:w="0" w:type="dxa"/>
        <w:tblLayout w:type="autofit"/>
        <w:tblCellMar>
          <w:top w:w="0" w:type="dxa"/>
          <w:left w:w="108" w:type="dxa"/>
          <w:bottom w:w="0" w:type="dxa"/>
          <w:right w:w="108" w:type="dxa"/>
        </w:tblCellMar>
      </w:tblPr>
      <w:tblGrid>
        <w:gridCol w:w="7088"/>
        <w:gridCol w:w="1327"/>
        <w:gridCol w:w="1161"/>
      </w:tblGrid>
      <w:tr w14:paraId="04609B55">
        <w:tblPrEx>
          <w:tblCellMar>
            <w:top w:w="0" w:type="dxa"/>
            <w:left w:w="108" w:type="dxa"/>
            <w:bottom w:w="0" w:type="dxa"/>
            <w:right w:w="108" w:type="dxa"/>
          </w:tblCellMar>
        </w:tblPrEx>
        <w:trPr>
          <w:trHeight w:val="300" w:hRule="atLeast"/>
        </w:trPr>
        <w:tc>
          <w:tcPr>
            <w:tcW w:w="4394" w:type="pct"/>
            <w:gridSpan w:val="2"/>
            <w:tcBorders>
              <w:top w:val="nil"/>
              <w:left w:val="nil"/>
              <w:bottom w:val="single" w:color="auto" w:sz="8" w:space="0"/>
              <w:right w:val="nil"/>
            </w:tcBorders>
            <w:shd w:val="clear" w:color="auto" w:fill="auto"/>
            <w:noWrap/>
            <w:vAlign w:val="center"/>
          </w:tcPr>
          <w:p w14:paraId="53A31599">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color w:val="000000"/>
                <w:kern w:val="0"/>
                <w14:ligatures w14:val="none"/>
              </w:rPr>
              <w:t xml:space="preserve"> </w:t>
            </w:r>
            <w:r>
              <w:rPr>
                <w:rFonts w:eastAsia="Times New Roman" w:asciiTheme="majorBidi" w:hAnsiTheme="majorBidi" w:cstheme="majorBidi"/>
                <w:b/>
                <w:bCs/>
                <w:color w:val="000000"/>
                <w:kern w:val="0"/>
                <w14:ligatures w14:val="none"/>
              </w:rPr>
              <w:t>Table 5: Summary of Post-Estimation Test Results</w:t>
            </w:r>
          </w:p>
        </w:tc>
        <w:tc>
          <w:tcPr>
            <w:tcW w:w="606" w:type="pct"/>
            <w:tcBorders>
              <w:top w:val="nil"/>
              <w:left w:val="nil"/>
              <w:bottom w:val="single" w:color="auto" w:sz="8" w:space="0"/>
              <w:right w:val="nil"/>
            </w:tcBorders>
            <w:shd w:val="clear" w:color="auto" w:fill="auto"/>
            <w:noWrap/>
            <w:vAlign w:val="center"/>
          </w:tcPr>
          <w:p w14:paraId="3280704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w:t>
            </w:r>
          </w:p>
        </w:tc>
      </w:tr>
      <w:tr w14:paraId="0245622B">
        <w:tblPrEx>
          <w:tblCellMar>
            <w:top w:w="0" w:type="dxa"/>
            <w:left w:w="108" w:type="dxa"/>
            <w:bottom w:w="0" w:type="dxa"/>
            <w:right w:w="108" w:type="dxa"/>
          </w:tblCellMar>
        </w:tblPrEx>
        <w:trPr>
          <w:trHeight w:val="300" w:hRule="atLeast"/>
        </w:trPr>
        <w:tc>
          <w:tcPr>
            <w:tcW w:w="3701" w:type="pct"/>
            <w:tcBorders>
              <w:top w:val="nil"/>
              <w:left w:val="nil"/>
              <w:bottom w:val="single" w:color="auto" w:sz="8" w:space="0"/>
              <w:right w:val="nil"/>
            </w:tcBorders>
            <w:shd w:val="clear" w:color="auto" w:fill="auto"/>
            <w:noWrap/>
            <w:vAlign w:val="center"/>
          </w:tcPr>
          <w:p w14:paraId="0933B43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Test</w:t>
            </w:r>
          </w:p>
        </w:tc>
        <w:tc>
          <w:tcPr>
            <w:tcW w:w="693" w:type="pct"/>
            <w:tcBorders>
              <w:top w:val="nil"/>
              <w:left w:val="nil"/>
              <w:bottom w:val="single" w:color="auto" w:sz="8" w:space="0"/>
              <w:right w:val="nil"/>
            </w:tcBorders>
            <w:shd w:val="clear" w:color="auto" w:fill="auto"/>
            <w:noWrap/>
            <w:vAlign w:val="center"/>
          </w:tcPr>
          <w:p w14:paraId="1F948B01">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F-Statistics</w:t>
            </w:r>
          </w:p>
        </w:tc>
        <w:tc>
          <w:tcPr>
            <w:tcW w:w="606" w:type="pct"/>
            <w:tcBorders>
              <w:top w:val="nil"/>
              <w:left w:val="nil"/>
              <w:bottom w:val="single" w:color="auto" w:sz="8" w:space="0"/>
              <w:right w:val="nil"/>
            </w:tcBorders>
            <w:shd w:val="clear" w:color="auto" w:fill="auto"/>
            <w:noWrap/>
            <w:vAlign w:val="center"/>
          </w:tcPr>
          <w:p w14:paraId="20A5589E">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P-value</w:t>
            </w:r>
          </w:p>
        </w:tc>
      </w:tr>
      <w:tr w14:paraId="270EC7A1">
        <w:tblPrEx>
          <w:tblCellMar>
            <w:top w:w="0" w:type="dxa"/>
            <w:left w:w="108" w:type="dxa"/>
            <w:bottom w:w="0" w:type="dxa"/>
            <w:right w:w="108" w:type="dxa"/>
          </w:tblCellMar>
        </w:tblPrEx>
        <w:trPr>
          <w:trHeight w:val="288" w:hRule="atLeast"/>
        </w:trPr>
        <w:tc>
          <w:tcPr>
            <w:tcW w:w="3701" w:type="pct"/>
            <w:tcBorders>
              <w:top w:val="nil"/>
              <w:left w:val="nil"/>
              <w:bottom w:val="nil"/>
              <w:right w:val="nil"/>
            </w:tcBorders>
            <w:shd w:val="clear" w:color="auto" w:fill="auto"/>
            <w:noWrap/>
            <w:vAlign w:val="center"/>
          </w:tcPr>
          <w:p w14:paraId="3AD3CB0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Breusch-Pagan / Cook-Weisberg test for Heteroscedasticity </w:t>
            </w:r>
          </w:p>
        </w:tc>
        <w:tc>
          <w:tcPr>
            <w:tcW w:w="693" w:type="pct"/>
            <w:tcBorders>
              <w:top w:val="nil"/>
              <w:left w:val="nil"/>
              <w:bottom w:val="nil"/>
              <w:right w:val="nil"/>
            </w:tcBorders>
            <w:shd w:val="clear" w:color="auto" w:fill="auto"/>
            <w:noWrap/>
            <w:vAlign w:val="center"/>
          </w:tcPr>
          <w:p w14:paraId="6A1FFF31">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149.99</w:t>
            </w:r>
          </w:p>
        </w:tc>
        <w:tc>
          <w:tcPr>
            <w:tcW w:w="606" w:type="pct"/>
            <w:tcBorders>
              <w:top w:val="nil"/>
              <w:left w:val="nil"/>
              <w:bottom w:val="nil"/>
              <w:right w:val="nil"/>
            </w:tcBorders>
            <w:shd w:val="clear" w:color="auto" w:fill="auto"/>
            <w:noWrap/>
            <w:vAlign w:val="center"/>
          </w:tcPr>
          <w:p w14:paraId="688DE81E">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0.0000</w:t>
            </w:r>
          </w:p>
        </w:tc>
      </w:tr>
      <w:tr w14:paraId="04263496">
        <w:tblPrEx>
          <w:tblCellMar>
            <w:top w:w="0" w:type="dxa"/>
            <w:left w:w="108" w:type="dxa"/>
            <w:bottom w:w="0" w:type="dxa"/>
            <w:right w:w="108" w:type="dxa"/>
          </w:tblCellMar>
        </w:tblPrEx>
        <w:trPr>
          <w:trHeight w:val="288" w:hRule="atLeast"/>
        </w:trPr>
        <w:tc>
          <w:tcPr>
            <w:tcW w:w="3701" w:type="pct"/>
            <w:tcBorders>
              <w:top w:val="nil"/>
              <w:left w:val="nil"/>
              <w:bottom w:val="nil"/>
              <w:right w:val="nil"/>
            </w:tcBorders>
            <w:shd w:val="clear" w:color="auto" w:fill="auto"/>
            <w:noWrap/>
            <w:vAlign w:val="center"/>
          </w:tcPr>
          <w:p w14:paraId="7D0D213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the Shapiro-Wilk test </w:t>
            </w:r>
          </w:p>
        </w:tc>
        <w:tc>
          <w:tcPr>
            <w:tcW w:w="693" w:type="pct"/>
            <w:tcBorders>
              <w:top w:val="nil"/>
              <w:left w:val="nil"/>
              <w:bottom w:val="nil"/>
              <w:right w:val="nil"/>
            </w:tcBorders>
            <w:shd w:val="clear" w:color="auto" w:fill="auto"/>
            <w:noWrap/>
            <w:vAlign w:val="center"/>
          </w:tcPr>
          <w:p w14:paraId="7BBFF785">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10.152</w:t>
            </w:r>
          </w:p>
        </w:tc>
        <w:tc>
          <w:tcPr>
            <w:tcW w:w="606" w:type="pct"/>
            <w:tcBorders>
              <w:top w:val="nil"/>
              <w:left w:val="nil"/>
              <w:bottom w:val="nil"/>
              <w:right w:val="nil"/>
            </w:tcBorders>
            <w:shd w:val="clear" w:color="auto" w:fill="auto"/>
            <w:noWrap/>
            <w:vAlign w:val="center"/>
          </w:tcPr>
          <w:p w14:paraId="0E87A088">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0.0000</w:t>
            </w:r>
          </w:p>
        </w:tc>
      </w:tr>
      <w:tr w14:paraId="05890BBC">
        <w:tblPrEx>
          <w:tblCellMar>
            <w:top w:w="0" w:type="dxa"/>
            <w:left w:w="108" w:type="dxa"/>
            <w:bottom w:w="0" w:type="dxa"/>
            <w:right w:w="108" w:type="dxa"/>
          </w:tblCellMar>
        </w:tblPrEx>
        <w:trPr>
          <w:trHeight w:val="288" w:hRule="atLeast"/>
        </w:trPr>
        <w:tc>
          <w:tcPr>
            <w:tcW w:w="3701" w:type="pct"/>
            <w:tcBorders>
              <w:top w:val="nil"/>
              <w:left w:val="nil"/>
              <w:bottom w:val="nil"/>
              <w:right w:val="nil"/>
            </w:tcBorders>
            <w:shd w:val="clear" w:color="auto" w:fill="auto"/>
            <w:noWrap/>
            <w:vAlign w:val="center"/>
          </w:tcPr>
          <w:p w14:paraId="48BC144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Wooldridge test for autocorrelation in panel data</w:t>
            </w:r>
          </w:p>
        </w:tc>
        <w:tc>
          <w:tcPr>
            <w:tcW w:w="693" w:type="pct"/>
            <w:tcBorders>
              <w:top w:val="nil"/>
              <w:left w:val="nil"/>
              <w:bottom w:val="nil"/>
              <w:right w:val="nil"/>
            </w:tcBorders>
            <w:shd w:val="clear" w:color="auto" w:fill="auto"/>
            <w:noWrap/>
            <w:vAlign w:val="center"/>
          </w:tcPr>
          <w:p w14:paraId="726344C1">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4.405</w:t>
            </w:r>
          </w:p>
        </w:tc>
        <w:tc>
          <w:tcPr>
            <w:tcW w:w="606" w:type="pct"/>
            <w:tcBorders>
              <w:top w:val="nil"/>
              <w:left w:val="nil"/>
              <w:bottom w:val="nil"/>
              <w:right w:val="nil"/>
            </w:tcBorders>
            <w:shd w:val="clear" w:color="auto" w:fill="auto"/>
            <w:noWrap/>
            <w:vAlign w:val="bottom"/>
          </w:tcPr>
          <w:p w14:paraId="65519334">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0.0577</w:t>
            </w:r>
          </w:p>
        </w:tc>
      </w:tr>
      <w:tr w14:paraId="25D1FF3D">
        <w:tblPrEx>
          <w:tblCellMar>
            <w:top w:w="0" w:type="dxa"/>
            <w:left w:w="108" w:type="dxa"/>
            <w:bottom w:w="0" w:type="dxa"/>
            <w:right w:w="108" w:type="dxa"/>
          </w:tblCellMar>
        </w:tblPrEx>
        <w:trPr>
          <w:trHeight w:val="288" w:hRule="atLeast"/>
        </w:trPr>
        <w:tc>
          <w:tcPr>
            <w:tcW w:w="3701" w:type="pct"/>
            <w:tcBorders>
              <w:top w:val="nil"/>
              <w:left w:val="nil"/>
              <w:bottom w:val="nil"/>
              <w:right w:val="nil"/>
            </w:tcBorders>
            <w:shd w:val="clear" w:color="auto" w:fill="auto"/>
            <w:noWrap/>
            <w:vAlign w:val="center"/>
          </w:tcPr>
          <w:p w14:paraId="7593D69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 test that all ui=0: F (45, 549)</w:t>
            </w:r>
          </w:p>
        </w:tc>
        <w:tc>
          <w:tcPr>
            <w:tcW w:w="693" w:type="pct"/>
            <w:tcBorders>
              <w:top w:val="nil"/>
              <w:left w:val="nil"/>
              <w:bottom w:val="nil"/>
              <w:right w:val="nil"/>
            </w:tcBorders>
            <w:shd w:val="clear" w:color="auto" w:fill="auto"/>
            <w:noWrap/>
            <w:vAlign w:val="center"/>
          </w:tcPr>
          <w:p w14:paraId="439CD1B3">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4.35</w:t>
            </w:r>
          </w:p>
        </w:tc>
        <w:tc>
          <w:tcPr>
            <w:tcW w:w="606" w:type="pct"/>
            <w:tcBorders>
              <w:top w:val="nil"/>
              <w:left w:val="nil"/>
              <w:bottom w:val="nil"/>
              <w:right w:val="nil"/>
            </w:tcBorders>
            <w:shd w:val="clear" w:color="auto" w:fill="auto"/>
            <w:noWrap/>
            <w:vAlign w:val="center"/>
          </w:tcPr>
          <w:p w14:paraId="72258E53">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0.0000</w:t>
            </w:r>
          </w:p>
        </w:tc>
      </w:tr>
      <w:tr w14:paraId="0C8A2FF1">
        <w:tblPrEx>
          <w:tblCellMar>
            <w:top w:w="0" w:type="dxa"/>
            <w:left w:w="108" w:type="dxa"/>
            <w:bottom w:w="0" w:type="dxa"/>
            <w:right w:w="108" w:type="dxa"/>
          </w:tblCellMar>
        </w:tblPrEx>
        <w:trPr>
          <w:trHeight w:val="288" w:hRule="atLeast"/>
        </w:trPr>
        <w:tc>
          <w:tcPr>
            <w:tcW w:w="3701" w:type="pct"/>
            <w:tcBorders>
              <w:top w:val="nil"/>
              <w:left w:val="nil"/>
              <w:bottom w:val="nil"/>
              <w:right w:val="nil"/>
            </w:tcBorders>
            <w:shd w:val="clear" w:color="auto" w:fill="auto"/>
            <w:noWrap/>
            <w:vAlign w:val="center"/>
          </w:tcPr>
          <w:p w14:paraId="04398F0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Breusch and Pagan Lagrangian multiplier test for random effects</w:t>
            </w:r>
          </w:p>
        </w:tc>
        <w:tc>
          <w:tcPr>
            <w:tcW w:w="693" w:type="pct"/>
            <w:tcBorders>
              <w:top w:val="nil"/>
              <w:left w:val="nil"/>
              <w:bottom w:val="nil"/>
              <w:right w:val="nil"/>
            </w:tcBorders>
            <w:shd w:val="clear" w:color="auto" w:fill="auto"/>
            <w:noWrap/>
            <w:vAlign w:val="center"/>
          </w:tcPr>
          <w:p w14:paraId="2F306DB6">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32.46</w:t>
            </w:r>
          </w:p>
        </w:tc>
        <w:tc>
          <w:tcPr>
            <w:tcW w:w="606" w:type="pct"/>
            <w:tcBorders>
              <w:top w:val="nil"/>
              <w:left w:val="nil"/>
              <w:bottom w:val="nil"/>
              <w:right w:val="nil"/>
            </w:tcBorders>
            <w:shd w:val="clear" w:color="auto" w:fill="auto"/>
            <w:noWrap/>
            <w:vAlign w:val="center"/>
          </w:tcPr>
          <w:p w14:paraId="6FEDB01D">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0.0000</w:t>
            </w:r>
          </w:p>
        </w:tc>
      </w:tr>
      <w:tr w14:paraId="1CA744DD">
        <w:tblPrEx>
          <w:tblCellMar>
            <w:top w:w="0" w:type="dxa"/>
            <w:left w:w="108" w:type="dxa"/>
            <w:bottom w:w="0" w:type="dxa"/>
            <w:right w:w="108" w:type="dxa"/>
          </w:tblCellMar>
        </w:tblPrEx>
        <w:trPr>
          <w:trHeight w:val="300" w:hRule="atLeast"/>
        </w:trPr>
        <w:tc>
          <w:tcPr>
            <w:tcW w:w="3701" w:type="pct"/>
            <w:tcBorders>
              <w:top w:val="nil"/>
              <w:left w:val="nil"/>
              <w:bottom w:val="single" w:color="auto" w:sz="8" w:space="0"/>
              <w:right w:val="nil"/>
            </w:tcBorders>
            <w:shd w:val="clear" w:color="auto" w:fill="auto"/>
            <w:noWrap/>
            <w:vAlign w:val="center"/>
          </w:tcPr>
          <w:p w14:paraId="2C5DD72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Hausman Test</w:t>
            </w:r>
          </w:p>
        </w:tc>
        <w:tc>
          <w:tcPr>
            <w:tcW w:w="693" w:type="pct"/>
            <w:tcBorders>
              <w:top w:val="nil"/>
              <w:left w:val="nil"/>
              <w:bottom w:val="single" w:color="auto" w:sz="8" w:space="0"/>
              <w:right w:val="nil"/>
            </w:tcBorders>
            <w:shd w:val="clear" w:color="auto" w:fill="auto"/>
            <w:noWrap/>
            <w:vAlign w:val="center"/>
          </w:tcPr>
          <w:p w14:paraId="27134876">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0.27</w:t>
            </w:r>
          </w:p>
        </w:tc>
        <w:tc>
          <w:tcPr>
            <w:tcW w:w="606" w:type="pct"/>
            <w:tcBorders>
              <w:top w:val="nil"/>
              <w:left w:val="nil"/>
              <w:bottom w:val="single" w:color="auto" w:sz="8" w:space="0"/>
              <w:right w:val="nil"/>
            </w:tcBorders>
            <w:shd w:val="clear" w:color="auto" w:fill="auto"/>
            <w:noWrap/>
            <w:vAlign w:val="center"/>
          </w:tcPr>
          <w:p w14:paraId="29CF9C2D">
            <w:pPr>
              <w:spacing w:after="0" w:line="240" w:lineRule="auto"/>
              <w:jc w:val="right"/>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0.9657</w:t>
            </w:r>
          </w:p>
        </w:tc>
      </w:tr>
    </w:tbl>
    <w:p w14:paraId="248C28C0">
      <w:pPr>
        <w:spacing w:after="0" w:line="360" w:lineRule="auto"/>
        <w:jc w:val="both"/>
        <w:rPr>
          <w:rFonts w:asciiTheme="majorBidi" w:hAnsiTheme="majorBidi" w:cstheme="majorBidi"/>
          <w:b/>
          <w:bCs/>
        </w:rPr>
      </w:pPr>
      <w:r>
        <w:rPr>
          <w:rFonts w:asciiTheme="majorBidi" w:hAnsiTheme="majorBidi" w:cstheme="majorBidi"/>
          <w:b/>
          <w:bCs/>
        </w:rPr>
        <w:t>Authors’ Computation (2025)</w:t>
      </w:r>
    </w:p>
    <w:p w14:paraId="47A5388D">
      <w:pPr>
        <w:spacing w:before="100" w:beforeAutospacing="1" w:after="100" w:afterAutospacing="1" w:line="240" w:lineRule="auto"/>
        <w:outlineLvl w:val="1"/>
        <w:rPr>
          <w:rFonts w:eastAsia="Times New Roman" w:asciiTheme="majorBidi" w:hAnsiTheme="majorBidi" w:cstheme="majorBidi"/>
          <w:bCs/>
        </w:rPr>
      </w:pPr>
      <w:r>
        <w:rPr>
          <w:rFonts w:eastAsia="Calibri" w:asciiTheme="majorBidi" w:hAnsiTheme="majorBidi" w:cstheme="majorBidi"/>
          <w:b/>
        </w:rPr>
        <w:t xml:space="preserve">4.3       </w:t>
      </w:r>
      <w:r>
        <w:rPr>
          <w:rFonts w:asciiTheme="majorBidi" w:hAnsiTheme="majorBidi" w:cstheme="majorBidi"/>
          <w:b/>
          <w:bCs/>
        </w:rPr>
        <w:t xml:space="preserve">Financial Reporting Quality and Cost of Capital </w:t>
      </w:r>
    </w:p>
    <w:p w14:paraId="06DF65C9">
      <w:pPr>
        <w:spacing w:before="100" w:beforeAutospacing="1" w:after="100" w:afterAutospacing="1" w:line="360" w:lineRule="auto"/>
        <w:jc w:val="both"/>
        <w:outlineLvl w:val="1"/>
        <w:rPr>
          <w:rFonts w:eastAsia="Times New Roman" w:asciiTheme="majorBidi" w:hAnsiTheme="majorBidi" w:cstheme="majorBidi"/>
          <w:bCs/>
        </w:rPr>
      </w:pPr>
      <w:r>
        <w:rPr>
          <w:rFonts w:eastAsia="Times New Roman" w:asciiTheme="majorBidi" w:hAnsiTheme="majorBidi" w:cstheme="majorBidi"/>
          <w:bCs/>
        </w:rPr>
        <w:t xml:space="preserve">            The previous model selection analysis determined that the random-effect model is best suited for this study; however, panel-specific heteroskedasticity and autocorrelation identified in pre- and post-estimation tests require the use of robust regression analysis. In this context, the p-value and coefficients derived from this analysis were used to infer the effect of FR, VR, and TM on Coc. The overall model significance is indicated by an F-statistic of 7.22 with a p-value of 0.0002. This implies that the model is statistically significant, explaining variation in the cost of capital.</w:t>
      </w:r>
    </w:p>
    <w:p w14:paraId="058631A5">
      <w:pPr>
        <w:spacing w:before="100" w:beforeAutospacing="1" w:after="100" w:afterAutospacing="1" w:line="360" w:lineRule="auto"/>
        <w:jc w:val="both"/>
        <w:outlineLvl w:val="1"/>
        <w:rPr>
          <w:rFonts w:eastAsia="Times New Roman" w:asciiTheme="majorBidi" w:hAnsiTheme="majorBidi" w:cstheme="majorBidi"/>
          <w:bCs/>
        </w:rPr>
      </w:pPr>
      <w:r>
        <w:rPr>
          <w:rFonts w:eastAsia="Times New Roman" w:asciiTheme="majorBidi" w:hAnsiTheme="majorBidi" w:cstheme="majorBidi"/>
          <w:bCs/>
        </w:rPr>
        <w:t xml:space="preserve">           Also, faithful representation has a coefficient of 0.0687 with a p-value of 0.0100. While being statistically significant, a one-unit increase in FR is associated with a 6.87 percentage point increase in the cost of capital, holding other variables constant. This suggests that firms with more earnings manipulation (less faithful reporting) might face higher financing costs. In the same vein, the value relevance coefficient is 0.0000, with a p-value of 0.7950. While this is not significant, changes in the value relevance metric do not have a statistically meaningful effect on the cost of capital in this model. This is unexpected, and this could be due to its indirect effect. Again, the timeliness coefficient is 0.0115, with a p-value of 0.0010. While highly significant, each 1% increase in delay is associated with a 1.15 percentage point increase in the cost of capital. Delayed reporting is likely to increase investor uncertainty, raising financing costs.</w:t>
      </w:r>
    </w:p>
    <w:tbl>
      <w:tblPr>
        <w:tblStyle w:val="12"/>
        <w:tblW w:w="5000" w:type="pct"/>
        <w:tblInd w:w="0" w:type="dxa"/>
        <w:tblLayout w:type="autofit"/>
        <w:tblCellMar>
          <w:top w:w="0" w:type="dxa"/>
          <w:left w:w="108" w:type="dxa"/>
          <w:bottom w:w="0" w:type="dxa"/>
          <w:right w:w="108" w:type="dxa"/>
        </w:tblCellMar>
      </w:tblPr>
      <w:tblGrid>
        <w:gridCol w:w="2593"/>
        <w:gridCol w:w="1109"/>
        <w:gridCol w:w="1124"/>
        <w:gridCol w:w="1124"/>
        <w:gridCol w:w="1124"/>
        <w:gridCol w:w="1367"/>
        <w:gridCol w:w="1135"/>
      </w:tblGrid>
      <w:tr w14:paraId="3CBDCDA9">
        <w:tblPrEx>
          <w:tblCellMar>
            <w:top w:w="0" w:type="dxa"/>
            <w:left w:w="108" w:type="dxa"/>
            <w:bottom w:w="0" w:type="dxa"/>
            <w:right w:w="108" w:type="dxa"/>
          </w:tblCellMar>
        </w:tblPrEx>
        <w:trPr>
          <w:trHeight w:val="288" w:hRule="atLeast"/>
        </w:trPr>
        <w:tc>
          <w:tcPr>
            <w:tcW w:w="1932" w:type="pct"/>
            <w:gridSpan w:val="2"/>
            <w:tcBorders>
              <w:top w:val="nil"/>
              <w:left w:val="nil"/>
              <w:bottom w:val="nil"/>
              <w:right w:val="nil"/>
            </w:tcBorders>
            <w:shd w:val="clear" w:color="auto" w:fill="auto"/>
            <w:noWrap/>
            <w:vAlign w:val="bottom"/>
          </w:tcPr>
          <w:p w14:paraId="667FFA54">
            <w:pPr>
              <w:spacing w:after="0" w:line="240" w:lineRule="auto"/>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Table 6: Robust Regression</w:t>
            </w:r>
          </w:p>
        </w:tc>
        <w:tc>
          <w:tcPr>
            <w:tcW w:w="587" w:type="pct"/>
            <w:tcBorders>
              <w:top w:val="nil"/>
              <w:left w:val="nil"/>
              <w:bottom w:val="nil"/>
              <w:right w:val="nil"/>
            </w:tcBorders>
            <w:shd w:val="clear" w:color="auto" w:fill="auto"/>
            <w:noWrap/>
            <w:vAlign w:val="bottom"/>
          </w:tcPr>
          <w:p w14:paraId="56B35935">
            <w:pPr>
              <w:spacing w:after="0" w:line="240" w:lineRule="auto"/>
              <w:rPr>
                <w:rFonts w:ascii="Times New Roman" w:hAnsi="Times New Roman" w:eastAsia="Times New Roman" w:cs="Times New Roman"/>
                <w:color w:val="000000"/>
                <w:kern w:val="0"/>
                <w14:ligatures w14:val="none"/>
              </w:rPr>
            </w:pPr>
          </w:p>
        </w:tc>
        <w:tc>
          <w:tcPr>
            <w:tcW w:w="587" w:type="pct"/>
            <w:tcBorders>
              <w:top w:val="nil"/>
              <w:left w:val="nil"/>
              <w:bottom w:val="nil"/>
              <w:right w:val="nil"/>
            </w:tcBorders>
            <w:shd w:val="clear" w:color="auto" w:fill="auto"/>
            <w:noWrap/>
            <w:vAlign w:val="bottom"/>
          </w:tcPr>
          <w:p w14:paraId="39722749">
            <w:pPr>
              <w:spacing w:after="0" w:line="240" w:lineRule="auto"/>
              <w:rPr>
                <w:rFonts w:ascii="Times New Roman" w:hAnsi="Times New Roman" w:eastAsia="Times New Roman" w:cs="Times New Roman"/>
                <w:kern w:val="0"/>
                <w14:ligatures w14:val="none"/>
              </w:rPr>
            </w:pPr>
          </w:p>
        </w:tc>
        <w:tc>
          <w:tcPr>
            <w:tcW w:w="587" w:type="pct"/>
            <w:tcBorders>
              <w:top w:val="nil"/>
              <w:left w:val="nil"/>
              <w:bottom w:val="nil"/>
              <w:right w:val="nil"/>
            </w:tcBorders>
            <w:shd w:val="clear" w:color="auto" w:fill="auto"/>
            <w:noWrap/>
            <w:vAlign w:val="bottom"/>
          </w:tcPr>
          <w:p w14:paraId="6B59FDF9">
            <w:pPr>
              <w:spacing w:after="0" w:line="240" w:lineRule="auto"/>
              <w:rPr>
                <w:rFonts w:ascii="Times New Roman" w:hAnsi="Times New Roman" w:eastAsia="Times New Roman" w:cs="Times New Roman"/>
                <w:kern w:val="0"/>
                <w14:ligatures w14:val="none"/>
              </w:rPr>
            </w:pPr>
          </w:p>
        </w:tc>
        <w:tc>
          <w:tcPr>
            <w:tcW w:w="714" w:type="pct"/>
            <w:tcBorders>
              <w:top w:val="nil"/>
              <w:left w:val="nil"/>
              <w:bottom w:val="nil"/>
              <w:right w:val="nil"/>
            </w:tcBorders>
            <w:shd w:val="clear" w:color="auto" w:fill="auto"/>
            <w:noWrap/>
            <w:vAlign w:val="bottom"/>
          </w:tcPr>
          <w:p w14:paraId="76712D38">
            <w:pPr>
              <w:spacing w:after="0" w:line="240" w:lineRule="auto"/>
              <w:rPr>
                <w:rFonts w:ascii="Times New Roman" w:hAnsi="Times New Roman" w:eastAsia="Times New Roman" w:cs="Times New Roman"/>
                <w:kern w:val="0"/>
                <w14:ligatures w14:val="none"/>
              </w:rPr>
            </w:pPr>
          </w:p>
        </w:tc>
        <w:tc>
          <w:tcPr>
            <w:tcW w:w="594" w:type="pct"/>
            <w:tcBorders>
              <w:top w:val="nil"/>
              <w:left w:val="nil"/>
              <w:bottom w:val="nil"/>
              <w:right w:val="nil"/>
            </w:tcBorders>
            <w:shd w:val="clear" w:color="auto" w:fill="auto"/>
            <w:noWrap/>
            <w:vAlign w:val="bottom"/>
          </w:tcPr>
          <w:p w14:paraId="6EE0AF9B">
            <w:pPr>
              <w:spacing w:after="0" w:line="240" w:lineRule="auto"/>
              <w:rPr>
                <w:rFonts w:ascii="Times New Roman" w:hAnsi="Times New Roman" w:eastAsia="Times New Roman" w:cs="Times New Roman"/>
                <w:kern w:val="0"/>
                <w14:ligatures w14:val="none"/>
              </w:rPr>
            </w:pPr>
          </w:p>
        </w:tc>
      </w:tr>
      <w:tr w14:paraId="12240455">
        <w:tblPrEx>
          <w:tblCellMar>
            <w:top w:w="0" w:type="dxa"/>
            <w:left w:w="108" w:type="dxa"/>
            <w:bottom w:w="0" w:type="dxa"/>
            <w:right w:w="108" w:type="dxa"/>
          </w:tblCellMar>
        </w:tblPrEx>
        <w:trPr>
          <w:trHeight w:val="288" w:hRule="atLeast"/>
        </w:trPr>
        <w:tc>
          <w:tcPr>
            <w:tcW w:w="1354" w:type="pct"/>
            <w:tcBorders>
              <w:top w:val="single" w:color="auto" w:sz="4" w:space="0"/>
              <w:left w:val="nil"/>
              <w:bottom w:val="single" w:color="auto" w:sz="4" w:space="0"/>
              <w:right w:val="nil"/>
            </w:tcBorders>
            <w:shd w:val="clear" w:color="auto" w:fill="auto"/>
            <w:noWrap/>
            <w:vAlign w:val="bottom"/>
          </w:tcPr>
          <w:p w14:paraId="5887AC14">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Cost of capital</w:t>
            </w:r>
          </w:p>
        </w:tc>
        <w:tc>
          <w:tcPr>
            <w:tcW w:w="579" w:type="pct"/>
            <w:tcBorders>
              <w:top w:val="single" w:color="auto" w:sz="4" w:space="0"/>
              <w:left w:val="nil"/>
              <w:bottom w:val="single" w:color="auto" w:sz="4" w:space="0"/>
              <w:right w:val="nil"/>
            </w:tcBorders>
            <w:shd w:val="clear" w:color="auto" w:fill="auto"/>
            <w:noWrap/>
            <w:vAlign w:val="bottom"/>
          </w:tcPr>
          <w:p w14:paraId="67E15361">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Coef.</w:t>
            </w:r>
          </w:p>
        </w:tc>
        <w:tc>
          <w:tcPr>
            <w:tcW w:w="587" w:type="pct"/>
            <w:tcBorders>
              <w:top w:val="single" w:color="auto" w:sz="4" w:space="0"/>
              <w:left w:val="nil"/>
              <w:bottom w:val="single" w:color="auto" w:sz="4" w:space="0"/>
              <w:right w:val="nil"/>
            </w:tcBorders>
            <w:shd w:val="clear" w:color="auto" w:fill="auto"/>
            <w:noWrap/>
            <w:vAlign w:val="bottom"/>
          </w:tcPr>
          <w:p w14:paraId="4A48A174">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Std. Err.</w:t>
            </w:r>
          </w:p>
        </w:tc>
        <w:tc>
          <w:tcPr>
            <w:tcW w:w="587" w:type="pct"/>
            <w:tcBorders>
              <w:top w:val="single" w:color="auto" w:sz="4" w:space="0"/>
              <w:left w:val="nil"/>
              <w:bottom w:val="single" w:color="auto" w:sz="4" w:space="0"/>
              <w:right w:val="nil"/>
            </w:tcBorders>
            <w:shd w:val="clear" w:color="auto" w:fill="auto"/>
            <w:noWrap/>
            <w:vAlign w:val="bottom"/>
          </w:tcPr>
          <w:p w14:paraId="5F66CA96">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w:t>
            </w:r>
          </w:p>
        </w:tc>
        <w:tc>
          <w:tcPr>
            <w:tcW w:w="587" w:type="pct"/>
            <w:tcBorders>
              <w:top w:val="single" w:color="auto" w:sz="4" w:space="0"/>
              <w:left w:val="nil"/>
              <w:bottom w:val="single" w:color="auto" w:sz="4" w:space="0"/>
              <w:right w:val="nil"/>
            </w:tcBorders>
            <w:shd w:val="clear" w:color="auto" w:fill="auto"/>
            <w:noWrap/>
            <w:vAlign w:val="bottom"/>
          </w:tcPr>
          <w:p w14:paraId="0576C87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P&gt;t</w:t>
            </w:r>
          </w:p>
        </w:tc>
        <w:tc>
          <w:tcPr>
            <w:tcW w:w="714" w:type="pct"/>
            <w:tcBorders>
              <w:top w:val="single" w:color="auto" w:sz="4" w:space="0"/>
              <w:left w:val="nil"/>
              <w:bottom w:val="single" w:color="auto" w:sz="4" w:space="0"/>
              <w:right w:val="nil"/>
            </w:tcBorders>
            <w:shd w:val="clear" w:color="auto" w:fill="auto"/>
            <w:noWrap/>
            <w:vAlign w:val="bottom"/>
          </w:tcPr>
          <w:p w14:paraId="38F54D41">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[95% Conf.</w:t>
            </w:r>
          </w:p>
        </w:tc>
        <w:tc>
          <w:tcPr>
            <w:tcW w:w="594" w:type="pct"/>
            <w:tcBorders>
              <w:top w:val="single" w:color="auto" w:sz="4" w:space="0"/>
              <w:left w:val="nil"/>
              <w:bottom w:val="single" w:color="auto" w:sz="4" w:space="0"/>
              <w:right w:val="nil"/>
            </w:tcBorders>
            <w:shd w:val="clear" w:color="auto" w:fill="auto"/>
            <w:noWrap/>
            <w:vAlign w:val="bottom"/>
          </w:tcPr>
          <w:p w14:paraId="35A1902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Interval]</w:t>
            </w:r>
          </w:p>
        </w:tc>
      </w:tr>
      <w:tr w14:paraId="22EC2BD3">
        <w:tblPrEx>
          <w:tblCellMar>
            <w:top w:w="0" w:type="dxa"/>
            <w:left w:w="108" w:type="dxa"/>
            <w:bottom w:w="0" w:type="dxa"/>
            <w:right w:w="108" w:type="dxa"/>
          </w:tblCellMar>
        </w:tblPrEx>
        <w:trPr>
          <w:trHeight w:val="300" w:hRule="atLeast"/>
        </w:trPr>
        <w:tc>
          <w:tcPr>
            <w:tcW w:w="1354" w:type="pct"/>
            <w:tcBorders>
              <w:top w:val="nil"/>
              <w:left w:val="nil"/>
              <w:bottom w:val="nil"/>
              <w:right w:val="nil"/>
            </w:tcBorders>
            <w:shd w:val="clear" w:color="auto" w:fill="auto"/>
            <w:noWrap/>
            <w:vAlign w:val="bottom"/>
          </w:tcPr>
          <w:p w14:paraId="0AC6F465">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FR</w:t>
            </w:r>
          </w:p>
        </w:tc>
        <w:tc>
          <w:tcPr>
            <w:tcW w:w="579" w:type="pct"/>
            <w:tcBorders>
              <w:top w:val="nil"/>
              <w:left w:val="nil"/>
              <w:bottom w:val="nil"/>
              <w:right w:val="nil"/>
            </w:tcBorders>
            <w:shd w:val="clear" w:color="auto" w:fill="auto"/>
            <w:noWrap/>
            <w:vAlign w:val="bottom"/>
          </w:tcPr>
          <w:p w14:paraId="0D9A6D0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0.0687</w:t>
            </w:r>
          </w:p>
        </w:tc>
        <w:tc>
          <w:tcPr>
            <w:tcW w:w="587" w:type="pct"/>
            <w:tcBorders>
              <w:top w:val="nil"/>
              <w:left w:val="nil"/>
              <w:bottom w:val="nil"/>
              <w:right w:val="nil"/>
            </w:tcBorders>
            <w:shd w:val="clear" w:color="auto" w:fill="auto"/>
            <w:noWrap/>
            <w:vAlign w:val="bottom"/>
          </w:tcPr>
          <w:p w14:paraId="78568BEC">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0.0264</w:t>
            </w:r>
          </w:p>
        </w:tc>
        <w:tc>
          <w:tcPr>
            <w:tcW w:w="587" w:type="pct"/>
            <w:tcBorders>
              <w:top w:val="nil"/>
              <w:left w:val="nil"/>
              <w:bottom w:val="nil"/>
              <w:right w:val="nil"/>
            </w:tcBorders>
            <w:shd w:val="clear" w:color="auto" w:fill="auto"/>
            <w:noWrap/>
            <w:vAlign w:val="bottom"/>
          </w:tcPr>
          <w:p w14:paraId="2B42D4C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2.6000</w:t>
            </w:r>
          </w:p>
        </w:tc>
        <w:tc>
          <w:tcPr>
            <w:tcW w:w="587" w:type="pct"/>
            <w:tcBorders>
              <w:top w:val="nil"/>
              <w:left w:val="nil"/>
              <w:bottom w:val="nil"/>
              <w:right w:val="nil"/>
            </w:tcBorders>
            <w:shd w:val="clear" w:color="auto" w:fill="auto"/>
            <w:noWrap/>
            <w:vAlign w:val="bottom"/>
          </w:tcPr>
          <w:p w14:paraId="3DE9631B">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0.0100</w:t>
            </w:r>
          </w:p>
        </w:tc>
        <w:tc>
          <w:tcPr>
            <w:tcW w:w="714" w:type="pct"/>
            <w:tcBorders>
              <w:top w:val="nil"/>
              <w:left w:val="nil"/>
              <w:bottom w:val="nil"/>
              <w:right w:val="nil"/>
            </w:tcBorders>
            <w:shd w:val="clear" w:color="auto" w:fill="auto"/>
            <w:noWrap/>
            <w:vAlign w:val="bottom"/>
          </w:tcPr>
          <w:p w14:paraId="3D8BDEF9">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0.0165</w:t>
            </w:r>
          </w:p>
        </w:tc>
        <w:tc>
          <w:tcPr>
            <w:tcW w:w="594" w:type="pct"/>
            <w:tcBorders>
              <w:top w:val="nil"/>
              <w:left w:val="nil"/>
              <w:bottom w:val="nil"/>
              <w:right w:val="nil"/>
            </w:tcBorders>
            <w:shd w:val="clear" w:color="auto" w:fill="auto"/>
            <w:noWrap/>
            <w:vAlign w:val="bottom"/>
          </w:tcPr>
          <w:p w14:paraId="39F5B9F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0.1209</w:t>
            </w:r>
          </w:p>
        </w:tc>
      </w:tr>
      <w:tr w14:paraId="493A241D">
        <w:tblPrEx>
          <w:tblCellMar>
            <w:top w:w="0" w:type="dxa"/>
            <w:left w:w="108" w:type="dxa"/>
            <w:bottom w:w="0" w:type="dxa"/>
            <w:right w:w="108" w:type="dxa"/>
          </w:tblCellMar>
        </w:tblPrEx>
        <w:trPr>
          <w:trHeight w:val="288" w:hRule="atLeast"/>
        </w:trPr>
        <w:tc>
          <w:tcPr>
            <w:tcW w:w="1354" w:type="pct"/>
            <w:tcBorders>
              <w:top w:val="nil"/>
              <w:left w:val="nil"/>
              <w:bottom w:val="nil"/>
              <w:right w:val="nil"/>
            </w:tcBorders>
            <w:shd w:val="clear" w:color="auto" w:fill="auto"/>
            <w:noWrap/>
            <w:vAlign w:val="bottom"/>
          </w:tcPr>
          <w:p w14:paraId="5959F120">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VR</w:t>
            </w:r>
          </w:p>
        </w:tc>
        <w:tc>
          <w:tcPr>
            <w:tcW w:w="579" w:type="pct"/>
            <w:tcBorders>
              <w:top w:val="nil"/>
              <w:left w:val="nil"/>
              <w:bottom w:val="nil"/>
              <w:right w:val="nil"/>
            </w:tcBorders>
            <w:shd w:val="clear" w:color="auto" w:fill="auto"/>
            <w:noWrap/>
            <w:vAlign w:val="bottom"/>
          </w:tcPr>
          <w:p w14:paraId="6A8450A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0.0000</w:t>
            </w:r>
          </w:p>
        </w:tc>
        <w:tc>
          <w:tcPr>
            <w:tcW w:w="587" w:type="pct"/>
            <w:tcBorders>
              <w:top w:val="nil"/>
              <w:left w:val="nil"/>
              <w:bottom w:val="nil"/>
              <w:right w:val="nil"/>
            </w:tcBorders>
            <w:shd w:val="clear" w:color="auto" w:fill="auto"/>
            <w:noWrap/>
            <w:vAlign w:val="bottom"/>
          </w:tcPr>
          <w:p w14:paraId="71173CC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0.0000</w:t>
            </w:r>
          </w:p>
        </w:tc>
        <w:tc>
          <w:tcPr>
            <w:tcW w:w="587" w:type="pct"/>
            <w:tcBorders>
              <w:top w:val="nil"/>
              <w:left w:val="nil"/>
              <w:bottom w:val="nil"/>
              <w:right w:val="nil"/>
            </w:tcBorders>
            <w:shd w:val="clear" w:color="auto" w:fill="auto"/>
            <w:noWrap/>
            <w:vAlign w:val="bottom"/>
          </w:tcPr>
          <w:p w14:paraId="2383B93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-0.2600</w:t>
            </w:r>
          </w:p>
        </w:tc>
        <w:tc>
          <w:tcPr>
            <w:tcW w:w="587" w:type="pct"/>
            <w:tcBorders>
              <w:top w:val="nil"/>
              <w:left w:val="nil"/>
              <w:bottom w:val="nil"/>
              <w:right w:val="nil"/>
            </w:tcBorders>
            <w:shd w:val="clear" w:color="auto" w:fill="auto"/>
            <w:noWrap/>
            <w:vAlign w:val="bottom"/>
          </w:tcPr>
          <w:p w14:paraId="0F6671A4">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0.7950</w:t>
            </w:r>
          </w:p>
        </w:tc>
        <w:tc>
          <w:tcPr>
            <w:tcW w:w="714" w:type="pct"/>
            <w:tcBorders>
              <w:top w:val="nil"/>
              <w:left w:val="nil"/>
              <w:bottom w:val="nil"/>
              <w:right w:val="nil"/>
            </w:tcBorders>
            <w:shd w:val="clear" w:color="auto" w:fill="auto"/>
            <w:noWrap/>
            <w:vAlign w:val="bottom"/>
          </w:tcPr>
          <w:p w14:paraId="68226C8E">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0.0000</w:t>
            </w:r>
          </w:p>
        </w:tc>
        <w:tc>
          <w:tcPr>
            <w:tcW w:w="594" w:type="pct"/>
            <w:tcBorders>
              <w:top w:val="nil"/>
              <w:left w:val="nil"/>
              <w:bottom w:val="nil"/>
              <w:right w:val="nil"/>
            </w:tcBorders>
            <w:shd w:val="clear" w:color="auto" w:fill="auto"/>
            <w:noWrap/>
            <w:vAlign w:val="bottom"/>
          </w:tcPr>
          <w:p w14:paraId="0BAB6479">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0.0000</w:t>
            </w:r>
          </w:p>
        </w:tc>
      </w:tr>
      <w:tr w14:paraId="2567BFAA">
        <w:tblPrEx>
          <w:tblCellMar>
            <w:top w:w="0" w:type="dxa"/>
            <w:left w:w="108" w:type="dxa"/>
            <w:bottom w:w="0" w:type="dxa"/>
            <w:right w:w="108" w:type="dxa"/>
          </w:tblCellMar>
        </w:tblPrEx>
        <w:trPr>
          <w:trHeight w:val="288" w:hRule="atLeast"/>
        </w:trPr>
        <w:tc>
          <w:tcPr>
            <w:tcW w:w="1354" w:type="pct"/>
            <w:tcBorders>
              <w:top w:val="nil"/>
              <w:left w:val="nil"/>
              <w:bottom w:val="nil"/>
              <w:right w:val="nil"/>
            </w:tcBorders>
            <w:shd w:val="clear" w:color="auto" w:fill="auto"/>
            <w:noWrap/>
            <w:vAlign w:val="bottom"/>
          </w:tcPr>
          <w:p w14:paraId="5688422D">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TM</w:t>
            </w:r>
          </w:p>
        </w:tc>
        <w:tc>
          <w:tcPr>
            <w:tcW w:w="579" w:type="pct"/>
            <w:tcBorders>
              <w:top w:val="nil"/>
              <w:left w:val="nil"/>
              <w:bottom w:val="nil"/>
              <w:right w:val="nil"/>
            </w:tcBorders>
            <w:shd w:val="clear" w:color="auto" w:fill="auto"/>
            <w:noWrap/>
            <w:vAlign w:val="bottom"/>
          </w:tcPr>
          <w:p w14:paraId="445FA9CA">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0.0115</w:t>
            </w:r>
          </w:p>
        </w:tc>
        <w:tc>
          <w:tcPr>
            <w:tcW w:w="587" w:type="pct"/>
            <w:tcBorders>
              <w:top w:val="nil"/>
              <w:left w:val="nil"/>
              <w:bottom w:val="nil"/>
              <w:right w:val="nil"/>
            </w:tcBorders>
            <w:shd w:val="clear" w:color="auto" w:fill="auto"/>
            <w:noWrap/>
            <w:vAlign w:val="bottom"/>
          </w:tcPr>
          <w:p w14:paraId="25018460">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0.0033</w:t>
            </w:r>
          </w:p>
        </w:tc>
        <w:tc>
          <w:tcPr>
            <w:tcW w:w="587" w:type="pct"/>
            <w:tcBorders>
              <w:top w:val="nil"/>
              <w:left w:val="nil"/>
              <w:bottom w:val="nil"/>
              <w:right w:val="nil"/>
            </w:tcBorders>
            <w:shd w:val="clear" w:color="auto" w:fill="auto"/>
            <w:noWrap/>
            <w:vAlign w:val="bottom"/>
          </w:tcPr>
          <w:p w14:paraId="4640101F">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3.5300</w:t>
            </w:r>
          </w:p>
        </w:tc>
        <w:tc>
          <w:tcPr>
            <w:tcW w:w="587" w:type="pct"/>
            <w:tcBorders>
              <w:top w:val="nil"/>
              <w:left w:val="nil"/>
              <w:bottom w:val="nil"/>
              <w:right w:val="nil"/>
            </w:tcBorders>
            <w:shd w:val="clear" w:color="auto" w:fill="auto"/>
            <w:noWrap/>
            <w:vAlign w:val="bottom"/>
          </w:tcPr>
          <w:p w14:paraId="22B74669">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0.0010</w:t>
            </w:r>
          </w:p>
        </w:tc>
        <w:tc>
          <w:tcPr>
            <w:tcW w:w="714" w:type="pct"/>
            <w:tcBorders>
              <w:top w:val="nil"/>
              <w:left w:val="nil"/>
              <w:bottom w:val="nil"/>
              <w:right w:val="nil"/>
            </w:tcBorders>
            <w:shd w:val="clear" w:color="auto" w:fill="auto"/>
            <w:noWrap/>
            <w:vAlign w:val="bottom"/>
          </w:tcPr>
          <w:p w14:paraId="6C14F91E">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0.0051</w:t>
            </w:r>
          </w:p>
        </w:tc>
        <w:tc>
          <w:tcPr>
            <w:tcW w:w="594" w:type="pct"/>
            <w:tcBorders>
              <w:top w:val="nil"/>
              <w:left w:val="nil"/>
              <w:bottom w:val="nil"/>
              <w:right w:val="nil"/>
            </w:tcBorders>
            <w:shd w:val="clear" w:color="auto" w:fill="auto"/>
            <w:noWrap/>
            <w:vAlign w:val="bottom"/>
          </w:tcPr>
          <w:p w14:paraId="7BA5DEF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0.0180</w:t>
            </w:r>
          </w:p>
        </w:tc>
      </w:tr>
      <w:tr w14:paraId="5F0C62BB">
        <w:tblPrEx>
          <w:tblCellMar>
            <w:top w:w="0" w:type="dxa"/>
            <w:left w:w="108" w:type="dxa"/>
            <w:bottom w:w="0" w:type="dxa"/>
            <w:right w:w="108" w:type="dxa"/>
          </w:tblCellMar>
        </w:tblPrEx>
        <w:trPr>
          <w:trHeight w:val="288" w:hRule="atLeast"/>
        </w:trPr>
        <w:tc>
          <w:tcPr>
            <w:tcW w:w="1354" w:type="pct"/>
            <w:tcBorders>
              <w:top w:val="nil"/>
              <w:left w:val="nil"/>
              <w:bottom w:val="nil"/>
              <w:right w:val="nil"/>
            </w:tcBorders>
            <w:shd w:val="clear" w:color="auto" w:fill="auto"/>
            <w:noWrap/>
            <w:vAlign w:val="bottom"/>
          </w:tcPr>
          <w:p w14:paraId="1830A212">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_cons</w:t>
            </w:r>
          </w:p>
        </w:tc>
        <w:tc>
          <w:tcPr>
            <w:tcW w:w="579" w:type="pct"/>
            <w:tcBorders>
              <w:top w:val="nil"/>
              <w:left w:val="nil"/>
              <w:bottom w:val="nil"/>
              <w:right w:val="nil"/>
            </w:tcBorders>
            <w:shd w:val="clear" w:color="auto" w:fill="auto"/>
            <w:noWrap/>
            <w:vAlign w:val="bottom"/>
          </w:tcPr>
          <w:p w14:paraId="1CC640B1">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0.0074</w:t>
            </w:r>
          </w:p>
        </w:tc>
        <w:tc>
          <w:tcPr>
            <w:tcW w:w="587" w:type="pct"/>
            <w:tcBorders>
              <w:top w:val="nil"/>
              <w:left w:val="nil"/>
              <w:bottom w:val="nil"/>
              <w:right w:val="nil"/>
            </w:tcBorders>
            <w:shd w:val="clear" w:color="auto" w:fill="auto"/>
            <w:noWrap/>
            <w:vAlign w:val="bottom"/>
          </w:tcPr>
          <w:p w14:paraId="7CAC89F5">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0.0028</w:t>
            </w:r>
          </w:p>
        </w:tc>
        <w:tc>
          <w:tcPr>
            <w:tcW w:w="587" w:type="pct"/>
            <w:tcBorders>
              <w:top w:val="nil"/>
              <w:left w:val="nil"/>
              <w:bottom w:val="nil"/>
              <w:right w:val="nil"/>
            </w:tcBorders>
            <w:shd w:val="clear" w:color="auto" w:fill="auto"/>
            <w:noWrap/>
            <w:vAlign w:val="bottom"/>
          </w:tcPr>
          <w:p w14:paraId="02357D09">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2.6800</w:t>
            </w:r>
          </w:p>
        </w:tc>
        <w:tc>
          <w:tcPr>
            <w:tcW w:w="587" w:type="pct"/>
            <w:tcBorders>
              <w:top w:val="nil"/>
              <w:left w:val="nil"/>
              <w:bottom w:val="nil"/>
              <w:right w:val="nil"/>
            </w:tcBorders>
            <w:shd w:val="clear" w:color="auto" w:fill="auto"/>
            <w:noWrap/>
            <w:vAlign w:val="bottom"/>
          </w:tcPr>
          <w:p w14:paraId="590A6DA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0.0080</w:t>
            </w:r>
          </w:p>
        </w:tc>
        <w:tc>
          <w:tcPr>
            <w:tcW w:w="714" w:type="pct"/>
            <w:tcBorders>
              <w:top w:val="nil"/>
              <w:left w:val="nil"/>
              <w:bottom w:val="nil"/>
              <w:right w:val="nil"/>
            </w:tcBorders>
            <w:shd w:val="clear" w:color="auto" w:fill="auto"/>
            <w:noWrap/>
            <w:vAlign w:val="bottom"/>
          </w:tcPr>
          <w:p w14:paraId="001D8008">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0.0019</w:t>
            </w:r>
          </w:p>
        </w:tc>
        <w:tc>
          <w:tcPr>
            <w:tcW w:w="594" w:type="pct"/>
            <w:tcBorders>
              <w:top w:val="nil"/>
              <w:left w:val="nil"/>
              <w:bottom w:val="nil"/>
              <w:right w:val="nil"/>
            </w:tcBorders>
            <w:shd w:val="clear" w:color="auto" w:fill="auto"/>
            <w:noWrap/>
            <w:vAlign w:val="bottom"/>
          </w:tcPr>
          <w:p w14:paraId="06C56DA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0.0129</w:t>
            </w:r>
          </w:p>
        </w:tc>
      </w:tr>
      <w:tr w14:paraId="01FD41DB">
        <w:tblPrEx>
          <w:tblCellMar>
            <w:top w:w="0" w:type="dxa"/>
            <w:left w:w="108" w:type="dxa"/>
            <w:bottom w:w="0" w:type="dxa"/>
            <w:right w:w="108" w:type="dxa"/>
          </w:tblCellMar>
        </w:tblPrEx>
        <w:trPr>
          <w:trHeight w:val="288" w:hRule="atLeast"/>
        </w:trPr>
        <w:tc>
          <w:tcPr>
            <w:tcW w:w="1354" w:type="pct"/>
            <w:tcBorders>
              <w:top w:val="nil"/>
              <w:left w:val="nil"/>
              <w:bottom w:val="nil"/>
              <w:right w:val="nil"/>
            </w:tcBorders>
            <w:shd w:val="clear" w:color="auto" w:fill="auto"/>
            <w:noWrap/>
            <w:vAlign w:val="bottom"/>
          </w:tcPr>
          <w:p w14:paraId="79347796">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Number of OBS</w:t>
            </w:r>
          </w:p>
        </w:tc>
        <w:tc>
          <w:tcPr>
            <w:tcW w:w="579" w:type="pct"/>
            <w:tcBorders>
              <w:top w:val="nil"/>
              <w:left w:val="nil"/>
              <w:bottom w:val="nil"/>
              <w:right w:val="nil"/>
            </w:tcBorders>
            <w:shd w:val="clear" w:color="auto" w:fill="auto"/>
            <w:noWrap/>
            <w:vAlign w:val="bottom"/>
          </w:tcPr>
          <w:p w14:paraId="6CDCBA56">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140</w:t>
            </w:r>
          </w:p>
        </w:tc>
        <w:tc>
          <w:tcPr>
            <w:tcW w:w="587" w:type="pct"/>
            <w:tcBorders>
              <w:top w:val="nil"/>
              <w:left w:val="nil"/>
              <w:bottom w:val="nil"/>
              <w:right w:val="nil"/>
            </w:tcBorders>
            <w:shd w:val="clear" w:color="auto" w:fill="auto"/>
            <w:noWrap/>
            <w:vAlign w:val="bottom"/>
          </w:tcPr>
          <w:p w14:paraId="6AE57764">
            <w:pPr>
              <w:spacing w:after="0" w:line="240" w:lineRule="auto"/>
              <w:jc w:val="right"/>
              <w:rPr>
                <w:rFonts w:ascii="Times New Roman" w:hAnsi="Times New Roman" w:eastAsia="Times New Roman" w:cs="Times New Roman"/>
                <w:color w:val="000000"/>
                <w:kern w:val="0"/>
                <w14:ligatures w14:val="none"/>
              </w:rPr>
            </w:pPr>
          </w:p>
        </w:tc>
        <w:tc>
          <w:tcPr>
            <w:tcW w:w="587" w:type="pct"/>
            <w:tcBorders>
              <w:top w:val="nil"/>
              <w:left w:val="nil"/>
              <w:bottom w:val="nil"/>
              <w:right w:val="nil"/>
            </w:tcBorders>
            <w:shd w:val="clear" w:color="auto" w:fill="auto"/>
            <w:noWrap/>
            <w:vAlign w:val="bottom"/>
          </w:tcPr>
          <w:p w14:paraId="002224CD">
            <w:pPr>
              <w:spacing w:after="0" w:line="240" w:lineRule="auto"/>
              <w:rPr>
                <w:rFonts w:ascii="Times New Roman" w:hAnsi="Times New Roman" w:eastAsia="Times New Roman" w:cs="Times New Roman"/>
                <w:kern w:val="0"/>
                <w14:ligatures w14:val="none"/>
              </w:rPr>
            </w:pPr>
          </w:p>
        </w:tc>
        <w:tc>
          <w:tcPr>
            <w:tcW w:w="587" w:type="pct"/>
            <w:tcBorders>
              <w:top w:val="nil"/>
              <w:left w:val="nil"/>
              <w:bottom w:val="nil"/>
              <w:right w:val="nil"/>
            </w:tcBorders>
            <w:shd w:val="clear" w:color="auto" w:fill="auto"/>
            <w:noWrap/>
            <w:vAlign w:val="bottom"/>
          </w:tcPr>
          <w:p w14:paraId="38EA8E7C">
            <w:pPr>
              <w:spacing w:after="0" w:line="240" w:lineRule="auto"/>
              <w:rPr>
                <w:rFonts w:ascii="Times New Roman" w:hAnsi="Times New Roman" w:eastAsia="Times New Roman" w:cs="Times New Roman"/>
                <w:kern w:val="0"/>
                <w14:ligatures w14:val="none"/>
              </w:rPr>
            </w:pPr>
          </w:p>
        </w:tc>
        <w:tc>
          <w:tcPr>
            <w:tcW w:w="714" w:type="pct"/>
            <w:tcBorders>
              <w:top w:val="nil"/>
              <w:left w:val="nil"/>
              <w:bottom w:val="nil"/>
              <w:right w:val="nil"/>
            </w:tcBorders>
            <w:shd w:val="clear" w:color="auto" w:fill="auto"/>
            <w:noWrap/>
            <w:vAlign w:val="bottom"/>
          </w:tcPr>
          <w:p w14:paraId="196905DD">
            <w:pPr>
              <w:spacing w:after="0" w:line="240" w:lineRule="auto"/>
              <w:rPr>
                <w:rFonts w:ascii="Times New Roman" w:hAnsi="Times New Roman" w:eastAsia="Times New Roman" w:cs="Times New Roman"/>
                <w:kern w:val="0"/>
                <w14:ligatures w14:val="none"/>
              </w:rPr>
            </w:pPr>
          </w:p>
        </w:tc>
        <w:tc>
          <w:tcPr>
            <w:tcW w:w="594" w:type="pct"/>
            <w:tcBorders>
              <w:top w:val="nil"/>
              <w:left w:val="nil"/>
              <w:bottom w:val="nil"/>
              <w:right w:val="nil"/>
            </w:tcBorders>
            <w:shd w:val="clear" w:color="auto" w:fill="auto"/>
            <w:noWrap/>
            <w:vAlign w:val="bottom"/>
          </w:tcPr>
          <w:p w14:paraId="6D12B6D7">
            <w:pPr>
              <w:spacing w:after="0" w:line="240" w:lineRule="auto"/>
              <w:rPr>
                <w:rFonts w:ascii="Times New Roman" w:hAnsi="Times New Roman" w:eastAsia="Times New Roman" w:cs="Times New Roman"/>
                <w:kern w:val="0"/>
                <w14:ligatures w14:val="none"/>
              </w:rPr>
            </w:pPr>
          </w:p>
        </w:tc>
      </w:tr>
      <w:tr w14:paraId="2607C818">
        <w:tblPrEx>
          <w:tblCellMar>
            <w:top w:w="0" w:type="dxa"/>
            <w:left w:w="108" w:type="dxa"/>
            <w:bottom w:w="0" w:type="dxa"/>
            <w:right w:w="108" w:type="dxa"/>
          </w:tblCellMar>
        </w:tblPrEx>
        <w:trPr>
          <w:trHeight w:val="288" w:hRule="atLeast"/>
        </w:trPr>
        <w:tc>
          <w:tcPr>
            <w:tcW w:w="1354" w:type="pct"/>
            <w:tcBorders>
              <w:top w:val="nil"/>
              <w:left w:val="nil"/>
              <w:bottom w:val="nil"/>
              <w:right w:val="nil"/>
            </w:tcBorders>
            <w:shd w:val="clear" w:color="auto" w:fill="auto"/>
            <w:noWrap/>
            <w:vAlign w:val="bottom"/>
          </w:tcPr>
          <w:p w14:paraId="6BD429D3">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F(3, 136)</w:t>
            </w:r>
          </w:p>
        </w:tc>
        <w:tc>
          <w:tcPr>
            <w:tcW w:w="579" w:type="pct"/>
            <w:tcBorders>
              <w:top w:val="nil"/>
              <w:left w:val="nil"/>
              <w:bottom w:val="nil"/>
              <w:right w:val="nil"/>
            </w:tcBorders>
            <w:shd w:val="clear" w:color="auto" w:fill="auto"/>
            <w:noWrap/>
            <w:vAlign w:val="bottom"/>
          </w:tcPr>
          <w:p w14:paraId="4555777E">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7.22</w:t>
            </w:r>
          </w:p>
        </w:tc>
        <w:tc>
          <w:tcPr>
            <w:tcW w:w="587" w:type="pct"/>
            <w:tcBorders>
              <w:top w:val="nil"/>
              <w:left w:val="nil"/>
              <w:bottom w:val="nil"/>
              <w:right w:val="nil"/>
            </w:tcBorders>
            <w:shd w:val="clear" w:color="auto" w:fill="auto"/>
            <w:noWrap/>
            <w:vAlign w:val="bottom"/>
          </w:tcPr>
          <w:p w14:paraId="7AD606A5">
            <w:pPr>
              <w:spacing w:after="0" w:line="240" w:lineRule="auto"/>
              <w:jc w:val="right"/>
              <w:rPr>
                <w:rFonts w:ascii="Times New Roman" w:hAnsi="Times New Roman" w:eastAsia="Times New Roman" w:cs="Times New Roman"/>
                <w:color w:val="000000"/>
                <w:kern w:val="0"/>
                <w14:ligatures w14:val="none"/>
              </w:rPr>
            </w:pPr>
          </w:p>
        </w:tc>
        <w:tc>
          <w:tcPr>
            <w:tcW w:w="587" w:type="pct"/>
            <w:tcBorders>
              <w:top w:val="nil"/>
              <w:left w:val="nil"/>
              <w:bottom w:val="nil"/>
              <w:right w:val="nil"/>
            </w:tcBorders>
            <w:shd w:val="clear" w:color="auto" w:fill="auto"/>
            <w:noWrap/>
            <w:vAlign w:val="bottom"/>
          </w:tcPr>
          <w:p w14:paraId="7FC9DB07">
            <w:pPr>
              <w:spacing w:after="0" w:line="240" w:lineRule="auto"/>
              <w:rPr>
                <w:rFonts w:ascii="Times New Roman" w:hAnsi="Times New Roman" w:eastAsia="Times New Roman" w:cs="Times New Roman"/>
                <w:kern w:val="0"/>
                <w14:ligatures w14:val="none"/>
              </w:rPr>
            </w:pPr>
          </w:p>
        </w:tc>
        <w:tc>
          <w:tcPr>
            <w:tcW w:w="587" w:type="pct"/>
            <w:tcBorders>
              <w:top w:val="nil"/>
              <w:left w:val="nil"/>
              <w:bottom w:val="nil"/>
              <w:right w:val="nil"/>
            </w:tcBorders>
            <w:shd w:val="clear" w:color="auto" w:fill="auto"/>
            <w:noWrap/>
            <w:vAlign w:val="bottom"/>
          </w:tcPr>
          <w:p w14:paraId="7DE49BBE">
            <w:pPr>
              <w:spacing w:after="0" w:line="240" w:lineRule="auto"/>
              <w:rPr>
                <w:rFonts w:ascii="Times New Roman" w:hAnsi="Times New Roman" w:eastAsia="Times New Roman" w:cs="Times New Roman"/>
                <w:kern w:val="0"/>
                <w14:ligatures w14:val="none"/>
              </w:rPr>
            </w:pPr>
          </w:p>
        </w:tc>
        <w:tc>
          <w:tcPr>
            <w:tcW w:w="714" w:type="pct"/>
            <w:tcBorders>
              <w:top w:val="nil"/>
              <w:left w:val="nil"/>
              <w:bottom w:val="nil"/>
              <w:right w:val="nil"/>
            </w:tcBorders>
            <w:shd w:val="clear" w:color="auto" w:fill="auto"/>
            <w:noWrap/>
            <w:vAlign w:val="bottom"/>
          </w:tcPr>
          <w:p w14:paraId="4637C022">
            <w:pPr>
              <w:spacing w:after="0" w:line="240" w:lineRule="auto"/>
              <w:rPr>
                <w:rFonts w:ascii="Times New Roman" w:hAnsi="Times New Roman" w:eastAsia="Times New Roman" w:cs="Times New Roman"/>
                <w:kern w:val="0"/>
                <w14:ligatures w14:val="none"/>
              </w:rPr>
            </w:pPr>
          </w:p>
        </w:tc>
        <w:tc>
          <w:tcPr>
            <w:tcW w:w="594" w:type="pct"/>
            <w:tcBorders>
              <w:top w:val="nil"/>
              <w:left w:val="nil"/>
              <w:bottom w:val="nil"/>
              <w:right w:val="nil"/>
            </w:tcBorders>
            <w:shd w:val="clear" w:color="auto" w:fill="auto"/>
            <w:noWrap/>
            <w:vAlign w:val="bottom"/>
          </w:tcPr>
          <w:p w14:paraId="63D2B8C8">
            <w:pPr>
              <w:spacing w:after="0" w:line="240" w:lineRule="auto"/>
              <w:rPr>
                <w:rFonts w:ascii="Times New Roman" w:hAnsi="Times New Roman" w:eastAsia="Times New Roman" w:cs="Times New Roman"/>
                <w:kern w:val="0"/>
                <w14:ligatures w14:val="none"/>
              </w:rPr>
            </w:pPr>
          </w:p>
        </w:tc>
      </w:tr>
      <w:tr w14:paraId="7D7C2253">
        <w:tblPrEx>
          <w:tblCellMar>
            <w:top w:w="0" w:type="dxa"/>
            <w:left w:w="108" w:type="dxa"/>
            <w:bottom w:w="0" w:type="dxa"/>
            <w:right w:w="108" w:type="dxa"/>
          </w:tblCellMar>
        </w:tblPrEx>
        <w:trPr>
          <w:trHeight w:val="288" w:hRule="atLeast"/>
        </w:trPr>
        <w:tc>
          <w:tcPr>
            <w:tcW w:w="1354" w:type="pct"/>
            <w:tcBorders>
              <w:top w:val="nil"/>
              <w:left w:val="nil"/>
              <w:bottom w:val="single" w:color="auto" w:sz="4" w:space="0"/>
              <w:right w:val="nil"/>
            </w:tcBorders>
            <w:shd w:val="clear" w:color="auto" w:fill="auto"/>
            <w:noWrap/>
            <w:vAlign w:val="bottom"/>
          </w:tcPr>
          <w:p w14:paraId="139408BA">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Prob &gt; F</w:t>
            </w:r>
          </w:p>
        </w:tc>
        <w:tc>
          <w:tcPr>
            <w:tcW w:w="579" w:type="pct"/>
            <w:tcBorders>
              <w:top w:val="nil"/>
              <w:left w:val="nil"/>
              <w:bottom w:val="single" w:color="auto" w:sz="4" w:space="0"/>
              <w:right w:val="nil"/>
            </w:tcBorders>
            <w:shd w:val="clear" w:color="auto" w:fill="auto"/>
            <w:noWrap/>
            <w:vAlign w:val="bottom"/>
          </w:tcPr>
          <w:p w14:paraId="311F9067">
            <w:pPr>
              <w:spacing w:after="0" w:line="240" w:lineRule="auto"/>
              <w:jc w:val="right"/>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0.0002</w:t>
            </w:r>
          </w:p>
        </w:tc>
        <w:tc>
          <w:tcPr>
            <w:tcW w:w="587" w:type="pct"/>
            <w:tcBorders>
              <w:top w:val="nil"/>
              <w:left w:val="nil"/>
              <w:bottom w:val="single" w:color="auto" w:sz="4" w:space="0"/>
              <w:right w:val="nil"/>
            </w:tcBorders>
            <w:shd w:val="clear" w:color="auto" w:fill="auto"/>
            <w:noWrap/>
            <w:vAlign w:val="bottom"/>
          </w:tcPr>
          <w:p w14:paraId="22F3882D">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c>
          <w:tcPr>
            <w:tcW w:w="587" w:type="pct"/>
            <w:tcBorders>
              <w:top w:val="nil"/>
              <w:left w:val="nil"/>
              <w:bottom w:val="single" w:color="auto" w:sz="4" w:space="0"/>
              <w:right w:val="nil"/>
            </w:tcBorders>
            <w:shd w:val="clear" w:color="auto" w:fill="auto"/>
            <w:noWrap/>
            <w:vAlign w:val="bottom"/>
          </w:tcPr>
          <w:p w14:paraId="73BBE822">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c>
          <w:tcPr>
            <w:tcW w:w="587" w:type="pct"/>
            <w:tcBorders>
              <w:top w:val="nil"/>
              <w:left w:val="nil"/>
              <w:bottom w:val="single" w:color="auto" w:sz="4" w:space="0"/>
              <w:right w:val="nil"/>
            </w:tcBorders>
            <w:shd w:val="clear" w:color="auto" w:fill="auto"/>
            <w:noWrap/>
            <w:vAlign w:val="bottom"/>
          </w:tcPr>
          <w:p w14:paraId="0AC54CA0">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c>
          <w:tcPr>
            <w:tcW w:w="714" w:type="pct"/>
            <w:tcBorders>
              <w:top w:val="nil"/>
              <w:left w:val="nil"/>
              <w:bottom w:val="single" w:color="auto" w:sz="4" w:space="0"/>
              <w:right w:val="nil"/>
            </w:tcBorders>
            <w:shd w:val="clear" w:color="auto" w:fill="auto"/>
            <w:noWrap/>
            <w:vAlign w:val="bottom"/>
          </w:tcPr>
          <w:p w14:paraId="4E195BBC">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c>
          <w:tcPr>
            <w:tcW w:w="594" w:type="pct"/>
            <w:tcBorders>
              <w:top w:val="nil"/>
              <w:left w:val="nil"/>
              <w:bottom w:val="single" w:color="auto" w:sz="4" w:space="0"/>
              <w:right w:val="nil"/>
            </w:tcBorders>
            <w:shd w:val="clear" w:color="auto" w:fill="auto"/>
            <w:noWrap/>
            <w:vAlign w:val="bottom"/>
          </w:tcPr>
          <w:p w14:paraId="3DE10B52">
            <w:pPr>
              <w:spacing w:after="0"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w:t>
            </w:r>
          </w:p>
        </w:tc>
      </w:tr>
    </w:tbl>
    <w:p w14:paraId="55E101C0">
      <w:pPr>
        <w:spacing w:after="0" w:line="360" w:lineRule="auto"/>
        <w:jc w:val="both"/>
        <w:rPr>
          <w:rFonts w:asciiTheme="majorBidi" w:hAnsiTheme="majorBidi" w:cstheme="majorBidi"/>
          <w:b/>
          <w:bCs/>
        </w:rPr>
      </w:pPr>
      <w:bookmarkStart w:id="4" w:name="_Hlk194407361"/>
      <w:r>
        <w:rPr>
          <w:rFonts w:asciiTheme="majorBidi" w:hAnsiTheme="majorBidi" w:cstheme="majorBidi"/>
          <w:b/>
          <w:bCs/>
        </w:rPr>
        <w:t>Authors’ Computation (2025)</w:t>
      </w:r>
    </w:p>
    <w:p w14:paraId="3B11C24D">
      <w:pPr>
        <w:autoSpaceDE w:val="0"/>
        <w:autoSpaceDN w:val="0"/>
        <w:adjustRightInd w:val="0"/>
        <w:spacing w:after="0" w:line="360" w:lineRule="auto"/>
        <w:jc w:val="both"/>
        <w:rPr>
          <w:rFonts w:eastAsia="Calibri" w:asciiTheme="majorBidi" w:hAnsiTheme="majorBidi" w:cstheme="majorBidi"/>
          <w:b/>
        </w:rPr>
      </w:pPr>
    </w:p>
    <w:p w14:paraId="672933C1">
      <w:pPr>
        <w:autoSpaceDE w:val="0"/>
        <w:autoSpaceDN w:val="0"/>
        <w:adjustRightInd w:val="0"/>
        <w:spacing w:after="0" w:line="360" w:lineRule="auto"/>
        <w:jc w:val="both"/>
        <w:rPr>
          <w:rFonts w:eastAsia="Calibri" w:asciiTheme="majorBidi" w:hAnsiTheme="majorBidi" w:cstheme="majorBidi"/>
          <w:b/>
        </w:rPr>
      </w:pPr>
      <w:r>
        <w:rPr>
          <w:rFonts w:eastAsia="Calibri" w:asciiTheme="majorBidi" w:hAnsiTheme="majorBidi" w:cstheme="majorBidi"/>
          <w:b/>
        </w:rPr>
        <w:t>4.4       Discussion of Findings</w:t>
      </w:r>
    </w:p>
    <w:bookmarkEnd w:id="4"/>
    <w:p w14:paraId="39DF539B">
      <w:pPr>
        <w:spacing w:after="100" w:afterAutospacing="1" w:line="360" w:lineRule="auto"/>
        <w:ind w:firstLine="720"/>
        <w:jc w:val="both"/>
        <w:outlineLvl w:val="1"/>
        <w:rPr>
          <w:rFonts w:asciiTheme="majorBidi" w:hAnsiTheme="majorBidi" w:cstheme="majorBidi"/>
        </w:rPr>
      </w:pPr>
      <w:r>
        <w:rPr>
          <w:rFonts w:asciiTheme="majorBidi" w:hAnsiTheme="majorBidi" w:cstheme="majorBidi"/>
        </w:rPr>
        <w:t xml:space="preserve">The cost of capital is a critical factor influencing financial stability, investment decisions, and general economic growth, particularly in banking institutions. Thus, </w:t>
      </w:r>
      <w:r>
        <w:rPr>
          <w:rFonts w:eastAsia="Times New Roman" w:asciiTheme="majorBidi" w:hAnsiTheme="majorBidi" w:cstheme="majorBidi"/>
          <w:kern w:val="0"/>
          <w14:ligatures w14:val="none"/>
        </w:rPr>
        <w:t xml:space="preserve">this study aimed to analyse the effect of financial reporting quality on the cost of capital of Iraqi banks. By employing empirical techniques such as </w:t>
      </w:r>
      <w:commentRangeStart w:id="20"/>
      <w:r>
        <w:rPr>
          <w:rFonts w:eastAsia="Times New Roman" w:asciiTheme="majorBidi" w:hAnsiTheme="majorBidi" w:cstheme="majorBidi"/>
          <w:kern w:val="0"/>
          <w14:ligatures w14:val="none"/>
        </w:rPr>
        <w:t>accrual-based measures</w:t>
      </w:r>
      <w:commentRangeEnd w:id="20"/>
      <w:r>
        <w:commentReference w:id="20"/>
      </w:r>
      <w:r>
        <w:rPr>
          <w:rFonts w:eastAsia="Times New Roman" w:asciiTheme="majorBidi" w:hAnsiTheme="majorBidi" w:cstheme="majorBidi"/>
          <w:kern w:val="0"/>
          <w14:ligatures w14:val="none"/>
        </w:rPr>
        <w:t xml:space="preserve"> and cost of equity estimation models, the study </w:t>
      </w:r>
      <w:commentRangeStart w:id="21"/>
      <w:r>
        <w:rPr>
          <w:rFonts w:eastAsia="Times New Roman" w:asciiTheme="majorBidi" w:hAnsiTheme="majorBidi" w:cstheme="majorBidi"/>
          <w:kern w:val="0"/>
          <w14:ligatures w14:val="none"/>
        </w:rPr>
        <w:t>seeks</w:t>
      </w:r>
      <w:commentRangeEnd w:id="21"/>
      <w:r>
        <w:commentReference w:id="21"/>
      </w:r>
      <w:r>
        <w:rPr>
          <w:rFonts w:eastAsia="Times New Roman" w:asciiTheme="majorBidi" w:hAnsiTheme="majorBidi" w:cstheme="majorBidi"/>
          <w:kern w:val="0"/>
          <w14:ligatures w14:val="none"/>
        </w:rPr>
        <w:t xml:space="preserve"> to provide insights into whether enhanced financial transparency can reduce financing costs in Iraq’s banking sector. Specifically, this study assessed the effect of faithful representation, timeliness, and value relevance on cost of capital of listed Iraqi banks. Evidenced from the regression analysis revealed that both faithful representation and timeliness</w:t>
      </w:r>
      <w:r>
        <w:rPr>
          <w:rFonts w:asciiTheme="majorBidi" w:hAnsiTheme="majorBidi" w:cstheme="majorBidi"/>
        </w:rPr>
        <w:t xml:space="preserve">, two key components of financial reporting quality, have a </w:t>
      </w:r>
      <w:commentRangeStart w:id="22"/>
      <w:r>
        <w:rPr>
          <w:rFonts w:asciiTheme="majorBidi" w:hAnsiTheme="majorBidi" w:cstheme="majorBidi"/>
        </w:rPr>
        <w:t>positive and statistically significant</w:t>
      </w:r>
      <w:commentRangeEnd w:id="22"/>
      <w:r>
        <w:commentReference w:id="22"/>
      </w:r>
      <w:r>
        <w:rPr>
          <w:rFonts w:asciiTheme="majorBidi" w:hAnsiTheme="majorBidi" w:cstheme="majorBidi"/>
        </w:rPr>
        <w:t xml:space="preserve"> effect on the cost of capital of listed Iraqi banks. This implies that when financial statements are more accurate, complete, and reported promptly, the banks tend to face higher costs when raising capital. This suggests that increased transparency may reveal underlying risks or financial realities that prompt investors to demand higher returns, thus increasing the cost of capital. On the other hand, v</w:t>
      </w:r>
      <w:commentRangeStart w:id="23"/>
      <w:r>
        <w:rPr>
          <w:rFonts w:asciiTheme="majorBidi" w:hAnsiTheme="majorBidi" w:cstheme="majorBidi"/>
        </w:rPr>
        <w:t>alue relevance showed a negative and statistically insignificant</w:t>
      </w:r>
      <w:commentRangeEnd w:id="23"/>
      <w:r>
        <w:commentReference w:id="23"/>
      </w:r>
      <w:r>
        <w:rPr>
          <w:rFonts w:asciiTheme="majorBidi" w:hAnsiTheme="majorBidi" w:cstheme="majorBidi"/>
        </w:rPr>
        <w:t xml:space="preserve"> effect on the cost of capital. This means that although more decision-useful information might be associated with a lower cost of capital, the relationship is weak or not supported by sufficient evidence in this context. The findings suggest that, while certain aspects of financial reporting quality seem to increase the cost of capital, others like value relevance do not appear to have a meaningful impact, possibly due to market conditions or investor perceptions in the Iraqi banking sector. </w:t>
      </w:r>
    </w:p>
    <w:p w14:paraId="5529040D">
      <w:pPr>
        <w:spacing w:before="100" w:beforeAutospacing="1" w:after="100" w:afterAutospacing="1" w:line="360" w:lineRule="auto"/>
        <w:ind w:firstLine="720"/>
        <w:jc w:val="both"/>
        <w:outlineLvl w:val="1"/>
        <w:rPr>
          <w:rFonts w:ascii="Times New Roman" w:hAnsi="Times New Roman" w:eastAsia="Times New Roman" w:cs="Times New Roman"/>
          <w:kern w:val="0"/>
          <w14:ligatures w14:val="none"/>
        </w:rPr>
      </w:pPr>
      <w:commentRangeStart w:id="24"/>
      <w:r>
        <w:rPr>
          <w:rFonts w:asciiTheme="majorBidi" w:hAnsiTheme="majorBidi" w:cstheme="majorBidi"/>
        </w:rPr>
        <w:t xml:space="preserve">The findings of this study corroborate with findings of </w:t>
      </w:r>
      <w:r>
        <w:rPr>
          <w:rFonts w:ascii="Times New Roman" w:hAnsi="Times New Roman" w:eastAsia="Times New Roman" w:cs="Times New Roman"/>
          <w:kern w:val="0"/>
          <w14:ligatures w14:val="none"/>
        </w:rPr>
        <w:t>Habib et al. (2019) which looked at the effect of adopting IFRS on financial reporting quality and cost of equity in Australian firms. It was found that while financial reporting quality improved after IFRS adoption, the cost of equity also increased. This suggests that greater transparency may lead investors to see more risk and therefore demand higher returns. In a study of MENA countries, Al-Janabi and Hussainey (2023) found that improvements in financial reporting quality, especially faithful representation and timeliness, made investors more aware of risks. This increased risk perception led to higher required returns, raising the cost of capital.</w:t>
      </w:r>
      <w:r>
        <w:rPr>
          <w:rFonts w:asciiTheme="majorBidi" w:hAnsiTheme="majorBidi" w:cstheme="majorBidi"/>
        </w:rPr>
        <w:t xml:space="preserve"> Similarly, </w:t>
      </w:r>
      <w:r>
        <w:rPr>
          <w:rFonts w:ascii="Times New Roman" w:hAnsi="Times New Roman" w:eastAsia="Times New Roman" w:cs="Times New Roman"/>
          <w:kern w:val="0"/>
          <w14:ligatures w14:val="none"/>
        </w:rPr>
        <w:t>Francis et al. (2004) examined several earnings attributes, including timeliness and value relevance. It was found that while some aspects of financial reporting quality reduce the cost of capital, others like timeliness may increase it because they make risks more visible to investors.</w:t>
      </w:r>
      <w:r>
        <w:rPr>
          <w:rFonts w:asciiTheme="majorBidi" w:hAnsiTheme="majorBidi" w:cstheme="majorBidi"/>
        </w:rPr>
        <w:t xml:space="preserve"> However, the findings contradict the findings of </w:t>
      </w:r>
      <w:r>
        <w:rPr>
          <w:rFonts w:ascii="Times New Roman" w:hAnsi="Times New Roman" w:eastAsia="Times New Roman" w:cs="Times New Roman"/>
          <w:kern w:val="0"/>
          <w14:ligatures w14:val="none"/>
        </w:rPr>
        <w:t>Barth and Landsman (2020) which argued that higher financial reporting quality, including faithful representation and timeliness, reduces information gaps between firms and investors. As a result, investor confidence increases, and the cost of capital goes down. In research on emerging markets, Ahmed and Alabdullah (2022) found that better financial reporting quality, especially value relevance, significantly lowers the cost of capital. When investors receive more useful information, they feel more secure and demand lower returns. Also, Echobu et al. (2017)</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carried out a study on Nigerian firms found that accurate and complete financial reporting reduces the cost of capital. When financial statements clearly reflect a firm’s position, investors face less uncertainty and are willing to accept lower returns.</w:t>
      </w:r>
      <w:commentRangeEnd w:id="24"/>
      <w:r>
        <w:commentReference w:id="24"/>
      </w:r>
    </w:p>
    <w:p w14:paraId="51740444">
      <w:pPr>
        <w:spacing w:before="100" w:beforeAutospacing="1" w:after="100" w:afterAutospacing="1" w:line="360" w:lineRule="auto"/>
        <w:ind w:firstLine="720"/>
        <w:jc w:val="both"/>
        <w:outlineLvl w:val="1"/>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According to the capital market efficiency theory, financial markets reflect all available information in asset prices (Fama, 1970; Malkiel, 2021). In an efficient market, timely and faithfully represented financial information enables investors to make more informed decisions, leading to a more accurate assessment of firm risk. In emerging market like Iraq, where market volatility and geopolitical risks may be higher, the revelation of detailed and timely financial disclosures may increase perceived risk, resulting in higher required returns from investors and hence a higher cost of capital (Al-Janabi &amp; Hussainey, 2023).</w:t>
      </w:r>
      <w:r>
        <w:rPr>
          <w:rFonts w:asciiTheme="majorBidi" w:hAnsiTheme="majorBidi" w:cstheme="majorBidi"/>
        </w:rPr>
        <w:t xml:space="preserve"> Considering </w:t>
      </w:r>
      <w:r>
        <w:rPr>
          <w:rFonts w:ascii="Times New Roman" w:hAnsi="Times New Roman" w:eastAsia="Times New Roman" w:cs="Times New Roman"/>
          <w:kern w:val="0"/>
          <w14:ligatures w14:val="none"/>
        </w:rPr>
        <w:t>the finding of value relevance which revealed a</w:t>
      </w:r>
      <w:commentRangeStart w:id="25"/>
      <w:r>
        <w:rPr>
          <w:rFonts w:ascii="Times New Roman" w:hAnsi="Times New Roman" w:eastAsia="Times New Roman" w:cs="Times New Roman"/>
          <w:kern w:val="0"/>
          <w14:ligatures w14:val="none"/>
        </w:rPr>
        <w:t xml:space="preserve"> negative but insignificant effect on the cost of capital</w:t>
      </w:r>
      <w:commentRangeEnd w:id="25"/>
      <w:r>
        <w:commentReference w:id="25"/>
      </w:r>
      <w:r>
        <w:rPr>
          <w:rFonts w:ascii="Times New Roman" w:hAnsi="Times New Roman" w:eastAsia="Times New Roman" w:cs="Times New Roman"/>
          <w:kern w:val="0"/>
          <w14:ligatures w14:val="none"/>
        </w:rPr>
        <w:t xml:space="preserve"> suggests that although decision-useful financial information typically enhances investor confidence and should theoretically reduce the cost of capital in an efficient market (Barth &amp; Landsman, 2020), this effect is not strongly observed in the Iraqi banking sector. This could be attributed to limited investor sophistication, weak enforcement of disclosure standards, or a semi-efficient market environment where information is not fully or rapidly absorbed into asset prices (Ahmed &amp; Alabdullah, 2022). Therefore, while the Iraqi capital market may respond to certain dimensions of reporting quality, its efficiency level may moderate the expected benefits of value relevance in reducing the cost of capital.</w:t>
      </w:r>
    </w:p>
    <w:p w14:paraId="0ECBE2EE">
      <w:pPr>
        <w:spacing w:after="0" w:line="360" w:lineRule="auto"/>
        <w:jc w:val="both"/>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5.         Conclusion and Recommendations</w:t>
      </w:r>
    </w:p>
    <w:p w14:paraId="1D6452B9">
      <w:pPr>
        <w:spacing w:after="100" w:afterAutospacing="1" w:line="360" w:lineRule="auto"/>
        <w:ind w:firstLine="720"/>
        <w:jc w:val="both"/>
        <w:outlineLvl w:val="1"/>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This study investigated the effect of financial reporting quality on the cost of capital of listed Iraqi banks, recognizing that the cost of capital is a crucial determinant of financial stability, investment decision-making, and overall economic growth. Using accrual-based measures and cost of equity estimation models, the study specifically analyzed the influence of three dimensions of reporting quality; faithful representation, timeliness, and value relevance on financing costs. The regression results showed that both faithful representation and timeliness </w:t>
      </w:r>
      <w:commentRangeStart w:id="26"/>
      <w:r>
        <w:rPr>
          <w:rFonts w:ascii="Times New Roman" w:hAnsi="Times New Roman" w:eastAsia="Times New Roman" w:cs="Times New Roman"/>
          <w:kern w:val="0"/>
          <w14:ligatures w14:val="none"/>
        </w:rPr>
        <w:t>had a positive and statistically significant effect on the cost of capital,</w:t>
      </w:r>
      <w:commentRangeEnd w:id="26"/>
      <w:r>
        <w:commentReference w:id="26"/>
      </w:r>
      <w:r>
        <w:rPr>
          <w:rFonts w:ascii="Times New Roman" w:hAnsi="Times New Roman" w:eastAsia="Times New Roman" w:cs="Times New Roman"/>
          <w:kern w:val="0"/>
          <w14:ligatures w14:val="none"/>
        </w:rPr>
        <w:t xml:space="preserve"> indicating that enhanced transparency could reveal underlying risks and raise investor-required returns. In contrast, value relevance exhibited a negative but statistically insignificant effect, suggesting limited influence within the current structure of Iraq’s capital market. The findings were aligned with the theoretical framework of the capital market efficiency theory, which posits that financial markets incorporate all available information into asset prices, although Iraq’s market appears to exhibit semi-efficient characteristics.</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 xml:space="preserve">This study concludes that while financial reporting quality influences the cost of capital in Iraqi banks, the effects vary across its components. Faithful representation and timeliness </w:t>
      </w:r>
      <w:commentRangeStart w:id="27"/>
      <w:r>
        <w:rPr>
          <w:rFonts w:ascii="Times New Roman" w:hAnsi="Times New Roman" w:eastAsia="Times New Roman" w:cs="Times New Roman"/>
          <w:kern w:val="0"/>
          <w14:ligatures w14:val="none"/>
        </w:rPr>
        <w:t xml:space="preserve">significantly </w:t>
      </w:r>
      <w:commentRangeEnd w:id="27"/>
      <w:r>
        <w:commentReference w:id="27"/>
      </w:r>
      <w:r>
        <w:rPr>
          <w:rFonts w:ascii="Times New Roman" w:hAnsi="Times New Roman" w:eastAsia="Times New Roman" w:cs="Times New Roman"/>
          <w:kern w:val="0"/>
          <w14:ligatures w14:val="none"/>
        </w:rPr>
        <w:t xml:space="preserve">increase the cost of capital, potentially due to enhanced risk awareness among investors in a volatile environment. Conversely, value relevance </w:t>
      </w:r>
      <w:commentRangeStart w:id="28"/>
      <w:r>
        <w:rPr>
          <w:rFonts w:ascii="Times New Roman" w:hAnsi="Times New Roman" w:eastAsia="Times New Roman" w:cs="Times New Roman"/>
          <w:kern w:val="0"/>
          <w14:ligatures w14:val="none"/>
        </w:rPr>
        <w:t>does not have a significant impact</w:t>
      </w:r>
      <w:commentRangeEnd w:id="28"/>
      <w:r>
        <w:commentReference w:id="28"/>
      </w:r>
      <w:r>
        <w:rPr>
          <w:rFonts w:ascii="Times New Roman" w:hAnsi="Times New Roman" w:eastAsia="Times New Roman" w:cs="Times New Roman"/>
          <w:kern w:val="0"/>
          <w14:ligatures w14:val="none"/>
        </w:rPr>
        <w:t xml:space="preserve">, possibly due to the market’s inefficiencies or lack of investor sophistication. These results underscore the need for a nuanced approach to improving financial disclosure, one that considers the characteristics and maturity of the local capital market. </w:t>
      </w:r>
    </w:p>
    <w:p w14:paraId="0A36F2E4">
      <w:pPr>
        <w:spacing w:after="100" w:afterAutospacing="1" w:line="360" w:lineRule="auto"/>
        <w:ind w:firstLine="720"/>
        <w:jc w:val="both"/>
        <w:outlineLvl w:val="1"/>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In line with the findings of this study, it was recommended that regulators and financial institutions should invest in programs that improve investor understanding of financial statements to foster better use of disclosed information in pricing decisions. Secondly, regulatory bodies should ensure strict compliance with international financial reporting standards (IFRS), especially concerning timeliness and relevance of information. Lastly, policymakers should focus on deepening market infrastructure and transparency to transition from a semi-efficient to a more fully efficient capital market environment. The study adds to the growing literature on financial reporting quality by providing empirical evidence from a developing market, specifically Iraq, where capital market dynamics differ from developed economies.</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The research offers insights into how different reporting attributes influence capital costs, helping regulators tailor disclosure policies to encourage market stability and attract investment.</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The study contributes to accounting theory by illustrating how the capital market efficiency theory operates in an emerging market context, challenging the assumption that enhanced disclosure always leads to reduced capital costs.</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Future research could explore the role of investor behavior and risk perception in moderating the relationship between financial reporting quality and the cost of capital. Comparative studies across multiple emerging markets could also help generalize findings and examine whether similar trends exist in other semi-efficient capital markets. Additionally, incorporating qualitative insights from investors and financial analysts may provide a deeper understanding of how financial disclosures are interpreted in practice.</w:t>
      </w:r>
    </w:p>
    <w:p w14:paraId="082440E7">
      <w:pPr>
        <w:spacing w:after="100" w:afterAutospacing="1" w:line="360" w:lineRule="auto"/>
        <w:ind w:firstLine="720"/>
        <w:jc w:val="both"/>
        <w:outlineLvl w:val="1"/>
        <w:rPr>
          <w:rFonts w:ascii="Times New Roman" w:hAnsi="Times New Roman" w:eastAsia="Times New Roman" w:cs="Times New Roman"/>
          <w:kern w:val="0"/>
          <w14:ligatures w14:val="none"/>
        </w:rPr>
      </w:pPr>
    </w:p>
    <w:p w14:paraId="68E3430B">
      <w:pPr>
        <w:spacing w:after="100" w:afterAutospacing="1" w:line="360" w:lineRule="auto"/>
        <w:ind w:firstLine="720"/>
        <w:jc w:val="both"/>
        <w:outlineLvl w:val="1"/>
        <w:rPr>
          <w:rFonts w:ascii="Times New Roman" w:hAnsi="Times New Roman" w:eastAsia="Times New Roman" w:cs="Times New Roman"/>
          <w:b/>
          <w:bCs/>
          <w:kern w:val="0"/>
          <w14:ligatures w14:val="none"/>
        </w:rPr>
      </w:pPr>
    </w:p>
    <w:p w14:paraId="1163A52B">
      <w:pPr>
        <w:spacing w:before="100" w:beforeAutospacing="1" w:after="100" w:afterAutospacing="1" w:line="240" w:lineRule="auto"/>
        <w:jc w:val="center"/>
        <w:outlineLvl w:val="1"/>
        <w:rPr>
          <w:rFonts w:eastAsia="Times New Roman" w:asciiTheme="majorBidi" w:hAnsiTheme="majorBidi" w:cstheme="majorBidi"/>
          <w:b/>
          <w:bCs/>
          <w:kern w:val="0"/>
          <w14:ligatures w14:val="none"/>
        </w:rPr>
      </w:pPr>
      <w:r>
        <w:rPr>
          <w:rFonts w:eastAsia="Times New Roman" w:asciiTheme="majorBidi" w:hAnsiTheme="majorBidi" w:cstheme="majorBidi"/>
          <w:b/>
          <w:bCs/>
          <w:kern w:val="0"/>
          <w14:ligatures w14:val="none"/>
        </w:rPr>
        <w:t>References</w:t>
      </w:r>
    </w:p>
    <w:p w14:paraId="437A31AD">
      <w:pPr>
        <w:pStyle w:val="41"/>
        <w:spacing w:after="160"/>
        <w:ind w:left="720" w:hanging="720"/>
        <w:jc w:val="both"/>
        <w:rPr>
          <w:rFonts w:asciiTheme="majorBidi" w:hAnsiTheme="majorBidi" w:cstheme="majorBidi"/>
        </w:rPr>
      </w:pPr>
      <w:r>
        <w:rPr>
          <w:rFonts w:asciiTheme="majorBidi" w:hAnsiTheme="majorBidi" w:cstheme="majorBidi"/>
        </w:rPr>
        <w:t xml:space="preserve">Adewara, Y. M., Dagunduro, M. E., Owonifari, V. O., Ajoloko, O. M., &amp; Osatuyi, Y. M. (2024). Implementation of International Public Sector Accounting Standards (IPSASs) on the financial reporting quality in the Nigerian public sector. </w:t>
      </w:r>
      <w:r>
        <w:rPr>
          <w:rStyle w:val="14"/>
          <w:rFonts w:asciiTheme="majorBidi" w:hAnsiTheme="majorBidi" w:cstheme="majorBidi"/>
        </w:rPr>
        <w:t>Fuoye Journal of Accounting and Management, 7</w:t>
      </w:r>
      <w:r>
        <w:rPr>
          <w:rFonts w:asciiTheme="majorBidi" w:hAnsiTheme="majorBidi" w:cstheme="majorBidi"/>
        </w:rPr>
        <w:t>(1), 1–17.</w:t>
      </w:r>
    </w:p>
    <w:p w14:paraId="41D0811B">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Agbodjo, D., Toumi, N., &amp; Hussainey, K. (2021). The value relevance of accounting information in the pre- and post-IFRS era: Evidence from Africa. </w:t>
      </w:r>
      <w:r>
        <w:rPr>
          <w:rFonts w:eastAsia="Times New Roman" w:asciiTheme="majorBidi" w:hAnsiTheme="majorBidi" w:cstheme="majorBidi"/>
          <w:i/>
          <w:iCs/>
        </w:rPr>
        <w:t>Journal of Applied Accounting Research</w:t>
      </w:r>
      <w:r>
        <w:rPr>
          <w:rFonts w:eastAsia="Times New Roman" w:asciiTheme="majorBidi" w:hAnsiTheme="majorBidi" w:cstheme="majorBidi"/>
        </w:rPr>
        <w:t>, 22(1), 143-168.​</w:t>
      </w:r>
    </w:p>
    <w:p w14:paraId="76F5B8AE">
      <w:pPr>
        <w:pStyle w:val="41"/>
        <w:spacing w:after="160"/>
        <w:ind w:left="720" w:hanging="720"/>
        <w:jc w:val="both"/>
        <w:rPr>
          <w:rFonts w:asciiTheme="majorBidi" w:hAnsiTheme="majorBidi" w:cstheme="majorBidi"/>
        </w:rPr>
      </w:pPr>
      <w:r>
        <w:rPr>
          <w:rFonts w:eastAsia="Times New Roman" w:asciiTheme="majorBidi" w:hAnsiTheme="majorBidi" w:cstheme="majorBidi"/>
        </w:rPr>
        <w:t xml:space="preserve">Agoraki, K. K., Giaka, M., Konstantios, D., &amp; Negkakis, I. (2024). The relationship between firm-level climate change exposure, financial integration, cost of capital and investment efficiency. </w:t>
      </w:r>
      <w:r>
        <w:rPr>
          <w:rFonts w:eastAsia="Times New Roman" w:asciiTheme="majorBidi" w:hAnsiTheme="majorBidi" w:cstheme="majorBidi"/>
          <w:i/>
          <w:iCs/>
        </w:rPr>
        <w:t>Journal of International Money and Finance</w:t>
      </w:r>
      <w:r>
        <w:rPr>
          <w:rFonts w:eastAsia="Times New Roman" w:asciiTheme="majorBidi" w:hAnsiTheme="majorBidi" w:cstheme="majorBidi"/>
        </w:rPr>
        <w:t xml:space="preserve">, </w:t>
      </w:r>
      <w:r>
        <w:rPr>
          <w:rFonts w:eastAsia="Times New Roman" w:asciiTheme="majorBidi" w:hAnsiTheme="majorBidi" w:cstheme="majorBidi"/>
          <w:i/>
          <w:iCs/>
        </w:rPr>
        <w:t>141</w:t>
      </w:r>
      <w:r>
        <w:rPr>
          <w:rFonts w:eastAsia="Times New Roman" w:asciiTheme="majorBidi" w:hAnsiTheme="majorBidi" w:cstheme="majorBidi"/>
        </w:rPr>
        <w:t xml:space="preserve">, 102994. </w:t>
      </w:r>
      <w:r>
        <w:fldChar w:fldCharType="begin"/>
      </w:r>
      <w:r>
        <w:instrText xml:space="preserve"> HYPERLINK "https://doi.org/10.1016/j.jimonfin.2023.102994" \t "_blank" \o "Persistent link using digital object identifier" </w:instrText>
      </w:r>
      <w:r>
        <w:fldChar w:fldCharType="separate"/>
      </w:r>
      <w:r>
        <w:rPr>
          <w:rStyle w:val="45"/>
          <w:rFonts w:asciiTheme="majorBidi" w:hAnsiTheme="majorBidi" w:cstheme="majorBidi"/>
          <w:color w:val="0000FF"/>
          <w:lang w:val="en-US"/>
        </w:rPr>
        <w:t>https://doi.org/10.1016/j.jimonfin.2023.102994</w:t>
      </w:r>
      <w:r>
        <w:rPr>
          <w:rStyle w:val="45"/>
          <w:rFonts w:asciiTheme="majorBidi" w:hAnsiTheme="majorBidi" w:cstheme="majorBidi"/>
          <w:color w:val="0000FF"/>
          <w:lang w:val="en-US"/>
        </w:rPr>
        <w:fldChar w:fldCharType="end"/>
      </w:r>
    </w:p>
    <w:p w14:paraId="4BBADD2D">
      <w:pPr>
        <w:pStyle w:val="41"/>
        <w:spacing w:after="160"/>
        <w:ind w:left="720" w:hanging="720"/>
        <w:jc w:val="both"/>
        <w:rPr>
          <w:rFonts w:eastAsia="Times New Roman"/>
        </w:rPr>
      </w:pPr>
      <w:r>
        <w:rPr>
          <w:rFonts w:eastAsia="Times New Roman"/>
        </w:rPr>
        <w:t xml:space="preserve">Ahmed, M., &amp; Alabdullah, T. T. Y. (2022). Financial reporting quality and its impact on cost of capital: Evidence from emerging markets. </w:t>
      </w:r>
      <w:r>
        <w:rPr>
          <w:rFonts w:eastAsia="Times New Roman"/>
          <w:i/>
          <w:iCs/>
        </w:rPr>
        <w:t>International Journal of Accounting and Financial Reporting</w:t>
      </w:r>
      <w:r>
        <w:rPr>
          <w:rFonts w:eastAsia="Times New Roman"/>
        </w:rPr>
        <w:t xml:space="preserve">, </w:t>
      </w:r>
      <w:r>
        <w:rPr>
          <w:rFonts w:eastAsia="Times New Roman"/>
          <w:i/>
          <w:iCs/>
        </w:rPr>
        <w:t>12</w:t>
      </w:r>
      <w:r>
        <w:rPr>
          <w:rFonts w:eastAsia="Times New Roman"/>
        </w:rPr>
        <w:t xml:space="preserve">(1), 56–71. </w:t>
      </w:r>
      <w:r>
        <w:fldChar w:fldCharType="begin"/>
      </w:r>
      <w:r>
        <w:instrText xml:space="preserve"> HYPERLINK "https://doi.org/10.5296/ijafr.v12i1.19652" </w:instrText>
      </w:r>
      <w:r>
        <w:fldChar w:fldCharType="separate"/>
      </w:r>
      <w:r>
        <w:rPr>
          <w:rStyle w:val="17"/>
          <w:rFonts w:eastAsia="Times New Roman"/>
          <w:u w:val="none"/>
        </w:rPr>
        <w:t>https://doi.org/10.5296/ijafr.v12i1.19652</w:t>
      </w:r>
      <w:r>
        <w:rPr>
          <w:rStyle w:val="17"/>
          <w:rFonts w:eastAsia="Times New Roman"/>
          <w:u w:val="none"/>
        </w:rPr>
        <w:fldChar w:fldCharType="end"/>
      </w:r>
    </w:p>
    <w:p w14:paraId="5AC3EBD3">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Ahmed, S. H., &amp; Wasiu, K. A. (2022). Financial reporting transparency and its impact on the cost of equity: Evidence from emerging markets. </w:t>
      </w:r>
      <w:r>
        <w:rPr>
          <w:rFonts w:eastAsia="Times New Roman" w:asciiTheme="majorBidi" w:hAnsiTheme="majorBidi" w:cstheme="majorBidi"/>
          <w:i/>
          <w:iCs/>
        </w:rPr>
        <w:t>Journal of Financial Economics, 14</w:t>
      </w:r>
      <w:r>
        <w:rPr>
          <w:rFonts w:eastAsia="Times New Roman" w:asciiTheme="majorBidi" w:hAnsiTheme="majorBidi" w:cstheme="majorBidi"/>
        </w:rPr>
        <w:t>(3), 112-130.</w:t>
      </w:r>
    </w:p>
    <w:p w14:paraId="293AEDBF">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Ahmed, S. H., Al-Maliki, R., &amp; Kareem, T. A. (2022). IFRS adoption and financial reporting transparency in Iraq: Challenges and prospects. </w:t>
      </w:r>
      <w:r>
        <w:rPr>
          <w:rFonts w:eastAsia="Times New Roman" w:asciiTheme="majorBidi" w:hAnsiTheme="majorBidi" w:cstheme="majorBidi"/>
          <w:i/>
          <w:iCs/>
        </w:rPr>
        <w:t>International Journal of Accounting and Finance, 12</w:t>
      </w:r>
      <w:r>
        <w:rPr>
          <w:rFonts w:eastAsia="Times New Roman" w:asciiTheme="majorBidi" w:hAnsiTheme="majorBidi" w:cstheme="majorBidi"/>
        </w:rPr>
        <w:t>(2), 78-96.</w:t>
      </w:r>
    </w:p>
    <w:p w14:paraId="54BF8809">
      <w:pPr>
        <w:pStyle w:val="41"/>
        <w:spacing w:after="240"/>
        <w:ind w:left="720" w:hanging="720"/>
        <w:jc w:val="both"/>
        <w:rPr>
          <w:rStyle w:val="17"/>
          <w:rFonts w:asciiTheme="majorBidi" w:hAnsiTheme="majorBidi" w:cstheme="majorBidi"/>
          <w:bCs/>
          <w:u w:val="none"/>
        </w:rPr>
      </w:pPr>
      <w:bookmarkStart w:id="5" w:name="_Hlk160434071"/>
      <w:r>
        <w:rPr>
          <w:rFonts w:asciiTheme="majorBidi" w:hAnsiTheme="majorBidi" w:cstheme="majorBidi"/>
          <w:bCs/>
        </w:rPr>
        <w:t xml:space="preserve">Akinadewo, I. S., Al-Amen, S., Dagunduro, M. E., &amp; Akinadewo, J. O. (2023). Empirical assessment of the effect of financial reporting components on investment decisions of small and medium enterprises in Nigeria. </w:t>
      </w:r>
      <w:r>
        <w:rPr>
          <w:rFonts w:asciiTheme="majorBidi" w:hAnsiTheme="majorBidi" w:cstheme="majorBidi"/>
          <w:bCs/>
          <w:i/>
          <w:iCs/>
        </w:rPr>
        <w:t>Archives of Business Research, 11</w:t>
      </w:r>
      <w:r>
        <w:rPr>
          <w:rFonts w:asciiTheme="majorBidi" w:hAnsiTheme="majorBidi" w:cstheme="majorBidi"/>
          <w:bCs/>
        </w:rPr>
        <w:t xml:space="preserve">(9), 30-49. </w:t>
      </w:r>
      <w:r>
        <w:fldChar w:fldCharType="begin"/>
      </w:r>
      <w:r>
        <w:instrText xml:space="preserve"> HYPERLINK "https://dx.doi.org/10.14738/abr.119.15449" </w:instrText>
      </w:r>
      <w:r>
        <w:fldChar w:fldCharType="separate"/>
      </w:r>
      <w:r>
        <w:rPr>
          <w:rStyle w:val="17"/>
          <w:rFonts w:asciiTheme="majorBidi" w:hAnsiTheme="majorBidi" w:cstheme="majorBidi"/>
          <w:bCs/>
          <w:u w:val="none"/>
        </w:rPr>
        <w:t>https://dx.doi.org/10.14738/abr.119.15449</w:t>
      </w:r>
      <w:r>
        <w:rPr>
          <w:rStyle w:val="17"/>
          <w:rFonts w:asciiTheme="majorBidi" w:hAnsiTheme="majorBidi" w:cstheme="majorBidi"/>
          <w:bCs/>
          <w:u w:val="none"/>
        </w:rPr>
        <w:fldChar w:fldCharType="end"/>
      </w:r>
      <w:bookmarkEnd w:id="5"/>
    </w:p>
    <w:p w14:paraId="52D29E54">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Al-Fadly, A., &amp; Hassan, S. (2023). The impact of IFRS adoption on financial transparency in emerging markets: Evidence from Iraq. </w:t>
      </w:r>
      <w:r>
        <w:rPr>
          <w:rFonts w:eastAsia="Times New Roman" w:asciiTheme="majorBidi" w:hAnsiTheme="majorBidi" w:cstheme="majorBidi"/>
          <w:i/>
          <w:iCs/>
          <w:kern w:val="0"/>
          <w14:ligatures w14:val="none"/>
        </w:rPr>
        <w:t>Journal of International Accounting Research, 22</w:t>
      </w:r>
      <w:r>
        <w:rPr>
          <w:rFonts w:eastAsia="Times New Roman" w:asciiTheme="majorBidi" w:hAnsiTheme="majorBidi" w:cstheme="majorBidi"/>
          <w:kern w:val="0"/>
          <w14:ligatures w14:val="none"/>
        </w:rPr>
        <w:t>(1), 34-52.</w:t>
      </w:r>
    </w:p>
    <w:p w14:paraId="7510ED48">
      <w:pPr>
        <w:pStyle w:val="41"/>
        <w:spacing w:after="160"/>
        <w:ind w:left="720" w:hanging="720"/>
        <w:jc w:val="both"/>
        <w:rPr>
          <w:rFonts w:eastAsia="Times New Roman"/>
        </w:rPr>
      </w:pPr>
      <w:r>
        <w:rPr>
          <w:rFonts w:eastAsia="Times New Roman"/>
        </w:rPr>
        <w:t xml:space="preserve">Al-Janabi, M. A. M., &amp; Hussainey, K. (2023). Financial reporting quality, cost of equity, and investor perceptions in MENA countries. </w:t>
      </w:r>
      <w:r>
        <w:rPr>
          <w:rFonts w:eastAsia="Times New Roman"/>
          <w:i/>
          <w:iCs/>
        </w:rPr>
        <w:t>Journal of International Financial Markets, Institutions and Money</w:t>
      </w:r>
      <w:r>
        <w:rPr>
          <w:rFonts w:eastAsia="Times New Roman"/>
        </w:rPr>
        <w:t xml:space="preserve">, </w:t>
      </w:r>
      <w:r>
        <w:rPr>
          <w:rFonts w:eastAsia="Times New Roman"/>
          <w:i/>
          <w:iCs/>
        </w:rPr>
        <w:t>84</w:t>
      </w:r>
      <w:r>
        <w:rPr>
          <w:rFonts w:eastAsia="Times New Roman"/>
        </w:rPr>
        <w:t xml:space="preserve">, 101738. </w:t>
      </w:r>
      <w:r>
        <w:fldChar w:fldCharType="begin"/>
      </w:r>
      <w:r>
        <w:instrText xml:space="preserve"> HYPERLINK "https://doi.org/10.1016/j.intfin.2023.101738" </w:instrText>
      </w:r>
      <w:r>
        <w:fldChar w:fldCharType="separate"/>
      </w:r>
      <w:r>
        <w:rPr>
          <w:rStyle w:val="17"/>
          <w:rFonts w:eastAsia="Times New Roman"/>
          <w:u w:val="none"/>
        </w:rPr>
        <w:t>https://doi.org/10.1016/j.intfin.2023.101738</w:t>
      </w:r>
      <w:r>
        <w:rPr>
          <w:rStyle w:val="17"/>
          <w:rFonts w:eastAsia="Times New Roman"/>
          <w:u w:val="none"/>
        </w:rPr>
        <w:fldChar w:fldCharType="end"/>
      </w:r>
    </w:p>
    <w:p w14:paraId="256BCB29">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Al-Janabi, M. A., Hatemi-J, A., &amp; Irandoust, M. (2019). An empirical investigation of the informational efficiency of the GCC equity markets: Evidence from bootstrap simulation. </w:t>
      </w:r>
      <w:r>
        <w:rPr>
          <w:rFonts w:eastAsia="Times New Roman" w:asciiTheme="majorBidi" w:hAnsiTheme="majorBidi" w:cstheme="majorBidi"/>
          <w:i/>
          <w:iCs/>
        </w:rPr>
        <w:t>International Review of Financial Analysis</w:t>
      </w:r>
      <w:r>
        <w:rPr>
          <w:rFonts w:eastAsia="Times New Roman" w:asciiTheme="majorBidi" w:hAnsiTheme="majorBidi" w:cstheme="majorBidi"/>
        </w:rPr>
        <w:t>, 41(1), 158-171.</w:t>
      </w:r>
    </w:p>
    <w:p w14:paraId="335D9BDE">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Arabzadeh, M., &amp; Aghapour, A. (2023). Integrated reporting quality and the cost of debt capital: Evidence from emerging markets. </w:t>
      </w:r>
      <w:r>
        <w:rPr>
          <w:rFonts w:eastAsia="Times New Roman" w:asciiTheme="majorBidi" w:hAnsiTheme="majorBidi" w:cstheme="majorBidi"/>
          <w:i/>
          <w:iCs/>
        </w:rPr>
        <w:t>Journal of International Financial Markets, Institutions and Money</w:t>
      </w:r>
      <w:r>
        <w:rPr>
          <w:rFonts w:eastAsia="Times New Roman" w:asciiTheme="majorBidi" w:hAnsiTheme="majorBidi" w:cstheme="majorBidi"/>
        </w:rPr>
        <w:t>, 82, 101649.</w:t>
      </w:r>
    </w:p>
    <w:p w14:paraId="2931616D">
      <w:pPr>
        <w:spacing w:line="240" w:lineRule="auto"/>
        <w:ind w:left="630" w:hanging="630"/>
        <w:jc w:val="both"/>
        <w:rPr>
          <w:rFonts w:asciiTheme="majorBidi" w:hAnsiTheme="majorBidi" w:cstheme="majorBidi"/>
        </w:rPr>
      </w:pPr>
      <w:bookmarkStart w:id="6" w:name="_Hlk160434192"/>
      <w:r>
        <w:rPr>
          <w:rFonts w:asciiTheme="majorBidi" w:hAnsiTheme="majorBidi" w:cstheme="majorBidi"/>
        </w:rPr>
        <w:t xml:space="preserve">Awotomilusi, N. S., Oke, O. E., Dada, S. A., &amp; Dagunduro, M. E. (2023). Assessing the effectiveness of internal control systems on fraud prevention and detection of selected public institutions of Ekiti State, Nigeria. </w:t>
      </w:r>
      <w:r>
        <w:rPr>
          <w:rFonts w:asciiTheme="majorBidi" w:hAnsiTheme="majorBidi" w:cstheme="majorBidi"/>
          <w:i/>
          <w:iCs/>
        </w:rPr>
        <w:t>Asian Journal of Economics, Finance and Management, 5</w:t>
      </w:r>
      <w:r>
        <w:rPr>
          <w:rFonts w:asciiTheme="majorBidi" w:hAnsiTheme="majorBidi" w:cstheme="majorBidi"/>
        </w:rPr>
        <w:t xml:space="preserve">(1), 231-244. </w:t>
      </w:r>
      <w:r>
        <w:fldChar w:fldCharType="begin"/>
      </w:r>
      <w:r>
        <w:instrText xml:space="preserve"> HYPERLINK "https://globalpresshub.com/index.php/AJEFM/article/view/1845" </w:instrText>
      </w:r>
      <w:r>
        <w:fldChar w:fldCharType="separate"/>
      </w:r>
      <w:r>
        <w:rPr>
          <w:rStyle w:val="17"/>
          <w:rFonts w:asciiTheme="majorBidi" w:hAnsiTheme="majorBidi" w:cstheme="majorBidi"/>
          <w:u w:val="none"/>
        </w:rPr>
        <w:t>https://globalpresshub.com/index.php/AJEFM/article/view/1845</w:t>
      </w:r>
      <w:r>
        <w:rPr>
          <w:rStyle w:val="17"/>
          <w:rFonts w:asciiTheme="majorBidi" w:hAnsiTheme="majorBidi" w:cstheme="majorBidi"/>
          <w:u w:val="none"/>
        </w:rPr>
        <w:fldChar w:fldCharType="end"/>
      </w:r>
    </w:p>
    <w:bookmarkEnd w:id="6"/>
    <w:p w14:paraId="66735AE7">
      <w:pPr>
        <w:pStyle w:val="41"/>
        <w:spacing w:after="160"/>
        <w:ind w:left="720" w:hanging="720"/>
        <w:jc w:val="both"/>
        <w:rPr>
          <w:rFonts w:asciiTheme="majorBidi" w:hAnsiTheme="majorBidi" w:cstheme="majorBidi"/>
        </w:rPr>
      </w:pPr>
      <w:r>
        <w:rPr>
          <w:rFonts w:asciiTheme="majorBidi" w:hAnsiTheme="majorBidi" w:cstheme="majorBidi"/>
        </w:rPr>
        <w:t xml:space="preserve">Awotomilusi, N. S., Oso, O. O., Oluwagbade, O. I., &amp; Dagunduro, M. E. (2024). Examining the roles of government accounting officers and their implications on achieving sustainable revenue budget: A case study of the Ekiti State Government, Nigeria. </w:t>
      </w:r>
      <w:r>
        <w:rPr>
          <w:rFonts w:asciiTheme="majorBidi" w:hAnsiTheme="majorBidi" w:cstheme="majorBidi"/>
          <w:i/>
          <w:iCs/>
        </w:rPr>
        <w:t>Journal of Accounting and Finance Management, 4</w:t>
      </w:r>
      <w:r>
        <w:rPr>
          <w:rFonts w:asciiTheme="majorBidi" w:hAnsiTheme="majorBidi" w:cstheme="majorBidi"/>
        </w:rPr>
        <w:t xml:space="preserve">(6), 412-427. </w:t>
      </w:r>
      <w:r>
        <w:fldChar w:fldCharType="begin"/>
      </w:r>
      <w:r>
        <w:instrText xml:space="preserve"> HYPERLINK "https://doi.org/10.38035/jafm.v4i6" </w:instrText>
      </w:r>
      <w:r>
        <w:fldChar w:fldCharType="separate"/>
      </w:r>
      <w:r>
        <w:rPr>
          <w:rStyle w:val="17"/>
          <w:rFonts w:asciiTheme="majorBidi" w:hAnsiTheme="majorBidi" w:cstheme="majorBidi"/>
          <w:u w:val="none"/>
        </w:rPr>
        <w:t>https://doi.org/10.38035/jafm.v4i6</w:t>
      </w:r>
      <w:r>
        <w:rPr>
          <w:rStyle w:val="17"/>
          <w:rFonts w:asciiTheme="majorBidi" w:hAnsiTheme="majorBidi" w:cstheme="majorBidi"/>
          <w:u w:val="none"/>
        </w:rPr>
        <w:fldChar w:fldCharType="end"/>
      </w:r>
    </w:p>
    <w:p w14:paraId="7273349E">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Ball, R., Li, X., &amp; Shivakumar, L. (2023). Financial reporting quality and information asymmetry: A meta-analysis. </w:t>
      </w:r>
      <w:r>
        <w:rPr>
          <w:rFonts w:eastAsia="Times New Roman" w:asciiTheme="majorBidi" w:hAnsiTheme="majorBidi" w:cstheme="majorBidi"/>
          <w:i/>
          <w:iCs/>
          <w:kern w:val="0"/>
          <w14:ligatures w14:val="none"/>
        </w:rPr>
        <w:t>Accounting Review, 98</w:t>
      </w:r>
      <w:r>
        <w:rPr>
          <w:rFonts w:eastAsia="Times New Roman" w:asciiTheme="majorBidi" w:hAnsiTheme="majorBidi" w:cstheme="majorBidi"/>
          <w:kern w:val="0"/>
          <w14:ligatures w14:val="none"/>
        </w:rPr>
        <w:t>(3), 567-589.</w:t>
      </w:r>
    </w:p>
    <w:p w14:paraId="48B69665">
      <w:pPr>
        <w:pStyle w:val="41"/>
        <w:spacing w:after="160"/>
        <w:ind w:left="720" w:hanging="720"/>
        <w:jc w:val="both"/>
        <w:rPr>
          <w:rFonts w:eastAsia="Times New Roman"/>
        </w:rPr>
      </w:pPr>
      <w:r>
        <w:rPr>
          <w:rFonts w:eastAsia="Times New Roman"/>
        </w:rPr>
        <w:t xml:space="preserve">Baltagi, B. H. (2021). </w:t>
      </w:r>
      <w:r>
        <w:rPr>
          <w:rFonts w:eastAsia="Times New Roman"/>
          <w:i/>
          <w:iCs/>
        </w:rPr>
        <w:t>Econometric Analysis of Panel Data</w:t>
      </w:r>
      <w:r>
        <w:rPr>
          <w:rFonts w:eastAsia="Times New Roman"/>
        </w:rPr>
        <w:t xml:space="preserve"> (6th ed.). Springer.</w:t>
      </w:r>
    </w:p>
    <w:p w14:paraId="1FB48A6B">
      <w:pPr>
        <w:pStyle w:val="41"/>
        <w:spacing w:after="160"/>
        <w:ind w:left="720" w:hanging="720"/>
        <w:jc w:val="both"/>
        <w:rPr>
          <w:rFonts w:eastAsia="Times New Roman"/>
          <w:lang w:val="en-US"/>
        </w:rPr>
      </w:pPr>
      <w:r>
        <w:rPr>
          <w:rFonts w:eastAsia="Times New Roman"/>
        </w:rPr>
        <w:t xml:space="preserve">Barth, M. E., &amp; Landsman, W. R. (2020). The case for fair value accounting: A response to critics. </w:t>
      </w:r>
      <w:r>
        <w:rPr>
          <w:rFonts w:eastAsia="Times New Roman"/>
          <w:i/>
          <w:iCs/>
        </w:rPr>
        <w:t>Accounting and Business Research</w:t>
      </w:r>
      <w:r>
        <w:rPr>
          <w:rFonts w:eastAsia="Times New Roman"/>
        </w:rPr>
        <w:t xml:space="preserve">, </w:t>
      </w:r>
      <w:r>
        <w:rPr>
          <w:rFonts w:eastAsia="Times New Roman"/>
          <w:i/>
          <w:iCs/>
        </w:rPr>
        <w:t>50</w:t>
      </w:r>
      <w:r>
        <w:rPr>
          <w:rFonts w:eastAsia="Times New Roman"/>
        </w:rPr>
        <w:t xml:space="preserve">(5), 499–525. </w:t>
      </w:r>
      <w:r>
        <w:fldChar w:fldCharType="begin"/>
      </w:r>
      <w:r>
        <w:instrText xml:space="preserve"> HYPERLINK "https://doi.org/10.1080/00014788.2020.1717623" </w:instrText>
      </w:r>
      <w:r>
        <w:fldChar w:fldCharType="separate"/>
      </w:r>
      <w:r>
        <w:rPr>
          <w:rStyle w:val="17"/>
          <w:rFonts w:eastAsia="Times New Roman"/>
          <w:u w:val="none"/>
          <w:lang w:val="en-US"/>
        </w:rPr>
        <w:t>https://doi.org/10.1080/00014788.2020.1717623</w:t>
      </w:r>
      <w:r>
        <w:rPr>
          <w:rStyle w:val="17"/>
          <w:rFonts w:eastAsia="Times New Roman"/>
          <w:u w:val="none"/>
          <w:lang w:val="en-US"/>
        </w:rPr>
        <w:fldChar w:fldCharType="end"/>
      </w:r>
    </w:p>
    <w:p w14:paraId="6C2EE9A9">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Barth, M. E., Landsman, W. R., &amp; Lang, M. H. (2021). Effects of financial reporting quality on debt contracting: International evidence. </w:t>
      </w:r>
      <w:r>
        <w:rPr>
          <w:rFonts w:eastAsia="Times New Roman" w:asciiTheme="majorBidi" w:hAnsiTheme="majorBidi" w:cstheme="majorBidi"/>
          <w:i/>
          <w:iCs/>
          <w:kern w:val="0"/>
          <w14:ligatures w14:val="none"/>
        </w:rPr>
        <w:t>Journal of Accounting and Economics, 72</w:t>
      </w:r>
      <w:r>
        <w:rPr>
          <w:rFonts w:eastAsia="Times New Roman" w:asciiTheme="majorBidi" w:hAnsiTheme="majorBidi" w:cstheme="majorBidi"/>
          <w:kern w:val="0"/>
          <w14:ligatures w14:val="none"/>
        </w:rPr>
        <w:t>(2), 1-25.</w:t>
      </w:r>
    </w:p>
    <w:p w14:paraId="5EC6DA79">
      <w:pPr>
        <w:pStyle w:val="41"/>
        <w:spacing w:after="160"/>
        <w:ind w:left="720" w:hanging="720"/>
        <w:jc w:val="both"/>
        <w:rPr>
          <w:rFonts w:asciiTheme="majorBidi" w:hAnsiTheme="majorBidi" w:cstheme="majorBidi"/>
        </w:rPr>
      </w:pPr>
      <w:r>
        <w:rPr>
          <w:rFonts w:asciiTheme="majorBidi" w:hAnsiTheme="majorBidi" w:cstheme="majorBidi"/>
        </w:rPr>
        <w:t xml:space="preserve">Bhuiyan, M. B. U., &amp; Hu, Y. (2025). Do corporate donations affect the cost of equity? International evidence. </w:t>
      </w:r>
      <w:r>
        <w:rPr>
          <w:rStyle w:val="14"/>
          <w:rFonts w:asciiTheme="majorBidi" w:hAnsiTheme="majorBidi" w:cstheme="majorBidi"/>
        </w:rPr>
        <w:t>Journal of Accounting Literature, ahead-of-print(ahead-of-print).</w:t>
      </w:r>
      <w:r>
        <w:rPr>
          <w:rFonts w:asciiTheme="majorBidi" w:hAnsiTheme="majorBidi" w:cstheme="majorBidi"/>
        </w:rPr>
        <w:t xml:space="preserve"> </w:t>
      </w:r>
      <w:r>
        <w:fldChar w:fldCharType="begin"/>
      </w:r>
      <w:r>
        <w:instrText xml:space="preserve"> HYPERLINK "https://doi.org/10.1108/JAL-01-2023-0017" \t "_new" </w:instrText>
      </w:r>
      <w:r>
        <w:fldChar w:fldCharType="separate"/>
      </w:r>
      <w:r>
        <w:rPr>
          <w:rStyle w:val="17"/>
          <w:rFonts w:asciiTheme="majorBidi" w:hAnsiTheme="majorBidi" w:cstheme="majorBidi"/>
          <w:u w:val="none"/>
        </w:rPr>
        <w:t>https://doi.org/10.1108/JAL-01-2023-0017</w:t>
      </w:r>
      <w:r>
        <w:rPr>
          <w:rStyle w:val="17"/>
          <w:rFonts w:asciiTheme="majorBidi" w:hAnsiTheme="majorBidi" w:cstheme="majorBidi"/>
          <w:u w:val="none"/>
        </w:rPr>
        <w:fldChar w:fldCharType="end"/>
      </w:r>
    </w:p>
    <w:p w14:paraId="0DB84B52">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Biddle, G. C., Hilary, G., &amp; Verdi, R. S. (2019). How does financial reporting quality relate to investment efficiency? </w:t>
      </w:r>
      <w:r>
        <w:rPr>
          <w:rFonts w:eastAsia="Times New Roman" w:asciiTheme="majorBidi" w:hAnsiTheme="majorBidi" w:cstheme="majorBidi"/>
          <w:i/>
          <w:iCs/>
          <w:kern w:val="0"/>
          <w14:ligatures w14:val="none"/>
        </w:rPr>
        <w:t>Journal of Accounting and Economics, 48</w:t>
      </w:r>
      <w:r>
        <w:rPr>
          <w:rFonts w:eastAsia="Times New Roman" w:asciiTheme="majorBidi" w:hAnsiTheme="majorBidi" w:cstheme="majorBidi"/>
          <w:kern w:val="0"/>
          <w14:ligatures w14:val="none"/>
        </w:rPr>
        <w:t>(2-3), 112-131.</w:t>
      </w:r>
    </w:p>
    <w:p w14:paraId="722E49D3">
      <w:pPr>
        <w:pStyle w:val="41"/>
        <w:spacing w:after="160"/>
        <w:ind w:left="720" w:hanging="720"/>
        <w:jc w:val="both"/>
        <w:rPr>
          <w:rFonts w:asciiTheme="majorBidi" w:hAnsiTheme="majorBidi" w:cstheme="majorBidi"/>
        </w:rPr>
      </w:pPr>
      <w:r>
        <w:rPr>
          <w:rFonts w:asciiTheme="majorBidi" w:hAnsiTheme="majorBidi" w:cstheme="majorBidi"/>
          <w:lang w:val="en-US"/>
        </w:rPr>
        <w:t xml:space="preserve">Bonetti, P., Cho, C. H., &amp; Michelon, G. (2023). </w:t>
      </w:r>
      <w:r>
        <w:rPr>
          <w:rFonts w:asciiTheme="majorBidi" w:hAnsiTheme="majorBidi" w:cstheme="majorBidi"/>
        </w:rPr>
        <w:t xml:space="preserve">Environmental disclosure and the cost of capital: Evidence from the Fukushima nuclear disaster. </w:t>
      </w:r>
      <w:r>
        <w:rPr>
          <w:rStyle w:val="14"/>
          <w:rFonts w:asciiTheme="majorBidi" w:hAnsiTheme="majorBidi" w:cstheme="majorBidi"/>
        </w:rPr>
        <w:t>European Accounting Review, 33</w:t>
      </w:r>
      <w:r>
        <w:rPr>
          <w:rFonts w:asciiTheme="majorBidi" w:hAnsiTheme="majorBidi" w:cstheme="majorBidi"/>
        </w:rPr>
        <w:t xml:space="preserve">(5), 1693–1721. </w:t>
      </w:r>
      <w:r>
        <w:fldChar w:fldCharType="begin"/>
      </w:r>
      <w:r>
        <w:instrText xml:space="preserve"> HYPERLINK "https://doi.org/10.1080/09638180.2023.2203410" \t "_new" </w:instrText>
      </w:r>
      <w:r>
        <w:fldChar w:fldCharType="separate"/>
      </w:r>
      <w:r>
        <w:rPr>
          <w:rStyle w:val="17"/>
          <w:rFonts w:asciiTheme="majorBidi" w:hAnsiTheme="majorBidi" w:cstheme="majorBidi"/>
          <w:u w:val="none"/>
        </w:rPr>
        <w:t>https://doi.org/10.1080/09638180.2023.2203410</w:t>
      </w:r>
      <w:r>
        <w:rPr>
          <w:rStyle w:val="17"/>
          <w:rFonts w:asciiTheme="majorBidi" w:hAnsiTheme="majorBidi" w:cstheme="majorBidi"/>
          <w:u w:val="none"/>
        </w:rPr>
        <w:fldChar w:fldCharType="end"/>
      </w:r>
    </w:p>
    <w:p w14:paraId="74D316F7">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Chen, Q., Hemmer, T., &amp; Zhang, Y. (2020). The impact of financial reporting quality on the cost of capital: Evidence from emerging markets. </w:t>
      </w:r>
      <w:r>
        <w:rPr>
          <w:rFonts w:eastAsia="Times New Roman" w:asciiTheme="majorBidi" w:hAnsiTheme="majorBidi" w:cstheme="majorBidi"/>
          <w:i/>
          <w:iCs/>
          <w:kern w:val="0"/>
          <w14:ligatures w14:val="none"/>
        </w:rPr>
        <w:t>Review of Accounting Studies, 25</w:t>
      </w:r>
      <w:r>
        <w:rPr>
          <w:rFonts w:eastAsia="Times New Roman" w:asciiTheme="majorBidi" w:hAnsiTheme="majorBidi" w:cstheme="majorBidi"/>
          <w:kern w:val="0"/>
          <w14:ligatures w14:val="none"/>
        </w:rPr>
        <w:t>(4), 897-921.</w:t>
      </w:r>
    </w:p>
    <w:p w14:paraId="6124F08C">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Chen, Y., Liu, P., &amp; Wang, Z. (2023). The role of financial reporting quality in capital structure decisions: An international perspective. </w:t>
      </w:r>
      <w:r>
        <w:rPr>
          <w:rFonts w:eastAsia="Times New Roman" w:asciiTheme="majorBidi" w:hAnsiTheme="majorBidi" w:cstheme="majorBidi"/>
          <w:i/>
          <w:iCs/>
        </w:rPr>
        <w:t>Accounting and Finance Review, 18</w:t>
      </w:r>
      <w:r>
        <w:rPr>
          <w:rFonts w:eastAsia="Times New Roman" w:asciiTheme="majorBidi" w:hAnsiTheme="majorBidi" w:cstheme="majorBidi"/>
        </w:rPr>
        <w:t>(2), 45-67.</w:t>
      </w:r>
    </w:p>
    <w:p w14:paraId="612D1D93">
      <w:pPr>
        <w:pStyle w:val="41"/>
        <w:spacing w:after="160"/>
        <w:ind w:left="720" w:hanging="720"/>
        <w:jc w:val="both"/>
        <w:rPr>
          <w:rFonts w:asciiTheme="majorBidi" w:hAnsiTheme="majorBidi" w:cstheme="majorBidi"/>
        </w:rPr>
      </w:pPr>
      <w:r>
        <w:rPr>
          <w:rFonts w:eastAsia="Times New Roman" w:asciiTheme="majorBidi" w:hAnsiTheme="majorBidi" w:cstheme="majorBidi"/>
          <w:lang w:val="en-US"/>
        </w:rPr>
        <w:t xml:space="preserve">Christensen, H. B., Hail, L., &amp; Leuz, C. (2013). </w:t>
      </w:r>
      <w:r>
        <w:rPr>
          <w:rFonts w:eastAsia="Times New Roman" w:asciiTheme="majorBidi" w:hAnsiTheme="majorBidi" w:cstheme="majorBidi"/>
        </w:rPr>
        <w:t xml:space="preserve">Mandatory IFRS reporting and changes in enforcement. </w:t>
      </w:r>
      <w:r>
        <w:rPr>
          <w:rFonts w:eastAsia="Times New Roman" w:asciiTheme="majorBidi" w:hAnsiTheme="majorBidi" w:cstheme="majorBidi"/>
          <w:i/>
          <w:iCs/>
        </w:rPr>
        <w:t>Journal of accounting and economics</w:t>
      </w:r>
      <w:r>
        <w:rPr>
          <w:rFonts w:eastAsia="Times New Roman" w:asciiTheme="majorBidi" w:hAnsiTheme="majorBidi" w:cstheme="majorBidi"/>
        </w:rPr>
        <w:t xml:space="preserve">, </w:t>
      </w:r>
      <w:r>
        <w:rPr>
          <w:rFonts w:eastAsia="Times New Roman" w:asciiTheme="majorBidi" w:hAnsiTheme="majorBidi" w:cstheme="majorBidi"/>
          <w:i/>
          <w:iCs/>
        </w:rPr>
        <w:t>56</w:t>
      </w:r>
      <w:r>
        <w:rPr>
          <w:rFonts w:eastAsia="Times New Roman" w:asciiTheme="majorBidi" w:hAnsiTheme="majorBidi" w:cstheme="majorBidi"/>
        </w:rPr>
        <w:t xml:space="preserve">(2-3), 147-177. </w:t>
      </w:r>
      <w:r>
        <w:fldChar w:fldCharType="begin"/>
      </w:r>
      <w:r>
        <w:instrText xml:space="preserve"> HYPERLINK "https://doi.org/10.1016/j.jacceco.2013.10.007" \t "_blank" \o "Persistent link using digital object identifier" </w:instrText>
      </w:r>
      <w:r>
        <w:fldChar w:fldCharType="separate"/>
      </w:r>
      <w:r>
        <w:rPr>
          <w:rStyle w:val="45"/>
          <w:rFonts w:asciiTheme="majorBidi" w:hAnsiTheme="majorBidi" w:cstheme="majorBidi"/>
          <w:color w:val="0000FF"/>
        </w:rPr>
        <w:t>https://doi.org/10.1016/j.jacceco.2013.10.007</w:t>
      </w:r>
      <w:r>
        <w:rPr>
          <w:rStyle w:val="45"/>
          <w:rFonts w:asciiTheme="majorBidi" w:hAnsiTheme="majorBidi" w:cstheme="majorBidi"/>
          <w:color w:val="0000FF"/>
        </w:rPr>
        <w:fldChar w:fldCharType="end"/>
      </w:r>
    </w:p>
    <w:p w14:paraId="1AD46DC4">
      <w:pPr>
        <w:pStyle w:val="41"/>
        <w:spacing w:after="160"/>
        <w:ind w:left="720" w:hanging="720"/>
        <w:jc w:val="both"/>
        <w:rPr>
          <w:rFonts w:eastAsia="Times New Roman" w:asciiTheme="majorBidi" w:hAnsiTheme="majorBidi" w:cstheme="majorBidi"/>
        </w:rPr>
      </w:pPr>
      <w:r>
        <w:rPr>
          <w:rFonts w:eastAsia="Times New Roman"/>
        </w:rPr>
        <w:t xml:space="preserve">Creswell, J. W., &amp; Creswell, J. D. (2018). </w:t>
      </w:r>
      <w:r>
        <w:rPr>
          <w:rFonts w:eastAsia="Times New Roman"/>
          <w:i/>
          <w:iCs/>
        </w:rPr>
        <w:t>Research Design: Qualitative, Quantitative, and Mixed Methods Approaches</w:t>
      </w:r>
      <w:r>
        <w:rPr>
          <w:rFonts w:eastAsia="Times New Roman"/>
        </w:rPr>
        <w:t xml:space="preserve"> (5th ed.). SAGE Publications.</w:t>
      </w:r>
    </w:p>
    <w:p w14:paraId="6283B81D">
      <w:pPr>
        <w:pStyle w:val="41"/>
        <w:spacing w:after="160"/>
        <w:ind w:left="720" w:hanging="720"/>
        <w:jc w:val="both"/>
        <w:rPr>
          <w:rStyle w:val="17"/>
          <w:rFonts w:asciiTheme="majorBidi" w:hAnsiTheme="majorBidi" w:cstheme="majorBidi"/>
          <w:b/>
          <w:bCs/>
          <w:u w:val="none"/>
        </w:rPr>
      </w:pPr>
      <w:r>
        <w:rPr>
          <w:rFonts w:asciiTheme="majorBidi" w:hAnsiTheme="majorBidi" w:cstheme="majorBidi"/>
        </w:rPr>
        <w:t xml:space="preserve">Dagunduro, M. E., Dakhil, M. S., Igbekoyi, O. E., &amp; Oluwagbade, O. I. (2025). Risk management committee and earnings quality of listed Nigerian insurance firms. </w:t>
      </w:r>
      <w:r>
        <w:rPr>
          <w:rStyle w:val="14"/>
          <w:rFonts w:asciiTheme="majorBidi" w:hAnsiTheme="majorBidi" w:cstheme="majorBidi"/>
        </w:rPr>
        <w:t>Malaysian Journal of Business, Economics and Management, 4</w:t>
      </w:r>
      <w:r>
        <w:rPr>
          <w:rFonts w:asciiTheme="majorBidi" w:hAnsiTheme="majorBidi" w:cstheme="majorBidi"/>
        </w:rPr>
        <w:t xml:space="preserve">(1), 49–63. </w:t>
      </w:r>
      <w:r>
        <w:fldChar w:fldCharType="begin"/>
      </w:r>
      <w:r>
        <w:instrText xml:space="preserve"> HYPERLINK "https://doi.org/10.56532/mjbem.v4i1.78" \t "_new" </w:instrText>
      </w:r>
      <w:r>
        <w:fldChar w:fldCharType="separate"/>
      </w:r>
      <w:r>
        <w:rPr>
          <w:rStyle w:val="17"/>
          <w:rFonts w:asciiTheme="majorBidi" w:hAnsiTheme="majorBidi" w:cstheme="majorBidi"/>
          <w:u w:val="none"/>
        </w:rPr>
        <w:t>https://doi.org/10.56532/mjbem.v4i1.78</w:t>
      </w:r>
      <w:r>
        <w:rPr>
          <w:rStyle w:val="17"/>
          <w:rFonts w:asciiTheme="majorBidi" w:hAnsiTheme="majorBidi" w:cstheme="majorBidi"/>
          <w:u w:val="none"/>
        </w:rPr>
        <w:fldChar w:fldCharType="end"/>
      </w:r>
    </w:p>
    <w:p w14:paraId="723B2E69">
      <w:pPr>
        <w:pStyle w:val="41"/>
        <w:spacing w:after="160"/>
        <w:ind w:left="720" w:hanging="720"/>
        <w:jc w:val="both"/>
        <w:rPr>
          <w:rFonts w:eastAsia="Times New Roman" w:asciiTheme="majorBidi" w:hAnsiTheme="majorBidi" w:cstheme="majorBidi"/>
          <w:lang w:val="en-US"/>
        </w:rPr>
      </w:pPr>
      <w:r>
        <w:rPr>
          <w:rFonts w:eastAsia="Times New Roman" w:asciiTheme="majorBidi" w:hAnsiTheme="majorBidi" w:cstheme="majorBidi"/>
          <w:lang w:val="en-US"/>
        </w:rPr>
        <w:t>Damodaran, A. (2012). </w:t>
      </w:r>
      <w:r>
        <w:rPr>
          <w:rFonts w:eastAsia="Times New Roman" w:asciiTheme="majorBidi" w:hAnsiTheme="majorBidi" w:cstheme="majorBidi"/>
          <w:i/>
          <w:iCs/>
          <w:lang w:val="en-US"/>
        </w:rPr>
        <w:t>Investment valuation: Tools and techniques for determining the value of any asset</w:t>
      </w:r>
      <w:r>
        <w:rPr>
          <w:rFonts w:eastAsia="Times New Roman" w:asciiTheme="majorBidi" w:hAnsiTheme="majorBidi" w:cstheme="majorBidi"/>
          <w:lang w:val="en-US"/>
        </w:rPr>
        <w:t>. John Wiley &amp; Sons.</w:t>
      </w:r>
    </w:p>
    <w:p w14:paraId="63707857">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Dechow, P. M., Ge, W., &amp; Schrand, C. (2021). Understanding earnings quality: A review of the proxies, their determinants and consequences. </w:t>
      </w:r>
      <w:r>
        <w:rPr>
          <w:rFonts w:eastAsia="Times New Roman" w:asciiTheme="majorBidi" w:hAnsiTheme="majorBidi" w:cstheme="majorBidi"/>
          <w:i/>
          <w:iCs/>
          <w:kern w:val="0"/>
          <w14:ligatures w14:val="none"/>
        </w:rPr>
        <w:t>Journal of Accounting and Economics, 50</w:t>
      </w:r>
      <w:r>
        <w:rPr>
          <w:rFonts w:eastAsia="Times New Roman" w:asciiTheme="majorBidi" w:hAnsiTheme="majorBidi" w:cstheme="majorBidi"/>
          <w:kern w:val="0"/>
          <w14:ligatures w14:val="none"/>
        </w:rPr>
        <w:t>(2-3), 344-401.</w:t>
      </w:r>
    </w:p>
    <w:p w14:paraId="6CC587BB">
      <w:pPr>
        <w:pStyle w:val="41"/>
        <w:spacing w:after="160"/>
        <w:ind w:left="720" w:hanging="720"/>
        <w:jc w:val="both"/>
        <w:rPr>
          <w:rFonts w:asciiTheme="majorBidi" w:hAnsiTheme="majorBidi" w:cstheme="majorBidi"/>
          <w:lang w:val="en-US"/>
        </w:rPr>
      </w:pPr>
      <w:r>
        <w:rPr>
          <w:rFonts w:eastAsia="Times New Roman" w:asciiTheme="majorBidi" w:hAnsiTheme="majorBidi" w:cstheme="majorBidi"/>
        </w:rPr>
        <w:t xml:space="preserve">Dechow, P., Ge, W., &amp; Schrand, C. (2010). Understanding earnings quality: A review of the proxies, their determinants and their consequences. </w:t>
      </w:r>
      <w:r>
        <w:rPr>
          <w:rFonts w:eastAsia="Times New Roman" w:asciiTheme="majorBidi" w:hAnsiTheme="majorBidi" w:cstheme="majorBidi"/>
          <w:i/>
          <w:iCs/>
        </w:rPr>
        <w:t>Journal of accounting and economics</w:t>
      </w:r>
      <w:r>
        <w:rPr>
          <w:rFonts w:eastAsia="Times New Roman" w:asciiTheme="majorBidi" w:hAnsiTheme="majorBidi" w:cstheme="majorBidi"/>
        </w:rPr>
        <w:t xml:space="preserve">, </w:t>
      </w:r>
      <w:r>
        <w:rPr>
          <w:rFonts w:eastAsia="Times New Roman" w:asciiTheme="majorBidi" w:hAnsiTheme="majorBidi" w:cstheme="majorBidi"/>
          <w:i/>
          <w:iCs/>
        </w:rPr>
        <w:t>50</w:t>
      </w:r>
      <w:r>
        <w:rPr>
          <w:rFonts w:eastAsia="Times New Roman" w:asciiTheme="majorBidi" w:hAnsiTheme="majorBidi" w:cstheme="majorBidi"/>
        </w:rPr>
        <w:t xml:space="preserve">(2-3), 344-401. </w:t>
      </w:r>
      <w:r>
        <w:fldChar w:fldCharType="begin"/>
      </w:r>
      <w:r>
        <w:instrText xml:space="preserve"> HYPERLINK "https://doi.org/10.1016/j.jacceco.2010.09.001" \t "_blank" \o "Persistent link using digital object identifier" </w:instrText>
      </w:r>
      <w:r>
        <w:fldChar w:fldCharType="separate"/>
      </w:r>
      <w:r>
        <w:rPr>
          <w:rStyle w:val="45"/>
          <w:rFonts w:asciiTheme="majorBidi" w:hAnsiTheme="majorBidi" w:cstheme="majorBidi"/>
          <w:color w:val="0000FF"/>
          <w:lang w:val="en-US"/>
        </w:rPr>
        <w:t>https://doi.org/10.1016/j.jacceco.2010.09.001</w:t>
      </w:r>
      <w:r>
        <w:rPr>
          <w:rStyle w:val="45"/>
          <w:rFonts w:asciiTheme="majorBidi" w:hAnsiTheme="majorBidi" w:cstheme="majorBidi"/>
          <w:color w:val="0000FF"/>
          <w:lang w:val="en-US"/>
        </w:rPr>
        <w:fldChar w:fldCharType="end"/>
      </w:r>
    </w:p>
    <w:p w14:paraId="70F500E0">
      <w:pPr>
        <w:pStyle w:val="41"/>
        <w:spacing w:after="160"/>
        <w:ind w:left="720" w:hanging="720"/>
        <w:jc w:val="both"/>
        <w:rPr>
          <w:rFonts w:asciiTheme="majorBidi" w:hAnsiTheme="majorBidi" w:cstheme="majorBidi"/>
          <w:lang w:val="en-US"/>
        </w:rPr>
      </w:pPr>
      <w:r>
        <w:rPr>
          <w:rFonts w:eastAsia="Times New Roman" w:asciiTheme="majorBidi" w:hAnsiTheme="majorBidi" w:cstheme="majorBidi"/>
        </w:rPr>
        <w:t xml:space="preserve">Dunham, L. M., &amp; Grandstaff, J. L. (2022). The value relevance of earnings, book values, and other accounting information and the role of economic conditions in value relevance: A literature review. </w:t>
      </w:r>
      <w:r>
        <w:rPr>
          <w:rFonts w:eastAsia="Times New Roman" w:asciiTheme="majorBidi" w:hAnsiTheme="majorBidi" w:cstheme="majorBidi"/>
          <w:i/>
          <w:iCs/>
          <w:lang w:val="en-US"/>
        </w:rPr>
        <w:t>Accounting Perspectives</w:t>
      </w:r>
      <w:r>
        <w:rPr>
          <w:rFonts w:eastAsia="Times New Roman" w:asciiTheme="majorBidi" w:hAnsiTheme="majorBidi" w:cstheme="majorBidi"/>
          <w:lang w:val="en-US"/>
        </w:rPr>
        <w:t>, 21(2), 237-272.​</w:t>
      </w:r>
      <w:r>
        <w:rPr>
          <w:rFonts w:asciiTheme="majorBidi" w:hAnsiTheme="majorBidi" w:cstheme="majorBidi"/>
          <w:lang w:val="en-US"/>
        </w:rPr>
        <w:t xml:space="preserve"> </w:t>
      </w:r>
    </w:p>
    <w:p w14:paraId="022F799B">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Easley, D., &amp; O'Hara, M. (2004). Information and the cost of capital. </w:t>
      </w:r>
      <w:r>
        <w:rPr>
          <w:rFonts w:eastAsia="Times New Roman" w:asciiTheme="majorBidi" w:hAnsiTheme="majorBidi" w:cstheme="majorBidi"/>
          <w:i/>
          <w:iCs/>
        </w:rPr>
        <w:t>The Journal of Finance</w:t>
      </w:r>
      <w:r>
        <w:rPr>
          <w:rFonts w:eastAsia="Times New Roman" w:asciiTheme="majorBidi" w:hAnsiTheme="majorBidi" w:cstheme="majorBidi"/>
        </w:rPr>
        <w:t>, 59(4), 1553-1583.</w:t>
      </w:r>
    </w:p>
    <w:p w14:paraId="7258D5E5">
      <w:pPr>
        <w:pStyle w:val="41"/>
        <w:spacing w:after="160"/>
        <w:ind w:left="720" w:hanging="720"/>
        <w:jc w:val="both"/>
        <w:rPr>
          <w:rFonts w:eastAsia="Times New Roman"/>
        </w:rPr>
      </w:pPr>
      <w:r>
        <w:rPr>
          <w:rFonts w:eastAsia="Times New Roman"/>
        </w:rPr>
        <w:t xml:space="preserve">Echobu, J., Okika, N. P., &amp; Mailafia, L. (2017). Determinants of financial reporting quality: Evidence from listed agriculture and natural resources firms in Nigeria. </w:t>
      </w:r>
      <w:r>
        <w:rPr>
          <w:rFonts w:eastAsia="Times New Roman"/>
          <w:i/>
          <w:iCs/>
        </w:rPr>
        <w:t>International Journal of Accounting Research</w:t>
      </w:r>
      <w:r>
        <w:rPr>
          <w:rFonts w:eastAsia="Times New Roman"/>
        </w:rPr>
        <w:t xml:space="preserve">, 3(2), 20–31.​ </w:t>
      </w:r>
    </w:p>
    <w:p w14:paraId="5512A0F0">
      <w:pPr>
        <w:pStyle w:val="41"/>
        <w:spacing w:after="160"/>
        <w:ind w:left="720" w:hanging="720"/>
        <w:jc w:val="both"/>
        <w:rPr>
          <w:rFonts w:asciiTheme="majorBidi" w:hAnsiTheme="majorBidi" w:cstheme="majorBidi"/>
        </w:rPr>
      </w:pPr>
      <w:r>
        <w:rPr>
          <w:rFonts w:eastAsia="Times New Roman" w:asciiTheme="majorBidi" w:hAnsiTheme="majorBidi" w:cstheme="majorBidi"/>
        </w:rPr>
        <w:t xml:space="preserve">Ekwueme, C. M., &amp; Aniefor, S. J. (2019). Determinants of financial reporting quality: Evidence from listed manufacturing firms in Nigeria. </w:t>
      </w:r>
      <w:r>
        <w:rPr>
          <w:rFonts w:eastAsia="Times New Roman" w:asciiTheme="majorBidi" w:hAnsiTheme="majorBidi" w:cstheme="majorBidi"/>
          <w:i/>
          <w:iCs/>
        </w:rPr>
        <w:t>Journal of Global Accounting</w:t>
      </w:r>
      <w:r>
        <w:rPr>
          <w:rFonts w:eastAsia="Times New Roman" w:asciiTheme="majorBidi" w:hAnsiTheme="majorBidi" w:cstheme="majorBidi"/>
        </w:rPr>
        <w:t xml:space="preserve">, </w:t>
      </w:r>
      <w:r>
        <w:rPr>
          <w:rFonts w:eastAsia="Times New Roman" w:asciiTheme="majorBidi" w:hAnsiTheme="majorBidi" w:cstheme="majorBidi"/>
          <w:i/>
          <w:iCs/>
        </w:rPr>
        <w:t>6</w:t>
      </w:r>
      <w:r>
        <w:rPr>
          <w:rFonts w:eastAsia="Times New Roman" w:asciiTheme="majorBidi" w:hAnsiTheme="majorBidi" w:cstheme="majorBidi"/>
        </w:rPr>
        <w:t xml:space="preserve">(2), 22-35. </w:t>
      </w:r>
      <w:r>
        <w:fldChar w:fldCharType="begin"/>
      </w:r>
      <w:r>
        <w:instrText xml:space="preserve"> HYPERLINK "https://journals.unizik.edu.ng/joga/article/view/2326" </w:instrText>
      </w:r>
      <w:r>
        <w:fldChar w:fldCharType="separate"/>
      </w:r>
      <w:r>
        <w:rPr>
          <w:rStyle w:val="17"/>
          <w:rFonts w:asciiTheme="majorBidi" w:hAnsiTheme="majorBidi" w:cstheme="majorBidi"/>
          <w:u w:val="none"/>
        </w:rPr>
        <w:t>https://journals.unizik.edu.ng/joga/article/view/2326</w:t>
      </w:r>
      <w:r>
        <w:rPr>
          <w:rStyle w:val="17"/>
          <w:rFonts w:asciiTheme="majorBidi" w:hAnsiTheme="majorBidi" w:cstheme="majorBidi"/>
          <w:u w:val="none"/>
        </w:rPr>
        <w:fldChar w:fldCharType="end"/>
      </w:r>
    </w:p>
    <w:p w14:paraId="46B4F393">
      <w:pPr>
        <w:pStyle w:val="41"/>
        <w:spacing w:after="160"/>
        <w:ind w:left="720" w:hanging="720"/>
        <w:jc w:val="both"/>
        <w:rPr>
          <w:rFonts w:asciiTheme="majorBidi" w:hAnsiTheme="majorBidi" w:cstheme="majorBidi"/>
          <w:lang w:val="en-US"/>
        </w:rPr>
      </w:pPr>
      <w:r>
        <w:rPr>
          <w:rFonts w:asciiTheme="majorBidi" w:hAnsiTheme="majorBidi" w:cstheme="majorBidi"/>
          <w:lang w:val="en-US"/>
        </w:rPr>
        <w:t>Elaoud, A., &amp; Jarboui, A. (2017). Auditor specialization, accounting information quality and investment efficiency. </w:t>
      </w:r>
      <w:r>
        <w:rPr>
          <w:rFonts w:asciiTheme="majorBidi" w:hAnsiTheme="majorBidi" w:cstheme="majorBidi"/>
          <w:i/>
          <w:iCs/>
          <w:lang w:val="en-US"/>
        </w:rPr>
        <w:t>Research in International Business and Finance</w:t>
      </w:r>
      <w:r>
        <w:rPr>
          <w:rFonts w:asciiTheme="majorBidi" w:hAnsiTheme="majorBidi" w:cstheme="majorBidi"/>
          <w:lang w:val="en-US"/>
        </w:rPr>
        <w:t>, </w:t>
      </w:r>
      <w:r>
        <w:rPr>
          <w:rFonts w:asciiTheme="majorBidi" w:hAnsiTheme="majorBidi" w:cstheme="majorBidi"/>
          <w:i/>
          <w:iCs/>
          <w:lang w:val="en-US"/>
        </w:rPr>
        <w:t>42</w:t>
      </w:r>
      <w:r>
        <w:rPr>
          <w:rFonts w:asciiTheme="majorBidi" w:hAnsiTheme="majorBidi" w:cstheme="majorBidi"/>
          <w:lang w:val="en-US"/>
        </w:rPr>
        <w:t>, 616-629.</w:t>
      </w:r>
    </w:p>
    <w:p w14:paraId="26F126D2">
      <w:pPr>
        <w:pStyle w:val="41"/>
        <w:spacing w:after="160"/>
        <w:ind w:left="720" w:hanging="720"/>
        <w:jc w:val="both"/>
        <w:rPr>
          <w:rFonts w:asciiTheme="majorBidi" w:hAnsiTheme="majorBidi" w:cstheme="majorBidi"/>
        </w:rPr>
      </w:pPr>
      <w:r>
        <w:rPr>
          <w:rFonts w:asciiTheme="majorBidi" w:hAnsiTheme="majorBidi" w:cstheme="majorBidi"/>
        </w:rPr>
        <w:t xml:space="preserve">Ernst, D., &amp; Woithe, F. (2024). Impact of the environmental, social, and governance rating on the cost of capital: Evidence from the S&amp;P 500. </w:t>
      </w:r>
      <w:r>
        <w:rPr>
          <w:rStyle w:val="14"/>
          <w:rFonts w:asciiTheme="majorBidi" w:hAnsiTheme="majorBidi" w:cstheme="majorBidi"/>
        </w:rPr>
        <w:t>Journal of Risk and Financial Management, 17(3),</w:t>
      </w:r>
      <w:r>
        <w:rPr>
          <w:rFonts w:asciiTheme="majorBidi" w:hAnsiTheme="majorBidi" w:cstheme="majorBidi"/>
        </w:rPr>
        <w:t xml:space="preserve"> 91. </w:t>
      </w:r>
      <w:r>
        <w:fldChar w:fldCharType="begin"/>
      </w:r>
      <w:r>
        <w:instrText xml:space="preserve"> HYPERLINK "https://doi.org/10.3390/jrfm17030091" \t "_new" </w:instrText>
      </w:r>
      <w:r>
        <w:fldChar w:fldCharType="separate"/>
      </w:r>
      <w:r>
        <w:rPr>
          <w:rStyle w:val="17"/>
          <w:rFonts w:asciiTheme="majorBidi" w:hAnsiTheme="majorBidi" w:cstheme="majorBidi"/>
          <w:u w:val="none"/>
        </w:rPr>
        <w:t>https://doi.org/10.3390/jrfm17030091</w:t>
      </w:r>
      <w:r>
        <w:rPr>
          <w:rStyle w:val="17"/>
          <w:rFonts w:asciiTheme="majorBidi" w:hAnsiTheme="majorBidi" w:cstheme="majorBidi"/>
          <w:u w:val="none"/>
        </w:rPr>
        <w:fldChar w:fldCharType="end"/>
      </w:r>
    </w:p>
    <w:p w14:paraId="0C6B06A8">
      <w:pPr>
        <w:pStyle w:val="41"/>
        <w:spacing w:after="160"/>
        <w:ind w:left="720" w:hanging="720"/>
        <w:jc w:val="both"/>
        <w:rPr>
          <w:rFonts w:asciiTheme="majorBidi" w:hAnsiTheme="majorBidi" w:cstheme="majorBidi"/>
        </w:rPr>
      </w:pPr>
      <w:r>
        <w:rPr>
          <w:rFonts w:asciiTheme="majorBidi" w:hAnsiTheme="majorBidi" w:cstheme="majorBidi"/>
        </w:rPr>
        <w:t xml:space="preserve">Falana, G. A., Igbekoyi, O. E., &amp; Oluwagbade, O. I. (2025). Firm attributes and financial reporting quality of listed multinational firms in Nigeria. </w:t>
      </w:r>
      <w:r>
        <w:rPr>
          <w:rStyle w:val="14"/>
          <w:rFonts w:asciiTheme="majorBidi" w:hAnsiTheme="majorBidi" w:cstheme="majorBidi"/>
        </w:rPr>
        <w:t>Universal Journal of Accounting and Finance, 13</w:t>
      </w:r>
      <w:r>
        <w:rPr>
          <w:rFonts w:asciiTheme="majorBidi" w:hAnsiTheme="majorBidi" w:cstheme="majorBidi"/>
        </w:rPr>
        <w:t xml:space="preserve">(1), 24–38. </w:t>
      </w:r>
      <w:r>
        <w:fldChar w:fldCharType="begin"/>
      </w:r>
      <w:r>
        <w:instrText xml:space="preserve"> HYPERLINK "https://doi.org/10.13189/ujaf.2025.130103" </w:instrText>
      </w:r>
      <w:r>
        <w:fldChar w:fldCharType="separate"/>
      </w:r>
      <w:r>
        <w:rPr>
          <w:rStyle w:val="17"/>
          <w:rFonts w:asciiTheme="majorBidi" w:hAnsiTheme="majorBidi" w:cstheme="majorBidi"/>
          <w:u w:val="none"/>
        </w:rPr>
        <w:t>https://doi.org/10.13189/ujaf.2025.130103</w:t>
      </w:r>
      <w:r>
        <w:rPr>
          <w:rStyle w:val="17"/>
          <w:rFonts w:asciiTheme="majorBidi" w:hAnsiTheme="majorBidi" w:cstheme="majorBidi"/>
          <w:u w:val="none"/>
        </w:rPr>
        <w:fldChar w:fldCharType="end"/>
      </w:r>
    </w:p>
    <w:p w14:paraId="00EB0FA3">
      <w:pPr>
        <w:pStyle w:val="41"/>
        <w:spacing w:after="160"/>
        <w:ind w:left="720" w:hanging="720"/>
        <w:jc w:val="both"/>
        <w:rPr>
          <w:rFonts w:eastAsia="Times New Roman"/>
        </w:rPr>
      </w:pPr>
      <w:r>
        <w:rPr>
          <w:rFonts w:eastAsia="Times New Roman"/>
        </w:rPr>
        <w:t xml:space="preserve">Fama, E. F. (1970). Efficient capital markets: A review of theory and empirical work. </w:t>
      </w:r>
      <w:r>
        <w:rPr>
          <w:rFonts w:eastAsia="Times New Roman"/>
          <w:i/>
          <w:iCs/>
        </w:rPr>
        <w:t>Journal of Finance</w:t>
      </w:r>
      <w:r>
        <w:rPr>
          <w:rFonts w:eastAsia="Times New Roman"/>
        </w:rPr>
        <w:t xml:space="preserve">, </w:t>
      </w:r>
      <w:r>
        <w:rPr>
          <w:rFonts w:eastAsia="Times New Roman"/>
          <w:i/>
          <w:iCs/>
        </w:rPr>
        <w:t>25</w:t>
      </w:r>
      <w:r>
        <w:rPr>
          <w:rFonts w:eastAsia="Times New Roman"/>
        </w:rPr>
        <w:t xml:space="preserve">(2), 383–417. </w:t>
      </w:r>
      <w:r>
        <w:fldChar w:fldCharType="begin"/>
      </w:r>
      <w:r>
        <w:instrText xml:space="preserve"> HYPERLINK "https://doi.org/10.2307/2325486" </w:instrText>
      </w:r>
      <w:r>
        <w:fldChar w:fldCharType="separate"/>
      </w:r>
      <w:r>
        <w:rPr>
          <w:rStyle w:val="17"/>
          <w:rFonts w:eastAsia="Times New Roman"/>
          <w:u w:val="none"/>
        </w:rPr>
        <w:t>https://doi.org/10.2307/2325486</w:t>
      </w:r>
      <w:r>
        <w:rPr>
          <w:rStyle w:val="17"/>
          <w:rFonts w:eastAsia="Times New Roman"/>
          <w:u w:val="none"/>
        </w:rPr>
        <w:fldChar w:fldCharType="end"/>
      </w:r>
    </w:p>
    <w:p w14:paraId="54C380F5">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Francis, J. R., Khurana, I. K., &amp; Pereira, R. (2022). Disclosure quality and cost of capital: Evidence from banking institutions. </w:t>
      </w:r>
      <w:r>
        <w:rPr>
          <w:rFonts w:eastAsia="Times New Roman" w:asciiTheme="majorBidi" w:hAnsiTheme="majorBidi" w:cstheme="majorBidi"/>
          <w:i/>
          <w:iCs/>
          <w:kern w:val="0"/>
          <w14:ligatures w14:val="none"/>
        </w:rPr>
        <w:t>Contemporary Accounting Research, 39</w:t>
      </w:r>
      <w:r>
        <w:rPr>
          <w:rFonts w:eastAsia="Times New Roman" w:asciiTheme="majorBidi" w:hAnsiTheme="majorBidi" w:cstheme="majorBidi"/>
          <w:kern w:val="0"/>
          <w14:ligatures w14:val="none"/>
        </w:rPr>
        <w:t>(1), 120-150.</w:t>
      </w:r>
    </w:p>
    <w:p w14:paraId="6B371F4E">
      <w:pPr>
        <w:pStyle w:val="41"/>
        <w:spacing w:after="160"/>
        <w:ind w:left="720" w:hanging="720"/>
        <w:jc w:val="both"/>
        <w:rPr>
          <w:rFonts w:eastAsia="Times New Roman"/>
        </w:rPr>
      </w:pPr>
      <w:r>
        <w:rPr>
          <w:rFonts w:eastAsia="Times New Roman"/>
          <w:lang w:val="en-US"/>
        </w:rPr>
        <w:t xml:space="preserve">Francis, J., LaFond, R., Olsson, P. M., &amp; Schipper, K. (2004). </w:t>
      </w:r>
      <w:r>
        <w:rPr>
          <w:rFonts w:eastAsia="Times New Roman"/>
        </w:rPr>
        <w:t xml:space="preserve">Costs of equity and earnings attributes. </w:t>
      </w:r>
      <w:r>
        <w:rPr>
          <w:rFonts w:eastAsia="Times New Roman"/>
          <w:i/>
          <w:iCs/>
        </w:rPr>
        <w:t>The Accounting Review</w:t>
      </w:r>
      <w:r>
        <w:rPr>
          <w:rFonts w:eastAsia="Times New Roman"/>
        </w:rPr>
        <w:t>, 79(4), 967–1010.​</w:t>
      </w:r>
    </w:p>
    <w:p w14:paraId="3CB8D2A5">
      <w:pPr>
        <w:pStyle w:val="41"/>
        <w:spacing w:after="160"/>
        <w:ind w:left="720" w:hanging="720"/>
        <w:jc w:val="both"/>
        <w:rPr>
          <w:rFonts w:asciiTheme="majorBidi" w:hAnsiTheme="majorBidi" w:cstheme="majorBidi"/>
        </w:rPr>
      </w:pPr>
      <w:r>
        <w:rPr>
          <w:rFonts w:eastAsia="Times New Roman" w:asciiTheme="majorBidi" w:hAnsiTheme="majorBidi" w:cstheme="majorBidi"/>
        </w:rPr>
        <w:t xml:space="preserve">Gaynor, L. M., Kelton, A. S., Mercer, M., &amp; Yohn, T. L. (2016). Understanding the relation between financial reporting quality and audit quality. </w:t>
      </w:r>
      <w:r>
        <w:rPr>
          <w:rFonts w:eastAsia="Times New Roman" w:asciiTheme="majorBidi" w:hAnsiTheme="majorBidi" w:cstheme="majorBidi"/>
          <w:i/>
          <w:iCs/>
        </w:rPr>
        <w:t>AUDITING: A Journal of practice &amp; Theory</w:t>
      </w:r>
      <w:r>
        <w:rPr>
          <w:rFonts w:eastAsia="Times New Roman" w:asciiTheme="majorBidi" w:hAnsiTheme="majorBidi" w:cstheme="majorBidi"/>
        </w:rPr>
        <w:t xml:space="preserve">, </w:t>
      </w:r>
      <w:r>
        <w:rPr>
          <w:rFonts w:eastAsia="Times New Roman" w:asciiTheme="majorBidi" w:hAnsiTheme="majorBidi" w:cstheme="majorBidi"/>
          <w:i/>
          <w:iCs/>
        </w:rPr>
        <w:t>35</w:t>
      </w:r>
      <w:r>
        <w:rPr>
          <w:rFonts w:eastAsia="Times New Roman" w:asciiTheme="majorBidi" w:hAnsiTheme="majorBidi" w:cstheme="majorBidi"/>
        </w:rPr>
        <w:t xml:space="preserve">(4), 1-22. </w:t>
      </w:r>
      <w:r>
        <w:fldChar w:fldCharType="begin"/>
      </w:r>
      <w:r>
        <w:instrText xml:space="preserve"> HYPERLINK "https://doi.org/10.2308/ajpt-51453" \t "_blank" </w:instrText>
      </w:r>
      <w:r>
        <w:fldChar w:fldCharType="separate"/>
      </w:r>
      <w:r>
        <w:rPr>
          <w:rStyle w:val="17"/>
          <w:rFonts w:asciiTheme="majorBidi" w:hAnsiTheme="majorBidi" w:cstheme="majorBidi"/>
          <w:u w:val="none"/>
        </w:rPr>
        <w:t>https://doi.org/10.2308/ajpt-51453</w:t>
      </w:r>
      <w:r>
        <w:rPr>
          <w:rStyle w:val="17"/>
          <w:rFonts w:asciiTheme="majorBidi" w:hAnsiTheme="majorBidi" w:cstheme="majorBidi"/>
          <w:u w:val="none"/>
        </w:rPr>
        <w:fldChar w:fldCharType="end"/>
      </w:r>
      <w:r>
        <w:rPr>
          <w:rFonts w:asciiTheme="majorBidi" w:hAnsiTheme="majorBidi" w:cstheme="majorBidi"/>
        </w:rPr>
        <w:t xml:space="preserve"> </w:t>
      </w:r>
    </w:p>
    <w:p w14:paraId="1975DF95">
      <w:pPr>
        <w:pStyle w:val="41"/>
        <w:spacing w:after="160"/>
        <w:ind w:left="720" w:hanging="720"/>
        <w:jc w:val="both"/>
        <w:rPr>
          <w:rFonts w:eastAsia="Times New Roman" w:asciiTheme="majorBidi" w:hAnsiTheme="majorBidi" w:cstheme="majorBidi"/>
        </w:rPr>
      </w:pPr>
      <w:r>
        <w:rPr>
          <w:rFonts w:eastAsia="Times New Roman"/>
        </w:rPr>
        <w:t xml:space="preserve">Habib, A., Bhuiyan, M. B. U., &amp; Hasan, M. M. (2019). IFRS adoption, financial reporting quality and cost of capital: A life cycle perspective. </w:t>
      </w:r>
      <w:r>
        <w:rPr>
          <w:rFonts w:eastAsia="Times New Roman"/>
          <w:i/>
          <w:iCs/>
        </w:rPr>
        <w:t>Pacific Accounting Review</w:t>
      </w:r>
      <w:r>
        <w:rPr>
          <w:rFonts w:eastAsia="Times New Roman"/>
        </w:rPr>
        <w:t>, 31(3), 497–522.</w:t>
      </w:r>
    </w:p>
    <w:p w14:paraId="5A0F1039">
      <w:pPr>
        <w:pStyle w:val="41"/>
        <w:spacing w:after="160"/>
        <w:ind w:left="720" w:hanging="720"/>
        <w:jc w:val="both"/>
        <w:rPr>
          <w:rFonts w:asciiTheme="majorBidi" w:hAnsiTheme="majorBidi" w:cstheme="majorBidi"/>
        </w:rPr>
      </w:pPr>
      <w:r>
        <w:rPr>
          <w:rFonts w:asciiTheme="majorBidi" w:hAnsiTheme="majorBidi" w:cstheme="majorBidi"/>
        </w:rPr>
        <w:t xml:space="preserve">Habib, A., Bhuiyan, M. B. U., &amp; Sun, X. (2023). Determinants of financial reporting timeliness and its effect on market performance. </w:t>
      </w:r>
      <w:r>
        <w:rPr>
          <w:rStyle w:val="14"/>
          <w:rFonts w:asciiTheme="majorBidi" w:hAnsiTheme="majorBidi" w:cstheme="majorBidi"/>
        </w:rPr>
        <w:t>International Journal of Accounting Research, 18</w:t>
      </w:r>
      <w:r>
        <w:rPr>
          <w:rFonts w:asciiTheme="majorBidi" w:hAnsiTheme="majorBidi" w:cstheme="majorBidi"/>
        </w:rPr>
        <w:t>(2), 102-119.</w:t>
      </w:r>
    </w:p>
    <w:p w14:paraId="0EEE4449">
      <w:pPr>
        <w:pStyle w:val="41"/>
        <w:spacing w:after="160"/>
        <w:ind w:left="720" w:hanging="720"/>
        <w:jc w:val="both"/>
        <w:rPr>
          <w:rFonts w:asciiTheme="majorBidi" w:hAnsiTheme="majorBidi" w:cstheme="majorBidi"/>
        </w:rPr>
      </w:pPr>
      <w:r>
        <w:rPr>
          <w:rFonts w:eastAsia="Times New Roman" w:asciiTheme="majorBidi" w:hAnsiTheme="majorBidi" w:cstheme="majorBidi"/>
        </w:rPr>
        <w:t xml:space="preserve">Hashmi, M. A., Istaqlal, U., &amp; Brahmana, R. K. (2024). Corporate governance and cost of equity: The moderating role of ownership concentration levels. </w:t>
      </w:r>
      <w:r>
        <w:rPr>
          <w:rFonts w:eastAsia="Times New Roman" w:asciiTheme="majorBidi" w:hAnsiTheme="majorBidi" w:cstheme="majorBidi"/>
          <w:i/>
          <w:iCs/>
        </w:rPr>
        <w:t>South Asian Journal of Business Studies</w:t>
      </w:r>
      <w:r>
        <w:rPr>
          <w:rFonts w:eastAsia="Times New Roman" w:asciiTheme="majorBidi" w:hAnsiTheme="majorBidi" w:cstheme="majorBidi"/>
        </w:rPr>
        <w:t xml:space="preserve">, </w:t>
      </w:r>
      <w:r>
        <w:rPr>
          <w:rFonts w:eastAsia="Times New Roman" w:asciiTheme="majorBidi" w:hAnsiTheme="majorBidi" w:cstheme="majorBidi"/>
          <w:i/>
          <w:iCs/>
        </w:rPr>
        <w:t>13</w:t>
      </w:r>
      <w:r>
        <w:rPr>
          <w:rFonts w:eastAsia="Times New Roman" w:asciiTheme="majorBidi" w:hAnsiTheme="majorBidi" w:cstheme="majorBidi"/>
        </w:rPr>
        <w:t xml:space="preserve">(2), 282-302. </w:t>
      </w:r>
      <w:r>
        <w:fldChar w:fldCharType="begin"/>
      </w:r>
      <w:r>
        <w:instrText xml:space="preserve"> HYPERLINK "https://doi.org/10.1108/SAJBS-01-2021-0019" \o "DOI: https://doi.org/10.1108/SAJBS-01-2021-0019" </w:instrText>
      </w:r>
      <w:r>
        <w:fldChar w:fldCharType="separate"/>
      </w:r>
      <w:r>
        <w:rPr>
          <w:rStyle w:val="17"/>
          <w:rFonts w:asciiTheme="majorBidi" w:hAnsiTheme="majorBidi" w:cstheme="majorBidi"/>
          <w:u w:val="none"/>
        </w:rPr>
        <w:t>https://doi.org/10.1108/SAJBS-01-2021-0019</w:t>
      </w:r>
      <w:r>
        <w:rPr>
          <w:rStyle w:val="17"/>
          <w:rFonts w:asciiTheme="majorBidi" w:hAnsiTheme="majorBidi" w:cstheme="majorBidi"/>
          <w:u w:val="none"/>
        </w:rPr>
        <w:fldChar w:fldCharType="end"/>
      </w:r>
    </w:p>
    <w:p w14:paraId="65BE555F">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Hassan, M., &amp; Jassim, R. (2023). Corporate governance and financial reporting quality in Iraq: An empirical study. </w:t>
      </w:r>
      <w:r>
        <w:rPr>
          <w:rFonts w:eastAsia="Times New Roman" w:asciiTheme="majorBidi" w:hAnsiTheme="majorBidi" w:cstheme="majorBidi"/>
          <w:i/>
          <w:iCs/>
        </w:rPr>
        <w:t>Iraqi Journal of Business and Economics, 18</w:t>
      </w:r>
      <w:r>
        <w:rPr>
          <w:rFonts w:eastAsia="Times New Roman" w:asciiTheme="majorBidi" w:hAnsiTheme="majorBidi" w:cstheme="majorBidi"/>
        </w:rPr>
        <w:t>(3), 112-130.</w:t>
      </w:r>
    </w:p>
    <w:p w14:paraId="51DE07D6">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Hassan, O. A., &amp; Skinner, F. S. (2016). Analyst coverage: Does the listing location really matter? </w:t>
      </w:r>
      <w:r>
        <w:rPr>
          <w:rFonts w:eastAsia="Times New Roman" w:asciiTheme="majorBidi" w:hAnsiTheme="majorBidi" w:cstheme="majorBidi"/>
          <w:i/>
          <w:iCs/>
        </w:rPr>
        <w:t>International Review of Financial Analysis</w:t>
      </w:r>
      <w:r>
        <w:rPr>
          <w:rFonts w:eastAsia="Times New Roman" w:asciiTheme="majorBidi" w:hAnsiTheme="majorBidi" w:cstheme="majorBidi"/>
        </w:rPr>
        <w:t>, 46, 227-236.</w:t>
      </w:r>
    </w:p>
    <w:p w14:paraId="4DDF6CEA">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lang w:val="en-US"/>
        </w:rPr>
        <w:t xml:space="preserve">Haupt, N. D., Vermeulen, K., &amp; du Toit, E. (2024). </w:t>
      </w:r>
      <w:r>
        <w:rPr>
          <w:rFonts w:eastAsia="Times New Roman" w:asciiTheme="majorBidi" w:hAnsiTheme="majorBidi" w:cstheme="majorBidi"/>
        </w:rPr>
        <w:t xml:space="preserve">Value relevance: A systematic literature review. </w:t>
      </w:r>
      <w:r>
        <w:rPr>
          <w:rFonts w:eastAsia="Times New Roman" w:asciiTheme="majorBidi" w:hAnsiTheme="majorBidi" w:cstheme="majorBidi"/>
          <w:i/>
          <w:iCs/>
        </w:rPr>
        <w:t>International Journal of Banking, Accounting and Finance</w:t>
      </w:r>
      <w:r>
        <w:rPr>
          <w:rFonts w:eastAsia="Times New Roman" w:asciiTheme="majorBidi" w:hAnsiTheme="majorBidi" w:cstheme="majorBidi"/>
        </w:rPr>
        <w:t>, 14(2), 178-205.</w:t>
      </w:r>
    </w:p>
    <w:p w14:paraId="0F62347D">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International Monetary Fund (IMF). (2024). </w:t>
      </w:r>
      <w:r>
        <w:rPr>
          <w:rFonts w:eastAsia="Times New Roman" w:asciiTheme="majorBidi" w:hAnsiTheme="majorBidi" w:cstheme="majorBidi"/>
          <w:i/>
          <w:iCs/>
        </w:rPr>
        <w:t>Iraq Economic Outlook 2024: Challenges and Prospects</w:t>
      </w:r>
      <w:r>
        <w:rPr>
          <w:rFonts w:eastAsia="Times New Roman" w:asciiTheme="majorBidi" w:hAnsiTheme="majorBidi" w:cstheme="majorBidi"/>
        </w:rPr>
        <w:t>. Washington, DC: IMF.</w:t>
      </w:r>
    </w:p>
    <w:p w14:paraId="45844CF7">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Ionici, O., Ionici, G., &amp; Filip, F. (2011). Cost of capital and capital budgeting decisions. </w:t>
      </w:r>
      <w:r>
        <w:rPr>
          <w:rFonts w:eastAsia="Times New Roman" w:asciiTheme="majorBidi" w:hAnsiTheme="majorBidi" w:cstheme="majorBidi"/>
          <w:i/>
          <w:iCs/>
        </w:rPr>
        <w:t>Annals of the University of Oradea, Economic Science Series, 20</w:t>
      </w:r>
      <w:r>
        <w:rPr>
          <w:rFonts w:eastAsia="Times New Roman" w:asciiTheme="majorBidi" w:hAnsiTheme="majorBidi" w:cstheme="majorBidi"/>
        </w:rPr>
        <w:t>(1), 298–304.</w:t>
      </w:r>
    </w:p>
    <w:p w14:paraId="7F898A5A">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lang w:val="en-US"/>
        </w:rPr>
        <w:t xml:space="preserve">Jagannathan, R., Matsa, D. A., Meier, I., &amp; Tarhan, V. (2017). </w:t>
      </w:r>
      <w:r>
        <w:rPr>
          <w:rFonts w:eastAsia="Times New Roman" w:asciiTheme="majorBidi" w:hAnsiTheme="majorBidi" w:cstheme="majorBidi"/>
        </w:rPr>
        <w:t xml:space="preserve">Demand uncertainty and capital structure decisions. </w:t>
      </w:r>
      <w:r>
        <w:rPr>
          <w:rFonts w:eastAsia="Times New Roman" w:asciiTheme="majorBidi" w:hAnsiTheme="majorBidi" w:cstheme="majorBidi"/>
          <w:i/>
          <w:iCs/>
        </w:rPr>
        <w:t>Annual Review of Financial Economics, 9</w:t>
      </w:r>
      <w:r>
        <w:rPr>
          <w:rFonts w:eastAsia="Times New Roman" w:asciiTheme="majorBidi" w:hAnsiTheme="majorBidi" w:cstheme="majorBidi"/>
        </w:rPr>
        <w:t xml:space="preserve">(1), 21–41. </w:t>
      </w:r>
      <w:r>
        <w:fldChar w:fldCharType="begin"/>
      </w:r>
      <w:r>
        <w:instrText xml:space="preserve"> HYPERLINK "https://doi.org/10.1146/annurev-financial-110716-032429" </w:instrText>
      </w:r>
      <w:r>
        <w:fldChar w:fldCharType="separate"/>
      </w:r>
      <w:r>
        <w:rPr>
          <w:rStyle w:val="17"/>
          <w:rFonts w:eastAsia="Times New Roman" w:asciiTheme="majorBidi" w:hAnsiTheme="majorBidi" w:cstheme="majorBidi"/>
          <w:u w:val="none"/>
        </w:rPr>
        <w:t>https://doi.org/10.1146/annurev-financial-110716-032429</w:t>
      </w:r>
      <w:r>
        <w:rPr>
          <w:rStyle w:val="17"/>
          <w:rFonts w:eastAsia="Times New Roman" w:asciiTheme="majorBidi" w:hAnsiTheme="majorBidi" w:cstheme="majorBidi"/>
          <w:u w:val="none"/>
        </w:rPr>
        <w:fldChar w:fldCharType="end"/>
      </w:r>
    </w:p>
    <w:p w14:paraId="5A8D8ABE">
      <w:pPr>
        <w:pStyle w:val="41"/>
        <w:spacing w:after="160"/>
        <w:ind w:left="720" w:hanging="720"/>
        <w:jc w:val="both"/>
        <w:rPr>
          <w:rFonts w:asciiTheme="majorBidi" w:hAnsiTheme="majorBidi" w:cstheme="majorBidi"/>
        </w:rPr>
      </w:pPr>
      <w:r>
        <w:rPr>
          <w:rFonts w:asciiTheme="majorBidi" w:hAnsiTheme="majorBidi" w:cstheme="majorBidi"/>
        </w:rPr>
        <w:t xml:space="preserve">Jim-Suleiman, S. L., &amp; Ibiamke, A. (2021). Understanding financial reporting and earnings quality: A review of concepts, determinants, and measurement approaches. </w:t>
      </w:r>
      <w:r>
        <w:rPr>
          <w:rStyle w:val="14"/>
          <w:rFonts w:asciiTheme="majorBidi" w:hAnsiTheme="majorBidi" w:cstheme="majorBidi"/>
        </w:rPr>
        <w:t>NDA Journal of Management Sciences Research, 1</w:t>
      </w:r>
      <w:r>
        <w:rPr>
          <w:rFonts w:asciiTheme="majorBidi" w:hAnsiTheme="majorBidi" w:cstheme="majorBidi"/>
        </w:rPr>
        <w:t>(1), 25–40.</w:t>
      </w:r>
    </w:p>
    <w:p w14:paraId="0310722B">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lang w:val="en-US"/>
        </w:rPr>
        <w:t xml:space="preserve">Kim, J. B., &amp; Zhang, L. (2022). </w:t>
      </w:r>
      <w:r>
        <w:rPr>
          <w:rFonts w:eastAsia="Times New Roman" w:asciiTheme="majorBidi" w:hAnsiTheme="majorBidi" w:cstheme="majorBidi"/>
        </w:rPr>
        <w:t xml:space="preserve">Accounting conservatism and stock price crash risk: Firm-level evidence. </w:t>
      </w:r>
      <w:r>
        <w:rPr>
          <w:rFonts w:eastAsia="Times New Roman" w:asciiTheme="majorBidi" w:hAnsiTheme="majorBidi" w:cstheme="majorBidi"/>
          <w:i/>
          <w:iCs/>
        </w:rPr>
        <w:t>Contemporary Accounting Research</w:t>
      </w:r>
      <w:r>
        <w:rPr>
          <w:rFonts w:eastAsia="Times New Roman" w:asciiTheme="majorBidi" w:hAnsiTheme="majorBidi" w:cstheme="majorBidi"/>
        </w:rPr>
        <w:t>, 39(1), 538-574.</w:t>
      </w:r>
    </w:p>
    <w:p w14:paraId="28F8989D">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Kim, J., Park, H., &amp; Wysocki, P. (2022). Financial reporting opacity and the cost of capital in global banking. </w:t>
      </w:r>
      <w:r>
        <w:rPr>
          <w:rFonts w:eastAsia="Times New Roman" w:asciiTheme="majorBidi" w:hAnsiTheme="majorBidi" w:cstheme="majorBidi"/>
          <w:i/>
          <w:iCs/>
          <w:kern w:val="0"/>
          <w14:ligatures w14:val="none"/>
        </w:rPr>
        <w:t>Journal of Banking &amp; Finance, 138</w:t>
      </w:r>
      <w:r>
        <w:rPr>
          <w:rFonts w:eastAsia="Times New Roman" w:asciiTheme="majorBidi" w:hAnsiTheme="majorBidi" w:cstheme="majorBidi"/>
          <w:kern w:val="0"/>
          <w14:ligatures w14:val="none"/>
        </w:rPr>
        <w:t>, 106490.</w:t>
      </w:r>
    </w:p>
    <w:p w14:paraId="64039354">
      <w:pPr>
        <w:pStyle w:val="41"/>
        <w:spacing w:after="160"/>
        <w:ind w:left="720" w:hanging="720"/>
        <w:jc w:val="both"/>
        <w:rPr>
          <w:rFonts w:eastAsia="Times New Roman" w:asciiTheme="majorBidi" w:hAnsiTheme="majorBidi" w:cstheme="majorBidi"/>
          <w:lang w:val="en-US"/>
        </w:rPr>
      </w:pPr>
      <w:r>
        <w:rPr>
          <w:rFonts w:eastAsia="Times New Roman" w:asciiTheme="majorBidi" w:hAnsiTheme="majorBidi" w:cstheme="majorBidi"/>
          <w:lang w:val="en-US"/>
        </w:rPr>
        <w:t>Kim, M., &amp; Kross, W. (2005). The ability of earnings to predict future operating cash flow has been increasing, not decreasing. </w:t>
      </w:r>
      <w:r>
        <w:rPr>
          <w:rFonts w:eastAsia="Times New Roman" w:asciiTheme="majorBidi" w:hAnsiTheme="majorBidi" w:cstheme="majorBidi"/>
          <w:i/>
          <w:iCs/>
          <w:lang w:val="en-US"/>
        </w:rPr>
        <w:t>Journal of Accounting research</w:t>
      </w:r>
      <w:r>
        <w:rPr>
          <w:rFonts w:eastAsia="Times New Roman" w:asciiTheme="majorBidi" w:hAnsiTheme="majorBidi" w:cstheme="majorBidi"/>
          <w:lang w:val="en-US"/>
        </w:rPr>
        <w:t>, </w:t>
      </w:r>
      <w:r>
        <w:rPr>
          <w:rFonts w:eastAsia="Times New Roman" w:asciiTheme="majorBidi" w:hAnsiTheme="majorBidi" w:cstheme="majorBidi"/>
          <w:i/>
          <w:iCs/>
          <w:lang w:val="en-US"/>
        </w:rPr>
        <w:t>43</w:t>
      </w:r>
      <w:r>
        <w:rPr>
          <w:rFonts w:eastAsia="Times New Roman" w:asciiTheme="majorBidi" w:hAnsiTheme="majorBidi" w:cstheme="majorBidi"/>
          <w:lang w:val="en-US"/>
        </w:rPr>
        <w:t>(5), 753-780.</w:t>
      </w:r>
    </w:p>
    <w:p w14:paraId="7837FB9E">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lang w:val="en-US"/>
        </w:rPr>
        <w:t xml:space="preserve">Li, K., Liu, X., Mai, F., &amp; Zhang, T. (2021). </w:t>
      </w:r>
      <w:r>
        <w:rPr>
          <w:rFonts w:eastAsia="Times New Roman" w:asciiTheme="majorBidi" w:hAnsiTheme="majorBidi" w:cstheme="majorBidi"/>
        </w:rPr>
        <w:t xml:space="preserve">The role of corporate culture in bad times: Evidence from the COVID-19 pandemic. </w:t>
      </w:r>
      <w:r>
        <w:rPr>
          <w:rFonts w:eastAsia="Times New Roman" w:asciiTheme="majorBidi" w:hAnsiTheme="majorBidi" w:cstheme="majorBidi"/>
          <w:i/>
          <w:iCs/>
        </w:rPr>
        <w:t>Journal of Financial and Quantitative Analysis</w:t>
      </w:r>
      <w:r>
        <w:rPr>
          <w:rFonts w:eastAsia="Times New Roman" w:asciiTheme="majorBidi" w:hAnsiTheme="majorBidi" w:cstheme="majorBidi"/>
        </w:rPr>
        <w:t>, 56(7), 2545-2583.</w:t>
      </w:r>
    </w:p>
    <w:p w14:paraId="16BCD124">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Lo, A. W. (2004). The adaptive markets hypothesis: Market efficiency from an evolutionary perspective. </w:t>
      </w:r>
      <w:r>
        <w:rPr>
          <w:rFonts w:eastAsia="Times New Roman" w:asciiTheme="majorBidi" w:hAnsiTheme="majorBidi" w:cstheme="majorBidi"/>
          <w:i/>
          <w:iCs/>
        </w:rPr>
        <w:t>Journal of Portfolio Management</w:t>
      </w:r>
      <w:r>
        <w:rPr>
          <w:rFonts w:eastAsia="Times New Roman" w:asciiTheme="majorBidi" w:hAnsiTheme="majorBidi" w:cstheme="majorBidi"/>
        </w:rPr>
        <w:t>, 30(5), 15-29.</w:t>
      </w:r>
    </w:p>
    <w:p w14:paraId="64B0058D">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Malkiel, B. G. (2003). The efficient market hypothesis and its critics. </w:t>
      </w:r>
      <w:r>
        <w:rPr>
          <w:rFonts w:eastAsia="Times New Roman" w:asciiTheme="majorBidi" w:hAnsiTheme="majorBidi" w:cstheme="majorBidi"/>
          <w:i/>
          <w:iCs/>
        </w:rPr>
        <w:t>Journal of Economic Perspectives</w:t>
      </w:r>
      <w:r>
        <w:rPr>
          <w:rFonts w:eastAsia="Times New Roman" w:asciiTheme="majorBidi" w:hAnsiTheme="majorBidi" w:cstheme="majorBidi"/>
        </w:rPr>
        <w:t>, 17(1), 59-82.</w:t>
      </w:r>
    </w:p>
    <w:p w14:paraId="4FD1EA42">
      <w:pPr>
        <w:pStyle w:val="41"/>
        <w:spacing w:after="160"/>
        <w:ind w:left="720" w:hanging="720"/>
        <w:jc w:val="both"/>
        <w:rPr>
          <w:rFonts w:asciiTheme="majorBidi" w:hAnsiTheme="majorBidi" w:cstheme="majorBidi"/>
          <w:lang w:val="en-US"/>
        </w:rPr>
      </w:pPr>
      <w:r>
        <w:rPr>
          <w:rFonts w:eastAsia="Times New Roman"/>
        </w:rPr>
        <w:t xml:space="preserve">Malkiel, B. G. (2021). </w:t>
      </w:r>
      <w:r>
        <w:rPr>
          <w:rFonts w:eastAsia="Times New Roman"/>
          <w:i/>
          <w:iCs/>
        </w:rPr>
        <w:t>A random walk down Wall Street: The time-tested strategy for successful investing</w:t>
      </w:r>
      <w:r>
        <w:rPr>
          <w:rFonts w:eastAsia="Times New Roman"/>
        </w:rPr>
        <w:t xml:space="preserve"> (13th ed.). W. W. Norton &amp; Company.</w:t>
      </w:r>
    </w:p>
    <w:p w14:paraId="4314BF5E">
      <w:pPr>
        <w:pStyle w:val="41"/>
        <w:spacing w:after="160"/>
        <w:ind w:left="720" w:hanging="720"/>
        <w:jc w:val="both"/>
        <w:rPr>
          <w:rFonts w:asciiTheme="majorBidi" w:hAnsiTheme="majorBidi" w:cstheme="majorBidi"/>
        </w:rPr>
      </w:pPr>
      <w:r>
        <w:rPr>
          <w:rFonts w:eastAsia="Times New Roman" w:asciiTheme="majorBidi" w:hAnsiTheme="majorBidi" w:cstheme="majorBidi"/>
        </w:rPr>
        <w:t xml:space="preserve">Meneses Cerón, L. Á., van Klyton, A., Rojas, A., &amp; Muñoz, J. (2024). Climate risk and its impact on the cost of capital—A systematic literature review. </w:t>
      </w:r>
      <w:r>
        <w:rPr>
          <w:rFonts w:eastAsia="Times New Roman" w:asciiTheme="majorBidi" w:hAnsiTheme="majorBidi" w:cstheme="majorBidi"/>
          <w:i/>
          <w:iCs/>
        </w:rPr>
        <w:t>Sustainability</w:t>
      </w:r>
      <w:r>
        <w:rPr>
          <w:rFonts w:eastAsia="Times New Roman" w:asciiTheme="majorBidi" w:hAnsiTheme="majorBidi" w:cstheme="majorBidi"/>
        </w:rPr>
        <w:t xml:space="preserve">, </w:t>
      </w:r>
      <w:r>
        <w:rPr>
          <w:rFonts w:eastAsia="Times New Roman" w:asciiTheme="majorBidi" w:hAnsiTheme="majorBidi" w:cstheme="majorBidi"/>
          <w:i/>
          <w:iCs/>
        </w:rPr>
        <w:t>16</w:t>
      </w:r>
      <w:r>
        <w:rPr>
          <w:rFonts w:eastAsia="Times New Roman" w:asciiTheme="majorBidi" w:hAnsiTheme="majorBidi" w:cstheme="majorBidi"/>
        </w:rPr>
        <w:t xml:space="preserve">(23), 10727. </w:t>
      </w:r>
      <w:r>
        <w:fldChar w:fldCharType="begin"/>
      </w:r>
      <w:r>
        <w:instrText xml:space="preserve"> HYPERLINK "https://doi.org/10.3390/su162310727" </w:instrText>
      </w:r>
      <w:r>
        <w:fldChar w:fldCharType="separate"/>
      </w:r>
      <w:r>
        <w:rPr>
          <w:rStyle w:val="17"/>
          <w:rFonts w:asciiTheme="majorBidi" w:hAnsiTheme="majorBidi" w:cstheme="majorBidi"/>
          <w:u w:val="none"/>
        </w:rPr>
        <w:t>https://doi.org/10.3390/su162310727</w:t>
      </w:r>
      <w:r>
        <w:rPr>
          <w:rStyle w:val="17"/>
          <w:rFonts w:asciiTheme="majorBidi" w:hAnsiTheme="majorBidi" w:cstheme="majorBidi"/>
          <w:u w:val="none"/>
        </w:rPr>
        <w:fldChar w:fldCharType="end"/>
      </w:r>
    </w:p>
    <w:p w14:paraId="0DFE4761">
      <w:pPr>
        <w:spacing w:before="100" w:beforeAutospacing="1" w:after="100" w:afterAutospacing="1" w:line="240" w:lineRule="auto"/>
        <w:ind w:left="720" w:hanging="720"/>
        <w:jc w:val="both"/>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 xml:space="preserve">Modigliani, F., &amp; Miller, M. H. (1958). The cost of capital, corporation finance, and the theory of investment. </w:t>
      </w:r>
      <w:r>
        <w:rPr>
          <w:rFonts w:eastAsia="Times New Roman" w:asciiTheme="majorBidi" w:hAnsiTheme="majorBidi" w:cstheme="majorBidi"/>
          <w:i/>
          <w:iCs/>
          <w:kern w:val="0"/>
          <w14:ligatures w14:val="none"/>
        </w:rPr>
        <w:t>American Economic Review, 48</w:t>
      </w:r>
      <w:r>
        <w:rPr>
          <w:rFonts w:eastAsia="Times New Roman" w:asciiTheme="majorBidi" w:hAnsiTheme="majorBidi" w:cstheme="majorBidi"/>
          <w:kern w:val="0"/>
          <w14:ligatures w14:val="none"/>
        </w:rPr>
        <w:t>(3), 261-297.</w:t>
      </w:r>
    </w:p>
    <w:p w14:paraId="6F04F9A0">
      <w:pPr>
        <w:pStyle w:val="41"/>
        <w:spacing w:after="160"/>
        <w:ind w:left="720" w:hanging="720"/>
        <w:jc w:val="both"/>
        <w:rPr>
          <w:rFonts w:asciiTheme="majorBidi" w:hAnsiTheme="majorBidi" w:cstheme="majorBidi"/>
        </w:rPr>
      </w:pPr>
      <w:r>
        <w:rPr>
          <w:rFonts w:asciiTheme="majorBidi" w:hAnsiTheme="majorBidi" w:cstheme="majorBidi"/>
        </w:rPr>
        <w:t>Mohammadiyan, M. (2024). The impact of financial reporting quality on investment decisions: Evidence from Tehran Stock Exchange. Creative Economy and New Business Management Approaches, 1(1), 92–105.</w:t>
      </w:r>
    </w:p>
    <w:p w14:paraId="2CE96178">
      <w:pPr>
        <w:pStyle w:val="41"/>
        <w:spacing w:after="160"/>
        <w:ind w:left="720" w:hanging="720"/>
        <w:jc w:val="both"/>
        <w:rPr>
          <w:rFonts w:asciiTheme="majorBidi" w:hAnsiTheme="majorBidi" w:cstheme="majorBidi"/>
        </w:rPr>
      </w:pPr>
      <w:r>
        <w:rPr>
          <w:rFonts w:eastAsia="Times New Roman" w:asciiTheme="majorBidi" w:hAnsiTheme="majorBidi" w:cstheme="majorBidi"/>
        </w:rPr>
        <w:t xml:space="preserve">Mora, A., &amp; Walker, M. (2015). The implications of research on accounting conservatism for accounting standard setting. </w:t>
      </w:r>
      <w:r>
        <w:rPr>
          <w:rFonts w:eastAsia="Times New Roman" w:asciiTheme="majorBidi" w:hAnsiTheme="majorBidi" w:cstheme="majorBidi"/>
          <w:i/>
          <w:iCs/>
        </w:rPr>
        <w:t>Accounting and business research</w:t>
      </w:r>
      <w:r>
        <w:rPr>
          <w:rFonts w:eastAsia="Times New Roman" w:asciiTheme="majorBidi" w:hAnsiTheme="majorBidi" w:cstheme="majorBidi"/>
        </w:rPr>
        <w:t xml:space="preserve">, </w:t>
      </w:r>
      <w:r>
        <w:rPr>
          <w:rFonts w:eastAsia="Times New Roman" w:asciiTheme="majorBidi" w:hAnsiTheme="majorBidi" w:cstheme="majorBidi"/>
          <w:i/>
          <w:iCs/>
        </w:rPr>
        <w:t>45</w:t>
      </w:r>
      <w:r>
        <w:rPr>
          <w:rFonts w:eastAsia="Times New Roman" w:asciiTheme="majorBidi" w:hAnsiTheme="majorBidi" w:cstheme="majorBidi"/>
        </w:rPr>
        <w:t xml:space="preserve">(5), 620-650. </w:t>
      </w:r>
      <w:r>
        <w:fldChar w:fldCharType="begin"/>
      </w:r>
      <w:r>
        <w:instrText xml:space="preserve"> HYPERLINK "https://doi.org/10.1080/00014788.2015.1048770" </w:instrText>
      </w:r>
      <w:r>
        <w:fldChar w:fldCharType="separate"/>
      </w:r>
      <w:r>
        <w:rPr>
          <w:rStyle w:val="17"/>
          <w:rFonts w:asciiTheme="majorBidi" w:hAnsiTheme="majorBidi" w:cstheme="majorBidi"/>
          <w:u w:val="none"/>
        </w:rPr>
        <w:t>https://doi.org/10.1080/00014788.2015.1048770</w:t>
      </w:r>
      <w:r>
        <w:rPr>
          <w:rStyle w:val="17"/>
          <w:rFonts w:asciiTheme="majorBidi" w:hAnsiTheme="majorBidi" w:cstheme="majorBidi"/>
          <w:u w:val="none"/>
        </w:rPr>
        <w:fldChar w:fldCharType="end"/>
      </w:r>
    </w:p>
    <w:p w14:paraId="104CF344">
      <w:pPr>
        <w:pStyle w:val="41"/>
        <w:spacing w:after="160"/>
        <w:ind w:left="720" w:hanging="720"/>
        <w:jc w:val="both"/>
      </w:pPr>
      <w:r>
        <w:t xml:space="preserve">Ohlson, J. A. (1995). Earnings, book values, and dividends in equity valuation. </w:t>
      </w:r>
      <w:r>
        <w:rPr>
          <w:rStyle w:val="14"/>
        </w:rPr>
        <w:t>Contemporary Accounting Research, 11</w:t>
      </w:r>
      <w:r>
        <w:t xml:space="preserve">(2), 661-687. </w:t>
      </w:r>
      <w:r>
        <w:fldChar w:fldCharType="begin"/>
      </w:r>
      <w:r>
        <w:instrText xml:space="preserve"> HYPERLINK "https://doi.org/10.1111/j.1911-3846.1995.tb00461.x" </w:instrText>
      </w:r>
      <w:r>
        <w:fldChar w:fldCharType="separate"/>
      </w:r>
      <w:r>
        <w:rPr>
          <w:rStyle w:val="17"/>
          <w:u w:val="none"/>
        </w:rPr>
        <w:t>https://doi.org/10.1111/j.1911-3846.1995.tb00461.x</w:t>
      </w:r>
      <w:r>
        <w:rPr>
          <w:rStyle w:val="17"/>
          <w:u w:val="none"/>
        </w:rPr>
        <w:fldChar w:fldCharType="end"/>
      </w:r>
    </w:p>
    <w:p w14:paraId="731D33CB">
      <w:pPr>
        <w:pStyle w:val="41"/>
        <w:spacing w:after="160"/>
        <w:ind w:left="720" w:hanging="720"/>
        <w:jc w:val="both"/>
        <w:rPr>
          <w:rFonts w:asciiTheme="majorBidi" w:hAnsiTheme="majorBidi" w:cstheme="majorBidi"/>
        </w:rPr>
      </w:pPr>
      <w:r>
        <w:t>Petreski, A., Schäfer, D., &amp; Stephan, A. (2025). The reputation effect of repeated green</w:t>
      </w:r>
      <w:r>
        <w:rPr>
          <w:rFonts w:ascii="Cambria Math" w:hAnsi="Cambria Math" w:cs="Cambria Math"/>
        </w:rPr>
        <w:t>‐</w:t>
      </w:r>
      <w:r>
        <w:t xml:space="preserve">bond issuance and its impact on the cost of capital. </w:t>
      </w:r>
      <w:r>
        <w:rPr>
          <w:rStyle w:val="14"/>
        </w:rPr>
        <w:t>Business Strategy and the Environment, 34</w:t>
      </w:r>
      <w:r>
        <w:t xml:space="preserve">(2), 2436-2448. </w:t>
      </w:r>
      <w:r>
        <w:fldChar w:fldCharType="begin"/>
      </w:r>
      <w:r>
        <w:instrText xml:space="preserve"> HYPERLINK "https://doi.org/10.1002/bse.4111" \t "_new" </w:instrText>
      </w:r>
      <w:r>
        <w:fldChar w:fldCharType="separate"/>
      </w:r>
      <w:r>
        <w:rPr>
          <w:rStyle w:val="17"/>
          <w:u w:val="none"/>
        </w:rPr>
        <w:t>https://doi.org/10.1002/bse.4111</w:t>
      </w:r>
      <w:r>
        <w:rPr>
          <w:rStyle w:val="17"/>
          <w:u w:val="none"/>
        </w:rPr>
        <w:fldChar w:fldCharType="end"/>
      </w:r>
    </w:p>
    <w:p w14:paraId="4258E683">
      <w:pPr>
        <w:pStyle w:val="41"/>
        <w:spacing w:after="160"/>
        <w:ind w:left="720" w:hanging="720"/>
        <w:jc w:val="both"/>
        <w:rPr>
          <w:rFonts w:asciiTheme="majorBidi" w:hAnsiTheme="majorBidi" w:cstheme="majorBidi"/>
        </w:rPr>
      </w:pPr>
      <w:r>
        <w:rPr>
          <w:rFonts w:eastAsia="Times New Roman" w:asciiTheme="majorBidi" w:hAnsiTheme="majorBidi" w:cstheme="majorBidi"/>
          <w:lang w:val="en-US"/>
        </w:rPr>
        <w:t xml:space="preserve">Qi, Y., Zou, Y., &amp; Shi, F. (2025). </w:t>
      </w:r>
      <w:r>
        <w:rPr>
          <w:rFonts w:eastAsia="Times New Roman" w:asciiTheme="majorBidi" w:hAnsiTheme="majorBidi" w:cstheme="majorBidi"/>
        </w:rPr>
        <w:t xml:space="preserve">CEO social capital and implied cost of capital: Based on the empirical evidence of Chinese family businesses. </w:t>
      </w:r>
      <w:r>
        <w:rPr>
          <w:rFonts w:eastAsia="Times New Roman" w:asciiTheme="majorBidi" w:hAnsiTheme="majorBidi" w:cstheme="majorBidi"/>
          <w:i/>
          <w:iCs/>
        </w:rPr>
        <w:t>PloS one</w:t>
      </w:r>
      <w:r>
        <w:rPr>
          <w:rFonts w:eastAsia="Times New Roman" w:asciiTheme="majorBidi" w:hAnsiTheme="majorBidi" w:cstheme="majorBidi"/>
        </w:rPr>
        <w:t xml:space="preserve">, </w:t>
      </w:r>
      <w:r>
        <w:rPr>
          <w:rFonts w:eastAsia="Times New Roman" w:asciiTheme="majorBidi" w:hAnsiTheme="majorBidi" w:cstheme="majorBidi"/>
          <w:i/>
          <w:iCs/>
        </w:rPr>
        <w:t>20</w:t>
      </w:r>
      <w:r>
        <w:rPr>
          <w:rFonts w:eastAsia="Times New Roman" w:asciiTheme="majorBidi" w:hAnsiTheme="majorBidi" w:cstheme="majorBidi"/>
        </w:rPr>
        <w:t xml:space="preserve">(3), e0316535. </w:t>
      </w:r>
      <w:r>
        <w:fldChar w:fldCharType="begin"/>
      </w:r>
      <w:r>
        <w:instrText xml:space="preserve"> HYPERLINK "https://doi.org/10.1371/journal.pone.0316535" </w:instrText>
      </w:r>
      <w:r>
        <w:fldChar w:fldCharType="separate"/>
      </w:r>
      <w:r>
        <w:rPr>
          <w:rStyle w:val="17"/>
          <w:rFonts w:asciiTheme="majorBidi" w:hAnsiTheme="majorBidi" w:cstheme="majorBidi"/>
          <w:u w:val="none"/>
        </w:rPr>
        <w:t>https://doi.org/10.1371/journal.pone.0316535</w:t>
      </w:r>
      <w:r>
        <w:rPr>
          <w:rStyle w:val="17"/>
          <w:rFonts w:asciiTheme="majorBidi" w:hAnsiTheme="majorBidi" w:cstheme="majorBidi"/>
          <w:u w:val="none"/>
        </w:rPr>
        <w:fldChar w:fldCharType="end"/>
      </w:r>
    </w:p>
    <w:p w14:paraId="678FFB7D">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Renkas, J., Goncharenko, O., &amp; Lukianets, O. (2015). Quality of financial reporting: approaches to measuring. </w:t>
      </w:r>
      <w:r>
        <w:rPr>
          <w:rFonts w:eastAsia="Times New Roman" w:asciiTheme="majorBidi" w:hAnsiTheme="majorBidi" w:cstheme="majorBidi"/>
          <w:i/>
          <w:iCs/>
        </w:rPr>
        <w:t>International Journal of Accounting and Economics Studies</w:t>
      </w:r>
      <w:r>
        <w:rPr>
          <w:rFonts w:eastAsia="Times New Roman" w:asciiTheme="majorBidi" w:hAnsiTheme="majorBidi" w:cstheme="majorBidi"/>
        </w:rPr>
        <w:t xml:space="preserve">, </w:t>
      </w:r>
      <w:r>
        <w:rPr>
          <w:rFonts w:eastAsia="Times New Roman" w:asciiTheme="majorBidi" w:hAnsiTheme="majorBidi" w:cstheme="majorBidi"/>
          <w:i/>
          <w:iCs/>
        </w:rPr>
        <w:t>4</w:t>
      </w:r>
      <w:r>
        <w:rPr>
          <w:rFonts w:eastAsia="Times New Roman" w:asciiTheme="majorBidi" w:hAnsiTheme="majorBidi" w:cstheme="majorBidi"/>
        </w:rPr>
        <w:t xml:space="preserve">(1), 1-5. </w:t>
      </w:r>
    </w:p>
    <w:p w14:paraId="19AFEAB1">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Shiller, R. J. (2003). From efficient markets theory to behavioral finance. </w:t>
      </w:r>
      <w:r>
        <w:rPr>
          <w:rFonts w:eastAsia="Times New Roman" w:asciiTheme="majorBidi" w:hAnsiTheme="majorBidi" w:cstheme="majorBidi"/>
          <w:i/>
          <w:iCs/>
        </w:rPr>
        <w:t>Journal of Economic Perspectives</w:t>
      </w:r>
      <w:r>
        <w:rPr>
          <w:rFonts w:eastAsia="Times New Roman" w:asciiTheme="majorBidi" w:hAnsiTheme="majorBidi" w:cstheme="majorBidi"/>
        </w:rPr>
        <w:t>, 17(1), 83-104.</w:t>
      </w:r>
    </w:p>
    <w:p w14:paraId="0CCB3A95">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Stiglitz, J. E. (2000). The contributions of the economics of information to twentieth century economics. </w:t>
      </w:r>
      <w:r>
        <w:rPr>
          <w:rFonts w:eastAsia="Times New Roman" w:asciiTheme="majorBidi" w:hAnsiTheme="majorBidi" w:cstheme="majorBidi"/>
          <w:i/>
          <w:iCs/>
        </w:rPr>
        <w:t>The Quarterly Journal of Economics</w:t>
      </w:r>
      <w:r>
        <w:rPr>
          <w:rFonts w:eastAsia="Times New Roman" w:asciiTheme="majorBidi" w:hAnsiTheme="majorBidi" w:cstheme="majorBidi"/>
        </w:rPr>
        <w:t>, 115(4), 1441-1478.</w:t>
      </w:r>
    </w:p>
    <w:p w14:paraId="6B931508">
      <w:pPr>
        <w:pStyle w:val="41"/>
        <w:spacing w:after="160"/>
        <w:ind w:left="720" w:hanging="720"/>
        <w:jc w:val="both"/>
        <w:rPr>
          <w:rFonts w:asciiTheme="majorBidi" w:hAnsiTheme="majorBidi" w:cstheme="majorBidi"/>
        </w:rPr>
      </w:pPr>
      <w:r>
        <w:rPr>
          <w:rFonts w:eastAsia="Times New Roman" w:asciiTheme="majorBidi" w:hAnsiTheme="majorBidi" w:cstheme="majorBidi"/>
        </w:rPr>
        <w:t xml:space="preserve">Synn, C., &amp; Williams, C. D. (2024). Financial reporting quality and optimal capital structure. </w:t>
      </w:r>
      <w:r>
        <w:rPr>
          <w:rFonts w:eastAsia="Times New Roman" w:asciiTheme="majorBidi" w:hAnsiTheme="majorBidi" w:cstheme="majorBidi"/>
          <w:i/>
          <w:iCs/>
        </w:rPr>
        <w:t>Journal of Business Finance &amp; Accounting</w:t>
      </w:r>
      <w:r>
        <w:rPr>
          <w:rFonts w:eastAsia="Times New Roman" w:asciiTheme="majorBidi" w:hAnsiTheme="majorBidi" w:cstheme="majorBidi"/>
        </w:rPr>
        <w:t xml:space="preserve">, </w:t>
      </w:r>
      <w:r>
        <w:rPr>
          <w:rFonts w:eastAsia="Times New Roman" w:asciiTheme="majorBidi" w:hAnsiTheme="majorBidi" w:cstheme="majorBidi"/>
          <w:i/>
          <w:iCs/>
        </w:rPr>
        <w:t>51</w:t>
      </w:r>
      <w:r>
        <w:rPr>
          <w:rFonts w:eastAsia="Times New Roman" w:asciiTheme="majorBidi" w:hAnsiTheme="majorBidi" w:cstheme="majorBidi"/>
        </w:rPr>
        <w:t xml:space="preserve">(5-6), 885-910. </w:t>
      </w:r>
      <w:r>
        <w:fldChar w:fldCharType="begin"/>
      </w:r>
      <w:r>
        <w:instrText xml:space="preserve"> HYPERLINK "https://doi.org/10.1111/jbfa.12697" </w:instrText>
      </w:r>
      <w:r>
        <w:fldChar w:fldCharType="separate"/>
      </w:r>
      <w:r>
        <w:rPr>
          <w:rStyle w:val="17"/>
          <w:rFonts w:asciiTheme="majorBidi" w:hAnsiTheme="majorBidi" w:cstheme="majorBidi"/>
          <w:u w:val="none"/>
        </w:rPr>
        <w:t>https://doi.org/10.1111/jbfa.12697</w:t>
      </w:r>
      <w:r>
        <w:rPr>
          <w:rStyle w:val="17"/>
          <w:rFonts w:asciiTheme="majorBidi" w:hAnsiTheme="majorBidi" w:cstheme="majorBidi"/>
          <w:u w:val="none"/>
        </w:rPr>
        <w:fldChar w:fldCharType="end"/>
      </w:r>
    </w:p>
    <w:p w14:paraId="049AC8E0">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Vernimmen, P., Quiry, P., Dallocchio, M., Le Fur, Y., &amp; Salvi, A. (2017). </w:t>
      </w:r>
      <w:r>
        <w:rPr>
          <w:rFonts w:eastAsia="Times New Roman" w:asciiTheme="majorBidi" w:hAnsiTheme="majorBidi" w:cstheme="majorBidi"/>
          <w:i/>
          <w:iCs/>
        </w:rPr>
        <w:t>Corporate finance: Theory and practice</w:t>
      </w:r>
      <w:r>
        <w:rPr>
          <w:rFonts w:eastAsia="Times New Roman" w:asciiTheme="majorBidi" w:hAnsiTheme="majorBidi" w:cstheme="majorBidi"/>
        </w:rPr>
        <w:t xml:space="preserve"> (5th ed.). Wiley.</w:t>
      </w:r>
    </w:p>
    <w:p w14:paraId="4118DB51">
      <w:pPr>
        <w:pStyle w:val="41"/>
        <w:spacing w:after="160"/>
        <w:ind w:left="720" w:hanging="720"/>
        <w:jc w:val="both"/>
        <w:rPr>
          <w:rFonts w:eastAsia="Times New Roman" w:asciiTheme="majorBidi" w:hAnsiTheme="majorBidi" w:cstheme="majorBidi"/>
        </w:rPr>
      </w:pPr>
      <w:r>
        <w:rPr>
          <w:rFonts w:eastAsia="Times New Roman" w:asciiTheme="majorBidi" w:hAnsiTheme="majorBidi" w:cstheme="majorBidi"/>
        </w:rPr>
        <w:t xml:space="preserve">World Bank. (2023). </w:t>
      </w:r>
      <w:r>
        <w:rPr>
          <w:rFonts w:eastAsia="Times New Roman" w:asciiTheme="majorBidi" w:hAnsiTheme="majorBidi" w:cstheme="majorBidi"/>
          <w:i/>
          <w:iCs/>
        </w:rPr>
        <w:t>Financial Sector Development in Emerging Markets: Trends and Challenges</w:t>
      </w:r>
      <w:r>
        <w:rPr>
          <w:rFonts w:eastAsia="Times New Roman" w:asciiTheme="majorBidi" w:hAnsiTheme="majorBidi" w:cstheme="majorBidi"/>
        </w:rPr>
        <w:t>. World Bank Publications.</w:t>
      </w:r>
    </w:p>
    <w:p w14:paraId="274337AE">
      <w:pPr>
        <w:pStyle w:val="41"/>
        <w:spacing w:after="160"/>
        <w:ind w:left="720" w:hanging="720"/>
        <w:jc w:val="both"/>
        <w:rPr>
          <w:rFonts w:eastAsia="Times New Roman" w:asciiTheme="majorBidi" w:hAnsiTheme="majorBidi" w:cstheme="majorBidi"/>
        </w:rPr>
      </w:pPr>
    </w:p>
    <w:p w14:paraId="5B1A8075">
      <w:pPr>
        <w:jc w:val="both"/>
        <w:rPr>
          <w:rFonts w:asciiTheme="majorBidi" w:hAnsiTheme="majorBidi" w:cstheme="majorBidi"/>
          <w:lang w:val="en-GB"/>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unji Siyanbola" w:date="2025-04-14T08:15:32Z" w:initials="">
    <w:p w14:paraId="0A7F1ED3">
      <w:pPr>
        <w:pStyle w:val="13"/>
        <w:rPr>
          <w:rFonts w:hint="default"/>
          <w:lang w:val="en-US"/>
        </w:rPr>
      </w:pPr>
      <w:r>
        <w:rPr>
          <w:rFonts w:hint="default"/>
          <w:lang w:val="en-US"/>
        </w:rPr>
        <w:t>Financial Reporting Quality and Cost of Capital of listed B</w:t>
      </w:r>
      <w:bookmarkStart w:id="7" w:name="_GoBack"/>
      <w:bookmarkEnd w:id="7"/>
      <w:r>
        <w:rPr>
          <w:rFonts w:hint="default"/>
          <w:lang w:val="en-US"/>
        </w:rPr>
        <w:t>anks in Iraqi</w:t>
      </w:r>
    </w:p>
  </w:comment>
  <w:comment w:id="1" w:author="Tunji Siyanbola" w:date="2025-04-14T08:16:15Z" w:initials="">
    <w:p w14:paraId="03D940D8">
      <w:pPr>
        <w:pStyle w:val="13"/>
        <w:rPr>
          <w:rFonts w:hint="default"/>
          <w:lang w:val="en-US"/>
        </w:rPr>
      </w:pPr>
      <w:r>
        <w:rPr>
          <w:rFonts w:hint="default"/>
          <w:lang w:val="en-US"/>
        </w:rPr>
        <w:t>Start the abstract with a brief summary of the problem before talking about the objective of the study</w:t>
      </w:r>
    </w:p>
  </w:comment>
  <w:comment w:id="2" w:author="Tunji Siyanbola" w:date="2025-04-14T08:17:15Z" w:initials="">
    <w:p w14:paraId="4D99BCF9">
      <w:pPr>
        <w:pStyle w:val="13"/>
        <w:rPr>
          <w:rFonts w:hint="default"/>
          <w:lang w:val="en-US"/>
        </w:rPr>
      </w:pPr>
      <w:r>
        <w:rPr>
          <w:rFonts w:hint="default"/>
          <w:lang w:val="en-US"/>
        </w:rPr>
        <w:t>Since data is a plural, it then follows that you use ‘data were’</w:t>
      </w:r>
    </w:p>
  </w:comment>
  <w:comment w:id="3" w:author="Tunji Siyanbola" w:date="2025-04-14T08:18:55Z" w:initials="">
    <w:p w14:paraId="7748263F">
      <w:pPr>
        <w:pStyle w:val="13"/>
        <w:rPr>
          <w:rFonts w:hint="default"/>
          <w:lang w:val="en-US"/>
        </w:rPr>
      </w:pPr>
      <w:r>
        <w:rPr>
          <w:rFonts w:hint="default"/>
          <w:lang w:val="en-US"/>
        </w:rPr>
        <w:t>It is not out of place to include the statistical result, for us to know if actually they are either positive or negative and significant or non-significant</w:t>
      </w:r>
    </w:p>
  </w:comment>
  <w:comment w:id="4" w:author="Tunji Siyanbola" w:date="2025-04-14T08:20:42Z" w:initials="">
    <w:p w14:paraId="78C12967">
      <w:pPr>
        <w:pStyle w:val="13"/>
        <w:rPr>
          <w:rFonts w:hint="default"/>
          <w:lang w:val="en-US"/>
        </w:rPr>
      </w:pPr>
      <w:r>
        <w:rPr>
          <w:rFonts w:hint="default"/>
          <w:lang w:val="en-US"/>
        </w:rPr>
        <w:t>This should be arranged in alphabetical order</w:t>
      </w:r>
    </w:p>
  </w:comment>
  <w:comment w:id="5" w:author="Tunji Siyanbola" w:date="2025-04-14T08:21:40Z" w:initials="">
    <w:p w14:paraId="4085AF3E">
      <w:pPr>
        <w:pStyle w:val="13"/>
        <w:rPr>
          <w:rFonts w:hint="default"/>
          <w:lang w:val="en-US"/>
        </w:rPr>
      </w:pPr>
      <w:r>
        <w:rPr>
          <w:rFonts w:hint="default"/>
          <w:lang w:val="en-US"/>
        </w:rPr>
        <w:t>Before discussing the situation of the local bank, it is always better to first of all discuss the situation in the developed and less developed countries, for exposition purposes</w:t>
      </w:r>
    </w:p>
  </w:comment>
  <w:comment w:id="6" w:author="Tunji Siyanbola" w:date="2025-04-14T08:25:21Z" w:initials="">
    <w:p w14:paraId="0B54E8F8">
      <w:pPr>
        <w:pStyle w:val="13"/>
        <w:rPr>
          <w:rFonts w:hint="default"/>
          <w:lang w:val="en-US"/>
        </w:rPr>
      </w:pPr>
      <w:r>
        <w:rPr>
          <w:rFonts w:hint="default"/>
          <w:lang w:val="en-US"/>
        </w:rPr>
        <w:t xml:space="preserve">As stated above, also cite examples from developed and less developed countries first before talking about the home country  </w:t>
      </w:r>
    </w:p>
  </w:comment>
  <w:comment w:id="7" w:author="Tunji Siyanbola" w:date="2025-04-14T08:28:02Z" w:initials="">
    <w:p w14:paraId="49898C58">
      <w:pPr>
        <w:pStyle w:val="13"/>
        <w:rPr>
          <w:rFonts w:hint="default"/>
          <w:lang w:val="en-US"/>
        </w:rPr>
      </w:pPr>
      <w:r>
        <w:rPr>
          <w:rFonts w:hint="default"/>
          <w:lang w:val="en-US"/>
        </w:rPr>
        <w:t>sought</w:t>
      </w:r>
    </w:p>
  </w:comment>
  <w:comment w:id="8" w:author="Tunji Siyanbola" w:date="2025-04-14T08:31:07Z" w:initials="">
    <w:p w14:paraId="24E0A42D">
      <w:pPr>
        <w:pStyle w:val="13"/>
        <w:rPr>
          <w:rFonts w:hint="default"/>
          <w:lang w:val="en-US"/>
        </w:rPr>
      </w:pPr>
      <w:r>
        <w:rPr>
          <w:rFonts w:hint="default"/>
          <w:lang w:val="en-US"/>
        </w:rPr>
        <w:t>Perhaps you need to tell us how you want to measure it in your study</w:t>
      </w:r>
    </w:p>
  </w:comment>
  <w:comment w:id="9" w:author="Tunji Siyanbola" w:date="2025-04-14T08:32:00Z" w:initials="">
    <w:p w14:paraId="31665053">
      <w:pPr>
        <w:pStyle w:val="13"/>
        <w:rPr>
          <w:rFonts w:hint="default"/>
          <w:lang w:val="en-US"/>
        </w:rPr>
      </w:pPr>
      <w:r>
        <w:rPr>
          <w:rFonts w:hint="default"/>
          <w:lang w:val="en-US"/>
        </w:rPr>
        <w:t>How do you want to measure it?</w:t>
      </w:r>
    </w:p>
  </w:comment>
  <w:comment w:id="10" w:author="Tunji Siyanbola" w:date="2025-04-14T08:33:02Z" w:initials="">
    <w:p w14:paraId="4E4C1F80">
      <w:pPr>
        <w:pStyle w:val="13"/>
        <w:rPr>
          <w:rFonts w:hint="default"/>
          <w:lang w:val="en-US"/>
        </w:rPr>
      </w:pPr>
      <w:r>
        <w:rPr>
          <w:rFonts w:hint="default"/>
          <w:lang w:val="en-US"/>
        </w:rPr>
        <w:t>Measurement?</w:t>
      </w:r>
    </w:p>
  </w:comment>
  <w:comment w:id="11" w:author="Tunji Siyanbola" w:date="2025-04-14T08:34:07Z" w:initials="">
    <w:p w14:paraId="432FB5FB">
      <w:pPr>
        <w:pStyle w:val="13"/>
        <w:rPr>
          <w:rFonts w:hint="default"/>
          <w:lang w:val="en-US"/>
        </w:rPr>
      </w:pPr>
      <w:r>
        <w:rPr>
          <w:rFonts w:hint="default"/>
          <w:lang w:val="en-US"/>
        </w:rPr>
        <w:t>Talk about the critics before coming to application of the theory to your study</w:t>
      </w:r>
    </w:p>
  </w:comment>
  <w:comment w:id="12" w:author="Tunji Siyanbola" w:date="2025-04-14T08:36:59Z" w:initials="">
    <w:p w14:paraId="02927C5A">
      <w:pPr>
        <w:pStyle w:val="13"/>
        <w:rPr>
          <w:rFonts w:hint="default"/>
          <w:lang w:val="en-US"/>
        </w:rPr>
      </w:pPr>
      <w:r>
        <w:rPr>
          <w:rFonts w:hint="default"/>
          <w:lang w:val="en-US"/>
        </w:rPr>
        <w:t>Confirming the fact that it is not that within the scope of your study</w:t>
      </w:r>
    </w:p>
  </w:comment>
  <w:comment w:id="13" w:author="Tunji Siyanbola" w:date="2025-04-14T08:38:17Z" w:initials="">
    <w:p w14:paraId="6C4FC027">
      <w:pPr>
        <w:pStyle w:val="13"/>
        <w:rPr>
          <w:rFonts w:hint="default"/>
          <w:lang w:val="en-US"/>
        </w:rPr>
      </w:pPr>
      <w:r>
        <w:rPr>
          <w:rFonts w:hint="default"/>
          <w:lang w:val="en-US"/>
        </w:rPr>
        <w:t>Is corporate governance the same as FRQ?</w:t>
      </w:r>
    </w:p>
  </w:comment>
  <w:comment w:id="14" w:author="Tunji Siyanbola" w:date="2025-04-14T08:38:53Z" w:initials="">
    <w:p w14:paraId="112C247D">
      <w:pPr>
        <w:pStyle w:val="13"/>
        <w:rPr>
          <w:rFonts w:hint="default"/>
          <w:lang w:val="en-US"/>
        </w:rPr>
      </w:pPr>
      <w:r>
        <w:rPr>
          <w:rFonts w:hint="default"/>
          <w:lang w:val="en-US"/>
        </w:rPr>
        <w:t>????</w:t>
      </w:r>
    </w:p>
  </w:comment>
  <w:comment w:id="15" w:author="Tunji Siyanbola" w:date="2025-04-14T08:39:33Z" w:initials="">
    <w:p w14:paraId="7157B71D">
      <w:pPr>
        <w:pStyle w:val="13"/>
        <w:rPr>
          <w:rFonts w:hint="default"/>
          <w:lang w:val="en-US"/>
        </w:rPr>
      </w:pPr>
      <w:r>
        <w:rPr>
          <w:rFonts w:hint="default"/>
          <w:lang w:val="en-US"/>
        </w:rPr>
        <w:t>????</w:t>
      </w:r>
    </w:p>
  </w:comment>
  <w:comment w:id="16" w:author="Tunji Siyanbola" w:date="2025-04-14T08:39:57Z" w:initials="">
    <w:p w14:paraId="55A7E695">
      <w:pPr>
        <w:pStyle w:val="13"/>
        <w:rPr>
          <w:rFonts w:hint="default"/>
          <w:lang w:val="en-US"/>
        </w:rPr>
      </w:pPr>
      <w:r>
        <w:rPr>
          <w:rFonts w:hint="default"/>
          <w:lang w:val="en-US"/>
        </w:rPr>
        <w:t>???</w:t>
      </w:r>
    </w:p>
  </w:comment>
  <w:comment w:id="17" w:author="Tunji Siyanbola" w:date="2025-04-14T08:40:11Z" w:initials="">
    <w:p w14:paraId="3A167663">
      <w:pPr>
        <w:pStyle w:val="13"/>
        <w:rPr>
          <w:rFonts w:hint="default"/>
          <w:lang w:val="en-US"/>
        </w:rPr>
      </w:pPr>
      <w:r>
        <w:rPr>
          <w:rFonts w:hint="default"/>
          <w:lang w:val="en-US"/>
        </w:rPr>
        <w:t>????</w:t>
      </w:r>
    </w:p>
  </w:comment>
  <w:comment w:id="18" w:author="Tunji Siyanbola" w:date="2025-04-14T08:40:39Z" w:initials="">
    <w:p w14:paraId="49CFAE5B">
      <w:pPr>
        <w:pStyle w:val="13"/>
        <w:rPr>
          <w:rFonts w:hint="default"/>
          <w:lang w:val="en-US"/>
        </w:rPr>
      </w:pPr>
      <w:r>
        <w:rPr>
          <w:rFonts w:hint="default"/>
          <w:lang w:val="en-US"/>
        </w:rPr>
        <w:t>????</w:t>
      </w:r>
    </w:p>
  </w:comment>
  <w:comment w:id="19" w:author="Tunji Siyanbola" w:date="2025-04-14T08:53:29Z" w:initials="">
    <w:p w14:paraId="16A91FCB">
      <w:pPr>
        <w:pStyle w:val="13"/>
        <w:rPr>
          <w:rFonts w:hint="default"/>
          <w:lang w:val="en-US"/>
        </w:rPr>
      </w:pPr>
      <w:r>
        <w:rPr>
          <w:rFonts w:hint="default"/>
          <w:lang w:val="en-US"/>
        </w:rPr>
        <w:t>At 5%</w:t>
      </w:r>
    </w:p>
  </w:comment>
  <w:comment w:id="20" w:author="Tunji Siyanbola" w:date="2025-04-14T08:59:12Z" w:initials="">
    <w:p w14:paraId="125152CF">
      <w:pPr>
        <w:pStyle w:val="13"/>
        <w:rPr>
          <w:rFonts w:hint="default"/>
          <w:lang w:val="en-US"/>
        </w:rPr>
      </w:pPr>
      <w:r>
        <w:rPr>
          <w:rFonts w:hint="default"/>
          <w:lang w:val="en-US"/>
        </w:rPr>
        <w:t>????</w:t>
      </w:r>
    </w:p>
  </w:comment>
  <w:comment w:id="21" w:author="Tunji Siyanbola" w:date="2025-04-14T08:58:46Z" w:initials="">
    <w:p w14:paraId="4BBA42F9">
      <w:pPr>
        <w:pStyle w:val="13"/>
        <w:rPr>
          <w:rFonts w:hint="default"/>
          <w:lang w:val="en-US"/>
        </w:rPr>
      </w:pPr>
      <w:r>
        <w:rPr>
          <w:rFonts w:hint="default"/>
          <w:lang w:val="en-US"/>
        </w:rPr>
        <w:t>sought</w:t>
      </w:r>
    </w:p>
  </w:comment>
  <w:comment w:id="22" w:author="Tunji Siyanbola" w:date="2025-04-14T09:00:25Z" w:initials="">
    <w:p w14:paraId="2B8A7CE2">
      <w:pPr>
        <w:pStyle w:val="13"/>
        <w:rPr>
          <w:rFonts w:hint="default"/>
          <w:lang w:val="en-US"/>
        </w:rPr>
      </w:pPr>
      <w:r>
        <w:rPr>
          <w:rFonts w:hint="default"/>
          <w:lang w:val="en-US"/>
        </w:rPr>
        <w:t>Include the statistics here</w:t>
      </w:r>
    </w:p>
  </w:comment>
  <w:comment w:id="23" w:author="Tunji Siyanbola" w:date="2025-04-14T09:01:03Z" w:initials="">
    <w:p w14:paraId="4914806D">
      <w:pPr>
        <w:pStyle w:val="13"/>
        <w:rPr>
          <w:rFonts w:hint="default"/>
          <w:lang w:val="en-US"/>
        </w:rPr>
      </w:pPr>
      <w:r>
        <w:rPr>
          <w:rFonts w:hint="default"/>
          <w:lang w:val="en-US"/>
        </w:rPr>
        <w:t>Where is the statistics?</w:t>
      </w:r>
    </w:p>
  </w:comment>
  <w:comment w:id="24" w:author="Tunji Siyanbola" w:date="2025-04-14T09:02:29Z" w:initials="">
    <w:p w14:paraId="7201825C">
      <w:pPr>
        <w:pStyle w:val="13"/>
        <w:rPr>
          <w:rFonts w:hint="default"/>
          <w:lang w:val="en-US"/>
        </w:rPr>
      </w:pPr>
      <w:r>
        <w:rPr>
          <w:rFonts w:hint="default"/>
          <w:lang w:val="en-US"/>
        </w:rPr>
        <w:t>These are the studies expected to be included in your empirical review, instead of those irrelevant studies listed there</w:t>
      </w:r>
    </w:p>
  </w:comment>
  <w:comment w:id="25" w:author="Tunji Siyanbola" w:date="2025-04-14T09:03:32Z" w:initials="">
    <w:p w14:paraId="09098EDB">
      <w:pPr>
        <w:pStyle w:val="13"/>
        <w:rPr>
          <w:rFonts w:hint="default"/>
          <w:lang w:val="en-US"/>
        </w:rPr>
      </w:pPr>
      <w:r>
        <w:rPr>
          <w:rFonts w:hint="default"/>
          <w:lang w:val="en-US"/>
        </w:rPr>
        <w:t>Statistics?</w:t>
      </w:r>
    </w:p>
  </w:comment>
  <w:comment w:id="26" w:author="Tunji Siyanbola" w:date="2025-04-14T09:04:27Z" w:initials="">
    <w:p w14:paraId="41A6BE77">
      <w:pPr>
        <w:pStyle w:val="13"/>
        <w:rPr>
          <w:rFonts w:hint="default"/>
          <w:lang w:val="en-US"/>
        </w:rPr>
      </w:pPr>
      <w:r>
        <w:rPr>
          <w:rFonts w:hint="default"/>
          <w:lang w:val="en-US"/>
        </w:rPr>
        <w:t>The staistics?</w:t>
      </w:r>
    </w:p>
  </w:comment>
  <w:comment w:id="27" w:author="Tunji Siyanbola" w:date="2025-04-14T09:04:59Z" w:initials="">
    <w:p w14:paraId="04CD13CA">
      <w:pPr>
        <w:pStyle w:val="13"/>
        <w:rPr>
          <w:rFonts w:hint="default"/>
          <w:lang w:val="en-US"/>
        </w:rPr>
      </w:pPr>
      <w:r>
        <w:rPr>
          <w:rFonts w:hint="default"/>
          <w:lang w:val="en-US"/>
        </w:rPr>
        <w:t>Statistics?</w:t>
      </w:r>
    </w:p>
  </w:comment>
  <w:comment w:id="28" w:author="Tunji Siyanbola" w:date="2025-04-14T09:05:17Z" w:initials="">
    <w:p w14:paraId="66763E8B">
      <w:pPr>
        <w:pStyle w:val="13"/>
        <w:rPr>
          <w:rFonts w:hint="default"/>
          <w:lang w:val="en-US"/>
        </w:rPr>
      </w:pPr>
      <w:r>
        <w:rPr>
          <w:rFonts w:hint="default"/>
          <w:lang w:val="en-US"/>
        </w:rPr>
        <w:t>evidence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7F1ED3" w15:done="0"/>
  <w15:commentEx w15:paraId="03D940D8" w15:done="0"/>
  <w15:commentEx w15:paraId="4D99BCF9" w15:done="0"/>
  <w15:commentEx w15:paraId="7748263F" w15:done="0"/>
  <w15:commentEx w15:paraId="78C12967" w15:done="0"/>
  <w15:commentEx w15:paraId="4085AF3E" w15:done="0"/>
  <w15:commentEx w15:paraId="0B54E8F8" w15:done="0"/>
  <w15:commentEx w15:paraId="49898C58" w15:done="0"/>
  <w15:commentEx w15:paraId="24E0A42D" w15:done="0"/>
  <w15:commentEx w15:paraId="31665053" w15:done="0"/>
  <w15:commentEx w15:paraId="4E4C1F80" w15:done="0"/>
  <w15:commentEx w15:paraId="432FB5FB" w15:done="0"/>
  <w15:commentEx w15:paraId="02927C5A" w15:done="0"/>
  <w15:commentEx w15:paraId="6C4FC027" w15:done="0"/>
  <w15:commentEx w15:paraId="112C247D" w15:done="0"/>
  <w15:commentEx w15:paraId="7157B71D" w15:done="0"/>
  <w15:commentEx w15:paraId="55A7E695" w15:done="0"/>
  <w15:commentEx w15:paraId="3A167663" w15:done="0"/>
  <w15:commentEx w15:paraId="49CFAE5B" w15:done="0"/>
  <w15:commentEx w15:paraId="16A91FCB" w15:done="0"/>
  <w15:commentEx w15:paraId="125152CF" w15:done="0"/>
  <w15:commentEx w15:paraId="4BBA42F9" w15:done="0"/>
  <w15:commentEx w15:paraId="2B8A7CE2" w15:done="0"/>
  <w15:commentEx w15:paraId="4914806D" w15:done="0"/>
  <w15:commentEx w15:paraId="7201825C" w15:done="0"/>
  <w15:commentEx w15:paraId="09098EDB" w15:done="0"/>
  <w15:commentEx w15:paraId="41A6BE77" w15:done="0"/>
  <w15:commentEx w15:paraId="04CD13CA" w15:done="0"/>
  <w15:commentEx w15:paraId="66763E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825631"/>
      <w:docPartObj>
        <w:docPartGallery w:val="AutoText"/>
      </w:docPartObj>
    </w:sdtPr>
    <w:sdtContent>
      <w:p w14:paraId="68E00813">
        <w:pPr>
          <w:pStyle w:val="15"/>
          <w:jc w:val="center"/>
        </w:pPr>
        <w:r>
          <w:fldChar w:fldCharType="begin"/>
        </w:r>
        <w:r>
          <w:instrText xml:space="preserve">PAGE   \* MERGEFORMAT</w:instrText>
        </w:r>
        <w:r>
          <w:fldChar w:fldCharType="separate"/>
        </w:r>
        <w:r>
          <w:rPr>
            <w:lang w:val="en-GB"/>
          </w:rPr>
          <w:t>2</w:t>
        </w:r>
        <w:r>
          <w:fldChar w:fldCharType="end"/>
        </w:r>
      </w:p>
    </w:sdtContent>
  </w:sdt>
  <w:p w14:paraId="150D7BC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C78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7C4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F88C">
    <w:pPr>
      <w:pStyle w:val="16"/>
    </w:pPr>
    <w:r>
      <w:pict>
        <v:shape id="PowerPlusWaterMarkObject1649615798" o:spid="_x0000_s2051"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2D9E">
    <w:pPr>
      <w:pStyle w:val="16"/>
    </w:pPr>
    <w:r>
      <w:pict>
        <v:shape id="PowerPlusWaterMarkObject1649615797" o:spid="_x0000_s2050"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D8E0">
    <w:pPr>
      <w:pStyle w:val="16"/>
    </w:pPr>
    <w:r>
      <w:pict>
        <v:shape id="PowerPlusWaterMarkObject1649615796" o:spid="_x0000_s2049"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unji Siyanbola">
    <w15:presenceInfo w15:providerId="WPS Office" w15:userId="541212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ysDQwtDQytDAzNjNV0lEKTi0uzszPAykwqwUAde4jJCwAAAA="/>
  </w:docVars>
  <w:rsids>
    <w:rsidRoot w:val="008C0D70"/>
    <w:rsid w:val="00002EE5"/>
    <w:rsid w:val="00022BDB"/>
    <w:rsid w:val="00035E32"/>
    <w:rsid w:val="00044B31"/>
    <w:rsid w:val="00073812"/>
    <w:rsid w:val="00082DC3"/>
    <w:rsid w:val="00095EEE"/>
    <w:rsid w:val="000C167F"/>
    <w:rsid w:val="000C1698"/>
    <w:rsid w:val="000D3D5B"/>
    <w:rsid w:val="00100953"/>
    <w:rsid w:val="00100A49"/>
    <w:rsid w:val="0010215F"/>
    <w:rsid w:val="00103295"/>
    <w:rsid w:val="00104516"/>
    <w:rsid w:val="00105604"/>
    <w:rsid w:val="001059A6"/>
    <w:rsid w:val="001059D1"/>
    <w:rsid w:val="00117B59"/>
    <w:rsid w:val="00135A7A"/>
    <w:rsid w:val="00143084"/>
    <w:rsid w:val="001565F4"/>
    <w:rsid w:val="001630DB"/>
    <w:rsid w:val="00167799"/>
    <w:rsid w:val="001703F5"/>
    <w:rsid w:val="001B0E00"/>
    <w:rsid w:val="001B2485"/>
    <w:rsid w:val="001B7B6C"/>
    <w:rsid w:val="001D01AE"/>
    <w:rsid w:val="001D16EC"/>
    <w:rsid w:val="001F4257"/>
    <w:rsid w:val="00203AC9"/>
    <w:rsid w:val="00214282"/>
    <w:rsid w:val="00225701"/>
    <w:rsid w:val="002365F9"/>
    <w:rsid w:val="00242753"/>
    <w:rsid w:val="00247CB1"/>
    <w:rsid w:val="002715E5"/>
    <w:rsid w:val="002860FA"/>
    <w:rsid w:val="0028721A"/>
    <w:rsid w:val="002A7521"/>
    <w:rsid w:val="002A7D98"/>
    <w:rsid w:val="002B7862"/>
    <w:rsid w:val="00300CFD"/>
    <w:rsid w:val="0030691C"/>
    <w:rsid w:val="003123C1"/>
    <w:rsid w:val="0031503B"/>
    <w:rsid w:val="00320AA2"/>
    <w:rsid w:val="00323FF6"/>
    <w:rsid w:val="00325ACD"/>
    <w:rsid w:val="00377AA8"/>
    <w:rsid w:val="00381AF5"/>
    <w:rsid w:val="00383871"/>
    <w:rsid w:val="00387FB7"/>
    <w:rsid w:val="00391F2D"/>
    <w:rsid w:val="00393B1D"/>
    <w:rsid w:val="003A0E02"/>
    <w:rsid w:val="003A4020"/>
    <w:rsid w:val="003A41B1"/>
    <w:rsid w:val="003B56C0"/>
    <w:rsid w:val="003B7975"/>
    <w:rsid w:val="003C338C"/>
    <w:rsid w:val="003D3E13"/>
    <w:rsid w:val="003D6206"/>
    <w:rsid w:val="003E1EBD"/>
    <w:rsid w:val="003E695D"/>
    <w:rsid w:val="003F4A2E"/>
    <w:rsid w:val="0040518D"/>
    <w:rsid w:val="00406330"/>
    <w:rsid w:val="00415B64"/>
    <w:rsid w:val="004230AE"/>
    <w:rsid w:val="004264DD"/>
    <w:rsid w:val="00453B3C"/>
    <w:rsid w:val="0045471F"/>
    <w:rsid w:val="00495D2C"/>
    <w:rsid w:val="004A25BC"/>
    <w:rsid w:val="004B3F2C"/>
    <w:rsid w:val="004C0F42"/>
    <w:rsid w:val="004C7A79"/>
    <w:rsid w:val="004D6FE2"/>
    <w:rsid w:val="004E516D"/>
    <w:rsid w:val="004F0EB1"/>
    <w:rsid w:val="00513CC5"/>
    <w:rsid w:val="00526A4A"/>
    <w:rsid w:val="0053196A"/>
    <w:rsid w:val="00543253"/>
    <w:rsid w:val="005904F0"/>
    <w:rsid w:val="00594686"/>
    <w:rsid w:val="005A407A"/>
    <w:rsid w:val="005B7AAC"/>
    <w:rsid w:val="005C4A84"/>
    <w:rsid w:val="005D4988"/>
    <w:rsid w:val="005E2375"/>
    <w:rsid w:val="005E47DA"/>
    <w:rsid w:val="005E4C18"/>
    <w:rsid w:val="005E7EBC"/>
    <w:rsid w:val="005F107F"/>
    <w:rsid w:val="00600BC8"/>
    <w:rsid w:val="00602792"/>
    <w:rsid w:val="00605E4B"/>
    <w:rsid w:val="006870F9"/>
    <w:rsid w:val="006A5B5B"/>
    <w:rsid w:val="006B583F"/>
    <w:rsid w:val="006C4957"/>
    <w:rsid w:val="006D134C"/>
    <w:rsid w:val="006E0CA1"/>
    <w:rsid w:val="006F1654"/>
    <w:rsid w:val="00705462"/>
    <w:rsid w:val="00707BE8"/>
    <w:rsid w:val="00723791"/>
    <w:rsid w:val="007304A3"/>
    <w:rsid w:val="00730CF8"/>
    <w:rsid w:val="00737550"/>
    <w:rsid w:val="00743119"/>
    <w:rsid w:val="00757AC6"/>
    <w:rsid w:val="007808C4"/>
    <w:rsid w:val="0078311D"/>
    <w:rsid w:val="007B5C2D"/>
    <w:rsid w:val="007B6211"/>
    <w:rsid w:val="007C5AF2"/>
    <w:rsid w:val="007D70F6"/>
    <w:rsid w:val="007D7426"/>
    <w:rsid w:val="007E025E"/>
    <w:rsid w:val="007F13BC"/>
    <w:rsid w:val="00804884"/>
    <w:rsid w:val="008263CA"/>
    <w:rsid w:val="0083217C"/>
    <w:rsid w:val="0083657A"/>
    <w:rsid w:val="0084164F"/>
    <w:rsid w:val="0084533C"/>
    <w:rsid w:val="00851EE5"/>
    <w:rsid w:val="00855047"/>
    <w:rsid w:val="00856C63"/>
    <w:rsid w:val="0089267C"/>
    <w:rsid w:val="008A5891"/>
    <w:rsid w:val="008B228D"/>
    <w:rsid w:val="008C0D70"/>
    <w:rsid w:val="008E0025"/>
    <w:rsid w:val="008E2D86"/>
    <w:rsid w:val="00911B36"/>
    <w:rsid w:val="0092168A"/>
    <w:rsid w:val="00940CA4"/>
    <w:rsid w:val="00941833"/>
    <w:rsid w:val="00943750"/>
    <w:rsid w:val="00945E13"/>
    <w:rsid w:val="00953B04"/>
    <w:rsid w:val="00963FBB"/>
    <w:rsid w:val="00995818"/>
    <w:rsid w:val="009A247E"/>
    <w:rsid w:val="009B7628"/>
    <w:rsid w:val="009D6F1D"/>
    <w:rsid w:val="009E4884"/>
    <w:rsid w:val="00A00339"/>
    <w:rsid w:val="00A1182B"/>
    <w:rsid w:val="00A2118F"/>
    <w:rsid w:val="00A32A0A"/>
    <w:rsid w:val="00A573C0"/>
    <w:rsid w:val="00A9784E"/>
    <w:rsid w:val="00AB6F96"/>
    <w:rsid w:val="00AC4AC2"/>
    <w:rsid w:val="00AD2B19"/>
    <w:rsid w:val="00AF53A4"/>
    <w:rsid w:val="00AF70B5"/>
    <w:rsid w:val="00B137A8"/>
    <w:rsid w:val="00B1418B"/>
    <w:rsid w:val="00B15060"/>
    <w:rsid w:val="00B17E77"/>
    <w:rsid w:val="00B234DF"/>
    <w:rsid w:val="00B251B6"/>
    <w:rsid w:val="00B5498A"/>
    <w:rsid w:val="00B56B09"/>
    <w:rsid w:val="00B611E6"/>
    <w:rsid w:val="00B61248"/>
    <w:rsid w:val="00B64167"/>
    <w:rsid w:val="00B65E75"/>
    <w:rsid w:val="00B716A0"/>
    <w:rsid w:val="00B9687C"/>
    <w:rsid w:val="00BA71F9"/>
    <w:rsid w:val="00BB0126"/>
    <w:rsid w:val="00BB48F5"/>
    <w:rsid w:val="00BC3605"/>
    <w:rsid w:val="00BC3A16"/>
    <w:rsid w:val="00BD0EE7"/>
    <w:rsid w:val="00BF490A"/>
    <w:rsid w:val="00C3557D"/>
    <w:rsid w:val="00C50391"/>
    <w:rsid w:val="00C963AA"/>
    <w:rsid w:val="00CB5158"/>
    <w:rsid w:val="00CC0FC4"/>
    <w:rsid w:val="00CC578E"/>
    <w:rsid w:val="00CD7108"/>
    <w:rsid w:val="00CF0CC3"/>
    <w:rsid w:val="00CF3B72"/>
    <w:rsid w:val="00CF6E5B"/>
    <w:rsid w:val="00CF75C7"/>
    <w:rsid w:val="00D021C0"/>
    <w:rsid w:val="00D1369C"/>
    <w:rsid w:val="00D20514"/>
    <w:rsid w:val="00D45495"/>
    <w:rsid w:val="00D72EFA"/>
    <w:rsid w:val="00D77FCC"/>
    <w:rsid w:val="00D8539E"/>
    <w:rsid w:val="00D9587B"/>
    <w:rsid w:val="00DA4E44"/>
    <w:rsid w:val="00DA5910"/>
    <w:rsid w:val="00DB45D9"/>
    <w:rsid w:val="00DF09F6"/>
    <w:rsid w:val="00E06E49"/>
    <w:rsid w:val="00E13038"/>
    <w:rsid w:val="00E276B9"/>
    <w:rsid w:val="00E36636"/>
    <w:rsid w:val="00E51BA2"/>
    <w:rsid w:val="00E65E2A"/>
    <w:rsid w:val="00E72DB2"/>
    <w:rsid w:val="00EA7726"/>
    <w:rsid w:val="00EC11DA"/>
    <w:rsid w:val="00ED0324"/>
    <w:rsid w:val="00EF0209"/>
    <w:rsid w:val="00F21A53"/>
    <w:rsid w:val="00F275C7"/>
    <w:rsid w:val="00F326B2"/>
    <w:rsid w:val="00F37F37"/>
    <w:rsid w:val="00F40280"/>
    <w:rsid w:val="00F53F65"/>
    <w:rsid w:val="00F72CBC"/>
    <w:rsid w:val="00FB0310"/>
    <w:rsid w:val="00FB37C8"/>
    <w:rsid w:val="00FC3D73"/>
    <w:rsid w:val="00FD33B4"/>
    <w:rsid w:val="00FD39A2"/>
    <w:rsid w:val="00FE37C0"/>
    <w:rsid w:val="00FF17B9"/>
    <w:rsid w:val="43BE6232"/>
    <w:rsid w:val="565160E4"/>
    <w:rsid w:val="690006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Emphasis"/>
    <w:basedOn w:val="11"/>
    <w:qFormat/>
    <w:uiPriority w:val="20"/>
    <w:rPr>
      <w:i/>
      <w:iCs/>
    </w:rPr>
  </w:style>
  <w:style w:type="paragraph" w:styleId="15">
    <w:name w:val="footer"/>
    <w:basedOn w:val="1"/>
    <w:link w:val="43"/>
    <w:unhideWhenUsed/>
    <w:uiPriority w:val="99"/>
    <w:pPr>
      <w:tabs>
        <w:tab w:val="center" w:pos="4680"/>
        <w:tab w:val="right" w:pos="9360"/>
      </w:tabs>
      <w:spacing w:after="0" w:line="240" w:lineRule="auto"/>
    </w:pPr>
  </w:style>
  <w:style w:type="paragraph" w:styleId="16">
    <w:name w:val="header"/>
    <w:basedOn w:val="1"/>
    <w:link w:val="42"/>
    <w:unhideWhenUsed/>
    <w:uiPriority w:val="99"/>
    <w:pPr>
      <w:tabs>
        <w:tab w:val="center" w:pos="4680"/>
        <w:tab w:val="right" w:pos="9360"/>
      </w:tabs>
      <w:spacing w:after="0" w:line="240" w:lineRule="auto"/>
    </w:pPr>
  </w:style>
  <w:style w:type="character" w:styleId="17">
    <w:name w:val="Hyperlink"/>
    <w:unhideWhenUsed/>
    <w:uiPriority w:val="99"/>
    <w:rPr>
      <w:color w:val="0563C1"/>
      <w:u w:val="single"/>
    </w:rPr>
  </w:style>
  <w:style w:type="paragraph" w:styleId="18">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9">
    <w:name w:val="Strong"/>
    <w:basedOn w:val="11"/>
    <w:qFormat/>
    <w:uiPriority w:val="22"/>
    <w:rPr>
      <w:b/>
      <w:bCs/>
    </w:rPr>
  </w:style>
  <w:style w:type="paragraph" w:styleId="20">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uiPriority w:val="39"/>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4">
    <w:name w:val="Heading 2 Char"/>
    <w:basedOn w:val="11"/>
    <w:link w:val="3"/>
    <w:uiPriority w:val="9"/>
    <w:rPr>
      <w:rFonts w:asciiTheme="majorHAnsi" w:hAnsiTheme="majorHAnsi" w:eastAsiaTheme="majorEastAsia" w:cstheme="majorBidi"/>
      <w:color w:val="104862" w:themeColor="accent1" w:themeShade="BF"/>
      <w:sz w:val="32"/>
      <w:szCs w:val="32"/>
    </w:rPr>
  </w:style>
  <w:style w:type="character" w:customStyle="1" w:styleId="25">
    <w:name w:val="Heading 3 Char"/>
    <w:basedOn w:val="11"/>
    <w:link w:val="4"/>
    <w:uiPriority w:val="9"/>
    <w:rPr>
      <w:rFonts w:eastAsiaTheme="majorEastAsia" w:cstheme="majorBidi"/>
      <w:color w:val="104862" w:themeColor="accent1" w:themeShade="BF"/>
      <w:sz w:val="28"/>
      <w:szCs w:val="28"/>
    </w:rPr>
  </w:style>
  <w:style w:type="character" w:customStyle="1" w:styleId="26">
    <w:name w:val="Heading 4 Char"/>
    <w:basedOn w:val="11"/>
    <w:link w:val="5"/>
    <w:semiHidden/>
    <w:uiPriority w:val="9"/>
    <w:rPr>
      <w:rFonts w:eastAsiaTheme="majorEastAsia" w:cstheme="majorBidi"/>
      <w:i/>
      <w:iCs/>
      <w:color w:val="104862" w:themeColor="accent1" w:themeShade="BF"/>
    </w:rPr>
  </w:style>
  <w:style w:type="character" w:customStyle="1" w:styleId="27">
    <w:name w:val="Heading 5 Char"/>
    <w:basedOn w:val="11"/>
    <w:link w:val="6"/>
    <w:semiHidden/>
    <w:uiPriority w:val="9"/>
    <w:rPr>
      <w:rFonts w:eastAsiaTheme="majorEastAsia" w:cstheme="majorBidi"/>
      <w:color w:val="104862" w:themeColor="accent1" w:themeShade="BF"/>
    </w:rPr>
  </w:style>
  <w:style w:type="character" w:customStyle="1" w:styleId="28">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11"/>
    <w:link w:val="38"/>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paragraph" w:customStyle="1" w:styleId="41">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GB" w:eastAsia="en-US" w:bidi="ar-SA"/>
      <w14:ligatures w14:val="none"/>
    </w:rPr>
  </w:style>
  <w:style w:type="character" w:customStyle="1" w:styleId="42">
    <w:name w:val="Header Char"/>
    <w:basedOn w:val="11"/>
    <w:link w:val="16"/>
    <w:uiPriority w:val="99"/>
  </w:style>
  <w:style w:type="character" w:customStyle="1" w:styleId="43">
    <w:name w:val="Footer Char"/>
    <w:basedOn w:val="11"/>
    <w:link w:val="15"/>
    <w:uiPriority w:val="99"/>
  </w:style>
  <w:style w:type="character" w:customStyle="1" w:styleId="44">
    <w:name w:val="Unresolved Mention"/>
    <w:basedOn w:val="11"/>
    <w:semiHidden/>
    <w:unhideWhenUsed/>
    <w:uiPriority w:val="99"/>
    <w:rPr>
      <w:color w:val="605E5C"/>
      <w:shd w:val="clear" w:color="auto" w:fill="E1DFDD"/>
    </w:rPr>
  </w:style>
  <w:style w:type="character" w:customStyle="1" w:styleId="45">
    <w:name w:val="anchor-text"/>
    <w:basedOn w:val="11"/>
    <w:uiPriority w:val="0"/>
  </w:style>
  <w:style w:type="character" w:customStyle="1" w:styleId="46">
    <w:name w:val="relative"/>
    <w:basedOn w:val="11"/>
    <w:uiPriority w:val="0"/>
  </w:style>
  <w:style w:type="character" w:customStyle="1" w:styleId="47">
    <w:name w:val="ml-1"/>
    <w:basedOn w:val="11"/>
    <w:uiPriority w:val="0"/>
  </w:style>
  <w:style w:type="character" w:customStyle="1" w:styleId="48">
    <w:name w:val="max-w-full"/>
    <w:basedOn w:val="11"/>
    <w:uiPriority w:val="0"/>
  </w:style>
  <w:style w:type="character" w:customStyle="1" w:styleId="49">
    <w:name w:val="-mr-1"/>
    <w:basedOn w:val="11"/>
    <w:uiPriority w:val="0"/>
  </w:style>
  <w:style w:type="paragraph" w:styleId="50">
    <w:name w:val="No Spacing"/>
    <w:link w:val="51"/>
    <w:qFormat/>
    <w:uiPriority w:val="1"/>
    <w:pPr>
      <w:spacing w:after="0" w:line="240" w:lineRule="auto"/>
    </w:pPr>
    <w:rPr>
      <w:rFonts w:asciiTheme="minorHAnsi" w:hAnsiTheme="minorHAnsi" w:eastAsiaTheme="minorEastAsia" w:cstheme="minorBidi"/>
      <w:kern w:val="0"/>
      <w:sz w:val="22"/>
      <w:szCs w:val="22"/>
      <w:lang w:val="en-GB" w:eastAsia="en-GB" w:bidi="ar-SA"/>
      <w14:ligatures w14:val="none"/>
    </w:rPr>
  </w:style>
  <w:style w:type="character" w:customStyle="1" w:styleId="51">
    <w:name w:val="No Spacing Char"/>
    <w:link w:val="50"/>
    <w:locked/>
    <w:uiPriority w:val="1"/>
    <w:rPr>
      <w:rFonts w:eastAsiaTheme="minorEastAsia"/>
      <w:kern w:val="0"/>
      <w:sz w:val="22"/>
      <w:szCs w:val="22"/>
      <w:lang w:val="en-GB" w:eastAsia="en-GB"/>
      <w14:ligatures w14:val="none"/>
    </w:rPr>
  </w:style>
  <w:style w:type="character" w:customStyle="1" w:styleId="52">
    <w:name w:val="katex"/>
    <w:basedOn w:val="11"/>
    <w:uiPriority w:val="0"/>
  </w:style>
  <w:style w:type="character" w:customStyle="1" w:styleId="53">
    <w:name w:val="mord"/>
    <w:basedOn w:val="11"/>
    <w:uiPriority w:val="0"/>
  </w:style>
  <w:style w:type="character" w:customStyle="1" w:styleId="54">
    <w:name w:val="mrel"/>
    <w:basedOn w:val="11"/>
    <w:uiPriority w:val="0"/>
  </w:style>
  <w:style w:type="character" w:customStyle="1" w:styleId="55">
    <w:name w:val="mopen"/>
    <w:basedOn w:val="11"/>
    <w:uiPriority w:val="0"/>
  </w:style>
  <w:style w:type="character" w:customStyle="1" w:styleId="56">
    <w:name w:val="delimsizing"/>
    <w:basedOn w:val="11"/>
    <w:uiPriority w:val="0"/>
  </w:style>
  <w:style w:type="character" w:customStyle="1" w:styleId="57">
    <w:name w:val="vlist-s"/>
    <w:basedOn w:val="11"/>
    <w:uiPriority w:val="0"/>
  </w:style>
  <w:style w:type="character" w:customStyle="1" w:styleId="58">
    <w:name w:val="mclose"/>
    <w:basedOn w:val="11"/>
    <w:uiPriority w:val="0"/>
  </w:style>
  <w:style w:type="character" w:customStyle="1" w:styleId="59">
    <w:name w:val="mbin"/>
    <w:basedOn w:val="11"/>
    <w:uiPriority w:val="0"/>
  </w:style>
  <w:style w:type="character" w:customStyle="1" w:styleId="60">
    <w:name w:val="katex-mathml"/>
    <w:basedOn w:val="11"/>
    <w:uiPriority w:val="0"/>
  </w:style>
  <w:style w:type="character" w:customStyle="1" w:styleId="61">
    <w:name w:val="mpunct"/>
    <w:basedOn w:val="11"/>
    <w:uiPriority w:val="0"/>
  </w:style>
  <w:style w:type="character" w:customStyle="1" w:styleId="62">
    <w:name w:val="ms-1"/>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10120</Words>
  <Characters>57684</Characters>
  <Lines>480</Lines>
  <Paragraphs>135</Paragraphs>
  <TotalTime>202</TotalTime>
  <ScaleCrop>false</ScaleCrop>
  <LinksUpToDate>false</LinksUpToDate>
  <CharactersWithSpaces>67669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2025-04-10T15:33:00Z</dcterms:created>
  <dc:creator>Muyiwa Dagunduro</dc:creator>
  <cp:lastModifiedBy>Tunji Siyanbola</cp:lastModifiedBy>
  <dcterms:modified xsi:type="dcterms:W3CDTF">2025-04-14T21:12:40Z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a09662de7b578a53109fbe482f81dd88e1ad9873d06e0c5a22bfe349e2641deb</vt:lpwstr>
  </property>
  <property fmtid="{D5CDD505-2E9C-101B-9397-08002B2CF9AE}" pid="3" name="KSOProductBuildVer">
    <vt:lpwstr>1033-12.2.0.19805</vt:lpwstr>
  </property>
  <property fmtid="{D5CDD505-2E9C-101B-9397-08002B2CF9AE}" pid="4" name="ICV">
    <vt:lpwstr>623BF54CD0C143B88526BEE97BE0A65B_13</vt:lpwstr>
  </property>
</Properties>
</file>