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CAF0" w14:textId="77777777" w:rsidR="00712500" w:rsidRPr="0097456D" w:rsidRDefault="00712500">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712500" w:rsidRPr="0097456D" w14:paraId="1DDC8D91" w14:textId="77777777">
        <w:trPr>
          <w:trHeight w:val="290"/>
        </w:trPr>
        <w:tc>
          <w:tcPr>
            <w:tcW w:w="20934" w:type="dxa"/>
            <w:gridSpan w:val="2"/>
            <w:tcBorders>
              <w:top w:val="nil"/>
              <w:left w:val="nil"/>
              <w:right w:val="nil"/>
            </w:tcBorders>
          </w:tcPr>
          <w:p w14:paraId="58A71BA6" w14:textId="77777777" w:rsidR="00712500" w:rsidRPr="0097456D" w:rsidRDefault="00712500">
            <w:pPr>
              <w:pStyle w:val="Heading2"/>
              <w:ind w:left="0" w:hanging="2"/>
              <w:jc w:val="left"/>
              <w:rPr>
                <w:rFonts w:ascii="Arial" w:eastAsia="Arial" w:hAnsi="Arial" w:cs="Arial"/>
                <w:b w:val="0"/>
              </w:rPr>
            </w:pPr>
          </w:p>
        </w:tc>
      </w:tr>
      <w:tr w:rsidR="00712500" w:rsidRPr="0097456D" w14:paraId="3EB64D49" w14:textId="77777777">
        <w:trPr>
          <w:trHeight w:val="290"/>
        </w:trPr>
        <w:tc>
          <w:tcPr>
            <w:tcW w:w="5167" w:type="dxa"/>
          </w:tcPr>
          <w:p w14:paraId="312FBA7C" w14:textId="77777777" w:rsidR="00712500" w:rsidRPr="0097456D" w:rsidRDefault="00A72513">
            <w:pPr>
              <w:pBdr>
                <w:top w:val="nil"/>
                <w:left w:val="nil"/>
                <w:bottom w:val="nil"/>
                <w:right w:val="nil"/>
                <w:between w:val="nil"/>
              </w:pBdr>
              <w:spacing w:line="240" w:lineRule="auto"/>
              <w:ind w:left="0" w:hanging="2"/>
              <w:rPr>
                <w:rFonts w:ascii="Arial" w:eastAsia="Arial" w:hAnsi="Arial" w:cs="Arial"/>
                <w:color w:val="000000"/>
                <w:sz w:val="20"/>
                <w:szCs w:val="20"/>
              </w:rPr>
            </w:pPr>
            <w:r w:rsidRPr="0097456D">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0F11F37A" w14:textId="77777777" w:rsidR="00712500" w:rsidRPr="0097456D" w:rsidRDefault="00227022">
            <w:pPr>
              <w:ind w:left="0" w:hanging="2"/>
              <w:rPr>
                <w:rFonts w:ascii="Arial" w:eastAsia="Arial" w:hAnsi="Arial" w:cs="Arial"/>
                <w:color w:val="0000FF"/>
                <w:sz w:val="20"/>
                <w:szCs w:val="20"/>
              </w:rPr>
            </w:pPr>
            <w:hyperlink r:id="rId7">
              <w:r w:rsidR="00A72513" w:rsidRPr="0097456D">
                <w:rPr>
                  <w:rFonts w:ascii="Arial" w:eastAsia="Arial" w:hAnsi="Arial" w:cs="Arial"/>
                  <w:b/>
                  <w:color w:val="0000FF"/>
                  <w:sz w:val="20"/>
                  <w:szCs w:val="20"/>
                  <w:u w:val="single"/>
                </w:rPr>
                <w:t>Asian Journal of Biochemistry, Genetics and Molecular Biology</w:t>
              </w:r>
            </w:hyperlink>
            <w:r w:rsidR="00A72513" w:rsidRPr="0097456D">
              <w:rPr>
                <w:rFonts w:ascii="Arial" w:eastAsia="Arial" w:hAnsi="Arial" w:cs="Arial"/>
                <w:b/>
                <w:color w:val="0000FF"/>
                <w:sz w:val="20"/>
                <w:szCs w:val="20"/>
              </w:rPr>
              <w:t xml:space="preserve"> </w:t>
            </w:r>
          </w:p>
        </w:tc>
      </w:tr>
      <w:tr w:rsidR="00712500" w:rsidRPr="0097456D" w14:paraId="5FCBC60C" w14:textId="77777777">
        <w:trPr>
          <w:trHeight w:val="290"/>
        </w:trPr>
        <w:tc>
          <w:tcPr>
            <w:tcW w:w="5167" w:type="dxa"/>
          </w:tcPr>
          <w:p w14:paraId="72BFCBAC" w14:textId="77777777" w:rsidR="00712500" w:rsidRPr="0097456D" w:rsidRDefault="00A72513">
            <w:pPr>
              <w:pBdr>
                <w:top w:val="nil"/>
                <w:left w:val="nil"/>
                <w:bottom w:val="nil"/>
                <w:right w:val="nil"/>
                <w:between w:val="nil"/>
              </w:pBdr>
              <w:spacing w:line="240" w:lineRule="auto"/>
              <w:ind w:left="0" w:hanging="2"/>
              <w:rPr>
                <w:rFonts w:ascii="Arial" w:eastAsia="Arial" w:hAnsi="Arial" w:cs="Arial"/>
                <w:color w:val="000000"/>
                <w:sz w:val="20"/>
                <w:szCs w:val="20"/>
              </w:rPr>
            </w:pPr>
            <w:r w:rsidRPr="0097456D">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42F583BD" w14:textId="77777777" w:rsidR="00712500" w:rsidRPr="0097456D" w:rsidRDefault="00A72513">
            <w:pPr>
              <w:pBdr>
                <w:top w:val="nil"/>
                <w:left w:val="nil"/>
                <w:bottom w:val="nil"/>
                <w:right w:val="nil"/>
                <w:between w:val="nil"/>
              </w:pBdr>
              <w:spacing w:line="240" w:lineRule="auto"/>
              <w:ind w:left="0" w:hanging="2"/>
              <w:rPr>
                <w:rFonts w:ascii="Arial" w:eastAsia="Arial" w:hAnsi="Arial" w:cs="Arial"/>
                <w:color w:val="000000"/>
                <w:sz w:val="20"/>
                <w:szCs w:val="20"/>
              </w:rPr>
            </w:pPr>
            <w:r w:rsidRPr="0097456D">
              <w:rPr>
                <w:rFonts w:ascii="Arial" w:eastAsia="Arial" w:hAnsi="Arial" w:cs="Arial"/>
                <w:b/>
                <w:color w:val="000000"/>
                <w:sz w:val="20"/>
                <w:szCs w:val="20"/>
              </w:rPr>
              <w:t>Ms_AJBGMB_134760</w:t>
            </w:r>
          </w:p>
        </w:tc>
      </w:tr>
      <w:tr w:rsidR="00712500" w:rsidRPr="0097456D" w14:paraId="7886B3FE" w14:textId="77777777">
        <w:trPr>
          <w:trHeight w:val="650"/>
        </w:trPr>
        <w:tc>
          <w:tcPr>
            <w:tcW w:w="5167" w:type="dxa"/>
          </w:tcPr>
          <w:p w14:paraId="277992C7" w14:textId="77777777" w:rsidR="00712500" w:rsidRPr="0097456D" w:rsidRDefault="00A72513">
            <w:pPr>
              <w:pBdr>
                <w:top w:val="nil"/>
                <w:left w:val="nil"/>
                <w:bottom w:val="nil"/>
                <w:right w:val="nil"/>
                <w:between w:val="nil"/>
              </w:pBdr>
              <w:spacing w:line="240" w:lineRule="auto"/>
              <w:ind w:left="0" w:hanging="2"/>
              <w:rPr>
                <w:rFonts w:ascii="Arial" w:eastAsia="Arial" w:hAnsi="Arial" w:cs="Arial"/>
                <w:color w:val="000000"/>
                <w:sz w:val="20"/>
                <w:szCs w:val="20"/>
              </w:rPr>
            </w:pPr>
            <w:r w:rsidRPr="0097456D">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7E009CA7" w14:textId="77777777" w:rsidR="00712500" w:rsidRPr="0097456D" w:rsidRDefault="00A72513">
            <w:pPr>
              <w:pBdr>
                <w:top w:val="nil"/>
                <w:left w:val="nil"/>
                <w:bottom w:val="nil"/>
                <w:right w:val="nil"/>
                <w:between w:val="nil"/>
              </w:pBdr>
              <w:spacing w:line="240" w:lineRule="auto"/>
              <w:ind w:left="0" w:hanging="2"/>
              <w:rPr>
                <w:rFonts w:ascii="Arial" w:eastAsia="Arial" w:hAnsi="Arial" w:cs="Arial"/>
                <w:color w:val="000000"/>
                <w:sz w:val="20"/>
                <w:szCs w:val="20"/>
              </w:rPr>
            </w:pPr>
            <w:r w:rsidRPr="0097456D">
              <w:rPr>
                <w:rFonts w:ascii="Arial" w:eastAsia="Arial" w:hAnsi="Arial" w:cs="Arial"/>
                <w:b/>
                <w:color w:val="000000"/>
                <w:sz w:val="20"/>
                <w:szCs w:val="20"/>
              </w:rPr>
              <w:t>The Intimate Read: Nanopore Sequencing and the Philosophical Recalibration of Life's Code</w:t>
            </w:r>
          </w:p>
        </w:tc>
      </w:tr>
      <w:tr w:rsidR="00712500" w:rsidRPr="0097456D" w14:paraId="5C6258A6" w14:textId="77777777">
        <w:trPr>
          <w:trHeight w:val="332"/>
        </w:trPr>
        <w:tc>
          <w:tcPr>
            <w:tcW w:w="5167" w:type="dxa"/>
          </w:tcPr>
          <w:p w14:paraId="62B404E4" w14:textId="77777777" w:rsidR="00712500" w:rsidRPr="0097456D" w:rsidRDefault="00A72513">
            <w:pPr>
              <w:pBdr>
                <w:top w:val="nil"/>
                <w:left w:val="nil"/>
                <w:bottom w:val="nil"/>
                <w:right w:val="nil"/>
                <w:between w:val="nil"/>
              </w:pBdr>
              <w:spacing w:line="240" w:lineRule="auto"/>
              <w:ind w:left="0" w:hanging="2"/>
              <w:rPr>
                <w:rFonts w:ascii="Arial" w:eastAsia="Arial" w:hAnsi="Arial" w:cs="Arial"/>
                <w:color w:val="000000"/>
                <w:sz w:val="20"/>
                <w:szCs w:val="20"/>
              </w:rPr>
            </w:pPr>
            <w:r w:rsidRPr="0097456D">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2F2C9524" w14:textId="77777777" w:rsidR="00712500" w:rsidRPr="0097456D" w:rsidRDefault="00A72513">
            <w:pPr>
              <w:pBdr>
                <w:top w:val="nil"/>
                <w:left w:val="nil"/>
                <w:bottom w:val="nil"/>
                <w:right w:val="nil"/>
                <w:between w:val="nil"/>
              </w:pBdr>
              <w:spacing w:line="240" w:lineRule="auto"/>
              <w:ind w:left="0" w:hanging="2"/>
              <w:rPr>
                <w:rFonts w:ascii="Arial" w:eastAsia="Arial" w:hAnsi="Arial" w:cs="Arial"/>
                <w:color w:val="000000"/>
                <w:sz w:val="20"/>
                <w:szCs w:val="20"/>
              </w:rPr>
            </w:pPr>
            <w:r w:rsidRPr="0097456D">
              <w:rPr>
                <w:rFonts w:ascii="Arial" w:eastAsia="Arial" w:hAnsi="Arial" w:cs="Arial"/>
                <w:b/>
                <w:color w:val="000000"/>
                <w:sz w:val="20"/>
                <w:szCs w:val="20"/>
              </w:rPr>
              <w:t>Minireview Article</w:t>
            </w:r>
          </w:p>
        </w:tc>
      </w:tr>
    </w:tbl>
    <w:p w14:paraId="6945AE98" w14:textId="453AF5AD" w:rsidR="00712500" w:rsidRPr="0097456D" w:rsidRDefault="00712500">
      <w:pPr>
        <w:ind w:left="0" w:hanging="2"/>
        <w:rPr>
          <w:rFonts w:ascii="Arial" w:hAnsi="Arial" w:cs="Arial"/>
          <w:sz w:val="20"/>
          <w:szCs w:val="20"/>
        </w:rPr>
      </w:pPr>
      <w:bookmarkStart w:id="0" w:name="_heading=h.l7hxipbdlrcm"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712500" w:rsidRPr="0097456D" w14:paraId="6132621E" w14:textId="77777777">
        <w:tc>
          <w:tcPr>
            <w:tcW w:w="21150" w:type="dxa"/>
            <w:gridSpan w:val="3"/>
            <w:tcBorders>
              <w:top w:val="nil"/>
              <w:left w:val="nil"/>
              <w:right w:val="nil"/>
            </w:tcBorders>
          </w:tcPr>
          <w:p w14:paraId="3147F435" w14:textId="77777777" w:rsidR="00712500" w:rsidRPr="0097456D" w:rsidRDefault="00A72513">
            <w:pPr>
              <w:pStyle w:val="Heading2"/>
              <w:ind w:left="0" w:hanging="2"/>
              <w:jc w:val="left"/>
              <w:rPr>
                <w:rFonts w:ascii="Arial" w:eastAsia="Times New Roman" w:hAnsi="Arial" w:cs="Arial"/>
              </w:rPr>
            </w:pPr>
            <w:r w:rsidRPr="0097456D">
              <w:rPr>
                <w:rFonts w:ascii="Arial" w:eastAsia="Times New Roman" w:hAnsi="Arial" w:cs="Arial"/>
                <w:highlight w:val="yellow"/>
              </w:rPr>
              <w:t xml:space="preserve">PART  </w:t>
            </w:r>
            <w:proofErr w:type="gramStart"/>
            <w:r w:rsidRPr="0097456D">
              <w:rPr>
                <w:rFonts w:ascii="Arial" w:eastAsia="Times New Roman" w:hAnsi="Arial" w:cs="Arial"/>
                <w:highlight w:val="yellow"/>
              </w:rPr>
              <w:t>1:</w:t>
            </w:r>
            <w:proofErr w:type="gramEnd"/>
            <w:r w:rsidRPr="0097456D">
              <w:rPr>
                <w:rFonts w:ascii="Arial" w:eastAsia="Times New Roman" w:hAnsi="Arial" w:cs="Arial"/>
              </w:rPr>
              <w:t xml:space="preserve"> </w:t>
            </w:r>
            <w:proofErr w:type="spellStart"/>
            <w:r w:rsidRPr="0097456D">
              <w:rPr>
                <w:rFonts w:ascii="Arial" w:eastAsia="Times New Roman" w:hAnsi="Arial" w:cs="Arial"/>
              </w:rPr>
              <w:t>Comments</w:t>
            </w:r>
            <w:proofErr w:type="spellEnd"/>
          </w:p>
          <w:p w14:paraId="307059D1" w14:textId="77777777" w:rsidR="00712500" w:rsidRPr="0097456D" w:rsidRDefault="00712500">
            <w:pPr>
              <w:ind w:left="0" w:hanging="2"/>
              <w:rPr>
                <w:rFonts w:ascii="Arial" w:hAnsi="Arial" w:cs="Arial"/>
                <w:sz w:val="20"/>
                <w:szCs w:val="20"/>
              </w:rPr>
            </w:pPr>
          </w:p>
        </w:tc>
      </w:tr>
      <w:tr w:rsidR="00712500" w:rsidRPr="0097456D" w14:paraId="240DDC37" w14:textId="77777777">
        <w:tc>
          <w:tcPr>
            <w:tcW w:w="5351" w:type="dxa"/>
          </w:tcPr>
          <w:p w14:paraId="64EB05C4" w14:textId="77777777" w:rsidR="00712500" w:rsidRPr="0097456D" w:rsidRDefault="00712500">
            <w:pPr>
              <w:pStyle w:val="Heading2"/>
              <w:ind w:left="0" w:hanging="2"/>
              <w:jc w:val="left"/>
              <w:rPr>
                <w:rFonts w:ascii="Arial" w:eastAsia="Times New Roman" w:hAnsi="Arial" w:cs="Arial"/>
              </w:rPr>
            </w:pPr>
          </w:p>
        </w:tc>
        <w:tc>
          <w:tcPr>
            <w:tcW w:w="9357" w:type="dxa"/>
          </w:tcPr>
          <w:p w14:paraId="27492D7C" w14:textId="77777777" w:rsidR="00712500" w:rsidRPr="0097456D" w:rsidRDefault="00A72513">
            <w:pPr>
              <w:pStyle w:val="Heading2"/>
              <w:ind w:left="0" w:hanging="2"/>
              <w:jc w:val="left"/>
              <w:rPr>
                <w:rFonts w:ascii="Arial" w:eastAsia="Times New Roman" w:hAnsi="Arial" w:cs="Arial"/>
              </w:rPr>
            </w:pPr>
            <w:proofErr w:type="spellStart"/>
            <w:r w:rsidRPr="0097456D">
              <w:rPr>
                <w:rFonts w:ascii="Arial" w:eastAsia="Times New Roman" w:hAnsi="Arial" w:cs="Arial"/>
              </w:rPr>
              <w:t>Reviewer’s</w:t>
            </w:r>
            <w:proofErr w:type="spellEnd"/>
            <w:r w:rsidRPr="0097456D">
              <w:rPr>
                <w:rFonts w:ascii="Arial" w:eastAsia="Times New Roman" w:hAnsi="Arial" w:cs="Arial"/>
              </w:rPr>
              <w:t xml:space="preserve"> comment</w:t>
            </w:r>
          </w:p>
          <w:p w14:paraId="3D62BC7F" w14:textId="77777777" w:rsidR="00712500" w:rsidRPr="0097456D" w:rsidRDefault="00A72513">
            <w:pPr>
              <w:ind w:left="0" w:hanging="2"/>
              <w:rPr>
                <w:rFonts w:ascii="Arial" w:hAnsi="Arial" w:cs="Arial"/>
                <w:sz w:val="20"/>
                <w:szCs w:val="20"/>
              </w:rPr>
            </w:pPr>
            <w:r w:rsidRPr="0097456D">
              <w:rPr>
                <w:rFonts w:ascii="Arial" w:hAnsi="Arial" w:cs="Arial"/>
                <w:b/>
                <w:sz w:val="20"/>
                <w:szCs w:val="20"/>
                <w:highlight w:val="yellow"/>
              </w:rPr>
              <w:t>Artificial Intelligence (AI) generated or assisted review comments are strictly prohibited during peer review.</w:t>
            </w:r>
          </w:p>
          <w:p w14:paraId="0FE634CC" w14:textId="77777777" w:rsidR="00712500" w:rsidRPr="0097456D" w:rsidRDefault="00712500">
            <w:pPr>
              <w:ind w:left="0" w:hanging="2"/>
              <w:rPr>
                <w:rFonts w:ascii="Arial" w:hAnsi="Arial" w:cs="Arial"/>
                <w:sz w:val="20"/>
                <w:szCs w:val="20"/>
              </w:rPr>
            </w:pPr>
          </w:p>
        </w:tc>
        <w:tc>
          <w:tcPr>
            <w:tcW w:w="6442" w:type="dxa"/>
          </w:tcPr>
          <w:p w14:paraId="0D8435BA" w14:textId="77777777" w:rsidR="00712500" w:rsidRPr="0097456D" w:rsidRDefault="00A72513">
            <w:pPr>
              <w:pStyle w:val="Heading2"/>
              <w:ind w:left="0" w:hanging="2"/>
              <w:jc w:val="left"/>
              <w:rPr>
                <w:rFonts w:ascii="Arial" w:eastAsia="Times New Roman" w:hAnsi="Arial" w:cs="Arial"/>
                <w:b w:val="0"/>
              </w:rPr>
            </w:pPr>
            <w:proofErr w:type="spellStart"/>
            <w:r w:rsidRPr="0097456D">
              <w:rPr>
                <w:rFonts w:ascii="Arial" w:eastAsia="Times New Roman" w:hAnsi="Arial" w:cs="Arial"/>
              </w:rPr>
              <w:t>Author’s</w:t>
            </w:r>
            <w:proofErr w:type="spellEnd"/>
            <w:r w:rsidRPr="0097456D">
              <w:rPr>
                <w:rFonts w:ascii="Arial" w:eastAsia="Times New Roman" w:hAnsi="Arial" w:cs="Arial"/>
              </w:rPr>
              <w:t xml:space="preserve"> Feedback</w:t>
            </w:r>
            <w:r w:rsidRPr="0097456D">
              <w:rPr>
                <w:rFonts w:ascii="Arial" w:eastAsia="Times New Roman" w:hAnsi="Arial" w:cs="Arial"/>
                <w:b w:val="0"/>
              </w:rPr>
              <w:t xml:space="preserve"> </w:t>
            </w:r>
            <w:r w:rsidRPr="0097456D">
              <w:rPr>
                <w:rFonts w:ascii="Arial" w:eastAsia="Times New Roman" w:hAnsi="Arial" w:cs="Arial"/>
                <w:b w:val="0"/>
                <w:i/>
              </w:rPr>
              <w:t>(</w:t>
            </w:r>
            <w:proofErr w:type="spellStart"/>
            <w:r w:rsidRPr="0097456D">
              <w:rPr>
                <w:rFonts w:ascii="Arial" w:eastAsia="Times New Roman" w:hAnsi="Arial" w:cs="Arial"/>
                <w:b w:val="0"/>
                <w:i/>
              </w:rPr>
              <w:t>Please</w:t>
            </w:r>
            <w:proofErr w:type="spellEnd"/>
            <w:r w:rsidRPr="0097456D">
              <w:rPr>
                <w:rFonts w:ascii="Arial" w:eastAsia="Times New Roman" w:hAnsi="Arial" w:cs="Arial"/>
                <w:b w:val="0"/>
                <w:i/>
              </w:rPr>
              <w:t xml:space="preserve"> correct the </w:t>
            </w:r>
            <w:proofErr w:type="spellStart"/>
            <w:r w:rsidRPr="0097456D">
              <w:rPr>
                <w:rFonts w:ascii="Arial" w:eastAsia="Times New Roman" w:hAnsi="Arial" w:cs="Arial"/>
                <w:b w:val="0"/>
                <w:i/>
              </w:rPr>
              <w:t>manuscript</w:t>
            </w:r>
            <w:proofErr w:type="spellEnd"/>
            <w:r w:rsidRPr="0097456D">
              <w:rPr>
                <w:rFonts w:ascii="Arial" w:eastAsia="Times New Roman" w:hAnsi="Arial" w:cs="Arial"/>
                <w:b w:val="0"/>
                <w:i/>
              </w:rPr>
              <w:t xml:space="preserve"> and highlight </w:t>
            </w:r>
            <w:proofErr w:type="spellStart"/>
            <w:r w:rsidRPr="0097456D">
              <w:rPr>
                <w:rFonts w:ascii="Arial" w:eastAsia="Times New Roman" w:hAnsi="Arial" w:cs="Arial"/>
                <w:b w:val="0"/>
                <w:i/>
              </w:rPr>
              <w:t>that</w:t>
            </w:r>
            <w:proofErr w:type="spellEnd"/>
            <w:r w:rsidRPr="0097456D">
              <w:rPr>
                <w:rFonts w:ascii="Arial" w:eastAsia="Times New Roman" w:hAnsi="Arial" w:cs="Arial"/>
                <w:b w:val="0"/>
                <w:i/>
              </w:rPr>
              <w:t xml:space="preserve"> part in the </w:t>
            </w:r>
            <w:proofErr w:type="spellStart"/>
            <w:r w:rsidRPr="0097456D">
              <w:rPr>
                <w:rFonts w:ascii="Arial" w:eastAsia="Times New Roman" w:hAnsi="Arial" w:cs="Arial"/>
                <w:b w:val="0"/>
                <w:i/>
              </w:rPr>
              <w:t>manuscript</w:t>
            </w:r>
            <w:proofErr w:type="spellEnd"/>
            <w:r w:rsidRPr="0097456D">
              <w:rPr>
                <w:rFonts w:ascii="Arial" w:eastAsia="Times New Roman" w:hAnsi="Arial" w:cs="Arial"/>
                <w:b w:val="0"/>
                <w:i/>
              </w:rPr>
              <w:t xml:space="preserve">. It </w:t>
            </w:r>
            <w:proofErr w:type="spellStart"/>
            <w:r w:rsidRPr="0097456D">
              <w:rPr>
                <w:rFonts w:ascii="Arial" w:eastAsia="Times New Roman" w:hAnsi="Arial" w:cs="Arial"/>
                <w:b w:val="0"/>
                <w:i/>
              </w:rPr>
              <w:t>is</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mandatory</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that</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authors</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should</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write</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his</w:t>
            </w:r>
            <w:proofErr w:type="spellEnd"/>
            <w:r w:rsidRPr="0097456D">
              <w:rPr>
                <w:rFonts w:ascii="Arial" w:eastAsia="Times New Roman" w:hAnsi="Arial" w:cs="Arial"/>
                <w:b w:val="0"/>
                <w:i/>
              </w:rPr>
              <w:t>/</w:t>
            </w:r>
            <w:proofErr w:type="spellStart"/>
            <w:r w:rsidRPr="0097456D">
              <w:rPr>
                <w:rFonts w:ascii="Arial" w:eastAsia="Times New Roman" w:hAnsi="Arial" w:cs="Arial"/>
                <w:b w:val="0"/>
                <w:i/>
              </w:rPr>
              <w:t>her</w:t>
            </w:r>
            <w:proofErr w:type="spellEnd"/>
            <w:r w:rsidRPr="0097456D">
              <w:rPr>
                <w:rFonts w:ascii="Arial" w:eastAsia="Times New Roman" w:hAnsi="Arial" w:cs="Arial"/>
                <w:b w:val="0"/>
                <w:i/>
              </w:rPr>
              <w:t xml:space="preserve"> feedback </w:t>
            </w:r>
            <w:proofErr w:type="spellStart"/>
            <w:r w:rsidRPr="0097456D">
              <w:rPr>
                <w:rFonts w:ascii="Arial" w:eastAsia="Times New Roman" w:hAnsi="Arial" w:cs="Arial"/>
                <w:b w:val="0"/>
                <w:i/>
              </w:rPr>
              <w:t>here</w:t>
            </w:r>
            <w:proofErr w:type="spellEnd"/>
            <w:r w:rsidRPr="0097456D">
              <w:rPr>
                <w:rFonts w:ascii="Arial" w:eastAsia="Times New Roman" w:hAnsi="Arial" w:cs="Arial"/>
                <w:b w:val="0"/>
                <w:i/>
              </w:rPr>
              <w:t>)</w:t>
            </w:r>
          </w:p>
        </w:tc>
      </w:tr>
      <w:tr w:rsidR="00712500" w:rsidRPr="0097456D" w14:paraId="659490EA" w14:textId="77777777">
        <w:trPr>
          <w:trHeight w:val="1264"/>
        </w:trPr>
        <w:tc>
          <w:tcPr>
            <w:tcW w:w="5351" w:type="dxa"/>
          </w:tcPr>
          <w:p w14:paraId="42C5F3EF" w14:textId="77777777" w:rsidR="00712500" w:rsidRPr="0097456D" w:rsidRDefault="00A72513">
            <w:pPr>
              <w:ind w:left="0" w:hanging="2"/>
              <w:rPr>
                <w:rFonts w:ascii="Arial" w:hAnsi="Arial" w:cs="Arial"/>
                <w:sz w:val="20"/>
                <w:szCs w:val="20"/>
              </w:rPr>
            </w:pPr>
            <w:r w:rsidRPr="0097456D">
              <w:rPr>
                <w:rFonts w:ascii="Arial" w:hAnsi="Arial" w:cs="Arial"/>
                <w:b/>
                <w:sz w:val="20"/>
                <w:szCs w:val="20"/>
              </w:rPr>
              <w:t>Please write a few sentences regarding the importance of this manuscript for the scientific community. A minimum of 3-4 sentences may be required for this part.</w:t>
            </w:r>
          </w:p>
          <w:p w14:paraId="3F2BFC61" w14:textId="77777777" w:rsidR="00712500" w:rsidRPr="0097456D" w:rsidRDefault="00712500">
            <w:pPr>
              <w:ind w:left="0" w:hanging="2"/>
              <w:rPr>
                <w:rFonts w:ascii="Arial" w:hAnsi="Arial" w:cs="Arial"/>
                <w:sz w:val="20"/>
                <w:szCs w:val="20"/>
              </w:rPr>
            </w:pPr>
          </w:p>
        </w:tc>
        <w:tc>
          <w:tcPr>
            <w:tcW w:w="9357" w:type="dxa"/>
          </w:tcPr>
          <w:p w14:paraId="157DE5F0" w14:textId="77777777" w:rsidR="00712500" w:rsidRPr="0097456D" w:rsidRDefault="00A72513">
            <w:pPr>
              <w:pBdr>
                <w:top w:val="nil"/>
                <w:left w:val="nil"/>
                <w:bottom w:val="nil"/>
                <w:right w:val="nil"/>
                <w:between w:val="nil"/>
              </w:pBdr>
              <w:spacing w:line="240" w:lineRule="auto"/>
              <w:ind w:left="0" w:hanging="2"/>
              <w:rPr>
                <w:rFonts w:ascii="Arial" w:hAnsi="Arial" w:cs="Arial"/>
                <w:color w:val="000000"/>
                <w:sz w:val="20"/>
                <w:szCs w:val="20"/>
              </w:rPr>
            </w:pPr>
            <w:r w:rsidRPr="0097456D">
              <w:rPr>
                <w:rFonts w:ascii="Arial" w:hAnsi="Arial" w:cs="Arial"/>
                <w:sz w:val="20"/>
                <w:szCs w:val="20"/>
              </w:rPr>
              <w:t>The article goes beyond a technical review and combines molecular biology with philosophical and ethical reflections, making it unique and interdisciplinary.</w:t>
            </w:r>
          </w:p>
        </w:tc>
        <w:tc>
          <w:tcPr>
            <w:tcW w:w="6442" w:type="dxa"/>
          </w:tcPr>
          <w:p w14:paraId="19EAF3B8" w14:textId="77777777" w:rsidR="00712500" w:rsidRPr="0097456D" w:rsidRDefault="00712500">
            <w:pPr>
              <w:pStyle w:val="Heading2"/>
              <w:ind w:left="0" w:hanging="2"/>
              <w:jc w:val="left"/>
              <w:rPr>
                <w:rFonts w:ascii="Arial" w:eastAsia="Times New Roman" w:hAnsi="Arial" w:cs="Arial"/>
                <w:b w:val="0"/>
              </w:rPr>
            </w:pPr>
          </w:p>
        </w:tc>
      </w:tr>
      <w:tr w:rsidR="00712500" w:rsidRPr="0097456D" w14:paraId="21A57CAB" w14:textId="77777777" w:rsidTr="0097456D">
        <w:trPr>
          <w:trHeight w:val="188"/>
        </w:trPr>
        <w:tc>
          <w:tcPr>
            <w:tcW w:w="5351" w:type="dxa"/>
          </w:tcPr>
          <w:p w14:paraId="0F884E42" w14:textId="77777777" w:rsidR="00712500" w:rsidRPr="0097456D" w:rsidRDefault="00A72513">
            <w:pPr>
              <w:ind w:left="0" w:hanging="2"/>
              <w:rPr>
                <w:rFonts w:ascii="Arial" w:hAnsi="Arial" w:cs="Arial"/>
                <w:sz w:val="20"/>
                <w:szCs w:val="20"/>
              </w:rPr>
            </w:pPr>
            <w:r w:rsidRPr="0097456D">
              <w:rPr>
                <w:rFonts w:ascii="Arial" w:hAnsi="Arial" w:cs="Arial"/>
                <w:b/>
                <w:sz w:val="20"/>
                <w:szCs w:val="20"/>
              </w:rPr>
              <w:t>Is the title of the article suitable?</w:t>
            </w:r>
          </w:p>
          <w:p w14:paraId="516117EF" w14:textId="777813BD" w:rsidR="00712500" w:rsidRPr="0097456D" w:rsidRDefault="00A72513" w:rsidP="0097456D">
            <w:pPr>
              <w:ind w:left="0" w:hanging="2"/>
              <w:rPr>
                <w:rFonts w:ascii="Arial" w:hAnsi="Arial" w:cs="Arial"/>
                <w:sz w:val="20"/>
                <w:szCs w:val="20"/>
                <w:u w:val="single"/>
              </w:rPr>
            </w:pPr>
            <w:r w:rsidRPr="0097456D">
              <w:rPr>
                <w:rFonts w:ascii="Arial" w:hAnsi="Arial" w:cs="Arial"/>
                <w:b/>
                <w:sz w:val="20"/>
                <w:szCs w:val="20"/>
              </w:rPr>
              <w:t>(If not please suggest an alternative title)</w:t>
            </w:r>
          </w:p>
        </w:tc>
        <w:tc>
          <w:tcPr>
            <w:tcW w:w="9357" w:type="dxa"/>
          </w:tcPr>
          <w:p w14:paraId="14E00E5C" w14:textId="77777777" w:rsidR="00712500" w:rsidRPr="0097456D" w:rsidRDefault="00A72513">
            <w:pPr>
              <w:ind w:left="0" w:hanging="2"/>
              <w:rPr>
                <w:rFonts w:ascii="Arial" w:hAnsi="Arial" w:cs="Arial"/>
                <w:sz w:val="20"/>
                <w:szCs w:val="20"/>
              </w:rPr>
            </w:pPr>
            <w:r w:rsidRPr="0097456D">
              <w:rPr>
                <w:rFonts w:ascii="Arial" w:hAnsi="Arial" w:cs="Arial"/>
                <w:sz w:val="20"/>
                <w:szCs w:val="20"/>
              </w:rPr>
              <w:t>It is suitable</w:t>
            </w:r>
          </w:p>
        </w:tc>
        <w:tc>
          <w:tcPr>
            <w:tcW w:w="6442" w:type="dxa"/>
          </w:tcPr>
          <w:p w14:paraId="72938D6D" w14:textId="77777777" w:rsidR="00712500" w:rsidRPr="0097456D" w:rsidRDefault="00712500">
            <w:pPr>
              <w:pStyle w:val="Heading2"/>
              <w:ind w:left="0" w:hanging="2"/>
              <w:jc w:val="left"/>
              <w:rPr>
                <w:rFonts w:ascii="Arial" w:eastAsia="Times New Roman" w:hAnsi="Arial" w:cs="Arial"/>
                <w:b w:val="0"/>
              </w:rPr>
            </w:pPr>
          </w:p>
        </w:tc>
      </w:tr>
      <w:tr w:rsidR="00712500" w:rsidRPr="0097456D" w14:paraId="4ACB4CF3" w14:textId="77777777">
        <w:trPr>
          <w:trHeight w:val="1262"/>
        </w:trPr>
        <w:tc>
          <w:tcPr>
            <w:tcW w:w="5351" w:type="dxa"/>
          </w:tcPr>
          <w:p w14:paraId="64AC7F84" w14:textId="77777777" w:rsidR="00712500" w:rsidRPr="0097456D" w:rsidRDefault="00A72513">
            <w:pPr>
              <w:pStyle w:val="Heading2"/>
              <w:ind w:left="0" w:hanging="2"/>
              <w:jc w:val="left"/>
              <w:rPr>
                <w:rFonts w:ascii="Arial" w:eastAsia="Times New Roman" w:hAnsi="Arial" w:cs="Arial"/>
              </w:rPr>
            </w:pPr>
            <w:r w:rsidRPr="0097456D">
              <w:rPr>
                <w:rFonts w:ascii="Arial" w:eastAsia="Times New Roman" w:hAnsi="Arial" w:cs="Arial"/>
              </w:rPr>
              <w:t xml:space="preserve">Is the abstract of the article </w:t>
            </w:r>
            <w:proofErr w:type="spellStart"/>
            <w:proofErr w:type="gramStart"/>
            <w:r w:rsidRPr="0097456D">
              <w:rPr>
                <w:rFonts w:ascii="Arial" w:eastAsia="Times New Roman" w:hAnsi="Arial" w:cs="Arial"/>
              </w:rPr>
              <w:t>comprehensive</w:t>
            </w:r>
            <w:proofErr w:type="spellEnd"/>
            <w:r w:rsidRPr="0097456D">
              <w:rPr>
                <w:rFonts w:ascii="Arial" w:eastAsia="Times New Roman" w:hAnsi="Arial" w:cs="Arial"/>
              </w:rPr>
              <w:t>?</w:t>
            </w:r>
            <w:proofErr w:type="gramEnd"/>
            <w:r w:rsidRPr="0097456D">
              <w:rPr>
                <w:rFonts w:ascii="Arial" w:eastAsia="Times New Roman" w:hAnsi="Arial" w:cs="Arial"/>
              </w:rPr>
              <w:t xml:space="preserve"> Do </w:t>
            </w:r>
            <w:proofErr w:type="spellStart"/>
            <w:r w:rsidRPr="0097456D">
              <w:rPr>
                <w:rFonts w:ascii="Arial" w:eastAsia="Times New Roman" w:hAnsi="Arial" w:cs="Arial"/>
              </w:rPr>
              <w:t>you</w:t>
            </w:r>
            <w:proofErr w:type="spellEnd"/>
            <w:r w:rsidRPr="0097456D">
              <w:rPr>
                <w:rFonts w:ascii="Arial" w:eastAsia="Times New Roman" w:hAnsi="Arial" w:cs="Arial"/>
              </w:rPr>
              <w:t xml:space="preserve"> </w:t>
            </w:r>
            <w:proofErr w:type="spellStart"/>
            <w:r w:rsidRPr="0097456D">
              <w:rPr>
                <w:rFonts w:ascii="Arial" w:eastAsia="Times New Roman" w:hAnsi="Arial" w:cs="Arial"/>
              </w:rPr>
              <w:t>suggest</w:t>
            </w:r>
            <w:proofErr w:type="spellEnd"/>
            <w:r w:rsidRPr="0097456D">
              <w:rPr>
                <w:rFonts w:ascii="Arial" w:eastAsia="Times New Roman" w:hAnsi="Arial" w:cs="Arial"/>
              </w:rPr>
              <w:t xml:space="preserve"> the addition (or </w:t>
            </w:r>
            <w:proofErr w:type="spellStart"/>
            <w:r w:rsidRPr="0097456D">
              <w:rPr>
                <w:rFonts w:ascii="Arial" w:eastAsia="Times New Roman" w:hAnsi="Arial" w:cs="Arial"/>
              </w:rPr>
              <w:t>deletion</w:t>
            </w:r>
            <w:proofErr w:type="spellEnd"/>
            <w:r w:rsidRPr="0097456D">
              <w:rPr>
                <w:rFonts w:ascii="Arial" w:eastAsia="Times New Roman" w:hAnsi="Arial" w:cs="Arial"/>
              </w:rPr>
              <w:t xml:space="preserve">) of </w:t>
            </w:r>
            <w:proofErr w:type="spellStart"/>
            <w:r w:rsidRPr="0097456D">
              <w:rPr>
                <w:rFonts w:ascii="Arial" w:eastAsia="Times New Roman" w:hAnsi="Arial" w:cs="Arial"/>
              </w:rPr>
              <w:t>some</w:t>
            </w:r>
            <w:proofErr w:type="spellEnd"/>
            <w:r w:rsidRPr="0097456D">
              <w:rPr>
                <w:rFonts w:ascii="Arial" w:eastAsia="Times New Roman" w:hAnsi="Arial" w:cs="Arial"/>
              </w:rPr>
              <w:t xml:space="preserve"> points in </w:t>
            </w:r>
            <w:proofErr w:type="spellStart"/>
            <w:r w:rsidRPr="0097456D">
              <w:rPr>
                <w:rFonts w:ascii="Arial" w:eastAsia="Times New Roman" w:hAnsi="Arial" w:cs="Arial"/>
              </w:rPr>
              <w:t>this</w:t>
            </w:r>
            <w:proofErr w:type="spellEnd"/>
            <w:r w:rsidRPr="0097456D">
              <w:rPr>
                <w:rFonts w:ascii="Arial" w:eastAsia="Times New Roman" w:hAnsi="Arial" w:cs="Arial"/>
              </w:rPr>
              <w:t xml:space="preserve"> </w:t>
            </w:r>
            <w:proofErr w:type="gramStart"/>
            <w:r w:rsidRPr="0097456D">
              <w:rPr>
                <w:rFonts w:ascii="Arial" w:eastAsia="Times New Roman" w:hAnsi="Arial" w:cs="Arial"/>
              </w:rPr>
              <w:t>section?</w:t>
            </w:r>
            <w:proofErr w:type="gramEnd"/>
            <w:r w:rsidRPr="0097456D">
              <w:rPr>
                <w:rFonts w:ascii="Arial" w:eastAsia="Times New Roman" w:hAnsi="Arial" w:cs="Arial"/>
              </w:rPr>
              <w:t xml:space="preserve"> </w:t>
            </w:r>
            <w:proofErr w:type="spellStart"/>
            <w:r w:rsidRPr="0097456D">
              <w:rPr>
                <w:rFonts w:ascii="Arial" w:eastAsia="Times New Roman" w:hAnsi="Arial" w:cs="Arial"/>
              </w:rPr>
              <w:t>Please</w:t>
            </w:r>
            <w:proofErr w:type="spellEnd"/>
            <w:r w:rsidRPr="0097456D">
              <w:rPr>
                <w:rFonts w:ascii="Arial" w:eastAsia="Times New Roman" w:hAnsi="Arial" w:cs="Arial"/>
              </w:rPr>
              <w:t xml:space="preserve"> </w:t>
            </w:r>
            <w:proofErr w:type="spellStart"/>
            <w:r w:rsidRPr="0097456D">
              <w:rPr>
                <w:rFonts w:ascii="Arial" w:eastAsia="Times New Roman" w:hAnsi="Arial" w:cs="Arial"/>
              </w:rPr>
              <w:t>write</w:t>
            </w:r>
            <w:proofErr w:type="spellEnd"/>
            <w:r w:rsidRPr="0097456D">
              <w:rPr>
                <w:rFonts w:ascii="Arial" w:eastAsia="Times New Roman" w:hAnsi="Arial" w:cs="Arial"/>
              </w:rPr>
              <w:t xml:space="preserve"> </w:t>
            </w:r>
            <w:proofErr w:type="spellStart"/>
            <w:r w:rsidRPr="0097456D">
              <w:rPr>
                <w:rFonts w:ascii="Arial" w:eastAsia="Times New Roman" w:hAnsi="Arial" w:cs="Arial"/>
              </w:rPr>
              <w:t>your</w:t>
            </w:r>
            <w:proofErr w:type="spellEnd"/>
            <w:r w:rsidRPr="0097456D">
              <w:rPr>
                <w:rFonts w:ascii="Arial" w:eastAsia="Times New Roman" w:hAnsi="Arial" w:cs="Arial"/>
              </w:rPr>
              <w:t xml:space="preserve"> suggestions </w:t>
            </w:r>
            <w:proofErr w:type="spellStart"/>
            <w:r w:rsidRPr="0097456D">
              <w:rPr>
                <w:rFonts w:ascii="Arial" w:eastAsia="Times New Roman" w:hAnsi="Arial" w:cs="Arial"/>
              </w:rPr>
              <w:t>here</w:t>
            </w:r>
            <w:proofErr w:type="spellEnd"/>
            <w:r w:rsidRPr="0097456D">
              <w:rPr>
                <w:rFonts w:ascii="Arial" w:eastAsia="Times New Roman" w:hAnsi="Arial" w:cs="Arial"/>
              </w:rPr>
              <w:t>.</w:t>
            </w:r>
          </w:p>
          <w:p w14:paraId="48A4CB29" w14:textId="77777777" w:rsidR="00712500" w:rsidRPr="0097456D" w:rsidRDefault="00712500">
            <w:pPr>
              <w:pStyle w:val="Heading2"/>
              <w:ind w:left="0" w:hanging="2"/>
              <w:jc w:val="left"/>
              <w:rPr>
                <w:rFonts w:ascii="Arial" w:eastAsia="Times New Roman" w:hAnsi="Arial" w:cs="Arial"/>
                <w:u w:val="single"/>
              </w:rPr>
            </w:pPr>
          </w:p>
        </w:tc>
        <w:tc>
          <w:tcPr>
            <w:tcW w:w="9357" w:type="dxa"/>
          </w:tcPr>
          <w:p w14:paraId="7512C66C" w14:textId="77777777" w:rsidR="00712500" w:rsidRPr="0097456D" w:rsidRDefault="00A72513">
            <w:pPr>
              <w:ind w:left="0" w:hanging="2"/>
              <w:rPr>
                <w:rFonts w:ascii="Arial" w:hAnsi="Arial" w:cs="Arial"/>
                <w:sz w:val="20"/>
                <w:szCs w:val="20"/>
              </w:rPr>
            </w:pPr>
            <w:r w:rsidRPr="0097456D">
              <w:rPr>
                <w:rFonts w:ascii="Arial" w:hAnsi="Arial" w:cs="Arial"/>
                <w:sz w:val="20"/>
                <w:szCs w:val="20"/>
              </w:rPr>
              <w:t>I don't have a comment about the abstract</w:t>
            </w:r>
          </w:p>
        </w:tc>
        <w:tc>
          <w:tcPr>
            <w:tcW w:w="6442" w:type="dxa"/>
          </w:tcPr>
          <w:p w14:paraId="6C5317F7" w14:textId="77777777" w:rsidR="00712500" w:rsidRPr="0097456D" w:rsidRDefault="00712500">
            <w:pPr>
              <w:pStyle w:val="Heading2"/>
              <w:ind w:left="0" w:hanging="2"/>
              <w:jc w:val="left"/>
              <w:rPr>
                <w:rFonts w:ascii="Arial" w:eastAsia="Times New Roman" w:hAnsi="Arial" w:cs="Arial"/>
                <w:b w:val="0"/>
              </w:rPr>
            </w:pPr>
          </w:p>
        </w:tc>
      </w:tr>
      <w:tr w:rsidR="00712500" w:rsidRPr="0097456D" w14:paraId="0D772035" w14:textId="77777777">
        <w:trPr>
          <w:trHeight w:val="704"/>
        </w:trPr>
        <w:tc>
          <w:tcPr>
            <w:tcW w:w="5351" w:type="dxa"/>
          </w:tcPr>
          <w:p w14:paraId="7453E79B" w14:textId="77777777" w:rsidR="00712500" w:rsidRPr="0097456D" w:rsidRDefault="00A72513">
            <w:pPr>
              <w:pStyle w:val="Heading2"/>
              <w:ind w:left="0" w:hanging="2"/>
              <w:jc w:val="left"/>
              <w:rPr>
                <w:rFonts w:ascii="Arial" w:hAnsi="Arial" w:cs="Arial"/>
                <w:b w:val="0"/>
                <w:u w:val="single"/>
              </w:rPr>
            </w:pPr>
            <w:r w:rsidRPr="0097456D">
              <w:rPr>
                <w:rFonts w:ascii="Arial" w:eastAsia="Times New Roman" w:hAnsi="Arial" w:cs="Arial"/>
              </w:rPr>
              <w:t xml:space="preserve">Is the </w:t>
            </w:r>
            <w:proofErr w:type="spellStart"/>
            <w:r w:rsidRPr="0097456D">
              <w:rPr>
                <w:rFonts w:ascii="Arial" w:eastAsia="Times New Roman" w:hAnsi="Arial" w:cs="Arial"/>
              </w:rPr>
              <w:t>manuscript</w:t>
            </w:r>
            <w:proofErr w:type="spellEnd"/>
            <w:r w:rsidRPr="0097456D">
              <w:rPr>
                <w:rFonts w:ascii="Arial" w:eastAsia="Times New Roman" w:hAnsi="Arial" w:cs="Arial"/>
              </w:rPr>
              <w:t xml:space="preserve"> </w:t>
            </w:r>
            <w:proofErr w:type="spellStart"/>
            <w:r w:rsidRPr="0097456D">
              <w:rPr>
                <w:rFonts w:ascii="Arial" w:eastAsia="Times New Roman" w:hAnsi="Arial" w:cs="Arial"/>
              </w:rPr>
              <w:t>scientifically</w:t>
            </w:r>
            <w:proofErr w:type="spellEnd"/>
            <w:r w:rsidRPr="0097456D">
              <w:rPr>
                <w:rFonts w:ascii="Arial" w:eastAsia="Times New Roman" w:hAnsi="Arial" w:cs="Arial"/>
              </w:rPr>
              <w:t xml:space="preserve">, </w:t>
            </w:r>
            <w:proofErr w:type="gramStart"/>
            <w:r w:rsidRPr="0097456D">
              <w:rPr>
                <w:rFonts w:ascii="Arial" w:eastAsia="Times New Roman" w:hAnsi="Arial" w:cs="Arial"/>
              </w:rPr>
              <w:t>correct?</w:t>
            </w:r>
            <w:proofErr w:type="gramEnd"/>
            <w:r w:rsidRPr="0097456D">
              <w:rPr>
                <w:rFonts w:ascii="Arial" w:eastAsia="Times New Roman" w:hAnsi="Arial" w:cs="Arial"/>
              </w:rPr>
              <w:t xml:space="preserve"> </w:t>
            </w:r>
            <w:proofErr w:type="spellStart"/>
            <w:r w:rsidRPr="0097456D">
              <w:rPr>
                <w:rFonts w:ascii="Arial" w:eastAsia="Times New Roman" w:hAnsi="Arial" w:cs="Arial"/>
              </w:rPr>
              <w:t>Please</w:t>
            </w:r>
            <w:proofErr w:type="spellEnd"/>
            <w:r w:rsidRPr="0097456D">
              <w:rPr>
                <w:rFonts w:ascii="Arial" w:eastAsia="Times New Roman" w:hAnsi="Arial" w:cs="Arial"/>
              </w:rPr>
              <w:t xml:space="preserve"> </w:t>
            </w:r>
            <w:proofErr w:type="spellStart"/>
            <w:r w:rsidRPr="0097456D">
              <w:rPr>
                <w:rFonts w:ascii="Arial" w:eastAsia="Times New Roman" w:hAnsi="Arial" w:cs="Arial"/>
              </w:rPr>
              <w:t>write</w:t>
            </w:r>
            <w:proofErr w:type="spellEnd"/>
            <w:r w:rsidRPr="0097456D">
              <w:rPr>
                <w:rFonts w:ascii="Arial" w:eastAsia="Times New Roman" w:hAnsi="Arial" w:cs="Arial"/>
              </w:rPr>
              <w:t xml:space="preserve"> </w:t>
            </w:r>
            <w:proofErr w:type="spellStart"/>
            <w:r w:rsidRPr="0097456D">
              <w:rPr>
                <w:rFonts w:ascii="Arial" w:eastAsia="Times New Roman" w:hAnsi="Arial" w:cs="Arial"/>
              </w:rPr>
              <w:t>here</w:t>
            </w:r>
            <w:proofErr w:type="spellEnd"/>
            <w:r w:rsidRPr="0097456D">
              <w:rPr>
                <w:rFonts w:ascii="Arial" w:eastAsia="Times New Roman" w:hAnsi="Arial" w:cs="Arial"/>
              </w:rPr>
              <w:t>.</w:t>
            </w:r>
          </w:p>
        </w:tc>
        <w:tc>
          <w:tcPr>
            <w:tcW w:w="9357" w:type="dxa"/>
          </w:tcPr>
          <w:p w14:paraId="51E923A3" w14:textId="77777777" w:rsidR="00712500" w:rsidRPr="0097456D" w:rsidRDefault="00A72513">
            <w:pPr>
              <w:pBdr>
                <w:top w:val="nil"/>
                <w:left w:val="nil"/>
                <w:bottom w:val="nil"/>
                <w:right w:val="nil"/>
                <w:between w:val="nil"/>
              </w:pBdr>
              <w:spacing w:line="240" w:lineRule="auto"/>
              <w:ind w:left="0" w:hanging="2"/>
              <w:rPr>
                <w:rFonts w:ascii="Arial" w:hAnsi="Arial" w:cs="Arial"/>
                <w:color w:val="000000"/>
                <w:sz w:val="20"/>
                <w:szCs w:val="20"/>
              </w:rPr>
            </w:pPr>
            <w:r w:rsidRPr="0097456D">
              <w:rPr>
                <w:rFonts w:ascii="Arial" w:hAnsi="Arial" w:cs="Arial"/>
                <w:sz w:val="20"/>
                <w:szCs w:val="20"/>
              </w:rPr>
              <w:t xml:space="preserve">Yes, </w:t>
            </w:r>
            <w:proofErr w:type="spellStart"/>
            <w:r w:rsidRPr="0097456D">
              <w:rPr>
                <w:rFonts w:ascii="Arial" w:hAnsi="Arial" w:cs="Arial"/>
                <w:sz w:val="20"/>
                <w:szCs w:val="20"/>
              </w:rPr>
              <w:t>i</w:t>
            </w:r>
            <w:proofErr w:type="spellEnd"/>
            <w:r w:rsidRPr="0097456D">
              <w:rPr>
                <w:rFonts w:ascii="Arial" w:hAnsi="Arial" w:cs="Arial"/>
                <w:sz w:val="20"/>
                <w:szCs w:val="20"/>
              </w:rPr>
              <w:t xml:space="preserve"> don't find errors</w:t>
            </w:r>
          </w:p>
        </w:tc>
        <w:tc>
          <w:tcPr>
            <w:tcW w:w="6442" w:type="dxa"/>
          </w:tcPr>
          <w:p w14:paraId="780907A4" w14:textId="77777777" w:rsidR="00712500" w:rsidRPr="0097456D" w:rsidRDefault="00712500">
            <w:pPr>
              <w:pStyle w:val="Heading2"/>
              <w:ind w:left="0" w:hanging="2"/>
              <w:jc w:val="left"/>
              <w:rPr>
                <w:rFonts w:ascii="Arial" w:eastAsia="Times New Roman" w:hAnsi="Arial" w:cs="Arial"/>
                <w:b w:val="0"/>
              </w:rPr>
            </w:pPr>
          </w:p>
        </w:tc>
      </w:tr>
      <w:tr w:rsidR="00712500" w:rsidRPr="0097456D" w14:paraId="0D7F8466" w14:textId="77777777">
        <w:trPr>
          <w:trHeight w:val="703"/>
        </w:trPr>
        <w:tc>
          <w:tcPr>
            <w:tcW w:w="5351" w:type="dxa"/>
          </w:tcPr>
          <w:p w14:paraId="2E1B4E06" w14:textId="77777777" w:rsidR="00712500" w:rsidRPr="0097456D" w:rsidRDefault="00A72513">
            <w:pPr>
              <w:ind w:left="0" w:hanging="2"/>
              <w:rPr>
                <w:rFonts w:ascii="Arial" w:hAnsi="Arial" w:cs="Arial"/>
                <w:sz w:val="20"/>
                <w:szCs w:val="20"/>
              </w:rPr>
            </w:pPr>
            <w:r w:rsidRPr="0097456D">
              <w:rPr>
                <w:rFonts w:ascii="Arial" w:hAnsi="Arial" w:cs="Arial"/>
                <w:b/>
                <w:sz w:val="20"/>
                <w:szCs w:val="20"/>
              </w:rPr>
              <w:t>Are the references sufficient and recent? If you have suggestions of additional references, please mention them in the review form.</w:t>
            </w:r>
          </w:p>
        </w:tc>
        <w:tc>
          <w:tcPr>
            <w:tcW w:w="9357" w:type="dxa"/>
          </w:tcPr>
          <w:p w14:paraId="688CFB91" w14:textId="77777777" w:rsidR="00712500" w:rsidRPr="0097456D" w:rsidRDefault="00A72513">
            <w:pPr>
              <w:pBdr>
                <w:top w:val="nil"/>
                <w:left w:val="nil"/>
                <w:bottom w:val="nil"/>
                <w:right w:val="nil"/>
                <w:between w:val="nil"/>
              </w:pBdr>
              <w:spacing w:line="240" w:lineRule="auto"/>
              <w:ind w:left="0" w:hanging="2"/>
              <w:rPr>
                <w:rFonts w:ascii="Arial" w:hAnsi="Arial" w:cs="Arial"/>
                <w:sz w:val="20"/>
                <w:szCs w:val="20"/>
              </w:rPr>
            </w:pPr>
            <w:r w:rsidRPr="0097456D">
              <w:rPr>
                <w:rFonts w:ascii="Arial" w:hAnsi="Arial" w:cs="Arial"/>
                <w:sz w:val="20"/>
                <w:szCs w:val="20"/>
              </w:rPr>
              <w:t xml:space="preserve">Most of the references cited are from 2018–2021, and do not include the latest studies on Oxford Nanopore Technologies (ONT) and long-read sequencing. It would be beneficial to incorporate more recent publications, particularly those covering the latest ONT chemistries, </w:t>
            </w:r>
            <w:proofErr w:type="spellStart"/>
            <w:r w:rsidRPr="0097456D">
              <w:rPr>
                <w:rFonts w:ascii="Arial" w:hAnsi="Arial" w:cs="Arial"/>
                <w:sz w:val="20"/>
                <w:szCs w:val="20"/>
              </w:rPr>
              <w:t>basecalling</w:t>
            </w:r>
            <w:proofErr w:type="spellEnd"/>
            <w:r w:rsidRPr="0097456D">
              <w:rPr>
                <w:rFonts w:ascii="Arial" w:hAnsi="Arial" w:cs="Arial"/>
                <w:sz w:val="20"/>
                <w:szCs w:val="20"/>
              </w:rPr>
              <w:t xml:space="preserve"> models, and advances in the detection of DNA and RNA modifications. For example: </w:t>
            </w:r>
            <w:hyperlink r:id="rId8">
              <w:r w:rsidRPr="0097456D">
                <w:rPr>
                  <w:rFonts w:ascii="Arial" w:hAnsi="Arial" w:cs="Arial"/>
                  <w:color w:val="1155CC"/>
                  <w:sz w:val="20"/>
                  <w:szCs w:val="20"/>
                  <w:u w:val="single"/>
                </w:rPr>
                <w:t>https://www.nature.com/articles/s41592-024-02492-3</w:t>
              </w:r>
            </w:hyperlink>
            <w:r w:rsidRPr="0097456D">
              <w:rPr>
                <w:rFonts w:ascii="Arial" w:hAnsi="Arial" w:cs="Arial"/>
                <w:sz w:val="20"/>
                <w:szCs w:val="20"/>
              </w:rPr>
              <w:t xml:space="preserve">,  </w:t>
            </w:r>
            <w:hyperlink r:id="rId9">
              <w:r w:rsidRPr="0097456D">
                <w:rPr>
                  <w:rFonts w:ascii="Arial" w:hAnsi="Arial" w:cs="Arial"/>
                  <w:color w:val="1155CC"/>
                  <w:sz w:val="20"/>
                  <w:szCs w:val="20"/>
                  <w:u w:val="single"/>
                </w:rPr>
                <w:t>https://pubmed.ncbi.nlm.nih.gov/39846015/</w:t>
              </w:r>
            </w:hyperlink>
            <w:r w:rsidRPr="0097456D">
              <w:rPr>
                <w:rFonts w:ascii="Arial" w:hAnsi="Arial" w:cs="Arial"/>
                <w:sz w:val="20"/>
                <w:szCs w:val="20"/>
              </w:rPr>
              <w:t xml:space="preserve">, </w:t>
            </w:r>
            <w:hyperlink r:id="rId10">
              <w:r w:rsidRPr="0097456D">
                <w:rPr>
                  <w:rFonts w:ascii="Arial" w:hAnsi="Arial" w:cs="Arial"/>
                  <w:color w:val="1155CC"/>
                  <w:sz w:val="20"/>
                  <w:szCs w:val="20"/>
                  <w:u w:val="single"/>
                </w:rPr>
                <w:t>https://pubmed.ncbi.nlm.nih.gov/39846015/</w:t>
              </w:r>
            </w:hyperlink>
            <w:r w:rsidRPr="0097456D">
              <w:rPr>
                <w:rFonts w:ascii="Arial" w:hAnsi="Arial" w:cs="Arial"/>
                <w:sz w:val="20"/>
                <w:szCs w:val="20"/>
              </w:rPr>
              <w:t xml:space="preserve">, </w:t>
            </w:r>
            <w:hyperlink r:id="rId11">
              <w:r w:rsidRPr="0097456D">
                <w:rPr>
                  <w:rFonts w:ascii="Arial" w:hAnsi="Arial" w:cs="Arial"/>
                  <w:color w:val="1155CC"/>
                  <w:sz w:val="20"/>
                  <w:szCs w:val="20"/>
                  <w:u w:val="single"/>
                </w:rPr>
                <w:t>https://pubmed.ncbi.nlm.nih.gov/38003667/</w:t>
              </w:r>
            </w:hyperlink>
            <w:r w:rsidRPr="0097456D">
              <w:rPr>
                <w:rFonts w:ascii="Arial" w:hAnsi="Arial" w:cs="Arial"/>
                <w:sz w:val="20"/>
                <w:szCs w:val="20"/>
              </w:rPr>
              <w:t xml:space="preserve">, </w:t>
            </w:r>
            <w:hyperlink r:id="rId12">
              <w:r w:rsidRPr="0097456D">
                <w:rPr>
                  <w:rFonts w:ascii="Arial" w:hAnsi="Arial" w:cs="Arial"/>
                  <w:color w:val="1155CC"/>
                  <w:sz w:val="20"/>
                  <w:szCs w:val="20"/>
                  <w:u w:val="single"/>
                </w:rPr>
                <w:t>https://pubmed.ncbi.nlm.nih.gov/39438075/</w:t>
              </w:r>
            </w:hyperlink>
            <w:r w:rsidRPr="0097456D">
              <w:rPr>
                <w:rFonts w:ascii="Arial" w:hAnsi="Arial" w:cs="Arial"/>
                <w:sz w:val="20"/>
                <w:szCs w:val="20"/>
              </w:rPr>
              <w:t xml:space="preserve"> </w:t>
            </w:r>
            <w:proofErr w:type="spellStart"/>
            <w:r w:rsidRPr="0097456D">
              <w:rPr>
                <w:rFonts w:ascii="Arial" w:hAnsi="Arial" w:cs="Arial"/>
                <w:sz w:val="20"/>
                <w:szCs w:val="20"/>
              </w:rPr>
              <w:t>etc</w:t>
            </w:r>
            <w:proofErr w:type="spellEnd"/>
          </w:p>
        </w:tc>
        <w:tc>
          <w:tcPr>
            <w:tcW w:w="6442" w:type="dxa"/>
          </w:tcPr>
          <w:p w14:paraId="039BDD25" w14:textId="77777777" w:rsidR="00712500" w:rsidRPr="0097456D" w:rsidRDefault="00712500">
            <w:pPr>
              <w:pStyle w:val="Heading2"/>
              <w:ind w:left="0" w:hanging="2"/>
              <w:jc w:val="left"/>
              <w:rPr>
                <w:rFonts w:ascii="Arial" w:eastAsia="Times New Roman" w:hAnsi="Arial" w:cs="Arial"/>
                <w:b w:val="0"/>
              </w:rPr>
            </w:pPr>
          </w:p>
        </w:tc>
      </w:tr>
      <w:tr w:rsidR="00712500" w:rsidRPr="0097456D" w14:paraId="22BDE8BE" w14:textId="77777777">
        <w:trPr>
          <w:trHeight w:val="386"/>
        </w:trPr>
        <w:tc>
          <w:tcPr>
            <w:tcW w:w="5351" w:type="dxa"/>
          </w:tcPr>
          <w:p w14:paraId="7006FA1E" w14:textId="77777777" w:rsidR="00712500" w:rsidRPr="0097456D" w:rsidRDefault="00A72513">
            <w:pPr>
              <w:pStyle w:val="Heading2"/>
              <w:ind w:left="0" w:hanging="2"/>
              <w:jc w:val="left"/>
              <w:rPr>
                <w:rFonts w:ascii="Arial" w:eastAsia="Times New Roman" w:hAnsi="Arial" w:cs="Arial"/>
              </w:rPr>
            </w:pPr>
            <w:r w:rsidRPr="0097456D">
              <w:rPr>
                <w:rFonts w:ascii="Arial" w:eastAsia="Times New Roman" w:hAnsi="Arial" w:cs="Arial"/>
              </w:rPr>
              <w:lastRenderedPageBreak/>
              <w:t xml:space="preserve">Is the </w:t>
            </w:r>
            <w:proofErr w:type="spellStart"/>
            <w:r w:rsidRPr="0097456D">
              <w:rPr>
                <w:rFonts w:ascii="Arial" w:eastAsia="Times New Roman" w:hAnsi="Arial" w:cs="Arial"/>
              </w:rPr>
              <w:t>language</w:t>
            </w:r>
            <w:proofErr w:type="spellEnd"/>
            <w:r w:rsidRPr="0097456D">
              <w:rPr>
                <w:rFonts w:ascii="Arial" w:eastAsia="Times New Roman" w:hAnsi="Arial" w:cs="Arial"/>
              </w:rPr>
              <w:t xml:space="preserve">/English </w:t>
            </w:r>
            <w:proofErr w:type="spellStart"/>
            <w:r w:rsidRPr="0097456D">
              <w:rPr>
                <w:rFonts w:ascii="Arial" w:eastAsia="Times New Roman" w:hAnsi="Arial" w:cs="Arial"/>
              </w:rPr>
              <w:t>quality</w:t>
            </w:r>
            <w:proofErr w:type="spellEnd"/>
            <w:r w:rsidRPr="0097456D">
              <w:rPr>
                <w:rFonts w:ascii="Arial" w:eastAsia="Times New Roman" w:hAnsi="Arial" w:cs="Arial"/>
              </w:rPr>
              <w:t xml:space="preserve"> of the article </w:t>
            </w:r>
            <w:proofErr w:type="spellStart"/>
            <w:r w:rsidRPr="0097456D">
              <w:rPr>
                <w:rFonts w:ascii="Arial" w:eastAsia="Times New Roman" w:hAnsi="Arial" w:cs="Arial"/>
              </w:rPr>
              <w:t>suitable</w:t>
            </w:r>
            <w:proofErr w:type="spellEnd"/>
            <w:r w:rsidRPr="0097456D">
              <w:rPr>
                <w:rFonts w:ascii="Arial" w:eastAsia="Times New Roman" w:hAnsi="Arial" w:cs="Arial"/>
              </w:rPr>
              <w:t xml:space="preserve"> for </w:t>
            </w:r>
            <w:proofErr w:type="spellStart"/>
            <w:r w:rsidRPr="0097456D">
              <w:rPr>
                <w:rFonts w:ascii="Arial" w:eastAsia="Times New Roman" w:hAnsi="Arial" w:cs="Arial"/>
              </w:rPr>
              <w:t>scholarly</w:t>
            </w:r>
            <w:proofErr w:type="spellEnd"/>
            <w:r w:rsidRPr="0097456D">
              <w:rPr>
                <w:rFonts w:ascii="Arial" w:eastAsia="Times New Roman" w:hAnsi="Arial" w:cs="Arial"/>
              </w:rPr>
              <w:t xml:space="preserve"> </w:t>
            </w:r>
            <w:proofErr w:type="gramStart"/>
            <w:r w:rsidRPr="0097456D">
              <w:rPr>
                <w:rFonts w:ascii="Arial" w:eastAsia="Times New Roman" w:hAnsi="Arial" w:cs="Arial"/>
              </w:rPr>
              <w:t>communications?</w:t>
            </w:r>
            <w:proofErr w:type="gramEnd"/>
          </w:p>
          <w:p w14:paraId="56B65286" w14:textId="77777777" w:rsidR="00712500" w:rsidRPr="0097456D" w:rsidRDefault="00712500">
            <w:pPr>
              <w:ind w:left="0" w:hanging="2"/>
              <w:rPr>
                <w:rFonts w:ascii="Arial" w:hAnsi="Arial" w:cs="Arial"/>
                <w:sz w:val="20"/>
                <w:szCs w:val="20"/>
              </w:rPr>
            </w:pPr>
          </w:p>
        </w:tc>
        <w:tc>
          <w:tcPr>
            <w:tcW w:w="9357" w:type="dxa"/>
          </w:tcPr>
          <w:p w14:paraId="2B88C1D0" w14:textId="77777777" w:rsidR="00712500" w:rsidRPr="0097456D" w:rsidRDefault="00A72513">
            <w:pPr>
              <w:ind w:left="0" w:hanging="2"/>
              <w:rPr>
                <w:rFonts w:ascii="Arial" w:hAnsi="Arial" w:cs="Arial"/>
                <w:sz w:val="20"/>
                <w:szCs w:val="20"/>
              </w:rPr>
            </w:pPr>
            <w:r w:rsidRPr="0097456D">
              <w:rPr>
                <w:rFonts w:ascii="Arial" w:hAnsi="Arial" w:cs="Arial"/>
                <w:sz w:val="20"/>
                <w:szCs w:val="20"/>
              </w:rPr>
              <w:t>The style of the article requires a high level of preparation. The density of philosophical terms and metaphors may make it difficult for readers without the appropriate background to understand.</w:t>
            </w:r>
          </w:p>
        </w:tc>
        <w:tc>
          <w:tcPr>
            <w:tcW w:w="6442" w:type="dxa"/>
          </w:tcPr>
          <w:p w14:paraId="388007F4" w14:textId="77777777" w:rsidR="00712500" w:rsidRPr="0097456D" w:rsidRDefault="00712500">
            <w:pPr>
              <w:ind w:left="0" w:hanging="2"/>
              <w:rPr>
                <w:rFonts w:ascii="Arial" w:hAnsi="Arial" w:cs="Arial"/>
                <w:sz w:val="20"/>
                <w:szCs w:val="20"/>
              </w:rPr>
            </w:pPr>
          </w:p>
        </w:tc>
      </w:tr>
      <w:tr w:rsidR="00712500" w:rsidRPr="0097456D" w14:paraId="69EF9E8E" w14:textId="77777777">
        <w:trPr>
          <w:trHeight w:val="1178"/>
        </w:trPr>
        <w:tc>
          <w:tcPr>
            <w:tcW w:w="5351" w:type="dxa"/>
          </w:tcPr>
          <w:p w14:paraId="6A969757" w14:textId="77777777" w:rsidR="00712500" w:rsidRPr="0097456D" w:rsidRDefault="00A72513">
            <w:pPr>
              <w:pStyle w:val="Heading2"/>
              <w:ind w:left="0" w:hanging="2"/>
              <w:jc w:val="left"/>
              <w:rPr>
                <w:rFonts w:ascii="Arial" w:eastAsia="Times New Roman" w:hAnsi="Arial" w:cs="Arial"/>
                <w:b w:val="0"/>
              </w:rPr>
            </w:pPr>
            <w:proofErr w:type="spellStart"/>
            <w:r w:rsidRPr="0097456D">
              <w:rPr>
                <w:rFonts w:ascii="Arial" w:eastAsia="Times New Roman" w:hAnsi="Arial" w:cs="Arial"/>
                <w:u w:val="single"/>
              </w:rPr>
              <w:t>Optional</w:t>
            </w:r>
            <w:proofErr w:type="spellEnd"/>
            <w:r w:rsidRPr="0097456D">
              <w:rPr>
                <w:rFonts w:ascii="Arial" w:eastAsia="Times New Roman" w:hAnsi="Arial" w:cs="Arial"/>
                <w:u w:val="single"/>
              </w:rPr>
              <w:t>/General</w:t>
            </w:r>
            <w:r w:rsidRPr="0097456D">
              <w:rPr>
                <w:rFonts w:ascii="Arial" w:eastAsia="Times New Roman" w:hAnsi="Arial" w:cs="Arial"/>
              </w:rPr>
              <w:t xml:space="preserve"> </w:t>
            </w:r>
            <w:proofErr w:type="spellStart"/>
            <w:r w:rsidRPr="0097456D">
              <w:rPr>
                <w:rFonts w:ascii="Arial" w:eastAsia="Times New Roman" w:hAnsi="Arial" w:cs="Arial"/>
                <w:b w:val="0"/>
              </w:rPr>
              <w:t>comments</w:t>
            </w:r>
            <w:proofErr w:type="spellEnd"/>
          </w:p>
          <w:p w14:paraId="2E38C809" w14:textId="77777777" w:rsidR="00712500" w:rsidRPr="0097456D" w:rsidRDefault="00712500">
            <w:pPr>
              <w:pStyle w:val="Heading2"/>
              <w:ind w:left="0" w:hanging="2"/>
              <w:jc w:val="left"/>
              <w:rPr>
                <w:rFonts w:ascii="Arial" w:eastAsia="Times New Roman" w:hAnsi="Arial" w:cs="Arial"/>
                <w:b w:val="0"/>
              </w:rPr>
            </w:pPr>
          </w:p>
        </w:tc>
        <w:tc>
          <w:tcPr>
            <w:tcW w:w="9357" w:type="dxa"/>
          </w:tcPr>
          <w:p w14:paraId="535EDC88" w14:textId="77777777" w:rsidR="00712500" w:rsidRPr="0097456D" w:rsidRDefault="00A72513">
            <w:pPr>
              <w:ind w:left="0" w:hanging="2"/>
              <w:rPr>
                <w:rFonts w:ascii="Arial" w:hAnsi="Arial" w:cs="Arial"/>
                <w:sz w:val="20"/>
                <w:szCs w:val="20"/>
              </w:rPr>
            </w:pPr>
            <w:r w:rsidRPr="0097456D">
              <w:rPr>
                <w:rFonts w:ascii="Arial" w:hAnsi="Arial" w:cs="Arial"/>
                <w:sz w:val="20"/>
                <w:szCs w:val="20"/>
              </w:rPr>
              <w:t>I would like to thank the authors for this thoughtful and philosophically rich manuscript. The article successfully explores important questions that have been debated for years in the context of sequencing technologies, especially those related to Illumina. It is refreshing to see an interdisciplinary approach that links molecular biology with epistemological, ontological, and ethical considerations.</w:t>
            </w:r>
          </w:p>
          <w:p w14:paraId="793F3062" w14:textId="77777777" w:rsidR="00712500" w:rsidRPr="0097456D" w:rsidRDefault="00712500">
            <w:pPr>
              <w:ind w:left="0" w:hanging="2"/>
              <w:rPr>
                <w:rFonts w:ascii="Arial" w:hAnsi="Arial" w:cs="Arial"/>
                <w:sz w:val="20"/>
                <w:szCs w:val="20"/>
              </w:rPr>
            </w:pPr>
          </w:p>
          <w:p w14:paraId="08301DC9" w14:textId="77777777" w:rsidR="00712500" w:rsidRPr="0097456D" w:rsidRDefault="00A72513">
            <w:pPr>
              <w:ind w:left="0" w:hanging="2"/>
              <w:rPr>
                <w:rFonts w:ascii="Arial" w:hAnsi="Arial" w:cs="Arial"/>
                <w:sz w:val="20"/>
                <w:szCs w:val="20"/>
              </w:rPr>
            </w:pPr>
            <w:r w:rsidRPr="0097456D">
              <w:rPr>
                <w:rFonts w:ascii="Arial" w:hAnsi="Arial" w:cs="Arial"/>
                <w:sz w:val="20"/>
                <w:szCs w:val="20"/>
              </w:rPr>
              <w:t>That said, I believe the manuscript would benefit from a broader and more critical engagement with the technical and practical limitations of Oxford Nanopore Technologies (ONT), in addition to the ethical and philosophical discussions already provided.</w:t>
            </w:r>
          </w:p>
          <w:p w14:paraId="38F35700" w14:textId="77777777" w:rsidR="00712500" w:rsidRPr="0097456D" w:rsidRDefault="00712500">
            <w:pPr>
              <w:ind w:left="0" w:hanging="2"/>
              <w:rPr>
                <w:rFonts w:ascii="Arial" w:hAnsi="Arial" w:cs="Arial"/>
                <w:sz w:val="20"/>
                <w:szCs w:val="20"/>
              </w:rPr>
            </w:pPr>
          </w:p>
          <w:p w14:paraId="6A5D7091" w14:textId="77777777" w:rsidR="00712500" w:rsidRPr="0097456D" w:rsidRDefault="00A72513">
            <w:pPr>
              <w:ind w:left="0" w:hanging="2"/>
              <w:rPr>
                <w:rFonts w:ascii="Arial" w:hAnsi="Arial" w:cs="Arial"/>
                <w:sz w:val="20"/>
                <w:szCs w:val="20"/>
              </w:rPr>
            </w:pPr>
            <w:r w:rsidRPr="0097456D">
              <w:rPr>
                <w:rFonts w:ascii="Arial" w:hAnsi="Arial" w:cs="Arial"/>
                <w:sz w:val="20"/>
                <w:szCs w:val="20"/>
              </w:rPr>
              <w:t xml:space="preserve">While the authors mention certain challenges, the manuscript does not sufficiently highlight that ONT still exhibits relatively high error rates, especially in the context of single-nucleotide polymorphism (SNP) detection. This is a significant omission, as SNPs are critical for identifying disease-associated variants and personalized medicine applications. Until </w:t>
            </w:r>
            <w:proofErr w:type="spellStart"/>
            <w:r w:rsidRPr="0097456D">
              <w:rPr>
                <w:rFonts w:ascii="Arial" w:hAnsi="Arial" w:cs="Arial"/>
                <w:sz w:val="20"/>
                <w:szCs w:val="20"/>
              </w:rPr>
              <w:t>basecalling</w:t>
            </w:r>
            <w:proofErr w:type="spellEnd"/>
            <w:r w:rsidRPr="0097456D">
              <w:rPr>
                <w:rFonts w:ascii="Arial" w:hAnsi="Arial" w:cs="Arial"/>
                <w:sz w:val="20"/>
                <w:szCs w:val="20"/>
              </w:rPr>
              <w:t xml:space="preserve"> accuracy further improves, ONT remains limited in these clinically relevant areas.</w:t>
            </w:r>
          </w:p>
          <w:p w14:paraId="1DB45527" w14:textId="77777777" w:rsidR="00712500" w:rsidRPr="0097456D" w:rsidRDefault="00712500">
            <w:pPr>
              <w:ind w:left="0" w:hanging="2"/>
              <w:rPr>
                <w:rFonts w:ascii="Arial" w:hAnsi="Arial" w:cs="Arial"/>
                <w:sz w:val="20"/>
                <w:szCs w:val="20"/>
              </w:rPr>
            </w:pPr>
          </w:p>
          <w:p w14:paraId="2A3370EB" w14:textId="77777777" w:rsidR="00712500" w:rsidRPr="0097456D" w:rsidRDefault="00A72513">
            <w:pPr>
              <w:ind w:left="0" w:hanging="2"/>
              <w:rPr>
                <w:rFonts w:ascii="Arial" w:hAnsi="Arial" w:cs="Arial"/>
                <w:sz w:val="20"/>
                <w:szCs w:val="20"/>
              </w:rPr>
            </w:pPr>
            <w:r w:rsidRPr="0097456D">
              <w:rPr>
                <w:rFonts w:ascii="Arial" w:hAnsi="Arial" w:cs="Arial"/>
                <w:sz w:val="20"/>
                <w:szCs w:val="20"/>
              </w:rPr>
              <w:t>The discussion on epigenetics may come across as overly optimistic. Although ONT can detect various epigenetic modifications, the biological interpretation of these marks remains immature, and their reliability in reflecting complex traits (e.g., stress levels, lifestyle, or socio-economic status) is still under debate. It may be premature to suggest that epigenetic data can meaningfully inform such assessments at this stage.</w:t>
            </w:r>
          </w:p>
          <w:p w14:paraId="127FA03F" w14:textId="77777777" w:rsidR="00712500" w:rsidRPr="0097456D" w:rsidRDefault="00712500">
            <w:pPr>
              <w:ind w:left="0" w:hanging="2"/>
              <w:rPr>
                <w:rFonts w:ascii="Arial" w:hAnsi="Arial" w:cs="Arial"/>
                <w:sz w:val="20"/>
                <w:szCs w:val="20"/>
              </w:rPr>
            </w:pPr>
          </w:p>
          <w:p w14:paraId="45333F31" w14:textId="77777777" w:rsidR="00712500" w:rsidRPr="0097456D" w:rsidRDefault="00A72513">
            <w:pPr>
              <w:ind w:left="0" w:hanging="2"/>
              <w:rPr>
                <w:rFonts w:ascii="Arial" w:hAnsi="Arial" w:cs="Arial"/>
                <w:sz w:val="20"/>
                <w:szCs w:val="20"/>
              </w:rPr>
            </w:pPr>
            <w:r w:rsidRPr="0097456D">
              <w:rPr>
                <w:rFonts w:ascii="Arial" w:hAnsi="Arial" w:cs="Arial"/>
                <w:sz w:val="20"/>
                <w:szCs w:val="20"/>
              </w:rPr>
              <w:t>One of the most intriguing issues raised in the article is the question of data ownership. Yet, the manuscript only hints at this point without developing it further. I would be interested in the authors’ perspective on this issue — especially in decentralized or field-based sequencing scenarios. Who owns the data produced in such contexts? How should consent and data governance be handled? A deeper exploration would strengthen the ethical section.</w:t>
            </w:r>
          </w:p>
          <w:p w14:paraId="5A0C1E61" w14:textId="77777777" w:rsidR="00712500" w:rsidRPr="0097456D" w:rsidRDefault="00712500">
            <w:pPr>
              <w:ind w:left="0" w:hanging="2"/>
              <w:rPr>
                <w:rFonts w:ascii="Arial" w:hAnsi="Arial" w:cs="Arial"/>
                <w:sz w:val="20"/>
                <w:szCs w:val="20"/>
              </w:rPr>
            </w:pPr>
          </w:p>
          <w:p w14:paraId="1DF65871" w14:textId="77777777" w:rsidR="00712500" w:rsidRPr="0097456D" w:rsidRDefault="00A72513">
            <w:pPr>
              <w:ind w:left="0" w:hanging="2"/>
              <w:rPr>
                <w:rFonts w:ascii="Arial" w:hAnsi="Arial" w:cs="Arial"/>
                <w:sz w:val="20"/>
                <w:szCs w:val="20"/>
              </w:rPr>
            </w:pPr>
            <w:r w:rsidRPr="0097456D">
              <w:rPr>
                <w:rFonts w:ascii="Arial" w:hAnsi="Arial" w:cs="Arial"/>
                <w:sz w:val="20"/>
                <w:szCs w:val="20"/>
              </w:rPr>
              <w:t>I would also like to see more illustrative material - graphs, diagrams, comparisons. For example, on the volume of data generated by short and long read technologies.</w:t>
            </w:r>
          </w:p>
          <w:p w14:paraId="0EAB9B6E" w14:textId="77777777" w:rsidR="00712500" w:rsidRPr="0097456D" w:rsidRDefault="00712500">
            <w:pPr>
              <w:ind w:left="0" w:hanging="2"/>
              <w:rPr>
                <w:rFonts w:ascii="Arial" w:hAnsi="Arial" w:cs="Arial"/>
                <w:sz w:val="20"/>
                <w:szCs w:val="20"/>
              </w:rPr>
            </w:pPr>
          </w:p>
          <w:p w14:paraId="68767D29" w14:textId="77777777" w:rsidR="00712500" w:rsidRPr="0097456D" w:rsidRDefault="00A72513">
            <w:pPr>
              <w:ind w:left="0" w:hanging="2"/>
              <w:rPr>
                <w:rFonts w:ascii="Arial" w:hAnsi="Arial" w:cs="Arial"/>
                <w:sz w:val="20"/>
                <w:szCs w:val="20"/>
              </w:rPr>
            </w:pPr>
            <w:r w:rsidRPr="0097456D">
              <w:rPr>
                <w:rFonts w:ascii="Arial" w:hAnsi="Arial" w:cs="Arial"/>
                <w:sz w:val="20"/>
                <w:szCs w:val="20"/>
              </w:rPr>
              <w:t>And also - does the volume of data produced by ONT really continue to grow, or do Illumina and its analogues still dominate the industry? It would be useful to receive comments from the authors on this matter.</w:t>
            </w:r>
          </w:p>
          <w:p w14:paraId="24AC828F" w14:textId="77777777" w:rsidR="00712500" w:rsidRPr="0097456D" w:rsidRDefault="00712500">
            <w:pPr>
              <w:ind w:left="0" w:hanging="2"/>
              <w:rPr>
                <w:rFonts w:ascii="Arial" w:hAnsi="Arial" w:cs="Arial"/>
                <w:sz w:val="20"/>
                <w:szCs w:val="20"/>
              </w:rPr>
            </w:pPr>
          </w:p>
          <w:p w14:paraId="09197AAC" w14:textId="77777777" w:rsidR="00712500" w:rsidRPr="0097456D" w:rsidRDefault="00A72513">
            <w:pPr>
              <w:ind w:left="0" w:hanging="2"/>
              <w:rPr>
                <w:rFonts w:ascii="Arial" w:hAnsi="Arial" w:cs="Arial"/>
                <w:sz w:val="20"/>
                <w:szCs w:val="20"/>
              </w:rPr>
            </w:pPr>
            <w:r w:rsidRPr="0097456D">
              <w:rPr>
                <w:rFonts w:ascii="Arial" w:hAnsi="Arial" w:cs="Arial"/>
                <w:sz w:val="20"/>
                <w:szCs w:val="20"/>
              </w:rPr>
              <w:t>By the way, is the section "Ontological Reconfigurations: The Fluidity and Annotation of the Living Code" a new conceptual part?</w:t>
            </w:r>
          </w:p>
          <w:p w14:paraId="3183E058" w14:textId="77777777" w:rsidR="00712500" w:rsidRPr="0097456D" w:rsidRDefault="00712500">
            <w:pPr>
              <w:ind w:left="0" w:hanging="2"/>
              <w:rPr>
                <w:rFonts w:ascii="Arial" w:hAnsi="Arial" w:cs="Arial"/>
                <w:sz w:val="20"/>
                <w:szCs w:val="20"/>
              </w:rPr>
            </w:pPr>
          </w:p>
          <w:p w14:paraId="2B424ADD" w14:textId="77777777" w:rsidR="00712500" w:rsidRPr="0097456D" w:rsidRDefault="00A72513">
            <w:pPr>
              <w:ind w:left="0" w:hanging="2"/>
              <w:rPr>
                <w:rFonts w:ascii="Arial" w:hAnsi="Arial" w:cs="Arial"/>
                <w:sz w:val="20"/>
                <w:szCs w:val="20"/>
              </w:rPr>
            </w:pPr>
            <w:r w:rsidRPr="0097456D">
              <w:rPr>
                <w:rFonts w:ascii="Arial" w:hAnsi="Arial" w:cs="Arial"/>
                <w:sz w:val="20"/>
                <w:szCs w:val="20"/>
              </w:rPr>
              <w:t xml:space="preserve">While the philosophical nature of the article is appreciated, it sometimes leans too heavily into abstraction without offering actionable conclusions. In my opinion, this article would be even more impactful if the authors took clearer positions on some of the core questions they raise. </w:t>
            </w:r>
          </w:p>
        </w:tc>
        <w:tc>
          <w:tcPr>
            <w:tcW w:w="6442" w:type="dxa"/>
          </w:tcPr>
          <w:p w14:paraId="293ED149" w14:textId="77777777" w:rsidR="00712500" w:rsidRPr="0097456D" w:rsidRDefault="00712500">
            <w:pPr>
              <w:ind w:left="0" w:hanging="2"/>
              <w:rPr>
                <w:rFonts w:ascii="Arial" w:hAnsi="Arial" w:cs="Arial"/>
                <w:sz w:val="20"/>
                <w:szCs w:val="20"/>
              </w:rPr>
            </w:pPr>
          </w:p>
        </w:tc>
      </w:tr>
    </w:tbl>
    <w:p w14:paraId="57695966" w14:textId="77777777" w:rsidR="00712500" w:rsidRPr="0097456D" w:rsidRDefault="00712500">
      <w:pPr>
        <w:pBdr>
          <w:top w:val="nil"/>
          <w:left w:val="nil"/>
          <w:bottom w:val="nil"/>
          <w:right w:val="nil"/>
          <w:between w:val="nil"/>
        </w:pBdr>
        <w:spacing w:line="240" w:lineRule="auto"/>
        <w:ind w:left="0" w:hanging="2"/>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712500" w:rsidRPr="0097456D" w14:paraId="1A7C73D7"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7F97836E" w14:textId="77777777" w:rsidR="00712500" w:rsidRPr="0097456D" w:rsidRDefault="00A72513">
            <w:pPr>
              <w:pBdr>
                <w:top w:val="nil"/>
                <w:left w:val="nil"/>
                <w:bottom w:val="nil"/>
                <w:right w:val="nil"/>
                <w:between w:val="nil"/>
              </w:pBdr>
              <w:spacing w:line="240" w:lineRule="auto"/>
              <w:ind w:left="0" w:hanging="2"/>
              <w:rPr>
                <w:rFonts w:ascii="Arial" w:hAnsi="Arial" w:cs="Arial"/>
                <w:color w:val="000000"/>
                <w:sz w:val="20"/>
                <w:szCs w:val="20"/>
                <w:u w:val="single"/>
              </w:rPr>
            </w:pPr>
            <w:r w:rsidRPr="0097456D">
              <w:rPr>
                <w:rFonts w:ascii="Arial" w:hAnsi="Arial" w:cs="Arial"/>
                <w:b/>
                <w:color w:val="000000"/>
                <w:sz w:val="20"/>
                <w:szCs w:val="20"/>
                <w:highlight w:val="yellow"/>
                <w:u w:val="single"/>
              </w:rPr>
              <w:t>PART  2:</w:t>
            </w:r>
            <w:r w:rsidRPr="0097456D">
              <w:rPr>
                <w:rFonts w:ascii="Arial" w:hAnsi="Arial" w:cs="Arial"/>
                <w:b/>
                <w:color w:val="000000"/>
                <w:sz w:val="20"/>
                <w:szCs w:val="20"/>
                <w:u w:val="single"/>
              </w:rPr>
              <w:t xml:space="preserve"> </w:t>
            </w:r>
          </w:p>
          <w:p w14:paraId="729A09F2" w14:textId="77777777" w:rsidR="00712500" w:rsidRPr="0097456D" w:rsidRDefault="00712500">
            <w:pPr>
              <w:pBdr>
                <w:top w:val="nil"/>
                <w:left w:val="nil"/>
                <w:bottom w:val="nil"/>
                <w:right w:val="nil"/>
                <w:between w:val="nil"/>
              </w:pBdr>
              <w:spacing w:line="240" w:lineRule="auto"/>
              <w:ind w:left="0" w:hanging="2"/>
              <w:rPr>
                <w:rFonts w:ascii="Arial" w:hAnsi="Arial" w:cs="Arial"/>
                <w:color w:val="000000"/>
                <w:sz w:val="20"/>
                <w:szCs w:val="20"/>
                <w:u w:val="single"/>
              </w:rPr>
            </w:pPr>
          </w:p>
        </w:tc>
      </w:tr>
      <w:tr w:rsidR="00712500" w:rsidRPr="0097456D" w14:paraId="06C8B59A" w14:textId="77777777">
        <w:trPr>
          <w:trHeight w:val="935"/>
        </w:trPr>
        <w:tc>
          <w:tcPr>
            <w:tcW w:w="6831" w:type="dxa"/>
            <w:tcMar>
              <w:top w:w="0" w:type="dxa"/>
              <w:left w:w="108" w:type="dxa"/>
              <w:bottom w:w="0" w:type="dxa"/>
              <w:right w:w="108" w:type="dxa"/>
            </w:tcMar>
            <w:vAlign w:val="center"/>
          </w:tcPr>
          <w:p w14:paraId="3374BA60" w14:textId="77777777" w:rsidR="00712500" w:rsidRPr="0097456D" w:rsidRDefault="00712500">
            <w:pPr>
              <w:pBdr>
                <w:top w:val="nil"/>
                <w:left w:val="nil"/>
                <w:bottom w:val="nil"/>
                <w:right w:val="nil"/>
                <w:between w:val="nil"/>
              </w:pBdr>
              <w:spacing w:line="240" w:lineRule="auto"/>
              <w:ind w:left="0" w:hanging="2"/>
              <w:rPr>
                <w:rFonts w:ascii="Arial" w:hAnsi="Arial" w:cs="Arial"/>
                <w:color w:val="000000"/>
                <w:sz w:val="20"/>
                <w:szCs w:val="20"/>
              </w:rPr>
            </w:pPr>
          </w:p>
        </w:tc>
        <w:tc>
          <w:tcPr>
            <w:tcW w:w="8642" w:type="dxa"/>
            <w:tcMar>
              <w:top w:w="0" w:type="dxa"/>
              <w:left w:w="108" w:type="dxa"/>
              <w:bottom w:w="0" w:type="dxa"/>
              <w:right w:w="108" w:type="dxa"/>
            </w:tcMar>
          </w:tcPr>
          <w:p w14:paraId="201EC25A" w14:textId="77777777" w:rsidR="00712500" w:rsidRPr="0097456D" w:rsidRDefault="00A72513">
            <w:pPr>
              <w:pStyle w:val="Heading2"/>
              <w:ind w:left="0" w:hanging="2"/>
              <w:jc w:val="left"/>
              <w:rPr>
                <w:rFonts w:ascii="Arial" w:eastAsia="Times New Roman" w:hAnsi="Arial" w:cs="Arial"/>
              </w:rPr>
            </w:pPr>
            <w:proofErr w:type="spellStart"/>
            <w:r w:rsidRPr="0097456D">
              <w:rPr>
                <w:rFonts w:ascii="Arial" w:eastAsia="Times New Roman" w:hAnsi="Arial" w:cs="Arial"/>
              </w:rPr>
              <w:t>Reviewer’s</w:t>
            </w:r>
            <w:proofErr w:type="spellEnd"/>
            <w:r w:rsidRPr="0097456D">
              <w:rPr>
                <w:rFonts w:ascii="Arial" w:eastAsia="Times New Roman" w:hAnsi="Arial" w:cs="Arial"/>
              </w:rPr>
              <w:t xml:space="preserve"> comment</w:t>
            </w:r>
          </w:p>
        </w:tc>
        <w:tc>
          <w:tcPr>
            <w:tcW w:w="5677" w:type="dxa"/>
          </w:tcPr>
          <w:p w14:paraId="5712C97D" w14:textId="77777777" w:rsidR="00712500" w:rsidRPr="0097456D" w:rsidRDefault="00A72513">
            <w:pPr>
              <w:pStyle w:val="Heading2"/>
              <w:ind w:left="0" w:hanging="2"/>
              <w:jc w:val="left"/>
              <w:rPr>
                <w:rFonts w:ascii="Arial" w:eastAsia="Times New Roman" w:hAnsi="Arial" w:cs="Arial"/>
                <w:b w:val="0"/>
              </w:rPr>
            </w:pPr>
            <w:proofErr w:type="spellStart"/>
            <w:r w:rsidRPr="0097456D">
              <w:rPr>
                <w:rFonts w:ascii="Arial" w:eastAsia="Times New Roman" w:hAnsi="Arial" w:cs="Arial"/>
              </w:rPr>
              <w:t>Author’s</w:t>
            </w:r>
            <w:proofErr w:type="spellEnd"/>
            <w:r w:rsidRPr="0097456D">
              <w:rPr>
                <w:rFonts w:ascii="Arial" w:eastAsia="Times New Roman" w:hAnsi="Arial" w:cs="Arial"/>
              </w:rPr>
              <w:t xml:space="preserve"> comment</w:t>
            </w:r>
            <w:r w:rsidRPr="0097456D">
              <w:rPr>
                <w:rFonts w:ascii="Arial" w:eastAsia="Times New Roman" w:hAnsi="Arial" w:cs="Arial"/>
                <w:b w:val="0"/>
              </w:rPr>
              <w:t xml:space="preserve"> </w:t>
            </w:r>
            <w:r w:rsidRPr="0097456D">
              <w:rPr>
                <w:rFonts w:ascii="Arial" w:eastAsia="Times New Roman" w:hAnsi="Arial" w:cs="Arial"/>
                <w:b w:val="0"/>
                <w:i/>
              </w:rPr>
              <w:t xml:space="preserve">(if </w:t>
            </w:r>
            <w:proofErr w:type="spellStart"/>
            <w:r w:rsidRPr="0097456D">
              <w:rPr>
                <w:rFonts w:ascii="Arial" w:eastAsia="Times New Roman" w:hAnsi="Arial" w:cs="Arial"/>
                <w:b w:val="0"/>
                <w:i/>
              </w:rPr>
              <w:t>agreed</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with</w:t>
            </w:r>
            <w:proofErr w:type="spellEnd"/>
            <w:r w:rsidRPr="0097456D">
              <w:rPr>
                <w:rFonts w:ascii="Arial" w:eastAsia="Times New Roman" w:hAnsi="Arial" w:cs="Arial"/>
                <w:b w:val="0"/>
                <w:i/>
              </w:rPr>
              <w:t xml:space="preserve"> the </w:t>
            </w:r>
            <w:proofErr w:type="spellStart"/>
            <w:r w:rsidRPr="0097456D">
              <w:rPr>
                <w:rFonts w:ascii="Arial" w:eastAsia="Times New Roman" w:hAnsi="Arial" w:cs="Arial"/>
                <w:b w:val="0"/>
                <w:i/>
              </w:rPr>
              <w:t>reviewer</w:t>
            </w:r>
            <w:proofErr w:type="spellEnd"/>
            <w:r w:rsidRPr="0097456D">
              <w:rPr>
                <w:rFonts w:ascii="Arial" w:eastAsia="Times New Roman" w:hAnsi="Arial" w:cs="Arial"/>
                <w:b w:val="0"/>
                <w:i/>
              </w:rPr>
              <w:t xml:space="preserve">, correct the </w:t>
            </w:r>
            <w:proofErr w:type="spellStart"/>
            <w:r w:rsidRPr="0097456D">
              <w:rPr>
                <w:rFonts w:ascii="Arial" w:eastAsia="Times New Roman" w:hAnsi="Arial" w:cs="Arial"/>
                <w:b w:val="0"/>
                <w:i/>
              </w:rPr>
              <w:t>manuscript</w:t>
            </w:r>
            <w:proofErr w:type="spellEnd"/>
            <w:r w:rsidRPr="0097456D">
              <w:rPr>
                <w:rFonts w:ascii="Arial" w:eastAsia="Times New Roman" w:hAnsi="Arial" w:cs="Arial"/>
                <w:b w:val="0"/>
                <w:i/>
              </w:rPr>
              <w:t xml:space="preserve"> and highlight </w:t>
            </w:r>
            <w:proofErr w:type="spellStart"/>
            <w:r w:rsidRPr="0097456D">
              <w:rPr>
                <w:rFonts w:ascii="Arial" w:eastAsia="Times New Roman" w:hAnsi="Arial" w:cs="Arial"/>
                <w:b w:val="0"/>
                <w:i/>
              </w:rPr>
              <w:t>that</w:t>
            </w:r>
            <w:proofErr w:type="spellEnd"/>
            <w:r w:rsidRPr="0097456D">
              <w:rPr>
                <w:rFonts w:ascii="Arial" w:eastAsia="Times New Roman" w:hAnsi="Arial" w:cs="Arial"/>
                <w:b w:val="0"/>
                <w:i/>
              </w:rPr>
              <w:t xml:space="preserve"> part in the </w:t>
            </w:r>
            <w:proofErr w:type="spellStart"/>
            <w:r w:rsidRPr="0097456D">
              <w:rPr>
                <w:rFonts w:ascii="Arial" w:eastAsia="Times New Roman" w:hAnsi="Arial" w:cs="Arial"/>
                <w:b w:val="0"/>
                <w:i/>
              </w:rPr>
              <w:t>manuscript</w:t>
            </w:r>
            <w:proofErr w:type="spellEnd"/>
            <w:r w:rsidRPr="0097456D">
              <w:rPr>
                <w:rFonts w:ascii="Arial" w:eastAsia="Times New Roman" w:hAnsi="Arial" w:cs="Arial"/>
                <w:b w:val="0"/>
                <w:i/>
              </w:rPr>
              <w:t xml:space="preserve">. It </w:t>
            </w:r>
            <w:proofErr w:type="spellStart"/>
            <w:r w:rsidRPr="0097456D">
              <w:rPr>
                <w:rFonts w:ascii="Arial" w:eastAsia="Times New Roman" w:hAnsi="Arial" w:cs="Arial"/>
                <w:b w:val="0"/>
                <w:i/>
              </w:rPr>
              <w:t>is</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mandatory</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that</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authors</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should</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write</w:t>
            </w:r>
            <w:proofErr w:type="spellEnd"/>
            <w:r w:rsidRPr="0097456D">
              <w:rPr>
                <w:rFonts w:ascii="Arial" w:eastAsia="Times New Roman" w:hAnsi="Arial" w:cs="Arial"/>
                <w:b w:val="0"/>
                <w:i/>
              </w:rPr>
              <w:t xml:space="preserve"> </w:t>
            </w:r>
            <w:proofErr w:type="spellStart"/>
            <w:r w:rsidRPr="0097456D">
              <w:rPr>
                <w:rFonts w:ascii="Arial" w:eastAsia="Times New Roman" w:hAnsi="Arial" w:cs="Arial"/>
                <w:b w:val="0"/>
                <w:i/>
              </w:rPr>
              <w:t>his</w:t>
            </w:r>
            <w:proofErr w:type="spellEnd"/>
            <w:r w:rsidRPr="0097456D">
              <w:rPr>
                <w:rFonts w:ascii="Arial" w:eastAsia="Times New Roman" w:hAnsi="Arial" w:cs="Arial"/>
                <w:b w:val="0"/>
                <w:i/>
              </w:rPr>
              <w:t>/</w:t>
            </w:r>
            <w:proofErr w:type="spellStart"/>
            <w:r w:rsidRPr="0097456D">
              <w:rPr>
                <w:rFonts w:ascii="Arial" w:eastAsia="Times New Roman" w:hAnsi="Arial" w:cs="Arial"/>
                <w:b w:val="0"/>
                <w:i/>
              </w:rPr>
              <w:t>her</w:t>
            </w:r>
            <w:proofErr w:type="spellEnd"/>
            <w:r w:rsidRPr="0097456D">
              <w:rPr>
                <w:rFonts w:ascii="Arial" w:eastAsia="Times New Roman" w:hAnsi="Arial" w:cs="Arial"/>
                <w:b w:val="0"/>
                <w:i/>
              </w:rPr>
              <w:t xml:space="preserve"> feedback </w:t>
            </w:r>
            <w:proofErr w:type="spellStart"/>
            <w:r w:rsidRPr="0097456D">
              <w:rPr>
                <w:rFonts w:ascii="Arial" w:eastAsia="Times New Roman" w:hAnsi="Arial" w:cs="Arial"/>
                <w:b w:val="0"/>
                <w:i/>
              </w:rPr>
              <w:t>here</w:t>
            </w:r>
            <w:proofErr w:type="spellEnd"/>
            <w:r w:rsidRPr="0097456D">
              <w:rPr>
                <w:rFonts w:ascii="Arial" w:eastAsia="Times New Roman" w:hAnsi="Arial" w:cs="Arial"/>
                <w:b w:val="0"/>
                <w:i/>
              </w:rPr>
              <w:t>)</w:t>
            </w:r>
          </w:p>
        </w:tc>
      </w:tr>
      <w:tr w:rsidR="00712500" w:rsidRPr="0097456D" w14:paraId="37D1A038" w14:textId="77777777">
        <w:trPr>
          <w:trHeight w:val="697"/>
        </w:trPr>
        <w:tc>
          <w:tcPr>
            <w:tcW w:w="6831" w:type="dxa"/>
            <w:tcMar>
              <w:top w:w="0" w:type="dxa"/>
              <w:left w:w="108" w:type="dxa"/>
              <w:bottom w:w="0" w:type="dxa"/>
              <w:right w:w="108" w:type="dxa"/>
            </w:tcMar>
            <w:vAlign w:val="center"/>
          </w:tcPr>
          <w:p w14:paraId="5CEB8BB7" w14:textId="77777777" w:rsidR="00712500" w:rsidRPr="0097456D" w:rsidRDefault="00A72513">
            <w:pPr>
              <w:pBdr>
                <w:top w:val="nil"/>
                <w:left w:val="nil"/>
                <w:bottom w:val="nil"/>
                <w:right w:val="nil"/>
                <w:between w:val="nil"/>
              </w:pBdr>
              <w:spacing w:line="240" w:lineRule="auto"/>
              <w:ind w:left="0" w:hanging="2"/>
              <w:rPr>
                <w:rFonts w:ascii="Arial" w:hAnsi="Arial" w:cs="Arial"/>
                <w:color w:val="000000"/>
                <w:sz w:val="20"/>
                <w:szCs w:val="20"/>
              </w:rPr>
            </w:pPr>
            <w:r w:rsidRPr="0097456D">
              <w:rPr>
                <w:rFonts w:ascii="Arial" w:hAnsi="Arial" w:cs="Arial"/>
                <w:b/>
                <w:color w:val="000000"/>
                <w:sz w:val="20"/>
                <w:szCs w:val="20"/>
              </w:rPr>
              <w:t xml:space="preserve">Are there ethical issues in this manuscript? </w:t>
            </w:r>
          </w:p>
          <w:p w14:paraId="535BE337" w14:textId="77777777" w:rsidR="00712500" w:rsidRPr="0097456D" w:rsidRDefault="00712500">
            <w:pPr>
              <w:pBdr>
                <w:top w:val="nil"/>
                <w:left w:val="nil"/>
                <w:bottom w:val="nil"/>
                <w:right w:val="nil"/>
                <w:between w:val="nil"/>
              </w:pBdr>
              <w:spacing w:line="240" w:lineRule="auto"/>
              <w:ind w:left="0" w:hanging="2"/>
              <w:rPr>
                <w:rFonts w:ascii="Arial" w:hAnsi="Arial" w:cs="Arial"/>
                <w:color w:val="000000"/>
                <w:sz w:val="20"/>
                <w:szCs w:val="20"/>
              </w:rPr>
            </w:pPr>
          </w:p>
        </w:tc>
        <w:tc>
          <w:tcPr>
            <w:tcW w:w="8642" w:type="dxa"/>
            <w:tcMar>
              <w:top w:w="0" w:type="dxa"/>
              <w:left w:w="108" w:type="dxa"/>
              <w:bottom w:w="0" w:type="dxa"/>
              <w:right w:w="108" w:type="dxa"/>
            </w:tcMar>
            <w:vAlign w:val="center"/>
          </w:tcPr>
          <w:p w14:paraId="072898DD" w14:textId="67BB11E0" w:rsidR="00712500" w:rsidRPr="0097456D" w:rsidRDefault="00712500" w:rsidP="00943194">
            <w:pPr>
              <w:pBdr>
                <w:top w:val="nil"/>
                <w:left w:val="nil"/>
                <w:bottom w:val="nil"/>
                <w:right w:val="nil"/>
                <w:between w:val="nil"/>
              </w:pBdr>
              <w:spacing w:line="240" w:lineRule="auto"/>
              <w:ind w:leftChars="0" w:left="0" w:firstLineChars="0" w:firstLine="0"/>
              <w:rPr>
                <w:rFonts w:ascii="Arial" w:hAnsi="Arial" w:cs="Arial"/>
                <w:color w:val="000000"/>
                <w:sz w:val="20"/>
                <w:szCs w:val="20"/>
                <w:u w:val="single"/>
              </w:rPr>
            </w:pPr>
          </w:p>
          <w:p w14:paraId="3B7D0EA2" w14:textId="77777777" w:rsidR="00712500" w:rsidRPr="0097456D" w:rsidRDefault="00712500">
            <w:pPr>
              <w:pBdr>
                <w:top w:val="nil"/>
                <w:left w:val="nil"/>
                <w:bottom w:val="nil"/>
                <w:right w:val="nil"/>
                <w:between w:val="nil"/>
              </w:pBdr>
              <w:spacing w:line="240" w:lineRule="auto"/>
              <w:ind w:left="0" w:hanging="2"/>
              <w:rPr>
                <w:rFonts w:ascii="Arial" w:hAnsi="Arial" w:cs="Arial"/>
                <w:color w:val="000000"/>
                <w:sz w:val="20"/>
                <w:szCs w:val="20"/>
              </w:rPr>
            </w:pPr>
          </w:p>
          <w:p w14:paraId="47A7271B" w14:textId="77777777" w:rsidR="00712500" w:rsidRPr="0097456D" w:rsidRDefault="00712500">
            <w:pPr>
              <w:pBdr>
                <w:top w:val="nil"/>
                <w:left w:val="nil"/>
                <w:bottom w:val="nil"/>
                <w:right w:val="nil"/>
                <w:between w:val="nil"/>
              </w:pBdr>
              <w:spacing w:line="240" w:lineRule="auto"/>
              <w:ind w:left="0" w:hanging="2"/>
              <w:rPr>
                <w:rFonts w:ascii="Arial" w:hAnsi="Arial" w:cs="Arial"/>
                <w:color w:val="000000"/>
                <w:sz w:val="20"/>
                <w:szCs w:val="20"/>
              </w:rPr>
            </w:pPr>
          </w:p>
        </w:tc>
        <w:tc>
          <w:tcPr>
            <w:tcW w:w="5677" w:type="dxa"/>
            <w:vAlign w:val="center"/>
          </w:tcPr>
          <w:p w14:paraId="729410DF" w14:textId="77777777" w:rsidR="00712500" w:rsidRPr="0097456D" w:rsidRDefault="00712500">
            <w:pPr>
              <w:ind w:left="0" w:hanging="2"/>
              <w:rPr>
                <w:rFonts w:ascii="Arial" w:hAnsi="Arial" w:cs="Arial"/>
                <w:sz w:val="20"/>
                <w:szCs w:val="20"/>
              </w:rPr>
            </w:pPr>
          </w:p>
          <w:p w14:paraId="35582197" w14:textId="77777777" w:rsidR="00712500" w:rsidRPr="0097456D" w:rsidRDefault="00712500">
            <w:pPr>
              <w:ind w:left="0" w:hanging="2"/>
              <w:rPr>
                <w:rFonts w:ascii="Arial" w:hAnsi="Arial" w:cs="Arial"/>
                <w:sz w:val="20"/>
                <w:szCs w:val="20"/>
              </w:rPr>
            </w:pPr>
          </w:p>
          <w:p w14:paraId="110D6AF6" w14:textId="77777777" w:rsidR="00712500" w:rsidRPr="0097456D" w:rsidRDefault="00712500">
            <w:pPr>
              <w:ind w:left="0" w:hanging="2"/>
              <w:rPr>
                <w:rFonts w:ascii="Arial" w:hAnsi="Arial" w:cs="Arial"/>
                <w:sz w:val="20"/>
                <w:szCs w:val="20"/>
              </w:rPr>
            </w:pPr>
          </w:p>
          <w:p w14:paraId="4ACD0F52" w14:textId="77777777" w:rsidR="00712500" w:rsidRPr="0097456D" w:rsidRDefault="00712500">
            <w:pPr>
              <w:pBdr>
                <w:top w:val="nil"/>
                <w:left w:val="nil"/>
                <w:bottom w:val="nil"/>
                <w:right w:val="nil"/>
                <w:between w:val="nil"/>
              </w:pBdr>
              <w:spacing w:line="240" w:lineRule="auto"/>
              <w:ind w:left="0" w:hanging="2"/>
              <w:rPr>
                <w:rFonts w:ascii="Arial" w:hAnsi="Arial" w:cs="Arial"/>
                <w:color w:val="000000"/>
                <w:sz w:val="20"/>
                <w:szCs w:val="20"/>
              </w:rPr>
            </w:pPr>
          </w:p>
        </w:tc>
      </w:tr>
    </w:tbl>
    <w:p w14:paraId="44154851" w14:textId="549A24BB" w:rsidR="00712500" w:rsidRPr="0097456D" w:rsidRDefault="00712500">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53C215A0" w14:textId="77777777" w:rsidR="0097456D" w:rsidRPr="0097456D" w:rsidRDefault="0097456D" w:rsidP="0097456D">
      <w:pPr>
        <w:pStyle w:val="Affiliation"/>
        <w:spacing w:after="0" w:line="240" w:lineRule="auto"/>
        <w:ind w:hanging="2"/>
        <w:jc w:val="left"/>
        <w:rPr>
          <w:rFonts w:ascii="Arial" w:hAnsi="Arial" w:cs="Arial"/>
          <w:b/>
          <w:u w:val="single"/>
        </w:rPr>
      </w:pPr>
      <w:r w:rsidRPr="0097456D">
        <w:rPr>
          <w:rFonts w:ascii="Arial" w:hAnsi="Arial" w:cs="Arial"/>
          <w:b/>
          <w:u w:val="single"/>
        </w:rPr>
        <w:t>Reviewer details:</w:t>
      </w:r>
    </w:p>
    <w:p w14:paraId="38800981" w14:textId="57C48945" w:rsidR="0097456D" w:rsidRPr="0097456D" w:rsidRDefault="0097456D">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29D2F65B" w14:textId="00C1C500" w:rsidR="0097456D" w:rsidRPr="0097456D" w:rsidRDefault="0097456D">
      <w:pPr>
        <w:pBdr>
          <w:top w:val="nil"/>
          <w:left w:val="nil"/>
          <w:bottom w:val="nil"/>
          <w:right w:val="nil"/>
          <w:between w:val="nil"/>
        </w:pBdr>
        <w:spacing w:line="240" w:lineRule="auto"/>
        <w:ind w:left="0" w:hanging="2"/>
        <w:jc w:val="both"/>
        <w:rPr>
          <w:rFonts w:ascii="Arial" w:eastAsia="Arial" w:hAnsi="Arial" w:cs="Arial"/>
          <w:b/>
          <w:color w:val="000000"/>
          <w:sz w:val="20"/>
          <w:szCs w:val="20"/>
        </w:rPr>
      </w:pPr>
      <w:bookmarkStart w:id="1" w:name="_Hlk196138889"/>
      <w:bookmarkStart w:id="2" w:name="_GoBack"/>
      <w:proofErr w:type="spellStart"/>
      <w:r w:rsidRPr="0097456D">
        <w:rPr>
          <w:rFonts w:ascii="Arial" w:hAnsi="Arial" w:cs="Arial"/>
          <w:b/>
          <w:sz w:val="20"/>
          <w:szCs w:val="20"/>
        </w:rPr>
        <w:t>Viktoriia</w:t>
      </w:r>
      <w:proofErr w:type="spellEnd"/>
      <w:r w:rsidRPr="0097456D">
        <w:rPr>
          <w:rFonts w:ascii="Arial" w:hAnsi="Arial" w:cs="Arial"/>
          <w:b/>
          <w:sz w:val="20"/>
          <w:szCs w:val="20"/>
        </w:rPr>
        <w:t xml:space="preserve">, </w:t>
      </w:r>
      <w:r w:rsidRPr="0097456D">
        <w:rPr>
          <w:rFonts w:ascii="Arial" w:hAnsi="Arial" w:cs="Arial"/>
          <w:b/>
          <w:sz w:val="20"/>
          <w:szCs w:val="20"/>
        </w:rPr>
        <w:t>Institute of Biomedical Chemistry</w:t>
      </w:r>
      <w:r w:rsidRPr="0097456D">
        <w:rPr>
          <w:rFonts w:ascii="Arial" w:hAnsi="Arial" w:cs="Arial"/>
          <w:b/>
          <w:sz w:val="20"/>
          <w:szCs w:val="20"/>
        </w:rPr>
        <w:t xml:space="preserve">, </w:t>
      </w:r>
      <w:r w:rsidRPr="0097456D">
        <w:rPr>
          <w:rFonts w:ascii="Arial" w:hAnsi="Arial" w:cs="Arial"/>
          <w:b/>
          <w:sz w:val="20"/>
          <w:szCs w:val="20"/>
        </w:rPr>
        <w:t>Russia</w:t>
      </w:r>
      <w:bookmarkEnd w:id="1"/>
      <w:bookmarkEnd w:id="2"/>
    </w:p>
    <w:sectPr w:rsidR="0097456D" w:rsidRPr="0097456D">
      <w:headerReference w:type="default" r:id="rId13"/>
      <w:footerReference w:type="default" r:id="rId14"/>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2CC04" w14:textId="77777777" w:rsidR="00227022" w:rsidRDefault="00227022">
      <w:pPr>
        <w:spacing w:line="240" w:lineRule="auto"/>
        <w:ind w:left="0" w:hanging="2"/>
      </w:pPr>
      <w:r>
        <w:separator/>
      </w:r>
    </w:p>
  </w:endnote>
  <w:endnote w:type="continuationSeparator" w:id="0">
    <w:p w14:paraId="5C079F84" w14:textId="77777777" w:rsidR="00227022" w:rsidRDefault="002270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2F4F0" w14:textId="77777777" w:rsidR="00712500" w:rsidRDefault="00A72513">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566FB" w14:textId="77777777" w:rsidR="00227022" w:rsidRDefault="00227022">
      <w:pPr>
        <w:spacing w:line="240" w:lineRule="auto"/>
        <w:ind w:left="0" w:hanging="2"/>
      </w:pPr>
      <w:r>
        <w:separator/>
      </w:r>
    </w:p>
  </w:footnote>
  <w:footnote w:type="continuationSeparator" w:id="0">
    <w:p w14:paraId="75132D0F" w14:textId="77777777" w:rsidR="00227022" w:rsidRDefault="0022702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95DE" w14:textId="77777777" w:rsidR="00712500" w:rsidRDefault="00712500">
    <w:pPr>
      <w:spacing w:after="280"/>
      <w:ind w:left="0" w:hanging="2"/>
      <w:jc w:val="center"/>
      <w:rPr>
        <w:rFonts w:ascii="Arial" w:eastAsia="Arial" w:hAnsi="Arial" w:cs="Arial"/>
        <w:color w:val="003399"/>
        <w:u w:val="single"/>
      </w:rPr>
    </w:pPr>
  </w:p>
  <w:p w14:paraId="4D402004" w14:textId="77777777" w:rsidR="00712500" w:rsidRDefault="00A72513">
    <w:pPr>
      <w:spacing w:before="280"/>
      <w:ind w:left="0" w:hanging="2"/>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00"/>
    <w:rsid w:val="00227022"/>
    <w:rsid w:val="002A5231"/>
    <w:rsid w:val="00712500"/>
    <w:rsid w:val="00943194"/>
    <w:rsid w:val="0097456D"/>
    <w:rsid w:val="00A72513"/>
    <w:rsid w:val="00E2391D"/>
    <w:rsid w:val="00FA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8A95"/>
  <w15:docId w15:val="{54F70EA5-6484-42E9-B1D6-FE35D4D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97456D"/>
    <w:pPr>
      <w:suppressAutoHyphens w:val="0"/>
      <w:spacing w:after="240" w:line="240" w:lineRule="exact"/>
      <w:ind w:leftChars="0" w:left="0" w:firstLineChars="0" w:firstLine="0"/>
      <w:jc w:val="right"/>
      <w:textDirection w:val="lrTb"/>
      <w:textAlignment w:val="auto"/>
      <w:outlineLvl w:val="9"/>
    </w:pPr>
    <w:rPr>
      <w:rFonts w:ascii="Helvetica" w:hAnsi="Helvetica"/>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ature.com/articles/s41592-024-0249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bgmb.com/index.php/AJBGMB" TargetMode="External"/><Relationship Id="rId12" Type="http://schemas.openxmlformats.org/officeDocument/2006/relationships/hyperlink" Target="https://pubmed.ncbi.nlm.nih.gov/3943807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ubmed.ncbi.nlm.nih.gov/3800366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ubmed.ncbi.nlm.nih.gov/39846015/" TargetMode="External"/><Relationship Id="rId4" Type="http://schemas.openxmlformats.org/officeDocument/2006/relationships/webSettings" Target="webSettings.xml"/><Relationship Id="rId9" Type="http://schemas.openxmlformats.org/officeDocument/2006/relationships/hyperlink" Target="https://pubmed.ncbi.nlm.nih.gov/398460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HTL4aNmGprJ4hWEsq7ts3dIibA==">CgMxLjAyDmgubDdoeGlwYmRscmNtMg5oLmtkY2twdjkxdDMwNDgAciExTU13OGFzOXcxUXBpSENqQTRzVVNkY3RYc3pLWWZsZTA=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4</cp:revision>
  <dcterms:created xsi:type="dcterms:W3CDTF">2011-08-01T09:21:00Z</dcterms:created>
  <dcterms:modified xsi:type="dcterms:W3CDTF">2025-04-21T09:11:00Z</dcterms:modified>
</cp:coreProperties>
</file>